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41FF92">
      <w:pPr>
        <w:adjustRightInd w:val="0"/>
        <w:snapToGrid w:val="0"/>
        <w:spacing w:line="288" w:lineRule="auto"/>
        <w:jc w:val="center"/>
        <w:rPr>
          <w:rFonts w:ascii="楷体" w:hAnsi="楷体" w:eastAsia="楷体"/>
          <w:b/>
          <w:spacing w:val="-6"/>
          <w:sz w:val="44"/>
          <w:szCs w:val="44"/>
        </w:rPr>
      </w:pPr>
    </w:p>
    <w:p w14:paraId="797ACA10">
      <w:pPr>
        <w:adjustRightInd w:val="0"/>
        <w:snapToGrid w:val="0"/>
        <w:spacing w:line="288" w:lineRule="auto"/>
        <w:jc w:val="center"/>
        <w:rPr>
          <w:rFonts w:ascii="楷体" w:hAnsi="楷体" w:eastAsia="楷体"/>
          <w:b/>
          <w:spacing w:val="-6"/>
          <w:sz w:val="44"/>
          <w:szCs w:val="44"/>
        </w:rPr>
      </w:pPr>
    </w:p>
    <w:p w14:paraId="384AFCB3">
      <w:pPr>
        <w:adjustRightInd w:val="0"/>
        <w:snapToGrid w:val="0"/>
        <w:spacing w:line="288"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14:paraId="63161D64">
      <w:pPr>
        <w:shd w:val="clear"/>
        <w:adjustRightInd w:val="0"/>
        <w:snapToGrid w:val="0"/>
        <w:spacing w:line="288"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浙江大学杭州国际科创中心</w:t>
      </w:r>
    </w:p>
    <w:p w14:paraId="4451EB84">
      <w:pPr>
        <w:shd w:val="clear"/>
        <w:adjustRightInd w:val="0"/>
        <w:snapToGrid w:val="0"/>
        <w:spacing w:line="288"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双光子光致发光显微成像系统</w:t>
      </w:r>
    </w:p>
    <w:p w14:paraId="4EA31999">
      <w:pPr>
        <w:adjustRightInd w:val="0"/>
        <w:snapToGrid w:val="0"/>
        <w:spacing w:line="288" w:lineRule="auto"/>
        <w:jc w:val="center"/>
        <w:rPr>
          <w:rFonts w:ascii="楷体" w:hAnsi="楷体" w:eastAsia="楷体"/>
          <w:b/>
          <w:spacing w:val="-6"/>
          <w:sz w:val="48"/>
          <w:szCs w:val="48"/>
          <w:highlight w:val="yellow"/>
        </w:rPr>
      </w:pPr>
    </w:p>
    <w:p w14:paraId="37B3A8F2">
      <w:pPr>
        <w:adjustRightInd w:val="0"/>
        <w:snapToGrid w:val="0"/>
        <w:spacing w:line="288" w:lineRule="auto"/>
        <w:jc w:val="center"/>
        <w:rPr>
          <w:rFonts w:ascii="楷体" w:hAnsi="楷体" w:eastAsia="楷体"/>
          <w:b/>
          <w:spacing w:val="-6"/>
          <w:sz w:val="48"/>
          <w:szCs w:val="48"/>
          <w:highlight w:val="yellow"/>
        </w:rPr>
      </w:pPr>
    </w:p>
    <w:p w14:paraId="659D7478">
      <w:pPr>
        <w:adjustRightInd w:val="0"/>
        <w:snapToGrid w:val="0"/>
        <w:spacing w:line="288" w:lineRule="auto"/>
        <w:jc w:val="center"/>
        <w:rPr>
          <w:rFonts w:ascii="楷体" w:hAnsi="楷体" w:eastAsia="楷体"/>
          <w:b/>
          <w:spacing w:val="-6"/>
          <w:sz w:val="72"/>
          <w:szCs w:val="72"/>
        </w:rPr>
      </w:pPr>
      <w:r>
        <w:rPr>
          <w:rFonts w:hint="eastAsia" w:ascii="楷体" w:hAnsi="楷体" w:eastAsia="楷体"/>
          <w:b/>
          <w:spacing w:val="-6"/>
          <w:sz w:val="72"/>
          <w:szCs w:val="72"/>
        </w:rPr>
        <w:t>磋商文件</w:t>
      </w:r>
    </w:p>
    <w:p w14:paraId="4C953F65">
      <w:pPr>
        <w:adjustRightInd w:val="0"/>
        <w:snapToGrid w:val="0"/>
        <w:spacing w:line="288" w:lineRule="auto"/>
        <w:rPr>
          <w:rFonts w:ascii="楷体" w:hAnsi="楷体" w:eastAsia="楷体"/>
          <w:b/>
          <w:spacing w:val="-6"/>
          <w:sz w:val="30"/>
          <w:szCs w:val="30"/>
        </w:rPr>
      </w:pPr>
    </w:p>
    <w:p w14:paraId="76718C7C">
      <w:pPr>
        <w:adjustRightInd w:val="0"/>
        <w:snapToGrid w:val="0"/>
        <w:spacing w:line="288" w:lineRule="auto"/>
        <w:rPr>
          <w:rFonts w:ascii="楷体" w:hAnsi="楷体" w:eastAsia="楷体"/>
          <w:b/>
          <w:spacing w:val="-6"/>
          <w:sz w:val="30"/>
          <w:szCs w:val="30"/>
        </w:rPr>
      </w:pPr>
    </w:p>
    <w:p w14:paraId="2D27806E">
      <w:pPr>
        <w:adjustRightInd w:val="0"/>
        <w:snapToGrid w:val="0"/>
        <w:spacing w:line="288" w:lineRule="auto"/>
        <w:rPr>
          <w:rFonts w:hint="eastAsia" w:ascii="楷体" w:hAnsi="楷体" w:eastAsia="楷体"/>
          <w:b/>
          <w:spacing w:val="-6"/>
          <w:sz w:val="30"/>
          <w:szCs w:val="30"/>
          <w:lang w:eastAsia="zh-CN"/>
        </w:rPr>
      </w:pPr>
      <w:r>
        <w:rPr>
          <w:rFonts w:hint="eastAsia" w:ascii="楷体" w:hAnsi="楷体" w:eastAsia="楷体"/>
          <w:b/>
          <w:spacing w:val="-6"/>
          <w:sz w:val="30"/>
          <w:szCs w:val="30"/>
        </w:rPr>
        <w:t>采 购 人：</w:t>
      </w:r>
      <w:r>
        <w:rPr>
          <w:rFonts w:hint="eastAsia" w:ascii="楷体" w:hAnsi="楷体" w:eastAsia="楷体"/>
          <w:b/>
          <w:spacing w:val="-6"/>
          <w:sz w:val="30"/>
          <w:szCs w:val="30"/>
          <w:lang w:eastAsia="zh-CN"/>
        </w:rPr>
        <w:t>浙江大学杭州国际科创中心</w:t>
      </w:r>
    </w:p>
    <w:p w14:paraId="24B1B1A6">
      <w:pPr>
        <w:adjustRightInd w:val="0"/>
        <w:snapToGrid w:val="0"/>
        <w:spacing w:line="288" w:lineRule="auto"/>
        <w:rPr>
          <w:rFonts w:hint="eastAsia" w:ascii="楷体" w:hAnsi="楷体" w:eastAsia="楷体"/>
          <w:b/>
          <w:spacing w:val="-6"/>
          <w:sz w:val="30"/>
          <w:szCs w:val="30"/>
          <w:lang w:eastAsia="zh-CN"/>
        </w:rPr>
      </w:pPr>
      <w:r>
        <w:rPr>
          <w:rFonts w:hint="eastAsia" w:ascii="楷体" w:hAnsi="楷体" w:eastAsia="楷体"/>
          <w:b/>
          <w:spacing w:val="-6"/>
          <w:sz w:val="30"/>
          <w:szCs w:val="30"/>
        </w:rPr>
        <w:t>项目名称：</w:t>
      </w:r>
      <w:r>
        <w:rPr>
          <w:rFonts w:hint="eastAsia" w:ascii="楷体" w:hAnsi="楷体" w:eastAsia="楷体"/>
          <w:b/>
          <w:spacing w:val="-6"/>
          <w:sz w:val="30"/>
          <w:szCs w:val="30"/>
          <w:lang w:eastAsia="zh-CN"/>
        </w:rPr>
        <w:t>双光子光致发光显微成像系统</w:t>
      </w:r>
    </w:p>
    <w:p w14:paraId="50029DAE">
      <w:pPr>
        <w:adjustRightInd w:val="0"/>
        <w:snapToGrid w:val="0"/>
        <w:spacing w:line="288" w:lineRule="auto"/>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项目编号：</w:t>
      </w:r>
      <w:r>
        <w:rPr>
          <w:rFonts w:hint="eastAsia" w:ascii="楷体" w:hAnsi="楷体" w:eastAsia="楷体"/>
          <w:b/>
          <w:spacing w:val="-6"/>
          <w:sz w:val="30"/>
          <w:szCs w:val="30"/>
          <w:highlight w:val="none"/>
          <w:lang w:eastAsia="zh-CN"/>
        </w:rPr>
        <w:t>QSZB-F(H)-A24571(CS)</w:t>
      </w:r>
    </w:p>
    <w:p w14:paraId="17F59D44">
      <w:pPr>
        <w:adjustRightInd w:val="0"/>
        <w:snapToGrid w:val="0"/>
        <w:spacing w:line="288" w:lineRule="auto"/>
        <w:rPr>
          <w:rFonts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14:paraId="4CB6B7E2">
      <w:pPr>
        <w:widowControl/>
        <w:adjustRightInd w:val="0"/>
        <w:snapToGrid w:val="0"/>
        <w:spacing w:line="288" w:lineRule="auto"/>
        <w:jc w:val="left"/>
        <w:rPr>
          <w:rFonts w:ascii="楷体" w:hAnsi="楷体" w:eastAsia="楷体"/>
          <w:b/>
          <w:spacing w:val="-6"/>
          <w:sz w:val="30"/>
          <w:szCs w:val="30"/>
        </w:rPr>
      </w:pPr>
      <w:r>
        <w:rPr>
          <w:rFonts w:ascii="楷体" w:hAnsi="楷体" w:eastAsia="楷体"/>
          <w:b/>
          <w:spacing w:val="-6"/>
          <w:sz w:val="30"/>
          <w:szCs w:val="30"/>
        </w:rPr>
        <w:br w:type="page"/>
      </w:r>
    </w:p>
    <w:p w14:paraId="6FB3E8EA">
      <w:pPr>
        <w:adjustRightInd w:val="0"/>
        <w:snapToGrid w:val="0"/>
        <w:spacing w:line="288" w:lineRule="auto"/>
        <w:rPr>
          <w:rFonts w:ascii="楷体" w:hAnsi="楷体" w:eastAsia="楷体"/>
          <w:b/>
          <w:spacing w:val="-6"/>
          <w:sz w:val="30"/>
          <w:szCs w:val="30"/>
        </w:rPr>
      </w:pPr>
    </w:p>
    <w:p w14:paraId="583BDA4C">
      <w:pPr>
        <w:pStyle w:val="12"/>
        <w:adjustRightInd w:val="0"/>
        <w:snapToGrid w:val="0"/>
        <w:spacing w:beforeLines="0" w:afterLines="0" w:line="288" w:lineRule="auto"/>
        <w:jc w:val="center"/>
        <w:outlineLvl w:val="0"/>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 xml:space="preserve"> 录</w:t>
      </w:r>
    </w:p>
    <w:p w14:paraId="072731F3">
      <w:pPr>
        <w:pStyle w:val="12"/>
        <w:adjustRightInd w:val="0"/>
        <w:snapToGrid w:val="0"/>
        <w:spacing w:beforeLines="0" w:afterLines="0" w:line="288" w:lineRule="auto"/>
        <w:rPr>
          <w:rFonts w:ascii="楷体" w:hAnsi="楷体" w:eastAsia="楷体"/>
          <w:b/>
          <w:sz w:val="30"/>
          <w:szCs w:val="30"/>
        </w:rPr>
      </w:pPr>
    </w:p>
    <w:p w14:paraId="1C7E6152">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采购邀请</w:t>
      </w:r>
    </w:p>
    <w:p w14:paraId="33DE2F98">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14:paraId="4B8770F2">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供应商须知</w:t>
      </w:r>
    </w:p>
    <w:p w14:paraId="11A2F428">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评审方法和评审标准</w:t>
      </w:r>
    </w:p>
    <w:p w14:paraId="27C8E01D">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第五章</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14:paraId="20C49C78">
      <w:pPr>
        <w:tabs>
          <w:tab w:val="left" w:pos="1440"/>
        </w:tabs>
        <w:adjustRightInd w:val="0"/>
        <w:snapToGrid w:val="0"/>
        <w:spacing w:line="288" w:lineRule="auto"/>
        <w:ind w:left="284"/>
        <w:rPr>
          <w:rFonts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响应文件格式</w:t>
      </w:r>
    </w:p>
    <w:p w14:paraId="0FBB5ACE">
      <w:pPr>
        <w:tabs>
          <w:tab w:val="left" w:pos="1440"/>
        </w:tabs>
        <w:adjustRightInd w:val="0"/>
        <w:snapToGrid w:val="0"/>
        <w:spacing w:line="288" w:lineRule="auto"/>
        <w:ind w:left="284"/>
        <w:rPr>
          <w:rFonts w:ascii="宋体" w:hAnsi="宋体"/>
          <w:b/>
          <w:spacing w:val="-6"/>
          <w:sz w:val="30"/>
          <w:szCs w:val="30"/>
        </w:rPr>
      </w:pPr>
    </w:p>
    <w:p w14:paraId="6795D503">
      <w:pPr>
        <w:pStyle w:val="12"/>
        <w:adjustRightInd w:val="0"/>
        <w:snapToGrid w:val="0"/>
        <w:spacing w:beforeLines="0" w:afterLines="0" w:line="288" w:lineRule="auto"/>
        <w:jc w:val="center"/>
        <w:outlineLvl w:val="0"/>
        <w:rPr>
          <w:rFonts w:hAnsi="宋体"/>
          <w:sz w:val="21"/>
          <w:szCs w:val="21"/>
        </w:rPr>
        <w:sectPr>
          <w:headerReference r:id="rId3" w:type="default"/>
          <w:footerReference r:id="rId4" w:type="default"/>
          <w:pgSz w:w="11906" w:h="16838"/>
          <w:pgMar w:top="1247" w:right="1247" w:bottom="1247" w:left="1247" w:header="0" w:footer="782" w:gutter="0"/>
          <w:cols w:space="720" w:num="1"/>
          <w:docGrid w:linePitch="381" w:charSpace="0"/>
        </w:sectPr>
      </w:pPr>
    </w:p>
    <w:p w14:paraId="5D599A52">
      <w:pPr>
        <w:pStyle w:val="12"/>
        <w:adjustRightInd w:val="0"/>
        <w:snapToGrid w:val="0"/>
        <w:spacing w:beforeLines="0" w:afterLines="0" w:line="288" w:lineRule="auto"/>
        <w:jc w:val="center"/>
        <w:outlineLvl w:val="0"/>
        <w:rPr>
          <w:rFonts w:hAnsi="宋体"/>
          <w:b/>
          <w:spacing w:val="-6"/>
          <w:sz w:val="32"/>
          <w:szCs w:val="32"/>
        </w:rPr>
      </w:pPr>
      <w:r>
        <w:rPr>
          <w:rFonts w:hAnsi="宋体"/>
          <w:b/>
          <w:spacing w:val="-6"/>
          <w:sz w:val="32"/>
          <w:szCs w:val="32"/>
        </w:rPr>
        <w:t>第一章  采购邀请</w:t>
      </w:r>
    </w:p>
    <w:p w14:paraId="00B693EF">
      <w:pPr>
        <w:adjustRightInd w:val="0"/>
        <w:snapToGrid w:val="0"/>
        <w:spacing w:line="288" w:lineRule="auto"/>
        <w:ind w:firstLine="200"/>
        <w:rPr>
          <w:rFonts w:ascii="宋体" w:hAnsi="宋体"/>
          <w:b/>
          <w:sz w:val="21"/>
          <w:szCs w:val="21"/>
        </w:rPr>
      </w:pPr>
      <w:bookmarkStart w:id="0" w:name="_Toc28359002"/>
      <w:bookmarkStart w:id="1" w:name="_Toc35393621"/>
      <w:bookmarkStart w:id="2" w:name="_Toc35393790"/>
      <w:bookmarkStart w:id="3" w:name="_Toc28359079"/>
      <w:bookmarkStart w:id="4" w:name="_Hlk24379207"/>
    </w:p>
    <w:p w14:paraId="55A149A1">
      <w:pPr>
        <w:adjustRightInd w:val="0"/>
        <w:snapToGrid w:val="0"/>
        <w:spacing w:line="288" w:lineRule="auto"/>
        <w:ind w:firstLine="200"/>
        <w:rPr>
          <w:rFonts w:ascii="宋体" w:hAnsi="宋体"/>
          <w:b/>
          <w:sz w:val="21"/>
          <w:szCs w:val="21"/>
        </w:rPr>
      </w:pPr>
      <w:r>
        <w:rPr>
          <w:rFonts w:hint="eastAsia" w:ascii="宋体" w:hAnsi="宋体"/>
          <w:b/>
          <w:sz w:val="21"/>
          <w:szCs w:val="21"/>
        </w:rPr>
        <w:t>一、项目基本情况</w:t>
      </w:r>
      <w:bookmarkEnd w:id="0"/>
      <w:bookmarkEnd w:id="1"/>
      <w:bookmarkEnd w:id="2"/>
      <w:bookmarkEnd w:id="3"/>
    </w:p>
    <w:p w14:paraId="1F55AECA">
      <w:pPr>
        <w:adjustRightInd w:val="0"/>
        <w:snapToGrid w:val="0"/>
        <w:spacing w:line="288" w:lineRule="auto"/>
        <w:ind w:firstLine="420" w:firstLineChars="200"/>
        <w:rPr>
          <w:rFonts w:hint="eastAsia" w:ascii="宋体" w:hAnsi="宋体" w:eastAsia="宋体"/>
          <w:sz w:val="21"/>
          <w:szCs w:val="21"/>
          <w:lang w:eastAsia="zh-CN"/>
        </w:rPr>
      </w:pPr>
      <w:r>
        <w:rPr>
          <w:rFonts w:hint="eastAsia" w:ascii="宋体" w:hAnsi="宋体"/>
          <w:sz w:val="21"/>
          <w:szCs w:val="21"/>
        </w:rPr>
        <w:t>1.项目编号：</w:t>
      </w:r>
      <w:r>
        <w:rPr>
          <w:rFonts w:hint="eastAsia" w:ascii="宋体" w:hAnsi="宋体"/>
          <w:sz w:val="21"/>
          <w:szCs w:val="21"/>
          <w:lang w:eastAsia="zh-CN"/>
        </w:rPr>
        <w:t>QSZB-F(H)-A24571(CS)</w:t>
      </w:r>
    </w:p>
    <w:p w14:paraId="1766FEA5">
      <w:pPr>
        <w:adjustRightInd w:val="0"/>
        <w:snapToGrid w:val="0"/>
        <w:spacing w:line="288" w:lineRule="auto"/>
        <w:ind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.项目名称：</w:t>
      </w:r>
      <w:r>
        <w:rPr>
          <w:rFonts w:hint="eastAsia" w:ascii="宋体" w:hAnsi="宋体"/>
          <w:sz w:val="21"/>
          <w:szCs w:val="21"/>
          <w:highlight w:val="none"/>
          <w:lang w:eastAsia="zh-CN"/>
        </w:rPr>
        <w:t>双光子光致发光显微成像系统</w:t>
      </w:r>
      <w:r>
        <w:rPr>
          <w:rFonts w:hint="eastAsia" w:ascii="宋体" w:hAnsi="宋体"/>
          <w:sz w:val="21"/>
          <w:szCs w:val="21"/>
          <w:highlight w:val="none"/>
        </w:rPr>
        <w:t>（非政府采购项目）</w:t>
      </w:r>
    </w:p>
    <w:p w14:paraId="346B00F0">
      <w:pPr>
        <w:adjustRightInd w:val="0"/>
        <w:snapToGrid w:val="0"/>
        <w:spacing w:line="288" w:lineRule="auto"/>
        <w:ind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.采购方式：竞争性磋商</w:t>
      </w:r>
    </w:p>
    <w:bookmarkEnd w:id="4"/>
    <w:p w14:paraId="11C4A7FD">
      <w:pPr>
        <w:adjustRightInd w:val="0"/>
        <w:snapToGrid w:val="0"/>
        <w:spacing w:line="288" w:lineRule="auto"/>
        <w:ind w:firstLine="420" w:firstLineChars="200"/>
        <w:rPr>
          <w:rFonts w:hint="eastAsia" w:ascii="宋体" w:hAnsi="宋体" w:eastAsia="宋体"/>
          <w:sz w:val="21"/>
          <w:szCs w:val="21"/>
          <w:highlight w:val="none"/>
          <w:u w:val="single"/>
          <w:lang w:eastAsia="zh-CN"/>
        </w:rPr>
      </w:pPr>
      <w:r>
        <w:rPr>
          <w:rFonts w:ascii="宋体" w:hAnsi="宋体"/>
          <w:sz w:val="21"/>
          <w:szCs w:val="21"/>
          <w:highlight w:val="none"/>
        </w:rPr>
        <w:t>4</w:t>
      </w:r>
      <w:r>
        <w:rPr>
          <w:rFonts w:hint="eastAsia" w:ascii="宋体" w:hAnsi="宋体"/>
          <w:sz w:val="21"/>
          <w:szCs w:val="21"/>
          <w:highlight w:val="none"/>
        </w:rPr>
        <w:t>.合同履约期限：</w:t>
      </w:r>
      <w:r>
        <w:rPr>
          <w:rFonts w:hint="eastAsia" w:ascii="宋体" w:hAnsi="宋体"/>
          <w:sz w:val="21"/>
          <w:szCs w:val="21"/>
          <w:highlight w:val="none"/>
          <w:lang w:eastAsia="zh-CN"/>
        </w:rPr>
        <w:t>合同生效后90天内</w:t>
      </w:r>
    </w:p>
    <w:p w14:paraId="626322FE">
      <w:pPr>
        <w:adjustRightInd w:val="0"/>
        <w:snapToGrid w:val="0"/>
        <w:spacing w:line="288" w:lineRule="auto"/>
        <w:ind w:firstLine="420" w:firstLineChars="200"/>
        <w:rPr>
          <w:rFonts w:ascii="宋体" w:hAnsi="宋体"/>
          <w:bCs/>
          <w:sz w:val="21"/>
          <w:szCs w:val="21"/>
        </w:rPr>
      </w:pPr>
      <w:r>
        <w:rPr>
          <w:rFonts w:ascii="宋体" w:hAnsi="宋体"/>
          <w:bCs/>
          <w:sz w:val="21"/>
          <w:szCs w:val="21"/>
        </w:rPr>
        <w:t>5</w:t>
      </w:r>
      <w:r>
        <w:rPr>
          <w:rFonts w:hint="eastAsia" w:ascii="宋体" w:hAnsi="宋体"/>
          <w:bCs/>
          <w:sz w:val="21"/>
          <w:szCs w:val="21"/>
        </w:rPr>
        <w:t>.本项目不接受联合体响应。</w:t>
      </w:r>
    </w:p>
    <w:p w14:paraId="07C62EB7">
      <w:pPr>
        <w:adjustRightInd w:val="0"/>
        <w:snapToGrid w:val="0"/>
        <w:spacing w:line="288" w:lineRule="auto"/>
        <w:ind w:firstLine="420" w:firstLineChars="200"/>
        <w:rPr>
          <w:rFonts w:ascii="宋体" w:hAnsi="宋体"/>
          <w:sz w:val="21"/>
          <w:szCs w:val="21"/>
        </w:rPr>
      </w:pPr>
      <w:r>
        <w:rPr>
          <w:rFonts w:ascii="宋体" w:hAnsi="宋体"/>
          <w:sz w:val="21"/>
          <w:szCs w:val="21"/>
        </w:rPr>
        <w:t>6</w:t>
      </w:r>
      <w:r>
        <w:rPr>
          <w:rFonts w:hint="eastAsia" w:ascii="宋体" w:hAnsi="宋体"/>
          <w:sz w:val="21"/>
          <w:szCs w:val="21"/>
        </w:rPr>
        <w:t>.采购需求：</w:t>
      </w:r>
    </w:p>
    <w:tbl>
      <w:tblPr>
        <w:tblStyle w:val="21"/>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85"/>
        <w:gridCol w:w="708"/>
        <w:gridCol w:w="709"/>
        <w:gridCol w:w="1702"/>
        <w:gridCol w:w="1276"/>
        <w:gridCol w:w="1276"/>
        <w:gridCol w:w="1276"/>
      </w:tblGrid>
      <w:tr w14:paraId="3A907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685B18E4">
            <w:pPr>
              <w:adjustRightInd w:val="0"/>
              <w:snapToGrid w:val="0"/>
              <w:spacing w:line="288" w:lineRule="auto"/>
              <w:jc w:val="center"/>
              <w:rPr>
                <w:rFonts w:ascii="宋体" w:hAnsi="宋体" w:cs="宋体"/>
                <w:b/>
                <w:bCs/>
                <w:sz w:val="21"/>
                <w:szCs w:val="21"/>
              </w:rPr>
            </w:pPr>
            <w:bookmarkStart w:id="5" w:name="_Toc35393791"/>
            <w:bookmarkStart w:id="6" w:name="_Toc35393622"/>
            <w:bookmarkStart w:id="7" w:name="_Toc28359003"/>
            <w:bookmarkStart w:id="8" w:name="_Toc28359080"/>
            <w:r>
              <w:rPr>
                <w:rFonts w:hint="eastAsia" w:ascii="宋体" w:hAnsi="宋体" w:cs="宋体"/>
                <w:b/>
                <w:bCs/>
                <w:sz w:val="21"/>
                <w:szCs w:val="21"/>
                <w:highlight w:val="none"/>
              </w:rPr>
              <w:t>序号</w:t>
            </w:r>
          </w:p>
        </w:tc>
        <w:tc>
          <w:tcPr>
            <w:tcW w:w="1985" w:type="dxa"/>
            <w:tcBorders>
              <w:right w:val="single" w:color="auto" w:sz="4" w:space="0"/>
              <w:tl2br w:val="nil"/>
              <w:tr2bl w:val="nil"/>
            </w:tcBorders>
            <w:vAlign w:val="center"/>
          </w:tcPr>
          <w:p w14:paraId="2E18CC10">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708" w:type="dxa"/>
            <w:tcBorders>
              <w:tl2br w:val="nil"/>
              <w:tr2bl w:val="nil"/>
            </w:tcBorders>
            <w:vAlign w:val="center"/>
          </w:tcPr>
          <w:p w14:paraId="068E96CE">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09" w:type="dxa"/>
            <w:tcBorders>
              <w:tl2br w:val="nil"/>
              <w:tr2bl w:val="nil"/>
            </w:tcBorders>
            <w:vAlign w:val="center"/>
          </w:tcPr>
          <w:p w14:paraId="777CBEFB">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1702" w:type="dxa"/>
            <w:tcBorders>
              <w:right w:val="single" w:color="auto" w:sz="4" w:space="0"/>
              <w:tl2br w:val="nil"/>
              <w:tr2bl w:val="nil"/>
            </w:tcBorders>
            <w:vAlign w:val="center"/>
          </w:tcPr>
          <w:p w14:paraId="7135A9D7">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简要技术需求或服务要求</w:t>
            </w:r>
          </w:p>
        </w:tc>
        <w:tc>
          <w:tcPr>
            <w:tcW w:w="1276" w:type="dxa"/>
            <w:tcBorders>
              <w:tl2br w:val="nil"/>
              <w:tr2bl w:val="nil"/>
            </w:tcBorders>
            <w:vAlign w:val="center"/>
          </w:tcPr>
          <w:p w14:paraId="6CECA52F">
            <w:pPr>
              <w:adjustRightInd w:val="0"/>
              <w:snapToGrid w:val="0"/>
              <w:spacing w:line="288" w:lineRule="auto"/>
              <w:jc w:val="center"/>
              <w:rPr>
                <w:rFonts w:ascii="宋体" w:hAnsi="宋体" w:cs="宋体"/>
                <w:b/>
                <w:sz w:val="21"/>
                <w:szCs w:val="21"/>
              </w:rPr>
            </w:pPr>
            <w:r>
              <w:rPr>
                <w:rFonts w:hint="eastAsia" w:ascii="宋体" w:hAnsi="宋体" w:cs="宋体"/>
                <w:b/>
                <w:sz w:val="21"/>
                <w:szCs w:val="21"/>
              </w:rPr>
              <w:t>是否允许采购进口产品</w:t>
            </w:r>
          </w:p>
        </w:tc>
        <w:tc>
          <w:tcPr>
            <w:tcW w:w="1276" w:type="dxa"/>
            <w:tcBorders>
              <w:tl2br w:val="nil"/>
              <w:tr2bl w:val="nil"/>
            </w:tcBorders>
            <w:vAlign w:val="center"/>
          </w:tcPr>
          <w:p w14:paraId="3529D150">
            <w:pPr>
              <w:adjustRightInd w:val="0"/>
              <w:snapToGrid w:val="0"/>
              <w:spacing w:line="288" w:lineRule="auto"/>
              <w:jc w:val="center"/>
              <w:rPr>
                <w:rFonts w:ascii="宋体" w:hAnsi="宋体" w:cs="宋体"/>
                <w:b/>
                <w:sz w:val="21"/>
                <w:szCs w:val="21"/>
              </w:rPr>
            </w:pPr>
            <w:r>
              <w:rPr>
                <w:rFonts w:hint="eastAsia" w:ascii="宋体" w:hAnsi="宋体" w:cs="宋体"/>
                <w:b/>
                <w:sz w:val="21"/>
                <w:szCs w:val="21"/>
              </w:rPr>
              <w:t>预算金额</w:t>
            </w:r>
          </w:p>
          <w:p w14:paraId="7E4BA6C9">
            <w:pPr>
              <w:adjustRightInd w:val="0"/>
              <w:snapToGrid w:val="0"/>
              <w:spacing w:line="288" w:lineRule="auto"/>
              <w:jc w:val="center"/>
              <w:rPr>
                <w:rFonts w:ascii="宋体" w:hAnsi="宋体" w:cs="宋体"/>
                <w:b/>
                <w:sz w:val="21"/>
                <w:szCs w:val="21"/>
              </w:rPr>
            </w:pPr>
            <w:r>
              <w:rPr>
                <w:rFonts w:hint="eastAsia" w:ascii="宋体" w:hAnsi="宋体" w:cs="宋体"/>
                <w:b/>
                <w:sz w:val="21"/>
                <w:szCs w:val="21"/>
              </w:rPr>
              <w:t>（万元）</w:t>
            </w:r>
          </w:p>
        </w:tc>
        <w:tc>
          <w:tcPr>
            <w:tcW w:w="1276" w:type="dxa"/>
            <w:tcBorders>
              <w:right w:val="single" w:color="auto" w:sz="4" w:space="0"/>
              <w:tl2br w:val="nil"/>
              <w:tr2bl w:val="nil"/>
            </w:tcBorders>
            <w:vAlign w:val="center"/>
          </w:tcPr>
          <w:p w14:paraId="03AB3EC0">
            <w:pPr>
              <w:adjustRightInd w:val="0"/>
              <w:snapToGrid w:val="0"/>
              <w:spacing w:line="288" w:lineRule="auto"/>
              <w:jc w:val="center"/>
              <w:rPr>
                <w:rFonts w:ascii="宋体" w:hAnsi="宋体" w:cs="宋体"/>
                <w:b/>
                <w:sz w:val="21"/>
                <w:szCs w:val="21"/>
              </w:rPr>
            </w:pPr>
            <w:r>
              <w:rPr>
                <w:rFonts w:hint="eastAsia" w:ascii="宋体" w:hAnsi="宋体" w:cs="宋体"/>
                <w:b/>
                <w:sz w:val="21"/>
                <w:szCs w:val="21"/>
              </w:rPr>
              <w:t>最高限价</w:t>
            </w:r>
          </w:p>
          <w:p w14:paraId="27C1F1C0">
            <w:pPr>
              <w:adjustRightInd w:val="0"/>
              <w:snapToGrid w:val="0"/>
              <w:spacing w:line="288" w:lineRule="auto"/>
              <w:jc w:val="center"/>
              <w:rPr>
                <w:rFonts w:ascii="宋体" w:hAnsi="宋体" w:cs="宋体"/>
                <w:b/>
                <w:bCs/>
                <w:sz w:val="21"/>
                <w:szCs w:val="21"/>
              </w:rPr>
            </w:pPr>
            <w:r>
              <w:rPr>
                <w:rFonts w:hint="eastAsia" w:ascii="宋体" w:hAnsi="宋体" w:cs="宋体"/>
                <w:b/>
                <w:sz w:val="21"/>
                <w:szCs w:val="21"/>
              </w:rPr>
              <w:t>（万元）</w:t>
            </w:r>
          </w:p>
        </w:tc>
      </w:tr>
      <w:tr w14:paraId="6D340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9126204">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一</w:t>
            </w:r>
          </w:p>
        </w:tc>
        <w:tc>
          <w:tcPr>
            <w:tcW w:w="1985" w:type="dxa"/>
            <w:tcBorders>
              <w:right w:val="single" w:color="auto" w:sz="4" w:space="0"/>
              <w:tl2br w:val="nil"/>
              <w:tr2bl w:val="nil"/>
            </w:tcBorders>
            <w:vAlign w:val="center"/>
          </w:tcPr>
          <w:p w14:paraId="6EBE7094">
            <w:pPr>
              <w:adjustRightInd w:val="0"/>
              <w:snapToGrid w:val="0"/>
              <w:spacing w:line="288" w:lineRule="auto"/>
              <w:jc w:val="center"/>
              <w:rPr>
                <w:rFonts w:ascii="宋体" w:hAnsi="宋体" w:cs="宋体"/>
                <w:bCs/>
                <w:sz w:val="21"/>
                <w:szCs w:val="21"/>
              </w:rPr>
            </w:pPr>
            <w:r>
              <w:rPr>
                <w:rFonts w:hint="eastAsia" w:ascii="宋体" w:hAnsi="宋体"/>
                <w:sz w:val="21"/>
                <w:szCs w:val="21"/>
                <w:highlight w:val="none"/>
                <w:lang w:eastAsia="zh-CN"/>
              </w:rPr>
              <w:t>双光子光致发光显微成像系统</w:t>
            </w:r>
          </w:p>
        </w:tc>
        <w:tc>
          <w:tcPr>
            <w:tcW w:w="708" w:type="dxa"/>
            <w:tcBorders>
              <w:tl2br w:val="nil"/>
              <w:tr2bl w:val="nil"/>
            </w:tcBorders>
            <w:vAlign w:val="center"/>
          </w:tcPr>
          <w:p w14:paraId="7B67942F">
            <w:pPr>
              <w:adjustRightInd w:val="0"/>
              <w:snapToGrid w:val="0"/>
              <w:spacing w:line="288" w:lineRule="auto"/>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709" w:type="dxa"/>
            <w:tcBorders>
              <w:tl2br w:val="nil"/>
              <w:tr2bl w:val="nil"/>
            </w:tcBorders>
            <w:vAlign w:val="center"/>
          </w:tcPr>
          <w:p w14:paraId="4DFD91F3">
            <w:pPr>
              <w:adjustRightInd w:val="0"/>
              <w:snapToGrid w:val="0"/>
              <w:spacing w:line="288" w:lineRule="auto"/>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台</w:t>
            </w:r>
          </w:p>
        </w:tc>
        <w:tc>
          <w:tcPr>
            <w:tcW w:w="1702" w:type="dxa"/>
            <w:tcBorders>
              <w:right w:val="single" w:color="auto" w:sz="4" w:space="0"/>
              <w:tl2br w:val="nil"/>
              <w:tr2bl w:val="nil"/>
            </w:tcBorders>
            <w:vAlign w:val="center"/>
          </w:tcPr>
          <w:p w14:paraId="09AD6D9B">
            <w:pPr>
              <w:adjustRightInd w:val="0"/>
              <w:snapToGrid w:val="0"/>
              <w:spacing w:line="288" w:lineRule="auto"/>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详见采购需求</w:t>
            </w:r>
          </w:p>
        </w:tc>
        <w:tc>
          <w:tcPr>
            <w:tcW w:w="1276" w:type="dxa"/>
            <w:tcBorders>
              <w:tl2br w:val="nil"/>
              <w:tr2bl w:val="nil"/>
            </w:tcBorders>
            <w:vAlign w:val="center"/>
          </w:tcPr>
          <w:p w14:paraId="5A7C49D6">
            <w:pPr>
              <w:adjustRightInd w:val="0"/>
              <w:snapToGrid w:val="0"/>
              <w:spacing w:line="288"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否</w:t>
            </w:r>
          </w:p>
        </w:tc>
        <w:tc>
          <w:tcPr>
            <w:tcW w:w="1276" w:type="dxa"/>
            <w:tcBorders>
              <w:tl2br w:val="nil"/>
              <w:tr2bl w:val="nil"/>
            </w:tcBorders>
            <w:vAlign w:val="center"/>
          </w:tcPr>
          <w:p w14:paraId="103887FA">
            <w:pPr>
              <w:adjustRightInd w:val="0"/>
              <w:snapToGrid w:val="0"/>
              <w:spacing w:line="288" w:lineRule="auto"/>
              <w:jc w:val="center"/>
              <w:rPr>
                <w:rFonts w:ascii="宋体" w:hAnsi="宋体" w:cs="宋体"/>
                <w:sz w:val="21"/>
                <w:szCs w:val="21"/>
              </w:rPr>
            </w:pPr>
            <w:r>
              <w:rPr>
                <w:rFonts w:hint="eastAsia" w:ascii="宋体" w:hAnsi="宋体" w:cs="宋体"/>
                <w:sz w:val="21"/>
                <w:szCs w:val="21"/>
              </w:rPr>
              <w:t>264</w:t>
            </w:r>
          </w:p>
        </w:tc>
        <w:tc>
          <w:tcPr>
            <w:tcW w:w="1276" w:type="dxa"/>
            <w:tcBorders>
              <w:right w:val="single" w:color="auto" w:sz="4" w:space="0"/>
              <w:tl2br w:val="nil"/>
              <w:tr2bl w:val="nil"/>
            </w:tcBorders>
            <w:vAlign w:val="center"/>
          </w:tcPr>
          <w:p w14:paraId="7E3B03EE">
            <w:pPr>
              <w:adjustRightInd w:val="0"/>
              <w:snapToGrid w:val="0"/>
              <w:spacing w:line="288" w:lineRule="auto"/>
              <w:jc w:val="center"/>
              <w:rPr>
                <w:rFonts w:ascii="宋体" w:hAnsi="宋体" w:cs="宋体"/>
                <w:sz w:val="21"/>
                <w:szCs w:val="21"/>
              </w:rPr>
            </w:pPr>
            <w:r>
              <w:rPr>
                <w:rFonts w:hint="eastAsia" w:ascii="宋体" w:hAnsi="宋体" w:cs="宋体"/>
                <w:sz w:val="21"/>
                <w:szCs w:val="21"/>
              </w:rPr>
              <w:t>264</w:t>
            </w:r>
          </w:p>
        </w:tc>
      </w:tr>
    </w:tbl>
    <w:p w14:paraId="4C81B046">
      <w:pPr>
        <w:adjustRightInd w:val="0"/>
        <w:snapToGrid w:val="0"/>
        <w:spacing w:line="288" w:lineRule="auto"/>
        <w:ind w:firstLine="200"/>
        <w:rPr>
          <w:rFonts w:ascii="宋体" w:hAnsi="宋体"/>
          <w:b/>
          <w:sz w:val="21"/>
          <w:szCs w:val="21"/>
        </w:rPr>
      </w:pPr>
      <w:r>
        <w:rPr>
          <w:rFonts w:hint="eastAsia" w:ascii="宋体" w:hAnsi="宋体"/>
          <w:b/>
          <w:sz w:val="21"/>
          <w:szCs w:val="21"/>
        </w:rPr>
        <w:t>二、申请人的资格要求：</w:t>
      </w:r>
      <w:bookmarkEnd w:id="5"/>
      <w:bookmarkEnd w:id="6"/>
      <w:bookmarkEnd w:id="7"/>
      <w:bookmarkEnd w:id="8"/>
    </w:p>
    <w:p w14:paraId="1A2AA697">
      <w:pPr>
        <w:adjustRightInd w:val="0"/>
        <w:snapToGrid w:val="0"/>
        <w:spacing w:line="288" w:lineRule="auto"/>
        <w:ind w:firstLine="420" w:firstLineChars="200"/>
        <w:rPr>
          <w:rFonts w:ascii="宋体" w:hAnsi="宋体"/>
          <w:bCs/>
          <w:sz w:val="21"/>
          <w:szCs w:val="21"/>
        </w:rPr>
      </w:pPr>
      <w:bookmarkStart w:id="9" w:name="_Toc28359081"/>
      <w:bookmarkStart w:id="10" w:name="_Toc28359004"/>
      <w:r>
        <w:rPr>
          <w:rFonts w:hint="eastAsia" w:ascii="宋体" w:hAnsi="宋体"/>
          <w:bCs/>
          <w:sz w:val="21"/>
          <w:szCs w:val="21"/>
        </w:rPr>
        <w:t>1.基本要求：</w:t>
      </w:r>
    </w:p>
    <w:p w14:paraId="6D1D561D">
      <w:pPr>
        <w:adjustRightInd w:val="0"/>
        <w:snapToGrid w:val="0"/>
        <w:spacing w:line="288" w:lineRule="auto"/>
        <w:ind w:right="-84" w:rightChars="-30" w:firstLine="420" w:firstLineChars="200"/>
        <w:rPr>
          <w:rFonts w:ascii="宋体" w:hAnsi="宋体"/>
          <w:bCs/>
          <w:sz w:val="21"/>
          <w:szCs w:val="21"/>
        </w:rPr>
      </w:pPr>
      <w:r>
        <w:rPr>
          <w:rFonts w:hint="eastAsia" w:ascii="宋体" w:hAnsi="宋体"/>
          <w:bCs/>
          <w:sz w:val="21"/>
          <w:szCs w:val="21"/>
        </w:rPr>
        <w:t>（一）具有独立承担民事责任的能力；</w:t>
      </w:r>
    </w:p>
    <w:p w14:paraId="130D4461">
      <w:pPr>
        <w:adjustRightInd w:val="0"/>
        <w:snapToGrid w:val="0"/>
        <w:spacing w:line="288" w:lineRule="auto"/>
        <w:ind w:right="-84" w:rightChars="-30" w:firstLine="420" w:firstLineChars="200"/>
        <w:rPr>
          <w:rFonts w:ascii="宋体" w:hAnsi="宋体"/>
          <w:bCs/>
          <w:sz w:val="21"/>
          <w:szCs w:val="21"/>
        </w:rPr>
      </w:pPr>
      <w:r>
        <w:rPr>
          <w:rFonts w:hint="eastAsia" w:ascii="宋体" w:hAnsi="宋体"/>
          <w:bCs/>
          <w:sz w:val="21"/>
          <w:szCs w:val="21"/>
        </w:rPr>
        <w:t>（二）具有良好的商业信誉和健全的财务会计制度；</w:t>
      </w:r>
    </w:p>
    <w:p w14:paraId="35ABF6D6">
      <w:pPr>
        <w:adjustRightInd w:val="0"/>
        <w:snapToGrid w:val="0"/>
        <w:spacing w:line="288" w:lineRule="auto"/>
        <w:ind w:right="-84" w:rightChars="-30" w:firstLine="420" w:firstLineChars="200"/>
        <w:rPr>
          <w:rFonts w:ascii="宋体" w:hAnsi="宋体"/>
          <w:bCs/>
          <w:sz w:val="21"/>
          <w:szCs w:val="21"/>
        </w:rPr>
      </w:pPr>
      <w:r>
        <w:rPr>
          <w:rFonts w:hint="eastAsia" w:ascii="宋体" w:hAnsi="宋体"/>
          <w:bCs/>
          <w:sz w:val="21"/>
          <w:szCs w:val="21"/>
        </w:rPr>
        <w:t>（三）具有履行合同所必需的设备和专业技术能力；</w:t>
      </w:r>
    </w:p>
    <w:p w14:paraId="21040F60">
      <w:pPr>
        <w:adjustRightInd w:val="0"/>
        <w:snapToGrid w:val="0"/>
        <w:spacing w:line="288" w:lineRule="auto"/>
        <w:ind w:right="-84" w:rightChars="-30" w:firstLine="420" w:firstLineChars="200"/>
        <w:rPr>
          <w:rFonts w:ascii="宋体" w:hAnsi="宋体"/>
          <w:bCs/>
          <w:sz w:val="21"/>
          <w:szCs w:val="21"/>
        </w:rPr>
      </w:pPr>
      <w:r>
        <w:rPr>
          <w:rFonts w:hint="eastAsia" w:ascii="宋体" w:hAnsi="宋体"/>
          <w:bCs/>
          <w:sz w:val="21"/>
          <w:szCs w:val="21"/>
        </w:rPr>
        <w:t>（四）有依法缴纳税收和社会保障资金的良好记录；</w:t>
      </w:r>
    </w:p>
    <w:p w14:paraId="4F575606">
      <w:pPr>
        <w:adjustRightInd w:val="0"/>
        <w:snapToGrid w:val="0"/>
        <w:spacing w:line="288" w:lineRule="auto"/>
        <w:ind w:right="-84" w:rightChars="-30" w:firstLine="420" w:firstLineChars="200"/>
        <w:rPr>
          <w:rFonts w:ascii="宋体" w:hAnsi="宋体"/>
          <w:bCs/>
          <w:sz w:val="21"/>
          <w:szCs w:val="21"/>
        </w:rPr>
      </w:pPr>
      <w:r>
        <w:rPr>
          <w:rFonts w:hint="eastAsia" w:ascii="宋体" w:hAnsi="宋体"/>
          <w:bCs/>
          <w:sz w:val="21"/>
          <w:szCs w:val="21"/>
        </w:rPr>
        <w:t>（五）参加采购活动前三年内，在经营活动中没有重大违法记录；</w:t>
      </w:r>
    </w:p>
    <w:p w14:paraId="30D1B495">
      <w:pPr>
        <w:adjustRightInd w:val="0"/>
        <w:snapToGrid w:val="0"/>
        <w:spacing w:line="288" w:lineRule="auto"/>
        <w:ind w:right="-84" w:rightChars="-30" w:firstLine="420" w:firstLineChars="200"/>
        <w:rPr>
          <w:rFonts w:ascii="宋体" w:hAnsi="宋体"/>
          <w:bCs/>
          <w:sz w:val="21"/>
          <w:szCs w:val="21"/>
        </w:rPr>
      </w:pPr>
      <w:r>
        <w:rPr>
          <w:rFonts w:hint="eastAsia" w:ascii="宋体" w:hAnsi="宋体"/>
          <w:bCs/>
          <w:sz w:val="21"/>
          <w:szCs w:val="21"/>
        </w:rPr>
        <w:t>（六）法律、行政法规规定的其他条件。</w:t>
      </w:r>
    </w:p>
    <w:p w14:paraId="55D74ECB">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未被“信用中国”（www.creditchina.gov.cn）、中国政府采购网（www.ccgp.gov.cn）列入失信被执行人、重大税收违法案件当事人名单、政府采购严重违法失信行为记录名单。</w:t>
      </w:r>
    </w:p>
    <w:p w14:paraId="7FB208D0">
      <w:pPr>
        <w:adjustRightInd w:val="0"/>
        <w:snapToGrid w:val="0"/>
        <w:spacing w:line="288" w:lineRule="auto"/>
        <w:ind w:firstLine="420" w:firstLineChars="200"/>
        <w:rPr>
          <w:rFonts w:hint="eastAsia" w:ascii="宋体" w:hAnsi="宋体" w:eastAsia="宋体"/>
          <w:sz w:val="21"/>
          <w:szCs w:val="21"/>
          <w:highlight w:val="none"/>
          <w:u w:val="single"/>
          <w:lang w:val="en-US" w:eastAsia="zh-CN"/>
        </w:rPr>
      </w:pPr>
      <w:r>
        <w:rPr>
          <w:rFonts w:ascii="宋体" w:hAnsi="宋体"/>
          <w:sz w:val="21"/>
          <w:szCs w:val="21"/>
          <w:highlight w:val="none"/>
        </w:rPr>
        <w:t>2</w:t>
      </w:r>
      <w:r>
        <w:rPr>
          <w:rFonts w:hint="eastAsia" w:ascii="宋体" w:hAnsi="宋体"/>
          <w:sz w:val="21"/>
          <w:szCs w:val="21"/>
          <w:highlight w:val="none"/>
        </w:rPr>
        <w:t>.特定资格要求：</w:t>
      </w:r>
      <w:r>
        <w:rPr>
          <w:rFonts w:hint="eastAsia" w:ascii="宋体" w:hAnsi="宋体"/>
          <w:sz w:val="21"/>
          <w:szCs w:val="21"/>
          <w:highlight w:val="none"/>
          <w:lang w:val="en-US" w:eastAsia="zh-CN"/>
        </w:rPr>
        <w:t>无</w:t>
      </w:r>
    </w:p>
    <w:p w14:paraId="6B443C89">
      <w:pPr>
        <w:adjustRightInd w:val="0"/>
        <w:snapToGrid w:val="0"/>
        <w:spacing w:line="288" w:lineRule="auto"/>
        <w:ind w:firstLine="200"/>
        <w:rPr>
          <w:rFonts w:ascii="宋体" w:hAnsi="宋体"/>
          <w:b/>
          <w:sz w:val="21"/>
          <w:szCs w:val="21"/>
        </w:rPr>
      </w:pPr>
      <w:bookmarkStart w:id="11" w:name="_Toc35393792"/>
      <w:bookmarkStart w:id="12" w:name="_Toc35393623"/>
      <w:r>
        <w:rPr>
          <w:rFonts w:hint="eastAsia" w:ascii="宋体" w:hAnsi="宋体"/>
          <w:b/>
          <w:sz w:val="21"/>
          <w:szCs w:val="21"/>
        </w:rPr>
        <w:t>三、获取采购文件</w:t>
      </w:r>
      <w:bookmarkEnd w:id="9"/>
      <w:bookmarkEnd w:id="10"/>
      <w:bookmarkEnd w:id="11"/>
      <w:bookmarkEnd w:id="12"/>
    </w:p>
    <w:p w14:paraId="1F655E5F">
      <w:pPr>
        <w:adjustRightInd w:val="0"/>
        <w:snapToGrid w:val="0"/>
        <w:spacing w:line="288" w:lineRule="auto"/>
        <w:ind w:firstLine="420" w:firstLineChars="200"/>
        <w:rPr>
          <w:rFonts w:ascii="宋体" w:hAnsi="宋体"/>
          <w:sz w:val="21"/>
          <w:szCs w:val="21"/>
        </w:rPr>
      </w:pPr>
      <w:bookmarkStart w:id="13" w:name="_Toc28359082"/>
      <w:bookmarkStart w:id="14" w:name="_Toc35393624"/>
      <w:bookmarkStart w:id="15" w:name="_Toc35393793"/>
      <w:bookmarkStart w:id="16" w:name="_Toc28359005"/>
      <w:r>
        <w:rPr>
          <w:rFonts w:hint="eastAsia" w:ascii="宋体" w:hAnsi="宋体"/>
          <w:sz w:val="21"/>
          <w:szCs w:val="21"/>
        </w:rPr>
        <w:t>1</w:t>
      </w:r>
      <w:r>
        <w:rPr>
          <w:rFonts w:ascii="宋体" w:hAnsi="宋体"/>
          <w:sz w:val="21"/>
          <w:szCs w:val="21"/>
        </w:rPr>
        <w:t>.</w:t>
      </w:r>
      <w:r>
        <w:rPr>
          <w:rFonts w:hint="eastAsia" w:ascii="宋体" w:hAnsi="宋体"/>
          <w:sz w:val="21"/>
          <w:szCs w:val="21"/>
        </w:rPr>
        <w:t>时间：202</w:t>
      </w:r>
      <w:r>
        <w:rPr>
          <w:rFonts w:hint="eastAsia" w:ascii="宋体" w:hAnsi="宋体"/>
          <w:sz w:val="21"/>
          <w:szCs w:val="21"/>
          <w:lang w:val="en-US" w:eastAsia="zh-CN"/>
        </w:rPr>
        <w:t>4</w:t>
      </w:r>
      <w:r>
        <w:rPr>
          <w:rFonts w:hint="eastAsia" w:ascii="宋体" w:hAnsi="宋体"/>
          <w:sz w:val="21"/>
          <w:szCs w:val="21"/>
        </w:rPr>
        <w:t>年</w:t>
      </w:r>
      <w:r>
        <w:rPr>
          <w:rFonts w:hint="eastAsia" w:ascii="宋体" w:hAnsi="宋体"/>
          <w:sz w:val="21"/>
          <w:szCs w:val="21"/>
          <w:lang w:val="en-US" w:eastAsia="zh-CN"/>
        </w:rPr>
        <w:t>12</w:t>
      </w:r>
      <w:r>
        <w:rPr>
          <w:rFonts w:hint="eastAsia" w:ascii="宋体" w:hAnsi="宋体"/>
          <w:sz w:val="21"/>
          <w:szCs w:val="21"/>
        </w:rPr>
        <w:t>月</w:t>
      </w:r>
      <w:r>
        <w:rPr>
          <w:rFonts w:hint="eastAsia" w:ascii="宋体" w:hAnsi="宋体"/>
          <w:sz w:val="21"/>
          <w:szCs w:val="21"/>
          <w:lang w:val="en-US" w:eastAsia="zh-CN"/>
        </w:rPr>
        <w:t>10</w:t>
      </w:r>
      <w:r>
        <w:rPr>
          <w:rFonts w:hint="eastAsia" w:ascii="宋体" w:hAnsi="宋体"/>
          <w:sz w:val="21"/>
          <w:szCs w:val="21"/>
        </w:rPr>
        <w:t>日至202</w:t>
      </w:r>
      <w:r>
        <w:rPr>
          <w:rFonts w:hint="eastAsia" w:ascii="宋体" w:hAnsi="宋体"/>
          <w:sz w:val="21"/>
          <w:szCs w:val="21"/>
          <w:lang w:val="en-US" w:eastAsia="zh-CN"/>
        </w:rPr>
        <w:t>4</w:t>
      </w:r>
      <w:r>
        <w:rPr>
          <w:rFonts w:hint="eastAsia" w:ascii="宋体" w:hAnsi="宋体"/>
          <w:sz w:val="21"/>
          <w:szCs w:val="21"/>
        </w:rPr>
        <w:t>年</w:t>
      </w:r>
      <w:r>
        <w:rPr>
          <w:rFonts w:hint="eastAsia" w:ascii="宋体" w:hAnsi="宋体"/>
          <w:sz w:val="21"/>
          <w:szCs w:val="21"/>
          <w:lang w:val="en-US" w:eastAsia="zh-CN"/>
        </w:rPr>
        <w:t>12</w:t>
      </w:r>
      <w:r>
        <w:rPr>
          <w:rFonts w:hint="eastAsia" w:ascii="宋体" w:hAnsi="宋体"/>
          <w:sz w:val="21"/>
          <w:szCs w:val="21"/>
        </w:rPr>
        <w:t>月</w:t>
      </w:r>
      <w:r>
        <w:rPr>
          <w:rFonts w:hint="eastAsia" w:ascii="宋体" w:hAnsi="宋体"/>
          <w:sz w:val="21"/>
          <w:szCs w:val="21"/>
          <w:lang w:val="en-US" w:eastAsia="zh-CN"/>
        </w:rPr>
        <w:t>23</w:t>
      </w:r>
      <w:r>
        <w:rPr>
          <w:rFonts w:hint="eastAsia" w:ascii="宋体" w:hAnsi="宋体"/>
          <w:sz w:val="21"/>
          <w:szCs w:val="21"/>
        </w:rPr>
        <w:t>日(双休日及法定节假日除外)</w:t>
      </w:r>
    </w:p>
    <w:p w14:paraId="3EAA0959">
      <w:pPr>
        <w:adjustRightInd w:val="0"/>
        <w:snapToGrid w:val="0"/>
        <w:spacing w:line="288" w:lineRule="auto"/>
        <w:ind w:firstLine="420" w:firstLineChars="200"/>
        <w:rPr>
          <w:rFonts w:ascii="宋体" w:hAnsi="宋体"/>
          <w:sz w:val="21"/>
          <w:szCs w:val="21"/>
        </w:rPr>
      </w:pPr>
      <w:r>
        <w:rPr>
          <w:rFonts w:hint="eastAsia" w:ascii="宋体" w:hAnsi="宋体"/>
          <w:sz w:val="21"/>
          <w:szCs w:val="21"/>
        </w:rPr>
        <w:t>上午：8:30-11:30 、下午：13:00-17:00。</w:t>
      </w:r>
      <w:r>
        <w:rPr>
          <w:rFonts w:hint="eastAsia" w:ascii="宋体" w:hAnsi="宋体"/>
          <w:color w:val="000000"/>
          <w:sz w:val="21"/>
          <w:szCs w:val="21"/>
        </w:rPr>
        <w:t>获取磋商文件截止时间之后潜在供应商依然可以获取磋商文件，如对磋商文件有质疑的应在规定的质疑期限内提出。</w:t>
      </w:r>
    </w:p>
    <w:p w14:paraId="33BE4082">
      <w:pPr>
        <w:adjustRightInd w:val="0"/>
        <w:snapToGrid w:val="0"/>
        <w:spacing w:line="288"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地点：浙江求是招标代理有限公司（杭州市西湖区玉古路173号中田大厦21楼H室）</w:t>
      </w:r>
    </w:p>
    <w:p w14:paraId="5781CAC0">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w:t>
      </w:r>
      <w:r>
        <w:rPr>
          <w:rFonts w:hint="eastAsia" w:ascii="宋体" w:hAnsi="宋体"/>
          <w:sz w:val="21"/>
          <w:szCs w:val="21"/>
          <w:highlight w:val="none"/>
        </w:rPr>
        <w:t>方式：微信获取（扫描附件二维码或关注“浙江求是招标代理有限公司”企业公众号）或现场获取。</w:t>
      </w:r>
    </w:p>
    <w:p w14:paraId="4BBC4FBB">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rPr>
        <w:t>获取文件联系人：於路莹；联系方式：0571-</w:t>
      </w:r>
      <w:r>
        <w:rPr>
          <w:rFonts w:ascii="宋体" w:hAnsi="宋体"/>
          <w:sz w:val="21"/>
          <w:szCs w:val="21"/>
        </w:rPr>
        <w:t>87666112</w:t>
      </w:r>
    </w:p>
    <w:p w14:paraId="61AA038B">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4</w:t>
      </w:r>
      <w:r>
        <w:rPr>
          <w:rFonts w:ascii="宋体" w:hAnsi="宋体"/>
          <w:sz w:val="21"/>
          <w:szCs w:val="21"/>
          <w:highlight w:val="none"/>
          <w:u w:val="single"/>
        </w:rPr>
        <w:t>.</w:t>
      </w:r>
      <w:r>
        <w:rPr>
          <w:rFonts w:hint="eastAsia" w:ascii="宋体" w:hAnsi="宋体"/>
          <w:sz w:val="21"/>
          <w:szCs w:val="21"/>
          <w:highlight w:val="none"/>
          <w:u w:val="single"/>
        </w:rPr>
        <w:t>售价</w:t>
      </w:r>
      <w:r>
        <w:rPr>
          <w:rFonts w:ascii="宋体" w:hAnsi="宋体"/>
          <w:sz w:val="21"/>
          <w:szCs w:val="21"/>
          <w:highlight w:val="none"/>
          <w:u w:val="single"/>
        </w:rPr>
        <w:t>：</w:t>
      </w:r>
      <w:r>
        <w:rPr>
          <w:rFonts w:hint="eastAsia" w:ascii="宋体" w:hAnsi="宋体"/>
          <w:sz w:val="21"/>
          <w:szCs w:val="21"/>
          <w:highlight w:val="none"/>
          <w:u w:val="single"/>
        </w:rPr>
        <w:t>5</w:t>
      </w:r>
      <w:r>
        <w:rPr>
          <w:rFonts w:ascii="宋体" w:hAnsi="宋体"/>
          <w:sz w:val="21"/>
          <w:szCs w:val="21"/>
          <w:highlight w:val="none"/>
          <w:u w:val="single"/>
        </w:rPr>
        <w:t>00</w:t>
      </w:r>
      <w:r>
        <w:rPr>
          <w:rFonts w:hint="eastAsia" w:ascii="宋体" w:hAnsi="宋体"/>
          <w:sz w:val="21"/>
          <w:szCs w:val="21"/>
          <w:highlight w:val="none"/>
          <w:u w:val="single"/>
        </w:rPr>
        <w:t>元整，售后不退。</w:t>
      </w:r>
    </w:p>
    <w:p w14:paraId="789245A2">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收款单位（户名）：浙江求是招标代理有限公司</w:t>
      </w:r>
    </w:p>
    <w:p w14:paraId="7C7FF4C2">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开户银行：工行浙大支行</w:t>
      </w:r>
    </w:p>
    <w:p w14:paraId="31543812">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银行账号：</w:t>
      </w:r>
      <w:r>
        <w:rPr>
          <w:rFonts w:ascii="宋体" w:hAnsi="宋体"/>
          <w:sz w:val="21"/>
          <w:szCs w:val="21"/>
          <w:u w:val="single"/>
        </w:rPr>
        <w:t>1202024609900033043</w:t>
      </w:r>
    </w:p>
    <w:p w14:paraId="383E0BF0">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财务联系方式：0571-87666113</w:t>
      </w:r>
    </w:p>
    <w:p w14:paraId="396EFA31">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开票信息请发送邮件至：caiwu@qszb.net，提供：项目名称或编号、开票资料、收件信息并注明专普票。</w:t>
      </w:r>
    </w:p>
    <w:p w14:paraId="6445D4CB">
      <w:pPr>
        <w:adjustRightInd w:val="0"/>
        <w:snapToGrid w:val="0"/>
        <w:spacing w:line="288" w:lineRule="auto"/>
        <w:ind w:firstLine="420" w:firstLineChars="200"/>
        <w:rPr>
          <w:rFonts w:ascii="宋体" w:hAnsi="宋体"/>
          <w:sz w:val="21"/>
          <w:szCs w:val="21"/>
          <w:highlight w:val="yellow"/>
          <w:u w:val="single"/>
        </w:rPr>
      </w:pPr>
      <w:r>
        <w:rPr>
          <w:rFonts w:hint="eastAsia" w:ascii="宋体" w:hAnsi="宋体"/>
          <w:sz w:val="21"/>
          <w:szCs w:val="21"/>
        </w:rPr>
        <w:t>5.供应商未按照本公告规定的方式获取磋商文件的，响应文件将被拒绝。</w:t>
      </w:r>
    </w:p>
    <w:p w14:paraId="2E27901F">
      <w:pPr>
        <w:adjustRightInd w:val="0"/>
        <w:snapToGrid w:val="0"/>
        <w:spacing w:line="288" w:lineRule="auto"/>
        <w:ind w:firstLine="200"/>
        <w:rPr>
          <w:rFonts w:ascii="宋体" w:hAnsi="宋体"/>
          <w:b/>
          <w:sz w:val="21"/>
          <w:szCs w:val="21"/>
        </w:rPr>
      </w:pPr>
      <w:r>
        <w:rPr>
          <w:rFonts w:hint="eastAsia" w:ascii="宋体" w:hAnsi="宋体"/>
          <w:b/>
          <w:sz w:val="21"/>
          <w:szCs w:val="21"/>
        </w:rPr>
        <w:t>四、</w:t>
      </w:r>
      <w:bookmarkEnd w:id="13"/>
      <w:bookmarkEnd w:id="14"/>
      <w:bookmarkEnd w:id="15"/>
      <w:bookmarkEnd w:id="16"/>
      <w:r>
        <w:rPr>
          <w:rFonts w:hint="eastAsia" w:ascii="宋体" w:hAnsi="宋体"/>
          <w:b/>
          <w:sz w:val="21"/>
          <w:szCs w:val="21"/>
        </w:rPr>
        <w:t>响应文件提交</w:t>
      </w:r>
    </w:p>
    <w:p w14:paraId="3D79EBE2">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1.响应文件提交截止时间：202</w:t>
      </w:r>
      <w:r>
        <w:rPr>
          <w:rFonts w:hint="eastAsia" w:ascii="宋体" w:hAnsi="宋体"/>
          <w:bCs/>
          <w:sz w:val="21"/>
          <w:szCs w:val="21"/>
          <w:lang w:val="en-US" w:eastAsia="zh-CN"/>
        </w:rPr>
        <w:t>4</w:t>
      </w:r>
      <w:r>
        <w:rPr>
          <w:rFonts w:hint="eastAsia" w:ascii="宋体" w:hAnsi="宋体"/>
          <w:bCs/>
          <w:sz w:val="21"/>
          <w:szCs w:val="21"/>
        </w:rPr>
        <w:t>年</w:t>
      </w:r>
      <w:r>
        <w:rPr>
          <w:rFonts w:hint="eastAsia" w:ascii="宋体" w:hAnsi="宋体"/>
          <w:bCs/>
          <w:sz w:val="21"/>
          <w:szCs w:val="21"/>
          <w:lang w:val="en-US" w:eastAsia="zh-CN"/>
        </w:rPr>
        <w:t>12</w:t>
      </w:r>
      <w:r>
        <w:rPr>
          <w:rFonts w:hint="eastAsia" w:ascii="宋体" w:hAnsi="宋体"/>
          <w:bCs/>
          <w:sz w:val="21"/>
          <w:szCs w:val="21"/>
        </w:rPr>
        <w:t>月</w:t>
      </w:r>
      <w:r>
        <w:rPr>
          <w:rFonts w:hint="eastAsia" w:ascii="宋体" w:hAnsi="宋体"/>
          <w:bCs/>
          <w:sz w:val="21"/>
          <w:szCs w:val="21"/>
          <w:lang w:val="en-US" w:eastAsia="zh-CN"/>
        </w:rPr>
        <w:t>24</w:t>
      </w:r>
      <w:r>
        <w:rPr>
          <w:rFonts w:hint="eastAsia" w:ascii="宋体" w:hAnsi="宋体"/>
          <w:bCs/>
          <w:sz w:val="21"/>
          <w:szCs w:val="21"/>
        </w:rPr>
        <w:t>日</w:t>
      </w:r>
      <w:r>
        <w:rPr>
          <w:rFonts w:hint="eastAsia" w:ascii="宋体" w:hAnsi="宋体"/>
          <w:bCs/>
          <w:sz w:val="21"/>
          <w:szCs w:val="21"/>
          <w:lang w:val="en-US" w:eastAsia="zh-CN"/>
        </w:rPr>
        <w:t>14</w:t>
      </w:r>
      <w:r>
        <w:rPr>
          <w:rFonts w:hint="eastAsia" w:ascii="宋体" w:hAnsi="宋体"/>
          <w:bCs/>
          <w:sz w:val="21"/>
          <w:szCs w:val="21"/>
        </w:rPr>
        <w:t>:</w:t>
      </w:r>
      <w:r>
        <w:rPr>
          <w:rFonts w:ascii="宋体" w:hAnsi="宋体"/>
          <w:bCs/>
          <w:sz w:val="21"/>
          <w:szCs w:val="21"/>
        </w:rPr>
        <w:t>0</w:t>
      </w:r>
      <w:r>
        <w:rPr>
          <w:rFonts w:hint="eastAsia" w:ascii="宋体" w:hAnsi="宋体"/>
          <w:bCs/>
          <w:sz w:val="21"/>
          <w:szCs w:val="21"/>
        </w:rPr>
        <w:t>0:00（北京时间）</w:t>
      </w:r>
    </w:p>
    <w:p w14:paraId="221033DC">
      <w:pPr>
        <w:adjustRightInd w:val="0"/>
        <w:snapToGrid w:val="0"/>
        <w:spacing w:line="288" w:lineRule="auto"/>
        <w:ind w:firstLine="420" w:firstLineChars="200"/>
        <w:rPr>
          <w:rFonts w:ascii="宋体" w:hAnsi="宋体"/>
          <w:bCs/>
          <w:sz w:val="21"/>
          <w:szCs w:val="21"/>
          <w:highlight w:val="none"/>
        </w:rPr>
      </w:pPr>
      <w:r>
        <w:rPr>
          <w:rFonts w:hint="eastAsia" w:ascii="宋体" w:hAnsi="宋体"/>
          <w:bCs/>
          <w:sz w:val="21"/>
          <w:szCs w:val="21"/>
          <w:highlight w:val="none"/>
        </w:rPr>
        <w:t>2.地点：杭州市西湖区玉古路173号中田大厦</w:t>
      </w:r>
      <w:r>
        <w:rPr>
          <w:rFonts w:hint="eastAsia" w:ascii="宋体" w:hAnsi="宋体"/>
          <w:bCs/>
          <w:sz w:val="21"/>
          <w:szCs w:val="21"/>
          <w:highlight w:val="none"/>
          <w:lang w:val="en-US" w:eastAsia="zh-CN"/>
        </w:rPr>
        <w:t>16</w:t>
      </w:r>
      <w:r>
        <w:rPr>
          <w:rFonts w:hint="eastAsia" w:ascii="宋体" w:hAnsi="宋体"/>
          <w:bCs/>
          <w:sz w:val="21"/>
          <w:szCs w:val="21"/>
          <w:highlight w:val="none"/>
        </w:rPr>
        <w:t>楼求是招标</w:t>
      </w:r>
      <w:r>
        <w:rPr>
          <w:rFonts w:hint="eastAsia" w:ascii="宋体" w:hAnsi="宋体"/>
          <w:bCs/>
          <w:sz w:val="21"/>
          <w:szCs w:val="21"/>
          <w:highlight w:val="none"/>
          <w:lang w:val="en-US" w:eastAsia="zh-CN"/>
        </w:rPr>
        <w:t>6</w:t>
      </w:r>
      <w:r>
        <w:rPr>
          <w:rFonts w:hint="eastAsia" w:ascii="宋体" w:hAnsi="宋体"/>
          <w:bCs/>
          <w:sz w:val="21"/>
          <w:szCs w:val="21"/>
          <w:highlight w:val="none"/>
        </w:rPr>
        <w:t>号会议室</w:t>
      </w:r>
      <w:bookmarkStart w:id="74" w:name="_GoBack"/>
      <w:bookmarkEnd w:id="74"/>
    </w:p>
    <w:p w14:paraId="6BBDCD23">
      <w:pPr>
        <w:adjustRightInd w:val="0"/>
        <w:snapToGrid w:val="0"/>
        <w:spacing w:line="288" w:lineRule="auto"/>
        <w:ind w:firstLine="420" w:firstLineChars="200"/>
        <w:rPr>
          <w:rFonts w:ascii="宋体" w:hAnsi="宋体"/>
          <w:sz w:val="21"/>
          <w:szCs w:val="21"/>
        </w:rPr>
      </w:pPr>
      <w:r>
        <w:rPr>
          <w:rFonts w:hint="eastAsia" w:ascii="宋体" w:hAnsi="宋体"/>
          <w:sz w:val="21"/>
          <w:szCs w:val="21"/>
        </w:rPr>
        <w:t>备注：</w:t>
      </w:r>
      <w:r>
        <w:rPr>
          <w:rFonts w:hint="eastAsia" w:ascii="宋体" w:hAnsi="宋体"/>
          <w:color w:val="000000"/>
          <w:sz w:val="21"/>
          <w:szCs w:val="21"/>
        </w:rPr>
        <w:t>供应商应当在磋商文件要求的截止时间前，将响应文件密封送达指定地点。在截止时间后送达</w:t>
      </w:r>
      <w:r>
        <w:rPr>
          <w:rFonts w:hint="eastAsia" w:ascii="宋体" w:hAnsi="宋体"/>
          <w:sz w:val="21"/>
          <w:szCs w:val="21"/>
        </w:rPr>
        <w:t>或者未密封</w:t>
      </w:r>
      <w:r>
        <w:rPr>
          <w:rFonts w:hint="eastAsia" w:ascii="宋体" w:hAnsi="宋体"/>
          <w:color w:val="000000"/>
          <w:sz w:val="21"/>
          <w:szCs w:val="21"/>
        </w:rPr>
        <w:t>的响应文件为无效文件，采购代理机构将予以拒收。</w:t>
      </w:r>
    </w:p>
    <w:p w14:paraId="2AA8F2CB">
      <w:pPr>
        <w:adjustRightInd w:val="0"/>
        <w:snapToGrid w:val="0"/>
        <w:spacing w:line="288" w:lineRule="auto"/>
        <w:ind w:firstLine="200"/>
        <w:rPr>
          <w:rFonts w:ascii="宋体" w:hAnsi="宋体"/>
          <w:b/>
          <w:sz w:val="21"/>
          <w:szCs w:val="21"/>
        </w:rPr>
      </w:pPr>
      <w:bookmarkStart w:id="17" w:name="_Toc28359007"/>
      <w:bookmarkStart w:id="18" w:name="_Toc35393794"/>
      <w:bookmarkStart w:id="19" w:name="_Toc35393625"/>
      <w:bookmarkStart w:id="20" w:name="_Toc28359084"/>
      <w:r>
        <w:rPr>
          <w:rFonts w:hint="eastAsia" w:ascii="宋体" w:hAnsi="宋体"/>
          <w:b/>
          <w:sz w:val="21"/>
          <w:szCs w:val="21"/>
        </w:rPr>
        <w:t>五、开启</w:t>
      </w:r>
    </w:p>
    <w:p w14:paraId="5A88D45D">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1.响应文件开启时间：202</w:t>
      </w:r>
      <w:r>
        <w:rPr>
          <w:rFonts w:hint="eastAsia" w:ascii="宋体" w:hAnsi="宋体"/>
          <w:bCs/>
          <w:sz w:val="21"/>
          <w:szCs w:val="21"/>
          <w:lang w:val="en-US" w:eastAsia="zh-CN"/>
        </w:rPr>
        <w:t>4</w:t>
      </w:r>
      <w:r>
        <w:rPr>
          <w:rFonts w:hint="eastAsia" w:ascii="宋体" w:hAnsi="宋体"/>
          <w:bCs/>
          <w:sz w:val="21"/>
          <w:szCs w:val="21"/>
        </w:rPr>
        <w:t>年</w:t>
      </w:r>
      <w:r>
        <w:rPr>
          <w:rFonts w:hint="eastAsia" w:ascii="宋体" w:hAnsi="宋体"/>
          <w:bCs/>
          <w:sz w:val="21"/>
          <w:szCs w:val="21"/>
          <w:lang w:val="en-US" w:eastAsia="zh-CN"/>
        </w:rPr>
        <w:t>12</w:t>
      </w:r>
      <w:r>
        <w:rPr>
          <w:rFonts w:hint="eastAsia" w:ascii="宋体" w:hAnsi="宋体"/>
          <w:bCs/>
          <w:sz w:val="21"/>
          <w:szCs w:val="21"/>
        </w:rPr>
        <w:t>月</w:t>
      </w:r>
      <w:r>
        <w:rPr>
          <w:rFonts w:hint="eastAsia" w:ascii="宋体" w:hAnsi="宋体"/>
          <w:bCs/>
          <w:sz w:val="21"/>
          <w:szCs w:val="21"/>
          <w:lang w:val="en-US" w:eastAsia="zh-CN"/>
        </w:rPr>
        <w:t>24</w:t>
      </w:r>
      <w:r>
        <w:rPr>
          <w:rFonts w:hint="eastAsia" w:ascii="宋体" w:hAnsi="宋体"/>
          <w:bCs/>
          <w:sz w:val="21"/>
          <w:szCs w:val="21"/>
        </w:rPr>
        <w:t>日</w:t>
      </w:r>
      <w:r>
        <w:rPr>
          <w:rFonts w:hint="eastAsia" w:ascii="宋体" w:hAnsi="宋体"/>
          <w:bCs/>
          <w:sz w:val="21"/>
          <w:szCs w:val="21"/>
          <w:lang w:val="en-US" w:eastAsia="zh-CN"/>
        </w:rPr>
        <w:t>14</w:t>
      </w:r>
      <w:r>
        <w:rPr>
          <w:rFonts w:hint="eastAsia" w:ascii="宋体" w:hAnsi="宋体"/>
          <w:bCs/>
          <w:sz w:val="21"/>
          <w:szCs w:val="21"/>
        </w:rPr>
        <w:t>:</w:t>
      </w:r>
      <w:r>
        <w:rPr>
          <w:rFonts w:ascii="宋体" w:hAnsi="宋体"/>
          <w:bCs/>
          <w:sz w:val="21"/>
          <w:szCs w:val="21"/>
        </w:rPr>
        <w:t>0</w:t>
      </w:r>
      <w:r>
        <w:rPr>
          <w:rFonts w:hint="eastAsia" w:ascii="宋体" w:hAnsi="宋体"/>
          <w:bCs/>
          <w:sz w:val="21"/>
          <w:szCs w:val="21"/>
        </w:rPr>
        <w:t>0:00（北京时间）</w:t>
      </w:r>
    </w:p>
    <w:p w14:paraId="3C6BFB3A">
      <w:pPr>
        <w:adjustRightInd w:val="0"/>
        <w:snapToGrid w:val="0"/>
        <w:spacing w:line="288" w:lineRule="auto"/>
        <w:ind w:firstLine="409" w:firstLineChars="195"/>
        <w:rPr>
          <w:rFonts w:ascii="宋体" w:hAnsi="宋体"/>
          <w:bCs/>
          <w:sz w:val="21"/>
          <w:szCs w:val="21"/>
        </w:rPr>
      </w:pPr>
      <w:r>
        <w:rPr>
          <w:rFonts w:hint="eastAsia" w:ascii="宋体" w:hAnsi="宋体"/>
          <w:bCs/>
          <w:sz w:val="21"/>
          <w:szCs w:val="21"/>
        </w:rPr>
        <w:t>2.地点：杭州市西湖区玉古路173号中田大厦</w:t>
      </w:r>
      <w:r>
        <w:rPr>
          <w:rFonts w:hint="eastAsia" w:ascii="宋体" w:hAnsi="宋体"/>
          <w:bCs/>
          <w:sz w:val="21"/>
          <w:szCs w:val="21"/>
          <w:lang w:val="en-US" w:eastAsia="zh-CN"/>
        </w:rPr>
        <w:t>16</w:t>
      </w:r>
      <w:r>
        <w:rPr>
          <w:rFonts w:hint="eastAsia" w:ascii="宋体" w:hAnsi="宋体"/>
          <w:bCs/>
          <w:sz w:val="21"/>
          <w:szCs w:val="21"/>
        </w:rPr>
        <w:t>楼求是招标</w:t>
      </w:r>
      <w:r>
        <w:rPr>
          <w:rFonts w:hint="eastAsia" w:ascii="宋体" w:hAnsi="宋体"/>
          <w:bCs/>
          <w:sz w:val="21"/>
          <w:szCs w:val="21"/>
          <w:lang w:val="en-US" w:eastAsia="zh-CN"/>
        </w:rPr>
        <w:t>6</w:t>
      </w:r>
      <w:r>
        <w:rPr>
          <w:rFonts w:hint="eastAsia" w:ascii="宋体" w:hAnsi="宋体"/>
          <w:bCs/>
          <w:sz w:val="21"/>
          <w:szCs w:val="21"/>
        </w:rPr>
        <w:t>号会议室</w:t>
      </w:r>
    </w:p>
    <w:p w14:paraId="4ED44449">
      <w:pPr>
        <w:adjustRightInd w:val="0"/>
        <w:snapToGrid w:val="0"/>
        <w:spacing w:line="288" w:lineRule="auto"/>
        <w:ind w:firstLine="200"/>
        <w:rPr>
          <w:rFonts w:ascii="宋体" w:hAnsi="宋体"/>
          <w:b/>
          <w:sz w:val="21"/>
          <w:szCs w:val="21"/>
        </w:rPr>
      </w:pPr>
      <w:r>
        <w:rPr>
          <w:rFonts w:hint="eastAsia" w:ascii="宋体" w:hAnsi="宋体"/>
          <w:b/>
          <w:sz w:val="21"/>
          <w:szCs w:val="21"/>
        </w:rPr>
        <w:t>六、公告期限</w:t>
      </w:r>
      <w:bookmarkEnd w:id="17"/>
      <w:bookmarkEnd w:id="18"/>
      <w:bookmarkEnd w:id="19"/>
      <w:bookmarkEnd w:id="20"/>
    </w:p>
    <w:p w14:paraId="6438E717">
      <w:pPr>
        <w:adjustRightInd w:val="0"/>
        <w:snapToGrid w:val="0"/>
        <w:spacing w:line="288" w:lineRule="auto"/>
        <w:ind w:firstLine="420" w:firstLineChars="200"/>
        <w:rPr>
          <w:rFonts w:ascii="宋体" w:hAnsi="宋体"/>
          <w:kern w:val="0"/>
          <w:sz w:val="21"/>
          <w:szCs w:val="21"/>
        </w:rPr>
      </w:pPr>
      <w:r>
        <w:rPr>
          <w:rFonts w:hint="eastAsia" w:ascii="宋体" w:hAnsi="宋体"/>
          <w:kern w:val="0"/>
          <w:sz w:val="21"/>
          <w:szCs w:val="21"/>
        </w:rPr>
        <w:t>自本公告发布之日起3个工作日。</w:t>
      </w:r>
    </w:p>
    <w:p w14:paraId="203FE8B2">
      <w:pPr>
        <w:adjustRightInd w:val="0"/>
        <w:snapToGrid w:val="0"/>
        <w:spacing w:line="288" w:lineRule="auto"/>
        <w:ind w:firstLine="211" w:firstLineChars="100"/>
        <w:rPr>
          <w:rFonts w:ascii="宋体" w:hAnsi="宋体"/>
          <w:b/>
          <w:sz w:val="21"/>
          <w:szCs w:val="21"/>
        </w:rPr>
      </w:pPr>
      <w:bookmarkStart w:id="21" w:name="_Toc35393795"/>
      <w:bookmarkStart w:id="22" w:name="_Toc35393626"/>
      <w:r>
        <w:rPr>
          <w:rFonts w:hint="eastAsia" w:ascii="宋体" w:hAnsi="宋体"/>
          <w:b/>
          <w:sz w:val="21"/>
          <w:szCs w:val="21"/>
        </w:rPr>
        <w:t>七、</w:t>
      </w:r>
      <w:bookmarkEnd w:id="21"/>
      <w:bookmarkEnd w:id="22"/>
      <w:r>
        <w:rPr>
          <w:rFonts w:hint="eastAsia" w:ascii="宋体" w:hAnsi="宋体"/>
          <w:b/>
          <w:sz w:val="21"/>
          <w:szCs w:val="21"/>
        </w:rPr>
        <w:t>其他补充事宜</w:t>
      </w:r>
    </w:p>
    <w:p w14:paraId="7E5F50F0">
      <w:pPr>
        <w:adjustRightInd w:val="0"/>
        <w:snapToGrid w:val="0"/>
        <w:spacing w:line="288" w:lineRule="auto"/>
        <w:ind w:firstLine="396" w:firstLineChars="200"/>
        <w:rPr>
          <w:rFonts w:ascii="宋体" w:hAnsi="宋体" w:cs="宋体"/>
          <w:spacing w:val="-6"/>
          <w:sz w:val="21"/>
          <w:szCs w:val="21"/>
        </w:rPr>
      </w:pPr>
      <w:r>
        <w:rPr>
          <w:rFonts w:ascii="宋体" w:hAnsi="宋体" w:cs="宋体"/>
          <w:spacing w:val="-6"/>
          <w:sz w:val="21"/>
          <w:szCs w:val="21"/>
        </w:rPr>
        <w:t>1.</w:t>
      </w:r>
      <w:r>
        <w:rPr>
          <w:rFonts w:hint="eastAsia" w:ascii="宋体" w:hAnsi="宋体" w:cs="宋体"/>
          <w:spacing w:val="-6"/>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cs="宋体"/>
          <w:spacing w:val="-6"/>
          <w:sz w:val="21"/>
          <w:szCs w:val="21"/>
        </w:rPr>
        <w:t>7个工作日内，对采购文件需求的以书面形式向采购人提出质疑，对其他内容的以书面形式向采购人和采购代理机构提出质疑。</w:t>
      </w:r>
    </w:p>
    <w:p w14:paraId="75C743A3">
      <w:pPr>
        <w:adjustRightInd w:val="0"/>
        <w:snapToGrid w:val="0"/>
        <w:spacing w:line="288" w:lineRule="auto"/>
        <w:ind w:firstLine="396" w:firstLineChars="200"/>
        <w:rPr>
          <w:rFonts w:ascii="宋体" w:hAnsi="宋体" w:cs="宋体"/>
          <w:bCs/>
          <w:sz w:val="21"/>
          <w:szCs w:val="21"/>
        </w:rPr>
      </w:pPr>
      <w:r>
        <w:rPr>
          <w:rFonts w:hint="eastAsia" w:ascii="宋体" w:hAnsi="宋体" w:cs="宋体"/>
          <w:spacing w:val="-6"/>
          <w:sz w:val="21"/>
          <w:szCs w:val="21"/>
        </w:rPr>
        <w:t>▲</w:t>
      </w:r>
      <w:r>
        <w:rPr>
          <w:rFonts w:ascii="宋体" w:hAnsi="宋体" w:cs="宋体"/>
          <w:spacing w:val="-6"/>
          <w:sz w:val="21"/>
          <w:szCs w:val="21"/>
        </w:rPr>
        <w:t>2.</w:t>
      </w:r>
      <w:bookmarkStart w:id="23" w:name="_Hlk92271072"/>
      <w:r>
        <w:rPr>
          <w:rFonts w:ascii="宋体" w:hAnsi="宋体" w:cs="宋体"/>
          <w:spacing w:val="-6"/>
          <w:sz w:val="21"/>
          <w:szCs w:val="21"/>
        </w:rPr>
        <w:t>单位负责人为同一人或者存在直接控股、管理关系的不同供应商，不得参加同一合同项下的采购活动；为采购项目提供整体设计、规范编制或者项目管理、监理、检测等服务后不得再参加该采购项目的其他采购活动。</w:t>
      </w:r>
      <w:bookmarkEnd w:id="23"/>
    </w:p>
    <w:p w14:paraId="505CE381">
      <w:pPr>
        <w:adjustRightInd w:val="0"/>
        <w:snapToGrid w:val="0"/>
        <w:spacing w:line="288" w:lineRule="auto"/>
        <w:ind w:firstLine="200"/>
        <w:rPr>
          <w:rFonts w:ascii="宋体" w:hAnsi="宋体"/>
          <w:b/>
          <w:sz w:val="21"/>
          <w:szCs w:val="21"/>
        </w:rPr>
      </w:pPr>
      <w:bookmarkStart w:id="24" w:name="_Toc28359008"/>
      <w:bookmarkStart w:id="25" w:name="_Toc35393796"/>
      <w:bookmarkStart w:id="26" w:name="_Toc35393627"/>
      <w:bookmarkStart w:id="27" w:name="_Toc28359085"/>
      <w:r>
        <w:rPr>
          <w:rFonts w:hint="eastAsia" w:ascii="宋体" w:hAnsi="宋体"/>
          <w:b/>
          <w:sz w:val="21"/>
          <w:szCs w:val="21"/>
        </w:rPr>
        <w:t>八、</w:t>
      </w:r>
      <w:bookmarkEnd w:id="24"/>
      <w:bookmarkEnd w:id="25"/>
      <w:bookmarkEnd w:id="26"/>
      <w:bookmarkEnd w:id="27"/>
      <w:r>
        <w:rPr>
          <w:rFonts w:hint="eastAsia" w:ascii="宋体" w:hAnsi="宋体"/>
          <w:b/>
          <w:sz w:val="21"/>
          <w:szCs w:val="21"/>
        </w:rPr>
        <w:t>对本次采购提出询问，请按以下方式联系</w:t>
      </w:r>
    </w:p>
    <w:p w14:paraId="4178722E">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1.采购人信息</w:t>
      </w:r>
    </w:p>
    <w:p w14:paraId="7E6FA15A">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名称：浙江大学杭州国际科创中心</w:t>
      </w:r>
    </w:p>
    <w:p w14:paraId="62B3EC06">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地址：浙江省杭州市萧山区经济技术开发区建设三路733号</w:t>
      </w:r>
    </w:p>
    <w:p w14:paraId="5CFC3FD6">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联系方式：0571-82990650</w:t>
      </w:r>
    </w:p>
    <w:p w14:paraId="30BAEE77">
      <w:pPr>
        <w:adjustRightInd w:val="0"/>
        <w:snapToGrid w:val="0"/>
        <w:spacing w:line="288" w:lineRule="auto"/>
        <w:ind w:firstLine="420" w:firstLineChars="200"/>
        <w:rPr>
          <w:rFonts w:hint="eastAsia" w:ascii="宋体" w:hAnsi="宋体"/>
          <w:sz w:val="21"/>
          <w:szCs w:val="21"/>
          <w:lang w:val="en-US" w:eastAsia="zh-CN"/>
        </w:rPr>
      </w:pPr>
      <w:r>
        <w:rPr>
          <w:rFonts w:hint="eastAsia" w:ascii="宋体" w:hAnsi="宋体"/>
          <w:sz w:val="21"/>
          <w:szCs w:val="21"/>
        </w:rPr>
        <w:t>采购项目联系人：</w:t>
      </w:r>
      <w:r>
        <w:rPr>
          <w:rFonts w:hint="eastAsia" w:ascii="宋体" w:hAnsi="宋体"/>
          <w:sz w:val="21"/>
          <w:szCs w:val="21"/>
          <w:lang w:val="en-US" w:eastAsia="zh-CN"/>
        </w:rPr>
        <w:t>陈老师</w:t>
      </w:r>
    </w:p>
    <w:p w14:paraId="4F866CDE">
      <w:pPr>
        <w:adjustRightInd w:val="0"/>
        <w:snapToGrid w:val="0"/>
        <w:spacing w:line="288" w:lineRule="auto"/>
        <w:ind w:firstLine="420" w:firstLineChars="200"/>
        <w:rPr>
          <w:rFonts w:hint="default" w:ascii="宋体" w:hAnsi="宋体"/>
          <w:sz w:val="21"/>
          <w:szCs w:val="21"/>
          <w:lang w:val="en-US" w:eastAsia="zh-CN"/>
        </w:rPr>
      </w:pPr>
      <w:r>
        <w:rPr>
          <w:rFonts w:hint="eastAsia" w:ascii="宋体" w:hAnsi="宋体"/>
          <w:sz w:val="21"/>
          <w:szCs w:val="21"/>
        </w:rPr>
        <w:t>采购项目联系方式：</w:t>
      </w:r>
      <w:r>
        <w:rPr>
          <w:rFonts w:hint="eastAsia" w:ascii="宋体" w:hAnsi="宋体"/>
          <w:sz w:val="21"/>
          <w:szCs w:val="21"/>
          <w:lang w:val="en-US" w:eastAsia="zh-CN"/>
        </w:rPr>
        <w:t>17857347244</w:t>
      </w:r>
    </w:p>
    <w:p w14:paraId="4AB0B3DC">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质疑联系人：王老师</w:t>
      </w:r>
    </w:p>
    <w:p w14:paraId="31CC92F3">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质疑联系方式：0571-82359102</w:t>
      </w:r>
    </w:p>
    <w:p w14:paraId="17B8F581">
      <w:pPr>
        <w:adjustRightInd w:val="0"/>
        <w:snapToGrid w:val="0"/>
        <w:spacing w:line="288" w:lineRule="auto"/>
        <w:ind w:firstLine="420" w:firstLineChars="200"/>
        <w:rPr>
          <w:rFonts w:ascii="宋体" w:hAnsi="宋体"/>
          <w:sz w:val="21"/>
          <w:szCs w:val="21"/>
        </w:rPr>
      </w:pPr>
    </w:p>
    <w:p w14:paraId="4BFCABCF">
      <w:pPr>
        <w:adjustRightInd w:val="0"/>
        <w:snapToGrid w:val="0"/>
        <w:spacing w:line="288" w:lineRule="auto"/>
        <w:ind w:firstLine="420" w:firstLineChars="200"/>
        <w:rPr>
          <w:rFonts w:ascii="宋体" w:hAnsi="宋体"/>
          <w:sz w:val="21"/>
          <w:szCs w:val="21"/>
        </w:rPr>
      </w:pPr>
      <w:r>
        <w:rPr>
          <w:rFonts w:hint="eastAsia" w:ascii="宋体" w:hAnsi="宋体"/>
          <w:sz w:val="21"/>
          <w:szCs w:val="21"/>
        </w:rPr>
        <w:t>2.采购代理机构信息</w:t>
      </w:r>
    </w:p>
    <w:p w14:paraId="3C8E2652">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名称：浙江求是招标代理有限公司</w:t>
      </w:r>
    </w:p>
    <w:p w14:paraId="6302EF2A">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地址：杭州市西湖区玉古路173号中田大厦21楼</w:t>
      </w:r>
    </w:p>
    <w:p w14:paraId="72B7C8E7">
      <w:pPr>
        <w:adjustRightInd w:val="0"/>
        <w:snapToGrid w:val="0"/>
        <w:spacing w:line="288" w:lineRule="auto"/>
        <w:ind w:firstLine="420" w:firstLineChars="200"/>
        <w:rPr>
          <w:rFonts w:ascii="宋体" w:hAnsi="宋体"/>
          <w:sz w:val="21"/>
          <w:szCs w:val="21"/>
        </w:rPr>
      </w:pPr>
      <w:bookmarkStart w:id="28" w:name="_Hlk72500549"/>
      <w:r>
        <w:rPr>
          <w:rFonts w:hint="eastAsia" w:ascii="宋体" w:hAnsi="宋体"/>
          <w:sz w:val="21"/>
          <w:szCs w:val="21"/>
        </w:rPr>
        <w:t>项目</w:t>
      </w:r>
      <w:bookmarkEnd w:id="28"/>
      <w:r>
        <w:rPr>
          <w:rFonts w:hint="eastAsia" w:ascii="宋体" w:hAnsi="宋体"/>
          <w:sz w:val="21"/>
          <w:szCs w:val="21"/>
        </w:rPr>
        <w:t>联系人：陈宵、马翠翠</w:t>
      </w:r>
    </w:p>
    <w:p w14:paraId="2E5EA3F6">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项目联系方式：0571-87666119</w:t>
      </w:r>
    </w:p>
    <w:p w14:paraId="15E69A1C">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质疑联系人：周安琪</w:t>
      </w:r>
    </w:p>
    <w:p w14:paraId="7A3AC5F2">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质疑联系方式：0571-81110356</w:t>
      </w:r>
    </w:p>
    <w:p w14:paraId="3D7F453A">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质疑邮箱：jdkh@qszb.net</w:t>
      </w:r>
    </w:p>
    <w:p w14:paraId="6741463C">
      <w:pPr>
        <w:widowControl/>
        <w:adjustRightInd w:val="0"/>
        <w:snapToGrid w:val="0"/>
        <w:spacing w:line="288" w:lineRule="auto"/>
        <w:ind w:right="62" w:firstLine="396" w:firstLineChars="200"/>
        <w:jc w:val="center"/>
        <w:outlineLvl w:val="0"/>
        <w:rPr>
          <w:rFonts w:ascii="宋体" w:hAnsi="宋体" w:cs="宋体"/>
          <w:spacing w:val="-6"/>
          <w:kern w:val="0"/>
          <w:sz w:val="32"/>
          <w:szCs w:val="32"/>
        </w:rPr>
      </w:pPr>
      <w:r>
        <w:rPr>
          <w:rFonts w:ascii="宋体" w:hAnsi="宋体" w:cs="宋体"/>
          <w:spacing w:val="-6"/>
          <w:kern w:val="0"/>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14:paraId="02428629">
      <w:pPr>
        <w:adjustRightInd w:val="0"/>
        <w:snapToGrid w:val="0"/>
        <w:spacing w:line="288" w:lineRule="auto"/>
        <w:rPr>
          <w:rFonts w:ascii="宋体" w:hAnsi="宋体"/>
          <w:b/>
          <w:sz w:val="21"/>
          <w:szCs w:val="21"/>
        </w:rPr>
      </w:pPr>
    </w:p>
    <w:p w14:paraId="7DF1FB15">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采购资金的支付方式、时间、条件：</w:t>
      </w:r>
    </w:p>
    <w:tbl>
      <w:tblPr>
        <w:tblStyle w:val="21"/>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0B22E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1297DC99">
            <w:pPr>
              <w:adjustRightInd w:val="0"/>
              <w:snapToGrid w:val="0"/>
              <w:spacing w:line="288" w:lineRule="auto"/>
              <w:jc w:val="center"/>
              <w:rPr>
                <w:rFonts w:ascii="宋体" w:hAnsi="宋体"/>
                <w:b/>
                <w:spacing w:val="-6"/>
                <w:sz w:val="21"/>
                <w:szCs w:val="21"/>
              </w:rPr>
            </w:pPr>
            <w:bookmarkStart w:id="29"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2E457E80">
            <w:pPr>
              <w:adjustRightInd w:val="0"/>
              <w:snapToGrid w:val="0"/>
              <w:spacing w:line="288" w:lineRule="auto"/>
              <w:rPr>
                <w:rFonts w:ascii="宋体" w:hAnsi="宋体" w:cs="宋体"/>
                <w:spacing w:val="-6"/>
                <w:kern w:val="0"/>
                <w:sz w:val="21"/>
                <w:szCs w:val="21"/>
                <w:highlight w:val="yellow"/>
              </w:rPr>
            </w:pPr>
            <w:r>
              <w:rPr>
                <w:rFonts w:hint="eastAsia" w:ascii="宋体" w:hAnsi="宋体"/>
                <w:sz w:val="21"/>
                <w:szCs w:val="21"/>
              </w:rPr>
              <w:t>合同签订后，成交供应商须向采购人缴纳合同总价款5%的金额作为履约保证金，履约保证金最迟交纳时间为合同签订之日起的第5个工作日，履约保证金在验收合格后转为质量保证金，验收合格12个月后，若无质量问题，经成交供应商申请，采购人将质量保证金全额无息退还给成交供应商。</w:t>
            </w:r>
          </w:p>
        </w:tc>
      </w:tr>
      <w:tr w14:paraId="4AA1F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7561753">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A0A99A0">
            <w:pPr>
              <w:autoSpaceDE w:val="0"/>
              <w:autoSpaceDN w:val="0"/>
              <w:adjustRightInd w:val="0"/>
              <w:snapToGrid w:val="0"/>
              <w:spacing w:line="288" w:lineRule="auto"/>
              <w:jc w:val="left"/>
              <w:rPr>
                <w:rFonts w:ascii="宋体" w:hAnsi="宋体" w:cs="宋体"/>
                <w:spacing w:val="-6"/>
                <w:kern w:val="0"/>
                <w:sz w:val="21"/>
                <w:szCs w:val="21"/>
                <w:highlight w:val="yellow"/>
              </w:rPr>
            </w:pPr>
            <w:r>
              <w:rPr>
                <w:rFonts w:ascii="宋体" w:hAnsi="宋体" w:eastAsia="宋体" w:cs="宋体"/>
                <w:spacing w:val="-6"/>
                <w:kern w:val="0"/>
                <w:sz w:val="21"/>
                <w:szCs w:val="21"/>
                <w:highlight w:val="none"/>
              </w:rPr>
              <w:t>【境内】合同签订后60天内支付合同金额30%，设备发货前30天内支付合同金额的60%，验收合格后45天内支付合同金额的10%。</w:t>
            </w:r>
          </w:p>
        </w:tc>
      </w:tr>
      <w:bookmarkEnd w:id="29"/>
    </w:tbl>
    <w:p w14:paraId="178B3D68">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z w:val="21"/>
          <w:szCs w:val="21"/>
        </w:rPr>
        <w:t>（技术要求里另有注明的以技术要求为准）</w:t>
      </w:r>
      <w:r>
        <w:rPr>
          <w:rFonts w:ascii="宋体" w:hAnsi="宋体"/>
          <w:b/>
          <w:sz w:val="21"/>
          <w:szCs w:val="21"/>
        </w:rPr>
        <w:t>：</w:t>
      </w:r>
    </w:p>
    <w:tbl>
      <w:tblPr>
        <w:tblStyle w:val="21"/>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703D1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ADB4168">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5E31B59B">
            <w:pPr>
              <w:adjustRightInd w:val="0"/>
              <w:snapToGrid w:val="0"/>
              <w:spacing w:line="288" w:lineRule="auto"/>
              <w:rPr>
                <w:rFonts w:ascii="宋体" w:hAnsi="宋体" w:cs="宋体"/>
                <w:sz w:val="21"/>
                <w:szCs w:val="21"/>
                <w:highlight w:val="yellow"/>
              </w:rPr>
            </w:pPr>
            <w:r>
              <w:rPr>
                <w:rFonts w:hint="eastAsia" w:ascii="宋体" w:hAnsi="宋体"/>
                <w:sz w:val="21"/>
                <w:szCs w:val="21"/>
                <w:highlight w:val="none"/>
                <w:lang w:eastAsia="zh-CN"/>
              </w:rPr>
              <w:t>合同生效后90天内</w:t>
            </w:r>
          </w:p>
        </w:tc>
      </w:tr>
      <w:tr w14:paraId="0B6B4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53539BE">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49867DEF">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采购人指定地点</w:t>
            </w:r>
          </w:p>
        </w:tc>
      </w:tr>
      <w:tr w14:paraId="6FF63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27361D2">
            <w:pPr>
              <w:adjustRightInd w:val="0"/>
              <w:snapToGrid w:val="0"/>
              <w:spacing w:line="288" w:lineRule="auto"/>
              <w:jc w:val="center"/>
              <w:rPr>
                <w:rFonts w:ascii="宋体" w:hAnsi="宋体" w:cs="宋体"/>
                <w:b/>
                <w:bCs/>
                <w:sz w:val="21"/>
                <w:szCs w:val="21"/>
                <w:highlight w:val="none"/>
              </w:rPr>
            </w:pPr>
            <w:r>
              <w:rPr>
                <w:rFonts w:hint="eastAsia" w:ascii="宋体" w:hAnsi="宋体"/>
                <w:sz w:val="21"/>
                <w:szCs w:val="21"/>
                <w:highlight w:val="none"/>
              </w:rPr>
              <w:t>▲</w:t>
            </w:r>
            <w:r>
              <w:rPr>
                <w:rFonts w:hint="eastAsia" w:ascii="宋体" w:hAnsi="宋体" w:cs="宋体"/>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0A4CA40A">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年，项目验收合格后开始计算</w:t>
            </w:r>
          </w:p>
        </w:tc>
      </w:tr>
      <w:tr w14:paraId="07583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00615F6">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284D1525">
            <w:pPr>
              <w:adjustRightInd w:val="0"/>
              <w:snapToGrid w:val="0"/>
              <w:spacing w:line="288" w:lineRule="auto"/>
              <w:rPr>
                <w:rFonts w:ascii="宋体" w:hAnsi="宋体"/>
                <w:sz w:val="21"/>
                <w:szCs w:val="21"/>
              </w:rPr>
            </w:pPr>
            <w:r>
              <w:rPr>
                <w:rFonts w:hint="eastAsia" w:ascii="宋体" w:hAnsi="宋体"/>
                <w:sz w:val="21"/>
                <w:szCs w:val="21"/>
              </w:rPr>
              <w:t>1.质量保证：所供货物为符合国家技术规范和质量标准的合格产品且未曾使用，制造标准、安装标准及技术规范要求必须符合我国相关标准和采购人认可的有关国际标准并符合采购人的采购需求。</w:t>
            </w:r>
          </w:p>
          <w:p w14:paraId="465E087A">
            <w:pPr>
              <w:adjustRightInd w:val="0"/>
              <w:snapToGrid w:val="0"/>
              <w:spacing w:line="288" w:lineRule="auto"/>
              <w:rPr>
                <w:rFonts w:ascii="宋体" w:hAnsi="宋体"/>
                <w:sz w:val="21"/>
                <w:szCs w:val="21"/>
              </w:rPr>
            </w:pPr>
            <w:r>
              <w:rPr>
                <w:rFonts w:hint="eastAsia" w:ascii="宋体" w:hAnsi="宋体"/>
                <w:sz w:val="21"/>
                <w:szCs w:val="21"/>
              </w:rPr>
              <w:t>2.售后服务：</w:t>
            </w:r>
          </w:p>
          <w:p w14:paraId="12B4C014">
            <w:pPr>
              <w:adjustRightInd w:val="0"/>
              <w:snapToGrid w:val="0"/>
              <w:spacing w:line="288" w:lineRule="auto"/>
              <w:rPr>
                <w:rFonts w:ascii="宋体" w:hAnsi="宋体"/>
                <w:sz w:val="21"/>
                <w:szCs w:val="21"/>
              </w:rPr>
            </w:pPr>
            <w:r>
              <w:rPr>
                <w:rFonts w:hint="eastAsia" w:ascii="宋体" w:hAnsi="宋体"/>
                <w:sz w:val="21"/>
                <w:szCs w:val="21"/>
              </w:rPr>
              <w:t>2.1质保期内，供应商应当提供电话支持服务。质保期内产品发生故障问题，供应商接到采购人保修通知后2个小时内响应，需要现场解决故障的，应在接到采购人保修通知后12小时内到达采购人工作场所，到达现场后不超过48个小时内解决故障。对于质保期内不能修复的产品/部件，供应商应在确认不能修复后48个小时内免费更换备品备件。</w:t>
            </w:r>
          </w:p>
          <w:p w14:paraId="33A36D2E">
            <w:pPr>
              <w:adjustRightInd w:val="0"/>
              <w:snapToGrid w:val="0"/>
              <w:spacing w:line="288" w:lineRule="auto"/>
              <w:rPr>
                <w:rFonts w:ascii="宋体" w:hAnsi="宋体"/>
                <w:sz w:val="21"/>
                <w:szCs w:val="21"/>
              </w:rPr>
            </w:pPr>
            <w:r>
              <w:rPr>
                <w:rFonts w:hint="eastAsia" w:ascii="宋体" w:hAnsi="宋体"/>
                <w:sz w:val="21"/>
                <w:szCs w:val="21"/>
              </w:rPr>
              <w:t>2.2质保期内因产品质量出现问题，采购人有权要求供应商予以无条件维修、更换或退货。若采购人选择维修的，供应商应免费提供配件并现场维修。质保期内每发生一次不能及时排除的故障（相同故障发生超过2次或者到达现场后维修超48小时才排除故障的视为不能及时排除的故障），质保期相应延长60天。发生不能及时排除的故障的，采购人有权要求供应商立即以功能相同的符合本合同约定的产品替换故障产品或按照采购人要求采取其他补救措施。保修期内，如供应商未能按照本合同约定响应时间提供服务的，采购人有权委托第三方进行维修，维修费用由供应商承担；</w:t>
            </w:r>
          </w:p>
          <w:p w14:paraId="77D55208">
            <w:pPr>
              <w:adjustRightInd w:val="0"/>
              <w:snapToGrid w:val="0"/>
              <w:spacing w:line="288" w:lineRule="auto"/>
              <w:rPr>
                <w:rFonts w:ascii="宋体" w:hAnsi="宋体"/>
                <w:sz w:val="21"/>
                <w:szCs w:val="21"/>
              </w:rPr>
            </w:pPr>
            <w:r>
              <w:rPr>
                <w:rFonts w:hint="eastAsia" w:ascii="宋体" w:hAnsi="宋体"/>
                <w:sz w:val="21"/>
                <w:szCs w:val="21"/>
              </w:rPr>
              <w:t>2.3质保期外：质保期届满后，成交供应商仍对本合同项下货物提供有偿服务，且维修时只收取所需维修部件的市场成本价费用，服务内容应与质保期内的要求相一致。</w:t>
            </w:r>
          </w:p>
          <w:p w14:paraId="63C53EAC">
            <w:pPr>
              <w:adjustRightInd w:val="0"/>
              <w:snapToGrid w:val="0"/>
              <w:spacing w:line="288" w:lineRule="auto"/>
              <w:rPr>
                <w:rFonts w:ascii="宋体" w:hAnsi="宋体"/>
                <w:sz w:val="21"/>
                <w:szCs w:val="21"/>
              </w:rPr>
            </w:pPr>
            <w:r>
              <w:rPr>
                <w:rFonts w:hint="eastAsia" w:ascii="宋体" w:hAnsi="宋体"/>
                <w:sz w:val="21"/>
                <w:szCs w:val="21"/>
              </w:rPr>
              <w:t>3.软件产品必须为原厂商获得知识产权的合格产品；软件产品在质保期内免费维修、维护，免费提供软件升级；免费提供人员技术培训和提供与软件使用相关的文档资料。</w:t>
            </w:r>
          </w:p>
          <w:p w14:paraId="37533343">
            <w:pPr>
              <w:adjustRightInd w:val="0"/>
              <w:snapToGrid w:val="0"/>
              <w:spacing w:line="288" w:lineRule="auto"/>
              <w:rPr>
                <w:rFonts w:ascii="宋体" w:hAnsi="宋体"/>
                <w:sz w:val="21"/>
                <w:szCs w:val="21"/>
              </w:rPr>
            </w:pPr>
            <w:r>
              <w:rPr>
                <w:rFonts w:hint="eastAsia" w:ascii="宋体" w:hAnsi="宋体"/>
                <w:sz w:val="21"/>
                <w:szCs w:val="21"/>
              </w:rPr>
              <w:t>4.服务效率：</w:t>
            </w:r>
          </w:p>
          <w:p w14:paraId="28B845C5">
            <w:pPr>
              <w:adjustRightInd w:val="0"/>
              <w:snapToGrid w:val="0"/>
              <w:spacing w:line="288" w:lineRule="auto"/>
              <w:rPr>
                <w:rFonts w:ascii="宋体" w:hAnsi="宋体"/>
                <w:sz w:val="21"/>
                <w:szCs w:val="21"/>
              </w:rPr>
            </w:pPr>
            <w:r>
              <w:rPr>
                <w:rFonts w:hint="eastAsia" w:ascii="宋体" w:hAnsi="宋体"/>
                <w:sz w:val="21"/>
                <w:szCs w:val="21"/>
              </w:rPr>
              <w:t>4.1维修响应时间：成交供应商应在2小时内对采购人的服务要求作出响应；</w:t>
            </w:r>
          </w:p>
          <w:p w14:paraId="3EDFAE88">
            <w:pPr>
              <w:adjustRightInd w:val="0"/>
              <w:snapToGrid w:val="0"/>
              <w:spacing w:line="288" w:lineRule="auto"/>
              <w:rPr>
                <w:rFonts w:ascii="宋体" w:hAnsi="宋体"/>
                <w:sz w:val="21"/>
                <w:szCs w:val="21"/>
              </w:rPr>
            </w:pPr>
            <w:r>
              <w:rPr>
                <w:rFonts w:hint="eastAsia" w:ascii="宋体" w:hAnsi="宋体"/>
                <w:sz w:val="21"/>
                <w:szCs w:val="21"/>
              </w:rPr>
              <w:t>4.2解决问题时间：需要在现场解决问题的，应在12小时内到达采购人工作场所，不超过48个小时内解决故障；</w:t>
            </w:r>
          </w:p>
          <w:p w14:paraId="56F67970">
            <w:pPr>
              <w:adjustRightInd w:val="0"/>
              <w:snapToGrid w:val="0"/>
              <w:spacing w:line="288" w:lineRule="auto"/>
              <w:rPr>
                <w:rFonts w:ascii="宋体" w:hAnsi="宋体" w:cs="宋体"/>
                <w:sz w:val="21"/>
                <w:szCs w:val="21"/>
                <w:u w:val="single"/>
              </w:rPr>
            </w:pPr>
            <w:r>
              <w:rPr>
                <w:rFonts w:hint="eastAsia" w:ascii="宋体" w:hAnsi="宋体"/>
                <w:sz w:val="21"/>
                <w:szCs w:val="21"/>
              </w:rPr>
              <w:t>4.3备机提供时间：48小时内无法修复的。</w:t>
            </w:r>
          </w:p>
        </w:tc>
      </w:tr>
      <w:tr w14:paraId="0B13F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0B704B">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1A45EC19">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14:paraId="3957C85E">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14:paraId="0DCE6D71">
            <w:pPr>
              <w:adjustRightInd w:val="0"/>
              <w:snapToGrid w:val="0"/>
              <w:spacing w:line="288" w:lineRule="auto"/>
              <w:rPr>
                <w:rFonts w:ascii="宋体" w:hAnsi="宋体" w:cs="宋体"/>
                <w:sz w:val="21"/>
                <w:szCs w:val="21"/>
              </w:rPr>
            </w:pPr>
            <w:r>
              <w:rPr>
                <w:rFonts w:hint="eastAsia" w:ascii="宋体" w:hAnsi="宋体" w:cs="宋体"/>
                <w:sz w:val="21"/>
                <w:szCs w:val="21"/>
              </w:rPr>
              <w:t>2.1合同、磋商文件、响应文件；</w:t>
            </w:r>
          </w:p>
          <w:p w14:paraId="41AC1558">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14:paraId="6903B57A">
            <w:pPr>
              <w:adjustRightInd w:val="0"/>
              <w:snapToGrid w:val="0"/>
              <w:spacing w:line="288" w:lineRule="auto"/>
              <w:rPr>
                <w:rFonts w:ascii="宋体" w:hAnsi="宋体" w:cs="宋体"/>
                <w:sz w:val="21"/>
                <w:szCs w:val="21"/>
              </w:rPr>
            </w:pPr>
            <w:r>
              <w:rPr>
                <w:rFonts w:hint="eastAsia" w:ascii="宋体" w:hAnsi="宋体" w:cs="宋体"/>
                <w:sz w:val="21"/>
                <w:szCs w:val="21"/>
              </w:rPr>
              <w:t>2.3供应商响应文件中提供的经采购人认可的合同货物的验收标准（符合中国有关的国家、地方、行业标准）和检测办法及相应检测手段。</w:t>
            </w:r>
          </w:p>
          <w:p w14:paraId="15896E47">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0ABF325">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14:paraId="6134C10B">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4.1所供货物符合产品标准和合同的要求；</w:t>
            </w:r>
          </w:p>
          <w:p w14:paraId="19570130">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14:paraId="35B05B33">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14:paraId="733EF2DD">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14:paraId="352F3201">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r w14:paraId="4016D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CF8C9E">
            <w:pPr>
              <w:adjustRightInd w:val="0"/>
              <w:snapToGrid w:val="0"/>
              <w:spacing w:line="288" w:lineRule="auto"/>
              <w:jc w:val="center"/>
              <w:rPr>
                <w:rFonts w:ascii="宋体" w:hAnsi="宋体" w:eastAsia="宋体" w:cs="宋体"/>
                <w:sz w:val="21"/>
                <w:szCs w:val="21"/>
                <w:highlight w:val="none"/>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68C55AED">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供应商应按磋商文件规定的货物性能、技术要求、质量标准向采购人提供未经使用的全新产品，符合国家法律法规规定和技术规格、质量标准的出厂原装合格产品。</w:t>
            </w:r>
          </w:p>
          <w:p w14:paraId="6531F40E">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14:paraId="44293D82">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14:paraId="2C8EF238">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14:paraId="2EC54CC0">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14:paraId="3F1CE072">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14:paraId="6DEA3EB5">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14:paraId="2CEDEF95">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14:paraId="3388E864">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14:paraId="606DB8F2">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.6供应商在响应文件中应提供安装调试计划、对安装场地和环境的要求。</w:t>
            </w:r>
          </w:p>
          <w:p w14:paraId="28533EE9">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14:paraId="181479AD">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14:paraId="4AFE8847">
            <w:pPr>
              <w:adjustRightInd w:val="0"/>
              <w:snapToGrid w:val="0"/>
              <w:spacing w:line="288" w:lineRule="auto"/>
              <w:rPr>
                <w:rFonts w:ascii="宋体" w:hAnsi="宋体" w:eastAsia="宋体" w:cs="宋体"/>
                <w:sz w:val="21"/>
                <w:szCs w:val="21"/>
                <w:highlight w:val="none"/>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14:paraId="13CD3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F45A7C5">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5DCCA505">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14:paraId="6DD8ED7F">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14:paraId="1D6D681B">
            <w:pPr>
              <w:adjustRightInd w:val="0"/>
              <w:snapToGrid w:val="0"/>
              <w:spacing w:line="288" w:lineRule="auto"/>
              <w:rPr>
                <w:rFonts w:ascii="宋体" w:hAnsi="宋体" w:cs="宋体"/>
                <w:sz w:val="21"/>
                <w:szCs w:val="21"/>
                <w:highlight w:val="none"/>
              </w:rPr>
            </w:pPr>
            <w:r>
              <w:rPr>
                <w:rFonts w:hint="eastAsia" w:ascii="宋体" w:hAnsi="宋体" w:cs="宋体"/>
                <w:sz w:val="21"/>
                <w:szCs w:val="21"/>
              </w:rPr>
              <w:t>上述内容的实现方式、时间、地点、人数应在响应文件中详细说明。</w:t>
            </w:r>
          </w:p>
        </w:tc>
      </w:tr>
    </w:tbl>
    <w:p w14:paraId="47A8D1CD">
      <w:pPr>
        <w:adjustRightInd w:val="0"/>
        <w:snapToGrid w:val="0"/>
        <w:spacing w:line="288" w:lineRule="auto"/>
        <w:outlineLvl w:val="1"/>
        <w:rPr>
          <w:rFonts w:ascii="宋体" w:hAnsi="宋体"/>
          <w:b/>
          <w:sz w:val="21"/>
          <w:szCs w:val="21"/>
        </w:rPr>
      </w:pPr>
      <w:r>
        <w:rPr>
          <w:rFonts w:hint="eastAsia" w:ascii="宋体" w:hAnsi="宋体"/>
          <w:b/>
          <w:sz w:val="21"/>
          <w:szCs w:val="21"/>
        </w:rPr>
        <w:t>三</w:t>
      </w:r>
      <w:r>
        <w:rPr>
          <w:rFonts w:ascii="宋体" w:hAnsi="宋体"/>
          <w:b/>
          <w:sz w:val="21"/>
          <w:szCs w:val="21"/>
        </w:rPr>
        <w:t>、技术要求</w:t>
      </w:r>
      <w:r>
        <w:rPr>
          <w:rFonts w:hint="eastAsia" w:ascii="宋体" w:hAnsi="宋体"/>
          <w:b/>
          <w:sz w:val="21"/>
          <w:szCs w:val="21"/>
        </w:rPr>
        <w:t>：</w:t>
      </w:r>
    </w:p>
    <w:p w14:paraId="0BEA29B6">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b/>
          <w:bCs/>
          <w:sz w:val="21"/>
          <w:szCs w:val="21"/>
          <w:highlight w:val="none"/>
        </w:rPr>
        <w:t>：</w:t>
      </w:r>
      <w:r>
        <w:rPr>
          <w:rFonts w:hint="eastAsia" w:ascii="宋体" w:hAnsi="宋体"/>
          <w:sz w:val="21"/>
          <w:szCs w:val="21"/>
          <w:highlight w:val="none"/>
        </w:rPr>
        <w:t>如技术要求中未注明需执行的国家相关标准、行业标准、地方标准或者其他标准、规范的，执行最新标准、规范。</w:t>
      </w:r>
    </w:p>
    <w:p w14:paraId="2CA9B4F9">
      <w:pPr>
        <w:adjustRightInd w:val="0"/>
        <w:snapToGrid w:val="0"/>
        <w:spacing w:line="288" w:lineRule="auto"/>
        <w:rPr>
          <w:rFonts w:ascii="宋体" w:hAnsi="宋体" w:cs="宋体"/>
          <w:b/>
          <w:bCs/>
          <w:sz w:val="21"/>
          <w:szCs w:val="21"/>
          <w:highlight w:val="none"/>
        </w:rPr>
      </w:pPr>
      <w:r>
        <w:rPr>
          <w:rFonts w:ascii="宋体" w:hAnsi="宋体" w:cs="宋体"/>
          <w:b/>
          <w:bCs/>
          <w:sz w:val="21"/>
          <w:szCs w:val="21"/>
          <w:highlight w:val="none"/>
        </w:rPr>
        <w:t>2</w:t>
      </w:r>
      <w:r>
        <w:rPr>
          <w:rFonts w:hint="eastAsia" w:ascii="宋体" w:hAnsi="宋体" w:cs="宋体"/>
          <w:b/>
          <w:bCs/>
          <w:sz w:val="21"/>
          <w:szCs w:val="21"/>
          <w:highlight w:val="none"/>
        </w:rPr>
        <w:t>.需实现的功能或者目标：</w:t>
      </w:r>
      <w:r>
        <w:rPr>
          <w:rFonts w:hint="eastAsia" w:ascii="宋体" w:hAnsi="宋体" w:cs="宋体"/>
          <w:b w:val="0"/>
          <w:bCs w:val="0"/>
          <w:sz w:val="21"/>
          <w:szCs w:val="21"/>
          <w:lang w:val="en-US" w:eastAsia="zh-CN"/>
        </w:rPr>
        <w:t>系统</w:t>
      </w:r>
      <w:r>
        <w:rPr>
          <w:rFonts w:hint="eastAsia" w:ascii="宋体" w:hAnsi="宋体" w:cs="宋体"/>
          <w:b w:val="0"/>
          <w:bCs w:val="0"/>
          <w:sz w:val="21"/>
          <w:szCs w:val="21"/>
        </w:rPr>
        <w:t>基于非线性光学原理的双光子光致发光检测宽禁带半导体中的缺陷，通过使用长波长的飞秒脉冲光激发，提高穿透深度；并通过双光子效应的极高光学层析能力，无需共聚焦针孔即可实现高分辨率深度成像。</w:t>
      </w:r>
    </w:p>
    <w:p w14:paraId="37F24122">
      <w:pPr>
        <w:adjustRightInd w:val="0"/>
        <w:snapToGrid w:val="0"/>
        <w:spacing w:line="288" w:lineRule="auto"/>
        <w:rPr>
          <w:rFonts w:ascii="宋体" w:hAnsi="宋体"/>
          <w:b/>
          <w:bCs/>
          <w:spacing w:val="-4"/>
          <w:sz w:val="21"/>
          <w:szCs w:val="21"/>
          <w:highlight w:val="none"/>
        </w:rPr>
      </w:pPr>
      <w:r>
        <w:rPr>
          <w:rFonts w:ascii="宋体" w:hAnsi="宋体"/>
          <w:b/>
          <w:bCs/>
          <w:spacing w:val="-4"/>
          <w:sz w:val="21"/>
          <w:szCs w:val="21"/>
          <w:highlight w:val="none"/>
        </w:rPr>
        <w:t>3.</w:t>
      </w:r>
      <w:r>
        <w:rPr>
          <w:rFonts w:hint="eastAsia" w:ascii="宋体" w:hAnsi="宋体"/>
          <w:b/>
          <w:bCs/>
          <w:spacing w:val="-4"/>
          <w:sz w:val="21"/>
          <w:szCs w:val="21"/>
          <w:highlight w:val="none"/>
        </w:rPr>
        <w:t>需满足的质量、安全、技术规格、物理特性等要求：</w:t>
      </w:r>
    </w:p>
    <w:tbl>
      <w:tblPr>
        <w:tblStyle w:val="21"/>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3BC2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CF232D2">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1810" w:type="dxa"/>
            <w:vAlign w:val="center"/>
          </w:tcPr>
          <w:p w14:paraId="73CC5951">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名称</w:t>
            </w:r>
          </w:p>
        </w:tc>
        <w:tc>
          <w:tcPr>
            <w:tcW w:w="661" w:type="dxa"/>
            <w:vAlign w:val="center"/>
          </w:tcPr>
          <w:p w14:paraId="264EAAB8">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数量</w:t>
            </w:r>
          </w:p>
        </w:tc>
        <w:tc>
          <w:tcPr>
            <w:tcW w:w="661" w:type="dxa"/>
            <w:vAlign w:val="center"/>
          </w:tcPr>
          <w:p w14:paraId="2BC2489B">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单位</w:t>
            </w:r>
          </w:p>
        </w:tc>
        <w:tc>
          <w:tcPr>
            <w:tcW w:w="6269" w:type="dxa"/>
            <w:vAlign w:val="center"/>
          </w:tcPr>
          <w:p w14:paraId="0F4EFC77">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（功能或者目标）、质量、安全、技术规格、物理特性等要求</w:t>
            </w:r>
          </w:p>
        </w:tc>
      </w:tr>
      <w:tr w14:paraId="50CE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2AB62DB">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1810" w:type="dxa"/>
            <w:vAlign w:val="center"/>
          </w:tcPr>
          <w:p w14:paraId="4E3186A9">
            <w:pPr>
              <w:adjustRightInd w:val="0"/>
              <w:snapToGrid w:val="0"/>
              <w:spacing w:line="288" w:lineRule="auto"/>
              <w:jc w:val="center"/>
              <w:rPr>
                <w:rFonts w:hint="eastAsia" w:ascii="宋体" w:hAnsi="宋体" w:eastAsia="宋体"/>
                <w:b/>
                <w:bCs/>
                <w:sz w:val="21"/>
                <w:szCs w:val="21"/>
              </w:rPr>
            </w:pPr>
            <w:r>
              <w:rPr>
                <w:rFonts w:hint="eastAsia" w:ascii="宋体" w:hAnsi="宋体" w:eastAsia="宋体"/>
                <w:b/>
                <w:bCs/>
                <w:sz w:val="21"/>
                <w:szCs w:val="21"/>
                <w:lang w:eastAsia="zh-CN"/>
              </w:rPr>
              <w:t>双光子光致发光显微成像系统</w:t>
            </w:r>
          </w:p>
        </w:tc>
        <w:tc>
          <w:tcPr>
            <w:tcW w:w="661" w:type="dxa"/>
            <w:vAlign w:val="center"/>
          </w:tcPr>
          <w:p w14:paraId="004B930E">
            <w:pPr>
              <w:adjustRightInd w:val="0"/>
              <w:snapToGrid w:val="0"/>
              <w:spacing w:line="288" w:lineRule="auto"/>
              <w:jc w:val="center"/>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1</w:t>
            </w:r>
          </w:p>
        </w:tc>
        <w:tc>
          <w:tcPr>
            <w:tcW w:w="661" w:type="dxa"/>
            <w:vAlign w:val="center"/>
          </w:tcPr>
          <w:p w14:paraId="606F5428">
            <w:pPr>
              <w:adjustRightInd w:val="0"/>
              <w:snapToGrid w:val="0"/>
              <w:spacing w:line="288" w:lineRule="auto"/>
              <w:jc w:val="center"/>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台</w:t>
            </w:r>
          </w:p>
        </w:tc>
        <w:tc>
          <w:tcPr>
            <w:tcW w:w="6269" w:type="dxa"/>
            <w:vAlign w:val="center"/>
          </w:tcPr>
          <w:p w14:paraId="65CBC6D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val="0"/>
                <w:bCs w:val="0"/>
                <w:sz w:val="21"/>
                <w:szCs w:val="21"/>
                <w:lang w:val="en-US" w:eastAsia="zh-CN"/>
              </w:rPr>
            </w:pPr>
            <w:r>
              <w:rPr>
                <w:rFonts w:hint="eastAsia" w:ascii="宋体" w:hAnsi="宋体" w:cs="宋体"/>
                <w:b/>
                <w:bCs/>
                <w:sz w:val="21"/>
                <w:szCs w:val="21"/>
                <w:lang w:val="en-US" w:eastAsia="zh-CN"/>
              </w:rPr>
              <w:t>1.</w:t>
            </w:r>
            <w:r>
              <w:rPr>
                <w:rFonts w:hint="eastAsia" w:ascii="宋体" w:hAnsi="宋体" w:eastAsia="宋体" w:cs="宋体"/>
                <w:b/>
                <w:bCs/>
                <w:sz w:val="21"/>
                <w:szCs w:val="21"/>
                <w:lang w:val="en-US" w:eastAsia="zh-CN"/>
              </w:rPr>
              <w:t>飞秒激光器：</w:t>
            </w:r>
            <w:r>
              <w:rPr>
                <w:rFonts w:hint="eastAsia" w:ascii="宋体" w:hAnsi="宋体" w:eastAsia="宋体" w:cs="宋体"/>
                <w:b w:val="0"/>
                <w:bCs w:val="0"/>
                <w:sz w:val="21"/>
                <w:szCs w:val="21"/>
                <w:lang w:val="en-US" w:eastAsia="zh-CN"/>
              </w:rPr>
              <w:t>可实现飞秒激光输出</w:t>
            </w:r>
            <w:r>
              <w:rPr>
                <w:rFonts w:hint="eastAsia" w:ascii="宋体" w:hAnsi="宋体" w:cs="宋体"/>
                <w:b w:val="0"/>
                <w:bCs w:val="0"/>
                <w:sz w:val="21"/>
                <w:szCs w:val="21"/>
                <w:lang w:val="en-US" w:eastAsia="zh-CN"/>
              </w:rPr>
              <w:t>。</w:t>
            </w:r>
          </w:p>
          <w:p w14:paraId="28271D8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▲1.1.通道波长：780nm。</w:t>
            </w:r>
          </w:p>
          <w:p w14:paraId="42581D2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1"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2.光学显微镜及配件：</w:t>
            </w:r>
            <w:r>
              <w:rPr>
                <w:rFonts w:hint="eastAsia" w:ascii="宋体" w:hAnsi="宋体" w:eastAsia="宋体" w:cs="宋体"/>
                <w:b w:val="0"/>
                <w:bCs w:val="0"/>
                <w:sz w:val="21"/>
                <w:szCs w:val="21"/>
                <w:lang w:val="en-US" w:eastAsia="zh-CN"/>
              </w:rPr>
              <w:t>包括一台正置龙门式显微镜机架，标配60X1.2NA水镜，聚光器、相机观察方式。</w:t>
            </w:r>
          </w:p>
          <w:p w14:paraId="127152C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2.1.正置龙门式显微镜机架。</w:t>
            </w:r>
          </w:p>
          <w:p w14:paraId="5CCF816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2.2.内置LED，落射式照明光路。</w:t>
            </w:r>
          </w:p>
          <w:p w14:paraId="079CC1E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2.3.物镜转换器。</w:t>
            </w:r>
          </w:p>
          <w:p w14:paraId="469FB02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▲2.4.60X1.2NA水镜。</w:t>
            </w:r>
          </w:p>
          <w:p w14:paraId="26F53D0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▲2.5.选配其中一个空气镜：40X0.95NA和20X0.8NA。</w:t>
            </w:r>
          </w:p>
          <w:p w14:paraId="229F45D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▲2.6.电动载物台及固定适配器，具备大晶圆Mapping功能,支持6英寸以上晶圆检测。</w:t>
            </w:r>
          </w:p>
          <w:p w14:paraId="0E7B388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2.7.图像分辨率：≤400nm。</w:t>
            </w:r>
          </w:p>
          <w:p w14:paraId="4ED9B3B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2.8.电动Z轴物镜移动，行程</w:t>
            </w:r>
            <w:r>
              <w:rPr>
                <w:rFonts w:hint="eastAsia" w:ascii="宋体" w:hAnsi="宋体" w:cs="宋体"/>
                <w:b w:val="0"/>
                <w:bCs w:val="0"/>
                <w:sz w:val="21"/>
                <w:szCs w:val="21"/>
                <w:lang w:val="en-US" w:eastAsia="zh-CN"/>
              </w:rPr>
              <w:t>30</w:t>
            </w:r>
            <w:r>
              <w:rPr>
                <w:rFonts w:hint="eastAsia" w:ascii="宋体" w:hAnsi="宋体" w:eastAsia="宋体" w:cs="宋体"/>
                <w:b w:val="0"/>
                <w:bCs w:val="0"/>
                <w:sz w:val="21"/>
                <w:szCs w:val="21"/>
                <w:lang w:val="en-US" w:eastAsia="zh-CN"/>
              </w:rPr>
              <w:t>mm，分辨率&lt;0.5µm</w:t>
            </w:r>
            <w:r>
              <w:rPr>
                <w:rFonts w:hint="eastAsia" w:ascii="宋体" w:hAnsi="宋体" w:cs="宋体"/>
                <w:b w:val="0"/>
                <w:bCs w:val="0"/>
                <w:sz w:val="21"/>
                <w:szCs w:val="21"/>
                <w:lang w:val="en-US" w:eastAsia="zh-CN"/>
              </w:rPr>
              <w:t>。</w:t>
            </w:r>
          </w:p>
          <w:p w14:paraId="4A9C351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1"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3.光学传输系统：</w:t>
            </w:r>
            <w:r>
              <w:rPr>
                <w:rFonts w:hint="eastAsia" w:ascii="宋体" w:hAnsi="宋体" w:eastAsia="宋体" w:cs="宋体"/>
                <w:b w:val="0"/>
                <w:bCs w:val="0"/>
                <w:sz w:val="21"/>
                <w:szCs w:val="21"/>
                <w:lang w:val="en-US" w:eastAsia="zh-CN"/>
              </w:rPr>
              <w:t>包括定制化的光学反射镜，4f透镜组，带通滤光片等，可以实现发射光的高效传输。</w:t>
            </w:r>
          </w:p>
          <w:p w14:paraId="3A56855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3.1.4f透镜组，可以实现1-3倍光斑无损缩放，低像差，高稳定度。</w:t>
            </w:r>
          </w:p>
          <w:p w14:paraId="525BA91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▲3.2.带通滤光片：420nm、480nm。</w:t>
            </w:r>
          </w:p>
          <w:p w14:paraId="3101626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4.光学扫描系统：</w:t>
            </w:r>
            <w:r>
              <w:rPr>
                <w:rFonts w:hint="eastAsia" w:ascii="宋体" w:hAnsi="宋体" w:eastAsia="宋体" w:cs="宋体"/>
                <w:b w:val="0"/>
                <w:bCs w:val="0"/>
                <w:sz w:val="21"/>
                <w:szCs w:val="21"/>
                <w:lang w:val="en-US" w:eastAsia="zh-CN"/>
              </w:rPr>
              <w:t>采用了XY双轴振镜扫描系统，可以匹配5mm的最大光斑尺寸，实现</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度的扫描范围。</w:t>
            </w:r>
          </w:p>
          <w:p w14:paraId="717C15C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4.1.</w:t>
            </w:r>
            <w:r>
              <w:rPr>
                <w:rFonts w:hint="eastAsia" w:ascii="宋体" w:hAnsi="宋体" w:cs="宋体"/>
                <w:b w:val="0"/>
                <w:bCs w:val="0"/>
                <w:sz w:val="21"/>
                <w:szCs w:val="21"/>
                <w:lang w:val="en-US" w:eastAsia="zh-CN"/>
              </w:rPr>
              <w:t>X</w:t>
            </w:r>
            <w:r>
              <w:rPr>
                <w:rFonts w:hint="eastAsia" w:ascii="宋体" w:hAnsi="宋体" w:eastAsia="宋体" w:cs="宋体"/>
                <w:b w:val="0"/>
                <w:bCs w:val="0"/>
                <w:sz w:val="21"/>
                <w:szCs w:val="21"/>
                <w:lang w:val="en-US" w:eastAsia="zh-CN"/>
              </w:rPr>
              <w:t>Y双轴振镜扫描系统。</w:t>
            </w:r>
          </w:p>
          <w:p w14:paraId="3B9B44A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4.2.波长范围：500–2000nm。</w:t>
            </w:r>
          </w:p>
          <w:p w14:paraId="1872927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w:t>
            </w:r>
            <w:r>
              <w:rPr>
                <w:rFonts w:hint="eastAsia"/>
                <w:b w:val="0"/>
                <w:bCs w:val="0"/>
                <w:sz w:val="24"/>
                <w:szCs w:val="24"/>
                <w:lang w:val="en-US" w:eastAsia="zh-CN"/>
              </w:rPr>
              <w:t>损</w:t>
            </w:r>
            <w:r>
              <w:rPr>
                <w:rFonts w:hint="eastAsia" w:ascii="宋体" w:hAnsi="宋体" w:eastAsia="宋体" w:cs="宋体"/>
                <w:b w:val="0"/>
                <w:bCs w:val="0"/>
                <w:sz w:val="21"/>
                <w:szCs w:val="21"/>
                <w:lang w:val="en-US" w:eastAsia="zh-CN"/>
              </w:rPr>
              <w:t>伤阈值：3J/cm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lang w:val="en-US" w:eastAsia="zh-CN"/>
              </w:rPr>
              <w:t>at1064nm, 10ns激光脉冲宽度。</w:t>
            </w:r>
          </w:p>
          <w:p w14:paraId="12E6723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4.4.可以匹配5mm最大光斑尺寸。</w:t>
            </w:r>
          </w:p>
          <w:p w14:paraId="655F150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4.5.分辨率：</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15urad。</w:t>
            </w:r>
          </w:p>
          <w:p w14:paraId="62843D1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4.6</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lang w:val="en-US" w:eastAsia="zh-CN"/>
              </w:rPr>
              <w:t>度的光学扫描范围，线性度高，图像低畸变。</w:t>
            </w:r>
          </w:p>
          <w:p w14:paraId="6245C36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val="0"/>
                <w:bCs w:val="0"/>
                <w:sz w:val="21"/>
                <w:szCs w:val="21"/>
                <w:lang w:val="en-US" w:eastAsia="zh-CN"/>
              </w:rPr>
            </w:pPr>
            <w:r>
              <w:rPr>
                <w:rFonts w:hint="eastAsia" w:ascii="宋体" w:hAnsi="宋体" w:cs="宋体"/>
                <w:b/>
                <w:bCs/>
                <w:sz w:val="21"/>
                <w:szCs w:val="21"/>
                <w:lang w:val="en-US" w:eastAsia="zh-CN"/>
              </w:rPr>
              <w:t>5.</w:t>
            </w:r>
            <w:r>
              <w:rPr>
                <w:rFonts w:hint="eastAsia" w:ascii="宋体" w:hAnsi="宋体" w:eastAsia="宋体" w:cs="宋体"/>
                <w:b/>
                <w:bCs/>
                <w:sz w:val="21"/>
                <w:szCs w:val="21"/>
                <w:lang w:val="en-US" w:eastAsia="zh-CN"/>
              </w:rPr>
              <w:t>双光子显微成像模块：</w:t>
            </w:r>
            <w:r>
              <w:rPr>
                <w:rFonts w:hint="eastAsia" w:ascii="宋体" w:hAnsi="宋体" w:eastAsia="宋体" w:cs="宋体"/>
                <w:b w:val="0"/>
                <w:bCs w:val="0"/>
                <w:sz w:val="21"/>
                <w:szCs w:val="21"/>
                <w:lang w:val="en-US" w:eastAsia="zh-CN"/>
              </w:rPr>
              <w:t>采用光电探测器及其配套组件用于高效收集双光子显微成像信号。</w:t>
            </w:r>
          </w:p>
          <w:p w14:paraId="3E115B9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▲5.1.硅光电倍增探测器：400-600nm、600-900nm双通道。</w:t>
            </w:r>
          </w:p>
          <w:p w14:paraId="7CA15B6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5.2.预留1个光纤接口供后续接拉曼光谱仪。</w:t>
            </w:r>
          </w:p>
          <w:p w14:paraId="01C5D8D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6.信号处理及分析软件：</w:t>
            </w:r>
            <w:r>
              <w:rPr>
                <w:rFonts w:hint="eastAsia" w:ascii="宋体" w:hAnsi="宋体" w:eastAsia="宋体" w:cs="宋体"/>
                <w:b w:val="0"/>
                <w:bCs w:val="0"/>
                <w:sz w:val="21"/>
                <w:szCs w:val="21"/>
                <w:lang w:val="en-US" w:eastAsia="zh-CN"/>
              </w:rPr>
              <w:t>基于C++或其他标准编程定制化开发，可以实现图像显示控制，图像计数，数据保存，扫描速度，视场调整等功能。</w:t>
            </w:r>
          </w:p>
          <w:p w14:paraId="354DC35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6.1.基于C++或其他标准编程定制化开发</w:t>
            </w:r>
          </w:p>
          <w:p w14:paraId="4E2B6EE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6.1.1.图形化操作界面，可设置更改扫描步长、像素积分时间等成像参数</w:t>
            </w:r>
            <w:r>
              <w:rPr>
                <w:rFonts w:hint="eastAsia" w:ascii="宋体" w:hAnsi="宋体" w:cs="宋体"/>
                <w:b w:val="0"/>
                <w:bCs w:val="0"/>
                <w:sz w:val="21"/>
                <w:szCs w:val="21"/>
                <w:lang w:val="en-US" w:eastAsia="zh-CN"/>
              </w:rPr>
              <w:t>。</w:t>
            </w:r>
          </w:p>
          <w:p w14:paraId="6344555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6.1.2.重建并可保存双光子发射图像，以及高精度双光子三维成像及图像重建</w:t>
            </w:r>
            <w:r>
              <w:rPr>
                <w:rFonts w:hint="eastAsia" w:ascii="宋体" w:hAnsi="宋体" w:cs="宋体"/>
                <w:b w:val="0"/>
                <w:bCs w:val="0"/>
                <w:sz w:val="21"/>
                <w:szCs w:val="21"/>
                <w:lang w:val="en-US" w:eastAsia="zh-CN"/>
              </w:rPr>
              <w:t>。</w:t>
            </w:r>
          </w:p>
          <w:p w14:paraId="7B3A507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6.2.图像显示控制</w:t>
            </w:r>
          </w:p>
          <w:p w14:paraId="70C50D1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6.2.1.可调整图像显示色彩，支持灰度、彩色等显示</w:t>
            </w:r>
            <w:r>
              <w:rPr>
                <w:rFonts w:hint="eastAsia" w:ascii="宋体" w:hAnsi="宋体" w:cs="宋体"/>
                <w:b w:val="0"/>
                <w:bCs w:val="0"/>
                <w:sz w:val="21"/>
                <w:szCs w:val="21"/>
                <w:lang w:val="en-US" w:eastAsia="zh-CN"/>
              </w:rPr>
              <w:t>。</w:t>
            </w:r>
          </w:p>
          <w:p w14:paraId="6DAD15B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6.2.2.可调整图像显示尺寸大小</w:t>
            </w:r>
            <w:r>
              <w:rPr>
                <w:rFonts w:hint="eastAsia" w:ascii="宋体" w:hAnsi="宋体" w:cs="宋体"/>
                <w:b w:val="0"/>
                <w:bCs w:val="0"/>
                <w:sz w:val="21"/>
                <w:szCs w:val="21"/>
                <w:lang w:val="en-US" w:eastAsia="zh-CN"/>
              </w:rPr>
              <w:t>。</w:t>
            </w:r>
          </w:p>
          <w:p w14:paraId="162DEB4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6.3.图像计数</w:t>
            </w:r>
          </w:p>
          <w:p w14:paraId="379939B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6.3.1.设置并显示当前采集帧数</w:t>
            </w:r>
            <w:r>
              <w:rPr>
                <w:rFonts w:hint="eastAsia" w:ascii="宋体" w:hAnsi="宋体" w:cs="宋体"/>
                <w:b w:val="0"/>
                <w:bCs w:val="0"/>
                <w:sz w:val="21"/>
                <w:szCs w:val="21"/>
                <w:lang w:val="en-US" w:eastAsia="zh-CN"/>
              </w:rPr>
              <w:t>。</w:t>
            </w:r>
          </w:p>
          <w:p w14:paraId="7C9E631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6.4.数据保存</w:t>
            </w:r>
          </w:p>
          <w:p w14:paraId="40C6F71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6.4.1.数据保存为.txt格式，可被Matlab、ImageJ等软件打开并处理</w:t>
            </w:r>
            <w:r>
              <w:rPr>
                <w:rFonts w:hint="eastAsia" w:ascii="宋体" w:hAnsi="宋体" w:cs="宋体"/>
                <w:b w:val="0"/>
                <w:bCs w:val="0"/>
                <w:sz w:val="21"/>
                <w:szCs w:val="21"/>
                <w:lang w:val="en-US" w:eastAsia="zh-CN"/>
              </w:rPr>
              <w:t>。</w:t>
            </w:r>
          </w:p>
          <w:p w14:paraId="20855F0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6.5.扫描速度调整</w:t>
            </w:r>
            <w:r>
              <w:rPr>
                <w:rFonts w:hint="eastAsia" w:ascii="宋体" w:hAnsi="宋体" w:cs="宋体"/>
                <w:b w:val="0"/>
                <w:bCs w:val="0"/>
                <w:sz w:val="21"/>
                <w:szCs w:val="21"/>
                <w:lang w:val="en-US" w:eastAsia="zh-CN"/>
              </w:rPr>
              <w:t>。</w:t>
            </w:r>
          </w:p>
          <w:p w14:paraId="1D5CE24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6.6.视场调整功能</w:t>
            </w:r>
            <w:r>
              <w:rPr>
                <w:rFonts w:hint="eastAsia" w:ascii="宋体" w:hAnsi="宋体" w:cs="宋体"/>
                <w:b w:val="0"/>
                <w:bCs w:val="0"/>
                <w:sz w:val="21"/>
                <w:szCs w:val="21"/>
                <w:lang w:val="en-US" w:eastAsia="zh-CN"/>
              </w:rPr>
              <w:t>。</w:t>
            </w:r>
          </w:p>
          <w:p w14:paraId="585C224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7.3D模块：</w:t>
            </w:r>
            <w:r>
              <w:rPr>
                <w:rFonts w:hint="eastAsia" w:ascii="宋体" w:hAnsi="宋体" w:eastAsia="宋体" w:cs="宋体"/>
                <w:b w:val="0"/>
                <w:bCs w:val="0"/>
                <w:sz w:val="21"/>
                <w:szCs w:val="21"/>
                <w:lang w:val="en-US" w:eastAsia="zh-CN"/>
              </w:rPr>
              <w:t>基于VTK联合WPF界面开发，可以实现多种文件格式的图像三维渲染。</w:t>
            </w:r>
          </w:p>
          <w:p w14:paraId="601FFAF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7.1.支持读入.tiff、.tif、.jpg、.jpeg、.png、.bmp等常用图像序列</w:t>
            </w:r>
            <w:r>
              <w:rPr>
                <w:rFonts w:hint="eastAsia" w:ascii="宋体" w:hAnsi="宋体" w:cs="宋体"/>
                <w:b w:val="0"/>
                <w:bCs w:val="0"/>
                <w:sz w:val="21"/>
                <w:szCs w:val="21"/>
                <w:lang w:val="en-US" w:eastAsia="zh-CN"/>
              </w:rPr>
              <w:t>。</w:t>
            </w:r>
          </w:p>
          <w:p w14:paraId="6A736A7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7.2.支持读入.mha、.mhd、.vtk等三维图像文件</w:t>
            </w:r>
            <w:r>
              <w:rPr>
                <w:rFonts w:hint="eastAsia" w:ascii="宋体" w:hAnsi="宋体" w:cs="宋体"/>
                <w:b w:val="0"/>
                <w:bCs w:val="0"/>
                <w:sz w:val="21"/>
                <w:szCs w:val="21"/>
                <w:lang w:val="en-US" w:eastAsia="zh-CN"/>
              </w:rPr>
              <w:t>。</w:t>
            </w:r>
          </w:p>
          <w:p w14:paraId="47367C2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7.3.支持多种重建方法：多平面重建（MRP）、体绘制（VR）</w:t>
            </w:r>
            <w:r>
              <w:rPr>
                <w:rFonts w:hint="eastAsia" w:ascii="宋体" w:hAnsi="宋体" w:cs="宋体"/>
                <w:b w:val="0"/>
                <w:bCs w:val="0"/>
                <w:sz w:val="21"/>
                <w:szCs w:val="21"/>
                <w:lang w:val="en-US" w:eastAsia="zh-CN"/>
              </w:rPr>
              <w:t>。</w:t>
            </w:r>
          </w:p>
          <w:p w14:paraId="4FF3E19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7.4.可实现多种颜色渲染，支持分类后图像序列的自定义颜色渲染</w:t>
            </w:r>
            <w:r>
              <w:rPr>
                <w:rFonts w:hint="eastAsia" w:ascii="宋体" w:hAnsi="宋体" w:cs="宋体"/>
                <w:b w:val="0"/>
                <w:bCs w:val="0"/>
                <w:sz w:val="21"/>
                <w:szCs w:val="21"/>
                <w:lang w:val="en-US" w:eastAsia="zh-CN"/>
              </w:rPr>
              <w:t>。</w:t>
            </w:r>
          </w:p>
          <w:p w14:paraId="4B8F017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7.5.支持数据保存</w:t>
            </w:r>
            <w:r>
              <w:rPr>
                <w:rFonts w:hint="eastAsia" w:ascii="宋体" w:hAnsi="宋体" w:cs="宋体"/>
                <w:b w:val="0"/>
                <w:bCs w:val="0"/>
                <w:sz w:val="21"/>
                <w:szCs w:val="21"/>
                <w:lang w:val="en-US" w:eastAsia="zh-CN"/>
              </w:rPr>
              <w:t>。</w:t>
            </w:r>
          </w:p>
          <w:p w14:paraId="0C335AB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7.5.1.窗口保存为常用图像格式</w:t>
            </w:r>
            <w:r>
              <w:rPr>
                <w:rFonts w:hint="eastAsia" w:ascii="宋体" w:hAnsi="宋体" w:cs="宋体"/>
                <w:b w:val="0"/>
                <w:bCs w:val="0"/>
                <w:sz w:val="21"/>
                <w:szCs w:val="21"/>
                <w:lang w:val="en-US" w:eastAsia="zh-CN"/>
              </w:rPr>
              <w:t>。</w:t>
            </w:r>
          </w:p>
          <w:p w14:paraId="4B848DF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7.5.2.可保存重建后的3D格式文件，保存后的文件支持3DSlicer、MITK等软件打开并处理</w:t>
            </w:r>
            <w:r>
              <w:rPr>
                <w:rFonts w:hint="eastAsia" w:ascii="宋体" w:hAnsi="宋体" w:cs="宋体"/>
                <w:b w:val="0"/>
                <w:bCs w:val="0"/>
                <w:sz w:val="21"/>
                <w:szCs w:val="21"/>
                <w:lang w:val="en-US" w:eastAsia="zh-CN"/>
              </w:rPr>
              <w:t>。</w:t>
            </w:r>
          </w:p>
          <w:p w14:paraId="26C0F62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7.6.交互</w:t>
            </w:r>
          </w:p>
          <w:p w14:paraId="343008A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7.6.1</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MPR窗口支持任意角度切片观察</w:t>
            </w:r>
            <w:r>
              <w:rPr>
                <w:rFonts w:hint="eastAsia" w:ascii="宋体" w:hAnsi="宋体" w:cs="宋体"/>
                <w:b w:val="0"/>
                <w:bCs w:val="0"/>
                <w:sz w:val="21"/>
                <w:szCs w:val="21"/>
                <w:lang w:val="en-US" w:eastAsia="zh-CN"/>
              </w:rPr>
              <w:t>。</w:t>
            </w:r>
          </w:p>
          <w:p w14:paraId="2814960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7.6.2</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3D窗口支持平移、旋转、缩放等交互</w:t>
            </w:r>
            <w:r>
              <w:rPr>
                <w:rFonts w:hint="eastAsia" w:ascii="宋体" w:hAnsi="宋体" w:cs="宋体"/>
                <w:b w:val="0"/>
                <w:bCs w:val="0"/>
                <w:sz w:val="21"/>
                <w:szCs w:val="21"/>
                <w:lang w:val="en-US" w:eastAsia="zh-CN"/>
              </w:rPr>
              <w:t>。</w:t>
            </w:r>
          </w:p>
          <w:p w14:paraId="15573D4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7.6.3自适应标尺显示</w:t>
            </w:r>
            <w:r>
              <w:rPr>
                <w:rFonts w:hint="eastAsia" w:ascii="宋体" w:hAnsi="宋体" w:cs="宋体"/>
                <w:b w:val="0"/>
                <w:bCs w:val="0"/>
                <w:sz w:val="21"/>
                <w:szCs w:val="21"/>
                <w:lang w:val="en-US" w:eastAsia="zh-CN"/>
              </w:rPr>
              <w:t>。</w:t>
            </w:r>
          </w:p>
          <w:p w14:paraId="70587FD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7.7.图像</w:t>
            </w:r>
          </w:p>
          <w:p w14:paraId="36FFB77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7.7.1</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MPR窗口支持亮度和对比度调整</w:t>
            </w:r>
            <w:r>
              <w:rPr>
                <w:rFonts w:hint="eastAsia" w:ascii="宋体" w:hAnsi="宋体" w:cs="宋体"/>
                <w:b w:val="0"/>
                <w:bCs w:val="0"/>
                <w:sz w:val="21"/>
                <w:szCs w:val="21"/>
                <w:lang w:val="en-US" w:eastAsia="zh-CN"/>
              </w:rPr>
              <w:t>。</w:t>
            </w:r>
          </w:p>
          <w:p w14:paraId="17EEF96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7.7.2</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3D窗口支持透明度和亮度调整</w:t>
            </w:r>
            <w:r>
              <w:rPr>
                <w:rFonts w:hint="eastAsia" w:ascii="宋体" w:hAnsi="宋体" w:cs="宋体"/>
                <w:b w:val="0"/>
                <w:bCs w:val="0"/>
                <w:sz w:val="21"/>
                <w:szCs w:val="21"/>
                <w:lang w:val="en-US" w:eastAsia="zh-CN"/>
              </w:rPr>
              <w:t>。</w:t>
            </w:r>
          </w:p>
          <w:p w14:paraId="50A53CE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val="0"/>
                <w:bCs w:val="0"/>
                <w:sz w:val="21"/>
                <w:szCs w:val="21"/>
                <w:lang w:val="en-US" w:eastAsia="zh-CN"/>
              </w:rPr>
            </w:pPr>
            <w:r>
              <w:rPr>
                <w:rFonts w:hint="eastAsia" w:ascii="宋体" w:hAnsi="宋体" w:cs="宋体"/>
                <w:b/>
                <w:bCs/>
                <w:sz w:val="21"/>
                <w:szCs w:val="21"/>
                <w:lang w:val="en-US" w:eastAsia="zh-CN"/>
              </w:rPr>
              <w:t>8.工作站</w:t>
            </w:r>
            <w:r>
              <w:rPr>
                <w:rFonts w:hint="eastAsia" w:ascii="宋体" w:hAnsi="宋体" w:eastAsia="宋体" w:cs="宋体"/>
                <w:b/>
                <w:bCs/>
                <w:sz w:val="21"/>
                <w:szCs w:val="21"/>
                <w:lang w:val="en-US" w:eastAsia="zh-CN"/>
              </w:rPr>
              <w:t>：</w:t>
            </w:r>
            <w:r>
              <w:rPr>
                <w:rFonts w:hint="eastAsia" w:ascii="宋体" w:hAnsi="宋体" w:eastAsia="宋体" w:cs="宋体"/>
                <w:b w:val="0"/>
                <w:bCs w:val="0"/>
                <w:sz w:val="21"/>
                <w:szCs w:val="21"/>
                <w:lang w:val="en-US" w:eastAsia="zh-CN"/>
              </w:rPr>
              <w:t>采用Windows10或以上操作系统，i5</w:t>
            </w:r>
            <w:r>
              <w:rPr>
                <w:rFonts w:hint="eastAsia" w:ascii="宋体" w:hAnsi="宋体" w:cs="宋体"/>
                <w:b w:val="0"/>
                <w:bCs w:val="0"/>
                <w:sz w:val="21"/>
                <w:szCs w:val="21"/>
                <w:lang w:val="en-US" w:eastAsia="zh-CN"/>
              </w:rPr>
              <w:t>及以上</w:t>
            </w:r>
            <w:r>
              <w:rPr>
                <w:rFonts w:hint="eastAsia" w:ascii="宋体" w:hAnsi="宋体" w:eastAsia="宋体" w:cs="宋体"/>
                <w:b w:val="0"/>
                <w:bCs w:val="0"/>
                <w:sz w:val="21"/>
                <w:szCs w:val="21"/>
                <w:lang w:val="en-US" w:eastAsia="zh-CN"/>
              </w:rPr>
              <w:t>处理器，并预装上述专属信号处理及分析软件。</w:t>
            </w:r>
          </w:p>
          <w:p w14:paraId="6DB1A3A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8.1</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CPU：i5-11400</w:t>
            </w:r>
            <w:r>
              <w:rPr>
                <w:rFonts w:hint="eastAsia" w:ascii="宋体" w:hAnsi="宋体" w:cs="宋体"/>
                <w:b w:val="0"/>
                <w:bCs w:val="0"/>
                <w:sz w:val="21"/>
                <w:szCs w:val="21"/>
                <w:lang w:val="en-US" w:eastAsia="zh-CN"/>
              </w:rPr>
              <w:t xml:space="preserve">F </w:t>
            </w:r>
            <w:r>
              <w:rPr>
                <w:rFonts w:hint="eastAsia" w:ascii="宋体" w:hAnsi="宋体" w:eastAsia="宋体" w:cs="宋体"/>
                <w:b w:val="0"/>
                <w:bCs w:val="0"/>
                <w:sz w:val="21"/>
                <w:szCs w:val="21"/>
                <w:lang w:val="en-US" w:eastAsia="zh-CN"/>
              </w:rPr>
              <w:t>或以上版本</w:t>
            </w:r>
            <w:r>
              <w:rPr>
                <w:rFonts w:hint="eastAsia" w:ascii="宋体" w:hAnsi="宋体" w:cs="宋体"/>
                <w:b w:val="0"/>
                <w:bCs w:val="0"/>
                <w:sz w:val="21"/>
                <w:szCs w:val="21"/>
                <w:lang w:val="en-US" w:eastAsia="zh-CN"/>
              </w:rPr>
              <w:t>。</w:t>
            </w:r>
          </w:p>
          <w:p w14:paraId="1B4A1E3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8.2</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内存16GB</w:t>
            </w: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DDR4</w:t>
            </w: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3200MHz或以上版本</w:t>
            </w:r>
            <w:r>
              <w:rPr>
                <w:rFonts w:hint="eastAsia" w:ascii="宋体" w:hAnsi="宋体" w:cs="宋体"/>
                <w:b w:val="0"/>
                <w:bCs w:val="0"/>
                <w:sz w:val="21"/>
                <w:szCs w:val="21"/>
                <w:lang w:val="en-US" w:eastAsia="zh-CN"/>
              </w:rPr>
              <w:t>。</w:t>
            </w:r>
          </w:p>
          <w:p w14:paraId="2D4CC7D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8.3</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512GB</w:t>
            </w: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SSD固态硬盘</w:t>
            </w:r>
            <w:r>
              <w:rPr>
                <w:rFonts w:hint="eastAsia" w:ascii="宋体" w:hAnsi="宋体" w:cs="宋体"/>
                <w:b w:val="0"/>
                <w:bCs w:val="0"/>
                <w:sz w:val="21"/>
                <w:szCs w:val="21"/>
                <w:lang w:val="en-US" w:eastAsia="zh-CN"/>
              </w:rPr>
              <w:t>。</w:t>
            </w:r>
          </w:p>
          <w:p w14:paraId="5E3A840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8.4</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显示器</w:t>
            </w:r>
            <w:r>
              <w:rPr>
                <w:rFonts w:hint="eastAsia" w:ascii="宋体" w:hAnsi="宋体" w:cs="宋体"/>
                <w:b w:val="0"/>
                <w:bCs w:val="0"/>
                <w:sz w:val="21"/>
                <w:szCs w:val="21"/>
                <w:lang w:val="en-US" w:eastAsia="zh-CN"/>
              </w:rPr>
              <w:t>20-</w:t>
            </w:r>
            <w:r>
              <w:rPr>
                <w:rFonts w:hint="eastAsia" w:ascii="宋体" w:hAnsi="宋体" w:eastAsia="宋体" w:cs="宋体"/>
                <w:b w:val="0"/>
                <w:bCs w:val="0"/>
                <w:sz w:val="21"/>
                <w:szCs w:val="21"/>
                <w:lang w:val="en-US" w:eastAsia="zh-CN"/>
              </w:rPr>
              <w:t>23.8寸</w:t>
            </w:r>
            <w:r>
              <w:rPr>
                <w:rFonts w:hint="eastAsia" w:ascii="宋体" w:hAnsi="宋体" w:cs="宋体"/>
                <w:b w:val="0"/>
                <w:bCs w:val="0"/>
                <w:sz w:val="21"/>
                <w:szCs w:val="21"/>
                <w:lang w:val="en-US" w:eastAsia="zh-CN"/>
              </w:rPr>
              <w:t>。</w:t>
            </w:r>
          </w:p>
          <w:p w14:paraId="449D047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8.5</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Windows10或以上操作系统</w:t>
            </w:r>
            <w:r>
              <w:rPr>
                <w:rFonts w:hint="eastAsia" w:ascii="宋体" w:hAnsi="宋体" w:cs="宋体"/>
                <w:b w:val="0"/>
                <w:bCs w:val="0"/>
                <w:sz w:val="21"/>
                <w:szCs w:val="21"/>
                <w:lang w:val="en-US" w:eastAsia="zh-CN"/>
              </w:rPr>
              <w:t>。</w:t>
            </w:r>
          </w:p>
          <w:p w14:paraId="1F8B009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8.6</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有线键盘鼠标</w:t>
            </w:r>
            <w:r>
              <w:rPr>
                <w:rFonts w:hint="eastAsia" w:ascii="宋体" w:hAnsi="宋体" w:cs="宋体"/>
                <w:b w:val="0"/>
                <w:bCs w:val="0"/>
                <w:sz w:val="21"/>
                <w:szCs w:val="21"/>
                <w:lang w:val="en-US" w:eastAsia="zh-CN"/>
              </w:rPr>
              <w:t>。</w:t>
            </w:r>
          </w:p>
          <w:p w14:paraId="1179A5C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w:t>
            </w:r>
            <w:r>
              <w:rPr>
                <w:rFonts w:hint="eastAsia" w:ascii="宋体" w:hAnsi="宋体" w:eastAsia="宋体" w:cs="宋体"/>
                <w:b/>
                <w:bCs/>
                <w:sz w:val="21"/>
                <w:szCs w:val="21"/>
                <w:lang w:val="en-US" w:eastAsia="zh-CN"/>
              </w:rPr>
              <w:t>隔振光学平台：</w:t>
            </w:r>
            <w:r>
              <w:rPr>
                <w:rFonts w:hint="eastAsia" w:ascii="宋体" w:hAnsi="宋体" w:eastAsia="宋体" w:cs="宋体"/>
                <w:b w:val="0"/>
                <w:bCs w:val="0"/>
                <w:sz w:val="21"/>
                <w:szCs w:val="21"/>
                <w:lang w:val="en-US" w:eastAsia="zh-CN"/>
              </w:rPr>
              <w:t>采用双频阻尼隔振系统，具有更合理的刚性、更小的固有频率和更好的隔振性能。</w:t>
            </w:r>
          </w:p>
          <w:p w14:paraId="6AE69AA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9.1</w:t>
            </w:r>
            <w:r>
              <w:rPr>
                <w:rFonts w:hint="eastAsia" w:ascii="宋体" w:hAnsi="宋体" w:cs="宋体"/>
                <w:b w:val="0"/>
                <w:bCs w:val="0"/>
                <w:sz w:val="21"/>
                <w:szCs w:val="21"/>
                <w:lang w:val="en-US" w:eastAsia="zh-CN"/>
              </w:rPr>
              <w:t>.气浮隔振系统，</w:t>
            </w:r>
            <w:r>
              <w:rPr>
                <w:rFonts w:hint="eastAsia" w:ascii="宋体" w:hAnsi="宋体" w:eastAsia="宋体" w:cs="宋体"/>
                <w:b w:val="0"/>
                <w:bCs w:val="0"/>
                <w:sz w:val="21"/>
                <w:szCs w:val="21"/>
                <w:lang w:val="en-US" w:eastAsia="zh-CN"/>
              </w:rPr>
              <w:t>固有频率：＜4~9Hz</w:t>
            </w:r>
            <w:r>
              <w:rPr>
                <w:rFonts w:hint="eastAsia" w:ascii="宋体" w:hAnsi="宋体" w:cs="宋体"/>
                <w:b w:val="0"/>
                <w:bCs w:val="0"/>
                <w:sz w:val="21"/>
                <w:szCs w:val="21"/>
                <w:lang w:val="en-US" w:eastAsia="zh-CN"/>
              </w:rPr>
              <w:t>。</w:t>
            </w:r>
          </w:p>
          <w:p w14:paraId="2E883CDD">
            <w:pPr>
              <w:numPr>
                <w:ilvl w:val="0"/>
                <w:numId w:val="0"/>
              </w:numPr>
              <w:adjustRightInd w:val="0"/>
              <w:snapToGrid w:val="0"/>
              <w:spacing w:line="288" w:lineRule="auto"/>
              <w:ind w:firstLine="210" w:firstLineChars="100"/>
              <w:jc w:val="left"/>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9.2. 平面度：0.02~0.05mm/600mm×600mm。</w:t>
            </w:r>
          </w:p>
          <w:p w14:paraId="1B0CEFD5">
            <w:pPr>
              <w:numPr>
                <w:ilvl w:val="0"/>
                <w:numId w:val="0"/>
              </w:numPr>
              <w:adjustRightInd w:val="0"/>
              <w:snapToGrid w:val="0"/>
              <w:spacing w:line="288" w:lineRule="auto"/>
              <w:ind w:firstLine="210" w:firstLineChars="100"/>
              <w:jc w:val="left"/>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9.3. 上台面：4~6mm厚 SUS430(1Cr17) 高导磁不锈钢。</w:t>
            </w:r>
          </w:p>
          <w:p w14:paraId="72C76A49">
            <w:pPr>
              <w:numPr>
                <w:ilvl w:val="0"/>
                <w:numId w:val="0"/>
              </w:numPr>
              <w:adjustRightInd w:val="0"/>
              <w:snapToGrid w:val="0"/>
              <w:spacing w:line="288" w:lineRule="auto"/>
              <w:ind w:firstLine="210" w:firstLineChars="100"/>
              <w:jc w:val="left"/>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9.4. 下底面：4~6mm厚碳钢，表面喷黑塑处理。</w:t>
            </w:r>
          </w:p>
          <w:p w14:paraId="07093E0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9.5. 台面加支架总高度800mm，总高度可调范围：-10~+15mm。</w:t>
            </w:r>
          </w:p>
          <w:p w14:paraId="447EB86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9.6</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整体规格：≥1000x1200x800mm</w:t>
            </w:r>
            <w:r>
              <w:rPr>
                <w:rFonts w:hint="eastAsia" w:ascii="宋体" w:hAnsi="宋体" w:cs="宋体"/>
                <w:b w:val="0"/>
                <w:bCs w:val="0"/>
                <w:sz w:val="21"/>
                <w:szCs w:val="21"/>
                <w:lang w:val="en-US" w:eastAsia="zh-CN"/>
              </w:rPr>
              <w:t>。</w:t>
            </w:r>
          </w:p>
          <w:p w14:paraId="1C34EF5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9.7</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孔距：25mm×25mm</w:t>
            </w:r>
            <w:r>
              <w:rPr>
                <w:rFonts w:hint="eastAsia" w:ascii="宋体" w:hAnsi="宋体" w:cs="宋体"/>
                <w:b w:val="0"/>
                <w:bCs w:val="0"/>
                <w:sz w:val="21"/>
                <w:szCs w:val="21"/>
                <w:lang w:val="en-US" w:eastAsia="zh-CN"/>
              </w:rPr>
              <w:t>。</w:t>
            </w:r>
          </w:p>
          <w:p w14:paraId="2C209CA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b/>
                <w:bCs/>
                <w:sz w:val="21"/>
                <w:szCs w:val="21"/>
              </w:rPr>
            </w:pPr>
            <w:r>
              <w:rPr>
                <w:rFonts w:hint="eastAsia" w:ascii="宋体" w:hAnsi="宋体" w:eastAsia="宋体" w:cs="宋体"/>
                <w:b w:val="0"/>
                <w:bCs w:val="0"/>
                <w:sz w:val="21"/>
                <w:szCs w:val="21"/>
                <w:lang w:val="en-US" w:eastAsia="zh-CN"/>
              </w:rPr>
              <w:t>9.8</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孔径：M6</w:t>
            </w:r>
            <w:r>
              <w:rPr>
                <w:rFonts w:hint="eastAsia" w:ascii="宋体" w:hAnsi="宋体" w:cs="宋体"/>
                <w:b w:val="0"/>
                <w:bCs w:val="0"/>
                <w:sz w:val="21"/>
                <w:szCs w:val="21"/>
                <w:lang w:val="en-US" w:eastAsia="zh-CN"/>
              </w:rPr>
              <w:t>。</w:t>
            </w:r>
          </w:p>
        </w:tc>
      </w:tr>
    </w:tbl>
    <w:p w14:paraId="49176D7F">
      <w:pPr>
        <w:rPr>
          <w:rFonts w:hint="eastAsia" w:ascii="宋体" w:hAnsi="宋体"/>
          <w:b/>
          <w:sz w:val="32"/>
          <w:szCs w:val="32"/>
        </w:rPr>
      </w:pPr>
      <w:r>
        <w:rPr>
          <w:rFonts w:hint="eastAsia" w:ascii="宋体" w:hAnsi="宋体"/>
          <w:b/>
          <w:sz w:val="32"/>
          <w:szCs w:val="32"/>
        </w:rPr>
        <w:br w:type="page"/>
      </w:r>
    </w:p>
    <w:p w14:paraId="798CC1FA">
      <w:pPr>
        <w:adjustRightInd w:val="0"/>
        <w:snapToGrid w:val="0"/>
        <w:spacing w:line="288" w:lineRule="auto"/>
        <w:jc w:val="center"/>
        <w:outlineLvl w:val="0"/>
        <w:rPr>
          <w:rFonts w:ascii="宋体" w:hAnsi="宋体"/>
          <w:b/>
          <w:sz w:val="32"/>
          <w:szCs w:val="32"/>
        </w:rPr>
      </w:pPr>
      <w:r>
        <w:rPr>
          <w:rFonts w:hint="eastAsia" w:ascii="宋体" w:hAnsi="宋体"/>
          <w:b/>
          <w:sz w:val="32"/>
          <w:szCs w:val="32"/>
        </w:rPr>
        <w:t>第三章  供应商须知</w:t>
      </w:r>
    </w:p>
    <w:p w14:paraId="12E4A5C1">
      <w:pPr>
        <w:adjustRightInd w:val="0"/>
        <w:snapToGrid w:val="0"/>
        <w:spacing w:line="288" w:lineRule="auto"/>
        <w:ind w:left="238"/>
        <w:jc w:val="center"/>
        <w:rPr>
          <w:rFonts w:ascii="宋体" w:hAnsi="宋体"/>
          <w:b/>
          <w:sz w:val="21"/>
          <w:szCs w:val="21"/>
        </w:rPr>
      </w:pPr>
      <w:r>
        <w:rPr>
          <w:rFonts w:hint="eastAsia" w:ascii="宋体" w:hAnsi="宋体"/>
          <w:b/>
          <w:sz w:val="21"/>
          <w:szCs w:val="21"/>
        </w:rPr>
        <w:t>前附表</w:t>
      </w:r>
    </w:p>
    <w:tbl>
      <w:tblPr>
        <w:tblStyle w:val="2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0214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87404C">
            <w:pPr>
              <w:adjustRightInd w:val="0"/>
              <w:snapToGrid w:val="0"/>
              <w:spacing w:line="288" w:lineRule="auto"/>
              <w:jc w:val="center"/>
              <w:rPr>
                <w:rFonts w:ascii="宋体" w:hAnsi="宋体"/>
                <w:b/>
                <w:bCs/>
                <w:sz w:val="21"/>
                <w:szCs w:val="21"/>
              </w:rPr>
            </w:pPr>
            <w:r>
              <w:rPr>
                <w:rFonts w:hint="eastAsia" w:ascii="宋体" w:hAnsi="宋体"/>
                <w:b/>
                <w:bCs/>
                <w:sz w:val="21"/>
                <w:szCs w:val="21"/>
              </w:rPr>
              <w:t>条款号</w:t>
            </w:r>
          </w:p>
        </w:tc>
        <w:tc>
          <w:tcPr>
            <w:tcW w:w="1701" w:type="dxa"/>
            <w:vAlign w:val="center"/>
          </w:tcPr>
          <w:p w14:paraId="322DB669">
            <w:pPr>
              <w:adjustRightInd w:val="0"/>
              <w:snapToGrid w:val="0"/>
              <w:spacing w:line="288" w:lineRule="auto"/>
              <w:jc w:val="center"/>
              <w:rPr>
                <w:rFonts w:ascii="宋体" w:hAnsi="宋体"/>
                <w:b/>
                <w:bCs/>
                <w:sz w:val="21"/>
                <w:szCs w:val="21"/>
              </w:rPr>
            </w:pPr>
            <w:r>
              <w:rPr>
                <w:rFonts w:hint="eastAsia" w:ascii="宋体" w:hAnsi="宋体"/>
                <w:b/>
                <w:bCs/>
                <w:sz w:val="21"/>
                <w:szCs w:val="21"/>
              </w:rPr>
              <w:t>内容</w:t>
            </w:r>
          </w:p>
        </w:tc>
        <w:tc>
          <w:tcPr>
            <w:tcW w:w="6663" w:type="dxa"/>
            <w:vAlign w:val="center"/>
          </w:tcPr>
          <w:p w14:paraId="32FB8014">
            <w:pPr>
              <w:adjustRightInd w:val="0"/>
              <w:snapToGrid w:val="0"/>
              <w:spacing w:line="288" w:lineRule="auto"/>
              <w:jc w:val="center"/>
              <w:rPr>
                <w:rFonts w:ascii="宋体" w:hAnsi="宋体"/>
                <w:b/>
                <w:bCs/>
                <w:sz w:val="21"/>
                <w:szCs w:val="21"/>
              </w:rPr>
            </w:pPr>
            <w:r>
              <w:rPr>
                <w:rFonts w:hint="eastAsia" w:ascii="宋体" w:hAnsi="宋体"/>
                <w:b/>
                <w:bCs/>
                <w:sz w:val="21"/>
                <w:szCs w:val="21"/>
              </w:rPr>
              <w:t>说明与要求</w:t>
            </w:r>
          </w:p>
        </w:tc>
      </w:tr>
      <w:tr w14:paraId="4E09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310C5E3">
            <w:pPr>
              <w:adjustRightInd w:val="0"/>
              <w:snapToGrid w:val="0"/>
              <w:spacing w:line="288" w:lineRule="auto"/>
              <w:jc w:val="center"/>
              <w:rPr>
                <w:rFonts w:ascii="宋体" w:hAnsi="宋体"/>
                <w:sz w:val="21"/>
                <w:szCs w:val="21"/>
              </w:rPr>
            </w:pPr>
            <w:r>
              <w:rPr>
                <w:rFonts w:hint="eastAsia" w:ascii="宋体" w:hAnsi="宋体"/>
                <w:sz w:val="21"/>
                <w:szCs w:val="21"/>
              </w:rPr>
              <w:t>（一）</w:t>
            </w:r>
          </w:p>
        </w:tc>
        <w:tc>
          <w:tcPr>
            <w:tcW w:w="1701" w:type="dxa"/>
            <w:vAlign w:val="center"/>
          </w:tcPr>
          <w:p w14:paraId="7A84D2D3">
            <w:pPr>
              <w:adjustRightInd w:val="0"/>
              <w:snapToGrid w:val="0"/>
              <w:spacing w:line="288" w:lineRule="auto"/>
              <w:jc w:val="center"/>
              <w:rPr>
                <w:rFonts w:ascii="宋体" w:hAnsi="宋体"/>
                <w:sz w:val="21"/>
                <w:szCs w:val="21"/>
              </w:rPr>
            </w:pPr>
            <w:r>
              <w:rPr>
                <w:rFonts w:hint="eastAsia" w:ascii="宋体" w:hAnsi="宋体"/>
                <w:sz w:val="21"/>
                <w:szCs w:val="21"/>
              </w:rPr>
              <w:t>适用范围</w:t>
            </w:r>
          </w:p>
        </w:tc>
        <w:tc>
          <w:tcPr>
            <w:tcW w:w="6663" w:type="dxa"/>
            <w:vAlign w:val="center"/>
          </w:tcPr>
          <w:p w14:paraId="23C099AC">
            <w:pPr>
              <w:adjustRightInd w:val="0"/>
              <w:snapToGrid w:val="0"/>
              <w:spacing w:line="288" w:lineRule="auto"/>
              <w:rPr>
                <w:rFonts w:ascii="宋体" w:hAnsi="宋体"/>
                <w:sz w:val="21"/>
                <w:szCs w:val="21"/>
              </w:rPr>
            </w:pPr>
            <w:r>
              <w:rPr>
                <w:rFonts w:hint="eastAsia" w:ascii="宋体" w:hAnsi="宋体"/>
                <w:spacing w:val="-6"/>
                <w:sz w:val="21"/>
                <w:szCs w:val="21"/>
              </w:rPr>
              <w:t>本磋商文件适用于</w:t>
            </w:r>
            <w:r>
              <w:rPr>
                <w:rFonts w:hint="eastAsia" w:ascii="宋体" w:hAnsi="宋体"/>
                <w:spacing w:val="-6"/>
                <w:sz w:val="21"/>
                <w:szCs w:val="21"/>
                <w:lang w:eastAsia="zh-CN"/>
              </w:rPr>
              <w:t>浙江大学杭州国际科创中心双光子光致发光显微成像系统</w:t>
            </w:r>
            <w:r>
              <w:rPr>
                <w:rFonts w:hint="eastAsia" w:ascii="宋体" w:hAnsi="宋体"/>
                <w:spacing w:val="-6"/>
                <w:sz w:val="21"/>
                <w:szCs w:val="21"/>
              </w:rPr>
              <w:t>的磋商、评审、成交、验收、合同履约、付款等（法律、法规另有规定的，从其规定）。</w:t>
            </w:r>
          </w:p>
        </w:tc>
      </w:tr>
      <w:tr w14:paraId="7264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9A827FB">
            <w:pPr>
              <w:adjustRightInd w:val="0"/>
              <w:snapToGrid w:val="0"/>
              <w:spacing w:line="288" w:lineRule="auto"/>
              <w:jc w:val="center"/>
              <w:rPr>
                <w:rFonts w:ascii="宋体" w:hAnsi="宋体"/>
                <w:sz w:val="21"/>
                <w:szCs w:val="21"/>
              </w:rPr>
            </w:pPr>
            <w:r>
              <w:rPr>
                <w:rFonts w:hint="eastAsia" w:ascii="宋体" w:hAnsi="宋体"/>
                <w:sz w:val="21"/>
                <w:szCs w:val="21"/>
              </w:rPr>
              <w:t>（二）</w:t>
            </w:r>
          </w:p>
        </w:tc>
        <w:tc>
          <w:tcPr>
            <w:tcW w:w="1701" w:type="dxa"/>
            <w:vAlign w:val="center"/>
          </w:tcPr>
          <w:p w14:paraId="6E14269F">
            <w:pPr>
              <w:adjustRightInd w:val="0"/>
              <w:snapToGrid w:val="0"/>
              <w:spacing w:line="288" w:lineRule="auto"/>
              <w:jc w:val="center"/>
              <w:rPr>
                <w:rFonts w:ascii="宋体" w:hAnsi="宋体"/>
                <w:sz w:val="21"/>
                <w:szCs w:val="21"/>
              </w:rPr>
            </w:pPr>
            <w:r>
              <w:rPr>
                <w:rFonts w:hint="eastAsia" w:ascii="宋体" w:hAnsi="宋体"/>
                <w:sz w:val="21"/>
                <w:szCs w:val="21"/>
              </w:rPr>
              <w:t>采购方式</w:t>
            </w:r>
          </w:p>
        </w:tc>
        <w:tc>
          <w:tcPr>
            <w:tcW w:w="6663" w:type="dxa"/>
            <w:vAlign w:val="center"/>
          </w:tcPr>
          <w:p w14:paraId="48519185">
            <w:pPr>
              <w:adjustRightInd w:val="0"/>
              <w:snapToGrid w:val="0"/>
              <w:spacing w:line="288" w:lineRule="auto"/>
              <w:rPr>
                <w:rFonts w:ascii="宋体" w:hAnsi="宋体"/>
                <w:sz w:val="21"/>
                <w:szCs w:val="21"/>
              </w:rPr>
            </w:pPr>
            <w:r>
              <w:rPr>
                <w:rFonts w:hint="eastAsia" w:ascii="宋体" w:hAnsi="宋体"/>
                <w:spacing w:val="-6"/>
                <w:sz w:val="21"/>
                <w:szCs w:val="21"/>
              </w:rPr>
              <w:t>本次采购采用竞争性磋商方式进行。</w:t>
            </w:r>
          </w:p>
        </w:tc>
      </w:tr>
      <w:tr w14:paraId="4605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3276AA5">
            <w:pPr>
              <w:adjustRightInd w:val="0"/>
              <w:snapToGrid w:val="0"/>
              <w:spacing w:line="288" w:lineRule="auto"/>
              <w:jc w:val="center"/>
              <w:rPr>
                <w:rFonts w:ascii="宋体" w:hAnsi="宋体"/>
                <w:sz w:val="21"/>
                <w:szCs w:val="21"/>
              </w:rPr>
            </w:pPr>
            <w:r>
              <w:rPr>
                <w:rFonts w:hint="eastAsia" w:ascii="宋体" w:hAnsi="宋体"/>
                <w:sz w:val="21"/>
                <w:szCs w:val="21"/>
              </w:rPr>
              <w:t>（三）</w:t>
            </w:r>
          </w:p>
        </w:tc>
        <w:tc>
          <w:tcPr>
            <w:tcW w:w="1701" w:type="dxa"/>
            <w:vAlign w:val="center"/>
          </w:tcPr>
          <w:p w14:paraId="05AAFA2F">
            <w:pPr>
              <w:adjustRightInd w:val="0"/>
              <w:snapToGrid w:val="0"/>
              <w:spacing w:line="288" w:lineRule="auto"/>
              <w:jc w:val="center"/>
              <w:rPr>
                <w:rFonts w:ascii="宋体" w:hAnsi="宋体"/>
                <w:sz w:val="21"/>
                <w:szCs w:val="21"/>
              </w:rPr>
            </w:pPr>
            <w:r>
              <w:rPr>
                <w:rFonts w:hint="eastAsia" w:ascii="宋体" w:hAnsi="宋体"/>
                <w:sz w:val="21"/>
                <w:szCs w:val="21"/>
              </w:rPr>
              <w:t>竞争性磋商委托</w:t>
            </w:r>
          </w:p>
        </w:tc>
        <w:tc>
          <w:tcPr>
            <w:tcW w:w="6663" w:type="dxa"/>
            <w:vAlign w:val="center"/>
          </w:tcPr>
          <w:p w14:paraId="25C086BD">
            <w:pPr>
              <w:adjustRightInd w:val="0"/>
              <w:snapToGrid w:val="0"/>
              <w:spacing w:line="288" w:lineRule="auto"/>
              <w:rPr>
                <w:rFonts w:ascii="宋体" w:hAnsi="宋体"/>
                <w:sz w:val="21"/>
                <w:szCs w:val="21"/>
              </w:rPr>
            </w:pPr>
            <w:r>
              <w:rPr>
                <w:rFonts w:hint="eastAsia" w:ascii="宋体" w:hAnsi="宋体"/>
                <w:sz w:val="21"/>
                <w:szCs w:val="21"/>
              </w:rPr>
              <w:t>▲1</w:t>
            </w:r>
            <w:r>
              <w:rPr>
                <w:rFonts w:ascii="宋体" w:hAnsi="宋体"/>
                <w:sz w:val="21"/>
                <w:szCs w:val="21"/>
              </w:rPr>
              <w:t>.供应商代表是法定代表人</w:t>
            </w:r>
            <w:r>
              <w:rPr>
                <w:rFonts w:hint="eastAsia" w:ascii="宋体" w:hAnsi="宋体"/>
                <w:sz w:val="21"/>
                <w:szCs w:val="21"/>
              </w:rPr>
              <w:t>（单位负责人、自然人本人）的，须提供本人身份证明。</w:t>
            </w:r>
          </w:p>
          <w:p w14:paraId="4B7BCC52">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w:t>
            </w:r>
            <w:r>
              <w:rPr>
                <w:rFonts w:ascii="宋体" w:hAnsi="宋体"/>
                <w:sz w:val="21"/>
                <w:szCs w:val="21"/>
              </w:rPr>
              <w:t>供应商代表不是法定代表人</w:t>
            </w:r>
            <w:r>
              <w:rPr>
                <w:rFonts w:hint="eastAsia" w:ascii="宋体" w:hAnsi="宋体"/>
                <w:sz w:val="21"/>
                <w:szCs w:val="21"/>
              </w:rPr>
              <w:t>（单位负责人、自然人本人）的</w:t>
            </w:r>
            <w:r>
              <w:rPr>
                <w:rFonts w:ascii="宋体" w:hAnsi="宋体"/>
                <w:sz w:val="21"/>
                <w:szCs w:val="21"/>
              </w:rPr>
              <w:t>，须提供</w:t>
            </w:r>
            <w:r>
              <w:rPr>
                <w:rFonts w:ascii="宋体" w:hAnsi="宋体"/>
                <w:bCs/>
                <w:sz w:val="21"/>
                <w:szCs w:val="21"/>
              </w:rPr>
              <w:t>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（格式详见磋商文件第六章）和授权代表社保缴纳证明</w:t>
            </w:r>
            <w:r>
              <w:rPr>
                <w:rFonts w:hint="eastAsia" w:ascii="宋体" w:hAnsi="宋体"/>
                <w:sz w:val="21"/>
                <w:szCs w:val="21"/>
                <w:highlight w:val="none"/>
              </w:rPr>
              <w:t>（</w:t>
            </w:r>
            <w:r>
              <w:rPr>
                <w:rFonts w:hint="eastAsia" w:ascii="宋体" w:hAnsi="宋体"/>
                <w:sz w:val="21"/>
                <w:szCs w:val="21"/>
                <w:highlight w:val="none"/>
                <w:lang w:eastAsia="zh-CN"/>
              </w:rPr>
              <w:t>2023年6月（含）以后任意一月</w:t>
            </w:r>
            <w:r>
              <w:rPr>
                <w:rFonts w:ascii="宋体" w:hAnsi="宋体"/>
                <w:sz w:val="21"/>
                <w:szCs w:val="21"/>
                <w:highlight w:val="none"/>
              </w:rPr>
              <w:t>）；</w:t>
            </w:r>
          </w:p>
          <w:p w14:paraId="7D541777">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供应商委派不在本单位缴纳社保的人员作为授权代表的，应当在响应文件中，说明具体原因、授权代表缴纳社保的单位，并附列该授权代表缴纳社保清单。</w:t>
            </w:r>
          </w:p>
          <w:p w14:paraId="710A7D12">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4.供应商授权代表必须持本人有效的身份证原件、驾驶证原件或护照原件于响应文件提交的截止时间前到达响应文件的开启地点参与磋商。</w:t>
            </w:r>
          </w:p>
        </w:tc>
      </w:tr>
      <w:tr w14:paraId="0650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51A097E">
            <w:pPr>
              <w:adjustRightInd w:val="0"/>
              <w:snapToGrid w:val="0"/>
              <w:spacing w:line="288" w:lineRule="auto"/>
              <w:jc w:val="center"/>
              <w:rPr>
                <w:rFonts w:ascii="宋体" w:hAnsi="宋体"/>
                <w:sz w:val="21"/>
                <w:szCs w:val="21"/>
              </w:rPr>
            </w:pPr>
            <w:r>
              <w:rPr>
                <w:rFonts w:hint="eastAsia" w:ascii="宋体" w:hAnsi="宋体"/>
                <w:sz w:val="21"/>
                <w:szCs w:val="21"/>
              </w:rPr>
              <w:t>（四）</w:t>
            </w:r>
          </w:p>
        </w:tc>
        <w:tc>
          <w:tcPr>
            <w:tcW w:w="1701" w:type="dxa"/>
            <w:vAlign w:val="center"/>
          </w:tcPr>
          <w:p w14:paraId="0002314B">
            <w:pPr>
              <w:adjustRightInd w:val="0"/>
              <w:snapToGrid w:val="0"/>
              <w:spacing w:line="288" w:lineRule="auto"/>
              <w:jc w:val="center"/>
              <w:rPr>
                <w:rFonts w:ascii="宋体" w:hAnsi="宋体"/>
                <w:sz w:val="21"/>
                <w:szCs w:val="21"/>
              </w:rPr>
            </w:pPr>
            <w:r>
              <w:rPr>
                <w:rFonts w:hint="eastAsia" w:ascii="宋体" w:hAnsi="宋体"/>
                <w:sz w:val="21"/>
                <w:szCs w:val="21"/>
              </w:rPr>
              <w:t>磋商费用</w:t>
            </w:r>
          </w:p>
        </w:tc>
        <w:tc>
          <w:tcPr>
            <w:tcW w:w="6663" w:type="dxa"/>
            <w:vAlign w:val="center"/>
          </w:tcPr>
          <w:p w14:paraId="66EEB90A">
            <w:pPr>
              <w:adjustRightInd w:val="0"/>
              <w:snapToGrid w:val="0"/>
              <w:spacing w:line="288" w:lineRule="auto"/>
              <w:rPr>
                <w:rFonts w:ascii="宋体" w:hAnsi="宋体"/>
                <w:sz w:val="21"/>
                <w:szCs w:val="21"/>
              </w:rPr>
            </w:pPr>
            <w:r>
              <w:rPr>
                <w:rFonts w:hint="eastAsia" w:ascii="宋体" w:hAnsi="宋体"/>
                <w:sz w:val="21"/>
                <w:szCs w:val="21"/>
              </w:rPr>
              <w:t>1.不论磋商结果如何，供应商均应自行承担所有与磋商有关的全部费用；</w:t>
            </w:r>
          </w:p>
          <w:p w14:paraId="3180E763">
            <w:pPr>
              <w:adjustRightInd w:val="0"/>
              <w:snapToGrid w:val="0"/>
              <w:spacing w:line="288" w:lineRule="auto"/>
              <w:rPr>
                <w:rFonts w:ascii="宋体" w:hAnsi="宋体"/>
                <w:sz w:val="21"/>
                <w:szCs w:val="21"/>
              </w:rPr>
            </w:pPr>
            <w:r>
              <w:rPr>
                <w:rFonts w:hint="eastAsia" w:ascii="宋体" w:hAnsi="宋体"/>
                <w:sz w:val="21"/>
                <w:szCs w:val="21"/>
              </w:rPr>
              <w:t>2.成交供应商在成交通知书发出之日起七个工作日内，向采购代理机构交纳代理服务费；</w:t>
            </w:r>
          </w:p>
          <w:p w14:paraId="19B23D1D">
            <w:pPr>
              <w:adjustRightInd w:val="0"/>
              <w:snapToGrid w:val="0"/>
              <w:spacing w:line="288" w:lineRule="auto"/>
              <w:rPr>
                <w:rFonts w:ascii="宋体" w:hAnsi="宋体"/>
                <w:sz w:val="21"/>
                <w:szCs w:val="21"/>
              </w:rPr>
            </w:pPr>
            <w:r>
              <w:rPr>
                <w:rFonts w:hint="eastAsia" w:ascii="宋体" w:hAnsi="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669F5024">
            <w:pPr>
              <w:adjustRightInd w:val="0"/>
              <w:snapToGrid w:val="0"/>
              <w:spacing w:line="288" w:lineRule="auto"/>
              <w:rPr>
                <w:rFonts w:ascii="宋体" w:hAnsi="宋体"/>
                <w:sz w:val="21"/>
                <w:szCs w:val="21"/>
              </w:rPr>
            </w:pPr>
            <w:bookmarkStart w:id="30" w:name="_Hlk71808378"/>
            <w:r>
              <w:rPr>
                <w:rFonts w:hint="eastAsia" w:ascii="宋体" w:hAnsi="宋体"/>
                <w:sz w:val="21"/>
                <w:szCs w:val="21"/>
              </w:rPr>
              <w:t>4</w:t>
            </w:r>
            <w:r>
              <w:rPr>
                <w:rFonts w:ascii="宋体" w:hAnsi="宋体"/>
                <w:sz w:val="21"/>
                <w:szCs w:val="21"/>
              </w:rPr>
              <w:t>.</w:t>
            </w:r>
            <w:r>
              <w:rPr>
                <w:rFonts w:hint="eastAsia" w:ascii="宋体" w:hAnsi="宋体"/>
                <w:sz w:val="21"/>
                <w:szCs w:val="21"/>
              </w:rPr>
              <w:t>代理服务费收费标准（差额累进）：</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17E6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vAlign w:val="center"/>
                </w:tcPr>
                <w:p w14:paraId="1ED5E7F4">
                  <w:pPr>
                    <w:adjustRightInd w:val="0"/>
                    <w:snapToGrid w:val="0"/>
                    <w:spacing w:line="288" w:lineRule="auto"/>
                    <w:jc w:val="center"/>
                    <w:rPr>
                      <w:rFonts w:ascii="宋体" w:hAnsi="宋体"/>
                      <w:b/>
                      <w:bCs/>
                      <w:sz w:val="21"/>
                      <w:szCs w:val="21"/>
                      <w:highlight w:val="none"/>
                    </w:rPr>
                  </w:pPr>
                  <w:r>
                    <w:rPr>
                      <w:rFonts w:hint="eastAsia" w:ascii="宋体" w:hAnsi="宋体"/>
                      <w:b/>
                      <w:bCs/>
                      <w:sz w:val="21"/>
                      <w:szCs w:val="21"/>
                      <w:highlight w:val="none"/>
                    </w:rPr>
                    <w:t>成交金额（万元）</w:t>
                  </w:r>
                </w:p>
              </w:tc>
              <w:tc>
                <w:tcPr>
                  <w:tcW w:w="2338" w:type="dxa"/>
                  <w:vAlign w:val="center"/>
                </w:tcPr>
                <w:p w14:paraId="1B4AB751">
                  <w:pPr>
                    <w:adjustRightInd w:val="0"/>
                    <w:snapToGrid w:val="0"/>
                    <w:spacing w:line="288" w:lineRule="auto"/>
                    <w:jc w:val="center"/>
                    <w:rPr>
                      <w:rFonts w:ascii="宋体" w:hAnsi="宋体"/>
                      <w:b/>
                      <w:bCs/>
                      <w:sz w:val="21"/>
                      <w:szCs w:val="21"/>
                      <w:highlight w:val="none"/>
                    </w:rPr>
                  </w:pPr>
                  <w:r>
                    <w:rPr>
                      <w:rFonts w:hint="eastAsia" w:ascii="宋体" w:hAnsi="宋体"/>
                      <w:b/>
                      <w:bCs/>
                      <w:sz w:val="21"/>
                      <w:szCs w:val="21"/>
                      <w:highlight w:val="none"/>
                    </w:rPr>
                    <w:t>收费标准（费率，%）</w:t>
                  </w:r>
                </w:p>
              </w:tc>
            </w:tr>
            <w:tr w14:paraId="2645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6FA234BB">
                  <w:pPr>
                    <w:adjustRightInd w:val="0"/>
                    <w:snapToGrid w:val="0"/>
                    <w:spacing w:line="288" w:lineRule="auto"/>
                    <w:jc w:val="center"/>
                    <w:rPr>
                      <w:rFonts w:ascii="宋体" w:hAnsi="宋体"/>
                      <w:sz w:val="21"/>
                      <w:szCs w:val="21"/>
                      <w:highlight w:val="yellow"/>
                    </w:rPr>
                  </w:pPr>
                  <w:r>
                    <w:rPr>
                      <w:rFonts w:hint="eastAsia" w:ascii="宋体" w:hAnsi="宋体"/>
                      <w:sz w:val="21"/>
                      <w:szCs w:val="21"/>
                    </w:rPr>
                    <w:t>100以下</w:t>
                  </w:r>
                </w:p>
              </w:tc>
              <w:tc>
                <w:tcPr>
                  <w:tcW w:w="2338" w:type="dxa"/>
                  <w:vAlign w:val="center"/>
                </w:tcPr>
                <w:p w14:paraId="7145469C">
                  <w:pPr>
                    <w:adjustRightInd w:val="0"/>
                    <w:snapToGrid w:val="0"/>
                    <w:spacing w:line="288" w:lineRule="auto"/>
                    <w:jc w:val="center"/>
                    <w:rPr>
                      <w:rFonts w:ascii="宋体" w:hAnsi="宋体"/>
                      <w:sz w:val="21"/>
                      <w:szCs w:val="21"/>
                      <w:highlight w:val="yellow"/>
                    </w:rPr>
                  </w:pPr>
                  <w:r>
                    <w:rPr>
                      <w:rFonts w:hint="eastAsia" w:ascii="宋体" w:hAnsi="宋体"/>
                      <w:sz w:val="21"/>
                      <w:szCs w:val="21"/>
                    </w:rPr>
                    <w:t>0.75</w:t>
                  </w:r>
                </w:p>
              </w:tc>
            </w:tr>
            <w:tr w14:paraId="39E3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4A1D2AE4">
                  <w:pPr>
                    <w:adjustRightInd w:val="0"/>
                    <w:snapToGrid w:val="0"/>
                    <w:spacing w:line="288" w:lineRule="auto"/>
                    <w:jc w:val="center"/>
                    <w:rPr>
                      <w:rFonts w:ascii="宋体" w:hAnsi="宋体"/>
                      <w:sz w:val="21"/>
                      <w:szCs w:val="21"/>
                      <w:highlight w:val="yellow"/>
                    </w:rPr>
                  </w:pPr>
                  <w:r>
                    <w:rPr>
                      <w:rFonts w:hint="eastAsia" w:ascii="宋体" w:hAnsi="宋体"/>
                      <w:sz w:val="21"/>
                      <w:szCs w:val="21"/>
                    </w:rPr>
                    <w:t>100-500</w:t>
                  </w:r>
                </w:p>
              </w:tc>
              <w:tc>
                <w:tcPr>
                  <w:tcW w:w="2338" w:type="dxa"/>
                  <w:vAlign w:val="center"/>
                </w:tcPr>
                <w:p w14:paraId="18549D42">
                  <w:pPr>
                    <w:adjustRightInd w:val="0"/>
                    <w:snapToGrid w:val="0"/>
                    <w:spacing w:line="288" w:lineRule="auto"/>
                    <w:jc w:val="center"/>
                    <w:rPr>
                      <w:rFonts w:ascii="宋体" w:hAnsi="宋体"/>
                      <w:sz w:val="21"/>
                      <w:szCs w:val="21"/>
                      <w:highlight w:val="yellow"/>
                    </w:rPr>
                  </w:pPr>
                  <w:r>
                    <w:rPr>
                      <w:rFonts w:hint="eastAsia" w:ascii="宋体" w:hAnsi="宋体"/>
                      <w:sz w:val="21"/>
                      <w:szCs w:val="21"/>
                    </w:rPr>
                    <w:t>0.55</w:t>
                  </w:r>
                </w:p>
              </w:tc>
            </w:tr>
            <w:bookmarkEnd w:id="30"/>
          </w:tbl>
          <w:p w14:paraId="130EEEA5">
            <w:pPr>
              <w:adjustRightInd w:val="0"/>
              <w:snapToGrid w:val="0"/>
              <w:spacing w:line="288" w:lineRule="auto"/>
              <w:rPr>
                <w:rFonts w:ascii="宋体" w:hAnsi="宋体"/>
                <w:sz w:val="21"/>
                <w:szCs w:val="21"/>
              </w:rPr>
            </w:pPr>
          </w:p>
        </w:tc>
      </w:tr>
      <w:tr w14:paraId="4579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3D0C216">
            <w:pPr>
              <w:adjustRightInd w:val="0"/>
              <w:snapToGrid w:val="0"/>
              <w:spacing w:line="288" w:lineRule="auto"/>
              <w:jc w:val="center"/>
              <w:rPr>
                <w:rFonts w:ascii="宋体" w:hAnsi="宋体"/>
                <w:sz w:val="21"/>
                <w:szCs w:val="21"/>
              </w:rPr>
            </w:pPr>
            <w:r>
              <w:rPr>
                <w:rFonts w:hint="eastAsia" w:ascii="宋体" w:hAnsi="宋体"/>
                <w:sz w:val="21"/>
                <w:szCs w:val="21"/>
              </w:rPr>
              <w:t>（五）</w:t>
            </w:r>
          </w:p>
        </w:tc>
        <w:tc>
          <w:tcPr>
            <w:tcW w:w="1701" w:type="dxa"/>
            <w:vAlign w:val="center"/>
          </w:tcPr>
          <w:p w14:paraId="6039AC65">
            <w:pPr>
              <w:adjustRightInd w:val="0"/>
              <w:snapToGrid w:val="0"/>
              <w:spacing w:line="288" w:lineRule="auto"/>
              <w:ind w:right="-104" w:rightChars="-37"/>
              <w:jc w:val="center"/>
              <w:rPr>
                <w:rFonts w:ascii="宋体" w:hAnsi="宋体"/>
                <w:sz w:val="21"/>
                <w:szCs w:val="21"/>
              </w:rPr>
            </w:pPr>
            <w:r>
              <w:rPr>
                <w:rFonts w:hint="eastAsia" w:ascii="宋体" w:hAnsi="宋体"/>
                <w:spacing w:val="-6"/>
                <w:sz w:val="21"/>
                <w:szCs w:val="21"/>
              </w:rPr>
              <w:t>磋商保证金（元）</w:t>
            </w:r>
          </w:p>
        </w:tc>
        <w:tc>
          <w:tcPr>
            <w:tcW w:w="6663" w:type="dxa"/>
            <w:vAlign w:val="center"/>
          </w:tcPr>
          <w:p w14:paraId="55F17BA8">
            <w:pPr>
              <w:adjustRightInd w:val="0"/>
              <w:snapToGrid w:val="0"/>
              <w:spacing w:line="288" w:lineRule="auto"/>
              <w:rPr>
                <w:rFonts w:ascii="宋体" w:hAnsi="宋体"/>
                <w:sz w:val="21"/>
                <w:szCs w:val="21"/>
              </w:rPr>
            </w:pPr>
            <w:r>
              <w:rPr>
                <w:rFonts w:hint="eastAsia" w:ascii="宋体" w:hAnsi="宋体"/>
                <w:spacing w:val="-6"/>
                <w:sz w:val="21"/>
                <w:szCs w:val="21"/>
              </w:rPr>
              <w:t>无。</w:t>
            </w:r>
          </w:p>
        </w:tc>
      </w:tr>
      <w:tr w14:paraId="1041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5D2901">
            <w:pPr>
              <w:adjustRightInd w:val="0"/>
              <w:snapToGrid w:val="0"/>
              <w:spacing w:line="288" w:lineRule="auto"/>
              <w:jc w:val="center"/>
              <w:rPr>
                <w:rFonts w:ascii="宋体" w:hAnsi="宋体"/>
                <w:sz w:val="21"/>
                <w:szCs w:val="21"/>
              </w:rPr>
            </w:pPr>
            <w:r>
              <w:rPr>
                <w:rFonts w:hint="eastAsia" w:ascii="宋体" w:hAnsi="宋体"/>
                <w:sz w:val="21"/>
                <w:szCs w:val="21"/>
              </w:rPr>
              <w:t>（六）</w:t>
            </w:r>
          </w:p>
        </w:tc>
        <w:tc>
          <w:tcPr>
            <w:tcW w:w="1701" w:type="dxa"/>
            <w:vAlign w:val="center"/>
          </w:tcPr>
          <w:p w14:paraId="30732299">
            <w:pPr>
              <w:adjustRightInd w:val="0"/>
              <w:snapToGrid w:val="0"/>
              <w:spacing w:line="288" w:lineRule="auto"/>
              <w:jc w:val="center"/>
              <w:rPr>
                <w:rFonts w:ascii="宋体" w:hAnsi="宋体"/>
                <w:sz w:val="21"/>
                <w:szCs w:val="21"/>
              </w:rPr>
            </w:pPr>
            <w:r>
              <w:rPr>
                <w:rFonts w:hint="eastAsia" w:ascii="宋体" w:hAnsi="宋体"/>
                <w:sz w:val="21"/>
                <w:szCs w:val="21"/>
              </w:rPr>
              <w:t>联合体响应</w:t>
            </w:r>
          </w:p>
        </w:tc>
        <w:tc>
          <w:tcPr>
            <w:tcW w:w="6663" w:type="dxa"/>
            <w:vAlign w:val="center"/>
          </w:tcPr>
          <w:p w14:paraId="6DD57AE6">
            <w:pPr>
              <w:adjustRightInd w:val="0"/>
              <w:snapToGrid w:val="0"/>
              <w:spacing w:line="288" w:lineRule="auto"/>
              <w:rPr>
                <w:rFonts w:ascii="宋体" w:hAnsi="宋体"/>
                <w:sz w:val="21"/>
                <w:szCs w:val="21"/>
              </w:rPr>
            </w:pPr>
            <w:r>
              <w:rPr>
                <w:rFonts w:hint="eastAsia" w:ascii="宋体" w:hAnsi="宋体"/>
                <w:sz w:val="21"/>
                <w:szCs w:val="21"/>
              </w:rPr>
              <w:t>本项目不接受联合体响应。</w:t>
            </w:r>
          </w:p>
        </w:tc>
      </w:tr>
      <w:tr w14:paraId="5BC1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CBA0897">
            <w:pPr>
              <w:adjustRightInd w:val="0"/>
              <w:snapToGrid w:val="0"/>
              <w:spacing w:line="288" w:lineRule="auto"/>
              <w:jc w:val="center"/>
              <w:rPr>
                <w:rFonts w:ascii="宋体" w:hAnsi="宋体"/>
                <w:sz w:val="21"/>
                <w:szCs w:val="21"/>
              </w:rPr>
            </w:pPr>
            <w:r>
              <w:rPr>
                <w:rFonts w:hint="eastAsia" w:ascii="宋体" w:hAnsi="宋体"/>
                <w:sz w:val="21"/>
                <w:szCs w:val="21"/>
              </w:rPr>
              <w:t>（七）</w:t>
            </w:r>
          </w:p>
        </w:tc>
        <w:tc>
          <w:tcPr>
            <w:tcW w:w="1701" w:type="dxa"/>
            <w:vAlign w:val="center"/>
          </w:tcPr>
          <w:p w14:paraId="0B072EF1">
            <w:pPr>
              <w:adjustRightInd w:val="0"/>
              <w:snapToGrid w:val="0"/>
              <w:spacing w:line="288" w:lineRule="auto"/>
              <w:jc w:val="center"/>
              <w:rPr>
                <w:rFonts w:ascii="宋体" w:hAnsi="宋体"/>
                <w:sz w:val="21"/>
                <w:szCs w:val="21"/>
              </w:rPr>
            </w:pPr>
            <w:r>
              <w:rPr>
                <w:rFonts w:hint="eastAsia" w:ascii="宋体" w:hAnsi="宋体"/>
                <w:sz w:val="21"/>
                <w:szCs w:val="21"/>
              </w:rPr>
              <w:t>转包与分包</w:t>
            </w:r>
          </w:p>
        </w:tc>
        <w:tc>
          <w:tcPr>
            <w:tcW w:w="6663" w:type="dxa"/>
            <w:vAlign w:val="center"/>
          </w:tcPr>
          <w:p w14:paraId="1EB66A1D">
            <w:pPr>
              <w:adjustRightInd w:val="0"/>
              <w:snapToGrid w:val="0"/>
              <w:spacing w:line="288" w:lineRule="auto"/>
              <w:rPr>
                <w:rFonts w:ascii="宋体" w:hAnsi="宋体" w:cs="宋体"/>
                <w:sz w:val="21"/>
                <w:szCs w:val="21"/>
              </w:rPr>
            </w:pPr>
            <w:r>
              <w:rPr>
                <w:rFonts w:hint="eastAsia" w:ascii="宋体" w:hAnsi="宋体" w:cs="宋体"/>
                <w:sz w:val="21"/>
                <w:szCs w:val="21"/>
              </w:rPr>
              <w:t>1.本项目不允许转包；</w:t>
            </w:r>
          </w:p>
          <w:p w14:paraId="448D52A6">
            <w:pPr>
              <w:adjustRightInd w:val="0"/>
              <w:snapToGrid w:val="0"/>
              <w:spacing w:line="288" w:lineRule="auto"/>
              <w:rPr>
                <w:rFonts w:ascii="宋体" w:hAnsi="宋体"/>
                <w:color w:val="FF0000"/>
                <w:sz w:val="21"/>
                <w:szCs w:val="21"/>
              </w:rPr>
            </w:pPr>
            <w:r>
              <w:rPr>
                <w:rFonts w:ascii="宋体" w:hAnsi="宋体" w:cs="宋体"/>
                <w:color w:val="auto"/>
                <w:sz w:val="21"/>
                <w:szCs w:val="21"/>
              </w:rPr>
              <w:t>2.本项目</w:t>
            </w:r>
            <w:r>
              <w:rPr>
                <w:rFonts w:ascii="宋体" w:hAnsi="宋体" w:cs="宋体"/>
                <w:b/>
                <w:bCs/>
                <w:color w:val="auto"/>
                <w:sz w:val="21"/>
                <w:szCs w:val="21"/>
                <w:u w:val="single"/>
              </w:rPr>
              <w:t>不允许</w:t>
            </w:r>
            <w:r>
              <w:rPr>
                <w:rFonts w:ascii="宋体" w:hAnsi="宋体" w:cs="宋体"/>
                <w:color w:val="auto"/>
                <w:sz w:val="21"/>
                <w:szCs w:val="21"/>
              </w:rPr>
              <w:t>分包</w:t>
            </w:r>
            <w:r>
              <w:rPr>
                <w:rFonts w:hint="eastAsia" w:ascii="宋体" w:hAnsi="宋体" w:cs="宋体"/>
                <w:color w:val="auto"/>
                <w:sz w:val="21"/>
                <w:szCs w:val="21"/>
              </w:rPr>
              <w:t>。</w:t>
            </w:r>
          </w:p>
        </w:tc>
      </w:tr>
      <w:tr w14:paraId="5C1B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B2C361">
            <w:pPr>
              <w:adjustRightInd w:val="0"/>
              <w:snapToGrid w:val="0"/>
              <w:spacing w:line="288" w:lineRule="auto"/>
              <w:jc w:val="center"/>
              <w:rPr>
                <w:rFonts w:ascii="宋体" w:hAnsi="宋体"/>
                <w:sz w:val="21"/>
                <w:szCs w:val="21"/>
              </w:rPr>
            </w:pPr>
            <w:r>
              <w:rPr>
                <w:rFonts w:hint="eastAsia" w:ascii="宋体" w:hAnsi="宋体"/>
                <w:sz w:val="21"/>
                <w:szCs w:val="21"/>
              </w:rPr>
              <w:t>（八）</w:t>
            </w:r>
          </w:p>
        </w:tc>
        <w:tc>
          <w:tcPr>
            <w:tcW w:w="1701" w:type="dxa"/>
            <w:vAlign w:val="center"/>
          </w:tcPr>
          <w:p w14:paraId="03213AFB">
            <w:pPr>
              <w:adjustRightInd w:val="0"/>
              <w:snapToGrid w:val="0"/>
              <w:spacing w:line="288" w:lineRule="auto"/>
              <w:jc w:val="center"/>
              <w:rPr>
                <w:rFonts w:ascii="宋体" w:hAnsi="宋体"/>
                <w:sz w:val="21"/>
                <w:szCs w:val="21"/>
              </w:rPr>
            </w:pPr>
            <w:r>
              <w:rPr>
                <w:rFonts w:hint="eastAsia" w:ascii="宋体" w:hAnsi="宋体"/>
                <w:b/>
                <w:bCs/>
                <w:sz w:val="21"/>
                <w:szCs w:val="21"/>
              </w:rPr>
              <w:t>信用记录</w:t>
            </w:r>
          </w:p>
        </w:tc>
        <w:tc>
          <w:tcPr>
            <w:tcW w:w="6663" w:type="dxa"/>
            <w:vAlign w:val="center"/>
          </w:tcPr>
          <w:p w14:paraId="5A580B2F">
            <w:pPr>
              <w:adjustRightInd w:val="0"/>
              <w:snapToGrid w:val="0"/>
              <w:spacing w:line="288" w:lineRule="auto"/>
              <w:rPr>
                <w:rFonts w:ascii="宋体" w:hAnsi="宋体"/>
                <w:bCs/>
                <w:sz w:val="21"/>
                <w:szCs w:val="21"/>
              </w:rPr>
            </w:pPr>
            <w:bookmarkStart w:id="31" w:name="_Hlk71808489"/>
            <w:r>
              <w:rPr>
                <w:rFonts w:hint="eastAsia" w:ascii="宋体" w:hAnsi="宋体"/>
                <w:bCs/>
                <w:sz w:val="21"/>
                <w:szCs w:val="21"/>
              </w:rPr>
              <w:t>采购代理机构会对供应商信用记录进行查询并甄别，信用</w:t>
            </w:r>
            <w:r>
              <w:rPr>
                <w:rFonts w:hint="eastAsia" w:ascii="宋体" w:hAnsi="宋体"/>
                <w:sz w:val="21"/>
                <w:szCs w:val="21"/>
              </w:rPr>
              <w:t>信息查询的截止时点：响应截止时间。</w:t>
            </w:r>
          </w:p>
          <w:p w14:paraId="719A29C5">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14:paraId="00BD9894">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）信用信息查询记录和证据留存具体方式：采购代理机构经办人和监督人员将查询网页打印、签名与其他采购文件一并保存；</w:t>
            </w:r>
          </w:p>
          <w:p w14:paraId="62DBA5FD">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）信用信息的使用规则：供应商被列入失信被执行人、重大税收违法案件当事人名单、政府采购严重违法失信行为记录名单的，拒绝其参与采购活动。</w:t>
            </w:r>
            <w:bookmarkEnd w:id="31"/>
          </w:p>
        </w:tc>
      </w:tr>
      <w:tr w14:paraId="0052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50AAD40">
            <w:pPr>
              <w:adjustRightInd w:val="0"/>
              <w:snapToGrid w:val="0"/>
              <w:spacing w:line="288" w:lineRule="auto"/>
              <w:jc w:val="center"/>
              <w:rPr>
                <w:rFonts w:ascii="宋体" w:hAnsi="宋体"/>
                <w:sz w:val="21"/>
                <w:szCs w:val="21"/>
              </w:rPr>
            </w:pPr>
            <w:r>
              <w:rPr>
                <w:rFonts w:hint="eastAsia" w:ascii="宋体" w:hAnsi="宋体"/>
                <w:sz w:val="21"/>
                <w:szCs w:val="21"/>
              </w:rPr>
              <w:t>（九）</w:t>
            </w:r>
          </w:p>
        </w:tc>
        <w:tc>
          <w:tcPr>
            <w:tcW w:w="1701" w:type="dxa"/>
            <w:vAlign w:val="center"/>
          </w:tcPr>
          <w:p w14:paraId="11975361">
            <w:pPr>
              <w:adjustRightInd w:val="0"/>
              <w:snapToGrid w:val="0"/>
              <w:spacing w:line="288" w:lineRule="auto"/>
              <w:jc w:val="center"/>
              <w:rPr>
                <w:rFonts w:ascii="宋体" w:hAnsi="宋体"/>
                <w:sz w:val="21"/>
                <w:szCs w:val="21"/>
              </w:rPr>
            </w:pPr>
            <w:r>
              <w:rPr>
                <w:rFonts w:hint="eastAsia" w:ascii="宋体" w:hAnsi="宋体"/>
                <w:sz w:val="21"/>
                <w:szCs w:val="21"/>
              </w:rPr>
              <w:t>资格审查要求的资格证明材料</w:t>
            </w:r>
          </w:p>
        </w:tc>
        <w:tc>
          <w:tcPr>
            <w:tcW w:w="6663" w:type="dxa"/>
            <w:vAlign w:val="center"/>
          </w:tcPr>
          <w:p w14:paraId="50CC63FA">
            <w:pPr>
              <w:adjustRightInd w:val="0"/>
              <w:snapToGrid w:val="0"/>
              <w:spacing w:line="288" w:lineRule="auto"/>
              <w:rPr>
                <w:rFonts w:ascii="宋体" w:hAnsi="宋体"/>
                <w:b/>
                <w:bCs/>
                <w:sz w:val="21"/>
                <w:szCs w:val="21"/>
              </w:rPr>
            </w:pPr>
            <w:r>
              <w:rPr>
                <w:rFonts w:hint="eastAsia" w:ascii="宋体" w:hAnsi="宋体"/>
                <w:b/>
                <w:bCs/>
                <w:sz w:val="21"/>
                <w:szCs w:val="21"/>
              </w:rPr>
              <w:t>资格审查要求的资格证明材料（均需加盖公章）：</w:t>
            </w:r>
          </w:p>
          <w:p w14:paraId="544681DD">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1）有效的法人或者其他组织的营业执照等证明文件，自然人的身份证明</w:t>
            </w:r>
          </w:p>
          <w:p w14:paraId="6DAEF444">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符合参加采购活动应当具备的一般条件的承诺函</w:t>
            </w:r>
          </w:p>
          <w:p w14:paraId="22F22393">
            <w:pPr>
              <w:adjustRightInd w:val="0"/>
              <w:snapToGrid w:val="0"/>
              <w:spacing w:line="288" w:lineRule="auto"/>
              <w:rPr>
                <w:rFonts w:ascii="宋体" w:hAnsi="宋体"/>
                <w:b/>
                <w:bCs/>
                <w:sz w:val="21"/>
                <w:szCs w:val="21"/>
              </w:rPr>
            </w:pPr>
            <w:r>
              <w:rPr>
                <w:rFonts w:hint="eastAsia" w:ascii="宋体" w:hAnsi="宋体"/>
                <w:sz w:val="21"/>
                <w:szCs w:val="21"/>
                <w:highlight w:val="none"/>
              </w:rPr>
              <w:t>（</w:t>
            </w:r>
            <w:r>
              <w:rPr>
                <w:rFonts w:ascii="宋体" w:hAnsi="宋体"/>
                <w:sz w:val="21"/>
                <w:szCs w:val="21"/>
                <w:highlight w:val="none"/>
              </w:rPr>
              <w:t>3）本项目的特定资格要求证明材料：无</w:t>
            </w:r>
          </w:p>
        </w:tc>
      </w:tr>
      <w:tr w14:paraId="6A21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B06523">
            <w:pPr>
              <w:adjustRightInd w:val="0"/>
              <w:snapToGrid w:val="0"/>
              <w:spacing w:line="288" w:lineRule="auto"/>
              <w:jc w:val="center"/>
              <w:rPr>
                <w:rFonts w:ascii="宋体" w:hAnsi="宋体"/>
                <w:sz w:val="21"/>
                <w:szCs w:val="21"/>
              </w:rPr>
            </w:pPr>
            <w:r>
              <w:rPr>
                <w:rFonts w:hint="eastAsia" w:ascii="宋体" w:hAnsi="宋体"/>
                <w:sz w:val="21"/>
                <w:szCs w:val="21"/>
              </w:rPr>
              <w:t>（十）</w:t>
            </w:r>
          </w:p>
        </w:tc>
        <w:tc>
          <w:tcPr>
            <w:tcW w:w="1701" w:type="dxa"/>
            <w:vAlign w:val="center"/>
          </w:tcPr>
          <w:p w14:paraId="2C544C3C">
            <w:pPr>
              <w:adjustRightInd w:val="0"/>
              <w:snapToGrid w:val="0"/>
              <w:spacing w:line="288" w:lineRule="auto"/>
              <w:jc w:val="center"/>
              <w:rPr>
                <w:rFonts w:ascii="宋体" w:hAnsi="宋体"/>
                <w:sz w:val="21"/>
                <w:szCs w:val="21"/>
              </w:rPr>
            </w:pPr>
            <w:r>
              <w:rPr>
                <w:rFonts w:hint="eastAsia" w:ascii="宋体" w:hAnsi="宋体"/>
                <w:b/>
                <w:bCs/>
                <w:sz w:val="21"/>
                <w:szCs w:val="21"/>
              </w:rPr>
              <w:t>响应文件份数</w:t>
            </w:r>
          </w:p>
        </w:tc>
        <w:tc>
          <w:tcPr>
            <w:tcW w:w="6663" w:type="dxa"/>
            <w:vAlign w:val="center"/>
          </w:tcPr>
          <w:p w14:paraId="186C438C">
            <w:pPr>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合并装订成册，其中正本一份、副本三份，响应文件的封面应注明“正本“、“副本”字样。提供全套响应文件电子版U盘1份，响应文件电子版应为正本的PDF格式扫描件</w:t>
            </w:r>
            <w:r>
              <w:rPr>
                <w:rFonts w:hint="eastAsia" w:ascii="宋体" w:hAnsi="宋体"/>
                <w:b/>
                <w:spacing w:val="-6"/>
                <w:sz w:val="21"/>
                <w:szCs w:val="21"/>
                <w:lang w:eastAsia="zh-CN"/>
              </w:rPr>
              <w:t>，</w:t>
            </w:r>
            <w:r>
              <w:rPr>
                <w:rFonts w:hint="eastAsia" w:ascii="宋体" w:hAnsi="宋体"/>
                <w:b/>
                <w:spacing w:val="-6"/>
                <w:sz w:val="21"/>
                <w:szCs w:val="21"/>
                <w:lang w:val="en-US" w:eastAsia="zh-CN"/>
              </w:rPr>
              <w:t>单独密封</w:t>
            </w:r>
            <w:r>
              <w:rPr>
                <w:rFonts w:hint="eastAsia" w:ascii="宋体" w:hAnsi="宋体"/>
                <w:b/>
                <w:spacing w:val="-6"/>
                <w:sz w:val="21"/>
                <w:szCs w:val="21"/>
              </w:rPr>
              <w:t>。</w:t>
            </w:r>
          </w:p>
          <w:p w14:paraId="673B20E5">
            <w:pPr>
              <w:adjustRightInd w:val="0"/>
              <w:snapToGrid w:val="0"/>
              <w:spacing w:line="288" w:lineRule="auto"/>
              <w:ind w:firstLine="398" w:firstLineChars="200"/>
              <w:jc w:val="left"/>
              <w:rPr>
                <w:rFonts w:ascii="宋体" w:hAnsi="宋体"/>
                <w:bCs/>
                <w:spacing w:val="-6"/>
                <w:sz w:val="21"/>
                <w:szCs w:val="21"/>
              </w:rPr>
            </w:pPr>
            <w:r>
              <w:rPr>
                <w:rFonts w:hint="eastAsia" w:ascii="宋体" w:hAnsi="宋体"/>
                <w:b/>
                <w:spacing w:val="-6"/>
                <w:sz w:val="21"/>
                <w:szCs w:val="21"/>
              </w:rPr>
              <w:t>▲活页装订（卡条、抽杆夹、订书机、散装）的响应文件无效。</w:t>
            </w:r>
          </w:p>
        </w:tc>
      </w:tr>
      <w:tr w14:paraId="7B15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961096">
            <w:pPr>
              <w:adjustRightInd w:val="0"/>
              <w:snapToGrid w:val="0"/>
              <w:spacing w:line="288" w:lineRule="auto"/>
              <w:jc w:val="center"/>
              <w:rPr>
                <w:rFonts w:ascii="宋体" w:hAnsi="宋体"/>
                <w:sz w:val="21"/>
                <w:szCs w:val="21"/>
              </w:rPr>
            </w:pPr>
            <w:r>
              <w:rPr>
                <w:rFonts w:hint="eastAsia" w:ascii="宋体" w:hAnsi="宋体"/>
                <w:sz w:val="21"/>
                <w:szCs w:val="21"/>
              </w:rPr>
              <w:t>（十一）</w:t>
            </w:r>
          </w:p>
        </w:tc>
        <w:tc>
          <w:tcPr>
            <w:tcW w:w="1701" w:type="dxa"/>
            <w:vAlign w:val="center"/>
          </w:tcPr>
          <w:p w14:paraId="0F8AABCF">
            <w:pPr>
              <w:adjustRightInd w:val="0"/>
              <w:snapToGrid w:val="0"/>
              <w:spacing w:line="288" w:lineRule="auto"/>
              <w:jc w:val="center"/>
              <w:rPr>
                <w:rFonts w:ascii="宋体" w:hAnsi="宋体"/>
                <w:sz w:val="21"/>
                <w:szCs w:val="21"/>
              </w:rPr>
            </w:pPr>
            <w:r>
              <w:rPr>
                <w:rFonts w:hint="eastAsia" w:ascii="宋体" w:hAnsi="宋体"/>
                <w:b/>
                <w:bCs/>
                <w:sz w:val="21"/>
                <w:szCs w:val="21"/>
              </w:rPr>
              <w:t>磋商报价</w:t>
            </w:r>
          </w:p>
        </w:tc>
        <w:tc>
          <w:tcPr>
            <w:tcW w:w="6663" w:type="dxa"/>
            <w:vAlign w:val="center"/>
          </w:tcPr>
          <w:p w14:paraId="1D5F017A">
            <w:pPr>
              <w:adjustRightInd w:val="0"/>
              <w:snapToGrid w:val="0"/>
              <w:spacing w:line="288" w:lineRule="auto"/>
              <w:rPr>
                <w:rFonts w:hint="eastAsia" w:ascii="宋体" w:hAnsi="宋体" w:eastAsia="宋体" w:cs="宋体"/>
                <w:sz w:val="21"/>
                <w:szCs w:val="21"/>
                <w:lang w:eastAsia="zh-CN"/>
              </w:rPr>
            </w:pPr>
            <w:r>
              <w:rPr>
                <w:rFonts w:hint="eastAsia" w:ascii="宋体" w:hAnsi="宋体" w:eastAsia="宋体" w:cs="宋体"/>
                <w:sz w:val="21"/>
                <w:szCs w:val="21"/>
              </w:rPr>
              <w:t>1.报价应按磋商文件要求的格式编制、填写报价内容（可自行增行），未按磋商文件要求编制、填写的响应文件可能被拒绝</w:t>
            </w:r>
            <w:r>
              <w:rPr>
                <w:rFonts w:hint="eastAsia" w:ascii="宋体" w:hAnsi="宋体" w:cs="宋体"/>
                <w:sz w:val="21"/>
                <w:szCs w:val="21"/>
                <w:lang w:val="en-US" w:eastAsia="zh-CN"/>
              </w:rPr>
              <w:t>。</w:t>
            </w:r>
          </w:p>
          <w:p w14:paraId="24E74E7A">
            <w:pPr>
              <w:adjustRightInd w:val="0"/>
              <w:snapToGrid w:val="0"/>
              <w:spacing w:line="288" w:lineRule="auto"/>
              <w:rPr>
                <w:rFonts w:hint="eastAsia" w:ascii="宋体" w:hAnsi="宋体" w:eastAsia="宋体" w:cs="宋体"/>
                <w:sz w:val="21"/>
                <w:szCs w:val="21"/>
                <w:lang w:eastAsia="zh-CN"/>
              </w:rPr>
            </w:pPr>
            <w:r>
              <w:rPr>
                <w:rFonts w:hint="eastAsia" w:ascii="宋体" w:hAnsi="宋体" w:eastAsia="宋体" w:cs="宋体"/>
                <w:sz w:val="21"/>
                <w:szCs w:val="21"/>
              </w:rPr>
              <w:t>2.本次磋商采用人民币报价</w:t>
            </w:r>
            <w:r>
              <w:rPr>
                <w:rFonts w:hint="eastAsia" w:ascii="宋体" w:hAnsi="宋体" w:cs="宋体"/>
                <w:sz w:val="21"/>
                <w:szCs w:val="21"/>
                <w:lang w:eastAsia="zh-CN"/>
              </w:rPr>
              <w:t>。</w:t>
            </w:r>
          </w:p>
          <w:p w14:paraId="4C0585D6">
            <w:pPr>
              <w:adjustRightInd w:val="0"/>
              <w:snapToGrid w:val="0"/>
              <w:spacing w:line="288" w:lineRule="auto"/>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供应商根据磋商文件的要求，须将设备（软件）费、安装费、调试费、验收费（通过验收直至交付用户使用，达到使用要求及质量标准）、培训费、投标费、合同包含的所有风险责任等各项费用及不可预见费、质保期内保修服务等所需的全部费用都包含在响应总价之中，最后磋商报价是履行合同的最终价格，除非采购范围更改，否则合同价不再作调整。</w:t>
            </w:r>
          </w:p>
          <w:p w14:paraId="0E38BD17">
            <w:pPr>
              <w:adjustRightInd w:val="0"/>
              <w:snapToGrid w:val="0"/>
              <w:spacing w:line="288" w:lineRule="auto"/>
              <w:rPr>
                <w:rFonts w:hint="eastAsia" w:ascii="宋体" w:hAnsi="宋体" w:eastAsia="宋体" w:cs="宋体"/>
                <w:sz w:val="21"/>
                <w:szCs w:val="21"/>
                <w:lang w:eastAsia="zh-CN"/>
              </w:rPr>
            </w:pPr>
            <w:r>
              <w:rPr>
                <w:rFonts w:hint="eastAsia" w:ascii="宋体" w:hAnsi="宋体"/>
                <w:sz w:val="21"/>
                <w:szCs w:val="21"/>
              </w:rPr>
              <w:t>如还有其它费用内容组成，供应商可在磋商分项报价表中单独列出，如不列明详细报价，则视为已含入各分项报价里</w:t>
            </w:r>
            <w:r>
              <w:rPr>
                <w:rFonts w:hint="eastAsia" w:ascii="宋体" w:hAnsi="宋体"/>
                <w:sz w:val="21"/>
                <w:szCs w:val="21"/>
                <w:lang w:eastAsia="zh-CN"/>
              </w:rPr>
              <w:t>。</w:t>
            </w:r>
          </w:p>
          <w:p w14:paraId="4C2F0605">
            <w:pPr>
              <w:adjustRightInd w:val="0"/>
              <w:snapToGrid w:val="0"/>
              <w:spacing w:line="288" w:lineRule="auto"/>
              <w:rPr>
                <w:rFonts w:hint="eastAsia" w:ascii="宋体" w:hAnsi="宋体" w:eastAsia="宋体"/>
                <w:sz w:val="21"/>
                <w:szCs w:val="21"/>
                <w:lang w:eastAsia="zh-CN"/>
              </w:rPr>
            </w:pPr>
            <w:r>
              <w:rPr>
                <w:rFonts w:hint="eastAsia" w:ascii="宋体" w:hAnsi="宋体"/>
                <w:sz w:val="21"/>
                <w:szCs w:val="21"/>
                <w:lang w:val="en-US" w:eastAsia="zh-CN"/>
              </w:rPr>
              <w:t>4</w:t>
            </w:r>
            <w:r>
              <w:rPr>
                <w:rFonts w:hint="eastAsia" w:ascii="宋体" w:hAnsi="宋体"/>
                <w:sz w:val="21"/>
                <w:szCs w:val="21"/>
              </w:rPr>
              <w:t>.设备费：用户指定位置价</w:t>
            </w:r>
            <w:r>
              <w:rPr>
                <w:rFonts w:hint="eastAsia" w:ascii="宋体" w:hAnsi="宋体"/>
                <w:sz w:val="21"/>
                <w:szCs w:val="21"/>
                <w:lang w:eastAsia="zh-CN"/>
              </w:rPr>
              <w:t>；</w:t>
            </w:r>
          </w:p>
          <w:p w14:paraId="239D5689">
            <w:pPr>
              <w:adjustRightInd w:val="0"/>
              <w:snapToGrid w:val="0"/>
              <w:spacing w:line="288" w:lineRule="auto"/>
              <w:rPr>
                <w:rFonts w:hint="eastAsia" w:ascii="宋体" w:hAnsi="宋体" w:cs="宋体"/>
                <w:color w:val="auto"/>
                <w:sz w:val="21"/>
                <w:szCs w:val="21"/>
                <w:highlight w:val="none"/>
                <w:lang w:val="en-US" w:eastAsia="zh-CN"/>
              </w:rPr>
            </w:pPr>
            <w:r>
              <w:rPr>
                <w:rFonts w:hint="eastAsia" w:ascii="宋体" w:hAnsi="宋体"/>
                <w:sz w:val="21"/>
                <w:szCs w:val="21"/>
              </w:rPr>
              <w:t>国产设备：设备费须包含设备（包括主机、标准附件、备品备件、专用工具）价、设备运杂费、保险费、利润、税金等，以人民币报价。</w:t>
            </w:r>
          </w:p>
          <w:p w14:paraId="5F096494">
            <w:pPr>
              <w:adjustRightInd w:val="0"/>
              <w:snapToGrid w:val="0"/>
              <w:spacing w:line="288" w:lineRule="auto"/>
              <w:rPr>
                <w:rFonts w:hint="eastAsia" w:ascii="宋体" w:hAnsi="宋体" w:cs="宋体"/>
                <w:color w:val="auto"/>
                <w:sz w:val="21"/>
                <w:szCs w:val="21"/>
                <w:highlight w:val="none"/>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.最后磋商报价是履行合同的最终价格，有关本项目实施所涉及的一切费用均计入</w:t>
            </w:r>
            <w:r>
              <w:rPr>
                <w:rFonts w:hint="eastAsia" w:ascii="宋体" w:hAnsi="宋体" w:eastAsia="宋体" w:cs="宋体"/>
                <w:color w:val="auto"/>
                <w:sz w:val="21"/>
                <w:szCs w:val="21"/>
              </w:rPr>
              <w:t>报价。总价不为零，分项报价中部分产品、服务单价为零的，视作已包含在总价中</w:t>
            </w:r>
            <w:r>
              <w:rPr>
                <w:rFonts w:hint="eastAsia" w:ascii="宋体" w:hAnsi="宋体" w:cs="宋体"/>
                <w:color w:val="auto"/>
                <w:sz w:val="21"/>
                <w:szCs w:val="21"/>
                <w:lang w:eastAsia="zh-CN"/>
              </w:rPr>
              <w:t>。</w:t>
            </w:r>
          </w:p>
          <w:p w14:paraId="5BA0AD1B">
            <w:pPr>
              <w:adjustRightInd w:val="0"/>
              <w:snapToGrid w:val="0"/>
              <w:spacing w:line="288" w:lineRule="auto"/>
              <w:rPr>
                <w:rFonts w:hint="eastAsia" w:ascii="宋体" w:hAnsi="宋体"/>
                <w:sz w:val="21"/>
                <w:szCs w:val="21"/>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.供应商不得进行影响产品质量或者诚信履约的恶意报价。供应商报价低于项目预算50%的，应当在报价文件中提供</w:t>
            </w:r>
            <w:r>
              <w:rPr>
                <w:rFonts w:hint="eastAsia" w:ascii="宋体" w:hAnsi="宋体" w:eastAsia="宋体" w:cs="宋体"/>
                <w:color w:val="auto"/>
                <w:sz w:val="21"/>
                <w:szCs w:val="21"/>
                <w:highlight w:val="none"/>
                <w:lang w:val="en-US" w:eastAsia="zh-CN"/>
              </w:rPr>
              <w:t>书面</w:t>
            </w:r>
            <w:r>
              <w:rPr>
                <w:rFonts w:hint="eastAsia" w:ascii="宋体" w:hAnsi="宋体" w:eastAsia="宋体" w:cs="宋体"/>
                <w:color w:val="auto"/>
                <w:sz w:val="21"/>
                <w:szCs w:val="21"/>
                <w:highlight w:val="none"/>
              </w:rPr>
              <w:t>说明，详细阐述不影响产品质量或者诚信履约的具体原因。</w:t>
            </w:r>
          </w:p>
        </w:tc>
      </w:tr>
      <w:tr w14:paraId="6205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5156DD6">
            <w:pPr>
              <w:adjustRightInd w:val="0"/>
              <w:snapToGrid w:val="0"/>
              <w:spacing w:line="288" w:lineRule="auto"/>
              <w:jc w:val="center"/>
              <w:rPr>
                <w:rFonts w:ascii="宋体" w:hAnsi="宋体"/>
                <w:sz w:val="21"/>
                <w:szCs w:val="21"/>
              </w:rPr>
            </w:pPr>
            <w:r>
              <w:rPr>
                <w:rFonts w:hint="eastAsia" w:ascii="宋体" w:hAnsi="宋体"/>
                <w:sz w:val="21"/>
                <w:szCs w:val="21"/>
              </w:rPr>
              <w:t>（十二）</w:t>
            </w:r>
          </w:p>
        </w:tc>
        <w:tc>
          <w:tcPr>
            <w:tcW w:w="1701" w:type="dxa"/>
            <w:vAlign w:val="center"/>
          </w:tcPr>
          <w:p w14:paraId="69455D63">
            <w:pPr>
              <w:adjustRightInd w:val="0"/>
              <w:snapToGrid w:val="0"/>
              <w:spacing w:line="288" w:lineRule="auto"/>
              <w:jc w:val="center"/>
              <w:rPr>
                <w:rFonts w:ascii="宋体" w:hAnsi="宋体"/>
                <w:sz w:val="21"/>
                <w:szCs w:val="21"/>
              </w:rPr>
            </w:pPr>
            <w:r>
              <w:rPr>
                <w:rFonts w:hint="eastAsia" w:ascii="宋体" w:hAnsi="宋体"/>
                <w:b/>
                <w:bCs/>
                <w:sz w:val="21"/>
                <w:szCs w:val="21"/>
              </w:rPr>
              <w:t>响应有效期</w:t>
            </w:r>
          </w:p>
        </w:tc>
        <w:tc>
          <w:tcPr>
            <w:tcW w:w="6663" w:type="dxa"/>
            <w:vAlign w:val="center"/>
          </w:tcPr>
          <w:p w14:paraId="098B62A2">
            <w:pPr>
              <w:adjustRightInd w:val="0"/>
              <w:snapToGrid w:val="0"/>
              <w:spacing w:line="288" w:lineRule="auto"/>
              <w:rPr>
                <w:rFonts w:ascii="宋体" w:hAnsi="宋体"/>
                <w:sz w:val="21"/>
                <w:szCs w:val="21"/>
              </w:rPr>
            </w:pPr>
            <w:r>
              <w:rPr>
                <w:rFonts w:hint="eastAsia" w:ascii="宋体" w:hAnsi="宋体"/>
                <w:sz w:val="21"/>
                <w:szCs w:val="21"/>
              </w:rPr>
              <w:t>▲</w:t>
            </w:r>
            <w:bookmarkStart w:id="32" w:name="_Hlk71884303"/>
            <w:r>
              <w:rPr>
                <w:rFonts w:hint="eastAsia" w:ascii="宋体" w:hAnsi="宋体"/>
                <w:sz w:val="21"/>
                <w:szCs w:val="21"/>
              </w:rPr>
              <w:t>从提交响应文件的截止之日起90天。在原响应有效期满之前，如果出现特殊情况，采购人或采购代理机构以书面形式通知供应商延长响应有效期。</w:t>
            </w:r>
            <w:bookmarkEnd w:id="32"/>
          </w:p>
        </w:tc>
      </w:tr>
      <w:tr w14:paraId="4A8C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308A1B">
            <w:pPr>
              <w:adjustRightInd w:val="0"/>
              <w:snapToGrid w:val="0"/>
              <w:spacing w:line="288" w:lineRule="auto"/>
              <w:jc w:val="center"/>
              <w:rPr>
                <w:rFonts w:ascii="宋体" w:hAnsi="宋体"/>
                <w:sz w:val="21"/>
                <w:szCs w:val="21"/>
              </w:rPr>
            </w:pPr>
            <w:r>
              <w:rPr>
                <w:rFonts w:hint="eastAsia" w:ascii="宋体" w:hAnsi="宋体"/>
                <w:sz w:val="21"/>
                <w:szCs w:val="21"/>
              </w:rPr>
              <w:t>（十三）</w:t>
            </w:r>
          </w:p>
        </w:tc>
        <w:tc>
          <w:tcPr>
            <w:tcW w:w="1701" w:type="dxa"/>
            <w:vAlign w:val="center"/>
          </w:tcPr>
          <w:p w14:paraId="0C782B06">
            <w:pPr>
              <w:adjustRightInd w:val="0"/>
              <w:snapToGrid w:val="0"/>
              <w:spacing w:line="288" w:lineRule="auto"/>
              <w:jc w:val="center"/>
              <w:rPr>
                <w:rFonts w:ascii="宋体" w:hAnsi="宋体"/>
                <w:sz w:val="21"/>
                <w:szCs w:val="21"/>
              </w:rPr>
            </w:pPr>
            <w:r>
              <w:rPr>
                <w:rFonts w:hint="eastAsia" w:ascii="宋体" w:hAnsi="宋体"/>
                <w:sz w:val="21"/>
                <w:szCs w:val="21"/>
              </w:rPr>
              <w:t>评审方法和评审标准</w:t>
            </w:r>
          </w:p>
        </w:tc>
        <w:tc>
          <w:tcPr>
            <w:tcW w:w="6663" w:type="dxa"/>
            <w:vAlign w:val="center"/>
          </w:tcPr>
          <w:p w14:paraId="359D2C38">
            <w:pPr>
              <w:adjustRightInd w:val="0"/>
              <w:snapToGrid w:val="0"/>
              <w:spacing w:line="288" w:lineRule="auto"/>
              <w:rPr>
                <w:rFonts w:ascii="宋体" w:hAnsi="宋体"/>
                <w:sz w:val="21"/>
                <w:szCs w:val="21"/>
              </w:rPr>
            </w:pPr>
            <w:r>
              <w:rPr>
                <w:rFonts w:ascii="宋体" w:hAnsi="宋体"/>
                <w:sz w:val="21"/>
                <w:szCs w:val="21"/>
              </w:rPr>
              <w:t>详见“</w:t>
            </w:r>
            <w:r>
              <w:rPr>
                <w:rFonts w:hint="eastAsia" w:ascii="宋体" w:hAnsi="宋体"/>
                <w:sz w:val="21"/>
                <w:szCs w:val="21"/>
              </w:rPr>
              <w:t>第四章  评审方法和评审标准</w:t>
            </w:r>
            <w:r>
              <w:rPr>
                <w:rFonts w:ascii="宋体" w:hAnsi="宋体"/>
                <w:sz w:val="21"/>
                <w:szCs w:val="21"/>
              </w:rPr>
              <w:t>”</w:t>
            </w:r>
            <w:r>
              <w:rPr>
                <w:rFonts w:hint="eastAsia" w:ascii="宋体" w:hAnsi="宋体"/>
                <w:sz w:val="21"/>
                <w:szCs w:val="21"/>
              </w:rPr>
              <w:t>。</w:t>
            </w:r>
          </w:p>
        </w:tc>
      </w:tr>
      <w:tr w14:paraId="23C1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634CF2">
            <w:pPr>
              <w:adjustRightInd w:val="0"/>
              <w:snapToGrid w:val="0"/>
              <w:spacing w:line="288" w:lineRule="auto"/>
              <w:jc w:val="center"/>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十四</w:t>
            </w:r>
            <w:r>
              <w:rPr>
                <w:rFonts w:ascii="宋体" w:hAnsi="宋体"/>
                <w:sz w:val="21"/>
                <w:szCs w:val="21"/>
                <w:highlight w:val="none"/>
              </w:rPr>
              <w:t>）</w:t>
            </w:r>
          </w:p>
        </w:tc>
        <w:tc>
          <w:tcPr>
            <w:tcW w:w="1701" w:type="dxa"/>
            <w:vAlign w:val="center"/>
          </w:tcPr>
          <w:p w14:paraId="44DA3B56">
            <w:pPr>
              <w:adjustRightInd w:val="0"/>
              <w:snapToGrid w:val="0"/>
              <w:spacing w:line="288" w:lineRule="auto"/>
              <w:jc w:val="center"/>
              <w:rPr>
                <w:rFonts w:ascii="宋体" w:hAnsi="宋体"/>
                <w:sz w:val="21"/>
                <w:szCs w:val="21"/>
                <w:highlight w:val="none"/>
              </w:rPr>
            </w:pPr>
            <w:r>
              <w:rPr>
                <w:rFonts w:hint="eastAsia" w:ascii="宋体" w:hAnsi="宋体"/>
                <w:sz w:val="21"/>
                <w:szCs w:val="21"/>
                <w:highlight w:val="none"/>
              </w:rPr>
              <w:t>评审结果公示</w:t>
            </w:r>
          </w:p>
        </w:tc>
        <w:tc>
          <w:tcPr>
            <w:tcW w:w="6663" w:type="dxa"/>
            <w:vAlign w:val="center"/>
          </w:tcPr>
          <w:p w14:paraId="38A52C6B">
            <w:pPr>
              <w:adjustRightInd w:val="0"/>
              <w:snapToGrid w:val="0"/>
              <w:spacing w:line="288" w:lineRule="auto"/>
              <w:rPr>
                <w:rFonts w:hint="eastAsia" w:ascii="宋体" w:hAnsi="宋体"/>
                <w:sz w:val="21"/>
                <w:szCs w:val="21"/>
              </w:rPr>
            </w:pPr>
            <w:r>
              <w:rPr>
                <w:rFonts w:hint="eastAsia" w:ascii="宋体" w:hAnsi="宋体"/>
                <w:sz w:val="21"/>
                <w:szCs w:val="21"/>
                <w:highlight w:val="none"/>
              </w:rPr>
              <w:t>评审结果公示媒体：浙江政府采购网（http://zfcg.czt.zj.gov.cn）</w:t>
            </w:r>
            <w:r>
              <w:rPr>
                <w:rFonts w:hint="eastAsia" w:ascii="宋体" w:hAnsi="宋体"/>
                <w:sz w:val="21"/>
                <w:szCs w:val="21"/>
              </w:rPr>
              <w:t>浙江大学杭州国际科创中心</w:t>
            </w:r>
          </w:p>
          <w:p w14:paraId="5E0FD51E">
            <w:pPr>
              <w:adjustRightInd w:val="0"/>
              <w:snapToGrid w:val="0"/>
              <w:spacing w:line="288" w:lineRule="auto"/>
              <w:rPr>
                <w:rFonts w:ascii="宋体" w:hAnsi="宋体"/>
                <w:sz w:val="21"/>
                <w:szCs w:val="21"/>
                <w:highlight w:val="none"/>
              </w:rPr>
            </w:pPr>
            <w:r>
              <w:rPr>
                <w:rFonts w:hint="eastAsia" w:ascii="宋体" w:hAnsi="宋体"/>
                <w:sz w:val="21"/>
                <w:szCs w:val="21"/>
              </w:rPr>
              <w:t>(</w:t>
            </w:r>
            <w:r>
              <w:fldChar w:fldCharType="begin"/>
            </w:r>
            <w:r>
              <w:instrText xml:space="preserve"> HYPERLINK "https://hic.zju.edu.cn/cgxx/list.htm" </w:instrText>
            </w:r>
            <w:r>
              <w:fldChar w:fldCharType="separate"/>
            </w:r>
            <w:r>
              <w:rPr>
                <w:rStyle w:val="26"/>
                <w:rFonts w:ascii="宋体" w:hAnsi="宋体"/>
                <w:color w:val="auto"/>
                <w:sz w:val="21"/>
                <w:szCs w:val="21"/>
              </w:rPr>
              <w:t>https://hic.zju.edu.cn/cgxx/list.htm</w:t>
            </w:r>
            <w:r>
              <w:rPr>
                <w:rStyle w:val="26"/>
                <w:rFonts w:ascii="宋体" w:hAnsi="宋体"/>
                <w:color w:val="auto"/>
                <w:sz w:val="21"/>
                <w:szCs w:val="21"/>
              </w:rPr>
              <w:fldChar w:fldCharType="end"/>
            </w:r>
            <w:r>
              <w:rPr>
                <w:rFonts w:hint="eastAsia" w:ascii="宋体" w:hAnsi="宋体"/>
                <w:sz w:val="21"/>
                <w:szCs w:val="21"/>
              </w:rPr>
              <w:t>)</w:t>
            </w:r>
            <w:r>
              <w:rPr>
                <w:rFonts w:hint="eastAsia" w:ascii="宋体" w:hAnsi="宋体"/>
                <w:sz w:val="21"/>
                <w:szCs w:val="21"/>
                <w:highlight w:val="none"/>
              </w:rPr>
              <w:t>。</w:t>
            </w:r>
          </w:p>
        </w:tc>
      </w:tr>
      <w:tr w14:paraId="3C74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AF650DE">
            <w:pPr>
              <w:adjustRightInd w:val="0"/>
              <w:snapToGrid w:val="0"/>
              <w:spacing w:line="288" w:lineRule="auto"/>
              <w:jc w:val="center"/>
              <w:rPr>
                <w:rFonts w:ascii="宋体" w:hAnsi="宋体"/>
                <w:sz w:val="21"/>
                <w:szCs w:val="21"/>
              </w:rPr>
            </w:pPr>
            <w:r>
              <w:rPr>
                <w:rFonts w:hint="eastAsia" w:ascii="宋体" w:hAnsi="宋体"/>
                <w:sz w:val="21"/>
                <w:szCs w:val="21"/>
              </w:rPr>
              <w:t>（十五）</w:t>
            </w:r>
          </w:p>
        </w:tc>
        <w:tc>
          <w:tcPr>
            <w:tcW w:w="1701" w:type="dxa"/>
            <w:vAlign w:val="center"/>
          </w:tcPr>
          <w:p w14:paraId="6BD205D3">
            <w:pPr>
              <w:adjustRightInd w:val="0"/>
              <w:snapToGrid w:val="0"/>
              <w:spacing w:line="288" w:lineRule="auto"/>
              <w:jc w:val="center"/>
              <w:rPr>
                <w:rFonts w:ascii="宋体" w:hAnsi="宋体"/>
                <w:sz w:val="21"/>
                <w:szCs w:val="21"/>
              </w:rPr>
            </w:pPr>
            <w:r>
              <w:rPr>
                <w:rFonts w:hint="eastAsia" w:ascii="宋体" w:hAnsi="宋体"/>
                <w:sz w:val="21"/>
                <w:szCs w:val="21"/>
              </w:rPr>
              <w:t>签订合同</w:t>
            </w:r>
          </w:p>
        </w:tc>
        <w:tc>
          <w:tcPr>
            <w:tcW w:w="6663" w:type="dxa"/>
            <w:vAlign w:val="center"/>
          </w:tcPr>
          <w:p w14:paraId="69A80F6C">
            <w:pPr>
              <w:adjustRightInd w:val="0"/>
              <w:snapToGrid w:val="0"/>
              <w:spacing w:line="288" w:lineRule="auto"/>
              <w:rPr>
                <w:rFonts w:ascii="宋体" w:hAnsi="宋体"/>
                <w:sz w:val="21"/>
                <w:szCs w:val="21"/>
              </w:rPr>
            </w:pPr>
            <w:r>
              <w:rPr>
                <w:rFonts w:hint="eastAsia" w:ascii="宋体" w:hAnsi="宋体"/>
                <w:sz w:val="21"/>
                <w:szCs w:val="21"/>
              </w:rPr>
              <w:t>成交通知书发出之日起30日内。</w:t>
            </w:r>
          </w:p>
        </w:tc>
      </w:tr>
    </w:tbl>
    <w:p w14:paraId="6BB3D0A4">
      <w:pPr>
        <w:pStyle w:val="12"/>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总则</w:t>
      </w:r>
    </w:p>
    <w:p w14:paraId="46887075">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供应商应仔细阅读磋商文件的所有内容，按照磋商文件的要求提交响应文件，并对所提供的全部资料的真实性承担法律责任。</w:t>
      </w:r>
    </w:p>
    <w:p w14:paraId="36A97D69">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14:paraId="6636A886">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本磋商文件适用于</w:t>
      </w:r>
      <w:r>
        <w:rPr>
          <w:rFonts w:hint="eastAsia" w:ascii="宋体" w:hAnsi="宋体"/>
          <w:spacing w:val="-6"/>
          <w:sz w:val="21"/>
          <w:szCs w:val="21"/>
          <w:lang w:eastAsia="zh-CN"/>
        </w:rPr>
        <w:t>浙江大学杭州国际科创中心双光子光致发光显微成像系统</w:t>
      </w:r>
      <w:r>
        <w:rPr>
          <w:rFonts w:hint="eastAsia" w:ascii="宋体" w:hAnsi="宋体"/>
          <w:spacing w:val="-6"/>
          <w:sz w:val="21"/>
          <w:szCs w:val="21"/>
        </w:rPr>
        <w:t>的磋商、评审、成交、验收、合同履约、付款等（法律、法规另有规定的，从其规定）。</w:t>
      </w:r>
    </w:p>
    <w:p w14:paraId="6FFBC934">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14:paraId="3CE8F314">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1.“采购人”系指</w:t>
      </w:r>
      <w:r>
        <w:rPr>
          <w:rFonts w:hint="eastAsia" w:ascii="宋体" w:hAnsi="宋体"/>
          <w:spacing w:val="-6"/>
          <w:sz w:val="21"/>
          <w:szCs w:val="21"/>
          <w:lang w:eastAsia="zh-CN"/>
        </w:rPr>
        <w:t>浙江大学杭州国际科创中心</w:t>
      </w:r>
      <w:r>
        <w:rPr>
          <w:rFonts w:hint="eastAsia" w:ascii="宋体" w:hAnsi="宋体"/>
          <w:spacing w:val="-6"/>
          <w:sz w:val="21"/>
          <w:szCs w:val="21"/>
        </w:rPr>
        <w:t>；</w:t>
      </w:r>
    </w:p>
    <w:p w14:paraId="5CE10519">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采购代理机构”系指组织本次竞争性磋商的浙江求是招标代理有限公司；</w:t>
      </w:r>
    </w:p>
    <w:p w14:paraId="7909B194">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3．“供应商”系指响应磋商、参加竞争的法人、其他组织或者自然人；</w:t>
      </w:r>
    </w:p>
    <w:p w14:paraId="59BE3CC1">
      <w:pPr>
        <w:adjustRightInd w:val="0"/>
        <w:snapToGrid w:val="0"/>
        <w:spacing w:line="288" w:lineRule="auto"/>
        <w:ind w:firstLine="420" w:firstLineChars="200"/>
        <w:rPr>
          <w:rFonts w:ascii="宋体" w:hAnsi="宋体"/>
          <w:spacing w:val="-6"/>
          <w:sz w:val="21"/>
          <w:szCs w:val="21"/>
        </w:rPr>
      </w:pPr>
      <w:r>
        <w:rPr>
          <w:rFonts w:hint="eastAsia" w:ascii="宋体" w:hAnsi="宋体"/>
          <w:sz w:val="21"/>
          <w:szCs w:val="21"/>
        </w:rPr>
        <w:t>4.“书面形式”包括合同书、信件和数据电文(包括电报、电传、传真、电子数据交换和电子邮件)等可以有形地表现所载内容的形式；</w:t>
      </w:r>
    </w:p>
    <w:p w14:paraId="779C3F8A">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5．“▲”系指实质性要求条款，供应商必须做出实质性响应。</w:t>
      </w:r>
    </w:p>
    <w:p w14:paraId="51EB8FAB">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（三）采购方式</w:t>
      </w:r>
    </w:p>
    <w:p w14:paraId="4BC03563">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本次采购采用竞争性磋商方式进行。</w:t>
      </w:r>
    </w:p>
    <w:p w14:paraId="5C368FE4">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（四）竞争性磋商委托</w:t>
      </w:r>
    </w:p>
    <w:p w14:paraId="693915D5">
      <w:pPr>
        <w:pStyle w:val="10"/>
        <w:adjustRightInd w:val="0"/>
        <w:snapToGrid w:val="0"/>
        <w:spacing w:line="288" w:lineRule="auto"/>
        <w:ind w:firstLine="420" w:firstLineChars="200"/>
        <w:jc w:val="left"/>
        <w:rPr>
          <w:rFonts w:hAnsi="宋体"/>
          <w:spacing w:val="0"/>
          <w:sz w:val="21"/>
          <w:szCs w:val="21"/>
        </w:rPr>
      </w:pPr>
      <w:r>
        <w:rPr>
          <w:rFonts w:hint="eastAsia" w:hAnsi="宋体"/>
          <w:spacing w:val="0"/>
          <w:sz w:val="21"/>
          <w:szCs w:val="21"/>
        </w:rPr>
        <w:t>▲1.供应商代表是法定代表人（单位负责人、自然人本人）的，须提供本人身份证明。</w:t>
      </w:r>
    </w:p>
    <w:p w14:paraId="513D7E78">
      <w:pPr>
        <w:pStyle w:val="10"/>
        <w:adjustRightInd w:val="0"/>
        <w:snapToGrid w:val="0"/>
        <w:spacing w:line="288" w:lineRule="auto"/>
        <w:ind w:firstLine="420" w:firstLineChars="200"/>
        <w:jc w:val="left"/>
        <w:rPr>
          <w:rFonts w:hAnsi="宋体"/>
          <w:spacing w:val="0"/>
          <w:sz w:val="21"/>
          <w:szCs w:val="21"/>
        </w:rPr>
      </w:pPr>
      <w:r>
        <w:rPr>
          <w:rFonts w:hint="eastAsia" w:hAnsi="宋体"/>
          <w:spacing w:val="0"/>
          <w:sz w:val="21"/>
          <w:szCs w:val="21"/>
        </w:rPr>
        <w:t>▲2.供应商代表不是法定代表人（单位负责人、自然人本人）的，须提供授权委托书（格式详见磋商文件第六章）和授权代表社</w:t>
      </w:r>
      <w:r>
        <w:rPr>
          <w:rFonts w:hint="eastAsia" w:hAnsi="宋体"/>
          <w:spacing w:val="0"/>
          <w:sz w:val="21"/>
          <w:szCs w:val="21"/>
          <w:highlight w:val="none"/>
          <w:shd w:val="clear"/>
        </w:rPr>
        <w:t>保缴纳证明（</w:t>
      </w:r>
      <w:r>
        <w:rPr>
          <w:rFonts w:hint="eastAsia" w:hAnsi="宋体"/>
          <w:spacing w:val="0"/>
          <w:sz w:val="21"/>
          <w:szCs w:val="21"/>
          <w:highlight w:val="none"/>
          <w:shd w:val="clear"/>
          <w:lang w:eastAsia="zh-CN"/>
        </w:rPr>
        <w:t>2023年6月（含）以后任意一月</w:t>
      </w:r>
      <w:r>
        <w:rPr>
          <w:rFonts w:hint="eastAsia" w:hAnsi="宋体"/>
          <w:spacing w:val="0"/>
          <w:sz w:val="21"/>
          <w:szCs w:val="21"/>
          <w:highlight w:val="none"/>
          <w:shd w:val="clear"/>
        </w:rPr>
        <w:t>）；</w:t>
      </w:r>
    </w:p>
    <w:p w14:paraId="39258259">
      <w:pPr>
        <w:pStyle w:val="10"/>
        <w:adjustRightInd w:val="0"/>
        <w:snapToGrid w:val="0"/>
        <w:spacing w:line="288" w:lineRule="auto"/>
        <w:ind w:firstLine="420" w:firstLineChars="200"/>
        <w:jc w:val="left"/>
        <w:rPr>
          <w:rFonts w:hAnsi="宋体"/>
          <w:spacing w:val="0"/>
          <w:sz w:val="21"/>
          <w:szCs w:val="21"/>
        </w:rPr>
      </w:pPr>
      <w:r>
        <w:rPr>
          <w:rFonts w:hint="eastAsia" w:hAnsi="宋体"/>
          <w:spacing w:val="0"/>
          <w:sz w:val="21"/>
          <w:szCs w:val="21"/>
        </w:rPr>
        <w:t>▲3.供应商委派不在本单位缴纳社保的人员作为授权代表的，应当在响应文件中，说明具体原因、授权代表缴纳社保的单位，并附列该授权代表缴纳社保清单。</w:t>
      </w:r>
    </w:p>
    <w:p w14:paraId="715AC01C">
      <w:pPr>
        <w:pStyle w:val="10"/>
        <w:adjustRightInd w:val="0"/>
        <w:snapToGrid w:val="0"/>
        <w:spacing w:line="288" w:lineRule="auto"/>
        <w:ind w:firstLine="420" w:firstLineChars="200"/>
        <w:jc w:val="left"/>
        <w:rPr>
          <w:rFonts w:hAnsi="宋体"/>
          <w:spacing w:val="-6"/>
          <w:sz w:val="21"/>
          <w:szCs w:val="21"/>
        </w:rPr>
      </w:pPr>
      <w:r>
        <w:rPr>
          <w:rFonts w:hint="eastAsia" w:hAnsi="宋体"/>
          <w:spacing w:val="0"/>
          <w:sz w:val="21"/>
          <w:szCs w:val="21"/>
        </w:rPr>
        <w:t>▲4.供应商授权代表必须持本人有效的身份证原件、驾驶证原件或护照原件于响应文件提交的截止时间前到达响应文件的开启地点参与磋商。</w:t>
      </w:r>
    </w:p>
    <w:p w14:paraId="03164D86">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（五）磋商费用</w:t>
      </w:r>
    </w:p>
    <w:p w14:paraId="13F25F45">
      <w:pPr>
        <w:adjustRightInd w:val="0"/>
        <w:snapToGrid w:val="0"/>
        <w:spacing w:line="288" w:lineRule="auto"/>
        <w:ind w:firstLine="420" w:firstLineChars="200"/>
        <w:rPr>
          <w:rFonts w:ascii="宋体" w:hAnsi="宋体"/>
          <w:sz w:val="21"/>
          <w:szCs w:val="21"/>
        </w:rPr>
      </w:pPr>
      <w:r>
        <w:rPr>
          <w:rFonts w:hint="eastAsia" w:ascii="宋体" w:hAnsi="宋体"/>
          <w:sz w:val="21"/>
          <w:szCs w:val="21"/>
        </w:rPr>
        <w:t>1.不论磋商结果如何，供应商均应自行承担所有与磋商有关的全部费用；</w:t>
      </w:r>
    </w:p>
    <w:p w14:paraId="2FC5EE57">
      <w:pPr>
        <w:adjustRightInd w:val="0"/>
        <w:snapToGrid w:val="0"/>
        <w:spacing w:line="288" w:lineRule="auto"/>
        <w:ind w:firstLine="420" w:firstLineChars="200"/>
        <w:rPr>
          <w:rFonts w:ascii="宋体" w:hAnsi="宋体"/>
          <w:sz w:val="21"/>
          <w:szCs w:val="21"/>
        </w:rPr>
      </w:pPr>
      <w:r>
        <w:rPr>
          <w:rFonts w:hint="eastAsia" w:ascii="宋体" w:hAnsi="宋体"/>
          <w:sz w:val="21"/>
          <w:szCs w:val="21"/>
        </w:rPr>
        <w:t>2.成交供应商在成交通知书发出之日起七个工作日内，向采购代理机构交纳代理服务费；</w:t>
      </w:r>
    </w:p>
    <w:p w14:paraId="1C2C09B8">
      <w:pPr>
        <w:adjustRightInd w:val="0"/>
        <w:snapToGrid w:val="0"/>
        <w:spacing w:line="288" w:lineRule="auto"/>
        <w:ind w:firstLine="420" w:firstLineChars="200"/>
        <w:rPr>
          <w:rFonts w:ascii="宋体" w:hAnsi="宋体"/>
          <w:sz w:val="21"/>
          <w:szCs w:val="21"/>
        </w:rPr>
      </w:pPr>
      <w:r>
        <w:rPr>
          <w:rFonts w:hint="eastAsia" w:ascii="宋体" w:hAnsi="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4B918EA">
      <w:pPr>
        <w:adjustRightInd w:val="0"/>
        <w:snapToGrid w:val="0"/>
        <w:spacing w:line="288" w:lineRule="auto"/>
        <w:ind w:firstLine="420" w:firstLineChars="200"/>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代理服务费收费标准（差额累进）：</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4829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4AE22C76">
            <w:pPr>
              <w:adjustRightInd w:val="0"/>
              <w:snapToGrid w:val="0"/>
              <w:spacing w:line="288" w:lineRule="auto"/>
              <w:jc w:val="center"/>
              <w:rPr>
                <w:rFonts w:ascii="宋体" w:hAnsi="宋体"/>
                <w:b/>
                <w:bCs/>
                <w:sz w:val="21"/>
                <w:szCs w:val="21"/>
              </w:rPr>
            </w:pPr>
            <w:r>
              <w:rPr>
                <w:rFonts w:hint="eastAsia" w:ascii="宋体" w:hAnsi="宋体"/>
                <w:b/>
                <w:bCs/>
                <w:sz w:val="21"/>
                <w:szCs w:val="21"/>
              </w:rPr>
              <w:t>成交金额（万元）</w:t>
            </w:r>
          </w:p>
        </w:tc>
        <w:tc>
          <w:tcPr>
            <w:tcW w:w="2338" w:type="dxa"/>
            <w:vAlign w:val="center"/>
          </w:tcPr>
          <w:p w14:paraId="7DBB00AC">
            <w:pPr>
              <w:adjustRightInd w:val="0"/>
              <w:snapToGrid w:val="0"/>
              <w:spacing w:line="288" w:lineRule="auto"/>
              <w:jc w:val="center"/>
              <w:rPr>
                <w:rFonts w:ascii="宋体" w:hAnsi="宋体"/>
                <w:b/>
                <w:bCs/>
                <w:sz w:val="21"/>
                <w:szCs w:val="21"/>
              </w:rPr>
            </w:pPr>
            <w:r>
              <w:rPr>
                <w:rFonts w:hint="eastAsia" w:ascii="宋体" w:hAnsi="宋体"/>
                <w:b/>
                <w:bCs/>
                <w:sz w:val="21"/>
                <w:szCs w:val="21"/>
              </w:rPr>
              <w:t>收费标准（费率，%）</w:t>
            </w:r>
          </w:p>
        </w:tc>
      </w:tr>
      <w:tr w14:paraId="4C5F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7A5C6E44">
            <w:pPr>
              <w:adjustRightInd w:val="0"/>
              <w:snapToGrid w:val="0"/>
              <w:spacing w:line="288" w:lineRule="auto"/>
              <w:jc w:val="center"/>
              <w:rPr>
                <w:rFonts w:ascii="宋体" w:hAnsi="宋体"/>
                <w:sz w:val="21"/>
                <w:szCs w:val="21"/>
              </w:rPr>
            </w:pPr>
            <w:r>
              <w:rPr>
                <w:rFonts w:hint="eastAsia" w:ascii="宋体" w:hAnsi="宋体"/>
                <w:sz w:val="21"/>
                <w:szCs w:val="21"/>
              </w:rPr>
              <w:t>100以下</w:t>
            </w:r>
          </w:p>
        </w:tc>
        <w:tc>
          <w:tcPr>
            <w:tcW w:w="2338" w:type="dxa"/>
            <w:vAlign w:val="center"/>
          </w:tcPr>
          <w:p w14:paraId="69B2634E">
            <w:pPr>
              <w:adjustRightInd w:val="0"/>
              <w:snapToGrid w:val="0"/>
              <w:spacing w:line="288" w:lineRule="auto"/>
              <w:jc w:val="center"/>
              <w:rPr>
                <w:rFonts w:ascii="宋体" w:hAnsi="宋体"/>
                <w:sz w:val="21"/>
                <w:szCs w:val="21"/>
              </w:rPr>
            </w:pPr>
            <w:r>
              <w:rPr>
                <w:rFonts w:hint="eastAsia" w:ascii="宋体" w:hAnsi="宋体"/>
                <w:sz w:val="21"/>
                <w:szCs w:val="21"/>
              </w:rPr>
              <w:t>0.75</w:t>
            </w:r>
          </w:p>
        </w:tc>
      </w:tr>
      <w:tr w14:paraId="6659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7A97F118">
            <w:pPr>
              <w:adjustRightInd w:val="0"/>
              <w:snapToGrid w:val="0"/>
              <w:spacing w:line="288" w:lineRule="auto"/>
              <w:jc w:val="center"/>
              <w:rPr>
                <w:rFonts w:ascii="宋体" w:hAnsi="宋体"/>
                <w:sz w:val="21"/>
                <w:szCs w:val="21"/>
              </w:rPr>
            </w:pPr>
            <w:r>
              <w:rPr>
                <w:rFonts w:hint="eastAsia" w:ascii="宋体" w:hAnsi="宋体"/>
                <w:sz w:val="21"/>
                <w:szCs w:val="21"/>
              </w:rPr>
              <w:t>100-500</w:t>
            </w:r>
          </w:p>
        </w:tc>
        <w:tc>
          <w:tcPr>
            <w:tcW w:w="2338" w:type="dxa"/>
            <w:vAlign w:val="center"/>
          </w:tcPr>
          <w:p w14:paraId="6EA1C523">
            <w:pPr>
              <w:adjustRightInd w:val="0"/>
              <w:snapToGrid w:val="0"/>
              <w:spacing w:line="288" w:lineRule="auto"/>
              <w:jc w:val="center"/>
              <w:rPr>
                <w:rFonts w:ascii="宋体" w:hAnsi="宋体"/>
                <w:sz w:val="21"/>
                <w:szCs w:val="21"/>
              </w:rPr>
            </w:pPr>
            <w:r>
              <w:rPr>
                <w:rFonts w:hint="eastAsia" w:ascii="宋体" w:hAnsi="宋体"/>
                <w:sz w:val="21"/>
                <w:szCs w:val="21"/>
              </w:rPr>
              <w:t>0.55</w:t>
            </w:r>
          </w:p>
        </w:tc>
      </w:tr>
    </w:tbl>
    <w:p w14:paraId="75ACE667">
      <w:pPr>
        <w:adjustRightInd w:val="0"/>
        <w:snapToGrid w:val="0"/>
        <w:spacing w:line="288" w:lineRule="auto"/>
        <w:ind w:firstLine="420" w:firstLineChars="200"/>
        <w:rPr>
          <w:rFonts w:ascii="宋体" w:hAnsi="宋体"/>
          <w:b/>
          <w:spacing w:val="-6"/>
          <w:sz w:val="21"/>
          <w:szCs w:val="21"/>
        </w:rPr>
      </w:pPr>
      <w:r>
        <w:rPr>
          <w:rFonts w:hint="eastAsia" w:ascii="宋体" w:hAnsi="宋体"/>
          <w:sz w:val="21"/>
          <w:szCs w:val="21"/>
        </w:rPr>
        <w:t>5.磋商保证金（元）：无</w:t>
      </w:r>
    </w:p>
    <w:p w14:paraId="75FB3D7C">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（六）联合体响应</w:t>
      </w:r>
    </w:p>
    <w:p w14:paraId="36B15F4C">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本项目不接受联合体响应。</w:t>
      </w:r>
    </w:p>
    <w:p w14:paraId="7E601AF5">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（七）转包与分包</w:t>
      </w:r>
    </w:p>
    <w:p w14:paraId="26F6C956">
      <w:pPr>
        <w:adjustRightInd w:val="0"/>
        <w:snapToGrid w:val="0"/>
        <w:spacing w:line="288" w:lineRule="auto"/>
        <w:ind w:firstLine="424" w:firstLineChars="202"/>
        <w:jc w:val="left"/>
        <w:rPr>
          <w:rFonts w:ascii="宋体" w:hAnsi="宋体" w:cs="宋体"/>
          <w:sz w:val="21"/>
          <w:szCs w:val="21"/>
        </w:rPr>
      </w:pPr>
      <w:r>
        <w:rPr>
          <w:rFonts w:hint="eastAsia" w:ascii="宋体" w:hAnsi="宋体" w:cs="宋体"/>
          <w:sz w:val="21"/>
          <w:szCs w:val="21"/>
        </w:rPr>
        <w:t>1.本项目不允许转包；</w:t>
      </w:r>
    </w:p>
    <w:p w14:paraId="05F74FEA">
      <w:pPr>
        <w:adjustRightInd w:val="0"/>
        <w:snapToGrid w:val="0"/>
        <w:spacing w:line="288" w:lineRule="auto"/>
        <w:ind w:firstLine="424" w:firstLineChars="202"/>
        <w:jc w:val="left"/>
        <w:rPr>
          <w:rFonts w:ascii="宋体" w:hAnsi="宋体" w:cs="宋体"/>
          <w:color w:val="auto"/>
          <w:sz w:val="21"/>
          <w:szCs w:val="21"/>
        </w:rPr>
      </w:pPr>
      <w:r>
        <w:rPr>
          <w:rFonts w:ascii="宋体" w:hAnsi="宋体" w:cs="宋体"/>
          <w:color w:val="auto"/>
          <w:sz w:val="21"/>
          <w:szCs w:val="21"/>
        </w:rPr>
        <w:t>2.本项目</w:t>
      </w:r>
      <w:r>
        <w:rPr>
          <w:rFonts w:ascii="宋体" w:hAnsi="宋体" w:cs="宋体"/>
          <w:b/>
          <w:bCs/>
          <w:color w:val="auto"/>
          <w:sz w:val="21"/>
          <w:szCs w:val="21"/>
          <w:u w:val="single"/>
        </w:rPr>
        <w:t>不允许</w:t>
      </w:r>
      <w:r>
        <w:rPr>
          <w:rFonts w:ascii="宋体" w:hAnsi="宋体" w:cs="宋体"/>
          <w:color w:val="auto"/>
          <w:sz w:val="21"/>
          <w:szCs w:val="21"/>
        </w:rPr>
        <w:t>分包</w:t>
      </w:r>
      <w:r>
        <w:rPr>
          <w:rFonts w:hint="eastAsia" w:ascii="宋体" w:hAnsi="宋体" w:cs="宋体"/>
          <w:color w:val="auto"/>
          <w:sz w:val="21"/>
          <w:szCs w:val="21"/>
        </w:rPr>
        <w:t>。</w:t>
      </w:r>
    </w:p>
    <w:p w14:paraId="5F04A0A1">
      <w:pPr>
        <w:adjustRightInd w:val="0"/>
        <w:snapToGrid w:val="0"/>
        <w:spacing w:line="288" w:lineRule="auto"/>
        <w:rPr>
          <w:rFonts w:ascii="宋体" w:hAnsi="宋体" w:cs="宋体"/>
          <w:b/>
          <w:bCs/>
          <w:sz w:val="21"/>
          <w:szCs w:val="21"/>
        </w:rPr>
      </w:pPr>
      <w:r>
        <w:rPr>
          <w:rFonts w:hint="eastAsia" w:ascii="宋体" w:hAnsi="宋体" w:cs="宋体"/>
          <w:b/>
          <w:bCs/>
          <w:sz w:val="21"/>
          <w:szCs w:val="21"/>
        </w:rPr>
        <w:t>（八）质疑</w:t>
      </w:r>
    </w:p>
    <w:p w14:paraId="6F644DCD">
      <w:pPr>
        <w:adjustRightInd w:val="0"/>
        <w:snapToGrid w:val="0"/>
        <w:spacing w:line="288" w:lineRule="auto"/>
        <w:ind w:firstLine="396" w:firstLineChars="200"/>
        <w:jc w:val="left"/>
        <w:rPr>
          <w:rFonts w:ascii="宋体" w:hAnsi="宋体"/>
          <w:spacing w:val="-6"/>
          <w:sz w:val="21"/>
          <w:szCs w:val="21"/>
        </w:rPr>
      </w:pPr>
      <w:bookmarkStart w:id="33" w:name="_Hlk92273406"/>
      <w:bookmarkStart w:id="34" w:name="_Hlk71884065"/>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bookmarkEnd w:id="33"/>
    </w:p>
    <w:p w14:paraId="0E7926A4">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2.供应商提出质疑应当提交质疑函和必要的证明材料，质疑函应当包括下列内容：</w:t>
      </w:r>
    </w:p>
    <w:p w14:paraId="3A1F85F8">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（1）供应商的姓名或者名称、地址、邮编、联系人及联系电话；</w:t>
      </w:r>
    </w:p>
    <w:p w14:paraId="75364FB1">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（2）质疑项目的名称、编号；</w:t>
      </w:r>
    </w:p>
    <w:p w14:paraId="3D2B48DE">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（3）具体、明确的质疑事项和与质疑事项相关的请求；</w:t>
      </w:r>
    </w:p>
    <w:p w14:paraId="2424C718">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（4）事实依据；</w:t>
      </w:r>
    </w:p>
    <w:p w14:paraId="69A3788C">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（5）必要的法律依据；</w:t>
      </w:r>
    </w:p>
    <w:p w14:paraId="05F5053F">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（6）提出质疑的日期。</w:t>
      </w:r>
    </w:p>
    <w:p w14:paraId="35FDC833">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供应商为自然人的，应当由本人签名；供应商为法人或者其他组织的，应当由法定代表人、主要负责人，或者其授权代表签名或者盖章，并加盖公章。</w:t>
      </w:r>
    </w:p>
    <w:p w14:paraId="63A63A88">
      <w:pPr>
        <w:adjustRightInd w:val="0"/>
        <w:snapToGrid w:val="0"/>
        <w:spacing w:line="288" w:lineRule="auto"/>
        <w:ind w:firstLine="420" w:firstLineChars="200"/>
        <w:rPr>
          <w:rFonts w:ascii="宋体" w:hAnsi="宋体" w:cs="宋体"/>
          <w:b/>
          <w:bCs/>
          <w:sz w:val="21"/>
          <w:szCs w:val="21"/>
        </w:rPr>
      </w:pPr>
      <w:r>
        <w:rPr>
          <w:rFonts w:hint="eastAsia" w:ascii="宋体" w:hAnsi="宋体" w:cs="宋体"/>
          <w:sz w:val="21"/>
          <w:szCs w:val="21"/>
        </w:rPr>
        <w:t>3.提出质疑的供应商应当是参与本项目磋商响应活动的供应商。</w:t>
      </w:r>
      <w:r>
        <w:rPr>
          <w:rFonts w:hint="eastAsia" w:ascii="宋体" w:hAnsi="宋体" w:cs="宋体"/>
          <w:b/>
          <w:bCs/>
          <w:sz w:val="21"/>
          <w:szCs w:val="21"/>
        </w:rPr>
        <w:t>供应商在法定质疑期内应一次性提出针对同一采购程序环节的质疑。</w:t>
      </w:r>
    </w:p>
    <w:bookmarkEnd w:id="34"/>
    <w:p w14:paraId="7536245A">
      <w:pPr>
        <w:adjustRightInd w:val="0"/>
        <w:snapToGrid w:val="0"/>
        <w:spacing w:line="288" w:lineRule="auto"/>
        <w:ind w:firstLine="396" w:firstLineChars="200"/>
        <w:jc w:val="left"/>
        <w:rPr>
          <w:rFonts w:ascii="宋体" w:hAnsi="宋体"/>
          <w:bCs/>
          <w:spacing w:val="-6"/>
          <w:sz w:val="21"/>
          <w:szCs w:val="21"/>
        </w:rPr>
      </w:pPr>
      <w:bookmarkStart w:id="35" w:name="_Hlk92273111"/>
      <w:r>
        <w:rPr>
          <w:rFonts w:hint="eastAsia" w:ascii="宋体" w:hAnsi="宋体"/>
          <w:bCs/>
          <w:spacing w:val="-6"/>
          <w:sz w:val="21"/>
          <w:szCs w:val="21"/>
        </w:rPr>
        <w:t>4</w:t>
      </w:r>
      <w:r>
        <w:rPr>
          <w:rFonts w:ascii="宋体" w:hAnsi="宋体"/>
          <w:bCs/>
          <w:spacing w:val="-6"/>
          <w:sz w:val="21"/>
          <w:szCs w:val="21"/>
        </w:rPr>
        <w:t>.</w:t>
      </w:r>
      <w:r>
        <w:rPr>
          <w:rFonts w:hint="eastAsia" w:ascii="宋体" w:hAnsi="宋体"/>
          <w:bCs/>
          <w:spacing w:val="-6"/>
          <w:sz w:val="21"/>
          <w:szCs w:val="21"/>
        </w:rPr>
        <w:t>采购人、采购代理机构认为供应商质疑不成立，或者成立但未对成交结果构成影响的，继续开展采购活动；认为供应商质疑成立且影响或者可能影响成交结果的，按照下列情况处理：</w:t>
      </w:r>
    </w:p>
    <w:p w14:paraId="5A4B3D0D">
      <w:pPr>
        <w:adjustRightInd w:val="0"/>
        <w:snapToGrid w:val="0"/>
        <w:spacing w:line="288" w:lineRule="auto"/>
        <w:ind w:firstLine="396" w:firstLineChars="200"/>
        <w:jc w:val="left"/>
        <w:rPr>
          <w:rFonts w:ascii="宋体" w:hAnsi="宋体"/>
          <w:bCs/>
          <w:spacing w:val="-6"/>
          <w:sz w:val="21"/>
          <w:szCs w:val="21"/>
        </w:rPr>
      </w:pPr>
      <w:r>
        <w:rPr>
          <w:rFonts w:hint="eastAsia" w:ascii="宋体" w:hAnsi="宋体"/>
          <w:bCs/>
          <w:spacing w:val="-6"/>
          <w:sz w:val="21"/>
          <w:szCs w:val="21"/>
        </w:rPr>
        <w:t>（一）对采购文件提出的质疑，通过澄清或者修改可以继续开展采购活动的，澄清或者修改采购文件后继续开展采购活动；否则应当修改采购文件后重新开展采购活动。</w:t>
      </w:r>
    </w:p>
    <w:p w14:paraId="190D9BA6">
      <w:pPr>
        <w:adjustRightInd w:val="0"/>
        <w:snapToGrid w:val="0"/>
        <w:spacing w:line="288" w:lineRule="auto"/>
        <w:ind w:firstLine="396" w:firstLineChars="200"/>
        <w:jc w:val="left"/>
        <w:rPr>
          <w:rFonts w:ascii="宋体" w:hAnsi="宋体"/>
          <w:bCs/>
          <w:spacing w:val="-6"/>
          <w:sz w:val="21"/>
          <w:szCs w:val="21"/>
        </w:rPr>
      </w:pPr>
      <w:r>
        <w:rPr>
          <w:rFonts w:hint="eastAsia" w:ascii="宋体" w:hAnsi="宋体"/>
          <w:bCs/>
          <w:spacing w:val="-6"/>
          <w:sz w:val="21"/>
          <w:szCs w:val="21"/>
        </w:rPr>
        <w:t>（二）对采购过程、成交结果提出的质疑，合格供应商符合法定数量时，可以从合格的成交候选人中另行确定成交供应</w:t>
      </w:r>
      <w:r>
        <w:rPr>
          <w:rFonts w:hint="eastAsia" w:ascii="宋体" w:hAnsi="宋体"/>
          <w:bCs/>
          <w:spacing w:val="-6"/>
          <w:sz w:val="21"/>
          <w:szCs w:val="21"/>
          <w:highlight w:val="none"/>
        </w:rPr>
        <w:t>商的，可以另行确定成交供应商或重新开展采购活动。</w:t>
      </w:r>
    </w:p>
    <w:bookmarkEnd w:id="35"/>
    <w:p w14:paraId="6FB39E0A">
      <w:pPr>
        <w:pStyle w:val="12"/>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、磋商文件</w:t>
      </w:r>
    </w:p>
    <w:p w14:paraId="253ECF79">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 磋商文件的构成。本磋商文件由以下部分组成：</w:t>
      </w:r>
    </w:p>
    <w:p w14:paraId="24218FF5">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1.采购邀请</w:t>
      </w:r>
    </w:p>
    <w:p w14:paraId="464606B9">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2.采购需求</w:t>
      </w:r>
    </w:p>
    <w:p w14:paraId="0FF3CE16">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3.供应商须知</w:t>
      </w:r>
    </w:p>
    <w:p w14:paraId="33634B03">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4.评审方法和评审标准</w:t>
      </w:r>
    </w:p>
    <w:p w14:paraId="092CDE71">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14:paraId="0C393389">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6.响应文件格式</w:t>
      </w:r>
    </w:p>
    <w:p w14:paraId="6B09CD6A">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7.本项目磋商文件的澄清、答复、修改、补充的内容</w:t>
      </w:r>
    </w:p>
    <w:p w14:paraId="5E7C3540">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（二） 供应商的风险</w:t>
      </w:r>
    </w:p>
    <w:p w14:paraId="0A6048FB">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供应商没有按照磋商文件要求提供全部资料，或者供应商没有对磋商文件在各方面作出实质性响应是供应商的风险，并可能导致其磋商响应被拒绝。</w:t>
      </w:r>
    </w:p>
    <w:p w14:paraId="7343619A">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 磋商文件的澄清与修改</w:t>
      </w:r>
    </w:p>
    <w:p w14:paraId="084E85CB">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17751BCC">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14:paraId="405D78E6">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3.磋商文件澄清、答复、修改、补充的内容为磋商文件的组成部分。当磋商文件与磋商文件的答复、澄清、修改、补充通知就同一内容的表述不一致时，以最后发出的书面形式文件为准。</w:t>
      </w:r>
    </w:p>
    <w:p w14:paraId="6C2A4B09">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4.磋商文件的澄清、答复、修改或补充都应该通过本采购代理机构以法定形式发布，采购人非通过本机构，不得擅自澄清、答复、修改或补充磋商文件。</w:t>
      </w:r>
    </w:p>
    <w:p w14:paraId="69DEBF8E">
      <w:pPr>
        <w:pStyle w:val="12"/>
        <w:adjustRightInd w:val="0"/>
        <w:snapToGrid w:val="0"/>
        <w:spacing w:beforeLines="0" w:afterLines="0" w:line="288" w:lineRule="auto"/>
        <w:jc w:val="center"/>
        <w:outlineLvl w:val="1"/>
        <w:rPr>
          <w:rFonts w:hAnsi="宋体"/>
          <w:b/>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响应文件的编制</w:t>
      </w:r>
    </w:p>
    <w:p w14:paraId="2245BD74">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（一）响应文件的组成</w:t>
      </w:r>
    </w:p>
    <w:p w14:paraId="35657D4B">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响应文件由</w:t>
      </w:r>
      <w:r>
        <w:rPr>
          <w:rFonts w:hint="eastAsia" w:hAnsi="宋体"/>
          <w:b/>
          <w:bCs/>
          <w:spacing w:val="-6"/>
          <w:sz w:val="21"/>
          <w:szCs w:val="21"/>
        </w:rPr>
        <w:t>资格文件、</w:t>
      </w:r>
      <w:r>
        <w:rPr>
          <w:rFonts w:hint="eastAsia" w:hAnsi="宋体"/>
          <w:b/>
          <w:spacing w:val="-6"/>
          <w:sz w:val="21"/>
          <w:szCs w:val="21"/>
        </w:rPr>
        <w:t>报价文件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组成（格式详见磋商文件第六章）。</w:t>
      </w:r>
    </w:p>
    <w:p w14:paraId="71A88105">
      <w:pPr>
        <w:pStyle w:val="10"/>
        <w:adjustRightInd w:val="0"/>
        <w:snapToGrid w:val="0"/>
        <w:spacing w:line="288" w:lineRule="auto"/>
        <w:ind w:firstLine="398" w:firstLineChars="200"/>
        <w:jc w:val="left"/>
        <w:rPr>
          <w:rFonts w:hAnsi="宋体"/>
          <w:b/>
          <w:spacing w:val="-6"/>
          <w:sz w:val="21"/>
          <w:szCs w:val="21"/>
          <w:highlight w:val="none"/>
        </w:rPr>
      </w:pPr>
      <w:r>
        <w:rPr>
          <w:rFonts w:hint="eastAsia" w:hAnsi="宋体"/>
          <w:b/>
          <w:spacing w:val="-6"/>
          <w:sz w:val="21"/>
          <w:szCs w:val="21"/>
          <w:highlight w:val="none"/>
        </w:rPr>
        <w:t>多标项项目建议按标项分别制作。</w:t>
      </w:r>
    </w:p>
    <w:p w14:paraId="04D51622">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响应文件组成：详见“第六章</w:t>
      </w:r>
      <w:r>
        <w:rPr>
          <w:rFonts w:ascii="宋体" w:hAnsi="宋体"/>
          <w:spacing w:val="-6"/>
          <w:sz w:val="21"/>
          <w:szCs w:val="21"/>
        </w:rPr>
        <w:t xml:space="preserve">  </w:t>
      </w:r>
      <w:r>
        <w:rPr>
          <w:rFonts w:hint="eastAsia" w:ascii="宋体" w:hAnsi="宋体"/>
          <w:spacing w:val="-6"/>
          <w:sz w:val="21"/>
          <w:szCs w:val="21"/>
        </w:rPr>
        <w:t>响应</w:t>
      </w:r>
      <w:r>
        <w:rPr>
          <w:rFonts w:ascii="宋体" w:hAnsi="宋体"/>
          <w:spacing w:val="-6"/>
          <w:sz w:val="21"/>
          <w:szCs w:val="21"/>
        </w:rPr>
        <w:t>文件格式</w:t>
      </w:r>
      <w:r>
        <w:rPr>
          <w:rFonts w:hint="eastAsia" w:ascii="宋体" w:hAnsi="宋体"/>
          <w:spacing w:val="-6"/>
          <w:sz w:val="21"/>
          <w:szCs w:val="21"/>
        </w:rPr>
        <w:t>”目录</w:t>
      </w:r>
    </w:p>
    <w:p w14:paraId="212237E6">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（二）响应文件的编制、份数、包装、递交、修改和撤回</w:t>
      </w:r>
    </w:p>
    <w:p w14:paraId="32030D70">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1.供应商应按本磋商文件规定的格式和顺序编制、装订响应文件，响应文件内容不完整、编排混乱导致响应文件被误读、漏读或者查找不到相关内容的，是供应商的责任。</w:t>
      </w:r>
    </w:p>
    <w:p w14:paraId="5046BCAF">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2</w:t>
      </w: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合并装订成册，其中正本一份、副本三份，响应文件的封面应注明“正本“、“副本”字样。正本与副本不一致的，以正本为准。提供全套响应文件电子版U盘1份，响应文件电子版应为正本的PDF格式扫描件</w:t>
      </w:r>
      <w:r>
        <w:rPr>
          <w:rFonts w:hint="eastAsia" w:ascii="宋体" w:hAnsi="宋体"/>
          <w:b/>
          <w:spacing w:val="-6"/>
          <w:sz w:val="21"/>
          <w:szCs w:val="21"/>
          <w:lang w:eastAsia="zh-CN"/>
        </w:rPr>
        <w:t>，</w:t>
      </w:r>
      <w:r>
        <w:rPr>
          <w:rFonts w:hint="eastAsia" w:ascii="宋体" w:hAnsi="宋体"/>
          <w:b/>
          <w:spacing w:val="-6"/>
          <w:sz w:val="21"/>
          <w:szCs w:val="21"/>
          <w:lang w:val="en-US" w:eastAsia="zh-CN"/>
        </w:rPr>
        <w:t>单独密封</w:t>
      </w:r>
      <w:r>
        <w:rPr>
          <w:rFonts w:hint="eastAsia" w:ascii="宋体" w:hAnsi="宋体"/>
          <w:b/>
          <w:spacing w:val="-6"/>
          <w:sz w:val="21"/>
          <w:szCs w:val="21"/>
        </w:rPr>
        <w:t>。</w:t>
      </w:r>
    </w:p>
    <w:p w14:paraId="78E5E3E0">
      <w:pPr>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▲活页装订（卡条、抽杆夹、订书机、散装）的响应文件无效。</w:t>
      </w:r>
    </w:p>
    <w:p w14:paraId="1B50DF6D">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.供应商应在响应文件包装封面上注明供应商名称、供应商地址、磋商响应项目名称、项目编号、标项及“响应文件开启时启封”字样，并加盖供应商公章。</w:t>
      </w:r>
    </w:p>
    <w:p w14:paraId="4DF1702F">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标记的响应文件被误投或提前拆封的风险由供应商承担。</w:t>
      </w:r>
    </w:p>
    <w:p w14:paraId="73B13319">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5</w:t>
      </w:r>
      <w:r>
        <w:rPr>
          <w:rFonts w:hint="eastAsia" w:ascii="宋体" w:hAnsi="宋体"/>
          <w:spacing w:val="-6"/>
          <w:sz w:val="21"/>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367D0949">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（三）响应文件的签署</w:t>
      </w:r>
    </w:p>
    <w:p w14:paraId="2CAD4B4B">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.响应文件的正本需打印或用不褪色的墨水填写，响应文件正本除本《供应商须知》中规定的可提供复印件外均须提供原件。副本可以是正本的复印件。</w:t>
      </w:r>
    </w:p>
    <w:p w14:paraId="73BB5FE8">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.响应</w:t>
      </w:r>
      <w:r>
        <w:rPr>
          <w:rFonts w:ascii="宋体" w:hAnsi="宋体"/>
          <w:spacing w:val="-6"/>
          <w:sz w:val="21"/>
          <w:szCs w:val="21"/>
        </w:rPr>
        <w:t>文件</w:t>
      </w:r>
      <w:r>
        <w:rPr>
          <w:rFonts w:hint="eastAsia" w:ascii="宋体" w:hAnsi="宋体"/>
          <w:spacing w:val="-6"/>
          <w:sz w:val="21"/>
          <w:szCs w:val="21"/>
        </w:rPr>
        <w:t>须由供应商在规定位置盖章并由供应商</w:t>
      </w:r>
      <w:r>
        <w:rPr>
          <w:rFonts w:ascii="宋体" w:hAnsi="宋体"/>
          <w:spacing w:val="-6"/>
          <w:sz w:val="21"/>
          <w:szCs w:val="21"/>
        </w:rPr>
        <w:t>代表</w:t>
      </w:r>
      <w:r>
        <w:rPr>
          <w:rFonts w:hint="eastAsia" w:ascii="宋体" w:hAnsi="宋体"/>
          <w:spacing w:val="-6"/>
          <w:sz w:val="21"/>
          <w:szCs w:val="21"/>
        </w:rPr>
        <w:t>签署，供应商应写全称。</w:t>
      </w:r>
    </w:p>
    <w:p w14:paraId="46F62D7A">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3.响应文件不得涂改，若有修改错漏处，须由供应商加盖公章，或者由供应商代表签名。响应文件因字迹潦草或表达不清所引起的后果由供应商负责。</w:t>
      </w:r>
    </w:p>
    <w:p w14:paraId="5A194144">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（四）响应文件的语言及计量</w:t>
      </w:r>
    </w:p>
    <w:p w14:paraId="422FCCC9">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14:paraId="5EB26FFB">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（五）磋商响应报价</w:t>
      </w:r>
    </w:p>
    <w:p w14:paraId="04B4362C">
      <w:pPr>
        <w:pStyle w:val="12"/>
        <w:adjustRightInd w:val="0"/>
        <w:snapToGrid w:val="0"/>
        <w:spacing w:beforeLines="0" w:afterLines="0" w:line="288" w:lineRule="auto"/>
        <w:ind w:firstLine="396" w:firstLineChars="200"/>
        <w:jc w:val="left"/>
        <w:rPr>
          <w:rFonts w:hint="eastAsia" w:hAnsi="宋体"/>
          <w:bCs/>
          <w:spacing w:val="-6"/>
          <w:sz w:val="21"/>
          <w:szCs w:val="21"/>
          <w:lang w:eastAsia="zh-CN"/>
        </w:rPr>
      </w:pPr>
      <w:r>
        <w:rPr>
          <w:rFonts w:hint="eastAsia" w:hAnsi="宋体"/>
          <w:bCs/>
          <w:spacing w:val="-6"/>
          <w:sz w:val="21"/>
          <w:szCs w:val="21"/>
        </w:rPr>
        <w:t>1.报价应按磋商文件要求的格式编制、填写报价内容（可自行增行），未按磋商文件要求编制、填写的响应文件可能被拒绝</w:t>
      </w:r>
      <w:r>
        <w:rPr>
          <w:rFonts w:hint="eastAsia" w:hAnsi="宋体"/>
          <w:bCs/>
          <w:spacing w:val="-6"/>
          <w:sz w:val="21"/>
          <w:szCs w:val="21"/>
          <w:lang w:val="en-US" w:eastAsia="zh-CN"/>
        </w:rPr>
        <w:t>。</w:t>
      </w:r>
    </w:p>
    <w:p w14:paraId="24254618">
      <w:pPr>
        <w:pStyle w:val="12"/>
        <w:adjustRightInd w:val="0"/>
        <w:snapToGrid w:val="0"/>
        <w:spacing w:beforeLines="0" w:afterLines="0" w:line="288" w:lineRule="auto"/>
        <w:ind w:firstLine="396" w:firstLineChars="200"/>
        <w:jc w:val="left"/>
        <w:rPr>
          <w:rFonts w:hint="eastAsia" w:hAnsi="宋体"/>
          <w:bCs/>
          <w:spacing w:val="-6"/>
          <w:sz w:val="21"/>
          <w:szCs w:val="21"/>
          <w:lang w:eastAsia="zh-CN"/>
        </w:rPr>
      </w:pPr>
      <w:r>
        <w:rPr>
          <w:rFonts w:hint="eastAsia" w:hAnsi="宋体"/>
          <w:bCs/>
          <w:spacing w:val="-6"/>
          <w:sz w:val="21"/>
          <w:szCs w:val="21"/>
        </w:rPr>
        <w:t>2.本次磋商采用人民币报价</w:t>
      </w:r>
      <w:r>
        <w:rPr>
          <w:rFonts w:hint="eastAsia" w:hAnsi="宋体"/>
          <w:bCs/>
          <w:spacing w:val="-6"/>
          <w:sz w:val="21"/>
          <w:szCs w:val="21"/>
          <w:lang w:eastAsia="zh-CN"/>
        </w:rPr>
        <w:t>。</w:t>
      </w:r>
    </w:p>
    <w:p w14:paraId="527AD2FD">
      <w:pPr>
        <w:pStyle w:val="12"/>
        <w:adjustRightInd w:val="0"/>
        <w:snapToGrid w:val="0"/>
        <w:spacing w:beforeLines="0" w:afterLines="0" w:line="288" w:lineRule="auto"/>
        <w:ind w:firstLine="396" w:firstLineChars="200"/>
        <w:jc w:val="left"/>
        <w:rPr>
          <w:rFonts w:hint="eastAsia" w:hAnsi="宋体"/>
          <w:bCs/>
          <w:spacing w:val="-6"/>
          <w:sz w:val="21"/>
          <w:szCs w:val="21"/>
        </w:rPr>
      </w:pPr>
      <w:r>
        <w:rPr>
          <w:rFonts w:hint="eastAsia" w:hAnsi="宋体"/>
          <w:bCs/>
          <w:spacing w:val="-6"/>
          <w:sz w:val="21"/>
          <w:szCs w:val="21"/>
          <w:lang w:val="en-US" w:eastAsia="zh-CN"/>
        </w:rPr>
        <w:t>3</w:t>
      </w:r>
      <w:r>
        <w:rPr>
          <w:rFonts w:hint="eastAsia" w:hAnsi="宋体"/>
          <w:bCs/>
          <w:spacing w:val="-6"/>
          <w:sz w:val="21"/>
          <w:szCs w:val="21"/>
        </w:rPr>
        <w:t>.供应商根据磋商文件的要求，须将设备（软件）费、安装费、调试费、验收费（通过验收直至交付用户使用，达到使用要求及质量标准）、培训费、投标费、合同包含的所有风险责任等各项费用及不可预见费、质保期内保修服务等所需的全部费用都包含在响应总价之中，最后磋商报价是履行合同的最终价格，除非采购范围更改，否则合同价不再作调整。</w:t>
      </w:r>
    </w:p>
    <w:p w14:paraId="2A2C2C80">
      <w:pPr>
        <w:pStyle w:val="12"/>
        <w:adjustRightInd w:val="0"/>
        <w:snapToGrid w:val="0"/>
        <w:spacing w:beforeLines="0" w:afterLines="0" w:line="288" w:lineRule="auto"/>
        <w:ind w:firstLine="396" w:firstLineChars="200"/>
        <w:jc w:val="left"/>
        <w:rPr>
          <w:rFonts w:hint="eastAsia" w:hAnsi="宋体"/>
          <w:bCs/>
          <w:spacing w:val="-6"/>
          <w:sz w:val="21"/>
          <w:szCs w:val="21"/>
          <w:lang w:eastAsia="zh-CN"/>
        </w:rPr>
      </w:pPr>
      <w:r>
        <w:rPr>
          <w:rFonts w:hint="eastAsia" w:hAnsi="宋体"/>
          <w:bCs/>
          <w:spacing w:val="-6"/>
          <w:sz w:val="21"/>
          <w:szCs w:val="21"/>
        </w:rPr>
        <w:t>如还有其它费用内容组成，供应商可在磋商分项报价表中单独列出，如不列明详细报价，则视为已含入各分项报价里</w:t>
      </w:r>
      <w:r>
        <w:rPr>
          <w:rFonts w:hint="eastAsia" w:hAnsi="宋体"/>
          <w:bCs/>
          <w:spacing w:val="-6"/>
          <w:sz w:val="21"/>
          <w:szCs w:val="21"/>
          <w:lang w:eastAsia="zh-CN"/>
        </w:rPr>
        <w:t>。</w:t>
      </w:r>
    </w:p>
    <w:p w14:paraId="3306D93D">
      <w:pPr>
        <w:pStyle w:val="12"/>
        <w:adjustRightInd w:val="0"/>
        <w:snapToGrid w:val="0"/>
        <w:spacing w:beforeLines="0" w:afterLines="0" w:line="288" w:lineRule="auto"/>
        <w:ind w:firstLine="396" w:firstLineChars="200"/>
        <w:jc w:val="left"/>
        <w:rPr>
          <w:rFonts w:hint="eastAsia" w:hAnsi="宋体"/>
          <w:bCs/>
          <w:spacing w:val="-6"/>
          <w:sz w:val="21"/>
          <w:szCs w:val="21"/>
          <w:lang w:eastAsia="zh-CN"/>
        </w:rPr>
      </w:pPr>
      <w:r>
        <w:rPr>
          <w:rFonts w:hint="eastAsia" w:hAnsi="宋体"/>
          <w:bCs/>
          <w:spacing w:val="-6"/>
          <w:sz w:val="21"/>
          <w:szCs w:val="21"/>
          <w:lang w:val="en-US" w:eastAsia="zh-CN"/>
        </w:rPr>
        <w:t>4</w:t>
      </w:r>
      <w:r>
        <w:rPr>
          <w:rFonts w:hint="eastAsia" w:hAnsi="宋体"/>
          <w:bCs/>
          <w:spacing w:val="-6"/>
          <w:sz w:val="21"/>
          <w:szCs w:val="21"/>
        </w:rPr>
        <w:t>.设备费：用户指定位置价</w:t>
      </w:r>
      <w:r>
        <w:rPr>
          <w:rFonts w:hint="eastAsia" w:hAnsi="宋体"/>
          <w:bCs/>
          <w:spacing w:val="-6"/>
          <w:sz w:val="21"/>
          <w:szCs w:val="21"/>
          <w:lang w:eastAsia="zh-CN"/>
        </w:rPr>
        <w:t>；</w:t>
      </w:r>
    </w:p>
    <w:p w14:paraId="4E1046F3">
      <w:pPr>
        <w:pStyle w:val="12"/>
        <w:adjustRightInd w:val="0"/>
        <w:snapToGrid w:val="0"/>
        <w:spacing w:beforeLines="0" w:afterLines="0" w:line="288" w:lineRule="auto"/>
        <w:ind w:firstLine="396" w:firstLineChars="200"/>
        <w:jc w:val="left"/>
        <w:rPr>
          <w:rFonts w:hint="eastAsia" w:hAnsi="宋体"/>
          <w:bCs/>
          <w:spacing w:val="-6"/>
          <w:sz w:val="21"/>
          <w:szCs w:val="21"/>
          <w:lang w:val="en-US" w:eastAsia="zh-CN"/>
        </w:rPr>
      </w:pPr>
      <w:r>
        <w:rPr>
          <w:rFonts w:hint="eastAsia" w:hAnsi="宋体"/>
          <w:bCs/>
          <w:spacing w:val="-6"/>
          <w:sz w:val="21"/>
          <w:szCs w:val="21"/>
        </w:rPr>
        <w:t>国产设备：设备费须包含设备（包括主机、标准附件、备品备件、专用工具）价、设备运杂费、保险费、利润、税金等，以人民币报价。</w:t>
      </w:r>
    </w:p>
    <w:p w14:paraId="654F93DD">
      <w:pPr>
        <w:pStyle w:val="12"/>
        <w:adjustRightInd w:val="0"/>
        <w:snapToGrid w:val="0"/>
        <w:spacing w:beforeLines="0" w:afterLines="0" w:line="288" w:lineRule="auto"/>
        <w:ind w:firstLine="396" w:firstLineChars="200"/>
        <w:jc w:val="left"/>
        <w:rPr>
          <w:rFonts w:hint="eastAsia" w:hAnsi="宋体"/>
          <w:bCs/>
          <w:spacing w:val="-6"/>
          <w:sz w:val="21"/>
          <w:szCs w:val="21"/>
          <w:lang w:val="en-US" w:eastAsia="zh-CN"/>
        </w:rPr>
      </w:pPr>
      <w:r>
        <w:rPr>
          <w:rFonts w:hint="eastAsia" w:hAnsi="宋体"/>
          <w:bCs/>
          <w:spacing w:val="-6"/>
          <w:sz w:val="21"/>
          <w:szCs w:val="21"/>
          <w:lang w:val="en-US" w:eastAsia="zh-CN"/>
        </w:rPr>
        <w:t>5</w:t>
      </w:r>
      <w:r>
        <w:rPr>
          <w:rFonts w:hint="eastAsia" w:hAnsi="宋体"/>
          <w:bCs/>
          <w:spacing w:val="-6"/>
          <w:sz w:val="21"/>
          <w:szCs w:val="21"/>
        </w:rPr>
        <w:t>.最后磋商报价是履行合同的最终价格，有关本项目实施所涉及的一切费用均计入报价。总价不为零，分项报价中部分产品、服务单价为零的，视作已包含在总价中</w:t>
      </w:r>
      <w:r>
        <w:rPr>
          <w:rFonts w:hint="eastAsia" w:hAnsi="宋体"/>
          <w:bCs/>
          <w:spacing w:val="-6"/>
          <w:sz w:val="21"/>
          <w:szCs w:val="21"/>
          <w:lang w:eastAsia="zh-CN"/>
        </w:rPr>
        <w:t>。</w:t>
      </w:r>
    </w:p>
    <w:p w14:paraId="01BDD136">
      <w:pPr>
        <w:pStyle w:val="12"/>
        <w:adjustRightInd w:val="0"/>
        <w:snapToGrid w:val="0"/>
        <w:spacing w:beforeLines="0" w:afterLines="0" w:line="288" w:lineRule="auto"/>
        <w:ind w:firstLine="396" w:firstLineChars="200"/>
        <w:jc w:val="left"/>
        <w:rPr>
          <w:rFonts w:hAnsi="宋体"/>
          <w:bCs/>
          <w:spacing w:val="-6"/>
          <w:sz w:val="21"/>
          <w:szCs w:val="21"/>
        </w:rPr>
      </w:pPr>
      <w:r>
        <w:rPr>
          <w:rFonts w:hint="eastAsia" w:hAnsi="宋体"/>
          <w:bCs/>
          <w:spacing w:val="-6"/>
          <w:sz w:val="21"/>
          <w:szCs w:val="21"/>
          <w:lang w:val="en-US" w:eastAsia="zh-CN"/>
        </w:rPr>
        <w:t>6</w:t>
      </w:r>
      <w:r>
        <w:rPr>
          <w:rFonts w:hint="eastAsia" w:hAnsi="宋体"/>
          <w:bCs/>
          <w:spacing w:val="-6"/>
          <w:sz w:val="21"/>
          <w:szCs w:val="21"/>
        </w:rPr>
        <w:t>.供应商不得进行影响产品质量或者诚信履约的恶意报价。供应商报价低于项目预算50%的，应当在报价文件中提供</w:t>
      </w:r>
      <w:r>
        <w:rPr>
          <w:rFonts w:hint="eastAsia" w:hAnsi="宋体"/>
          <w:bCs/>
          <w:spacing w:val="-6"/>
          <w:sz w:val="21"/>
          <w:szCs w:val="21"/>
          <w:lang w:val="en-US" w:eastAsia="zh-CN"/>
        </w:rPr>
        <w:t>书面</w:t>
      </w:r>
      <w:r>
        <w:rPr>
          <w:rFonts w:hint="eastAsia" w:hAnsi="宋体"/>
          <w:bCs/>
          <w:spacing w:val="-6"/>
          <w:sz w:val="21"/>
          <w:szCs w:val="21"/>
        </w:rPr>
        <w:t>说明，详细阐述不影响产品质量或者诚信履约的具体原因。</w:t>
      </w:r>
    </w:p>
    <w:p w14:paraId="65289E48">
      <w:pPr>
        <w:pStyle w:val="4"/>
        <w:widowControl w:val="0"/>
        <w:numPr>
          <w:ilvl w:val="0"/>
          <w:numId w:val="0"/>
        </w:numPr>
        <w:adjustRightInd w:val="0"/>
        <w:snapToGrid w:val="0"/>
        <w:spacing w:afterLines="0" w:line="288" w:lineRule="auto"/>
        <w:ind w:left="284" w:hanging="284" w:hangingChars="143"/>
        <w:rPr>
          <w:rFonts w:ascii="宋体" w:hAnsi="宋体"/>
          <w:b/>
          <w:spacing w:val="-6"/>
          <w:kern w:val="2"/>
          <w:sz w:val="21"/>
          <w:szCs w:val="21"/>
        </w:rPr>
      </w:pPr>
      <w:r>
        <w:rPr>
          <w:rFonts w:hint="eastAsia" w:ascii="宋体" w:hAnsi="宋体"/>
          <w:b/>
          <w:spacing w:val="-6"/>
          <w:kern w:val="2"/>
          <w:sz w:val="21"/>
          <w:szCs w:val="21"/>
        </w:rPr>
        <w:t>（六）响应有效期</w:t>
      </w:r>
    </w:p>
    <w:p w14:paraId="46EB4E73">
      <w:pPr>
        <w:pStyle w:val="12"/>
        <w:adjustRightInd w:val="0"/>
        <w:snapToGrid w:val="0"/>
        <w:spacing w:beforeLines="0" w:afterLines="0" w:line="288" w:lineRule="auto"/>
        <w:ind w:firstLine="396" w:firstLineChars="200"/>
        <w:jc w:val="left"/>
        <w:rPr>
          <w:rFonts w:hAnsi="宋体"/>
          <w:spacing w:val="-6"/>
          <w:sz w:val="21"/>
          <w:szCs w:val="21"/>
        </w:rPr>
      </w:pPr>
      <w:r>
        <w:rPr>
          <w:rFonts w:hint="eastAsia" w:hAnsi="宋体"/>
          <w:spacing w:val="-6"/>
          <w:sz w:val="21"/>
          <w:szCs w:val="21"/>
        </w:rPr>
        <w:t>▲从提交响应文件的截止之日起90天。在原响应有效期满之前，如果出现特殊情况，采购人或采购代理机构以书面形式通知供应商延长响应有效期。</w:t>
      </w:r>
    </w:p>
    <w:p w14:paraId="5611C0CE">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14:paraId="71A69B9F">
      <w:pPr>
        <w:adjustRightInd w:val="0"/>
        <w:snapToGrid w:val="0"/>
        <w:spacing w:line="288" w:lineRule="auto"/>
        <w:jc w:val="center"/>
        <w:outlineLvl w:val="1"/>
        <w:rPr>
          <w:rFonts w:ascii="宋体" w:hAnsi="宋体" w:cs="宋体"/>
          <w:b/>
          <w:bCs/>
          <w:sz w:val="21"/>
          <w:szCs w:val="21"/>
        </w:rPr>
      </w:pPr>
      <w:r>
        <w:rPr>
          <w:rFonts w:hint="eastAsia" w:ascii="宋体" w:hAnsi="宋体" w:cs="宋体"/>
          <w:b/>
          <w:bCs/>
          <w:sz w:val="21"/>
          <w:szCs w:val="21"/>
        </w:rPr>
        <w:t>四、响应无效的情形</w:t>
      </w:r>
    </w:p>
    <w:p w14:paraId="78C5B0DE">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未响应磋商文件“▲”标记条款要求的，响应无效。</w:t>
      </w:r>
    </w:p>
    <w:p w14:paraId="75B570D6">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在资格审查时，如发现下列情形之一的，响应文件将被视为无效：</w:t>
      </w:r>
    </w:p>
    <w:p w14:paraId="2DC14E98">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磋商</w:t>
      </w:r>
      <w:r>
        <w:rPr>
          <w:rFonts w:ascii="宋体" w:hAnsi="宋体"/>
          <w:spacing w:val="-6"/>
          <w:sz w:val="21"/>
          <w:szCs w:val="21"/>
        </w:rPr>
        <w:t>文件要求</w:t>
      </w:r>
      <w:r>
        <w:rPr>
          <w:rFonts w:hint="eastAsia" w:ascii="宋体" w:hAnsi="宋体"/>
          <w:spacing w:val="-6"/>
          <w:sz w:val="21"/>
          <w:szCs w:val="21"/>
        </w:rPr>
        <w:t>；</w:t>
      </w:r>
    </w:p>
    <w:p w14:paraId="52843BC9">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2</w:t>
      </w:r>
      <w:r>
        <w:rPr>
          <w:rFonts w:hint="eastAsia" w:ascii="宋体" w:hAnsi="宋体"/>
          <w:spacing w:val="-6"/>
          <w:sz w:val="21"/>
          <w:szCs w:val="21"/>
        </w:rPr>
        <w:t>）供应商不具备磋商文件中规定的资格要求；</w:t>
      </w:r>
    </w:p>
    <w:p w14:paraId="017505EC">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3）</w:t>
      </w:r>
      <w:r>
        <w:rPr>
          <w:rFonts w:hint="eastAsia" w:ascii="宋体" w:hAnsi="宋体"/>
          <w:spacing w:val="-6"/>
          <w:sz w:val="21"/>
          <w:szCs w:val="21"/>
        </w:rPr>
        <w:t>资格</w:t>
      </w:r>
      <w:r>
        <w:rPr>
          <w:rFonts w:ascii="宋体" w:hAnsi="宋体"/>
          <w:spacing w:val="-6"/>
          <w:sz w:val="21"/>
          <w:szCs w:val="21"/>
        </w:rPr>
        <w:t>文件</w:t>
      </w:r>
      <w:r>
        <w:rPr>
          <w:rFonts w:hint="eastAsia" w:ascii="宋体" w:hAnsi="宋体"/>
          <w:spacing w:val="-6"/>
          <w:sz w:val="21"/>
          <w:szCs w:val="21"/>
        </w:rPr>
        <w:t>未按要求签署、盖章；</w:t>
      </w:r>
    </w:p>
    <w:p w14:paraId="03FBA35E">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时，如发现下列情形之一的，响应文件将被视为无效：</w:t>
      </w:r>
    </w:p>
    <w:p w14:paraId="1339EA46">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w:t>
      </w:r>
    </w:p>
    <w:p w14:paraId="475F18A5">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（2）未提供或未按要求提供响应函、授权委托书；</w:t>
      </w:r>
    </w:p>
    <w:p w14:paraId="276E55E1">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（3）委托授权代表参加采购活动但未提供符合要求的授权代表社保缴纳证明；</w:t>
      </w:r>
    </w:p>
    <w:p w14:paraId="1580AF6D">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w:t>
      </w:r>
    </w:p>
    <w:p w14:paraId="7286B391">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w:t>
      </w:r>
      <w:r>
        <w:rPr>
          <w:rFonts w:ascii="宋体" w:hAnsi="宋体"/>
          <w:spacing w:val="-6"/>
          <w:sz w:val="21"/>
          <w:szCs w:val="21"/>
          <w:highlight w:val="none"/>
        </w:rPr>
        <w:t>明显不符合</w:t>
      </w:r>
      <w:r>
        <w:rPr>
          <w:rFonts w:hint="eastAsia" w:ascii="宋体" w:hAnsi="宋体"/>
          <w:spacing w:val="-6"/>
          <w:sz w:val="21"/>
          <w:szCs w:val="21"/>
          <w:highlight w:val="none"/>
        </w:rPr>
        <w:t>磋商</w:t>
      </w:r>
      <w:r>
        <w:rPr>
          <w:rFonts w:ascii="宋体" w:hAnsi="宋体"/>
          <w:spacing w:val="-6"/>
          <w:sz w:val="21"/>
          <w:szCs w:val="21"/>
          <w:highlight w:val="none"/>
        </w:rPr>
        <w:t>文件</w:t>
      </w:r>
      <w:r>
        <w:rPr>
          <w:rFonts w:hint="eastAsia" w:ascii="宋体" w:hAnsi="宋体"/>
          <w:spacing w:val="-6"/>
          <w:sz w:val="21"/>
          <w:szCs w:val="21"/>
          <w:highlight w:val="none"/>
        </w:rPr>
        <w:t>要求，或</w:t>
      </w:r>
      <w:r>
        <w:rPr>
          <w:rFonts w:hint="eastAsia" w:ascii="宋体" w:hAnsi="宋体" w:cs="宋体"/>
          <w:sz w:val="21"/>
          <w:szCs w:val="21"/>
          <w:highlight w:val="none"/>
        </w:rPr>
        <w:t>负偏离达到规定数目的</w:t>
      </w:r>
      <w:r>
        <w:rPr>
          <w:rFonts w:hint="eastAsia" w:ascii="宋体" w:hAnsi="宋体"/>
          <w:spacing w:val="-6"/>
          <w:sz w:val="21"/>
          <w:szCs w:val="21"/>
          <w:highlight w:val="none"/>
        </w:rPr>
        <w:t>，</w:t>
      </w:r>
      <w:bookmarkStart w:id="36" w:name="_Hlk104289230"/>
      <w:r>
        <w:rPr>
          <w:rFonts w:hint="eastAsia" w:ascii="宋体" w:hAnsi="宋体"/>
          <w:spacing w:val="-6"/>
          <w:sz w:val="21"/>
          <w:szCs w:val="21"/>
          <w:highlight w:val="none"/>
        </w:rPr>
        <w:t>视为采购人不能接受的附加条件；</w:t>
      </w:r>
      <w:bookmarkEnd w:id="36"/>
    </w:p>
    <w:p w14:paraId="7DA4CC51">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6</w:t>
      </w:r>
      <w:r>
        <w:rPr>
          <w:rFonts w:hint="eastAsia" w:ascii="宋体" w:hAnsi="宋体"/>
          <w:spacing w:val="-6"/>
          <w:sz w:val="21"/>
          <w:szCs w:val="21"/>
          <w:highlight w:val="none"/>
        </w:rPr>
        <w:t>）响应</w:t>
      </w:r>
      <w:r>
        <w:rPr>
          <w:rFonts w:ascii="宋体" w:hAnsi="宋体"/>
          <w:spacing w:val="-6"/>
          <w:sz w:val="21"/>
          <w:szCs w:val="21"/>
          <w:highlight w:val="none"/>
        </w:rPr>
        <w:t>技术方案不明确，存在一个或一个以上备选（替代）</w:t>
      </w:r>
      <w:r>
        <w:rPr>
          <w:rFonts w:hint="eastAsia" w:ascii="宋体" w:hAnsi="宋体"/>
          <w:spacing w:val="-6"/>
          <w:sz w:val="21"/>
          <w:szCs w:val="21"/>
          <w:highlight w:val="none"/>
        </w:rPr>
        <w:t>响应</w:t>
      </w:r>
      <w:r>
        <w:rPr>
          <w:rFonts w:ascii="宋体" w:hAnsi="宋体"/>
          <w:spacing w:val="-6"/>
          <w:sz w:val="21"/>
          <w:szCs w:val="21"/>
          <w:highlight w:val="none"/>
        </w:rPr>
        <w:t>方案；</w:t>
      </w:r>
    </w:p>
    <w:p w14:paraId="409FB3FA">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7</w:t>
      </w:r>
      <w:r>
        <w:rPr>
          <w:rFonts w:hint="eastAsia" w:ascii="宋体" w:hAnsi="宋体"/>
          <w:spacing w:val="-6"/>
          <w:sz w:val="21"/>
          <w:szCs w:val="21"/>
          <w:highlight w:val="none"/>
        </w:rPr>
        <w:t>）响应文件含有采购人不能接受的附加条件；</w:t>
      </w:r>
    </w:p>
    <w:p w14:paraId="72D98215">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8</w:t>
      </w:r>
      <w:r>
        <w:rPr>
          <w:rFonts w:hint="eastAsia" w:ascii="宋体" w:hAnsi="宋体"/>
          <w:spacing w:val="-6"/>
          <w:sz w:val="21"/>
          <w:szCs w:val="21"/>
          <w:highlight w:val="none"/>
        </w:rPr>
        <w:t>）法律、法规和磋商文件规定的其他无效情形。</w:t>
      </w:r>
    </w:p>
    <w:p w14:paraId="48A20CC7">
      <w:pPr>
        <w:adjustRightInd w:val="0"/>
        <w:snapToGrid w:val="0"/>
        <w:spacing w:line="288" w:lineRule="auto"/>
        <w:ind w:firstLine="398" w:firstLineChars="200"/>
        <w:rPr>
          <w:rFonts w:ascii="宋体" w:hAnsi="宋体"/>
          <w:b/>
          <w:spacing w:val="-6"/>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.在报价评审时，如发现下列情形之一的，</w:t>
      </w:r>
      <w:r>
        <w:rPr>
          <w:rFonts w:hint="eastAsia" w:ascii="宋体" w:hAnsi="宋体"/>
          <w:b/>
          <w:spacing w:val="-6"/>
          <w:sz w:val="21"/>
          <w:szCs w:val="21"/>
          <w:highlight w:val="none"/>
        </w:rPr>
        <w:t>响应</w:t>
      </w:r>
      <w:r>
        <w:rPr>
          <w:rFonts w:ascii="宋体" w:hAnsi="宋体"/>
          <w:b/>
          <w:spacing w:val="-6"/>
          <w:sz w:val="21"/>
          <w:szCs w:val="21"/>
          <w:highlight w:val="none"/>
        </w:rPr>
        <w:t>文件将被视为无效：</w:t>
      </w:r>
    </w:p>
    <w:p w14:paraId="2225AF25">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（1）最后报价超过磋商文件中规定的预算金额或最高限价；</w:t>
      </w:r>
    </w:p>
    <w:p w14:paraId="3B4C49F8">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（2）最后报价具有选择性；</w:t>
      </w:r>
    </w:p>
    <w:p w14:paraId="6230587E">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（3）未按规定提交磋商记录或最后报价的，视为退出磋商，响应无效。</w:t>
      </w:r>
    </w:p>
    <w:p w14:paraId="2DFE6598">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1980B289">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4.有下列情形之一的，视为供应商串通，其响应无效：</w:t>
      </w:r>
    </w:p>
    <w:p w14:paraId="714C0B38">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（1）不同供应商的响应文件由同一单位或者个人编制；</w:t>
      </w:r>
    </w:p>
    <w:p w14:paraId="425D2ED1">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（2）不同供应商委托同一单位或者个人办理磋商事宜；</w:t>
      </w:r>
    </w:p>
    <w:p w14:paraId="4F2B0278">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（3）不同供应商的响应文件载明的项目管理成员或者联系人员为同一人；</w:t>
      </w:r>
    </w:p>
    <w:p w14:paraId="39EAC435">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（4）不同供应商的响应文件异常一致或者最后报价呈规律性差异；</w:t>
      </w:r>
    </w:p>
    <w:p w14:paraId="3E6C8382">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（5）不同供应商的响应文件相互混装。</w:t>
      </w:r>
    </w:p>
    <w:p w14:paraId="21DAA9E9">
      <w:pPr>
        <w:rPr>
          <w:rFonts w:hint="eastAsia" w:hAnsi="宋体"/>
          <w:b/>
          <w:spacing w:val="-6"/>
          <w:sz w:val="21"/>
          <w:szCs w:val="21"/>
        </w:rPr>
      </w:pPr>
      <w:r>
        <w:rPr>
          <w:rFonts w:hint="eastAsia" w:hAnsi="宋体"/>
          <w:b/>
          <w:spacing w:val="-6"/>
          <w:sz w:val="21"/>
          <w:szCs w:val="21"/>
        </w:rPr>
        <w:br w:type="page"/>
      </w:r>
    </w:p>
    <w:p w14:paraId="4CE053D1">
      <w:pPr>
        <w:pStyle w:val="12"/>
        <w:adjustRightInd w:val="0"/>
        <w:snapToGrid w:val="0"/>
        <w:spacing w:beforeLines="0" w:afterLines="0" w:line="288" w:lineRule="auto"/>
        <w:jc w:val="center"/>
        <w:outlineLvl w:val="1"/>
        <w:rPr>
          <w:rFonts w:hAnsi="宋体"/>
          <w:b/>
          <w:spacing w:val="-6"/>
          <w:sz w:val="21"/>
          <w:szCs w:val="21"/>
        </w:rPr>
      </w:pPr>
      <w:r>
        <w:rPr>
          <w:rFonts w:hint="eastAsia" w:hAnsi="宋体"/>
          <w:b/>
          <w:spacing w:val="-6"/>
          <w:sz w:val="21"/>
          <w:szCs w:val="21"/>
        </w:rPr>
        <w:t>五、响应文件开启</w:t>
      </w:r>
    </w:p>
    <w:p w14:paraId="13809078">
      <w:pPr>
        <w:autoSpaceDE w:val="0"/>
        <w:autoSpaceDN w:val="0"/>
        <w:adjustRightInd w:val="0"/>
        <w:snapToGrid w:val="0"/>
        <w:spacing w:line="288" w:lineRule="auto"/>
        <w:ind w:firstLine="422" w:firstLineChars="201"/>
        <w:rPr>
          <w:rFonts w:ascii="宋体" w:hAnsi="宋体" w:cs="仿宋_GB2312"/>
          <w:kern w:val="0"/>
          <w:sz w:val="21"/>
          <w:szCs w:val="21"/>
        </w:rPr>
      </w:pPr>
      <w:r>
        <w:rPr>
          <w:rFonts w:ascii="宋体" w:hAnsi="宋体" w:cs="仿宋_GB2312"/>
          <w:kern w:val="0"/>
          <w:sz w:val="21"/>
          <w:szCs w:val="21"/>
        </w:rPr>
        <w:t>采购</w:t>
      </w:r>
      <w:r>
        <w:rPr>
          <w:rFonts w:hint="eastAsia" w:ascii="宋体" w:hAnsi="宋体" w:cs="仿宋_GB2312"/>
          <w:kern w:val="0"/>
          <w:sz w:val="21"/>
          <w:szCs w:val="21"/>
        </w:rPr>
        <w:t>代理</w:t>
      </w:r>
      <w:r>
        <w:rPr>
          <w:rFonts w:ascii="宋体" w:hAnsi="宋体" w:cs="仿宋_GB2312"/>
          <w:kern w:val="0"/>
          <w:sz w:val="21"/>
          <w:szCs w:val="21"/>
        </w:rPr>
        <w:t>机构按照磋商文件规定的时间</w:t>
      </w:r>
      <w:r>
        <w:rPr>
          <w:rFonts w:hint="eastAsia" w:ascii="宋体" w:hAnsi="宋体" w:cs="仿宋_GB2312"/>
          <w:kern w:val="0"/>
          <w:sz w:val="21"/>
          <w:szCs w:val="21"/>
        </w:rPr>
        <w:t>地点</w:t>
      </w:r>
      <w:r>
        <w:rPr>
          <w:rFonts w:ascii="宋体" w:hAnsi="宋体" w:cs="仿宋_GB2312"/>
          <w:kern w:val="0"/>
          <w:sz w:val="21"/>
          <w:szCs w:val="21"/>
        </w:rPr>
        <w:t>开启</w:t>
      </w:r>
      <w:r>
        <w:rPr>
          <w:rFonts w:hint="eastAsia" w:ascii="宋体" w:hAnsi="宋体" w:cs="仿宋_GB2312"/>
          <w:kern w:val="0"/>
          <w:sz w:val="21"/>
          <w:szCs w:val="21"/>
        </w:rPr>
        <w:t>响应文件</w:t>
      </w:r>
      <w:r>
        <w:rPr>
          <w:rFonts w:ascii="宋体" w:hAnsi="宋体" w:cs="仿宋_GB2312"/>
          <w:kern w:val="0"/>
          <w:sz w:val="21"/>
          <w:szCs w:val="21"/>
        </w:rPr>
        <w:t>，所有供应商均应当准时参加。供应商不足3家的，不得开启。</w:t>
      </w:r>
    </w:p>
    <w:p w14:paraId="0756DB12">
      <w:pPr>
        <w:pStyle w:val="10"/>
        <w:adjustRightInd w:val="0"/>
        <w:snapToGrid w:val="0"/>
        <w:spacing w:line="288" w:lineRule="auto"/>
        <w:ind w:firstLine="0"/>
        <w:rPr>
          <w:rFonts w:hAnsi="宋体"/>
          <w:b/>
          <w:spacing w:val="-6"/>
          <w:sz w:val="21"/>
          <w:szCs w:val="21"/>
        </w:rPr>
      </w:pPr>
    </w:p>
    <w:p w14:paraId="2F4B252D">
      <w:pPr>
        <w:adjustRightInd w:val="0"/>
        <w:snapToGrid w:val="0"/>
        <w:spacing w:line="288" w:lineRule="auto"/>
        <w:jc w:val="center"/>
        <w:outlineLvl w:val="1"/>
        <w:rPr>
          <w:rFonts w:ascii="宋体" w:hAnsi="宋体" w:cs="宋体"/>
          <w:b/>
          <w:bCs/>
          <w:sz w:val="21"/>
          <w:szCs w:val="21"/>
        </w:rPr>
      </w:pPr>
      <w:r>
        <w:rPr>
          <w:rFonts w:hint="eastAsia" w:ascii="宋体" w:hAnsi="宋体" w:cs="宋体"/>
          <w:b/>
          <w:bCs/>
          <w:sz w:val="21"/>
          <w:szCs w:val="21"/>
        </w:rPr>
        <w:t>六、评审程序</w:t>
      </w:r>
    </w:p>
    <w:p w14:paraId="6EC09C2A">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76EC91F">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磋商文件内容违反国家有关强制性规定的，磋商小组应当停止评审并向采购人或者采购代理机构说明情况。</w:t>
      </w:r>
    </w:p>
    <w:p w14:paraId="45F1CAF9">
      <w:pPr>
        <w:widowControl/>
        <w:adjustRightInd w:val="0"/>
        <w:snapToGrid w:val="0"/>
        <w:spacing w:line="288" w:lineRule="auto"/>
        <w:ind w:firstLine="424" w:firstLineChars="201"/>
        <w:jc w:val="left"/>
        <w:rPr>
          <w:rFonts w:ascii="宋体" w:hAnsi="宋体" w:cs="仿宋_GB2312"/>
          <w:b/>
          <w:sz w:val="21"/>
          <w:szCs w:val="21"/>
        </w:rPr>
      </w:pPr>
      <w:r>
        <w:rPr>
          <w:rFonts w:hint="eastAsia" w:ascii="宋体" w:hAnsi="宋体" w:cs="仿宋_GB2312"/>
          <w:b/>
          <w:sz w:val="21"/>
          <w:szCs w:val="21"/>
        </w:rPr>
        <w:t>（一）</w:t>
      </w:r>
      <w:r>
        <w:rPr>
          <w:rFonts w:ascii="宋体" w:hAnsi="宋体" w:cs="仿宋_GB2312"/>
          <w:b/>
          <w:sz w:val="21"/>
          <w:szCs w:val="21"/>
        </w:rPr>
        <w:t>资格审查</w:t>
      </w:r>
    </w:p>
    <w:p w14:paraId="543D4459">
      <w:pPr>
        <w:adjustRightInd w:val="0"/>
        <w:snapToGrid w:val="0"/>
        <w:spacing w:line="288" w:lineRule="auto"/>
        <w:ind w:firstLine="422" w:firstLineChars="201"/>
        <w:rPr>
          <w:rFonts w:ascii="宋体" w:hAnsi="宋体" w:cs="仿宋_GB2312"/>
          <w:sz w:val="21"/>
          <w:szCs w:val="21"/>
        </w:rPr>
      </w:pPr>
      <w:r>
        <w:rPr>
          <w:rFonts w:ascii="宋体" w:hAnsi="宋体" w:cs="Arial"/>
          <w:kern w:val="0"/>
          <w:sz w:val="21"/>
          <w:szCs w:val="21"/>
        </w:rPr>
        <w:t>开启后，</w:t>
      </w:r>
      <w:r>
        <w:rPr>
          <w:rFonts w:hint="eastAsia" w:ascii="宋体" w:hAnsi="宋体" w:cs="仿宋_GB2312"/>
          <w:sz w:val="21"/>
          <w:szCs w:val="21"/>
        </w:rPr>
        <w:t>磋商小组依据法律法规和磋商文件的规定，对供应商的资格条件进行审查。</w:t>
      </w:r>
    </w:p>
    <w:p w14:paraId="484572A6">
      <w:pPr>
        <w:adjustRightInd w:val="0"/>
        <w:snapToGrid w:val="0"/>
        <w:spacing w:line="288" w:lineRule="auto"/>
        <w:ind w:firstLine="422" w:firstLineChars="201"/>
        <w:rPr>
          <w:rFonts w:ascii="宋体" w:hAnsi="宋体" w:cs="仿宋_GB2312"/>
          <w:sz w:val="21"/>
          <w:szCs w:val="21"/>
        </w:rPr>
      </w:pPr>
      <w:r>
        <w:rPr>
          <w:rFonts w:ascii="宋体" w:hAnsi="宋体" w:cs="仿宋_GB2312"/>
          <w:sz w:val="21"/>
          <w:szCs w:val="21"/>
        </w:rPr>
        <w:t>对未通过资格审查的供应商，</w:t>
      </w:r>
      <w:r>
        <w:rPr>
          <w:rFonts w:hint="eastAsia" w:ascii="宋体" w:hAnsi="宋体" w:cs="仿宋_GB2312"/>
          <w:sz w:val="21"/>
          <w:szCs w:val="21"/>
        </w:rPr>
        <w:t>磋商小组</w:t>
      </w:r>
      <w:r>
        <w:rPr>
          <w:rFonts w:ascii="宋体" w:hAnsi="宋体" w:cs="仿宋_GB2312"/>
          <w:sz w:val="21"/>
          <w:szCs w:val="21"/>
        </w:rPr>
        <w:t>告知其未通过的原因。</w:t>
      </w:r>
    </w:p>
    <w:p w14:paraId="7DF4F5A7">
      <w:pPr>
        <w:adjustRightInd w:val="0"/>
        <w:snapToGrid w:val="0"/>
        <w:spacing w:line="288" w:lineRule="auto"/>
        <w:ind w:firstLine="422" w:firstLineChars="201"/>
        <w:rPr>
          <w:rFonts w:ascii="宋体" w:hAnsi="宋体" w:cs="仿宋_GB2312"/>
          <w:sz w:val="21"/>
          <w:szCs w:val="21"/>
        </w:rPr>
      </w:pPr>
      <w:r>
        <w:rPr>
          <w:rFonts w:ascii="宋体" w:hAnsi="宋体" w:cs="仿宋_GB2312"/>
          <w:sz w:val="21"/>
          <w:szCs w:val="21"/>
        </w:rPr>
        <w:t>通过资格审查的供应商不足3家的，不再评审。</w:t>
      </w:r>
    </w:p>
    <w:p w14:paraId="6955C291">
      <w:pPr>
        <w:adjustRightInd w:val="0"/>
        <w:snapToGrid w:val="0"/>
        <w:spacing w:line="288" w:lineRule="auto"/>
        <w:ind w:firstLine="424" w:firstLineChars="201"/>
        <w:rPr>
          <w:rFonts w:ascii="宋体" w:hAnsi="宋体" w:cs="仿宋_GB2312"/>
          <w:b/>
          <w:sz w:val="21"/>
          <w:szCs w:val="21"/>
        </w:rPr>
      </w:pPr>
      <w:r>
        <w:rPr>
          <w:rFonts w:hint="eastAsia" w:ascii="宋体" w:hAnsi="宋体" w:cs="仿宋_GB2312"/>
          <w:b/>
          <w:sz w:val="21"/>
          <w:szCs w:val="21"/>
        </w:rPr>
        <w:t>（二）</w:t>
      </w:r>
      <w:r>
        <w:rPr>
          <w:rFonts w:ascii="宋体" w:hAnsi="宋体" w:cs="仿宋_GB2312"/>
          <w:b/>
          <w:sz w:val="21"/>
          <w:szCs w:val="21"/>
        </w:rPr>
        <w:t>信用信息查询</w:t>
      </w:r>
    </w:p>
    <w:p w14:paraId="625343A1">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采购代理机构会对供应商信用记录进行查询并甄别，信用信息查询的截止时点：响应截止时间。</w:t>
      </w:r>
    </w:p>
    <w:p w14:paraId="2893DA9E">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）查询渠道：“信用中国”（www.creditchina.gov.cn）、“中国政府采购网”（www.ccgp.gov.cn）；</w:t>
      </w:r>
    </w:p>
    <w:p w14:paraId="4905BC0E">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）信用信息查询记录和证据留存具体方式：采购代理机构经办人和监督人员将查询网页打印、签名与其他采购文件一并保存；</w:t>
      </w:r>
    </w:p>
    <w:p w14:paraId="191EDBB7">
      <w:pPr>
        <w:adjustRightInd w:val="0"/>
        <w:snapToGrid w:val="0"/>
        <w:spacing w:line="288" w:lineRule="auto"/>
        <w:ind w:firstLine="422" w:firstLineChars="201"/>
        <w:rPr>
          <w:rFonts w:ascii="宋体" w:hAnsi="宋体" w:cs="宋体"/>
          <w:bCs/>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bCs/>
          <w:sz w:val="21"/>
          <w:szCs w:val="21"/>
        </w:rPr>
        <w:t>）信用信息的使用规则：供应商被列入失信被执行人、重大税收违法案件当事人名单、政府采购严重违法失信行为记录名单的，拒绝其参与采购活动。</w:t>
      </w:r>
    </w:p>
    <w:p w14:paraId="1AE9E87A">
      <w:pPr>
        <w:adjustRightInd w:val="0"/>
        <w:snapToGrid w:val="0"/>
        <w:spacing w:line="288" w:lineRule="auto"/>
        <w:ind w:firstLine="422" w:firstLineChars="201"/>
        <w:rPr>
          <w:rFonts w:ascii="宋体" w:hAnsi="宋体" w:cs="宋体"/>
          <w:kern w:val="0"/>
          <w:sz w:val="21"/>
          <w:szCs w:val="21"/>
        </w:rPr>
      </w:pPr>
      <w:r>
        <w:rPr>
          <w:rFonts w:ascii="宋体" w:hAnsi="宋体" w:cs="Arial"/>
          <w:kern w:val="0"/>
          <w:sz w:val="21"/>
          <w:szCs w:val="21"/>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3C609B21">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符合性审查</w:t>
      </w:r>
    </w:p>
    <w:p w14:paraId="4F6C62B2">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磋商小组对符合资格的</w:t>
      </w:r>
      <w:r>
        <w:rPr>
          <w:rFonts w:hint="eastAsia" w:ascii="宋体" w:hAnsi="宋体" w:cs="Arial"/>
          <w:kern w:val="0"/>
          <w:sz w:val="21"/>
          <w:szCs w:val="21"/>
        </w:rPr>
        <w:t>供应商</w:t>
      </w:r>
      <w:r>
        <w:rPr>
          <w:rFonts w:ascii="宋体" w:hAnsi="宋体" w:cs="Arial"/>
          <w:kern w:val="0"/>
          <w:sz w:val="21"/>
          <w:szCs w:val="21"/>
        </w:rPr>
        <w:t>的</w:t>
      </w:r>
      <w:r>
        <w:rPr>
          <w:rFonts w:hint="eastAsia" w:ascii="宋体" w:hAnsi="宋体" w:cs="Arial"/>
          <w:kern w:val="0"/>
          <w:sz w:val="21"/>
          <w:szCs w:val="21"/>
        </w:rPr>
        <w:t>响应</w:t>
      </w:r>
      <w:r>
        <w:rPr>
          <w:rFonts w:ascii="宋体" w:hAnsi="宋体" w:cs="Arial"/>
          <w:kern w:val="0"/>
          <w:sz w:val="21"/>
          <w:szCs w:val="21"/>
        </w:rPr>
        <w:t>文件进行符合性审查，以确定其是否满足磋商文件的实质性要求。</w:t>
      </w:r>
    </w:p>
    <w:p w14:paraId="51A5E108">
      <w:pPr>
        <w:adjustRightInd w:val="0"/>
        <w:snapToGrid w:val="0"/>
        <w:spacing w:line="288" w:lineRule="auto"/>
        <w:ind w:firstLine="426" w:firstLineChars="202"/>
        <w:rPr>
          <w:rFonts w:ascii="宋体" w:hAnsi="宋体" w:cs="Arial"/>
          <w:b/>
          <w:bCs/>
          <w:kern w:val="0"/>
          <w:sz w:val="21"/>
          <w:szCs w:val="21"/>
        </w:rPr>
      </w:pPr>
      <w:r>
        <w:rPr>
          <w:rFonts w:hint="eastAsia" w:ascii="宋体" w:hAnsi="宋体" w:cs="Arial"/>
          <w:b/>
          <w:bCs/>
          <w:kern w:val="0"/>
          <w:sz w:val="21"/>
          <w:szCs w:val="21"/>
        </w:rPr>
        <w:t>（四）磋商</w:t>
      </w:r>
    </w:p>
    <w:p w14:paraId="24E5CAED">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磋商小组所有成员应当集中与单一供应商分别进行磋商，并给予所有参加磋商的供应商平等的磋商机会。</w:t>
      </w:r>
    </w:p>
    <w:p w14:paraId="4751B5F4">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5247550C">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对磋商文件作出的实质性变动是磋商文件的有效组成部分，磋商小组应当及时以书面形式同时通知所有参加磋商的供应商。</w:t>
      </w:r>
    </w:p>
    <w:p w14:paraId="40AA4BBD">
      <w:pPr>
        <w:adjustRightInd w:val="0"/>
        <w:snapToGrid w:val="0"/>
        <w:spacing w:line="288" w:lineRule="auto"/>
        <w:ind w:firstLine="420" w:firstLineChars="200"/>
        <w:rPr>
          <w:rFonts w:ascii="宋体" w:hAnsi="宋体" w:cs="Arial"/>
          <w:kern w:val="0"/>
          <w:sz w:val="21"/>
          <w:szCs w:val="21"/>
        </w:rPr>
      </w:pPr>
      <w:r>
        <w:rPr>
          <w:rFonts w:hint="eastAsia" w:ascii="宋体" w:hAnsi="宋体" w:cs="Arial"/>
          <w:kern w:val="0"/>
          <w:sz w:val="21"/>
          <w:szCs w:val="21"/>
        </w:rPr>
        <w:t>供应商应当按照磋商文件的变动情况和磋商小组的要求提交磋商记录，并由供应商代表签名或者加盖公章。</w:t>
      </w:r>
    </w:p>
    <w:p w14:paraId="6E6ED5CA">
      <w:pPr>
        <w:adjustRightInd w:val="0"/>
        <w:snapToGrid w:val="0"/>
        <w:spacing w:line="288" w:lineRule="auto"/>
        <w:ind w:firstLine="426" w:firstLineChars="202"/>
        <w:rPr>
          <w:rFonts w:ascii="宋体" w:hAnsi="宋体" w:cs="Arial"/>
          <w:b/>
          <w:bCs/>
          <w:kern w:val="0"/>
          <w:sz w:val="21"/>
          <w:szCs w:val="21"/>
        </w:rPr>
      </w:pPr>
      <w:r>
        <w:rPr>
          <w:rFonts w:hint="eastAsia" w:ascii="宋体" w:hAnsi="宋体" w:cs="Arial"/>
          <w:b/>
          <w:bCs/>
          <w:kern w:val="0"/>
          <w:sz w:val="21"/>
          <w:szCs w:val="21"/>
        </w:rPr>
        <w:t>（五）最后报价</w:t>
      </w:r>
    </w:p>
    <w:p w14:paraId="2C29543F">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ascii="宋体" w:hAnsi="宋体" w:cs="Arial"/>
          <w:kern w:val="0"/>
          <w:sz w:val="21"/>
          <w:szCs w:val="21"/>
        </w:rPr>
        <w:t>3家。</w:t>
      </w:r>
    </w:p>
    <w:p w14:paraId="00C7F561">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ascii="宋体" w:hAnsi="宋体" w:cs="Arial"/>
          <w:kern w:val="0"/>
          <w:sz w:val="21"/>
          <w:szCs w:val="21"/>
        </w:rPr>
        <w:t>3家以上供应商的设计方案或者解决方案，并要求其在规定时间内提交最后报价。</w:t>
      </w:r>
    </w:p>
    <w:p w14:paraId="51948C6C">
      <w:pPr>
        <w:adjustRightInd w:val="0"/>
        <w:snapToGrid w:val="0"/>
        <w:spacing w:line="288" w:lineRule="auto"/>
        <w:ind w:firstLine="420" w:firstLineChars="200"/>
        <w:rPr>
          <w:rFonts w:ascii="宋体" w:hAnsi="宋体" w:cs="宋体"/>
          <w:color w:val="auto"/>
          <w:sz w:val="21"/>
          <w:szCs w:val="21"/>
        </w:rPr>
      </w:pPr>
      <w:r>
        <w:rPr>
          <w:rFonts w:hint="eastAsia" w:ascii="宋体" w:hAnsi="宋体" w:cs="宋体"/>
          <w:color w:val="auto"/>
          <w:sz w:val="21"/>
          <w:szCs w:val="21"/>
        </w:rPr>
        <w:t>最后报价是供应商响应文件的有效组成部分。符合“市场竞争不充分的科研项目，以及需要扶持的科技成果转化项目”情形的，提交最后报价的供应商可以为</w:t>
      </w:r>
      <w:r>
        <w:rPr>
          <w:rFonts w:ascii="宋体" w:hAnsi="宋体" w:cs="宋体"/>
          <w:color w:val="auto"/>
          <w:sz w:val="21"/>
          <w:szCs w:val="21"/>
        </w:rPr>
        <w:t>2家。</w:t>
      </w:r>
    </w:p>
    <w:p w14:paraId="02100F16">
      <w:pPr>
        <w:adjustRightInd w:val="0"/>
        <w:snapToGrid w:val="0"/>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最后报价出现前后不一致的，按照下列规定修正：</w:t>
      </w:r>
    </w:p>
    <w:p w14:paraId="3336B1FC">
      <w:pPr>
        <w:adjustRightInd w:val="0"/>
        <w:snapToGrid w:val="0"/>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（一）最后报价内容与响应文件中相应内容不一致的，以最后报价为准；</w:t>
      </w:r>
    </w:p>
    <w:p w14:paraId="2AFC874E">
      <w:pPr>
        <w:adjustRightInd w:val="0"/>
        <w:snapToGrid w:val="0"/>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（二）大写金额和小写金额不一致的，以大写金额为准；</w:t>
      </w:r>
    </w:p>
    <w:p w14:paraId="2B3C1ECD">
      <w:pPr>
        <w:adjustRightInd w:val="0"/>
        <w:snapToGrid w:val="0"/>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（三）单价金额小数点或者百分比有明显错位的，以最后报价的总价为准，并修改单价；</w:t>
      </w:r>
    </w:p>
    <w:p w14:paraId="270C8159">
      <w:pPr>
        <w:adjustRightInd w:val="0"/>
        <w:snapToGrid w:val="0"/>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（四）总价金额与按单价汇总金额不一致的，以单价金额计算结果为准。</w:t>
      </w:r>
    </w:p>
    <w:p w14:paraId="577AD23B">
      <w:pPr>
        <w:adjustRightInd w:val="0"/>
        <w:snapToGrid w:val="0"/>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50D2A8E8">
      <w:pPr>
        <w:adjustRightInd w:val="0"/>
        <w:snapToGrid w:val="0"/>
        <w:spacing w:line="288" w:lineRule="auto"/>
        <w:ind w:firstLine="426" w:firstLineChars="202"/>
        <w:rPr>
          <w:rFonts w:ascii="宋体" w:hAnsi="宋体" w:cs="Arial"/>
          <w:b/>
          <w:kern w:val="0"/>
          <w:sz w:val="21"/>
          <w:szCs w:val="21"/>
          <w:highlight w:val="none"/>
        </w:rPr>
      </w:pPr>
      <w:r>
        <w:rPr>
          <w:rFonts w:hint="eastAsia" w:ascii="宋体" w:hAnsi="宋体" w:cs="Arial"/>
          <w:b/>
          <w:kern w:val="0"/>
          <w:sz w:val="21"/>
          <w:szCs w:val="21"/>
          <w:highlight w:val="none"/>
        </w:rPr>
        <w:t>（六）综合评分</w:t>
      </w:r>
    </w:p>
    <w:p w14:paraId="4DDC7160">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经磋商确定最终采购需求和提交最后报价的供应商后，由磋商小组采用</w:t>
      </w:r>
      <w:r>
        <w:rPr>
          <w:rFonts w:hint="eastAsia" w:ascii="宋体" w:hAnsi="宋体" w:cs="Arial"/>
          <w:b/>
          <w:bCs/>
          <w:kern w:val="0"/>
          <w:sz w:val="21"/>
          <w:szCs w:val="21"/>
        </w:rPr>
        <w:t>综合评分法</w:t>
      </w:r>
      <w:r>
        <w:rPr>
          <w:rFonts w:hint="eastAsia" w:ascii="宋体" w:hAnsi="宋体" w:cs="Arial"/>
          <w:kern w:val="0"/>
          <w:sz w:val="21"/>
          <w:szCs w:val="21"/>
        </w:rPr>
        <w:t>对提交最后报价的供应商的响应文件和最后报价进行综合评分。</w:t>
      </w:r>
    </w:p>
    <w:p w14:paraId="5BE75BB0">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综合评分法，是指响应文件满足磋商文件全部实质性要求且按评审因素的量化指标评审得分最高的供应商为成交候选供应商的评审方法。</w:t>
      </w:r>
    </w:p>
    <w:p w14:paraId="3825D07F">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汇总商务技术得分</w:t>
      </w:r>
    </w:p>
    <w:p w14:paraId="3A8886C4">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磋商小组各成员独立对进入最后报价的供应商的商务和技术文件进行评价，并汇总商务技术得分情况。</w:t>
      </w:r>
    </w:p>
    <w:p w14:paraId="6172D8FA">
      <w:pPr>
        <w:adjustRightInd w:val="0"/>
        <w:snapToGrid w:val="0"/>
        <w:spacing w:line="288" w:lineRule="auto"/>
        <w:ind w:firstLine="424" w:firstLineChars="202"/>
        <w:rPr>
          <w:rFonts w:ascii="宋体" w:hAnsi="宋体" w:cs="Arial"/>
          <w:kern w:val="0"/>
          <w:sz w:val="21"/>
          <w:szCs w:val="21"/>
        </w:rPr>
      </w:pPr>
      <w:bookmarkStart w:id="37" w:name="_Hlk94088579"/>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37"/>
    <w:p w14:paraId="44051024">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（八）排序与推荐</w:t>
      </w:r>
    </w:p>
    <w:p w14:paraId="6D6FFF8E">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磋商小组应当根据综合评分情况，按照评审得分由高到低顺序推荐</w:t>
      </w:r>
      <w:r>
        <w:rPr>
          <w:rFonts w:ascii="宋体" w:hAnsi="宋体" w:cs="Arial"/>
          <w:color w:val="auto"/>
          <w:kern w:val="0"/>
          <w:sz w:val="21"/>
          <w:szCs w:val="21"/>
          <w:highlight w:val="none"/>
        </w:rPr>
        <w:t>3名以上成交候选供应商，并编写评审报告。</w:t>
      </w:r>
      <w:r>
        <w:rPr>
          <w:rFonts w:hint="eastAsia" w:ascii="宋体" w:hAnsi="宋体" w:cs="宋体"/>
          <w:color w:val="auto"/>
          <w:sz w:val="21"/>
          <w:szCs w:val="21"/>
          <w:highlight w:val="none"/>
        </w:rPr>
        <w:t>符合“市场竞争不充分的科研项目，以及需要扶持的科技成果转化项目”情形的</w:t>
      </w:r>
      <w:r>
        <w:rPr>
          <w:rFonts w:ascii="宋体" w:hAnsi="宋体" w:cs="Arial"/>
          <w:color w:val="auto"/>
          <w:kern w:val="0"/>
          <w:sz w:val="21"/>
          <w:szCs w:val="21"/>
          <w:highlight w:val="none"/>
        </w:rPr>
        <w:t>，可以推荐2家成交候选供应商。评审得分相同的，按照最后报价由低到高的顺序推荐。评审得分且最后报价相同的，按照技术指标优劣顺序推荐。</w:t>
      </w:r>
    </w:p>
    <w:p w14:paraId="7B648046">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30B917EE">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14:paraId="5850F713">
      <w:pPr>
        <w:adjustRightInd w:val="0"/>
        <w:snapToGrid w:val="0"/>
        <w:spacing w:line="288" w:lineRule="auto"/>
        <w:ind w:firstLine="426" w:firstLineChars="202"/>
        <w:rPr>
          <w:rFonts w:ascii="宋体" w:hAnsi="宋体" w:cs="Arial"/>
          <w:b/>
          <w:color w:val="auto"/>
          <w:kern w:val="0"/>
          <w:sz w:val="21"/>
          <w:szCs w:val="21"/>
          <w:highlight w:val="none"/>
        </w:rPr>
      </w:pPr>
      <w:r>
        <w:rPr>
          <w:rFonts w:hint="eastAsia" w:ascii="宋体" w:hAnsi="宋体" w:cs="Arial"/>
          <w:b/>
          <w:color w:val="auto"/>
          <w:kern w:val="0"/>
          <w:sz w:val="21"/>
          <w:szCs w:val="21"/>
          <w:highlight w:val="none"/>
        </w:rPr>
        <w:t>（九）</w:t>
      </w:r>
      <w:r>
        <w:rPr>
          <w:rFonts w:ascii="宋体" w:hAnsi="宋体" w:cs="Arial"/>
          <w:b/>
          <w:color w:val="auto"/>
          <w:kern w:val="0"/>
          <w:sz w:val="21"/>
          <w:szCs w:val="21"/>
          <w:highlight w:val="none"/>
        </w:rPr>
        <w:t>编写评审报告</w:t>
      </w:r>
    </w:p>
    <w:p w14:paraId="7C05AFE3">
      <w:pPr>
        <w:adjustRightInd w:val="0"/>
        <w:snapToGrid w:val="0"/>
        <w:spacing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24E6CAA1">
      <w:pPr>
        <w:adjustRightInd w:val="0"/>
        <w:snapToGrid w:val="0"/>
        <w:spacing w:line="288" w:lineRule="auto"/>
        <w:ind w:firstLine="426" w:firstLineChars="202"/>
        <w:rPr>
          <w:rFonts w:ascii="宋体" w:hAnsi="宋体" w:cs="宋体"/>
          <w:b/>
          <w:bCs/>
          <w:color w:val="auto"/>
          <w:sz w:val="21"/>
          <w:szCs w:val="21"/>
          <w:highlight w:val="none"/>
        </w:rPr>
      </w:pPr>
      <w:r>
        <w:rPr>
          <w:rFonts w:hint="eastAsia" w:ascii="宋体" w:hAnsi="宋体" w:cs="Arial"/>
          <w:b/>
          <w:color w:val="auto"/>
          <w:kern w:val="0"/>
          <w:sz w:val="21"/>
          <w:szCs w:val="21"/>
          <w:highlight w:val="none"/>
        </w:rPr>
        <w:t>（十）补充说明</w:t>
      </w:r>
    </w:p>
    <w:p w14:paraId="3FB46DC7">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14:paraId="671E3F5D">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14:paraId="23EA17A3">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七、成交与合同</w:t>
      </w:r>
    </w:p>
    <w:p w14:paraId="300044A1">
      <w:pPr>
        <w:adjustRightInd w:val="0"/>
        <w:snapToGrid w:val="0"/>
        <w:spacing w:line="288" w:lineRule="auto"/>
        <w:rPr>
          <w:rFonts w:ascii="宋体" w:hAnsi="宋体"/>
          <w:b/>
          <w:spacing w:val="-6"/>
          <w:sz w:val="21"/>
          <w:szCs w:val="21"/>
        </w:rPr>
      </w:pPr>
      <w:r>
        <w:rPr>
          <w:rFonts w:hint="eastAsia" w:ascii="宋体" w:hAnsi="宋体"/>
          <w:b/>
          <w:spacing w:val="-6"/>
          <w:sz w:val="21"/>
          <w:szCs w:val="21"/>
        </w:rPr>
        <w:t>（一）成交</w:t>
      </w:r>
    </w:p>
    <w:p w14:paraId="2AB9E4F3">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hint="eastAsia" w:ascii="宋体" w:hAnsi="宋体"/>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53C5824">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2.采购代理机构在成交供应商确定后2个工作日内公告成交结果，同时向成交供应商发出成交通知书。采购文件随成交结果同时公告。</w:t>
      </w:r>
    </w:p>
    <w:p w14:paraId="1EA09767">
      <w:pPr>
        <w:adjustRightInd w:val="0"/>
        <w:snapToGrid w:val="0"/>
        <w:spacing w:line="288" w:lineRule="auto"/>
        <w:rPr>
          <w:rFonts w:hint="eastAsia" w:ascii="宋体" w:hAnsi="宋体"/>
          <w:sz w:val="21"/>
          <w:szCs w:val="21"/>
        </w:rPr>
      </w:pPr>
      <w:r>
        <w:rPr>
          <w:rFonts w:hint="eastAsia" w:ascii="宋体" w:hAnsi="宋体"/>
          <w:spacing w:val="-6"/>
          <w:sz w:val="21"/>
          <w:szCs w:val="21"/>
          <w:highlight w:val="none"/>
        </w:rPr>
        <w:t>3.评审结果公示媒体：浙江政府采购网（http://zfcg.czt.zj.gov.cn）</w:t>
      </w:r>
      <w:r>
        <w:rPr>
          <w:rFonts w:hint="eastAsia" w:ascii="宋体" w:hAnsi="宋体"/>
          <w:sz w:val="21"/>
          <w:szCs w:val="21"/>
        </w:rPr>
        <w:t>浙江大学杭州国际科创中心</w:t>
      </w:r>
    </w:p>
    <w:p w14:paraId="4980981D">
      <w:pPr>
        <w:adjustRightInd w:val="0"/>
        <w:snapToGrid w:val="0"/>
        <w:spacing w:line="288" w:lineRule="auto"/>
        <w:ind w:firstLine="420" w:firstLineChars="200"/>
        <w:rPr>
          <w:rFonts w:ascii="宋体" w:hAnsi="宋体"/>
          <w:spacing w:val="-6"/>
          <w:sz w:val="21"/>
          <w:szCs w:val="21"/>
          <w:highlight w:val="none"/>
        </w:rPr>
      </w:pPr>
      <w:r>
        <w:rPr>
          <w:rFonts w:hint="eastAsia" w:ascii="宋体" w:hAnsi="宋体"/>
          <w:sz w:val="21"/>
          <w:szCs w:val="21"/>
        </w:rPr>
        <w:t>(</w:t>
      </w:r>
      <w:r>
        <w:fldChar w:fldCharType="begin"/>
      </w:r>
      <w:r>
        <w:instrText xml:space="preserve"> HYPERLINK "https://hic.zju.edu.cn/cgxx/list.htm" </w:instrText>
      </w:r>
      <w:r>
        <w:fldChar w:fldCharType="separate"/>
      </w:r>
      <w:r>
        <w:rPr>
          <w:rStyle w:val="26"/>
          <w:rFonts w:ascii="宋体" w:hAnsi="宋体"/>
          <w:color w:val="auto"/>
          <w:sz w:val="21"/>
          <w:szCs w:val="21"/>
        </w:rPr>
        <w:t>https://hic.zju.edu.cn/cgxx/list.htm</w:t>
      </w:r>
      <w:r>
        <w:rPr>
          <w:rStyle w:val="26"/>
          <w:rFonts w:ascii="宋体" w:hAnsi="宋体"/>
          <w:color w:val="auto"/>
          <w:sz w:val="21"/>
          <w:szCs w:val="21"/>
        </w:rPr>
        <w:fldChar w:fldCharType="end"/>
      </w:r>
      <w:r>
        <w:rPr>
          <w:rFonts w:hint="eastAsia" w:ascii="宋体" w:hAnsi="宋体"/>
          <w:sz w:val="21"/>
          <w:szCs w:val="21"/>
        </w:rPr>
        <w:t>)</w:t>
      </w:r>
      <w:r>
        <w:rPr>
          <w:rFonts w:hint="eastAsia" w:ascii="宋体" w:hAnsi="宋体"/>
          <w:spacing w:val="-6"/>
          <w:sz w:val="21"/>
          <w:szCs w:val="21"/>
          <w:highlight w:val="none"/>
        </w:rPr>
        <w:t>。</w:t>
      </w:r>
    </w:p>
    <w:p w14:paraId="5AB13306">
      <w:pPr>
        <w:adjustRightInd w:val="0"/>
        <w:snapToGrid w:val="0"/>
        <w:spacing w:line="288" w:lineRule="auto"/>
        <w:rPr>
          <w:rFonts w:ascii="宋体" w:hAnsi="宋体"/>
          <w:spacing w:val="-6"/>
          <w:sz w:val="21"/>
          <w:szCs w:val="21"/>
        </w:rPr>
      </w:pPr>
      <w:r>
        <w:rPr>
          <w:rFonts w:hint="eastAsia" w:ascii="宋体" w:hAnsi="宋体"/>
          <w:b/>
          <w:bCs/>
          <w:spacing w:val="-6"/>
          <w:sz w:val="21"/>
          <w:szCs w:val="21"/>
        </w:rPr>
        <w:t>（二）合同授予</w:t>
      </w:r>
    </w:p>
    <w:p w14:paraId="2C78E24E">
      <w:pPr>
        <w:adjustRightInd w:val="0"/>
        <w:snapToGrid w:val="0"/>
        <w:spacing w:line="288" w:lineRule="auto"/>
        <w:ind w:firstLine="423" w:firstLineChars="214"/>
        <w:jc w:val="left"/>
        <w:rPr>
          <w:rFonts w:ascii="宋体" w:hAnsi="宋体"/>
          <w:spacing w:val="-6"/>
          <w:sz w:val="21"/>
          <w:szCs w:val="21"/>
        </w:rPr>
      </w:pPr>
      <w:r>
        <w:rPr>
          <w:rFonts w:hint="eastAsia" w:ascii="宋体" w:hAnsi="宋体"/>
          <w:spacing w:val="-6"/>
          <w:sz w:val="21"/>
          <w:szCs w:val="21"/>
        </w:rPr>
        <w:t>1.采购人与成交供应商应当在成交通知书发出之日起30日内，按照采购文件确定的合同文本以及采购标的、规格型号、采购金额、采购数量、技术和服务要求等事项签订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408122D">
      <w:pPr>
        <w:adjustRightInd w:val="0"/>
        <w:snapToGrid w:val="0"/>
        <w:spacing w:line="288" w:lineRule="auto"/>
        <w:ind w:firstLine="423" w:firstLineChars="214"/>
        <w:jc w:val="left"/>
        <w:rPr>
          <w:rFonts w:ascii="宋体" w:hAnsi="宋体"/>
          <w:spacing w:val="-6"/>
          <w:sz w:val="21"/>
          <w:szCs w:val="21"/>
        </w:rPr>
      </w:pPr>
      <w:r>
        <w:rPr>
          <w:rFonts w:hint="eastAsia" w:ascii="宋体" w:hAnsi="宋体"/>
          <w:spacing w:val="-6"/>
          <w:sz w:val="21"/>
          <w:szCs w:val="21"/>
        </w:rPr>
        <w:t>2.成交后无正当理由拒不与采购人签订采购合同，将被取消成交资格。</w:t>
      </w:r>
    </w:p>
    <w:p w14:paraId="73D75E45">
      <w:pPr>
        <w:adjustRightInd w:val="0"/>
        <w:snapToGrid w:val="0"/>
        <w:spacing w:line="288" w:lineRule="auto"/>
        <w:ind w:firstLine="423" w:firstLineChars="214"/>
        <w:jc w:val="left"/>
        <w:rPr>
          <w:rFonts w:ascii="宋体" w:hAnsi="宋体"/>
          <w:spacing w:val="-6"/>
          <w:sz w:val="21"/>
          <w:szCs w:val="21"/>
        </w:rPr>
      </w:pPr>
    </w:p>
    <w:p w14:paraId="033498A9">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14:paraId="6E7B2F9A">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采购人组织对供应商履约的验收。大型或者复杂的采购项目，</w:t>
      </w:r>
      <w:r>
        <w:rPr>
          <w:rFonts w:hint="eastAsia" w:ascii="宋体" w:hAnsi="宋体" w:cs="Helvetica"/>
          <w:kern w:val="0"/>
          <w:sz w:val="21"/>
          <w:szCs w:val="21"/>
        </w:rPr>
        <w:t>可以</w:t>
      </w:r>
      <w:r>
        <w:rPr>
          <w:rFonts w:ascii="宋体" w:hAnsi="宋体" w:cs="Helvetica"/>
          <w:kern w:val="0"/>
          <w:sz w:val="21"/>
          <w:szCs w:val="21"/>
        </w:rPr>
        <w:t>邀请国家认可的质量检测机构参加验收工作。验收方成员应当在验收书上签名，并承担相应的法律责任。如果发现与合同中要求不符，供应商须承担由此发生的一切损失和费用，并接受相应的处理。</w:t>
      </w:r>
    </w:p>
    <w:p w14:paraId="3D04DE7E">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采购人可以邀请参加本项目的其他供应商或者第三方机构参与验收。参与验收的供应商或者第三方机构的意见作为</w:t>
      </w:r>
      <w:r>
        <w:rPr>
          <w:rFonts w:hint="eastAsia" w:ascii="宋体" w:hAnsi="宋体" w:cs="Helvetica"/>
          <w:kern w:val="0"/>
          <w:sz w:val="21"/>
          <w:szCs w:val="21"/>
        </w:rPr>
        <w:t>验收书的参考资料一并存档。</w:t>
      </w:r>
    </w:p>
    <w:p w14:paraId="1812DC0C">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16688C">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及时处理。采购合同的履行、违约责任和解决争议的方式等适用《中华人民共和国民法典》。</w:t>
      </w:r>
    </w:p>
    <w:p w14:paraId="3361FF9F">
      <w:pPr>
        <w:widowControl/>
        <w:adjustRightInd w:val="0"/>
        <w:snapToGrid w:val="0"/>
        <w:spacing w:line="288" w:lineRule="auto"/>
        <w:jc w:val="left"/>
        <w:rPr>
          <w:rFonts w:ascii="宋体" w:hAnsi="宋体"/>
          <w:b/>
          <w:spacing w:val="-6"/>
          <w:sz w:val="32"/>
          <w:szCs w:val="32"/>
        </w:rPr>
      </w:pPr>
      <w:r>
        <w:rPr>
          <w:rFonts w:ascii="宋体" w:hAnsi="宋体"/>
          <w:b/>
          <w:spacing w:val="-6"/>
          <w:sz w:val="32"/>
          <w:szCs w:val="32"/>
        </w:rPr>
        <w:br w:type="page"/>
      </w:r>
    </w:p>
    <w:p w14:paraId="164B0F06">
      <w:pPr>
        <w:adjustRightInd w:val="0"/>
        <w:snapToGrid w:val="0"/>
        <w:spacing w:line="288" w:lineRule="auto"/>
        <w:jc w:val="center"/>
        <w:outlineLvl w:val="0"/>
        <w:rPr>
          <w:rFonts w:ascii="宋体" w:hAnsi="宋体"/>
          <w:b/>
          <w:spacing w:val="-6"/>
          <w:sz w:val="32"/>
          <w:szCs w:val="32"/>
        </w:rPr>
      </w:pPr>
      <w:r>
        <w:rPr>
          <w:rFonts w:hint="eastAsia" w:ascii="宋体" w:hAnsi="宋体"/>
          <w:b/>
          <w:spacing w:val="-6"/>
          <w:sz w:val="32"/>
          <w:szCs w:val="32"/>
        </w:rPr>
        <w:t>第四章  评审方法和评审标准</w:t>
      </w:r>
    </w:p>
    <w:p w14:paraId="61B661E1">
      <w:pPr>
        <w:adjustRightInd w:val="0"/>
        <w:snapToGrid w:val="0"/>
        <w:spacing w:line="288" w:lineRule="auto"/>
        <w:rPr>
          <w:rFonts w:ascii="宋体" w:hAnsi="宋体"/>
          <w:b/>
          <w:spacing w:val="-6"/>
          <w:sz w:val="21"/>
          <w:szCs w:val="21"/>
        </w:rPr>
      </w:pPr>
      <w:r>
        <w:rPr>
          <w:rFonts w:hint="eastAsia" w:ascii="宋体" w:hAnsi="宋体"/>
          <w:b/>
          <w:spacing w:val="-6"/>
          <w:sz w:val="21"/>
          <w:szCs w:val="21"/>
        </w:rPr>
        <w:t>一、总则</w:t>
      </w:r>
    </w:p>
    <w:p w14:paraId="2574FDCD">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本次评审采用综合评分法，总分为100分。评分过程中采用四舍五入法，并保留小数2位。</w:t>
      </w:r>
    </w:p>
    <w:p w14:paraId="5E2E0844">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供应商评审综合得分=商务分+技术分+价格分</w:t>
      </w:r>
    </w:p>
    <w:p w14:paraId="5E5A037B">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5D9E7D43">
      <w:pPr>
        <w:adjustRightInd w:val="0"/>
        <w:snapToGrid w:val="0"/>
        <w:spacing w:line="288" w:lineRule="auto"/>
        <w:rPr>
          <w:rFonts w:ascii="宋体" w:hAnsi="宋体"/>
          <w:b/>
          <w:spacing w:val="-6"/>
          <w:sz w:val="21"/>
          <w:szCs w:val="21"/>
        </w:rPr>
      </w:pPr>
      <w:r>
        <w:rPr>
          <w:rFonts w:hint="eastAsia" w:ascii="宋体" w:hAnsi="宋体"/>
          <w:b/>
          <w:spacing w:val="-6"/>
          <w:sz w:val="21"/>
          <w:szCs w:val="21"/>
        </w:rPr>
        <w:t>二、评审内容及标准</w:t>
      </w:r>
    </w:p>
    <w:tbl>
      <w:tblPr>
        <w:tblStyle w:val="2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7088"/>
      </w:tblGrid>
      <w:tr w14:paraId="074B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5ABEB385">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14:paraId="024C25E9">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7088" w:type="dxa"/>
            <w:vAlign w:val="center"/>
          </w:tcPr>
          <w:p w14:paraId="3054C426">
            <w:pPr>
              <w:pStyle w:val="62"/>
              <w:adjustRightInd w:val="0"/>
              <w:snapToGrid w:val="0"/>
              <w:spacing w:line="288" w:lineRule="auto"/>
              <w:ind w:firstLine="398"/>
              <w:rPr>
                <w:rFonts w:hint="default" w:ascii="宋体" w:hAnsi="宋体" w:eastAsia="宋体"/>
                <w:b/>
                <w:spacing w:val="-6"/>
                <w:sz w:val="21"/>
                <w:szCs w:val="21"/>
              </w:rPr>
            </w:pPr>
            <w:r>
              <w:rPr>
                <w:rFonts w:ascii="宋体" w:hAnsi="宋体" w:eastAsia="宋体"/>
                <w:b/>
                <w:spacing w:val="-6"/>
                <w:sz w:val="21"/>
                <w:szCs w:val="21"/>
              </w:rPr>
              <w:t>评分细则</w:t>
            </w:r>
          </w:p>
        </w:tc>
      </w:tr>
      <w:tr w14:paraId="6419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613F214F">
            <w:pPr>
              <w:pStyle w:val="62"/>
              <w:adjustRightInd w:val="0"/>
              <w:snapToGrid w:val="0"/>
              <w:spacing w:line="288" w:lineRule="auto"/>
              <w:ind w:hanging="4"/>
              <w:jc w:val="left"/>
              <w:rPr>
                <w:rFonts w:hint="default" w:ascii="宋体" w:hAnsi="宋体" w:eastAsia="宋体"/>
                <w:spacing w:val="-6"/>
                <w:sz w:val="21"/>
                <w:szCs w:val="21"/>
              </w:rPr>
            </w:pPr>
            <w:r>
              <w:rPr>
                <w:rFonts w:ascii="宋体" w:hAnsi="宋体" w:eastAsia="宋体"/>
                <w:b/>
                <w:bCs/>
                <w:spacing w:val="-6"/>
                <w:kern w:val="2"/>
                <w:sz w:val="21"/>
                <w:szCs w:val="21"/>
              </w:rPr>
              <w:t>价格分（30）</w:t>
            </w:r>
          </w:p>
        </w:tc>
      </w:tr>
      <w:tr w14:paraId="1A69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2D9444FD">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最后磋商报价</w:t>
            </w:r>
          </w:p>
        </w:tc>
        <w:tc>
          <w:tcPr>
            <w:tcW w:w="709" w:type="dxa"/>
            <w:tcBorders>
              <w:top w:val="single" w:color="auto" w:sz="4" w:space="0"/>
              <w:left w:val="single" w:color="auto" w:sz="4" w:space="0"/>
              <w:bottom w:val="single" w:color="auto" w:sz="4" w:space="0"/>
              <w:right w:val="single" w:color="auto" w:sz="4" w:space="0"/>
            </w:tcBorders>
            <w:vAlign w:val="center"/>
          </w:tcPr>
          <w:p w14:paraId="5C817C73">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30</w:t>
            </w:r>
          </w:p>
        </w:tc>
        <w:tc>
          <w:tcPr>
            <w:tcW w:w="7088" w:type="dxa"/>
            <w:tcBorders>
              <w:top w:val="single" w:color="auto" w:sz="4" w:space="0"/>
              <w:left w:val="single" w:color="auto" w:sz="4" w:space="0"/>
              <w:bottom w:val="single" w:color="auto" w:sz="4" w:space="0"/>
              <w:right w:val="single" w:color="auto" w:sz="4" w:space="0"/>
            </w:tcBorders>
            <w:vAlign w:val="center"/>
          </w:tcPr>
          <w:p w14:paraId="5D3BC6D4">
            <w:pPr>
              <w:adjustRightInd w:val="0"/>
              <w:snapToGrid w:val="0"/>
              <w:spacing w:line="288" w:lineRule="auto"/>
              <w:rPr>
                <w:rFonts w:ascii="宋体" w:hAnsi="宋体"/>
                <w:spacing w:val="-6"/>
                <w:sz w:val="21"/>
                <w:szCs w:val="21"/>
              </w:rPr>
            </w:pPr>
            <w:r>
              <w:rPr>
                <w:rFonts w:hint="eastAsia" w:ascii="宋体" w:hAnsi="宋体"/>
                <w:spacing w:val="-6"/>
                <w:sz w:val="21"/>
                <w:szCs w:val="21"/>
              </w:rPr>
              <w:t>价格分采用低价优先法计算，即满足磋商文件要求且最后磋商报价最低的供应商的价格为磋商基准价，其价格分为满分。其他供应商的价格分统一按照下列公式计算：磋商报价得分=（磋商基准价/最后磋商报价）×30%×100</w:t>
            </w:r>
          </w:p>
        </w:tc>
      </w:tr>
      <w:tr w14:paraId="3976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651DD4C2">
            <w:pPr>
              <w:pStyle w:val="10"/>
              <w:adjustRightInd w:val="0"/>
              <w:snapToGrid w:val="0"/>
              <w:spacing w:line="288" w:lineRule="auto"/>
              <w:ind w:firstLine="0"/>
              <w:jc w:val="left"/>
              <w:rPr>
                <w:rFonts w:hAnsi="宋体"/>
                <w:spacing w:val="-6"/>
                <w:sz w:val="21"/>
                <w:szCs w:val="21"/>
              </w:rPr>
            </w:pPr>
            <w:r>
              <w:rPr>
                <w:rFonts w:hint="eastAsia" w:hAnsi="宋体"/>
                <w:b/>
                <w:spacing w:val="-6"/>
                <w:sz w:val="21"/>
                <w:szCs w:val="21"/>
              </w:rPr>
              <w:t>技术</w:t>
            </w:r>
            <w:r>
              <w:rPr>
                <w:rFonts w:hAnsi="宋体"/>
                <w:b/>
                <w:spacing w:val="-6"/>
                <w:sz w:val="21"/>
                <w:szCs w:val="21"/>
              </w:rPr>
              <w:t>分</w:t>
            </w:r>
            <w:r>
              <w:rPr>
                <w:rFonts w:hAnsi="宋体"/>
                <w:b/>
                <w:bCs/>
                <w:spacing w:val="-6"/>
                <w:sz w:val="21"/>
                <w:szCs w:val="21"/>
              </w:rPr>
              <w:t>（</w:t>
            </w:r>
            <w:r>
              <w:rPr>
                <w:rFonts w:hint="eastAsia" w:hAnsi="宋体"/>
                <w:b/>
                <w:bCs/>
                <w:spacing w:val="-6"/>
                <w:sz w:val="21"/>
                <w:szCs w:val="21"/>
                <w:lang w:val="en-US" w:eastAsia="zh-CN"/>
              </w:rPr>
              <w:t>70</w:t>
            </w:r>
            <w:r>
              <w:rPr>
                <w:rFonts w:hAnsi="宋体"/>
                <w:b/>
                <w:bCs/>
                <w:spacing w:val="-6"/>
                <w:sz w:val="21"/>
                <w:szCs w:val="21"/>
              </w:rPr>
              <w:t>）</w:t>
            </w:r>
          </w:p>
        </w:tc>
      </w:tr>
      <w:tr w14:paraId="7415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7C765D21">
            <w:pPr>
              <w:adjustRightInd w:val="0"/>
              <w:snapToGrid w:val="0"/>
              <w:spacing w:line="288" w:lineRule="auto"/>
              <w:jc w:val="center"/>
              <w:rPr>
                <w:rFonts w:ascii="宋体" w:hAnsi="宋体"/>
                <w:b/>
                <w:bCs/>
                <w:spacing w:val="-6"/>
                <w:sz w:val="21"/>
                <w:szCs w:val="21"/>
              </w:rPr>
            </w:pPr>
            <w:r>
              <w:rPr>
                <w:rFonts w:hint="eastAsia" w:ascii="宋体" w:hAnsi="宋体"/>
                <w:b/>
                <w:bCs/>
                <w:sz w:val="21"/>
                <w:szCs w:val="21"/>
              </w:rPr>
              <w:t>产品响应程度</w:t>
            </w:r>
          </w:p>
        </w:tc>
        <w:tc>
          <w:tcPr>
            <w:tcW w:w="709" w:type="dxa"/>
            <w:vAlign w:val="center"/>
          </w:tcPr>
          <w:p w14:paraId="532B47A6">
            <w:pPr>
              <w:adjustRightInd w:val="0"/>
              <w:snapToGrid w:val="0"/>
              <w:spacing w:line="288" w:lineRule="auto"/>
              <w:jc w:val="center"/>
              <w:rPr>
                <w:rFonts w:ascii="宋体" w:hAnsi="宋体"/>
                <w:b/>
                <w:bCs/>
                <w:spacing w:val="-6"/>
                <w:sz w:val="21"/>
                <w:szCs w:val="21"/>
              </w:rPr>
            </w:pPr>
            <w:r>
              <w:rPr>
                <w:rFonts w:hint="eastAsia" w:ascii="宋体" w:hAnsi="宋体"/>
                <w:b/>
                <w:bCs/>
                <w:sz w:val="21"/>
                <w:szCs w:val="21"/>
              </w:rPr>
              <w:t>32</w:t>
            </w:r>
          </w:p>
        </w:tc>
        <w:tc>
          <w:tcPr>
            <w:tcW w:w="7088" w:type="dxa"/>
            <w:vAlign w:val="center"/>
          </w:tcPr>
          <w:p w14:paraId="70D8253E">
            <w:pPr>
              <w:adjustRightInd w:val="0"/>
              <w:snapToGrid w:val="0"/>
              <w:spacing w:line="288" w:lineRule="auto"/>
              <w:rPr>
                <w:rFonts w:ascii="宋体" w:hAnsi="宋体"/>
                <w:sz w:val="21"/>
                <w:szCs w:val="21"/>
              </w:rPr>
            </w:pPr>
            <w:r>
              <w:rPr>
                <w:rFonts w:hint="eastAsia" w:ascii="宋体" w:hAnsi="宋体"/>
                <w:sz w:val="21"/>
                <w:szCs w:val="21"/>
              </w:rPr>
              <w:t>【客观分】</w:t>
            </w:r>
          </w:p>
          <w:p w14:paraId="226122A6">
            <w:pPr>
              <w:adjustRightInd w:val="0"/>
              <w:snapToGrid w:val="0"/>
              <w:spacing w:line="288" w:lineRule="auto"/>
              <w:rPr>
                <w:rFonts w:ascii="宋体" w:hAnsi="宋体"/>
                <w:sz w:val="21"/>
                <w:szCs w:val="21"/>
              </w:rPr>
            </w:pPr>
            <w:r>
              <w:rPr>
                <w:rFonts w:hint="eastAsia" w:ascii="宋体" w:hAnsi="宋体"/>
                <w:sz w:val="21"/>
                <w:szCs w:val="21"/>
              </w:rPr>
              <w:t>不符合（负偏离）技术要求中标注“▲”条款（不可偏离）的响应文件无效，满足或明显优于磋商文件明确的全部技术条款要求的该项得满分；</w:t>
            </w:r>
          </w:p>
          <w:p w14:paraId="5C3598B0">
            <w:pPr>
              <w:adjustRightInd w:val="0"/>
              <w:snapToGrid w:val="0"/>
              <w:spacing w:line="288" w:lineRule="auto"/>
              <w:rPr>
                <w:rFonts w:ascii="宋体" w:hAnsi="宋体"/>
                <w:sz w:val="21"/>
                <w:szCs w:val="21"/>
              </w:rPr>
            </w:pPr>
            <w:r>
              <w:rPr>
                <w:rFonts w:hint="eastAsia" w:ascii="宋体" w:hAnsi="宋体"/>
                <w:sz w:val="21"/>
                <w:szCs w:val="21"/>
              </w:rPr>
              <w:t>技术条款低于技术要求（负偏离）的每项扣</w:t>
            </w:r>
            <w:r>
              <w:rPr>
                <w:rFonts w:hint="eastAsia" w:ascii="宋体" w:hAnsi="宋体"/>
                <w:sz w:val="21"/>
                <w:szCs w:val="21"/>
                <w:lang w:val="en-US" w:eastAsia="zh-CN"/>
              </w:rPr>
              <w:t>2</w:t>
            </w:r>
            <w:r>
              <w:rPr>
                <w:rFonts w:hint="eastAsia" w:ascii="宋体" w:hAnsi="宋体"/>
                <w:sz w:val="21"/>
                <w:szCs w:val="21"/>
              </w:rPr>
              <w:t>分；</w:t>
            </w:r>
          </w:p>
          <w:p w14:paraId="51A460A7">
            <w:pPr>
              <w:adjustRightInd w:val="0"/>
              <w:snapToGrid w:val="0"/>
              <w:spacing w:line="288" w:lineRule="auto"/>
              <w:rPr>
                <w:rFonts w:ascii="宋体" w:hAnsi="宋体"/>
                <w:sz w:val="21"/>
                <w:szCs w:val="21"/>
              </w:rPr>
            </w:pPr>
            <w:r>
              <w:rPr>
                <w:rFonts w:hint="eastAsia" w:ascii="宋体" w:hAnsi="宋体"/>
                <w:sz w:val="21"/>
                <w:szCs w:val="21"/>
              </w:rPr>
              <w:t>负偏离</w:t>
            </w:r>
            <w:r>
              <w:rPr>
                <w:rFonts w:hint="eastAsia" w:ascii="宋体" w:hAnsi="宋体"/>
                <w:sz w:val="21"/>
                <w:szCs w:val="21"/>
                <w:lang w:val="en-US" w:eastAsia="zh-CN"/>
              </w:rPr>
              <w:t>16</w:t>
            </w:r>
            <w:r>
              <w:rPr>
                <w:rFonts w:hint="eastAsia" w:ascii="宋体" w:hAnsi="宋体"/>
                <w:sz w:val="21"/>
                <w:szCs w:val="21"/>
              </w:rPr>
              <w:t>项及以上的，视为采购人不能接受的附加条件。</w:t>
            </w:r>
          </w:p>
        </w:tc>
      </w:tr>
      <w:tr w14:paraId="7516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6044210D">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产品功能及配置</w:t>
            </w:r>
          </w:p>
        </w:tc>
        <w:tc>
          <w:tcPr>
            <w:tcW w:w="709" w:type="dxa"/>
            <w:tcBorders>
              <w:top w:val="single" w:color="auto" w:sz="4" w:space="0"/>
              <w:left w:val="single" w:color="auto" w:sz="4" w:space="0"/>
              <w:bottom w:val="single" w:color="auto" w:sz="4" w:space="0"/>
              <w:right w:val="single" w:color="auto" w:sz="4" w:space="0"/>
            </w:tcBorders>
            <w:vAlign w:val="center"/>
          </w:tcPr>
          <w:p w14:paraId="2FA849B7">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16</w:t>
            </w:r>
          </w:p>
        </w:tc>
        <w:tc>
          <w:tcPr>
            <w:tcW w:w="7088" w:type="dxa"/>
            <w:tcBorders>
              <w:top w:val="single" w:color="auto" w:sz="4" w:space="0"/>
              <w:left w:val="single" w:color="auto" w:sz="4" w:space="0"/>
              <w:bottom w:val="single" w:color="auto" w:sz="4" w:space="0"/>
              <w:right w:val="single" w:color="auto" w:sz="4" w:space="0"/>
            </w:tcBorders>
            <w:vAlign w:val="center"/>
          </w:tcPr>
          <w:p w14:paraId="5E889D8C">
            <w:pPr>
              <w:adjustRightInd w:val="0"/>
              <w:snapToGrid w:val="0"/>
              <w:spacing w:line="288" w:lineRule="auto"/>
              <w:rPr>
                <w:rFonts w:ascii="宋体" w:hAnsi="宋体" w:cs="宋体"/>
                <w:sz w:val="21"/>
                <w:szCs w:val="21"/>
              </w:rPr>
            </w:pPr>
            <w:r>
              <w:rPr>
                <w:rFonts w:hint="eastAsia" w:ascii="宋体" w:hAnsi="宋体" w:cs="宋体"/>
                <w:sz w:val="21"/>
                <w:szCs w:val="21"/>
              </w:rPr>
              <w:t>【主观分】响应产品（结构、硬件功能、工作原理、配置共4项）的合理性、适用性、先进性、成熟性：每项最高得4分【根据提供的制造商公开发布的印刷资料（官网材料、彩页、Datasheet）或由有关政府部门或检测机构合法出具的文件或报告、配置清单等评审】。</w:t>
            </w:r>
          </w:p>
        </w:tc>
      </w:tr>
      <w:tr w14:paraId="3617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443B7491">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项目实施方案</w:t>
            </w:r>
          </w:p>
        </w:tc>
        <w:tc>
          <w:tcPr>
            <w:tcW w:w="709" w:type="dxa"/>
            <w:tcBorders>
              <w:top w:val="single" w:color="auto" w:sz="4" w:space="0"/>
              <w:left w:val="single" w:color="auto" w:sz="4" w:space="0"/>
              <w:bottom w:val="single" w:color="auto" w:sz="4" w:space="0"/>
              <w:right w:val="single" w:color="auto" w:sz="4" w:space="0"/>
            </w:tcBorders>
            <w:vAlign w:val="center"/>
          </w:tcPr>
          <w:p w14:paraId="09B2F11E">
            <w:pPr>
              <w:adjustRightInd w:val="0"/>
              <w:snapToGrid w:val="0"/>
              <w:spacing w:line="288" w:lineRule="auto"/>
              <w:jc w:val="center"/>
              <w:rPr>
                <w:rFonts w:hint="eastAsia" w:ascii="宋体" w:hAnsi="宋体" w:eastAsia="宋体" w:cs="宋体"/>
                <w:b/>
                <w:bCs/>
                <w:sz w:val="21"/>
                <w:szCs w:val="21"/>
                <w:lang w:eastAsia="zh-CN"/>
              </w:rPr>
            </w:pPr>
            <w:r>
              <w:rPr>
                <w:rFonts w:hint="eastAsia" w:ascii="宋体" w:hAnsi="宋体" w:cs="宋体"/>
                <w:b/>
                <w:bCs/>
                <w:sz w:val="21"/>
                <w:szCs w:val="21"/>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14:paraId="14AF54A1">
            <w:pPr>
              <w:adjustRightInd w:val="0"/>
              <w:snapToGrid w:val="0"/>
              <w:spacing w:line="288" w:lineRule="auto"/>
              <w:rPr>
                <w:rFonts w:ascii="宋体" w:hAnsi="宋体" w:cs="宋体"/>
                <w:sz w:val="21"/>
                <w:szCs w:val="21"/>
              </w:rPr>
            </w:pPr>
            <w:r>
              <w:rPr>
                <w:rFonts w:hint="eastAsia" w:ascii="宋体" w:hAnsi="宋体" w:cs="宋体"/>
                <w:sz w:val="21"/>
                <w:szCs w:val="21"/>
              </w:rPr>
              <w:t>【主观分】项目实施计划，符合项目进度要求，投入人员数量和综合素质。</w:t>
            </w:r>
          </w:p>
        </w:tc>
      </w:tr>
      <w:tr w14:paraId="39E3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7C6352AB">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安装调试</w:t>
            </w:r>
          </w:p>
        </w:tc>
        <w:tc>
          <w:tcPr>
            <w:tcW w:w="709" w:type="dxa"/>
            <w:tcBorders>
              <w:top w:val="single" w:color="auto" w:sz="4" w:space="0"/>
              <w:left w:val="single" w:color="auto" w:sz="4" w:space="0"/>
              <w:bottom w:val="single" w:color="auto" w:sz="4" w:space="0"/>
              <w:right w:val="single" w:color="auto" w:sz="4" w:space="0"/>
            </w:tcBorders>
            <w:vAlign w:val="center"/>
          </w:tcPr>
          <w:p w14:paraId="63C8B217">
            <w:pPr>
              <w:adjustRightInd w:val="0"/>
              <w:snapToGrid w:val="0"/>
              <w:spacing w:line="288" w:lineRule="auto"/>
              <w:jc w:val="center"/>
              <w:rPr>
                <w:rFonts w:hint="eastAsia" w:ascii="宋体" w:hAnsi="宋体" w:eastAsia="宋体" w:cs="宋体"/>
                <w:b/>
                <w:bCs/>
                <w:sz w:val="21"/>
                <w:szCs w:val="21"/>
                <w:lang w:eastAsia="zh-CN"/>
              </w:rPr>
            </w:pPr>
            <w:r>
              <w:rPr>
                <w:rFonts w:hint="eastAsia" w:ascii="宋体" w:hAnsi="宋体" w:cs="宋体"/>
                <w:b/>
                <w:bCs/>
                <w:sz w:val="21"/>
                <w:szCs w:val="21"/>
                <w:lang w:val="en-US" w:eastAsia="zh-CN"/>
              </w:rPr>
              <w:t>5</w:t>
            </w:r>
          </w:p>
        </w:tc>
        <w:tc>
          <w:tcPr>
            <w:tcW w:w="7088" w:type="dxa"/>
            <w:tcBorders>
              <w:top w:val="single" w:color="auto" w:sz="4" w:space="0"/>
              <w:left w:val="single" w:color="auto" w:sz="4" w:space="0"/>
              <w:bottom w:val="single" w:color="auto" w:sz="4" w:space="0"/>
              <w:right w:val="single" w:color="auto" w:sz="4" w:space="0"/>
            </w:tcBorders>
          </w:tcPr>
          <w:p w14:paraId="5E96E6C9">
            <w:pPr>
              <w:adjustRightInd w:val="0"/>
              <w:snapToGrid w:val="0"/>
              <w:spacing w:line="288" w:lineRule="auto"/>
              <w:rPr>
                <w:rFonts w:ascii="宋体" w:hAnsi="宋体" w:cs="宋体"/>
                <w:sz w:val="21"/>
                <w:szCs w:val="21"/>
              </w:rPr>
            </w:pPr>
            <w:r>
              <w:rPr>
                <w:rFonts w:hint="eastAsia" w:ascii="宋体" w:hAnsi="宋体" w:cs="宋体"/>
                <w:sz w:val="21"/>
                <w:szCs w:val="21"/>
              </w:rPr>
              <w:t>【主观分】安装调试方案。</w:t>
            </w:r>
          </w:p>
        </w:tc>
      </w:tr>
      <w:tr w14:paraId="0A16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0CF8F2B9">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培训</w:t>
            </w:r>
          </w:p>
        </w:tc>
        <w:tc>
          <w:tcPr>
            <w:tcW w:w="709" w:type="dxa"/>
            <w:tcBorders>
              <w:top w:val="single" w:color="auto" w:sz="4" w:space="0"/>
              <w:left w:val="single" w:color="auto" w:sz="4" w:space="0"/>
              <w:bottom w:val="single" w:color="auto" w:sz="4" w:space="0"/>
              <w:right w:val="single" w:color="auto" w:sz="4" w:space="0"/>
            </w:tcBorders>
            <w:vAlign w:val="center"/>
          </w:tcPr>
          <w:p w14:paraId="20CB9B78">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14:paraId="6EC4856A">
            <w:pPr>
              <w:adjustRightInd w:val="0"/>
              <w:snapToGrid w:val="0"/>
              <w:spacing w:line="288" w:lineRule="auto"/>
              <w:rPr>
                <w:rFonts w:ascii="宋体" w:hAnsi="宋体" w:cs="宋体"/>
                <w:sz w:val="21"/>
                <w:szCs w:val="21"/>
              </w:rPr>
            </w:pPr>
            <w:r>
              <w:rPr>
                <w:rFonts w:hint="eastAsia" w:ascii="宋体" w:hAnsi="宋体" w:cs="宋体"/>
                <w:sz w:val="21"/>
                <w:szCs w:val="21"/>
              </w:rPr>
              <w:t>【主观分】培训计划内容、培训范围，实施方案。</w:t>
            </w:r>
          </w:p>
        </w:tc>
      </w:tr>
      <w:tr w14:paraId="2A11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15560691">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14:paraId="1A3B16BE">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14:paraId="1A0F2702">
            <w:pPr>
              <w:adjustRightInd w:val="0"/>
              <w:snapToGrid w:val="0"/>
              <w:spacing w:line="288" w:lineRule="auto"/>
              <w:rPr>
                <w:rFonts w:ascii="宋体" w:hAnsi="宋体" w:cs="宋体"/>
                <w:sz w:val="21"/>
                <w:szCs w:val="21"/>
              </w:rPr>
            </w:pPr>
            <w:r>
              <w:rPr>
                <w:rFonts w:hint="eastAsia" w:ascii="宋体" w:hAnsi="宋体" w:cs="宋体"/>
                <w:sz w:val="21"/>
                <w:szCs w:val="21"/>
              </w:rPr>
              <w:t>【主观分】售后服务方案、售后服务承诺、售后服务保障措施。</w:t>
            </w:r>
          </w:p>
        </w:tc>
      </w:tr>
      <w:tr w14:paraId="383E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320F524D">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配件耗材</w:t>
            </w:r>
          </w:p>
        </w:tc>
        <w:tc>
          <w:tcPr>
            <w:tcW w:w="709" w:type="dxa"/>
            <w:tcBorders>
              <w:top w:val="single" w:color="auto" w:sz="4" w:space="0"/>
              <w:left w:val="single" w:color="auto" w:sz="4" w:space="0"/>
              <w:bottom w:val="single" w:color="auto" w:sz="4" w:space="0"/>
              <w:right w:val="single" w:color="auto" w:sz="4" w:space="0"/>
            </w:tcBorders>
            <w:vAlign w:val="center"/>
          </w:tcPr>
          <w:p w14:paraId="17E3D6B8">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4</w:t>
            </w:r>
          </w:p>
        </w:tc>
        <w:tc>
          <w:tcPr>
            <w:tcW w:w="7088" w:type="dxa"/>
            <w:tcBorders>
              <w:top w:val="single" w:color="auto" w:sz="4" w:space="0"/>
              <w:left w:val="single" w:color="auto" w:sz="4" w:space="0"/>
              <w:bottom w:val="single" w:color="auto" w:sz="4" w:space="0"/>
              <w:right w:val="single" w:color="auto" w:sz="4" w:space="0"/>
            </w:tcBorders>
            <w:vAlign w:val="center"/>
          </w:tcPr>
          <w:p w14:paraId="051449AC">
            <w:pPr>
              <w:adjustRightInd w:val="0"/>
              <w:snapToGrid w:val="0"/>
              <w:spacing w:line="288" w:lineRule="auto"/>
              <w:rPr>
                <w:rFonts w:ascii="宋体" w:hAnsi="宋体" w:cs="宋体"/>
                <w:sz w:val="21"/>
                <w:szCs w:val="21"/>
              </w:rPr>
            </w:pPr>
            <w:r>
              <w:rPr>
                <w:rFonts w:hint="eastAsia" w:ascii="宋体" w:hAnsi="宋体" w:cs="宋体"/>
                <w:sz w:val="21"/>
                <w:szCs w:val="21"/>
              </w:rPr>
              <w:t>【主观分】产品相关配件、附件、备品备件及耗材的准备和保障措施、消耗水平和成本。</w:t>
            </w:r>
          </w:p>
        </w:tc>
      </w:tr>
    </w:tbl>
    <w:p w14:paraId="0B9BB689">
      <w:pPr>
        <w:rPr>
          <w:rFonts w:hint="eastAsia" w:ascii="宋体" w:hAnsi="宋体"/>
          <w:b/>
          <w:bCs/>
          <w:spacing w:val="-6"/>
          <w:sz w:val="32"/>
          <w:szCs w:val="32"/>
        </w:rPr>
      </w:pPr>
      <w:r>
        <w:rPr>
          <w:rFonts w:hint="eastAsia" w:ascii="宋体" w:hAnsi="宋体"/>
          <w:b/>
          <w:bCs/>
          <w:spacing w:val="-6"/>
          <w:sz w:val="32"/>
          <w:szCs w:val="32"/>
        </w:rPr>
        <w:br w:type="page"/>
      </w:r>
    </w:p>
    <w:p w14:paraId="21DFD452">
      <w:pPr>
        <w:adjustRightInd w:val="0"/>
        <w:snapToGrid w:val="0"/>
        <w:spacing w:line="288" w:lineRule="auto"/>
        <w:jc w:val="center"/>
        <w:outlineLvl w:val="0"/>
        <w:rPr>
          <w:rFonts w:ascii="宋体" w:hAnsi="宋体"/>
          <w:b/>
          <w:bCs/>
          <w:spacing w:val="-6"/>
          <w:sz w:val="32"/>
          <w:szCs w:val="32"/>
        </w:rPr>
      </w:pPr>
      <w:r>
        <w:rPr>
          <w:rFonts w:hint="eastAsia" w:ascii="宋体" w:hAnsi="宋体"/>
          <w:b/>
          <w:bCs/>
          <w:spacing w:val="-6"/>
          <w:sz w:val="32"/>
          <w:szCs w:val="32"/>
        </w:rPr>
        <w:t>第五章  拟签订的合同文本</w:t>
      </w:r>
    </w:p>
    <w:p w14:paraId="31A44A9B">
      <w:pPr>
        <w:adjustRightInd w:val="0"/>
        <w:snapToGrid w:val="0"/>
        <w:spacing w:line="288" w:lineRule="auto"/>
        <w:jc w:val="center"/>
        <w:rPr>
          <w:rFonts w:ascii="宋体" w:hAnsi="宋体"/>
          <w:b/>
          <w:bCs/>
          <w:spacing w:val="-6"/>
          <w:sz w:val="21"/>
          <w:szCs w:val="21"/>
        </w:rPr>
      </w:pPr>
    </w:p>
    <w:p w14:paraId="0ACB24FF">
      <w:pPr>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货物采购合同</w:t>
      </w:r>
    </w:p>
    <w:p w14:paraId="2E570DB3">
      <w:pPr>
        <w:spacing w:line="400" w:lineRule="exact"/>
        <w:jc w:val="center"/>
        <w:rPr>
          <w:rFonts w:ascii="方正小标宋简体" w:hAnsi="黑体" w:eastAsia="方正小标宋简体" w:cs="黑体"/>
          <w:bCs/>
          <w:sz w:val="44"/>
          <w:szCs w:val="44"/>
        </w:rPr>
      </w:pPr>
    </w:p>
    <w:tbl>
      <w:tblPr>
        <w:tblStyle w:val="21"/>
        <w:tblW w:w="5000" w:type="pct"/>
        <w:tblInd w:w="0" w:type="dxa"/>
        <w:tblLayout w:type="autofit"/>
        <w:tblCellMar>
          <w:top w:w="0" w:type="dxa"/>
          <w:left w:w="108" w:type="dxa"/>
          <w:bottom w:w="0" w:type="dxa"/>
          <w:right w:w="108" w:type="dxa"/>
        </w:tblCellMar>
      </w:tblPr>
      <w:tblGrid>
        <w:gridCol w:w="4814"/>
        <w:gridCol w:w="4814"/>
      </w:tblGrid>
      <w:tr w14:paraId="304F0458">
        <w:tblPrEx>
          <w:tblCellMar>
            <w:top w:w="0" w:type="dxa"/>
            <w:left w:w="108" w:type="dxa"/>
            <w:bottom w:w="0" w:type="dxa"/>
            <w:right w:w="108" w:type="dxa"/>
          </w:tblCellMar>
        </w:tblPrEx>
        <w:tc>
          <w:tcPr>
            <w:tcW w:w="2500" w:type="pct"/>
            <w:shd w:val="clear" w:color="auto" w:fill="auto"/>
          </w:tcPr>
          <w:p w14:paraId="5CB5554E">
            <w:pPr>
              <w:spacing w:line="360" w:lineRule="auto"/>
              <w:rPr>
                <w:rFonts w:ascii="仿宋_GB2312" w:eastAsia="仿宋_GB2312"/>
                <w:szCs w:val="28"/>
              </w:rPr>
            </w:pPr>
            <w:bookmarkStart w:id="38" w:name="_Hlk35950778"/>
            <w:r>
              <w:rPr>
                <w:rFonts w:hint="eastAsia" w:ascii="仿宋_GB2312" w:eastAsia="仿宋_GB2312"/>
                <w:szCs w:val="28"/>
              </w:rPr>
              <w:t>甲方（需方）：浙江大学杭州国际科创中心</w:t>
            </w:r>
          </w:p>
        </w:tc>
        <w:tc>
          <w:tcPr>
            <w:tcW w:w="2500" w:type="pct"/>
            <w:shd w:val="clear" w:color="auto" w:fill="auto"/>
          </w:tcPr>
          <w:p w14:paraId="339683E7">
            <w:pPr>
              <w:spacing w:line="360" w:lineRule="auto"/>
              <w:ind w:right="210"/>
              <w:jc w:val="left"/>
              <w:rPr>
                <w:rFonts w:ascii="仿宋_GB2312" w:eastAsia="仿宋_GB2312"/>
                <w:szCs w:val="28"/>
              </w:rPr>
            </w:pPr>
            <w:r>
              <w:rPr>
                <w:rFonts w:hint="eastAsia" w:ascii="仿宋_GB2312" w:eastAsia="仿宋_GB2312"/>
                <w:szCs w:val="28"/>
              </w:rPr>
              <w:t>甲方合同编号：</w:t>
            </w:r>
            <w:bookmarkStart w:id="39" w:name="合同编号"/>
            <w:r>
              <w:rPr>
                <w:rFonts w:hint="eastAsia" w:ascii="仿宋_GB2312" w:eastAsia="仿宋_GB2312"/>
                <w:szCs w:val="28"/>
              </w:rPr>
              <w:t>财务审核后统一编码</w:t>
            </w:r>
            <w:bookmarkEnd w:id="39"/>
          </w:p>
        </w:tc>
      </w:tr>
      <w:tr w14:paraId="02B68935">
        <w:tblPrEx>
          <w:tblCellMar>
            <w:top w:w="0" w:type="dxa"/>
            <w:left w:w="108" w:type="dxa"/>
            <w:bottom w:w="0" w:type="dxa"/>
            <w:right w:w="108" w:type="dxa"/>
          </w:tblCellMar>
        </w:tblPrEx>
        <w:tc>
          <w:tcPr>
            <w:tcW w:w="2500" w:type="pct"/>
            <w:shd w:val="clear" w:color="auto" w:fill="auto"/>
          </w:tcPr>
          <w:p w14:paraId="62666C1F">
            <w:pPr>
              <w:spacing w:line="360" w:lineRule="auto"/>
              <w:rPr>
                <w:rFonts w:ascii="仿宋_GB2312" w:eastAsia="仿宋_GB2312"/>
                <w:szCs w:val="28"/>
              </w:rPr>
            </w:pPr>
            <w:r>
              <w:rPr>
                <w:rFonts w:hint="eastAsia" w:ascii="仿宋_GB2312" w:eastAsia="仿宋_GB2312"/>
                <w:szCs w:val="28"/>
              </w:rPr>
              <w:t>乙方（供方）：</w:t>
            </w:r>
            <w:bookmarkStart w:id="40" w:name="供应商名称"/>
            <w:r>
              <w:rPr>
                <w:rFonts w:hint="eastAsia" w:ascii="仿宋_GB2312" w:eastAsia="仿宋_GB2312"/>
                <w:szCs w:val="28"/>
              </w:rPr>
              <w:t>XXX公司</w:t>
            </w:r>
            <w:bookmarkEnd w:id="40"/>
          </w:p>
        </w:tc>
        <w:tc>
          <w:tcPr>
            <w:tcW w:w="2500" w:type="pct"/>
            <w:shd w:val="clear" w:color="auto" w:fill="auto"/>
          </w:tcPr>
          <w:p w14:paraId="0E4EDE65">
            <w:pPr>
              <w:spacing w:line="360" w:lineRule="auto"/>
              <w:ind w:right="210"/>
              <w:jc w:val="left"/>
              <w:rPr>
                <w:rFonts w:ascii="仿宋_GB2312" w:eastAsia="仿宋_GB2312"/>
                <w:szCs w:val="28"/>
              </w:rPr>
            </w:pPr>
            <w:r>
              <w:rPr>
                <w:rFonts w:hint="eastAsia" w:ascii="仿宋_GB2312" w:eastAsia="仿宋_GB2312"/>
                <w:szCs w:val="28"/>
              </w:rPr>
              <w:t>乙方合同编号：</w:t>
            </w:r>
          </w:p>
        </w:tc>
      </w:tr>
      <w:tr w14:paraId="0E0EDABA">
        <w:tblPrEx>
          <w:tblCellMar>
            <w:top w:w="0" w:type="dxa"/>
            <w:left w:w="108" w:type="dxa"/>
            <w:bottom w:w="0" w:type="dxa"/>
            <w:right w:w="108" w:type="dxa"/>
          </w:tblCellMar>
        </w:tblPrEx>
        <w:tc>
          <w:tcPr>
            <w:tcW w:w="2500" w:type="pct"/>
            <w:shd w:val="clear" w:color="auto" w:fill="auto"/>
          </w:tcPr>
          <w:p w14:paraId="2FBA78CB">
            <w:pPr>
              <w:spacing w:line="360" w:lineRule="auto"/>
              <w:rPr>
                <w:rFonts w:ascii="仿宋_GB2312" w:eastAsia="仿宋_GB2312"/>
                <w:szCs w:val="28"/>
              </w:rPr>
            </w:pPr>
            <w:r>
              <w:rPr>
                <w:rFonts w:hint="eastAsia" w:ascii="仿宋_GB2312" w:eastAsia="仿宋_GB2312"/>
                <w:szCs w:val="28"/>
              </w:rPr>
              <w:t>合同签约地：浙江大学杭州国际科创中心</w:t>
            </w:r>
          </w:p>
        </w:tc>
        <w:tc>
          <w:tcPr>
            <w:tcW w:w="2500" w:type="pct"/>
            <w:shd w:val="clear" w:color="auto" w:fill="auto"/>
          </w:tcPr>
          <w:p w14:paraId="1FB8C29E">
            <w:pPr>
              <w:spacing w:line="360" w:lineRule="auto"/>
              <w:jc w:val="left"/>
              <w:rPr>
                <w:rFonts w:ascii="仿宋_GB2312" w:eastAsia="仿宋_GB2312"/>
                <w:szCs w:val="28"/>
              </w:rPr>
            </w:pPr>
            <w:r>
              <w:rPr>
                <w:rFonts w:hint="eastAsia" w:ascii="仿宋_GB2312" w:eastAsia="仿宋_GB2312"/>
                <w:szCs w:val="28"/>
              </w:rPr>
              <w:t>签约日期：2023年</w:t>
            </w:r>
            <w:r>
              <w:rPr>
                <w:rFonts w:hint="eastAsia" w:ascii="仿宋_GB2312" w:eastAsia="仿宋_GB2312"/>
                <w:szCs w:val="28"/>
                <w:u w:val="single"/>
              </w:rPr>
              <w:t xml:space="preserve">  </w:t>
            </w:r>
            <w:r>
              <w:rPr>
                <w:rFonts w:hint="eastAsia" w:ascii="仿宋_GB2312" w:eastAsia="仿宋_GB2312"/>
                <w:szCs w:val="28"/>
              </w:rPr>
              <w:t>月</w:t>
            </w:r>
            <w:r>
              <w:rPr>
                <w:rFonts w:hint="eastAsia" w:ascii="仿宋_GB2312" w:eastAsia="仿宋_GB2312"/>
                <w:szCs w:val="28"/>
                <w:u w:val="single"/>
              </w:rPr>
              <w:t xml:space="preserve">  </w:t>
            </w:r>
            <w:r>
              <w:rPr>
                <w:rFonts w:hint="eastAsia" w:ascii="仿宋_GB2312" w:eastAsia="仿宋_GB2312"/>
                <w:szCs w:val="28"/>
              </w:rPr>
              <w:t>日</w:t>
            </w:r>
          </w:p>
        </w:tc>
      </w:tr>
      <w:tr w14:paraId="177DE1A6">
        <w:tblPrEx>
          <w:tblCellMar>
            <w:top w:w="0" w:type="dxa"/>
            <w:left w:w="108" w:type="dxa"/>
            <w:bottom w:w="0" w:type="dxa"/>
            <w:right w:w="108" w:type="dxa"/>
          </w:tblCellMar>
        </w:tblPrEx>
        <w:tc>
          <w:tcPr>
            <w:tcW w:w="2500" w:type="pct"/>
            <w:shd w:val="clear" w:color="auto" w:fill="auto"/>
          </w:tcPr>
          <w:p w14:paraId="6AE9D54E">
            <w:pPr>
              <w:spacing w:line="360" w:lineRule="auto"/>
              <w:rPr>
                <w:rFonts w:ascii="仿宋_GB2312" w:eastAsia="仿宋_GB2312"/>
                <w:szCs w:val="28"/>
              </w:rPr>
            </w:pPr>
            <w:r>
              <w:rPr>
                <w:rFonts w:hint="eastAsia" w:ascii="仿宋_GB2312" w:eastAsia="仿宋_GB2312"/>
                <w:szCs w:val="28"/>
              </w:rPr>
              <w:t>采购代理机构：</w:t>
            </w:r>
          </w:p>
        </w:tc>
        <w:tc>
          <w:tcPr>
            <w:tcW w:w="2500" w:type="pct"/>
            <w:shd w:val="clear" w:color="auto" w:fill="auto"/>
          </w:tcPr>
          <w:p w14:paraId="27A8F2F8">
            <w:pPr>
              <w:spacing w:line="360" w:lineRule="auto"/>
              <w:ind w:firstLine="560" w:firstLineChars="200"/>
              <w:jc w:val="left"/>
              <w:rPr>
                <w:rFonts w:ascii="仿宋_GB2312" w:eastAsia="仿宋_GB2312"/>
                <w:szCs w:val="28"/>
              </w:rPr>
            </w:pPr>
          </w:p>
        </w:tc>
      </w:tr>
      <w:bookmarkEnd w:id="38"/>
    </w:tbl>
    <w:p w14:paraId="534650B4">
      <w:pPr>
        <w:spacing w:line="400" w:lineRule="exact"/>
        <w:rPr>
          <w:rFonts w:ascii="仿宋_GB2312" w:hAnsi="黑体" w:eastAsia="仿宋_GB2312" w:cs="黑体"/>
          <w:sz w:val="21"/>
          <w:szCs w:val="21"/>
        </w:rPr>
      </w:pPr>
      <w:bookmarkStart w:id="41" w:name="_Hlk7170106"/>
    </w:p>
    <w:p w14:paraId="4B92FA75">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经采购代理机构对</w:t>
      </w:r>
      <w:r>
        <w:rPr>
          <w:rFonts w:hint="eastAsia" w:ascii="仿宋_GB2312" w:hAnsi="等线" w:eastAsia="仿宋_GB2312" w:cs="黑体"/>
          <w:szCs w:val="28"/>
          <w:u w:val="single"/>
        </w:rPr>
        <w:t xml:space="preserve">           </w:t>
      </w:r>
      <w:r>
        <w:rPr>
          <w:rFonts w:hint="eastAsia" w:ascii="仿宋_GB2312" w:hAnsi="等线" w:eastAsia="仿宋_GB2312" w:cs="黑体"/>
          <w:szCs w:val="28"/>
        </w:rPr>
        <w:t>采购项目通过竞争性磋商方式采购，确定</w:t>
      </w:r>
      <w:r>
        <w:rPr>
          <w:rFonts w:ascii="仿宋_GB2312" w:hAnsi="等线" w:eastAsia="仿宋_GB2312" w:cs="黑体"/>
          <w:szCs w:val="28"/>
          <w:u w:val="single"/>
        </w:rPr>
        <w:t xml:space="preserve">          </w:t>
      </w:r>
      <w:r>
        <w:rPr>
          <w:rFonts w:hint="eastAsia" w:ascii="仿宋_GB2312" w:hAnsi="等线" w:eastAsia="仿宋_GB2312" w:cs="黑体"/>
          <w:szCs w:val="28"/>
        </w:rPr>
        <w:t>为标项中标人，经甲、乙双方友好协商，达成以下条款：</w:t>
      </w:r>
    </w:p>
    <w:bookmarkEnd w:id="41"/>
    <w:p w14:paraId="609F3803">
      <w:pPr>
        <w:spacing w:line="600" w:lineRule="exact"/>
        <w:ind w:firstLine="560" w:firstLineChars="200"/>
        <w:rPr>
          <w:rFonts w:ascii="黑体" w:hAnsi="黑体" w:eastAsia="黑体" w:cs="黑体"/>
          <w:bCs/>
          <w:szCs w:val="28"/>
        </w:rPr>
      </w:pPr>
      <w:r>
        <w:rPr>
          <w:rFonts w:hint="eastAsia" w:ascii="黑体" w:hAnsi="黑体" w:eastAsia="黑体" w:cs="黑体"/>
          <w:bCs/>
          <w:szCs w:val="28"/>
        </w:rPr>
        <w:t>第一条 采购商品清单及合同价格</w:t>
      </w:r>
    </w:p>
    <w:p w14:paraId="5734BF4D">
      <w:pPr>
        <w:spacing w:line="600" w:lineRule="exact"/>
        <w:ind w:firstLine="562" w:firstLineChars="200"/>
        <w:jc w:val="right"/>
        <w:rPr>
          <w:rFonts w:ascii="仿宋_GB2312" w:hAnsi="等线" w:eastAsia="仿宋_GB2312" w:cs="黑体"/>
          <w:b/>
          <w:bCs/>
          <w:szCs w:val="28"/>
        </w:rPr>
      </w:pPr>
      <w:r>
        <w:rPr>
          <w:rFonts w:hint="eastAsia" w:ascii="仿宋_GB2312" w:hAnsi="等线" w:eastAsia="仿宋_GB2312" w:cs="黑体"/>
          <w:b/>
          <w:bCs/>
          <w:szCs w:val="28"/>
        </w:rPr>
        <w:t>（单位：人民币元）</w:t>
      </w:r>
    </w:p>
    <w:tbl>
      <w:tblPr>
        <w:tblStyle w:val="21"/>
        <w:tblW w:w="5000" w:type="pct"/>
        <w:tblInd w:w="0" w:type="dxa"/>
        <w:tblLayout w:type="autofit"/>
        <w:tblCellMar>
          <w:top w:w="0" w:type="dxa"/>
          <w:left w:w="0" w:type="dxa"/>
          <w:bottom w:w="0" w:type="dxa"/>
          <w:right w:w="0" w:type="dxa"/>
        </w:tblCellMar>
      </w:tblPr>
      <w:tblGrid>
        <w:gridCol w:w="888"/>
        <w:gridCol w:w="888"/>
        <w:gridCol w:w="835"/>
        <w:gridCol w:w="835"/>
        <w:gridCol w:w="886"/>
        <w:gridCol w:w="886"/>
        <w:gridCol w:w="828"/>
        <w:gridCol w:w="828"/>
        <w:gridCol w:w="833"/>
        <w:gridCol w:w="23"/>
        <w:gridCol w:w="887"/>
        <w:gridCol w:w="833"/>
      </w:tblGrid>
      <w:tr w14:paraId="2A16CEEF">
        <w:tblPrEx>
          <w:tblCellMar>
            <w:top w:w="0" w:type="dxa"/>
            <w:left w:w="0" w:type="dxa"/>
            <w:bottom w:w="0" w:type="dxa"/>
            <w:right w:w="0" w:type="dxa"/>
          </w:tblCellMar>
        </w:tblPrEx>
        <w:trPr>
          <w:trHeight w:val="421" w:hRule="atLeast"/>
        </w:trPr>
        <w:tc>
          <w:tcPr>
            <w:tcW w:w="470"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1D9BE29D">
            <w:pPr>
              <w:widowControl/>
              <w:jc w:val="center"/>
              <w:rPr>
                <w:rFonts w:ascii="仿宋_GB2312" w:hAnsi="等线" w:eastAsia="仿宋_GB2312" w:cs="宋体"/>
                <w:kern w:val="0"/>
                <w:sz w:val="21"/>
                <w:szCs w:val="21"/>
              </w:rPr>
            </w:pPr>
            <w:r>
              <w:rPr>
                <w:rFonts w:hint="eastAsia" w:ascii="仿宋_GB2312" w:hAnsi="等线" w:eastAsia="仿宋_GB2312" w:cs="宋体"/>
                <w:kern w:val="0"/>
                <w:sz w:val="21"/>
                <w:szCs w:val="21"/>
              </w:rPr>
              <w:t>序号</w:t>
            </w:r>
          </w:p>
        </w:tc>
        <w:tc>
          <w:tcPr>
            <w:tcW w:w="470"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00515B42">
            <w:pPr>
              <w:widowControl/>
              <w:jc w:val="center"/>
              <w:rPr>
                <w:rFonts w:ascii="仿宋_GB2312" w:hAnsi="等线" w:eastAsia="仿宋_GB2312" w:cs="宋体"/>
                <w:kern w:val="0"/>
                <w:sz w:val="21"/>
                <w:szCs w:val="21"/>
              </w:rPr>
            </w:pPr>
            <w:r>
              <w:rPr>
                <w:rFonts w:hint="eastAsia" w:ascii="仿宋_GB2312" w:hAnsi="等线" w:eastAsia="仿宋_GB2312" w:cs="宋体"/>
                <w:kern w:val="0"/>
                <w:sz w:val="21"/>
                <w:szCs w:val="21"/>
              </w:rPr>
              <w:t>货物</w:t>
            </w:r>
          </w:p>
          <w:p w14:paraId="4C26AB9F">
            <w:pPr>
              <w:widowControl/>
              <w:jc w:val="center"/>
              <w:rPr>
                <w:rFonts w:ascii="仿宋_GB2312" w:hAnsi="等线" w:eastAsia="仿宋_GB2312" w:cs="宋体"/>
                <w:kern w:val="0"/>
                <w:sz w:val="21"/>
                <w:szCs w:val="21"/>
              </w:rPr>
            </w:pPr>
            <w:r>
              <w:rPr>
                <w:rFonts w:hint="eastAsia" w:ascii="仿宋_GB2312" w:hAnsi="等线" w:eastAsia="仿宋_GB2312" w:cs="宋体"/>
                <w:kern w:val="0"/>
                <w:sz w:val="21"/>
                <w:szCs w:val="21"/>
              </w:rPr>
              <w:t>名称</w:t>
            </w:r>
          </w:p>
        </w:tc>
        <w:tc>
          <w:tcPr>
            <w:tcW w:w="442" w:type="pct"/>
            <w:tcBorders>
              <w:top w:val="single" w:color="000000" w:sz="6" w:space="0"/>
              <w:left w:val="single" w:color="000000" w:sz="6" w:space="0"/>
              <w:bottom w:val="single" w:color="000000" w:sz="6" w:space="0"/>
              <w:right w:val="single" w:color="000000" w:sz="6" w:space="0"/>
            </w:tcBorders>
            <w:vAlign w:val="center"/>
          </w:tcPr>
          <w:p w14:paraId="0292D8E5">
            <w:pPr>
              <w:widowControl/>
              <w:jc w:val="center"/>
              <w:rPr>
                <w:rFonts w:ascii="仿宋_GB2312" w:hAnsi="等线" w:eastAsia="仿宋_GB2312" w:cs="宋体"/>
                <w:kern w:val="0"/>
                <w:sz w:val="21"/>
                <w:szCs w:val="21"/>
              </w:rPr>
            </w:pPr>
            <w:r>
              <w:rPr>
                <w:rFonts w:hint="eastAsia" w:ascii="仿宋_GB2312" w:hAnsi="等线" w:eastAsia="仿宋_GB2312" w:cs="宋体"/>
                <w:kern w:val="0"/>
                <w:sz w:val="21"/>
                <w:szCs w:val="21"/>
              </w:rPr>
              <w:t>生产</w:t>
            </w:r>
          </w:p>
          <w:p w14:paraId="56977ACB">
            <w:pPr>
              <w:widowControl/>
              <w:jc w:val="center"/>
              <w:rPr>
                <w:rFonts w:ascii="仿宋_GB2312" w:hAnsi="等线" w:eastAsia="仿宋_GB2312" w:cs="宋体"/>
                <w:kern w:val="0"/>
                <w:sz w:val="21"/>
                <w:szCs w:val="21"/>
              </w:rPr>
            </w:pPr>
            <w:r>
              <w:rPr>
                <w:rFonts w:hint="eastAsia" w:ascii="仿宋_GB2312" w:hAnsi="等线" w:eastAsia="仿宋_GB2312" w:cs="宋体"/>
                <w:kern w:val="0"/>
                <w:sz w:val="21"/>
                <w:szCs w:val="21"/>
              </w:rPr>
              <w:t>厂家</w:t>
            </w:r>
          </w:p>
        </w:tc>
        <w:tc>
          <w:tcPr>
            <w:tcW w:w="442" w:type="pct"/>
            <w:tcBorders>
              <w:top w:val="single" w:color="000000" w:sz="6" w:space="0"/>
              <w:left w:val="single" w:color="000000" w:sz="6" w:space="0"/>
              <w:bottom w:val="single" w:color="000000" w:sz="6" w:space="0"/>
              <w:right w:val="single" w:color="000000" w:sz="6" w:space="0"/>
            </w:tcBorders>
            <w:vAlign w:val="center"/>
          </w:tcPr>
          <w:p w14:paraId="0C4EA108">
            <w:pPr>
              <w:widowControl/>
              <w:jc w:val="center"/>
              <w:rPr>
                <w:rFonts w:ascii="仿宋_GB2312" w:hAnsi="等线" w:eastAsia="仿宋_GB2312" w:cs="宋体"/>
                <w:kern w:val="0"/>
                <w:sz w:val="21"/>
                <w:szCs w:val="21"/>
              </w:rPr>
            </w:pPr>
            <w:r>
              <w:rPr>
                <w:rFonts w:hint="eastAsia" w:ascii="仿宋_GB2312" w:hAnsi="等线" w:eastAsia="仿宋_GB2312" w:cs="宋体"/>
                <w:kern w:val="0"/>
                <w:sz w:val="21"/>
                <w:szCs w:val="21"/>
              </w:rPr>
              <w:t>产地</w:t>
            </w:r>
          </w:p>
        </w:tc>
        <w:tc>
          <w:tcPr>
            <w:tcW w:w="469" w:type="pct"/>
            <w:tcBorders>
              <w:top w:val="single" w:color="000000" w:sz="6" w:space="0"/>
              <w:left w:val="single" w:color="000000" w:sz="6" w:space="0"/>
              <w:bottom w:val="single" w:color="000000" w:sz="6" w:space="0"/>
              <w:right w:val="single" w:color="auto" w:sz="4" w:space="0"/>
            </w:tcBorders>
            <w:tcMar>
              <w:top w:w="30" w:type="dxa"/>
              <w:left w:w="30" w:type="dxa"/>
              <w:bottom w:w="30" w:type="dxa"/>
              <w:right w:w="30" w:type="dxa"/>
            </w:tcMar>
            <w:vAlign w:val="center"/>
          </w:tcPr>
          <w:p w14:paraId="3F846DDF">
            <w:pPr>
              <w:widowControl/>
              <w:jc w:val="center"/>
              <w:rPr>
                <w:rFonts w:ascii="仿宋_GB2312" w:hAnsi="等线" w:eastAsia="仿宋_GB2312" w:cs="宋体"/>
                <w:kern w:val="0"/>
                <w:sz w:val="21"/>
                <w:szCs w:val="21"/>
              </w:rPr>
            </w:pPr>
            <w:r>
              <w:rPr>
                <w:rFonts w:hint="eastAsia" w:ascii="仿宋_GB2312" w:hAnsi="等线" w:eastAsia="仿宋_GB2312" w:cs="宋体"/>
                <w:kern w:val="0"/>
                <w:sz w:val="21"/>
                <w:szCs w:val="21"/>
              </w:rPr>
              <w:t>品牌</w:t>
            </w:r>
          </w:p>
        </w:tc>
        <w:tc>
          <w:tcPr>
            <w:tcW w:w="469" w:type="pct"/>
            <w:tcBorders>
              <w:top w:val="single" w:color="000000" w:sz="6" w:space="0"/>
              <w:left w:val="single" w:color="000000" w:sz="6" w:space="0"/>
              <w:bottom w:val="single" w:color="000000" w:sz="6" w:space="0"/>
              <w:right w:val="single" w:color="auto" w:sz="4" w:space="0"/>
            </w:tcBorders>
            <w:tcMar>
              <w:top w:w="30" w:type="dxa"/>
              <w:left w:w="30" w:type="dxa"/>
              <w:bottom w:w="30" w:type="dxa"/>
              <w:right w:w="30" w:type="dxa"/>
            </w:tcMar>
            <w:vAlign w:val="center"/>
          </w:tcPr>
          <w:p w14:paraId="5677E62B">
            <w:pPr>
              <w:widowControl/>
              <w:jc w:val="center"/>
              <w:rPr>
                <w:rFonts w:ascii="仿宋_GB2312" w:hAnsi="等线" w:eastAsia="仿宋_GB2312" w:cs="宋体"/>
                <w:kern w:val="0"/>
                <w:sz w:val="21"/>
                <w:szCs w:val="21"/>
              </w:rPr>
            </w:pPr>
            <w:r>
              <w:rPr>
                <w:rFonts w:hint="eastAsia" w:ascii="仿宋_GB2312" w:hAnsi="等线" w:eastAsia="仿宋_GB2312" w:cs="宋体"/>
                <w:kern w:val="0"/>
                <w:sz w:val="21"/>
                <w:szCs w:val="21"/>
              </w:rPr>
              <w:t>型号</w:t>
            </w:r>
          </w:p>
          <w:p w14:paraId="50C5D783">
            <w:pPr>
              <w:widowControl/>
              <w:jc w:val="center"/>
              <w:rPr>
                <w:rFonts w:ascii="仿宋_GB2312" w:hAnsi="等线" w:eastAsia="仿宋_GB2312" w:cs="宋体"/>
                <w:kern w:val="0"/>
                <w:sz w:val="21"/>
                <w:szCs w:val="21"/>
              </w:rPr>
            </w:pPr>
            <w:r>
              <w:rPr>
                <w:rFonts w:hint="eastAsia" w:ascii="仿宋_GB2312" w:hAnsi="等线" w:eastAsia="仿宋_GB2312" w:cs="宋体"/>
                <w:kern w:val="0"/>
                <w:sz w:val="21"/>
                <w:szCs w:val="21"/>
              </w:rPr>
              <w:t>和规格</w:t>
            </w:r>
          </w:p>
        </w:tc>
        <w:tc>
          <w:tcPr>
            <w:tcW w:w="438" w:type="pct"/>
            <w:tcBorders>
              <w:top w:val="single" w:color="000000" w:sz="6" w:space="0"/>
              <w:left w:val="single" w:color="auto" w:sz="4" w:space="0"/>
              <w:bottom w:val="single" w:color="000000" w:sz="6" w:space="0"/>
              <w:right w:val="single" w:color="000000" w:sz="2" w:space="0"/>
            </w:tcBorders>
            <w:vAlign w:val="center"/>
          </w:tcPr>
          <w:p w14:paraId="50E998E7">
            <w:pPr>
              <w:widowControl/>
              <w:jc w:val="center"/>
              <w:rPr>
                <w:rFonts w:ascii="仿宋_GB2312" w:hAnsi="等线" w:eastAsia="仿宋_GB2312" w:cs="宋体"/>
                <w:kern w:val="0"/>
                <w:sz w:val="21"/>
                <w:szCs w:val="21"/>
              </w:rPr>
            </w:pPr>
            <w:r>
              <w:rPr>
                <w:rFonts w:hint="eastAsia" w:ascii="仿宋_GB2312" w:hAnsi="等线" w:eastAsia="仿宋_GB2312" w:cs="宋体"/>
                <w:kern w:val="0"/>
                <w:sz w:val="21"/>
                <w:szCs w:val="21"/>
              </w:rPr>
              <w:t>具体技术参数</w:t>
            </w:r>
          </w:p>
          <w:p w14:paraId="2C9BA75E">
            <w:pPr>
              <w:widowControl/>
              <w:jc w:val="center"/>
              <w:rPr>
                <w:rFonts w:ascii="仿宋_GB2312" w:hAnsi="等线" w:eastAsia="仿宋_GB2312" w:cs="宋体"/>
                <w:kern w:val="0"/>
                <w:sz w:val="21"/>
                <w:szCs w:val="21"/>
              </w:rPr>
            </w:pPr>
            <w:r>
              <w:rPr>
                <w:rFonts w:hint="eastAsia" w:ascii="仿宋_GB2312" w:hAnsi="等线" w:eastAsia="仿宋_GB2312" w:cs="宋体"/>
                <w:kern w:val="0"/>
                <w:sz w:val="21"/>
                <w:szCs w:val="21"/>
              </w:rPr>
              <w:t>和要求</w:t>
            </w:r>
          </w:p>
        </w:tc>
        <w:tc>
          <w:tcPr>
            <w:tcW w:w="438" w:type="pct"/>
            <w:tcBorders>
              <w:top w:val="single" w:color="000000" w:sz="6" w:space="0"/>
              <w:left w:val="single" w:color="000000" w:sz="2" w:space="0"/>
              <w:bottom w:val="single" w:color="000000" w:sz="6" w:space="0"/>
              <w:right w:val="single" w:color="auto" w:sz="4" w:space="0"/>
            </w:tcBorders>
            <w:vAlign w:val="center"/>
          </w:tcPr>
          <w:p w14:paraId="6A7085A1">
            <w:pPr>
              <w:widowControl/>
              <w:jc w:val="center"/>
              <w:rPr>
                <w:rFonts w:ascii="仿宋_GB2312" w:hAnsi="等线" w:eastAsia="仿宋_GB2312" w:cs="宋体"/>
                <w:kern w:val="0"/>
                <w:sz w:val="21"/>
                <w:szCs w:val="21"/>
              </w:rPr>
            </w:pPr>
            <w:r>
              <w:rPr>
                <w:rFonts w:hint="eastAsia" w:ascii="仿宋_GB2312" w:hAnsi="等线" w:eastAsia="仿宋_GB2312" w:cs="宋体"/>
                <w:kern w:val="0"/>
                <w:sz w:val="21"/>
                <w:szCs w:val="21"/>
              </w:rPr>
              <w:t>单位</w:t>
            </w:r>
          </w:p>
        </w:tc>
        <w:tc>
          <w:tcPr>
            <w:tcW w:w="441" w:type="pct"/>
            <w:tcBorders>
              <w:top w:val="single" w:color="000000" w:sz="6" w:space="0"/>
              <w:left w:val="single" w:color="auto" w:sz="4" w:space="0"/>
              <w:bottom w:val="single" w:color="000000" w:sz="6" w:space="0"/>
              <w:right w:val="single" w:color="000000" w:sz="6" w:space="0"/>
            </w:tcBorders>
            <w:vAlign w:val="center"/>
          </w:tcPr>
          <w:p w14:paraId="79C37270">
            <w:pPr>
              <w:widowControl/>
              <w:jc w:val="center"/>
              <w:rPr>
                <w:rFonts w:ascii="仿宋_GB2312" w:hAnsi="等线" w:eastAsia="仿宋_GB2312" w:cs="宋体"/>
                <w:kern w:val="0"/>
                <w:sz w:val="21"/>
                <w:szCs w:val="21"/>
              </w:rPr>
            </w:pPr>
            <w:r>
              <w:rPr>
                <w:rFonts w:hint="eastAsia" w:ascii="仿宋_GB2312" w:hAnsi="等线" w:eastAsia="仿宋_GB2312" w:cs="宋体"/>
                <w:kern w:val="0"/>
                <w:sz w:val="21"/>
                <w:szCs w:val="21"/>
              </w:rPr>
              <w:t>数量</w:t>
            </w:r>
          </w:p>
        </w:tc>
        <w:tc>
          <w:tcPr>
            <w:tcW w:w="12" w:type="pct"/>
            <w:tcBorders>
              <w:top w:val="single" w:color="000000" w:sz="6" w:space="0"/>
              <w:left w:val="single" w:color="000000" w:sz="6" w:space="0"/>
              <w:bottom w:val="single" w:color="000000" w:sz="6" w:space="0"/>
              <w:right w:val="single" w:color="000000" w:sz="6" w:space="0"/>
            </w:tcBorders>
            <w:vAlign w:val="center"/>
          </w:tcPr>
          <w:p w14:paraId="5A0A23AE">
            <w:pPr>
              <w:widowControl/>
              <w:ind w:firstLine="420" w:firstLineChars="200"/>
              <w:jc w:val="center"/>
              <w:rPr>
                <w:rFonts w:ascii="仿宋_GB2312" w:hAnsi="等线" w:eastAsia="仿宋_GB2312" w:cs="宋体"/>
                <w:kern w:val="0"/>
                <w:sz w:val="21"/>
                <w:szCs w:val="21"/>
              </w:rPr>
            </w:pPr>
          </w:p>
        </w:tc>
        <w:tc>
          <w:tcPr>
            <w:tcW w:w="469"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5207A0C1">
            <w:pPr>
              <w:widowControl/>
              <w:jc w:val="center"/>
              <w:rPr>
                <w:rFonts w:ascii="仿宋_GB2312" w:hAnsi="等线" w:eastAsia="仿宋_GB2312" w:cs="宋体"/>
                <w:kern w:val="0"/>
                <w:sz w:val="21"/>
                <w:szCs w:val="21"/>
              </w:rPr>
            </w:pPr>
            <w:r>
              <w:rPr>
                <w:rFonts w:hint="eastAsia" w:ascii="仿宋_GB2312" w:hAnsi="等线" w:eastAsia="仿宋_GB2312" w:cs="宋体"/>
                <w:kern w:val="0"/>
                <w:sz w:val="21"/>
                <w:szCs w:val="21"/>
              </w:rPr>
              <w:t>单价</w:t>
            </w:r>
          </w:p>
        </w:tc>
        <w:tc>
          <w:tcPr>
            <w:tcW w:w="442" w:type="pct"/>
            <w:tcBorders>
              <w:top w:val="single" w:color="000000" w:sz="6" w:space="0"/>
              <w:left w:val="single" w:color="000000" w:sz="6" w:space="0"/>
              <w:bottom w:val="single" w:color="000000" w:sz="6" w:space="0"/>
              <w:right w:val="single" w:color="000000" w:sz="6" w:space="0"/>
            </w:tcBorders>
            <w:vAlign w:val="center"/>
          </w:tcPr>
          <w:p w14:paraId="09AEDE17">
            <w:pPr>
              <w:widowControl/>
              <w:jc w:val="center"/>
              <w:rPr>
                <w:rFonts w:ascii="仿宋_GB2312" w:hAnsi="等线" w:eastAsia="仿宋_GB2312" w:cs="宋体"/>
                <w:kern w:val="0"/>
                <w:sz w:val="21"/>
                <w:szCs w:val="21"/>
              </w:rPr>
            </w:pPr>
            <w:r>
              <w:rPr>
                <w:rFonts w:hint="eastAsia" w:ascii="仿宋_GB2312" w:hAnsi="等线" w:eastAsia="仿宋_GB2312" w:cs="宋体"/>
                <w:kern w:val="0"/>
                <w:sz w:val="21"/>
                <w:szCs w:val="21"/>
              </w:rPr>
              <w:t>合计</w:t>
            </w:r>
          </w:p>
          <w:p w14:paraId="148AC0E5">
            <w:pPr>
              <w:widowControl/>
              <w:jc w:val="center"/>
              <w:rPr>
                <w:rFonts w:ascii="仿宋_GB2312" w:hAnsi="等线" w:eastAsia="仿宋_GB2312" w:cs="宋体"/>
                <w:kern w:val="0"/>
                <w:sz w:val="21"/>
                <w:szCs w:val="21"/>
              </w:rPr>
            </w:pPr>
            <w:r>
              <w:rPr>
                <w:rFonts w:hint="eastAsia" w:ascii="仿宋_GB2312" w:hAnsi="等线" w:eastAsia="仿宋_GB2312" w:cs="宋体"/>
                <w:kern w:val="0"/>
                <w:sz w:val="21"/>
                <w:szCs w:val="21"/>
              </w:rPr>
              <w:t>金额</w:t>
            </w:r>
          </w:p>
        </w:tc>
      </w:tr>
      <w:tr w14:paraId="1626D1D9">
        <w:tblPrEx>
          <w:tblCellMar>
            <w:top w:w="0" w:type="dxa"/>
            <w:left w:w="0" w:type="dxa"/>
            <w:bottom w:w="0" w:type="dxa"/>
            <w:right w:w="0" w:type="dxa"/>
          </w:tblCellMar>
        </w:tblPrEx>
        <w:trPr>
          <w:trHeight w:val="1134" w:hRule="exact"/>
        </w:trPr>
        <w:tc>
          <w:tcPr>
            <w:tcW w:w="470"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480D7413">
            <w:pPr>
              <w:widowControl/>
              <w:ind w:firstLine="420" w:firstLineChars="200"/>
              <w:rPr>
                <w:rFonts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470"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472AE128">
            <w:pPr>
              <w:widowControl/>
              <w:ind w:firstLine="420" w:firstLineChars="200"/>
              <w:rPr>
                <w:rFonts w:ascii="仿宋_GB2312" w:hAnsi="等线" w:eastAsia="仿宋_GB2312" w:cs="宋体"/>
                <w:kern w:val="0"/>
                <w:sz w:val="21"/>
                <w:szCs w:val="21"/>
              </w:rPr>
            </w:pPr>
          </w:p>
        </w:tc>
        <w:tc>
          <w:tcPr>
            <w:tcW w:w="442" w:type="pct"/>
            <w:tcBorders>
              <w:top w:val="single" w:color="000000" w:sz="6" w:space="0"/>
              <w:left w:val="single" w:color="000000" w:sz="6" w:space="0"/>
              <w:bottom w:val="single" w:color="000000" w:sz="6" w:space="0"/>
              <w:right w:val="single" w:color="000000" w:sz="6" w:space="0"/>
            </w:tcBorders>
          </w:tcPr>
          <w:p w14:paraId="530C96B8">
            <w:pPr>
              <w:widowControl/>
              <w:ind w:firstLine="420" w:firstLineChars="200"/>
              <w:rPr>
                <w:rFonts w:ascii="仿宋_GB2312" w:hAnsi="等线" w:eastAsia="仿宋_GB2312" w:cs="宋体"/>
                <w:kern w:val="0"/>
                <w:sz w:val="21"/>
                <w:szCs w:val="21"/>
              </w:rPr>
            </w:pPr>
          </w:p>
        </w:tc>
        <w:tc>
          <w:tcPr>
            <w:tcW w:w="442" w:type="pct"/>
            <w:tcBorders>
              <w:top w:val="single" w:color="000000" w:sz="6" w:space="0"/>
              <w:left w:val="single" w:color="000000" w:sz="6" w:space="0"/>
              <w:bottom w:val="single" w:color="000000" w:sz="6" w:space="0"/>
              <w:right w:val="single" w:color="000000" w:sz="6" w:space="0"/>
            </w:tcBorders>
          </w:tcPr>
          <w:p w14:paraId="24FEECDC">
            <w:pPr>
              <w:widowControl/>
              <w:ind w:firstLine="420" w:firstLineChars="200"/>
              <w:rPr>
                <w:rFonts w:ascii="仿宋_GB2312" w:hAnsi="等线" w:eastAsia="仿宋_GB2312" w:cs="宋体"/>
                <w:kern w:val="0"/>
                <w:sz w:val="21"/>
                <w:szCs w:val="21"/>
              </w:rPr>
            </w:pPr>
          </w:p>
        </w:tc>
        <w:tc>
          <w:tcPr>
            <w:tcW w:w="469" w:type="pct"/>
            <w:tcBorders>
              <w:top w:val="single" w:color="000000" w:sz="6" w:space="0"/>
              <w:left w:val="single" w:color="000000" w:sz="6" w:space="0"/>
              <w:bottom w:val="single" w:color="000000" w:sz="6" w:space="0"/>
              <w:right w:val="single" w:color="auto" w:sz="4" w:space="0"/>
            </w:tcBorders>
            <w:tcMar>
              <w:top w:w="30" w:type="dxa"/>
              <w:left w:w="30" w:type="dxa"/>
              <w:bottom w:w="30" w:type="dxa"/>
              <w:right w:w="30" w:type="dxa"/>
            </w:tcMar>
            <w:vAlign w:val="center"/>
          </w:tcPr>
          <w:p w14:paraId="62D1697E">
            <w:pPr>
              <w:widowControl/>
              <w:ind w:firstLine="420" w:firstLineChars="200"/>
              <w:rPr>
                <w:rFonts w:ascii="仿宋_GB2312" w:hAnsi="等线" w:eastAsia="仿宋_GB2312" w:cs="宋体"/>
                <w:kern w:val="0"/>
                <w:sz w:val="21"/>
                <w:szCs w:val="21"/>
              </w:rPr>
            </w:pPr>
          </w:p>
        </w:tc>
        <w:tc>
          <w:tcPr>
            <w:tcW w:w="469" w:type="pct"/>
            <w:tcBorders>
              <w:top w:val="single" w:color="000000" w:sz="6" w:space="0"/>
              <w:left w:val="single" w:color="000000" w:sz="6" w:space="0"/>
              <w:bottom w:val="single" w:color="000000" w:sz="6" w:space="0"/>
              <w:right w:val="single" w:color="auto" w:sz="4" w:space="0"/>
            </w:tcBorders>
            <w:tcMar>
              <w:top w:w="30" w:type="dxa"/>
              <w:left w:w="30" w:type="dxa"/>
              <w:bottom w:w="30" w:type="dxa"/>
              <w:right w:w="30" w:type="dxa"/>
            </w:tcMar>
            <w:vAlign w:val="center"/>
          </w:tcPr>
          <w:p w14:paraId="16C9021C">
            <w:pPr>
              <w:widowControl/>
              <w:ind w:firstLine="420" w:firstLineChars="200"/>
              <w:rPr>
                <w:rFonts w:ascii="仿宋_GB2312" w:hAnsi="等线" w:eastAsia="仿宋_GB2312" w:cs="宋体"/>
                <w:kern w:val="0"/>
                <w:sz w:val="21"/>
                <w:szCs w:val="21"/>
              </w:rPr>
            </w:pPr>
          </w:p>
        </w:tc>
        <w:tc>
          <w:tcPr>
            <w:tcW w:w="438" w:type="pct"/>
            <w:tcBorders>
              <w:top w:val="single" w:color="000000" w:sz="6" w:space="0"/>
              <w:left w:val="single" w:color="auto" w:sz="4" w:space="0"/>
              <w:bottom w:val="single" w:color="000000" w:sz="6" w:space="0"/>
              <w:right w:val="single" w:color="000000" w:sz="2" w:space="0"/>
            </w:tcBorders>
            <w:vAlign w:val="center"/>
          </w:tcPr>
          <w:p w14:paraId="38629EE6">
            <w:pPr>
              <w:widowControl/>
              <w:ind w:firstLine="420" w:firstLineChars="200"/>
              <w:rPr>
                <w:rFonts w:ascii="仿宋_GB2312" w:hAnsi="等线" w:eastAsia="仿宋_GB2312" w:cs="宋体"/>
                <w:kern w:val="0"/>
                <w:sz w:val="21"/>
                <w:szCs w:val="21"/>
              </w:rPr>
            </w:pPr>
          </w:p>
        </w:tc>
        <w:tc>
          <w:tcPr>
            <w:tcW w:w="438" w:type="pct"/>
            <w:tcBorders>
              <w:top w:val="single" w:color="000000" w:sz="6" w:space="0"/>
              <w:left w:val="single" w:color="000000" w:sz="2" w:space="0"/>
              <w:bottom w:val="single" w:color="000000" w:sz="6" w:space="0"/>
              <w:right w:val="single" w:color="auto" w:sz="4" w:space="0"/>
            </w:tcBorders>
            <w:vAlign w:val="center"/>
          </w:tcPr>
          <w:p w14:paraId="3A76B645">
            <w:pPr>
              <w:widowControl/>
              <w:ind w:firstLine="420" w:firstLineChars="200"/>
              <w:rPr>
                <w:rFonts w:ascii="仿宋_GB2312" w:hAnsi="等线" w:eastAsia="仿宋_GB2312" w:cs="宋体"/>
                <w:kern w:val="0"/>
                <w:sz w:val="21"/>
                <w:szCs w:val="21"/>
              </w:rPr>
            </w:pPr>
          </w:p>
        </w:tc>
        <w:tc>
          <w:tcPr>
            <w:tcW w:w="441" w:type="pct"/>
            <w:tcBorders>
              <w:top w:val="single" w:color="000000" w:sz="6" w:space="0"/>
              <w:left w:val="single" w:color="auto" w:sz="4" w:space="0"/>
              <w:bottom w:val="single" w:color="000000" w:sz="6" w:space="0"/>
              <w:right w:val="single" w:color="000000" w:sz="6" w:space="0"/>
            </w:tcBorders>
            <w:vAlign w:val="center"/>
          </w:tcPr>
          <w:p w14:paraId="773B514D">
            <w:pPr>
              <w:widowControl/>
              <w:ind w:firstLine="420" w:firstLineChars="200"/>
              <w:rPr>
                <w:rFonts w:ascii="仿宋_GB2312" w:hAnsi="等线" w:eastAsia="仿宋_GB2312" w:cs="宋体"/>
                <w:kern w:val="0"/>
                <w:sz w:val="21"/>
                <w:szCs w:val="21"/>
              </w:rPr>
            </w:pPr>
          </w:p>
        </w:tc>
        <w:tc>
          <w:tcPr>
            <w:tcW w:w="12" w:type="pct"/>
            <w:tcBorders>
              <w:top w:val="single" w:color="000000" w:sz="6" w:space="0"/>
              <w:left w:val="single" w:color="000000" w:sz="6" w:space="0"/>
              <w:bottom w:val="single" w:color="000000" w:sz="6" w:space="0"/>
              <w:right w:val="single" w:color="000000" w:sz="6" w:space="0"/>
            </w:tcBorders>
          </w:tcPr>
          <w:p w14:paraId="39AAE7D1">
            <w:pPr>
              <w:widowControl/>
              <w:ind w:firstLine="420" w:firstLineChars="200"/>
              <w:rPr>
                <w:rFonts w:ascii="仿宋_GB2312" w:hAnsi="等线" w:eastAsia="仿宋_GB2312" w:cs="宋体"/>
                <w:kern w:val="0"/>
                <w:sz w:val="21"/>
                <w:szCs w:val="21"/>
              </w:rPr>
            </w:pPr>
          </w:p>
        </w:tc>
        <w:tc>
          <w:tcPr>
            <w:tcW w:w="469"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6C8C05AE">
            <w:pPr>
              <w:widowControl/>
              <w:ind w:firstLine="420" w:firstLineChars="200"/>
              <w:rPr>
                <w:rFonts w:ascii="仿宋_GB2312" w:hAnsi="等线" w:eastAsia="仿宋_GB2312" w:cs="宋体"/>
                <w:kern w:val="0"/>
                <w:sz w:val="21"/>
                <w:szCs w:val="21"/>
              </w:rPr>
            </w:pPr>
          </w:p>
        </w:tc>
        <w:tc>
          <w:tcPr>
            <w:tcW w:w="442" w:type="pct"/>
            <w:tcBorders>
              <w:top w:val="single" w:color="000000" w:sz="6" w:space="0"/>
              <w:left w:val="single" w:color="000000" w:sz="6" w:space="0"/>
              <w:bottom w:val="single" w:color="000000" w:sz="6" w:space="0"/>
              <w:right w:val="single" w:color="000000" w:sz="6" w:space="0"/>
            </w:tcBorders>
            <w:vAlign w:val="center"/>
          </w:tcPr>
          <w:p w14:paraId="52C2CC5C">
            <w:pPr>
              <w:widowControl/>
              <w:ind w:firstLine="420" w:firstLineChars="200"/>
              <w:rPr>
                <w:rFonts w:ascii="仿宋_GB2312" w:hAnsi="等线" w:eastAsia="仿宋_GB2312" w:cs="宋体"/>
                <w:kern w:val="0"/>
                <w:sz w:val="21"/>
                <w:szCs w:val="21"/>
              </w:rPr>
            </w:pPr>
          </w:p>
        </w:tc>
      </w:tr>
      <w:tr w14:paraId="630426FD">
        <w:tblPrEx>
          <w:tblCellMar>
            <w:top w:w="0" w:type="dxa"/>
            <w:left w:w="0" w:type="dxa"/>
            <w:bottom w:w="0" w:type="dxa"/>
            <w:right w:w="0" w:type="dxa"/>
          </w:tblCellMar>
        </w:tblPrEx>
        <w:trPr>
          <w:trHeight w:val="1134" w:hRule="exact"/>
        </w:trPr>
        <w:tc>
          <w:tcPr>
            <w:tcW w:w="470"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6A4D1EF0">
            <w:pPr>
              <w:widowControl/>
              <w:ind w:firstLine="420" w:firstLineChars="200"/>
              <w:rPr>
                <w:rFonts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470"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2BA8C45E">
            <w:pPr>
              <w:widowControl/>
              <w:ind w:firstLine="420" w:firstLineChars="200"/>
              <w:rPr>
                <w:rFonts w:ascii="仿宋_GB2312" w:hAnsi="等线" w:eastAsia="仿宋_GB2312" w:cs="宋体"/>
                <w:kern w:val="0"/>
                <w:sz w:val="21"/>
                <w:szCs w:val="21"/>
              </w:rPr>
            </w:pPr>
          </w:p>
        </w:tc>
        <w:tc>
          <w:tcPr>
            <w:tcW w:w="442" w:type="pct"/>
            <w:tcBorders>
              <w:top w:val="single" w:color="000000" w:sz="6" w:space="0"/>
              <w:left w:val="single" w:color="000000" w:sz="6" w:space="0"/>
              <w:bottom w:val="single" w:color="000000" w:sz="6" w:space="0"/>
              <w:right w:val="single" w:color="000000" w:sz="6" w:space="0"/>
            </w:tcBorders>
          </w:tcPr>
          <w:p w14:paraId="04820233">
            <w:pPr>
              <w:widowControl/>
              <w:ind w:firstLine="420" w:firstLineChars="200"/>
              <w:rPr>
                <w:rFonts w:ascii="仿宋_GB2312" w:hAnsi="等线" w:eastAsia="仿宋_GB2312" w:cs="宋体"/>
                <w:kern w:val="0"/>
                <w:sz w:val="21"/>
                <w:szCs w:val="21"/>
              </w:rPr>
            </w:pPr>
          </w:p>
        </w:tc>
        <w:tc>
          <w:tcPr>
            <w:tcW w:w="442" w:type="pct"/>
            <w:tcBorders>
              <w:top w:val="single" w:color="000000" w:sz="6" w:space="0"/>
              <w:left w:val="single" w:color="000000" w:sz="6" w:space="0"/>
              <w:bottom w:val="single" w:color="000000" w:sz="6" w:space="0"/>
              <w:right w:val="single" w:color="000000" w:sz="6" w:space="0"/>
            </w:tcBorders>
          </w:tcPr>
          <w:p w14:paraId="0A9B0CE9">
            <w:pPr>
              <w:widowControl/>
              <w:ind w:firstLine="420" w:firstLineChars="200"/>
              <w:rPr>
                <w:rFonts w:ascii="仿宋_GB2312" w:hAnsi="等线" w:eastAsia="仿宋_GB2312" w:cs="宋体"/>
                <w:kern w:val="0"/>
                <w:sz w:val="21"/>
                <w:szCs w:val="21"/>
              </w:rPr>
            </w:pPr>
          </w:p>
        </w:tc>
        <w:tc>
          <w:tcPr>
            <w:tcW w:w="469" w:type="pct"/>
            <w:tcBorders>
              <w:top w:val="single" w:color="000000" w:sz="6" w:space="0"/>
              <w:left w:val="single" w:color="000000" w:sz="6" w:space="0"/>
              <w:bottom w:val="single" w:color="000000" w:sz="6" w:space="0"/>
              <w:right w:val="single" w:color="auto" w:sz="4" w:space="0"/>
            </w:tcBorders>
            <w:tcMar>
              <w:top w:w="30" w:type="dxa"/>
              <w:left w:w="30" w:type="dxa"/>
              <w:bottom w:w="30" w:type="dxa"/>
              <w:right w:w="30" w:type="dxa"/>
            </w:tcMar>
            <w:vAlign w:val="center"/>
          </w:tcPr>
          <w:p w14:paraId="794B0AD3">
            <w:pPr>
              <w:widowControl/>
              <w:ind w:firstLine="420" w:firstLineChars="200"/>
              <w:rPr>
                <w:rFonts w:ascii="仿宋_GB2312" w:hAnsi="等线" w:eastAsia="仿宋_GB2312" w:cs="宋体"/>
                <w:kern w:val="0"/>
                <w:sz w:val="21"/>
                <w:szCs w:val="21"/>
              </w:rPr>
            </w:pPr>
          </w:p>
        </w:tc>
        <w:tc>
          <w:tcPr>
            <w:tcW w:w="469" w:type="pct"/>
            <w:tcBorders>
              <w:top w:val="single" w:color="000000" w:sz="6" w:space="0"/>
              <w:left w:val="single" w:color="000000" w:sz="6" w:space="0"/>
              <w:bottom w:val="single" w:color="000000" w:sz="6" w:space="0"/>
              <w:right w:val="single" w:color="auto" w:sz="4" w:space="0"/>
            </w:tcBorders>
            <w:tcMar>
              <w:top w:w="30" w:type="dxa"/>
              <w:left w:w="30" w:type="dxa"/>
              <w:bottom w:w="30" w:type="dxa"/>
              <w:right w:w="30" w:type="dxa"/>
            </w:tcMar>
            <w:vAlign w:val="center"/>
          </w:tcPr>
          <w:p w14:paraId="4EEB4C18">
            <w:pPr>
              <w:widowControl/>
              <w:ind w:firstLine="420" w:firstLineChars="200"/>
              <w:rPr>
                <w:rFonts w:ascii="仿宋_GB2312" w:hAnsi="等线" w:eastAsia="仿宋_GB2312" w:cs="宋体"/>
                <w:kern w:val="0"/>
                <w:sz w:val="21"/>
                <w:szCs w:val="21"/>
              </w:rPr>
            </w:pPr>
          </w:p>
        </w:tc>
        <w:tc>
          <w:tcPr>
            <w:tcW w:w="438" w:type="pct"/>
            <w:tcBorders>
              <w:top w:val="single" w:color="000000" w:sz="6" w:space="0"/>
              <w:left w:val="single" w:color="auto" w:sz="4" w:space="0"/>
              <w:bottom w:val="single" w:color="000000" w:sz="6" w:space="0"/>
              <w:right w:val="single" w:color="000000" w:sz="2" w:space="0"/>
            </w:tcBorders>
            <w:vAlign w:val="center"/>
          </w:tcPr>
          <w:p w14:paraId="33D30FE8">
            <w:pPr>
              <w:widowControl/>
              <w:ind w:firstLine="420" w:firstLineChars="200"/>
              <w:rPr>
                <w:rFonts w:ascii="仿宋_GB2312" w:hAnsi="等线" w:eastAsia="仿宋_GB2312" w:cs="宋体"/>
                <w:kern w:val="0"/>
                <w:sz w:val="21"/>
                <w:szCs w:val="21"/>
              </w:rPr>
            </w:pPr>
          </w:p>
        </w:tc>
        <w:tc>
          <w:tcPr>
            <w:tcW w:w="438" w:type="pct"/>
            <w:tcBorders>
              <w:top w:val="single" w:color="000000" w:sz="6" w:space="0"/>
              <w:left w:val="single" w:color="000000" w:sz="2" w:space="0"/>
              <w:bottom w:val="single" w:color="000000" w:sz="6" w:space="0"/>
              <w:right w:val="single" w:color="auto" w:sz="4" w:space="0"/>
            </w:tcBorders>
            <w:vAlign w:val="center"/>
          </w:tcPr>
          <w:p w14:paraId="4316134B">
            <w:pPr>
              <w:widowControl/>
              <w:ind w:firstLine="420" w:firstLineChars="200"/>
              <w:rPr>
                <w:rFonts w:ascii="仿宋_GB2312" w:hAnsi="等线" w:eastAsia="仿宋_GB2312" w:cs="宋体"/>
                <w:kern w:val="0"/>
                <w:sz w:val="21"/>
                <w:szCs w:val="21"/>
              </w:rPr>
            </w:pPr>
          </w:p>
        </w:tc>
        <w:tc>
          <w:tcPr>
            <w:tcW w:w="441" w:type="pct"/>
            <w:tcBorders>
              <w:top w:val="single" w:color="000000" w:sz="6" w:space="0"/>
              <w:left w:val="single" w:color="auto" w:sz="4" w:space="0"/>
              <w:bottom w:val="single" w:color="000000" w:sz="6" w:space="0"/>
              <w:right w:val="single" w:color="000000" w:sz="6" w:space="0"/>
            </w:tcBorders>
            <w:vAlign w:val="center"/>
          </w:tcPr>
          <w:p w14:paraId="40EF002F">
            <w:pPr>
              <w:widowControl/>
              <w:ind w:firstLine="420" w:firstLineChars="200"/>
              <w:rPr>
                <w:rFonts w:ascii="仿宋_GB2312" w:hAnsi="等线" w:eastAsia="仿宋_GB2312" w:cs="宋体"/>
                <w:kern w:val="0"/>
                <w:sz w:val="21"/>
                <w:szCs w:val="21"/>
              </w:rPr>
            </w:pPr>
          </w:p>
        </w:tc>
        <w:tc>
          <w:tcPr>
            <w:tcW w:w="12" w:type="pct"/>
            <w:tcBorders>
              <w:top w:val="single" w:color="000000" w:sz="6" w:space="0"/>
              <w:left w:val="single" w:color="000000" w:sz="6" w:space="0"/>
              <w:bottom w:val="single" w:color="000000" w:sz="6" w:space="0"/>
              <w:right w:val="single" w:color="000000" w:sz="6" w:space="0"/>
            </w:tcBorders>
          </w:tcPr>
          <w:p w14:paraId="2BE6E00B">
            <w:pPr>
              <w:widowControl/>
              <w:ind w:firstLine="420" w:firstLineChars="200"/>
              <w:rPr>
                <w:rFonts w:ascii="仿宋_GB2312" w:hAnsi="等线" w:eastAsia="仿宋_GB2312" w:cs="宋体"/>
                <w:kern w:val="0"/>
                <w:sz w:val="21"/>
                <w:szCs w:val="21"/>
              </w:rPr>
            </w:pPr>
          </w:p>
        </w:tc>
        <w:tc>
          <w:tcPr>
            <w:tcW w:w="469"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532DDF16">
            <w:pPr>
              <w:widowControl/>
              <w:ind w:firstLine="420" w:firstLineChars="200"/>
              <w:rPr>
                <w:rFonts w:ascii="仿宋_GB2312" w:hAnsi="等线" w:eastAsia="仿宋_GB2312" w:cs="宋体"/>
                <w:kern w:val="0"/>
                <w:sz w:val="21"/>
                <w:szCs w:val="21"/>
              </w:rPr>
            </w:pPr>
          </w:p>
        </w:tc>
        <w:tc>
          <w:tcPr>
            <w:tcW w:w="442" w:type="pct"/>
            <w:tcBorders>
              <w:top w:val="single" w:color="000000" w:sz="6" w:space="0"/>
              <w:left w:val="single" w:color="000000" w:sz="6" w:space="0"/>
              <w:bottom w:val="single" w:color="000000" w:sz="6" w:space="0"/>
              <w:right w:val="single" w:color="000000" w:sz="6" w:space="0"/>
            </w:tcBorders>
            <w:vAlign w:val="center"/>
          </w:tcPr>
          <w:p w14:paraId="21D427B6">
            <w:pPr>
              <w:widowControl/>
              <w:ind w:firstLine="420" w:firstLineChars="200"/>
              <w:rPr>
                <w:rFonts w:ascii="仿宋_GB2312" w:hAnsi="等线" w:eastAsia="仿宋_GB2312" w:cs="宋体"/>
                <w:kern w:val="0"/>
                <w:sz w:val="21"/>
                <w:szCs w:val="21"/>
              </w:rPr>
            </w:pPr>
          </w:p>
        </w:tc>
      </w:tr>
      <w:tr w14:paraId="08DFE4B9">
        <w:tblPrEx>
          <w:tblCellMar>
            <w:top w:w="0" w:type="dxa"/>
            <w:left w:w="0" w:type="dxa"/>
            <w:bottom w:w="0" w:type="dxa"/>
            <w:right w:w="0" w:type="dxa"/>
          </w:tblCellMar>
        </w:tblPrEx>
        <w:trPr>
          <w:trHeight w:val="1134" w:hRule="exact"/>
        </w:trPr>
        <w:tc>
          <w:tcPr>
            <w:tcW w:w="470"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3158A8C1">
            <w:pPr>
              <w:widowControl/>
              <w:ind w:firstLine="420" w:firstLineChars="200"/>
              <w:rPr>
                <w:rFonts w:ascii="仿宋_GB2312" w:hAnsi="等线" w:eastAsia="仿宋_GB2312" w:cs="宋体"/>
                <w:kern w:val="0"/>
                <w:sz w:val="21"/>
                <w:szCs w:val="21"/>
              </w:rPr>
            </w:pPr>
            <w:r>
              <w:rPr>
                <w:rFonts w:hint="eastAsia" w:ascii="仿宋_GB2312" w:hAnsi="等线" w:eastAsia="仿宋_GB2312" w:cs="宋体"/>
                <w:kern w:val="0"/>
                <w:sz w:val="21"/>
                <w:szCs w:val="21"/>
              </w:rPr>
              <w:t>3</w:t>
            </w:r>
          </w:p>
        </w:tc>
        <w:tc>
          <w:tcPr>
            <w:tcW w:w="470"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314EBCB8">
            <w:pPr>
              <w:widowControl/>
              <w:ind w:firstLine="420" w:firstLineChars="200"/>
              <w:rPr>
                <w:rFonts w:ascii="仿宋_GB2312" w:hAnsi="等线" w:eastAsia="仿宋_GB2312" w:cs="宋体"/>
                <w:kern w:val="0"/>
                <w:sz w:val="21"/>
                <w:szCs w:val="21"/>
              </w:rPr>
            </w:pPr>
          </w:p>
        </w:tc>
        <w:tc>
          <w:tcPr>
            <w:tcW w:w="442" w:type="pct"/>
            <w:tcBorders>
              <w:top w:val="single" w:color="000000" w:sz="6" w:space="0"/>
              <w:left w:val="single" w:color="000000" w:sz="6" w:space="0"/>
              <w:bottom w:val="single" w:color="000000" w:sz="6" w:space="0"/>
              <w:right w:val="single" w:color="000000" w:sz="6" w:space="0"/>
            </w:tcBorders>
          </w:tcPr>
          <w:p w14:paraId="34AAB90F">
            <w:pPr>
              <w:widowControl/>
              <w:ind w:firstLine="420" w:firstLineChars="200"/>
              <w:rPr>
                <w:rFonts w:ascii="仿宋_GB2312" w:hAnsi="等线" w:eastAsia="仿宋_GB2312" w:cs="宋体"/>
                <w:kern w:val="0"/>
                <w:sz w:val="21"/>
                <w:szCs w:val="21"/>
              </w:rPr>
            </w:pPr>
          </w:p>
        </w:tc>
        <w:tc>
          <w:tcPr>
            <w:tcW w:w="442" w:type="pct"/>
            <w:tcBorders>
              <w:top w:val="single" w:color="000000" w:sz="6" w:space="0"/>
              <w:left w:val="single" w:color="000000" w:sz="6" w:space="0"/>
              <w:bottom w:val="single" w:color="000000" w:sz="6" w:space="0"/>
              <w:right w:val="single" w:color="000000" w:sz="6" w:space="0"/>
            </w:tcBorders>
          </w:tcPr>
          <w:p w14:paraId="148A429A">
            <w:pPr>
              <w:widowControl/>
              <w:ind w:firstLine="420" w:firstLineChars="200"/>
              <w:rPr>
                <w:rFonts w:ascii="仿宋_GB2312" w:hAnsi="等线" w:eastAsia="仿宋_GB2312" w:cs="宋体"/>
                <w:kern w:val="0"/>
                <w:sz w:val="21"/>
                <w:szCs w:val="21"/>
              </w:rPr>
            </w:pPr>
          </w:p>
        </w:tc>
        <w:tc>
          <w:tcPr>
            <w:tcW w:w="469" w:type="pct"/>
            <w:tcBorders>
              <w:top w:val="single" w:color="000000" w:sz="6" w:space="0"/>
              <w:left w:val="single" w:color="000000" w:sz="6" w:space="0"/>
              <w:bottom w:val="single" w:color="000000" w:sz="6" w:space="0"/>
              <w:right w:val="single" w:color="auto" w:sz="4" w:space="0"/>
            </w:tcBorders>
            <w:tcMar>
              <w:top w:w="30" w:type="dxa"/>
              <w:left w:w="30" w:type="dxa"/>
              <w:bottom w:w="30" w:type="dxa"/>
              <w:right w:w="30" w:type="dxa"/>
            </w:tcMar>
            <w:vAlign w:val="center"/>
          </w:tcPr>
          <w:p w14:paraId="1729D2BB">
            <w:pPr>
              <w:widowControl/>
              <w:ind w:firstLine="420" w:firstLineChars="200"/>
              <w:rPr>
                <w:rFonts w:ascii="仿宋_GB2312" w:hAnsi="等线" w:eastAsia="仿宋_GB2312" w:cs="宋体"/>
                <w:kern w:val="0"/>
                <w:sz w:val="21"/>
                <w:szCs w:val="21"/>
              </w:rPr>
            </w:pPr>
          </w:p>
        </w:tc>
        <w:tc>
          <w:tcPr>
            <w:tcW w:w="469" w:type="pct"/>
            <w:tcBorders>
              <w:top w:val="single" w:color="000000" w:sz="6" w:space="0"/>
              <w:left w:val="single" w:color="000000" w:sz="6" w:space="0"/>
              <w:bottom w:val="single" w:color="000000" w:sz="6" w:space="0"/>
              <w:right w:val="single" w:color="auto" w:sz="4" w:space="0"/>
            </w:tcBorders>
            <w:tcMar>
              <w:top w:w="30" w:type="dxa"/>
              <w:left w:w="30" w:type="dxa"/>
              <w:bottom w:w="30" w:type="dxa"/>
              <w:right w:w="30" w:type="dxa"/>
            </w:tcMar>
            <w:vAlign w:val="center"/>
          </w:tcPr>
          <w:p w14:paraId="3A862008">
            <w:pPr>
              <w:widowControl/>
              <w:ind w:firstLine="420" w:firstLineChars="200"/>
              <w:rPr>
                <w:rFonts w:ascii="仿宋_GB2312" w:hAnsi="等线" w:eastAsia="仿宋_GB2312" w:cs="宋体"/>
                <w:kern w:val="0"/>
                <w:sz w:val="21"/>
                <w:szCs w:val="21"/>
              </w:rPr>
            </w:pPr>
          </w:p>
        </w:tc>
        <w:tc>
          <w:tcPr>
            <w:tcW w:w="438" w:type="pct"/>
            <w:tcBorders>
              <w:top w:val="single" w:color="000000" w:sz="6" w:space="0"/>
              <w:left w:val="single" w:color="auto" w:sz="4" w:space="0"/>
              <w:bottom w:val="single" w:color="000000" w:sz="6" w:space="0"/>
              <w:right w:val="single" w:color="000000" w:sz="2" w:space="0"/>
            </w:tcBorders>
            <w:vAlign w:val="center"/>
          </w:tcPr>
          <w:p w14:paraId="4687B36A">
            <w:pPr>
              <w:widowControl/>
              <w:ind w:firstLine="420" w:firstLineChars="200"/>
              <w:rPr>
                <w:rFonts w:ascii="仿宋_GB2312" w:hAnsi="等线" w:eastAsia="仿宋_GB2312" w:cs="宋体"/>
                <w:kern w:val="0"/>
                <w:sz w:val="21"/>
                <w:szCs w:val="21"/>
              </w:rPr>
            </w:pPr>
          </w:p>
        </w:tc>
        <w:tc>
          <w:tcPr>
            <w:tcW w:w="438" w:type="pct"/>
            <w:tcBorders>
              <w:top w:val="single" w:color="000000" w:sz="6" w:space="0"/>
              <w:left w:val="single" w:color="000000" w:sz="2" w:space="0"/>
              <w:bottom w:val="single" w:color="000000" w:sz="6" w:space="0"/>
              <w:right w:val="single" w:color="auto" w:sz="4" w:space="0"/>
            </w:tcBorders>
            <w:vAlign w:val="center"/>
          </w:tcPr>
          <w:p w14:paraId="5EFAC18C">
            <w:pPr>
              <w:widowControl/>
              <w:ind w:firstLine="420" w:firstLineChars="200"/>
              <w:rPr>
                <w:rFonts w:ascii="仿宋_GB2312" w:hAnsi="等线" w:eastAsia="仿宋_GB2312" w:cs="宋体"/>
                <w:kern w:val="0"/>
                <w:sz w:val="21"/>
                <w:szCs w:val="21"/>
              </w:rPr>
            </w:pPr>
          </w:p>
        </w:tc>
        <w:tc>
          <w:tcPr>
            <w:tcW w:w="441" w:type="pct"/>
            <w:tcBorders>
              <w:top w:val="single" w:color="000000" w:sz="6" w:space="0"/>
              <w:left w:val="single" w:color="auto" w:sz="4" w:space="0"/>
              <w:bottom w:val="single" w:color="000000" w:sz="6" w:space="0"/>
              <w:right w:val="single" w:color="000000" w:sz="6" w:space="0"/>
            </w:tcBorders>
            <w:vAlign w:val="center"/>
          </w:tcPr>
          <w:p w14:paraId="54E0021B">
            <w:pPr>
              <w:widowControl/>
              <w:ind w:firstLine="420" w:firstLineChars="200"/>
              <w:rPr>
                <w:rFonts w:ascii="仿宋_GB2312" w:hAnsi="等线" w:eastAsia="仿宋_GB2312" w:cs="宋体"/>
                <w:kern w:val="0"/>
                <w:sz w:val="21"/>
                <w:szCs w:val="21"/>
              </w:rPr>
            </w:pPr>
          </w:p>
        </w:tc>
        <w:tc>
          <w:tcPr>
            <w:tcW w:w="12" w:type="pct"/>
            <w:tcBorders>
              <w:top w:val="single" w:color="000000" w:sz="6" w:space="0"/>
              <w:left w:val="single" w:color="000000" w:sz="6" w:space="0"/>
              <w:bottom w:val="single" w:color="000000" w:sz="6" w:space="0"/>
              <w:right w:val="single" w:color="000000" w:sz="6" w:space="0"/>
            </w:tcBorders>
          </w:tcPr>
          <w:p w14:paraId="30BDB561">
            <w:pPr>
              <w:widowControl/>
              <w:ind w:firstLine="420" w:firstLineChars="200"/>
              <w:rPr>
                <w:rFonts w:ascii="仿宋_GB2312" w:hAnsi="等线" w:eastAsia="仿宋_GB2312" w:cs="宋体"/>
                <w:kern w:val="0"/>
                <w:sz w:val="21"/>
                <w:szCs w:val="21"/>
              </w:rPr>
            </w:pPr>
          </w:p>
        </w:tc>
        <w:tc>
          <w:tcPr>
            <w:tcW w:w="469" w:type="pct"/>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78E40F78">
            <w:pPr>
              <w:widowControl/>
              <w:ind w:firstLine="420" w:firstLineChars="200"/>
              <w:rPr>
                <w:rFonts w:ascii="仿宋_GB2312" w:hAnsi="等线" w:eastAsia="仿宋_GB2312" w:cs="宋体"/>
                <w:kern w:val="0"/>
                <w:sz w:val="21"/>
                <w:szCs w:val="21"/>
              </w:rPr>
            </w:pPr>
          </w:p>
        </w:tc>
        <w:tc>
          <w:tcPr>
            <w:tcW w:w="442" w:type="pct"/>
            <w:tcBorders>
              <w:top w:val="single" w:color="000000" w:sz="6" w:space="0"/>
              <w:left w:val="single" w:color="000000" w:sz="6" w:space="0"/>
              <w:bottom w:val="single" w:color="000000" w:sz="6" w:space="0"/>
              <w:right w:val="single" w:color="000000" w:sz="6" w:space="0"/>
            </w:tcBorders>
            <w:vAlign w:val="center"/>
          </w:tcPr>
          <w:p w14:paraId="60326880">
            <w:pPr>
              <w:widowControl/>
              <w:ind w:firstLine="420" w:firstLineChars="200"/>
              <w:rPr>
                <w:rFonts w:ascii="仿宋_GB2312" w:hAnsi="等线" w:eastAsia="仿宋_GB2312" w:cs="宋体"/>
                <w:kern w:val="0"/>
                <w:sz w:val="21"/>
                <w:szCs w:val="21"/>
              </w:rPr>
            </w:pPr>
          </w:p>
        </w:tc>
      </w:tr>
    </w:tbl>
    <w:p w14:paraId="1056481B">
      <w:pPr>
        <w:spacing w:line="600" w:lineRule="exact"/>
        <w:ind w:firstLine="560" w:firstLineChars="200"/>
        <w:rPr>
          <w:rFonts w:ascii="仿宋_GB2312" w:hAnsi="等线" w:eastAsia="仿宋_GB2312"/>
          <w:b/>
          <w:szCs w:val="28"/>
        </w:rPr>
      </w:pPr>
      <w:r>
        <w:rPr>
          <w:rFonts w:hint="eastAsia" w:ascii="黑体" w:hAnsi="黑体" w:eastAsia="黑体" w:cs="黑体"/>
          <w:bCs/>
          <w:szCs w:val="28"/>
        </w:rPr>
        <w:t>合计人民币金额（大写）：</w:t>
      </w:r>
      <w:bookmarkStart w:id="42" w:name="合同金额大写"/>
      <w:bookmarkEnd w:id="42"/>
      <w:r>
        <w:rPr>
          <w:rFonts w:hint="eastAsia" w:ascii="仿宋_GB2312" w:hAnsi="等线" w:eastAsia="仿宋_GB2312"/>
          <w:b/>
          <w:szCs w:val="28"/>
          <w:u w:val="single"/>
        </w:rPr>
        <w:t xml:space="preserve">                 </w:t>
      </w:r>
    </w:p>
    <w:p w14:paraId="5918DE71">
      <w:pPr>
        <w:spacing w:line="600" w:lineRule="exact"/>
        <w:ind w:firstLine="560" w:firstLineChars="200"/>
        <w:rPr>
          <w:rFonts w:ascii="仿宋_GB2312" w:hAnsi="等线" w:eastAsia="仿宋_GB2312"/>
          <w:b/>
          <w:szCs w:val="28"/>
        </w:rPr>
      </w:pPr>
      <w:r>
        <w:rPr>
          <w:rFonts w:hint="eastAsia" w:ascii="黑体" w:hAnsi="黑体" w:eastAsia="黑体" w:cs="黑体"/>
          <w:bCs/>
          <w:szCs w:val="28"/>
        </w:rPr>
        <w:t>合计人民币金额（小写）：</w:t>
      </w:r>
      <w:bookmarkStart w:id="43" w:name="合同金额小写"/>
      <w:bookmarkEnd w:id="43"/>
      <w:r>
        <w:rPr>
          <w:rFonts w:hint="eastAsia" w:ascii="仿宋_GB2312" w:hAnsi="等线" w:eastAsia="仿宋_GB2312"/>
          <w:b/>
          <w:szCs w:val="28"/>
        </w:rPr>
        <w:t>¥</w:t>
      </w:r>
      <w:r>
        <w:rPr>
          <w:rFonts w:hint="eastAsia" w:ascii="黑体" w:hAnsi="黑体" w:eastAsia="黑体" w:cs="黑体"/>
          <w:bCs/>
          <w:szCs w:val="28"/>
          <w:u w:val="single"/>
        </w:rPr>
        <w:t xml:space="preserve">  </w:t>
      </w:r>
      <w:r>
        <w:rPr>
          <w:rFonts w:hint="eastAsia" w:ascii="仿宋_GB2312" w:hAnsi="等线" w:eastAsia="仿宋_GB2312"/>
          <w:b/>
          <w:szCs w:val="28"/>
          <w:u w:val="single"/>
        </w:rPr>
        <w:t xml:space="preserve">     </w:t>
      </w:r>
      <w:r>
        <w:rPr>
          <w:rFonts w:ascii="仿宋_GB2312" w:hAnsi="等线" w:eastAsia="仿宋_GB2312"/>
          <w:b/>
          <w:szCs w:val="28"/>
          <w:u w:val="single"/>
        </w:rPr>
        <w:t xml:space="preserve">        </w:t>
      </w:r>
    </w:p>
    <w:p w14:paraId="2A1A7C74">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注：1.以上合同总价已包括运抵甲方的运费、包装费用、装卸费用、运输保险费用、安装调试费、培训费、增值税等所有税费及正常使用必备的附件价格等全部费用，除以上合同总价外，甲方无需就本合同支付其它费用。</w:t>
      </w:r>
    </w:p>
    <w:p w14:paraId="55253B17">
      <w:pPr>
        <w:spacing w:line="600" w:lineRule="exact"/>
        <w:ind w:firstLine="560" w:firstLineChars="200"/>
        <w:rPr>
          <w:rFonts w:ascii="仿宋_GB2312" w:hAnsi="等线" w:eastAsia="仿宋_GB2312" w:cs="黑体"/>
          <w:szCs w:val="28"/>
        </w:rPr>
      </w:pPr>
      <w:r>
        <w:rPr>
          <w:rFonts w:ascii="仿宋_GB2312" w:hAnsi="等线" w:eastAsia="仿宋_GB2312" w:cs="黑体"/>
          <w:szCs w:val="28"/>
        </w:rPr>
        <w:t>2.如有产品详细配置清单、售后服务及验收标准等，详见附件技术协议。</w:t>
      </w:r>
    </w:p>
    <w:p w14:paraId="1058D01A">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3.甲方根据实际情况需要增减合同内货物采购数量的，经双方协商一致后以书面补充协议形式予以增减，单价不变，最后总价按实结算。</w:t>
      </w:r>
    </w:p>
    <w:p w14:paraId="3A343AC1">
      <w:pPr>
        <w:spacing w:line="600" w:lineRule="exact"/>
        <w:ind w:firstLine="560" w:firstLineChars="200"/>
        <w:rPr>
          <w:rFonts w:ascii="黑体" w:hAnsi="黑体" w:eastAsia="黑体" w:cs="黑体"/>
          <w:bCs/>
          <w:szCs w:val="28"/>
        </w:rPr>
      </w:pPr>
      <w:r>
        <w:rPr>
          <w:rFonts w:hint="eastAsia" w:ascii="黑体" w:hAnsi="黑体" w:eastAsia="黑体" w:cs="黑体"/>
          <w:bCs/>
          <w:szCs w:val="28"/>
        </w:rPr>
        <w:t xml:space="preserve">第二条 货物质量标准  </w:t>
      </w:r>
    </w:p>
    <w:p w14:paraId="00BED8A1">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 xml:space="preserve">1.乙方提供的货物质量标准按以下约定执行： </w:t>
      </w:r>
    </w:p>
    <w:p w14:paraId="34895C26">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质量功能标准应当符合甲方提供的技术指标中所规定的质量标准。除非双方另行约定，乙方提供的货物质量应符合同类同规格货物的国家质量标准及行业质量标准，上述质量标准区分等级的，则应符合最高级别的标准；如没有上述标准的，则应具备该类货物通常所应具备的使用功能和质量标准，且能正常运行和使用。</w:t>
      </w:r>
    </w:p>
    <w:p w14:paraId="14A0F879">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（2）乙方保证本合同中所供应的国产商品是20</w:t>
      </w:r>
      <w:r>
        <w:rPr>
          <w:rFonts w:hint="eastAsia" w:ascii="仿宋_GB2312" w:hAnsi="等线" w:eastAsia="仿宋_GB2312" w:cs="黑体"/>
          <w:szCs w:val="28"/>
          <w:u w:val="single"/>
        </w:rPr>
        <w:t xml:space="preserve">  </w:t>
      </w:r>
      <w:r>
        <w:rPr>
          <w:rFonts w:hint="eastAsia" w:ascii="仿宋_GB2312" w:hAnsi="等线" w:eastAsia="仿宋_GB2312" w:cs="黑体"/>
          <w:szCs w:val="28"/>
        </w:rPr>
        <w:t>年</w:t>
      </w:r>
      <w:r>
        <w:rPr>
          <w:rFonts w:hint="eastAsia" w:ascii="仿宋_GB2312" w:hAnsi="等线" w:eastAsia="仿宋_GB2312" w:cs="黑体"/>
          <w:szCs w:val="28"/>
          <w:u w:val="single"/>
        </w:rPr>
        <w:t xml:space="preserve">  </w:t>
      </w:r>
      <w:r>
        <w:rPr>
          <w:rFonts w:hint="eastAsia" w:ascii="仿宋_GB2312" w:hAnsi="等线" w:eastAsia="仿宋_GB2312" w:cs="黑体"/>
          <w:szCs w:val="28"/>
        </w:rPr>
        <w:t>月</w:t>
      </w:r>
      <w:r>
        <w:rPr>
          <w:rFonts w:hint="eastAsia" w:ascii="仿宋_GB2312" w:hAnsi="等线" w:eastAsia="仿宋_GB2312" w:cs="黑体"/>
          <w:szCs w:val="28"/>
          <w:u w:val="single"/>
        </w:rPr>
        <w:t xml:space="preserve">  </w:t>
      </w:r>
      <w:r>
        <w:rPr>
          <w:rFonts w:hint="eastAsia" w:ascii="仿宋_GB2312" w:hAnsi="等线" w:eastAsia="仿宋_GB2312" w:cs="黑体"/>
          <w:szCs w:val="28"/>
        </w:rPr>
        <w:t>日以后生产的，符合国家法律规定和技术规格、质量标准的出厂原装合格产品；进口商品是获得国家相关部门颁布安全质量许可证（如需）的出厂原装合格产品。如发生所供商品与合同（型号、指标、性能等）不符，甲方有权拒收或退货，由此产生的一切责任和后果由乙方承担。</w:t>
      </w:r>
    </w:p>
    <w:p w14:paraId="7E68F0B0">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3）如甲方在本合同或附件中已指明所购货物品牌型号的，则货物应为甲方所指定品牌型号的原厂商生产的、完整、全新、未使用过的成套成品货物（含零部件、配件、随机工具、技术文件等），货物品质不低于原厂商同类同规格货物品质标准。货物内附质量说明或使用说明的，乙方同时保证货物质量与内附说明一致，保证货物能按照货物内附说明正常运行或使用。</w:t>
      </w:r>
    </w:p>
    <w:p w14:paraId="1AE6975F">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4）乙方保证货物中的软件（若有）应当与本合同及附件中的描述或要求一致，软件质量、功能与附带的说明一致，且已通过乙方（乙方为原厂商时）或原厂商（若乙方非原厂商）质量测试和检验，能正常运行或使用。</w:t>
      </w:r>
    </w:p>
    <w:p w14:paraId="1B49EA4F">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乙方应当向甲方提供相应的软件使用许可，并按甲方要求提供乙方或软件的原厂商（若乙方非软件的原厂商）正式签发的软件使用许可的授权证明文件。</w:t>
      </w:r>
    </w:p>
    <w:p w14:paraId="7DAEA785">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乙方保证货物中的软件不包含任何明显的或主要的缺陷、错误，不包含任何恶意的、破坏性的或可能导致未经授权者侵入、操作、控制计算机或计算机数据的计算机病毒、木马程序、后门程序等程序设计或程序代码。</w:t>
      </w:r>
    </w:p>
    <w:p w14:paraId="305D9CD1">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（5）甲方对货物质量的其他要求:</w:t>
      </w:r>
      <w:r>
        <w:rPr>
          <w:rFonts w:hint="eastAsia" w:ascii="仿宋_GB2312" w:hAnsi="等线" w:eastAsia="仿宋_GB2312" w:cs="黑体"/>
          <w:szCs w:val="28"/>
          <w:u w:val="single"/>
        </w:rPr>
        <w:t xml:space="preserve">              </w:t>
      </w:r>
      <w:r>
        <w:rPr>
          <w:rFonts w:hint="eastAsia" w:ascii="仿宋_GB2312" w:hAnsi="等线" w:eastAsia="仿宋_GB2312" w:cs="黑体"/>
          <w:szCs w:val="28"/>
        </w:rPr>
        <w:t>。</w:t>
      </w:r>
    </w:p>
    <w:p w14:paraId="1255CF60">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2.乙方保证提供给甲方的货物符合本条有关货物质量标准的约定，且货物已通过原厂商质量测试和检验，并附带质量合格证书。货物序列号、包装箱号应与出厂批号一致，可追索查阅。若乙方非原厂商应确保进货渠道合法。</w:t>
      </w:r>
    </w:p>
    <w:p w14:paraId="01015A5D">
      <w:pPr>
        <w:spacing w:line="600" w:lineRule="exact"/>
        <w:ind w:firstLine="560" w:firstLineChars="200"/>
        <w:rPr>
          <w:rFonts w:ascii="黑体" w:hAnsi="黑体" w:eastAsia="黑体" w:cs="黑体"/>
          <w:bCs/>
          <w:szCs w:val="28"/>
        </w:rPr>
      </w:pPr>
      <w:r>
        <w:rPr>
          <w:rFonts w:hint="eastAsia" w:ascii="黑体" w:hAnsi="黑体" w:eastAsia="黑体" w:cs="黑体"/>
          <w:bCs/>
          <w:szCs w:val="28"/>
        </w:rPr>
        <w:t>第三条 货物包装和附件</w:t>
      </w:r>
    </w:p>
    <w:p w14:paraId="2BF45603">
      <w:pPr>
        <w:spacing w:line="600" w:lineRule="exact"/>
        <w:ind w:firstLine="560" w:firstLineChars="200"/>
        <w:rPr>
          <w:rFonts w:ascii="仿宋_GB2312" w:hAnsi="等线" w:eastAsia="仿宋_GB2312"/>
          <w:szCs w:val="28"/>
        </w:rPr>
      </w:pPr>
      <w:r>
        <w:rPr>
          <w:rFonts w:hint="eastAsia" w:ascii="仿宋_GB2312" w:hAnsi="等线" w:eastAsia="仿宋_GB2312"/>
          <w:szCs w:val="28"/>
        </w:rPr>
        <w:t>1.货物的包装应适于长途运输和反复装卸，并且乙方应根据货物不同的特性和要求采取防潮、防雨、防锈、防震、防腐等保护措施，以保证货物安全无损地到达甲方指定地点。货物必须洁净完好、无划痕、无凹陷、无褪色、无锈迹，包装外观完好、无破损。乙方将承担因包装不当导致交付的合同标的物受损的责任。</w:t>
      </w:r>
    </w:p>
    <w:p w14:paraId="57947BB8">
      <w:pPr>
        <w:spacing w:line="600" w:lineRule="exact"/>
        <w:ind w:firstLine="560" w:firstLineChars="200"/>
        <w:rPr>
          <w:rFonts w:ascii="仿宋_GB2312" w:hAnsi="等线" w:eastAsia="仿宋_GB2312"/>
          <w:szCs w:val="28"/>
        </w:rPr>
      </w:pPr>
      <w:r>
        <w:rPr>
          <w:rFonts w:hint="eastAsia" w:ascii="仿宋_GB2312" w:hAnsi="等线" w:eastAsia="仿宋_GB2312"/>
          <w:szCs w:val="28"/>
        </w:rPr>
        <w:t>2.乙方在交付产品的同时需向甲方提供有关货物的相关资料和必备附件，包括但不限于：商品目录、安装图纸、技术规格、使用说明、其他技术资料（如有）、质量检验合格证书、质量保证书、保修卡等相关文件或技术资料，文件或技术资料应当清晰、正确和完整。</w:t>
      </w:r>
    </w:p>
    <w:p w14:paraId="765B23E2">
      <w:pPr>
        <w:spacing w:line="600" w:lineRule="exact"/>
        <w:ind w:firstLine="560" w:firstLineChars="200"/>
        <w:rPr>
          <w:rFonts w:ascii="黑体" w:hAnsi="黑体" w:eastAsia="黑体" w:cs="黑体"/>
          <w:bCs/>
          <w:szCs w:val="28"/>
        </w:rPr>
      </w:pPr>
      <w:r>
        <w:rPr>
          <w:rFonts w:hint="eastAsia" w:ascii="黑体" w:hAnsi="黑体" w:eastAsia="黑体" w:cs="黑体"/>
          <w:bCs/>
          <w:szCs w:val="28"/>
        </w:rPr>
        <w:t>第四条 货物交付与初验</w:t>
      </w:r>
    </w:p>
    <w:p w14:paraId="217C9C20">
      <w:pPr>
        <w:spacing w:line="600" w:lineRule="exact"/>
        <w:ind w:firstLine="560" w:firstLineChars="200"/>
        <w:rPr>
          <w:rFonts w:ascii="仿宋_GB2312" w:hAnsi="等线" w:eastAsia="仿宋_GB2312"/>
          <w:szCs w:val="28"/>
          <w:u w:val="single"/>
        </w:rPr>
      </w:pPr>
      <w:r>
        <w:rPr>
          <w:rFonts w:hint="eastAsia" w:ascii="仿宋_GB2312" w:hAnsi="等线" w:eastAsia="仿宋_GB2312"/>
          <w:szCs w:val="28"/>
        </w:rPr>
        <w:t>1.交货期：合同签订后</w:t>
      </w:r>
      <w:r>
        <w:rPr>
          <w:rFonts w:hint="eastAsia" w:ascii="仿宋_GB2312" w:hAnsi="等线" w:eastAsia="仿宋_GB2312"/>
          <w:szCs w:val="28"/>
          <w:u w:val="single"/>
        </w:rPr>
        <w:t xml:space="preserve">   </w:t>
      </w:r>
      <w:r>
        <w:rPr>
          <w:rFonts w:hint="eastAsia" w:ascii="仿宋_GB2312" w:hAnsi="等线" w:eastAsia="仿宋_GB2312"/>
          <w:szCs w:val="28"/>
        </w:rPr>
        <w:t>个工作日。</w:t>
      </w:r>
    </w:p>
    <w:p w14:paraId="447E3764">
      <w:pPr>
        <w:spacing w:line="600" w:lineRule="exact"/>
        <w:ind w:firstLine="560" w:firstLineChars="200"/>
        <w:rPr>
          <w:rFonts w:ascii="仿宋_GB2312" w:hAnsi="等线" w:eastAsia="仿宋_GB2312"/>
          <w:szCs w:val="28"/>
        </w:rPr>
      </w:pPr>
      <w:r>
        <w:rPr>
          <w:rFonts w:hint="eastAsia" w:ascii="仿宋_GB2312" w:hAnsi="等线" w:eastAsia="仿宋_GB2312"/>
          <w:szCs w:val="28"/>
        </w:rPr>
        <w:t>2.交货方式：合同签订后，乙方须将所供商品安全运至指定地点，并负责安装调试完成。</w:t>
      </w:r>
    </w:p>
    <w:p w14:paraId="391FC0E9">
      <w:pPr>
        <w:spacing w:line="600" w:lineRule="exact"/>
        <w:ind w:firstLine="560" w:firstLineChars="200"/>
        <w:rPr>
          <w:rFonts w:ascii="仿宋_GB2312" w:hAnsi="等线" w:eastAsia="仿宋_GB2312"/>
          <w:szCs w:val="28"/>
        </w:rPr>
      </w:pPr>
      <w:r>
        <w:rPr>
          <w:rFonts w:hint="eastAsia" w:ascii="仿宋_GB2312" w:hAnsi="等线" w:eastAsia="仿宋_GB2312"/>
          <w:szCs w:val="28"/>
        </w:rPr>
        <w:t>3.收货人：</w:t>
      </w:r>
      <w:r>
        <w:rPr>
          <w:rFonts w:hint="eastAsia" w:ascii="仿宋_GB2312" w:hAnsi="等线" w:eastAsia="仿宋_GB2312"/>
          <w:szCs w:val="28"/>
          <w:u w:val="single"/>
        </w:rPr>
        <w:t xml:space="preserve">         </w:t>
      </w:r>
      <w:r>
        <w:rPr>
          <w:rFonts w:hint="eastAsia" w:ascii="仿宋_GB2312" w:hAnsi="等线" w:eastAsia="仿宋_GB2312"/>
          <w:szCs w:val="28"/>
        </w:rPr>
        <w:t>；联系方式：</w:t>
      </w:r>
      <w:r>
        <w:rPr>
          <w:rFonts w:hint="eastAsia" w:ascii="仿宋_GB2312" w:hAnsi="等线" w:eastAsia="仿宋_GB2312"/>
          <w:szCs w:val="28"/>
          <w:u w:val="single"/>
        </w:rPr>
        <w:t xml:space="preserve">                </w:t>
      </w:r>
      <w:r>
        <w:rPr>
          <w:rFonts w:hint="eastAsia" w:ascii="仿宋_GB2312" w:hAnsi="等线" w:eastAsia="仿宋_GB2312"/>
          <w:szCs w:val="28"/>
        </w:rPr>
        <w:t>；联系邮箱：</w:t>
      </w:r>
      <w:r>
        <w:rPr>
          <w:rFonts w:hint="eastAsia" w:ascii="仿宋_GB2312" w:hAnsi="等线" w:eastAsia="仿宋_GB2312"/>
          <w:szCs w:val="28"/>
          <w:u w:val="single"/>
        </w:rPr>
        <w:t xml:space="preserve">                </w:t>
      </w:r>
      <w:r>
        <w:rPr>
          <w:rFonts w:hint="eastAsia" w:ascii="仿宋_GB2312" w:hAnsi="等线" w:eastAsia="仿宋_GB2312"/>
          <w:szCs w:val="28"/>
        </w:rPr>
        <w:t>。</w:t>
      </w:r>
    </w:p>
    <w:p w14:paraId="12386C5C">
      <w:pPr>
        <w:spacing w:line="600" w:lineRule="exact"/>
        <w:ind w:firstLine="560" w:firstLineChars="200"/>
        <w:rPr>
          <w:rFonts w:ascii="仿宋_GB2312" w:hAnsi="等线" w:eastAsia="仿宋_GB2312"/>
          <w:szCs w:val="28"/>
        </w:rPr>
      </w:pPr>
      <w:r>
        <w:rPr>
          <w:rFonts w:hint="eastAsia" w:ascii="仿宋_GB2312" w:hAnsi="等线" w:eastAsia="仿宋_GB2312"/>
          <w:szCs w:val="28"/>
        </w:rPr>
        <w:t>供货人：</w:t>
      </w:r>
      <w:r>
        <w:rPr>
          <w:rFonts w:hint="eastAsia" w:ascii="仿宋_GB2312" w:hAnsi="等线" w:eastAsia="仿宋_GB2312"/>
          <w:szCs w:val="28"/>
          <w:u w:val="single"/>
        </w:rPr>
        <w:t xml:space="preserve">          </w:t>
      </w:r>
      <w:r>
        <w:rPr>
          <w:rFonts w:hint="eastAsia" w:ascii="仿宋_GB2312" w:hAnsi="等线" w:eastAsia="仿宋_GB2312"/>
          <w:szCs w:val="28"/>
        </w:rPr>
        <w:t xml:space="preserve"> ；联系方式：</w:t>
      </w:r>
      <w:r>
        <w:rPr>
          <w:rFonts w:hint="eastAsia" w:ascii="仿宋_GB2312" w:hAnsi="等线" w:eastAsia="仿宋_GB2312"/>
          <w:szCs w:val="28"/>
          <w:u w:val="single"/>
        </w:rPr>
        <w:t xml:space="preserve">                </w:t>
      </w:r>
      <w:r>
        <w:rPr>
          <w:rFonts w:hint="eastAsia" w:ascii="仿宋_GB2312" w:hAnsi="等线" w:eastAsia="仿宋_GB2312"/>
          <w:szCs w:val="28"/>
        </w:rPr>
        <w:t>；联系邮箱：</w:t>
      </w:r>
      <w:r>
        <w:rPr>
          <w:rFonts w:hint="eastAsia" w:ascii="仿宋_GB2312" w:hAnsi="等线" w:eastAsia="仿宋_GB2312"/>
          <w:szCs w:val="28"/>
          <w:u w:val="single"/>
        </w:rPr>
        <w:t xml:space="preserve">                </w:t>
      </w:r>
      <w:r>
        <w:rPr>
          <w:rFonts w:hint="eastAsia" w:ascii="仿宋_GB2312" w:hAnsi="等线" w:eastAsia="仿宋_GB2312"/>
          <w:szCs w:val="28"/>
        </w:rPr>
        <w:t>。</w:t>
      </w:r>
    </w:p>
    <w:p w14:paraId="19A1C45D">
      <w:pPr>
        <w:spacing w:line="600" w:lineRule="exact"/>
        <w:ind w:firstLine="560" w:firstLineChars="200"/>
        <w:rPr>
          <w:rFonts w:ascii="仿宋_GB2312" w:hAnsi="等线" w:eastAsia="仿宋_GB2312"/>
          <w:szCs w:val="28"/>
        </w:rPr>
      </w:pPr>
      <w:r>
        <w:rPr>
          <w:rFonts w:hint="eastAsia" w:ascii="仿宋_GB2312" w:hAnsi="等线" w:eastAsia="仿宋_GB2312"/>
          <w:szCs w:val="28"/>
        </w:rPr>
        <w:t>4.收货地址：</w:t>
      </w:r>
      <w:r>
        <w:rPr>
          <w:rFonts w:hint="eastAsia" w:ascii="仿宋_GB2312" w:hAnsi="等线" w:eastAsia="仿宋_GB2312"/>
          <w:szCs w:val="28"/>
          <w:u w:val="single"/>
        </w:rPr>
        <w:t>浙江省杭州市萧山区建设三路733号浙江大学杭州国际科创中心指定实验室</w:t>
      </w:r>
      <w:r>
        <w:rPr>
          <w:rFonts w:hint="eastAsia" w:ascii="仿宋_GB2312" w:hAnsi="等线" w:eastAsia="仿宋_GB2312"/>
          <w:szCs w:val="28"/>
        </w:rPr>
        <w:t>。</w:t>
      </w:r>
    </w:p>
    <w:p w14:paraId="6DF6ED70">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5.甲方要求变更交货地点、交货时间的，应提前</w:t>
      </w:r>
      <w:r>
        <w:rPr>
          <w:rFonts w:hint="eastAsia" w:ascii="仿宋_GB2312" w:hAnsi="等线" w:eastAsia="仿宋_GB2312" w:cs="黑体"/>
          <w:szCs w:val="28"/>
          <w:u w:val="single"/>
        </w:rPr>
        <w:t xml:space="preserve">   </w:t>
      </w:r>
      <w:r>
        <w:rPr>
          <w:rFonts w:hint="eastAsia" w:ascii="仿宋_GB2312" w:hAnsi="等线" w:eastAsia="仿宋_GB2312" w:cs="黑体"/>
          <w:szCs w:val="28"/>
        </w:rPr>
        <w:t>日通知乙方，乙方应当予以同意，由此增加的运输费用由双方协商解决。</w:t>
      </w:r>
    </w:p>
    <w:p w14:paraId="34FFD0BB">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6.乙方应当在货物运至约定交货地点前</w:t>
      </w:r>
      <w:r>
        <w:rPr>
          <w:rFonts w:hint="eastAsia" w:ascii="仿宋_GB2312" w:hAnsi="等线" w:eastAsia="仿宋_GB2312" w:cs="黑体"/>
          <w:szCs w:val="28"/>
          <w:u w:val="single"/>
        </w:rPr>
        <w:t xml:space="preserve">   </w:t>
      </w:r>
      <w:r>
        <w:rPr>
          <w:rFonts w:hint="eastAsia" w:ascii="仿宋_GB2312" w:hAnsi="等线" w:eastAsia="仿宋_GB2312" w:cs="黑体"/>
          <w:szCs w:val="28"/>
        </w:rPr>
        <w:t>日通知甲方，以便甲方做好接收准备。货物运至约定交货地点后</w:t>
      </w:r>
      <w:r>
        <w:rPr>
          <w:rFonts w:hint="eastAsia" w:ascii="仿宋_GB2312" w:hAnsi="等线" w:eastAsia="仿宋_GB2312" w:cs="黑体"/>
          <w:szCs w:val="28"/>
          <w:u w:val="single"/>
        </w:rPr>
        <w:t xml:space="preserve">   </w:t>
      </w:r>
      <w:r>
        <w:rPr>
          <w:rFonts w:hint="eastAsia" w:ascii="仿宋_GB2312" w:hAnsi="等线" w:eastAsia="仿宋_GB2312" w:cs="黑体"/>
          <w:szCs w:val="28"/>
        </w:rPr>
        <w:t>日内甲方对货物进行接收。</w:t>
      </w:r>
    </w:p>
    <w:p w14:paraId="54F77744">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7.接收时甲方有权对乙方所交货物的外包装完好程度、产品品牌、型号、数量、产地或生产厂商等是否符合本合同约定进行初验。乙方交付的货物存在损坏或短缺，或货物品牌、型号、配置等不符合约定的，甲方有权拒绝接收相应货物且乙方应按本合同约定承担违约责任。对于被拒绝接收的货物，可暂时存放甲方处，但货物毁损、灭失的风险由乙方承担；乙方应于</w:t>
      </w:r>
      <w:r>
        <w:rPr>
          <w:rFonts w:hint="eastAsia" w:ascii="仿宋_GB2312" w:hAnsi="等线" w:eastAsia="仿宋_GB2312" w:cs="黑体"/>
          <w:szCs w:val="28"/>
          <w:u w:val="single"/>
        </w:rPr>
        <w:t xml:space="preserve">   </w:t>
      </w:r>
      <w:r>
        <w:rPr>
          <w:rFonts w:hint="eastAsia" w:ascii="仿宋_GB2312" w:hAnsi="等线" w:eastAsia="仿宋_GB2312" w:cs="黑体"/>
          <w:szCs w:val="28"/>
        </w:rPr>
        <w:t>日内处理拒绝接收的货物，否则甲方有权自行处置（包括作废物处置）并不承担任何责任。初验后应由甲方根据初验结果签署到货证明。</w:t>
      </w:r>
    </w:p>
    <w:p w14:paraId="34A743AC">
      <w:pPr>
        <w:spacing w:line="600" w:lineRule="exact"/>
        <w:ind w:firstLine="560" w:firstLineChars="200"/>
        <w:rPr>
          <w:rFonts w:ascii="黑体" w:hAnsi="黑体" w:eastAsia="黑体" w:cs="黑体"/>
          <w:bCs/>
          <w:szCs w:val="28"/>
        </w:rPr>
      </w:pPr>
      <w:r>
        <w:rPr>
          <w:rFonts w:hint="eastAsia" w:ascii="黑体" w:hAnsi="黑体" w:eastAsia="黑体" w:cs="黑体"/>
          <w:bCs/>
          <w:szCs w:val="28"/>
        </w:rPr>
        <w:t>第五条  安装调试</w:t>
      </w:r>
    </w:p>
    <w:p w14:paraId="0FDBDA68">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1.安装调试适用以下第</w:t>
      </w:r>
      <w:r>
        <w:rPr>
          <w:rFonts w:hint="eastAsia" w:ascii="仿宋_GB2312" w:hAnsi="等线" w:eastAsia="仿宋_GB2312" w:cs="黑体"/>
          <w:szCs w:val="28"/>
          <w:u w:val="single"/>
        </w:rPr>
        <w:t>(   )</w:t>
      </w:r>
      <w:r>
        <w:rPr>
          <w:rFonts w:hint="eastAsia" w:ascii="仿宋_GB2312" w:hAnsi="等线" w:eastAsia="仿宋_GB2312" w:cs="黑体"/>
          <w:szCs w:val="28"/>
        </w:rPr>
        <w:t>项：</w:t>
      </w:r>
    </w:p>
    <w:p w14:paraId="00566EC0">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（1）本合同不需提供安装调试服务；</w:t>
      </w:r>
    </w:p>
    <w:p w14:paraId="0EE35A40">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（2）本合同需提供安装调试服务，乙方应在合同签订后</w:t>
      </w:r>
      <w:r>
        <w:rPr>
          <w:rFonts w:hint="eastAsia" w:ascii="仿宋_GB2312" w:hAnsi="等线" w:eastAsia="仿宋_GB2312" w:cs="黑体"/>
          <w:szCs w:val="28"/>
          <w:u w:val="single"/>
        </w:rPr>
        <w:t xml:space="preserve">   </w:t>
      </w:r>
      <w:r>
        <w:rPr>
          <w:rFonts w:hint="eastAsia" w:ascii="仿宋_GB2312" w:hAnsi="等线" w:eastAsia="仿宋_GB2312" w:cs="黑体"/>
          <w:szCs w:val="28"/>
        </w:rPr>
        <w:t>天内（最迟不晚于20</w:t>
      </w:r>
      <w:r>
        <w:rPr>
          <w:rFonts w:hint="eastAsia" w:ascii="仿宋_GB2312" w:hAnsi="等线" w:eastAsia="仿宋_GB2312" w:cs="黑体"/>
          <w:szCs w:val="28"/>
          <w:u w:val="single"/>
        </w:rPr>
        <w:t xml:space="preserve">  </w:t>
      </w:r>
      <w:r>
        <w:rPr>
          <w:rFonts w:hint="eastAsia" w:ascii="仿宋_GB2312" w:hAnsi="等线" w:eastAsia="仿宋_GB2312" w:cs="黑体"/>
          <w:szCs w:val="28"/>
        </w:rPr>
        <w:t>年</w:t>
      </w:r>
      <w:r>
        <w:rPr>
          <w:rFonts w:hint="eastAsia" w:ascii="仿宋_GB2312" w:hAnsi="等线" w:eastAsia="仿宋_GB2312" w:cs="黑体"/>
          <w:szCs w:val="28"/>
          <w:u w:val="single"/>
        </w:rPr>
        <w:t xml:space="preserve">  </w:t>
      </w:r>
      <w:r>
        <w:rPr>
          <w:rFonts w:hint="eastAsia" w:ascii="仿宋_GB2312" w:hAnsi="等线" w:eastAsia="仿宋_GB2312" w:cs="黑体"/>
          <w:szCs w:val="28"/>
        </w:rPr>
        <w:t>月</w:t>
      </w:r>
      <w:r>
        <w:rPr>
          <w:rFonts w:hint="eastAsia" w:ascii="仿宋_GB2312" w:hAnsi="等线" w:eastAsia="仿宋_GB2312" w:cs="黑体"/>
          <w:szCs w:val="28"/>
          <w:u w:val="single"/>
        </w:rPr>
        <w:t xml:space="preserve">  </w:t>
      </w:r>
      <w:r>
        <w:rPr>
          <w:rFonts w:hint="eastAsia" w:ascii="仿宋_GB2312" w:hAnsi="等线" w:eastAsia="仿宋_GB2312" w:cs="黑体"/>
          <w:szCs w:val="28"/>
        </w:rPr>
        <w:t>日）按照甲方的要求完成货物的安装调试，保证货物能够正常使用和运行，使之符合验收合格的标准。在安装调试过程中，甲方有权采取适当的方式对乙方货物质量标准、规格型号、具体配置、数量以及安装质量和进度等进行检查。甲方检查时发现乙方所供货物不符合合同约定或者乙方安装调试时造成货物损坏的，甲方有权要求乙方无条件换货或退货，乙方不同意换货或退货的，甲方有权单方解除合同，乙方应按本合同约定承担违约责任。</w:t>
      </w:r>
    </w:p>
    <w:p w14:paraId="4309F9F4">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2.若乙方并非原厂商、而本合同约定安装调试服务提供方为原厂商的，则乙方有义务联系、安排、督促、要求原厂商按照本条约定履行安装调试服务义务。原厂商未按照本合同约定履行安装调试服务义务的，视为乙方未履行义务，甲方有权按照本合同“违约责任”条款的约定要求乙方承担相应违约责任。</w:t>
      </w:r>
    </w:p>
    <w:p w14:paraId="70C6F064">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3.甲方为安装调试提供工作场地、电源等条件，货物安装调试所需的耗材应由安装调试服务提供方提供并由乙方承担费用，安装调试服务提供方在安装调试过程中应当遵守甲方工作场所的工作纪律及相关管理规定。</w:t>
      </w:r>
    </w:p>
    <w:p w14:paraId="1B012E2E">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4.在货物的安装及调试过程中，安装调试服务提供方或其聘请的雇员遭受人身、财产损害或安装调试服务提供方或其聘请的雇员令甲方或第三方遭受人身损害或财产损失，由此引起的一切责任由乙方全部承担。若甲方因此为乙方垫付任何款项，甲方有权要求乙方据实立即支付，且有权从应付乙方的价款中将上述款项自行扣除；如因此造成甲方任何损失，乙方应予以全额赔偿。</w:t>
      </w:r>
    </w:p>
    <w:p w14:paraId="17556C50">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5.其他要求：</w:t>
      </w:r>
      <w:r>
        <w:rPr>
          <w:rFonts w:hint="eastAsia" w:ascii="仿宋_GB2312" w:hAnsi="等线" w:eastAsia="仿宋_GB2312" w:cs="黑体"/>
          <w:szCs w:val="28"/>
          <w:u w:val="single"/>
        </w:rPr>
        <w:t xml:space="preserve">                      </w:t>
      </w:r>
      <w:r>
        <w:rPr>
          <w:rFonts w:hint="eastAsia" w:ascii="仿宋_GB2312" w:hAnsi="等线" w:eastAsia="仿宋_GB2312" w:cs="黑体"/>
          <w:szCs w:val="28"/>
        </w:rPr>
        <w:t>。</w:t>
      </w:r>
    </w:p>
    <w:p w14:paraId="4328E51F">
      <w:pPr>
        <w:spacing w:line="600" w:lineRule="exact"/>
        <w:ind w:firstLine="560" w:firstLineChars="200"/>
        <w:rPr>
          <w:rFonts w:ascii="黑体" w:hAnsi="黑体" w:eastAsia="黑体" w:cs="黑体"/>
          <w:bCs/>
          <w:szCs w:val="28"/>
        </w:rPr>
      </w:pPr>
      <w:r>
        <w:rPr>
          <w:rFonts w:hint="eastAsia" w:ascii="黑体" w:hAnsi="黑体" w:eastAsia="黑体" w:cs="黑体"/>
          <w:bCs/>
          <w:szCs w:val="28"/>
        </w:rPr>
        <w:t>第六条 正式验收</w:t>
      </w:r>
    </w:p>
    <w:p w14:paraId="12EAA89C">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1.验收标准：按本合同第一、二条的约定进行验收。</w:t>
      </w:r>
    </w:p>
    <w:p w14:paraId="4F53340D">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2.验收时间：乙方完成本合同第五条约定的安装调试及其他服务工作后，应当在</w:t>
      </w:r>
      <w:r>
        <w:rPr>
          <w:rFonts w:hint="eastAsia" w:ascii="仿宋_GB2312" w:hAnsi="等线" w:eastAsia="仿宋_GB2312" w:cs="黑体"/>
          <w:szCs w:val="28"/>
          <w:u w:val="single"/>
        </w:rPr>
        <w:t xml:space="preserve">   </w:t>
      </w:r>
      <w:r>
        <w:rPr>
          <w:rFonts w:hint="eastAsia" w:ascii="仿宋_GB2312" w:hAnsi="等线" w:eastAsia="仿宋_GB2312" w:cs="黑体"/>
          <w:szCs w:val="28"/>
        </w:rPr>
        <w:t>日内（乙方无需提供安装调试及其他服务的应在双方确定的交货时间之日起</w:t>
      </w:r>
      <w:r>
        <w:rPr>
          <w:rFonts w:hint="eastAsia" w:ascii="仿宋_GB2312" w:hAnsi="等线" w:eastAsia="仿宋_GB2312" w:cs="黑体"/>
          <w:szCs w:val="28"/>
          <w:u w:val="single"/>
        </w:rPr>
        <w:t xml:space="preserve">   </w:t>
      </w:r>
      <w:r>
        <w:rPr>
          <w:rFonts w:hint="eastAsia" w:ascii="仿宋_GB2312" w:hAnsi="等线" w:eastAsia="仿宋_GB2312" w:cs="黑体"/>
          <w:szCs w:val="28"/>
        </w:rPr>
        <w:t>日内）做好验收的必要准备并向甲方发出可以进行验收的书面通知。甲方自收到可以进行验收的通知之日起</w:t>
      </w:r>
      <w:r>
        <w:rPr>
          <w:rFonts w:hint="eastAsia" w:ascii="仿宋_GB2312" w:hAnsi="等线" w:eastAsia="仿宋_GB2312" w:cs="黑体"/>
          <w:szCs w:val="28"/>
          <w:u w:val="single"/>
        </w:rPr>
        <w:t xml:space="preserve">   </w:t>
      </w:r>
      <w:r>
        <w:rPr>
          <w:rFonts w:hint="eastAsia" w:ascii="仿宋_GB2312" w:hAnsi="等线" w:eastAsia="仿宋_GB2312" w:cs="黑体"/>
          <w:szCs w:val="28"/>
        </w:rPr>
        <w:t>日内开始验收。双方书面另行约定其他验收时间的，按约定时间进行验收。</w:t>
      </w:r>
    </w:p>
    <w:p w14:paraId="4600A639">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3.验收范围包括但不限于：（1）型号规格、数量、外观；（2）出厂合格证、说明书等约定应交付的证书、资料；（3）设备组件及所附技术资料；（4）设备功能、性能等参数指标；（5）</w:t>
      </w:r>
      <w:r>
        <w:rPr>
          <w:rFonts w:hint="eastAsia" w:ascii="仿宋_GB2312" w:hAnsi="等线" w:eastAsia="仿宋_GB2312" w:cs="黑体"/>
          <w:szCs w:val="28"/>
          <w:u w:val="single"/>
        </w:rPr>
        <w:t xml:space="preserve">             </w:t>
      </w:r>
      <w:r>
        <w:rPr>
          <w:rFonts w:hint="eastAsia" w:ascii="仿宋_GB2312" w:hAnsi="等线" w:eastAsia="仿宋_GB2312" w:cs="黑体"/>
          <w:szCs w:val="28"/>
        </w:rPr>
        <w:t>。</w:t>
      </w:r>
    </w:p>
    <w:p w14:paraId="21F5A7D5">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4.验收合格的确认：验收合格后甲方签署验收合格证明，此时乙方完成合同交付义务。货物的所有权在验收合格前均归属于乙方，货物毁损、灭失的风险均由乙方承担。如验收不合格，乙方应当立即采取措施纠正不符之处，并与甲方协商约定新的验收时间进行验收（简称“重新提交验收”）。若因重新提交验收而超出本合同第五条第1款确定的安装调试时间的（乙方无需安装调试的，若重新提交验收而超过本合同第四条第1款确定的交货时间），视为乙方未完成安装调试义务（乙方无需安装调试的，视为乙方未完成交货义务），乙方应承担逾期交付违约责任。</w:t>
      </w:r>
    </w:p>
    <w:p w14:paraId="68346906">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5.交付完成与风险转移：货物自最终验收合格之时视为交付完成，货物的所有权及风险自交付完成后转移给甲方。</w:t>
      </w:r>
    </w:p>
    <w:p w14:paraId="3DADF26E">
      <w:pPr>
        <w:spacing w:line="600" w:lineRule="exact"/>
        <w:ind w:firstLine="560" w:firstLineChars="200"/>
        <w:rPr>
          <w:rFonts w:ascii="黑体" w:hAnsi="黑体" w:eastAsia="黑体" w:cs="黑体"/>
          <w:bCs/>
          <w:szCs w:val="28"/>
        </w:rPr>
      </w:pPr>
      <w:r>
        <w:rPr>
          <w:rFonts w:hint="eastAsia" w:ascii="黑体" w:hAnsi="黑体" w:eastAsia="黑体" w:cs="黑体"/>
          <w:bCs/>
          <w:szCs w:val="28"/>
        </w:rPr>
        <w:t>第七条 支付条款</w:t>
      </w:r>
    </w:p>
    <w:p w14:paraId="553A4B57">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1.在乙方无任何违约行为的前提下，甲方应按照下列第(</w:t>
      </w:r>
      <w:bookmarkStart w:id="44" w:name="货物结算方式"/>
      <w:r>
        <w:rPr>
          <w:rFonts w:hint="eastAsia" w:ascii="仿宋_GB2312" w:hAnsi="等线" w:eastAsia="仿宋_GB2312" w:cs="黑体"/>
          <w:szCs w:val="28"/>
          <w:u w:val="single"/>
        </w:rPr>
        <w:t xml:space="preserve">   </w:t>
      </w:r>
      <w:bookmarkEnd w:id="44"/>
      <w:r>
        <w:rPr>
          <w:rFonts w:hint="eastAsia" w:ascii="仿宋_GB2312" w:hAnsi="等线" w:eastAsia="仿宋_GB2312" w:cs="黑体"/>
          <w:szCs w:val="28"/>
          <w:u w:val="single"/>
        </w:rPr>
        <w:t>)</w:t>
      </w:r>
      <w:r>
        <w:rPr>
          <w:rFonts w:hint="eastAsia" w:ascii="仿宋_GB2312" w:hAnsi="等线" w:eastAsia="仿宋_GB2312" w:cs="黑体"/>
          <w:szCs w:val="28"/>
        </w:rPr>
        <w:t>条约定向乙方支付</w:t>
      </w:r>
      <w:r>
        <w:rPr>
          <w:rFonts w:hint="eastAsia" w:ascii="仿宋_GB2312" w:hAnsi="等线" w:eastAsia="仿宋_GB2312"/>
          <w:szCs w:val="28"/>
        </w:rPr>
        <w:t>合同总价</w:t>
      </w:r>
      <w:r>
        <w:rPr>
          <w:rFonts w:hint="eastAsia" w:ascii="仿宋_GB2312" w:hAnsi="等线" w:eastAsia="仿宋_GB2312"/>
          <w:szCs w:val="28"/>
          <w:u w:val="single"/>
        </w:rPr>
        <w:t xml:space="preserve">    </w:t>
      </w:r>
      <w:bookmarkStart w:id="45" w:name="合同金额浮点"/>
      <w:bookmarkEnd w:id="45"/>
      <w:r>
        <w:rPr>
          <w:rFonts w:hint="eastAsia" w:ascii="仿宋_GB2312" w:hAnsi="等线" w:eastAsia="仿宋_GB2312"/>
          <w:szCs w:val="28"/>
        </w:rPr>
        <w:t>元</w:t>
      </w:r>
      <w:r>
        <w:rPr>
          <w:rFonts w:hint="eastAsia" w:ascii="仿宋_GB2312" w:hAnsi="等线" w:eastAsia="仿宋_GB2312" w:cs="黑体"/>
          <w:szCs w:val="28"/>
        </w:rPr>
        <w:t>：</w:t>
      </w:r>
    </w:p>
    <w:p w14:paraId="3869193B">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（1）甲方应于货物正式验收合格后</w:t>
      </w:r>
      <w:bookmarkStart w:id="46" w:name="支付1工作日"/>
      <w:r>
        <w:rPr>
          <w:rFonts w:hint="eastAsia" w:ascii="仿宋_GB2312" w:hAnsi="等线" w:eastAsia="仿宋_GB2312" w:cs="黑体"/>
          <w:szCs w:val="28"/>
          <w:u w:val="single"/>
        </w:rPr>
        <w:t xml:space="preserve">    </w:t>
      </w:r>
      <w:bookmarkEnd w:id="46"/>
      <w:r>
        <w:rPr>
          <w:rFonts w:hint="eastAsia" w:ascii="仿宋_GB2312" w:hAnsi="等线" w:eastAsia="仿宋_GB2312" w:cs="黑体"/>
          <w:szCs w:val="28"/>
        </w:rPr>
        <w:t>个工作日内将货款全部支付给乙方。</w:t>
      </w:r>
    </w:p>
    <w:p w14:paraId="32F9B0FE">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（2）向乙方分阶段支付价款：</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E56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3007E1D5">
            <w:pPr>
              <w:spacing w:line="600" w:lineRule="exact"/>
              <w:ind w:firstLine="560" w:firstLineChars="200"/>
              <w:rPr>
                <w:rFonts w:ascii="仿宋_GB2312" w:eastAsia="仿宋_GB2312"/>
                <w:szCs w:val="28"/>
              </w:rPr>
            </w:pPr>
            <w:r>
              <w:rPr>
                <w:rFonts w:hint="eastAsia" w:ascii="仿宋_GB2312" w:eastAsia="仿宋_GB2312"/>
                <w:szCs w:val="28"/>
              </w:rPr>
              <w:t>款项名称</w:t>
            </w:r>
          </w:p>
        </w:tc>
        <w:tc>
          <w:tcPr>
            <w:tcW w:w="2841" w:type="dxa"/>
          </w:tcPr>
          <w:p w14:paraId="396F6EE3">
            <w:pPr>
              <w:spacing w:line="600" w:lineRule="exact"/>
              <w:ind w:firstLine="560" w:firstLineChars="200"/>
              <w:rPr>
                <w:rFonts w:ascii="仿宋_GB2312" w:eastAsia="仿宋_GB2312"/>
                <w:szCs w:val="28"/>
              </w:rPr>
            </w:pPr>
            <w:r>
              <w:rPr>
                <w:rFonts w:hint="eastAsia" w:ascii="仿宋_GB2312" w:eastAsia="仿宋_GB2312"/>
                <w:szCs w:val="28"/>
              </w:rPr>
              <w:t>付款条件</w:t>
            </w:r>
          </w:p>
        </w:tc>
        <w:tc>
          <w:tcPr>
            <w:tcW w:w="2841" w:type="dxa"/>
          </w:tcPr>
          <w:p w14:paraId="02FDD163">
            <w:pPr>
              <w:spacing w:line="600" w:lineRule="exact"/>
              <w:ind w:firstLine="560" w:firstLineChars="200"/>
              <w:rPr>
                <w:rFonts w:ascii="仿宋_GB2312" w:eastAsia="仿宋_GB2312"/>
                <w:szCs w:val="28"/>
              </w:rPr>
            </w:pPr>
            <w:r>
              <w:rPr>
                <w:rFonts w:hint="eastAsia" w:ascii="仿宋_GB2312" w:eastAsia="仿宋_GB2312"/>
                <w:szCs w:val="28"/>
              </w:rPr>
              <w:t>付款金额</w:t>
            </w:r>
          </w:p>
        </w:tc>
      </w:tr>
      <w:tr w14:paraId="5C23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455B262">
            <w:pPr>
              <w:spacing w:line="600" w:lineRule="exact"/>
              <w:ind w:firstLine="560" w:firstLineChars="200"/>
              <w:rPr>
                <w:rFonts w:ascii="仿宋_GB2312" w:eastAsia="仿宋_GB2312"/>
                <w:szCs w:val="28"/>
              </w:rPr>
            </w:pPr>
          </w:p>
        </w:tc>
        <w:tc>
          <w:tcPr>
            <w:tcW w:w="2841" w:type="dxa"/>
          </w:tcPr>
          <w:p w14:paraId="56A93038">
            <w:pPr>
              <w:spacing w:line="600" w:lineRule="exact"/>
              <w:ind w:firstLine="560" w:firstLineChars="200"/>
              <w:rPr>
                <w:rFonts w:ascii="仿宋_GB2312" w:eastAsia="仿宋_GB2312"/>
                <w:szCs w:val="28"/>
              </w:rPr>
            </w:pPr>
          </w:p>
        </w:tc>
        <w:tc>
          <w:tcPr>
            <w:tcW w:w="2841" w:type="dxa"/>
          </w:tcPr>
          <w:p w14:paraId="33ABAD49">
            <w:pPr>
              <w:spacing w:line="600" w:lineRule="exact"/>
              <w:ind w:firstLine="560" w:firstLineChars="200"/>
              <w:rPr>
                <w:rFonts w:ascii="仿宋_GB2312" w:eastAsia="仿宋_GB2312"/>
                <w:szCs w:val="28"/>
              </w:rPr>
            </w:pPr>
          </w:p>
        </w:tc>
      </w:tr>
      <w:tr w14:paraId="355D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BFD0C16">
            <w:pPr>
              <w:spacing w:line="600" w:lineRule="exact"/>
              <w:ind w:firstLine="560" w:firstLineChars="200"/>
              <w:rPr>
                <w:rFonts w:ascii="仿宋_GB2312" w:eastAsia="仿宋_GB2312"/>
                <w:szCs w:val="28"/>
              </w:rPr>
            </w:pPr>
          </w:p>
        </w:tc>
        <w:tc>
          <w:tcPr>
            <w:tcW w:w="2841" w:type="dxa"/>
          </w:tcPr>
          <w:p w14:paraId="15C59816">
            <w:pPr>
              <w:spacing w:line="600" w:lineRule="exact"/>
              <w:ind w:firstLine="560" w:firstLineChars="200"/>
              <w:rPr>
                <w:rFonts w:ascii="仿宋_GB2312" w:eastAsia="仿宋_GB2312"/>
                <w:szCs w:val="28"/>
              </w:rPr>
            </w:pPr>
          </w:p>
        </w:tc>
        <w:tc>
          <w:tcPr>
            <w:tcW w:w="2841" w:type="dxa"/>
          </w:tcPr>
          <w:p w14:paraId="586853A4">
            <w:pPr>
              <w:spacing w:line="600" w:lineRule="exact"/>
              <w:ind w:firstLine="560" w:firstLineChars="200"/>
              <w:rPr>
                <w:rFonts w:ascii="仿宋_GB2312" w:eastAsia="仿宋_GB2312"/>
                <w:szCs w:val="28"/>
              </w:rPr>
            </w:pPr>
          </w:p>
        </w:tc>
      </w:tr>
    </w:tbl>
    <w:p w14:paraId="628F38FB">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（3）其他支付方式及支付时间：</w:t>
      </w:r>
      <w:r>
        <w:rPr>
          <w:rFonts w:hint="eastAsia" w:ascii="仿宋_GB2312" w:hAnsi="等线" w:eastAsia="仿宋_GB2312" w:cs="黑体"/>
          <w:szCs w:val="28"/>
          <w:u w:val="single"/>
        </w:rPr>
        <w:t xml:space="preserve"> </w:t>
      </w:r>
      <w:bookmarkStart w:id="47" w:name="其他支付方式及时间"/>
      <w:r>
        <w:rPr>
          <w:rFonts w:hint="eastAsia" w:ascii="仿宋_GB2312" w:hAnsi="等线" w:eastAsia="仿宋_GB2312" w:cs="黑体"/>
          <w:szCs w:val="28"/>
          <w:u w:val="single"/>
        </w:rPr>
        <w:t xml:space="preserve">             </w:t>
      </w:r>
      <w:bookmarkEnd w:id="47"/>
      <w:r>
        <w:rPr>
          <w:rFonts w:hint="eastAsia" w:ascii="仿宋_GB2312" w:hAnsi="等线" w:eastAsia="仿宋_GB2312" w:cs="黑体"/>
          <w:szCs w:val="28"/>
          <w:u w:val="single"/>
        </w:rPr>
        <w:t xml:space="preserve"> </w:t>
      </w:r>
      <w:r>
        <w:rPr>
          <w:rFonts w:hint="eastAsia" w:ascii="仿宋_GB2312" w:hAnsi="等线" w:eastAsia="仿宋_GB2312" w:cs="黑体"/>
          <w:szCs w:val="28"/>
        </w:rPr>
        <w:t>。</w:t>
      </w:r>
    </w:p>
    <w:p w14:paraId="2B89DD30">
      <w:pPr>
        <w:spacing w:line="600" w:lineRule="exact"/>
        <w:ind w:firstLine="560" w:firstLineChars="200"/>
        <w:rPr>
          <w:rFonts w:ascii="仿宋_GB2312" w:hAnsi="等线" w:eastAsia="仿宋_GB2312" w:cs="黑体"/>
          <w:szCs w:val="28"/>
        </w:rPr>
      </w:pPr>
      <w:r>
        <w:rPr>
          <w:rFonts w:ascii="仿宋_GB2312" w:hAnsi="等线" w:eastAsia="仿宋_GB2312" w:cs="黑体"/>
          <w:szCs w:val="28"/>
        </w:rPr>
        <w:t>2</w:t>
      </w:r>
      <w:r>
        <w:rPr>
          <w:rFonts w:hint="eastAsia" w:ascii="仿宋_GB2312" w:hAnsi="等线" w:eastAsia="仿宋_GB2312" w:cs="黑体"/>
          <w:szCs w:val="28"/>
        </w:rPr>
        <w:t>.发票</w:t>
      </w:r>
    </w:p>
    <w:p w14:paraId="62F73268">
      <w:pPr>
        <w:spacing w:line="600" w:lineRule="exact"/>
        <w:ind w:firstLine="560" w:firstLineChars="200"/>
        <w:rPr>
          <w:rFonts w:ascii="仿宋_GB2312" w:hAnsi="等线" w:eastAsia="仿宋_GB2312" w:cs="黑体"/>
          <w:szCs w:val="28"/>
        </w:rPr>
      </w:pPr>
      <w:bookmarkStart w:id="48" w:name="_Hlk536733518"/>
      <w:bookmarkStart w:id="49" w:name="_Hlk536728215"/>
      <w:r>
        <w:rPr>
          <w:rFonts w:hint="eastAsia" w:ascii="仿宋_GB2312" w:hAnsi="等线" w:eastAsia="仿宋_GB2312" w:cs="黑体"/>
          <w:szCs w:val="28"/>
        </w:rPr>
        <w:t>（1）乙方应当按照下列第</w:t>
      </w:r>
      <w:r>
        <w:rPr>
          <w:rFonts w:hint="eastAsia" w:ascii="仿宋_GB2312" w:hAnsi="等线" w:eastAsia="仿宋_GB2312" w:cs="黑体"/>
          <w:szCs w:val="28"/>
          <w:u w:val="single"/>
        </w:rPr>
        <w:t>(   )</w:t>
      </w:r>
      <w:r>
        <w:rPr>
          <w:rFonts w:hint="eastAsia" w:ascii="仿宋_GB2312" w:hAnsi="等线" w:eastAsia="仿宋_GB2312" w:cs="黑体"/>
          <w:szCs w:val="28"/>
        </w:rPr>
        <w:t>项约定开具</w:t>
      </w:r>
      <w:bookmarkStart w:id="50" w:name="_Hlk536733460"/>
      <w:r>
        <w:rPr>
          <w:rFonts w:hint="eastAsia" w:ascii="仿宋_GB2312" w:hAnsi="等线" w:eastAsia="仿宋_GB2312" w:cs="黑体"/>
          <w:szCs w:val="28"/>
        </w:rPr>
        <w:t>并向甲方提供</w:t>
      </w:r>
      <w:bookmarkEnd w:id="50"/>
      <w:r>
        <w:rPr>
          <w:rFonts w:hint="eastAsia" w:ascii="仿宋_GB2312" w:hAnsi="等线" w:eastAsia="仿宋_GB2312" w:cs="黑体"/>
          <w:szCs w:val="28"/>
        </w:rPr>
        <w:t>发票：</w:t>
      </w:r>
    </w:p>
    <w:p w14:paraId="4055B3EC">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（a）甲方付款前7个工作日，乙方应向甲方开具等额有效的增值税专用发票，甲方未收到合格发票的，有权顺延支付相应款项。发票认证通过是付款的必要前提之一。</w:t>
      </w:r>
    </w:p>
    <w:p w14:paraId="32E42D0B">
      <w:pPr>
        <w:spacing w:line="600" w:lineRule="exact"/>
        <w:ind w:firstLine="560" w:firstLineChars="200"/>
        <w:rPr>
          <w:rFonts w:ascii="仿宋_GB2312" w:hAnsi="等线" w:eastAsia="仿宋_GB2312" w:cs="黑体"/>
          <w:szCs w:val="28"/>
          <w:u w:val="single"/>
        </w:rPr>
      </w:pPr>
      <w:r>
        <w:rPr>
          <w:rFonts w:hint="eastAsia" w:ascii="仿宋_GB2312" w:hAnsi="等线" w:eastAsia="仿宋_GB2312" w:cs="黑体"/>
          <w:szCs w:val="28"/>
        </w:rPr>
        <w:t>（b）其他约定:</w:t>
      </w:r>
      <w:r>
        <w:rPr>
          <w:rFonts w:hint="eastAsia" w:ascii="仿宋_GB2312" w:hAnsi="等线" w:eastAsia="仿宋_GB2312" w:cs="黑体"/>
          <w:szCs w:val="28"/>
          <w:u w:val="single"/>
        </w:rPr>
        <w:t xml:space="preserve">                             </w:t>
      </w:r>
      <w:r>
        <w:rPr>
          <w:rFonts w:hint="eastAsia" w:ascii="仿宋_GB2312" w:hAnsi="等线" w:eastAsia="仿宋_GB2312" w:cs="黑体"/>
          <w:szCs w:val="28"/>
        </w:rPr>
        <w:t>。</w:t>
      </w:r>
    </w:p>
    <w:p w14:paraId="76A0BD55">
      <w:pPr>
        <w:spacing w:line="600" w:lineRule="exact"/>
        <w:ind w:firstLine="560" w:firstLineChars="200"/>
        <w:rPr>
          <w:rFonts w:ascii="仿宋_GB2312" w:hAnsi="等线" w:eastAsia="仿宋_GB2312" w:cs="黑体"/>
          <w:szCs w:val="28"/>
        </w:rPr>
      </w:pPr>
      <w:bookmarkStart w:id="51" w:name="_Hlk536733496"/>
      <w:bookmarkStart w:id="52" w:name="_Hlk536728187"/>
      <w:r>
        <w:rPr>
          <w:rFonts w:hint="eastAsia" w:ascii="仿宋_GB2312" w:hAnsi="等线" w:eastAsia="仿宋_GB2312" w:cs="黑体"/>
          <w:szCs w:val="28"/>
        </w:rPr>
        <w:t>(2)乙方必须提供符合中华人民共和国国家税务规定的全额增值税专用发票，若乙方无法提供增值税专用发票或因乙方原因造成发票无法认证成功，导致甲方无法抵扣进项税额，乙方应全额赔偿甲方因此产生的税额损失。</w:t>
      </w:r>
      <w:bookmarkEnd w:id="51"/>
      <w:bookmarkEnd w:id="52"/>
      <w:r>
        <w:rPr>
          <w:rFonts w:hint="eastAsia" w:ascii="仿宋_GB2312" w:hAnsi="等线" w:eastAsia="仿宋_GB2312" w:cs="黑体"/>
          <w:szCs w:val="28"/>
        </w:rPr>
        <w:t>但如乙方依据税收法律法规无法开具（或通过税务机关代开）增值税专用发票的，乙方应当开具合法有效的增值税普通发票。如未来乙方登记成为增值税一般纳税人，应及时通知甲方。自乙方登记成为增值税一般纳税人起，乙方应向甲方开具符合规定的增值税专用发票。</w:t>
      </w:r>
    </w:p>
    <w:p w14:paraId="0F8C6AE1">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(3)甲方提供的开票信息如下：</w:t>
      </w:r>
    </w:p>
    <w:p w14:paraId="18ECFD1A">
      <w:pPr>
        <w:spacing w:line="600" w:lineRule="exact"/>
        <w:rPr>
          <w:rFonts w:ascii="仿宋_GB2312" w:hAnsi="等线" w:eastAsia="仿宋_GB2312" w:cs="黑体"/>
          <w:szCs w:val="28"/>
          <w:u w:val="single"/>
        </w:rPr>
      </w:pPr>
      <w:r>
        <w:rPr>
          <w:rFonts w:hint="eastAsia" w:ascii="仿宋_GB2312" w:hAnsi="等线" w:eastAsia="仿宋_GB2312" w:cs="黑体"/>
          <w:szCs w:val="28"/>
        </w:rPr>
        <w:t>单位名称：</w:t>
      </w:r>
      <w:r>
        <w:rPr>
          <w:rFonts w:hint="eastAsia" w:ascii="仿宋_GB2312" w:hAnsi="等线" w:eastAsia="仿宋_GB2312" w:cs="黑体"/>
          <w:szCs w:val="28"/>
          <w:u w:val="single"/>
        </w:rPr>
        <w:t xml:space="preserve">浙江大学杭州国际科创中心             </w:t>
      </w:r>
      <w:r>
        <w:rPr>
          <w:rFonts w:ascii="仿宋_GB2312" w:hAnsi="等线" w:eastAsia="仿宋_GB2312" w:cs="黑体"/>
          <w:szCs w:val="28"/>
          <w:u w:val="single"/>
        </w:rPr>
        <w:t xml:space="preserve">    </w:t>
      </w:r>
      <w:r>
        <w:rPr>
          <w:rFonts w:hint="eastAsia" w:ascii="仿宋_GB2312" w:hAnsi="等线" w:eastAsia="仿宋_GB2312" w:cs="黑体"/>
          <w:szCs w:val="28"/>
          <w:u w:val="single"/>
        </w:rPr>
        <w:t xml:space="preserve">   </w:t>
      </w:r>
    </w:p>
    <w:p w14:paraId="56B68D3C">
      <w:pPr>
        <w:spacing w:line="600" w:lineRule="exact"/>
        <w:rPr>
          <w:rFonts w:ascii="仿宋_GB2312" w:hAnsi="等线" w:eastAsia="仿宋_GB2312" w:cs="黑体"/>
          <w:szCs w:val="28"/>
          <w:u w:val="single"/>
        </w:rPr>
      </w:pPr>
      <w:r>
        <w:rPr>
          <w:rFonts w:hint="eastAsia" w:ascii="仿宋_GB2312" w:hAnsi="等线" w:eastAsia="仿宋_GB2312" w:cs="黑体"/>
          <w:szCs w:val="28"/>
        </w:rPr>
        <w:t>纳税人识别号：</w:t>
      </w:r>
      <w:r>
        <w:rPr>
          <w:rFonts w:hint="eastAsia" w:ascii="仿宋_GB2312" w:hAnsi="等线" w:eastAsia="仿宋_GB2312" w:cs="黑体"/>
          <w:szCs w:val="28"/>
          <w:u w:val="single"/>
        </w:rPr>
        <w:t xml:space="preserve">12330109MB1E42731B              </w:t>
      </w:r>
      <w:r>
        <w:rPr>
          <w:rFonts w:ascii="仿宋_GB2312" w:hAnsi="等线" w:eastAsia="仿宋_GB2312" w:cs="黑体"/>
          <w:szCs w:val="28"/>
          <w:u w:val="single"/>
        </w:rPr>
        <w:t xml:space="preserve">    </w:t>
      </w:r>
      <w:r>
        <w:rPr>
          <w:rFonts w:hint="eastAsia" w:ascii="仿宋_GB2312" w:hAnsi="等线" w:eastAsia="仿宋_GB2312" w:cs="黑体"/>
          <w:szCs w:val="28"/>
          <w:u w:val="single"/>
        </w:rPr>
        <w:t xml:space="preserve">    </w:t>
      </w:r>
    </w:p>
    <w:p w14:paraId="345518E1">
      <w:pPr>
        <w:spacing w:line="600" w:lineRule="exact"/>
        <w:rPr>
          <w:rFonts w:ascii="仿宋_GB2312" w:hAnsi="等线" w:eastAsia="仿宋_GB2312" w:cs="黑体"/>
          <w:szCs w:val="28"/>
          <w:u w:val="single"/>
        </w:rPr>
      </w:pPr>
      <w:r>
        <w:rPr>
          <w:rFonts w:hint="eastAsia" w:ascii="仿宋_GB2312" w:hAnsi="等线" w:eastAsia="仿宋_GB2312" w:cs="黑体"/>
          <w:szCs w:val="28"/>
        </w:rPr>
        <w:t>银行账户：</w:t>
      </w:r>
      <w:r>
        <w:rPr>
          <w:rFonts w:hint="eastAsia" w:ascii="仿宋_GB2312" w:hAnsi="等线" w:eastAsia="仿宋_GB2312" w:cs="黑体"/>
          <w:szCs w:val="28"/>
          <w:u w:val="single"/>
        </w:rPr>
        <w:t xml:space="preserve">33050161612709998888              </w:t>
      </w:r>
      <w:r>
        <w:rPr>
          <w:rFonts w:ascii="仿宋_GB2312" w:hAnsi="等线" w:eastAsia="仿宋_GB2312" w:cs="黑体"/>
          <w:szCs w:val="28"/>
          <w:u w:val="single"/>
        </w:rPr>
        <w:t xml:space="preserve">      </w:t>
      </w:r>
      <w:r>
        <w:rPr>
          <w:rFonts w:hint="eastAsia" w:ascii="仿宋_GB2312" w:hAnsi="等线" w:eastAsia="仿宋_GB2312" w:cs="黑体"/>
          <w:szCs w:val="28"/>
          <w:u w:val="single"/>
        </w:rPr>
        <w:t xml:space="preserve">    </w:t>
      </w:r>
    </w:p>
    <w:p w14:paraId="3FA840A9">
      <w:pPr>
        <w:spacing w:line="600" w:lineRule="exact"/>
        <w:rPr>
          <w:rFonts w:ascii="仿宋_GB2312" w:hAnsi="等线" w:eastAsia="仿宋_GB2312" w:cs="黑体"/>
          <w:szCs w:val="28"/>
        </w:rPr>
      </w:pPr>
      <w:r>
        <w:rPr>
          <w:rFonts w:hint="eastAsia" w:ascii="仿宋_GB2312" w:hAnsi="等线" w:eastAsia="仿宋_GB2312" w:cs="黑体"/>
          <w:szCs w:val="28"/>
        </w:rPr>
        <w:t>开户银行：</w:t>
      </w:r>
      <w:r>
        <w:rPr>
          <w:rFonts w:hint="eastAsia" w:ascii="仿宋_GB2312" w:hAnsi="等线" w:eastAsia="仿宋_GB2312" w:cs="黑体"/>
          <w:szCs w:val="28"/>
          <w:u w:val="single"/>
        </w:rPr>
        <w:t xml:space="preserve">中国建设银行杭州宝石支行           </w:t>
      </w:r>
      <w:r>
        <w:rPr>
          <w:rFonts w:ascii="仿宋_GB2312" w:hAnsi="等线" w:eastAsia="仿宋_GB2312" w:cs="黑体"/>
          <w:szCs w:val="28"/>
          <w:u w:val="single"/>
        </w:rPr>
        <w:t xml:space="preserve">      </w:t>
      </w:r>
      <w:r>
        <w:rPr>
          <w:rFonts w:hint="eastAsia" w:ascii="仿宋_GB2312" w:hAnsi="等线" w:eastAsia="仿宋_GB2312" w:cs="黑体"/>
          <w:szCs w:val="28"/>
          <w:u w:val="single"/>
        </w:rPr>
        <w:t xml:space="preserve">   </w:t>
      </w:r>
    </w:p>
    <w:p w14:paraId="34C573D4">
      <w:pPr>
        <w:spacing w:line="600" w:lineRule="exact"/>
        <w:rPr>
          <w:rFonts w:ascii="仿宋_GB2312" w:hAnsi="等线" w:eastAsia="仿宋_GB2312" w:cs="黑体"/>
          <w:szCs w:val="28"/>
          <w:u w:val="single"/>
        </w:rPr>
      </w:pPr>
      <w:r>
        <w:rPr>
          <w:rFonts w:hint="eastAsia" w:ascii="仿宋_GB2312" w:hAnsi="等线" w:eastAsia="仿宋_GB2312" w:cs="黑体"/>
          <w:szCs w:val="28"/>
        </w:rPr>
        <w:t>地址:</w:t>
      </w:r>
      <w:r>
        <w:rPr>
          <w:rFonts w:hint="eastAsia" w:ascii="仿宋_GB2312" w:hAnsi="等线" w:eastAsia="仿宋_GB2312" w:cs="黑体"/>
          <w:szCs w:val="28"/>
          <w:u w:val="single"/>
        </w:rPr>
        <w:t xml:space="preserve">浙江省杭州市萧山区经济技术开发区建设三路733号   </w:t>
      </w:r>
    </w:p>
    <w:p w14:paraId="15F95D17">
      <w:pPr>
        <w:spacing w:line="600" w:lineRule="exact"/>
        <w:rPr>
          <w:rFonts w:ascii="仿宋_GB2312" w:hAnsi="等线" w:eastAsia="仿宋_GB2312" w:cs="黑体"/>
          <w:szCs w:val="28"/>
          <w:u w:val="single"/>
        </w:rPr>
      </w:pPr>
      <w:r>
        <w:rPr>
          <w:rFonts w:hint="eastAsia" w:ascii="仿宋_GB2312" w:hAnsi="等线" w:eastAsia="仿宋_GB2312" w:cs="黑体"/>
          <w:szCs w:val="28"/>
        </w:rPr>
        <w:t>电话：</w:t>
      </w:r>
      <w:r>
        <w:rPr>
          <w:rFonts w:hint="eastAsia" w:ascii="仿宋_GB2312" w:hAnsi="等线" w:eastAsia="仿宋_GB2312" w:cs="黑体"/>
          <w:szCs w:val="28"/>
          <w:u w:val="single"/>
        </w:rPr>
        <w:t xml:space="preserve">0571-82359109                 </w:t>
      </w:r>
      <w:r>
        <w:rPr>
          <w:rFonts w:ascii="仿宋_GB2312" w:hAnsi="等线" w:eastAsia="仿宋_GB2312" w:cs="黑体"/>
          <w:szCs w:val="28"/>
          <w:u w:val="single"/>
        </w:rPr>
        <w:t xml:space="preserve">              </w:t>
      </w:r>
      <w:r>
        <w:rPr>
          <w:rFonts w:hint="eastAsia" w:ascii="仿宋_GB2312" w:hAnsi="等线" w:eastAsia="仿宋_GB2312" w:cs="黑体"/>
          <w:szCs w:val="28"/>
          <w:u w:val="single"/>
        </w:rPr>
        <w:t xml:space="preserve">    </w:t>
      </w:r>
    </w:p>
    <w:p w14:paraId="1A75035D">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w:t>
      </w:r>
      <w:r>
        <w:rPr>
          <w:rFonts w:ascii="仿宋_GB2312" w:hAnsi="等线" w:eastAsia="仿宋_GB2312" w:cs="黑体"/>
          <w:szCs w:val="28"/>
        </w:rPr>
        <w:t>4</w:t>
      </w:r>
      <w:r>
        <w:rPr>
          <w:rFonts w:hint="eastAsia" w:ascii="仿宋_GB2312" w:hAnsi="等线" w:eastAsia="仿宋_GB2312" w:cs="黑体"/>
          <w:szCs w:val="28"/>
        </w:rPr>
        <w:t>)如乙方向甲方开具的发票无效、虚假、发票类型与合同约定不符，或者乙方发生迟延开具或交付发票的情形，或者乙方出现违反合同约定的其他情形，乙方应当赔偿甲方全部损失，包括但不限于税金、附加税费、罚金、滞纳金。</w:t>
      </w:r>
    </w:p>
    <w:p w14:paraId="160ECF9E">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w:t>
      </w:r>
      <w:r>
        <w:rPr>
          <w:rFonts w:ascii="仿宋_GB2312" w:hAnsi="等线" w:eastAsia="仿宋_GB2312" w:cs="黑体"/>
          <w:szCs w:val="28"/>
        </w:rPr>
        <w:t>5</w:t>
      </w:r>
      <w:r>
        <w:rPr>
          <w:rFonts w:hint="eastAsia" w:ascii="仿宋_GB2312" w:hAnsi="等线" w:eastAsia="仿宋_GB2312" w:cs="黑体"/>
          <w:szCs w:val="28"/>
        </w:rPr>
        <w:t>)如发生需要作废发票或开具红字发票等情形，乙方应当根据甲方要求及时开具发票。</w:t>
      </w:r>
    </w:p>
    <w:p w14:paraId="513FA927">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w:t>
      </w:r>
      <w:r>
        <w:rPr>
          <w:rFonts w:ascii="仿宋_GB2312" w:hAnsi="等线" w:eastAsia="仿宋_GB2312" w:cs="黑体"/>
          <w:szCs w:val="28"/>
        </w:rPr>
        <w:t>6</w:t>
      </w:r>
      <w:r>
        <w:rPr>
          <w:rFonts w:hint="eastAsia" w:ascii="仿宋_GB2312" w:hAnsi="等线" w:eastAsia="仿宋_GB2312" w:cs="黑体"/>
          <w:szCs w:val="28"/>
        </w:rPr>
        <w:t>)因乙方未按约及时提供发票导致甲方迟延付款的，不视为甲方逾期付款，乙方无权向甲方主张承担逾期付款违约责任。</w:t>
      </w:r>
      <w:bookmarkEnd w:id="48"/>
      <w:bookmarkEnd w:id="49"/>
    </w:p>
    <w:p w14:paraId="12492552">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4.乙方收款账户信息：</w:t>
      </w:r>
    </w:p>
    <w:p w14:paraId="1B2980B3">
      <w:pPr>
        <w:spacing w:line="600" w:lineRule="exact"/>
        <w:ind w:firstLine="560" w:firstLineChars="200"/>
        <w:rPr>
          <w:rFonts w:ascii="仿宋_GB2312" w:hAnsi="等线" w:eastAsia="仿宋_GB2312" w:cs="黑体"/>
          <w:szCs w:val="28"/>
          <w:u w:val="single"/>
        </w:rPr>
      </w:pPr>
      <w:r>
        <w:rPr>
          <w:rFonts w:hint="eastAsia" w:ascii="仿宋_GB2312" w:hAnsi="等线" w:eastAsia="仿宋_GB2312" w:cs="黑体"/>
          <w:szCs w:val="28"/>
        </w:rPr>
        <w:t>名称：</w:t>
      </w:r>
      <w:r>
        <w:rPr>
          <w:rFonts w:hint="eastAsia" w:ascii="仿宋_GB2312" w:hAnsi="等线" w:eastAsia="仿宋_GB2312" w:cs="黑体"/>
          <w:szCs w:val="28"/>
          <w:u w:val="single"/>
        </w:rPr>
        <w:t xml:space="preserve"> </w:t>
      </w:r>
      <w:r>
        <w:rPr>
          <w:rFonts w:ascii="仿宋_GB2312" w:hAnsi="等线" w:eastAsia="仿宋_GB2312" w:cs="黑体"/>
          <w:szCs w:val="28"/>
          <w:u w:val="single"/>
        </w:rPr>
        <w:t xml:space="preserve">                          </w:t>
      </w:r>
    </w:p>
    <w:p w14:paraId="223B1890">
      <w:pPr>
        <w:spacing w:line="600" w:lineRule="exact"/>
        <w:ind w:firstLine="560" w:firstLineChars="200"/>
        <w:rPr>
          <w:rFonts w:ascii="仿宋_GB2312" w:hAnsi="等线" w:eastAsia="仿宋_GB2312" w:cs="黑体"/>
          <w:szCs w:val="28"/>
          <w:u w:val="single"/>
        </w:rPr>
      </w:pPr>
      <w:r>
        <w:rPr>
          <w:rFonts w:hint="eastAsia" w:ascii="仿宋_GB2312" w:hAnsi="等线" w:eastAsia="仿宋_GB2312" w:cs="黑体"/>
          <w:szCs w:val="28"/>
        </w:rPr>
        <w:t>银行账户：</w:t>
      </w:r>
      <w:r>
        <w:rPr>
          <w:rFonts w:hint="eastAsia" w:ascii="仿宋_GB2312" w:hAnsi="等线" w:eastAsia="仿宋_GB2312" w:cs="黑体"/>
          <w:szCs w:val="28"/>
          <w:u w:val="single"/>
        </w:rPr>
        <w:t xml:space="preserve"> </w:t>
      </w:r>
      <w:r>
        <w:rPr>
          <w:rFonts w:ascii="仿宋_GB2312" w:hAnsi="等线" w:eastAsia="仿宋_GB2312" w:cs="黑体"/>
          <w:szCs w:val="28"/>
          <w:u w:val="single"/>
        </w:rPr>
        <w:t xml:space="preserve">                      </w:t>
      </w:r>
    </w:p>
    <w:p w14:paraId="502A155E">
      <w:pPr>
        <w:spacing w:line="600" w:lineRule="exact"/>
        <w:ind w:firstLine="560" w:firstLineChars="200"/>
        <w:rPr>
          <w:rFonts w:ascii="仿宋_GB2312" w:hAnsi="等线" w:eastAsia="仿宋_GB2312" w:cs="黑体"/>
          <w:szCs w:val="28"/>
          <w:u w:val="single"/>
        </w:rPr>
      </w:pPr>
      <w:r>
        <w:rPr>
          <w:rFonts w:hint="eastAsia" w:ascii="仿宋_GB2312" w:hAnsi="等线" w:eastAsia="仿宋_GB2312" w:cs="黑体"/>
          <w:szCs w:val="28"/>
        </w:rPr>
        <w:t>开户银行：</w:t>
      </w:r>
      <w:r>
        <w:rPr>
          <w:rFonts w:ascii="仿宋_GB2312" w:hAnsi="等线" w:eastAsia="仿宋_GB2312" w:cs="黑体"/>
          <w:szCs w:val="28"/>
          <w:u w:val="single"/>
        </w:rPr>
        <w:t xml:space="preserve">                       </w:t>
      </w:r>
    </w:p>
    <w:p w14:paraId="798294CE">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甲方应按照本合同约定将款项划转入乙方账户，若乙方账户信息发生变更，乙方应在合同约定的相关付款期限前至少提前十个工作日以书面方式通知甲方，通知应加盖乙方公章；因乙方未及时通知而导致的一切损失由乙方自行承担。</w:t>
      </w:r>
    </w:p>
    <w:p w14:paraId="2193A4FD">
      <w:pPr>
        <w:spacing w:line="600" w:lineRule="exact"/>
        <w:ind w:firstLine="560" w:firstLineChars="200"/>
        <w:rPr>
          <w:rFonts w:ascii="黑体" w:hAnsi="黑体" w:eastAsia="黑体" w:cs="黑体"/>
          <w:bCs/>
          <w:szCs w:val="28"/>
        </w:rPr>
      </w:pPr>
      <w:r>
        <w:rPr>
          <w:rFonts w:hint="eastAsia" w:ascii="黑体" w:hAnsi="黑体" w:eastAsia="黑体" w:cs="黑体"/>
          <w:bCs/>
          <w:szCs w:val="28"/>
        </w:rPr>
        <w:t>第八条 售后服务</w:t>
      </w:r>
    </w:p>
    <w:p w14:paraId="382D4505">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1.本合同项下货物依下列第</w:t>
      </w:r>
      <w:r>
        <w:rPr>
          <w:rFonts w:hint="eastAsia" w:ascii="仿宋_GB2312" w:hAnsi="等线" w:eastAsia="仿宋_GB2312" w:cs="黑体"/>
          <w:szCs w:val="28"/>
          <w:u w:val="single"/>
        </w:rPr>
        <w:t>(   )</w:t>
      </w:r>
      <w:r>
        <w:rPr>
          <w:rFonts w:hint="eastAsia" w:ascii="仿宋_GB2312" w:hAnsi="等线" w:eastAsia="仿宋_GB2312" w:cs="黑体"/>
          <w:szCs w:val="28"/>
        </w:rPr>
        <w:t>项约定享有质量保证期：</w:t>
      </w:r>
    </w:p>
    <w:p w14:paraId="3BBD92C1">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（1）依该货物原厂商在货物附带的标准文件中的说明为准。</w:t>
      </w:r>
    </w:p>
    <w:p w14:paraId="72B3C9F5">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（2）货物质保期为</w:t>
      </w:r>
      <w:r>
        <w:rPr>
          <w:rFonts w:hint="eastAsia" w:ascii="仿宋_GB2312" w:hAnsi="等线" w:eastAsia="仿宋_GB2312" w:cs="黑体"/>
          <w:szCs w:val="28"/>
          <w:u w:val="single"/>
        </w:rPr>
        <w:t xml:space="preserve">   </w:t>
      </w:r>
      <w:r>
        <w:rPr>
          <w:rFonts w:hint="eastAsia" w:ascii="仿宋_GB2312" w:hAnsi="等线" w:eastAsia="仿宋_GB2312" w:cs="黑体"/>
          <w:szCs w:val="28"/>
        </w:rPr>
        <w:t>年，自最终验收合格之日起算。</w:t>
      </w:r>
    </w:p>
    <w:p w14:paraId="76579FA8">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2.乙方保证有充足的备件，保证提供的所有设备、部件均无假冒伪劣产品；否则甲方有权要求全部退货或更换并要求乙方承担本合同约定的违约责任。</w:t>
      </w:r>
    </w:p>
    <w:p w14:paraId="1A94E05A">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3.乙方承诺所售货物，自甲方收到货物之日起7日内可以无理由退货，15日内可以换货。</w:t>
      </w:r>
    </w:p>
    <w:p w14:paraId="5C6F9AF6">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4.质保期内，乙方应当提供电话支持服务。质保期内产品发生故障问题，乙方接到甲方保修通知后2个小时内响应，需要现场解决故障的，应在接到甲方保修通知后12小时内到达甲方工作场所，到达现场后不超过48个小时内解决故障。对于质保期内不能修复的产品/部件，乙方应在确认不能修复后48个小时内免费更换备品备件。</w:t>
      </w:r>
    </w:p>
    <w:p w14:paraId="4098A709">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5.质保期内因产品质量出现问题，甲方有权要求乙方予以无条件维修、更换或退货。若甲方选择维修的，乙方应免费提供配件并现场维修。质保期内每发生一次不能及时排除的故障（相同故障发生超过2次或者到达现场后维修超48小时才排除故障的视为不能及时排除的故障），质保期相应延长60天。发生不能及时排除的故障的，甲方有权要求乙方立即以功能相同的符合本合同约定的产品替换故障产品或按照甲方要求采取其他补救措施。保修期内，如乙方未能按照本合同约定响应时间提供服务的，甲方有权委托第三方进行维修，维修费用由乙方承担。</w:t>
      </w:r>
    </w:p>
    <w:p w14:paraId="3B4CCBAD">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6.质保期届满后，乙方仍对本合同项下货物提供有偿服务，且维修时只收取所需维修部件的市场成本价费用，服务内容应与质保期内的要求相一致。</w:t>
      </w:r>
    </w:p>
    <w:p w14:paraId="0C2E89A9">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7.质保期内其他服务要求(如培训需求，集成服务要求等)：</w:t>
      </w:r>
      <w:r>
        <w:rPr>
          <w:rFonts w:hint="eastAsia" w:ascii="仿宋_GB2312" w:hAnsi="等线" w:eastAsia="仿宋_GB2312" w:cs="黑体"/>
          <w:szCs w:val="28"/>
          <w:u w:val="single"/>
        </w:rPr>
        <w:t xml:space="preserve"> </w:t>
      </w:r>
      <w:r>
        <w:rPr>
          <w:rFonts w:ascii="仿宋_GB2312" w:hAnsi="等线" w:eastAsia="仿宋_GB2312" w:cs="黑体"/>
          <w:szCs w:val="28"/>
          <w:u w:val="single"/>
        </w:rPr>
        <w:t xml:space="preserve">   </w:t>
      </w:r>
      <w:r>
        <w:rPr>
          <w:rFonts w:hint="eastAsia" w:ascii="仿宋_GB2312" w:hAnsi="等线" w:eastAsia="仿宋_GB2312" w:cs="黑体"/>
          <w:szCs w:val="28"/>
        </w:rPr>
        <w:t>。</w:t>
      </w:r>
    </w:p>
    <w:p w14:paraId="7063DBC1">
      <w:pPr>
        <w:spacing w:line="600" w:lineRule="exact"/>
        <w:ind w:firstLine="560" w:firstLineChars="200"/>
        <w:rPr>
          <w:rFonts w:ascii="仿宋_GB2312" w:hAnsi="等线" w:eastAsia="仿宋_GB2312" w:cs="黑体"/>
          <w:szCs w:val="28"/>
          <w:u w:val="single"/>
        </w:rPr>
      </w:pPr>
      <w:r>
        <w:rPr>
          <w:rFonts w:hint="eastAsia" w:ascii="仿宋_GB2312" w:hAnsi="等线" w:eastAsia="仿宋_GB2312" w:cs="黑体"/>
          <w:szCs w:val="28"/>
        </w:rPr>
        <w:t>8.售后服务联系方式</w:t>
      </w:r>
    </w:p>
    <w:p w14:paraId="41F26044">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售后服务部门地址：</w:t>
      </w:r>
      <w:r>
        <w:rPr>
          <w:rFonts w:hint="eastAsia" w:ascii="仿宋_GB2312" w:hAnsi="等线" w:eastAsia="仿宋_GB2312" w:cs="黑体"/>
          <w:szCs w:val="28"/>
          <w:u w:val="single"/>
        </w:rPr>
        <w:t xml:space="preserve">                                     </w:t>
      </w:r>
    </w:p>
    <w:p w14:paraId="0A63F2F0">
      <w:pPr>
        <w:spacing w:line="600" w:lineRule="exact"/>
        <w:ind w:firstLine="560" w:firstLineChars="200"/>
        <w:rPr>
          <w:rFonts w:ascii="仿宋_GB2312" w:hAnsi="等线" w:eastAsia="仿宋_GB2312" w:cs="黑体"/>
          <w:szCs w:val="28"/>
          <w:u w:val="single"/>
        </w:rPr>
      </w:pPr>
      <w:r>
        <w:rPr>
          <w:rFonts w:hint="eastAsia" w:ascii="仿宋_GB2312" w:hAnsi="等线" w:eastAsia="仿宋_GB2312" w:cs="黑体"/>
          <w:szCs w:val="28"/>
        </w:rPr>
        <w:t>联系人：</w:t>
      </w:r>
      <w:r>
        <w:rPr>
          <w:rFonts w:hint="eastAsia" w:ascii="仿宋_GB2312" w:hAnsi="等线" w:eastAsia="仿宋_GB2312" w:cs="黑体"/>
          <w:szCs w:val="28"/>
          <w:u w:val="single"/>
        </w:rPr>
        <w:t xml:space="preserve">         </w:t>
      </w:r>
      <w:r>
        <w:rPr>
          <w:rFonts w:hint="eastAsia" w:ascii="仿宋_GB2312" w:hAnsi="等线" w:eastAsia="仿宋_GB2312" w:cs="黑体"/>
          <w:szCs w:val="28"/>
        </w:rPr>
        <w:t xml:space="preserve"> 电话：</w:t>
      </w:r>
      <w:r>
        <w:rPr>
          <w:rFonts w:hint="eastAsia" w:ascii="仿宋_GB2312" w:hAnsi="等线" w:eastAsia="仿宋_GB2312" w:cs="黑体"/>
          <w:szCs w:val="28"/>
          <w:u w:val="single"/>
        </w:rPr>
        <w:t xml:space="preserve">           </w:t>
      </w:r>
      <w:r>
        <w:rPr>
          <w:rFonts w:hint="eastAsia" w:ascii="仿宋_GB2312" w:hAnsi="等线" w:eastAsia="仿宋_GB2312" w:cs="黑体"/>
          <w:szCs w:val="28"/>
        </w:rPr>
        <w:t xml:space="preserve"> 手机号：</w:t>
      </w:r>
      <w:r>
        <w:rPr>
          <w:rFonts w:hint="eastAsia" w:ascii="仿宋_GB2312" w:hAnsi="等线" w:eastAsia="仿宋_GB2312" w:cs="黑体"/>
          <w:szCs w:val="28"/>
          <w:u w:val="single"/>
        </w:rPr>
        <w:t xml:space="preserve">           </w:t>
      </w:r>
    </w:p>
    <w:p w14:paraId="376B99AF">
      <w:pPr>
        <w:spacing w:line="600" w:lineRule="exact"/>
        <w:ind w:firstLine="560" w:firstLineChars="200"/>
        <w:rPr>
          <w:rFonts w:ascii="黑体" w:hAnsi="黑体" w:eastAsia="黑体" w:cs="黑体"/>
          <w:bCs/>
          <w:szCs w:val="28"/>
        </w:rPr>
      </w:pPr>
      <w:r>
        <w:rPr>
          <w:rFonts w:hint="eastAsia" w:ascii="黑体" w:hAnsi="黑体" w:eastAsia="黑体" w:cs="黑体"/>
          <w:bCs/>
          <w:szCs w:val="28"/>
        </w:rPr>
        <w:t>第九条</w:t>
      </w:r>
      <w:r>
        <w:rPr>
          <w:rFonts w:ascii="黑体" w:hAnsi="黑体" w:eastAsia="黑体" w:cs="黑体"/>
          <w:bCs/>
          <w:szCs w:val="28"/>
        </w:rPr>
        <w:t xml:space="preserve">  </w:t>
      </w:r>
      <w:r>
        <w:rPr>
          <w:rFonts w:hint="eastAsia" w:ascii="黑体" w:hAnsi="黑体" w:eastAsia="黑体" w:cs="黑体"/>
          <w:bCs/>
          <w:szCs w:val="28"/>
        </w:rPr>
        <w:t>违约责任</w:t>
      </w:r>
    </w:p>
    <w:p w14:paraId="35F3A6C4">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1.甲方违反本合同约定逾期支付合同价款的或乙方违反本合同约定逾期返还合同价款的，违约方应自逾期之日起按照逾期支付合同价款的3‰乘以逾期天数向对方支付违约金。</w:t>
      </w:r>
    </w:p>
    <w:p w14:paraId="5F517F06">
      <w:pPr>
        <w:spacing w:line="600" w:lineRule="exact"/>
        <w:ind w:firstLine="560" w:firstLineChars="200"/>
        <w:rPr>
          <w:rFonts w:ascii="仿宋_GB2312" w:hAnsi="等线" w:eastAsia="仿宋_GB2312" w:cs="黑体"/>
          <w:szCs w:val="28"/>
        </w:rPr>
      </w:pPr>
      <w:r>
        <w:rPr>
          <w:rFonts w:ascii="仿宋_GB2312" w:hAnsi="等线" w:eastAsia="仿宋_GB2312" w:cs="黑体"/>
          <w:szCs w:val="28"/>
        </w:rPr>
        <w:t>2.乙方逾期供货或未按约定期限完成安装调试的，</w:t>
      </w:r>
      <w:r>
        <w:rPr>
          <w:rFonts w:hint="eastAsia" w:ascii="仿宋_GB2312" w:hAnsi="等线" w:eastAsia="仿宋_GB2312" w:cs="黑体"/>
          <w:szCs w:val="28"/>
        </w:rPr>
        <w:t>自逾期之日起，向甲方每日支付合同总价3‰的违约金；乙方逾期30日不能交货或完成安装调试的，甲方有权解除本合同，乙方应返还甲方已支付的所有款项（对于未支付的价款，甲方不再支付），并向甲方支付合同总价30％的违约金，违约金不足以弥补甲方损失的，乙方还应赔偿甲方遭受的全部损失。</w:t>
      </w:r>
    </w:p>
    <w:p w14:paraId="5482F081">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3.乙方交付的货物存在损坏或短缺，或货物品牌、型号、配置性能、货物质量等不符合合同约定的，乙方应当按照甲方要求立即进行整改，予以无条件维修、更换或退货，并承担由此产生的全部费用。在乙方按要求完成整改前，甲方有权拒付相应合同价款。乙方拒绝整改的，甲方有权解除合同，乙方应返还甲方已支付的所有款项（对于未支付的价款，甲方不再支付），并向甲方支付合同总价30％的违约金，违约金不足以弥补甲方损失的，乙方还应赔偿甲方遭受的全部损失。乙方因整改未按本合同要求的时间交货或未按本合同约定的期限履行安装调试义务的，视为逾期，甲方有权按照本条第2款的约定行使权利。</w:t>
      </w:r>
    </w:p>
    <w:p w14:paraId="3E517136">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4.乙方提供的安装调试服务或集成服务验收不合格，应当重新进行安装调试或集成工作，并与甲方约定新的验收时间进行验收。如果连续经过</w:t>
      </w:r>
      <w:r>
        <w:rPr>
          <w:rFonts w:hint="eastAsia" w:ascii="仿宋_GB2312" w:hAnsi="等线" w:eastAsia="仿宋_GB2312" w:cs="黑体"/>
          <w:szCs w:val="28"/>
          <w:u w:val="single"/>
        </w:rPr>
        <w:t xml:space="preserve">    </w:t>
      </w:r>
      <w:r>
        <w:rPr>
          <w:rFonts w:hint="eastAsia" w:ascii="仿宋_GB2312" w:hAnsi="等线" w:eastAsia="仿宋_GB2312" w:cs="黑体"/>
          <w:szCs w:val="28"/>
        </w:rPr>
        <w:t>次验收均不合格或自合同约定的安装调试或集成服务应当完成之日起</w:t>
      </w:r>
      <w:r>
        <w:rPr>
          <w:rFonts w:hint="eastAsia" w:ascii="仿宋_GB2312" w:hAnsi="等线" w:eastAsia="仿宋_GB2312" w:cs="黑体"/>
          <w:szCs w:val="28"/>
          <w:u w:val="single"/>
        </w:rPr>
        <w:t xml:space="preserve">    </w:t>
      </w:r>
      <w:r>
        <w:rPr>
          <w:rFonts w:hint="eastAsia" w:ascii="仿宋_GB2312" w:hAnsi="等线" w:eastAsia="仿宋_GB2312" w:cs="黑体"/>
          <w:szCs w:val="28"/>
        </w:rPr>
        <w:t>日内仍不能验收合格的（以最先届至的为准），甲方有权选择行使下列权利：</w:t>
      </w:r>
    </w:p>
    <w:p w14:paraId="5570F11E">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（1）解除本合同，乙方向甲方返还甲方已支付的全部价款（对于未支付的价款，甲方不再支付），乙方同时应按合同总价的</w:t>
      </w:r>
      <w:r>
        <w:rPr>
          <w:rFonts w:hint="eastAsia" w:ascii="仿宋_GB2312" w:hAnsi="等线" w:eastAsia="仿宋_GB2312" w:cs="黑体"/>
          <w:szCs w:val="28"/>
          <w:u w:val="single"/>
        </w:rPr>
        <w:t xml:space="preserve">30 </w:t>
      </w:r>
      <w:bookmarkStart w:id="53" w:name="_Hlk36130741"/>
      <w:r>
        <w:rPr>
          <w:rFonts w:hint="eastAsia" w:ascii="仿宋_GB2312" w:hAnsi="等线" w:eastAsia="仿宋_GB2312" w:cs="黑体"/>
          <w:szCs w:val="28"/>
        </w:rPr>
        <w:t>％</w:t>
      </w:r>
      <w:bookmarkEnd w:id="53"/>
      <w:r>
        <w:rPr>
          <w:rFonts w:hint="eastAsia" w:ascii="仿宋_GB2312" w:hAnsi="等线" w:eastAsia="仿宋_GB2312" w:cs="黑体"/>
          <w:szCs w:val="28"/>
        </w:rPr>
        <w:t>向甲方支付违约金，违约金不足以弥补甲方损失的，乙方还应赔偿甲方遭受的全部损失。</w:t>
      </w:r>
    </w:p>
    <w:p w14:paraId="68DEF732">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（2）要求重新提供符合合同约定的服务，乙方同时应按合同总价的</w:t>
      </w:r>
      <w:r>
        <w:rPr>
          <w:rFonts w:hint="eastAsia" w:ascii="仿宋_GB2312" w:hAnsi="等线" w:eastAsia="仿宋_GB2312" w:cs="黑体"/>
          <w:szCs w:val="28"/>
          <w:u w:val="single"/>
        </w:rPr>
        <w:t xml:space="preserve">30 </w:t>
      </w:r>
      <w:r>
        <w:rPr>
          <w:rFonts w:hint="eastAsia" w:ascii="仿宋_GB2312" w:hAnsi="等线" w:eastAsia="仿宋_GB2312" w:cs="黑体"/>
          <w:szCs w:val="28"/>
        </w:rPr>
        <w:t>％向甲方支付违约金，违约金不足以弥补甲方损失的，乙方还应赔偿甲方遭受的全部损失。</w:t>
      </w:r>
    </w:p>
    <w:p w14:paraId="4CBE1733">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5.乙方违反本合同第十三条“承诺与保证”条款中任一约定的，甲方有权解除本合同，乙方应向甲方返还甲方已支付的全部价款（对于未支付的价款，甲方不再支付），乙方同时应按合同总价的</w:t>
      </w:r>
      <w:r>
        <w:rPr>
          <w:rFonts w:hint="eastAsia" w:ascii="仿宋_GB2312" w:hAnsi="等线" w:eastAsia="仿宋_GB2312" w:cs="黑体"/>
          <w:szCs w:val="28"/>
          <w:u w:val="single"/>
        </w:rPr>
        <w:t xml:space="preserve"> 30 </w:t>
      </w:r>
      <w:r>
        <w:rPr>
          <w:rFonts w:hint="eastAsia" w:ascii="仿宋_GB2312" w:hAnsi="等线" w:eastAsia="仿宋_GB2312" w:cs="黑体"/>
          <w:szCs w:val="28"/>
        </w:rPr>
        <w:t>％向甲方支付违约金，违约金不足以弥补甲方损失的，乙方还应赔偿甲方遭受的全部损失。</w:t>
      </w:r>
    </w:p>
    <w:p w14:paraId="338CD7CB">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6.乙方未按本合同约定履行保修与售后服务或其他约定义务的，应按照甲方要求承担继续履行、采取补救措施和赔偿损失等违约责任，并按以下约定向甲方支付违约金：对于超过时限不履行义务的，乙方应自逾期之日起按照合同总价的3‰乘以逾期天数向甲方支付违约金；对于其他违约情形的，乙方应就每一违约事件按照合同总价的10％向甲方支付违约金。违约金不足以补偿甲方损失的，乙方还应赔偿甲方遭受的全部损失。甲方认为违约行为已对甲方项目工作造成重大不利影响或者经甲方催告后乙方仍未提供保修与售后服务或其他约定义务的，甲方同时有权解除本合同。</w:t>
      </w:r>
    </w:p>
    <w:p w14:paraId="3D3F5F89">
      <w:pPr>
        <w:spacing w:line="600" w:lineRule="exact"/>
        <w:ind w:firstLine="560" w:firstLineChars="200"/>
        <w:rPr>
          <w:rFonts w:ascii="仿宋_GB2312" w:hAnsi="等线" w:eastAsia="仿宋_GB2312" w:cs="黑体"/>
          <w:szCs w:val="28"/>
        </w:rPr>
      </w:pPr>
      <w:r>
        <w:rPr>
          <w:rFonts w:ascii="仿宋_GB2312" w:hAnsi="等线" w:eastAsia="仿宋_GB2312" w:cs="黑体"/>
          <w:szCs w:val="28"/>
        </w:rPr>
        <w:t>7.如验收或检测乙方所供货物不能达到质量功能（性能）标准，</w:t>
      </w:r>
      <w:r>
        <w:rPr>
          <w:rFonts w:hint="eastAsia" w:ascii="仿宋_GB2312" w:hAnsi="等线" w:eastAsia="仿宋_GB2312" w:cs="黑体"/>
          <w:szCs w:val="28"/>
        </w:rPr>
        <w:t>甲方有权要求乙方在7日内处理设备，且甲方不支付任何费用。如乙方未按照甲方要求处理（搬走、撤出）设备，则视为乙方放弃该设备，甲方有权自行处置（包括作废物处理）。同时，乙方须在7日内返还已收货款并支付给甲方总货款的20％作为违约金。甲方不要求解除合同的，乙方应立即更换合格产品，并承担逾期供货的违约责任。</w:t>
      </w:r>
    </w:p>
    <w:p w14:paraId="4340EDFA">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 xml:space="preserve">8.若因货物缺陷或乙方服务质量等问题造成甲方或任何第三方人身、财产损害的，乙方应承担有关责任并作出相应赔偿。 </w:t>
      </w:r>
    </w:p>
    <w:p w14:paraId="2CF6562E">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9.本合同所称损失是指直接损失和间接损失，包括但不限于诉讼费/仲裁费、保全费、执行费、律师费及调查取证费、鉴定费、公证费、公告费、评估费等相关费用。</w:t>
      </w:r>
    </w:p>
    <w:p w14:paraId="0154EBB2">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10.乙方应当向甲方支付违约金或赔偿金的，应当在甲方发出索赔通知后</w:t>
      </w:r>
      <w:r>
        <w:rPr>
          <w:rFonts w:hint="eastAsia" w:ascii="仿宋_GB2312" w:hAnsi="等线" w:eastAsia="仿宋_GB2312" w:cs="黑体"/>
          <w:szCs w:val="28"/>
          <w:u w:val="single"/>
        </w:rPr>
        <w:t xml:space="preserve"> 7</w:t>
      </w:r>
      <w:r>
        <w:rPr>
          <w:rFonts w:hint="eastAsia" w:ascii="仿宋_GB2312" w:hAnsi="等线" w:eastAsia="仿宋_GB2312" w:cs="黑体"/>
          <w:szCs w:val="28"/>
        </w:rPr>
        <w:t>日之内支付给甲方。如甲方尚有未向乙方支付的款项的，则甲方有权从未支付款项中直接扣除相应数额的款项；甲方也可以直接从履约保证金/质量保证金中扣除乙方应付未付违约金。</w:t>
      </w:r>
    </w:p>
    <w:p w14:paraId="26CF2AFA">
      <w:pPr>
        <w:spacing w:line="600" w:lineRule="exact"/>
        <w:ind w:firstLine="560" w:firstLineChars="200"/>
        <w:rPr>
          <w:rFonts w:ascii="仿宋_GB2312" w:hAnsi="等线" w:eastAsia="仿宋_GB2312" w:cs="黑体"/>
          <w:szCs w:val="28"/>
        </w:rPr>
      </w:pPr>
      <w:r>
        <w:rPr>
          <w:rFonts w:hint="eastAsia" w:ascii="黑体" w:hAnsi="黑体" w:eastAsia="黑体" w:cs="黑体"/>
          <w:bCs/>
          <w:szCs w:val="28"/>
        </w:rPr>
        <w:t>第十条</w:t>
      </w:r>
      <w:r>
        <w:rPr>
          <w:rFonts w:ascii="黑体" w:hAnsi="黑体" w:eastAsia="黑体" w:cs="黑体"/>
          <w:bCs/>
          <w:szCs w:val="28"/>
        </w:rPr>
        <w:t xml:space="preserve"> </w:t>
      </w:r>
      <w:r>
        <w:rPr>
          <w:rFonts w:hint="eastAsia" w:ascii="黑体" w:hAnsi="黑体" w:eastAsia="黑体" w:cs="黑体"/>
          <w:bCs/>
          <w:szCs w:val="28"/>
        </w:rPr>
        <w:t>履约保证金</w:t>
      </w:r>
      <w:r>
        <w:rPr>
          <w:rFonts w:ascii="黑体" w:hAnsi="黑体" w:eastAsia="黑体" w:cs="黑体"/>
          <w:bCs/>
          <w:szCs w:val="28"/>
        </w:rPr>
        <w:t>/质量保证金</w:t>
      </w:r>
      <w:r>
        <w:rPr>
          <w:rFonts w:hint="eastAsia" w:ascii="仿宋_GB2312" w:hAnsi="等线" w:eastAsia="仿宋_GB2312" w:cs="黑体"/>
          <w:szCs w:val="28"/>
          <w:lang w:eastAsia="zh-CN"/>
        </w:rPr>
        <w:t>：</w:t>
      </w:r>
      <w:r>
        <w:rPr>
          <w:rFonts w:hint="eastAsia" w:ascii="仿宋_GB2312" w:hAnsi="等线" w:eastAsia="仿宋_GB2312" w:cs="黑体"/>
          <w:szCs w:val="28"/>
          <w:lang w:val="en-US" w:eastAsia="zh-CN"/>
        </w:rPr>
        <w:t>无</w:t>
      </w:r>
      <w:r>
        <w:rPr>
          <w:rFonts w:hint="eastAsia" w:ascii="仿宋_GB2312" w:hAnsi="等线" w:eastAsia="仿宋_GB2312" w:cs="黑体"/>
          <w:szCs w:val="28"/>
        </w:rPr>
        <w:t>。</w:t>
      </w:r>
    </w:p>
    <w:p w14:paraId="74B06FBD">
      <w:pPr>
        <w:spacing w:line="600" w:lineRule="exact"/>
        <w:ind w:firstLine="560" w:firstLineChars="200"/>
        <w:rPr>
          <w:rFonts w:ascii="黑体" w:hAnsi="黑体" w:eastAsia="黑体" w:cs="黑体"/>
          <w:bCs/>
          <w:szCs w:val="28"/>
        </w:rPr>
      </w:pPr>
      <w:r>
        <w:rPr>
          <w:rFonts w:hint="eastAsia" w:ascii="黑体" w:hAnsi="黑体" w:eastAsia="黑体" w:cs="黑体"/>
          <w:bCs/>
          <w:szCs w:val="28"/>
        </w:rPr>
        <w:t>第十一条  知识产权等侵权事务处理</w:t>
      </w:r>
    </w:p>
    <w:p w14:paraId="2FBBAB55">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1.乙方保证乙方提供的货物及服务（无论乙方是否为该货物或服务的原厂商）不存在任何侵犯第三方知识产权及其他权利的情形。如果第三方声称乙方向甲方提供的货物或服务侵犯其知识产权或其他权利的，</w:t>
      </w:r>
      <w:bookmarkStart w:id="54" w:name="_Hlk536733718"/>
      <w:r>
        <w:rPr>
          <w:rFonts w:hint="eastAsia" w:ascii="仿宋_GB2312" w:hAnsi="等线" w:eastAsia="仿宋_GB2312" w:cs="黑体"/>
          <w:szCs w:val="28"/>
        </w:rPr>
        <w:t>由乙方负责处理并自担费用，知悉上述事项的一方应立即通知合同对方；</w:t>
      </w:r>
      <w:bookmarkEnd w:id="54"/>
      <w:r>
        <w:rPr>
          <w:rFonts w:hint="eastAsia" w:ascii="仿宋_GB2312" w:hAnsi="等线" w:eastAsia="仿宋_GB2312" w:cs="黑体"/>
          <w:szCs w:val="28"/>
        </w:rPr>
        <w:t>如第三方已就此对甲方或乙方提起（包括威胁提起或很可能提起）法律诉讼程序或知识产权等维权行政执法程序（简称“侵权纠纷”），</w:t>
      </w:r>
      <w:bookmarkStart w:id="55" w:name="_Hlk536728548"/>
      <w:r>
        <w:rPr>
          <w:rFonts w:hint="eastAsia" w:ascii="仿宋_GB2312" w:hAnsi="等线" w:eastAsia="仿宋_GB2312" w:cs="黑体"/>
          <w:szCs w:val="28"/>
        </w:rPr>
        <w:t>由乙方负责处理并自担费用，</w:t>
      </w:r>
      <w:bookmarkEnd w:id="55"/>
      <w:r>
        <w:rPr>
          <w:rFonts w:hint="eastAsia" w:ascii="仿宋_GB2312" w:hAnsi="等线" w:eastAsia="仿宋_GB2312" w:cs="黑体"/>
          <w:szCs w:val="28"/>
        </w:rPr>
        <w:t>知悉上述事项的一方应立即通知合同对方，甲方并有权：（1）暂停履行对侵权纠纷所涉货物或服务的采购或支付义务，直至侵权纠纷完全解决</w:t>
      </w:r>
      <w:bookmarkStart w:id="56" w:name="_Hlk536728589"/>
      <w:r>
        <w:rPr>
          <w:rFonts w:hint="eastAsia" w:ascii="仿宋_GB2312" w:hAnsi="等线" w:eastAsia="仿宋_GB2312" w:cs="黑体"/>
          <w:szCs w:val="28"/>
        </w:rPr>
        <w:t>（即纠纷已按照生效的协议、调解书、裁决等履行完毕）时再启动继续履行，就甲方作为当事人的侵权纠纷，乙方无条件按照甲方的要求配合甲方处理，</w:t>
      </w:r>
      <w:bookmarkEnd w:id="56"/>
      <w:r>
        <w:rPr>
          <w:rFonts w:hint="eastAsia" w:ascii="仿宋_GB2312" w:hAnsi="等线" w:eastAsia="仿宋_GB2312" w:cs="黑体"/>
          <w:szCs w:val="28"/>
        </w:rPr>
        <w:t>乙方并应自担费用向甲方提供甲方与该第三方协商、诉讼、和解所需的一切协助（包括但不限于向甲方提供证明侵权不存在的各类证据、派出人员参加协商、诉讼或会谈等）；且（2）甲方有权选择与该第三方达成调解、和解，并由乙方支付调解协议、和解协议所约定的全部费用以及甲方因侵权纠纷而遭受的全部损失或费用（包括但不限于诉讼/仲裁费、保全费、执行费、律师费、交通费、通讯费、差旅费、对第三方的损害赔偿金、行政处罚罚款、获取该货物或服务相应使用许可的费用、因停止使用或修改、替换侵权威胁所涉及的货物或服务而遭受的损失等）。如果甲方选择继续参加侵权纠纷法律程序，乙方应当赔偿甲方因侵权纠纷及履行调节协议、和解协议、生效法律裁判而需支付的费用或遭受的损失（包括但不限于诉讼/仲裁费、保全费、执行费、律师费、交通费、通讯费、差旅费、对第三方的损害赔偿金、行政处罚罚款、获取该货物或服务相应使用许可的费用、因停止使用或修改、替换侵权威胁所涉及的货物或服务而遭受的损失等）。</w:t>
      </w:r>
    </w:p>
    <w:p w14:paraId="4DA8B784">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2.不论本合同是否解除或终止，本条款持续有效。</w:t>
      </w:r>
    </w:p>
    <w:p w14:paraId="5C952269">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3.其他：</w:t>
      </w:r>
      <w:r>
        <w:rPr>
          <w:rFonts w:hint="eastAsia" w:ascii="仿宋_GB2312" w:hAnsi="等线" w:eastAsia="仿宋_GB2312" w:cs="黑体"/>
          <w:szCs w:val="28"/>
          <w:u w:val="single"/>
        </w:rPr>
        <w:t xml:space="preserve">                                </w:t>
      </w:r>
      <w:r>
        <w:rPr>
          <w:rFonts w:hint="eastAsia" w:ascii="仿宋_GB2312" w:hAnsi="等线" w:eastAsia="仿宋_GB2312" w:cs="黑体"/>
          <w:szCs w:val="28"/>
        </w:rPr>
        <w:t>。</w:t>
      </w:r>
    </w:p>
    <w:p w14:paraId="6055FFB8">
      <w:pPr>
        <w:spacing w:line="600" w:lineRule="exact"/>
        <w:ind w:firstLine="560" w:firstLineChars="200"/>
        <w:rPr>
          <w:rFonts w:ascii="黑体" w:hAnsi="黑体" w:eastAsia="黑体" w:cs="黑体"/>
          <w:bCs/>
          <w:szCs w:val="28"/>
        </w:rPr>
      </w:pPr>
      <w:r>
        <w:rPr>
          <w:rFonts w:hint="eastAsia" w:ascii="黑体" w:hAnsi="黑体" w:eastAsia="黑体" w:cs="黑体"/>
          <w:bCs/>
          <w:szCs w:val="28"/>
        </w:rPr>
        <w:t>第十二条  保密条款</w:t>
      </w:r>
    </w:p>
    <w:p w14:paraId="5E400D0F">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乙方应当对本合同的内容、甲方为本合同提供的技术要求、规格指标、计划、图纸、模型、样品等信息或资料以及乙方在签订、履行本合同过程中知悉或获得的所有有关甲方的商业秘密、内部资料等信息（即“保密信息”）予以保密，除非该信息是：（1）甲方以书面方式明确注明为非保密性质的信息；或（2）公众已经知晓的或通过公开渠道可获得的信息，且不是因为乙方违反本保密义务而导致该信息被公知公晓或通过公开渠道可获得的；（3）乙方从有权披露该信息的第三方获取的信息，且乙方对该信息无保密义务；（4）在本合同谈判前乙方已独立开发的信息。</w:t>
      </w:r>
    </w:p>
    <w:p w14:paraId="5A41E2C5">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2</w:t>
      </w:r>
      <w:r>
        <w:rPr>
          <w:rFonts w:ascii="仿宋_GB2312" w:hAnsi="等线" w:eastAsia="仿宋_GB2312" w:cs="黑体"/>
          <w:szCs w:val="28"/>
        </w:rPr>
        <w:t>.</w:t>
      </w:r>
      <w:r>
        <w:rPr>
          <w:rFonts w:hint="eastAsia" w:ascii="仿宋_GB2312" w:hAnsi="等线" w:eastAsia="仿宋_GB2312" w:cs="黑体"/>
          <w:szCs w:val="28"/>
        </w:rPr>
        <w:t>在本合同约定的保密期限内，未经甲方书面同意，乙方不得将保密信息用于本合同以外的目的，并不得将其泄漏给任何第三方。乙方的雇员为履行本合同约定而必须接触相关保密信息时，乙方可以将此部分保密信息披露给该雇员，但乙方应当告知该雇员相关的保密义务并和其签署书面保密协议，使其承担不低于本保密条款约定的保密义务。</w:t>
      </w:r>
    </w:p>
    <w:p w14:paraId="2CA5961B">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3</w:t>
      </w:r>
      <w:r>
        <w:rPr>
          <w:rFonts w:ascii="仿宋_GB2312" w:hAnsi="等线" w:eastAsia="仿宋_GB2312" w:cs="黑体"/>
          <w:szCs w:val="28"/>
        </w:rPr>
        <w:t>.</w:t>
      </w:r>
      <w:r>
        <w:rPr>
          <w:rFonts w:hint="eastAsia" w:ascii="仿宋_GB2312" w:hAnsi="等线" w:eastAsia="仿宋_GB2312" w:cs="黑体"/>
          <w:szCs w:val="28"/>
        </w:rPr>
        <w:t>司法、执法等机关（简称“有权机关”）或法律法规要求乙方披露保密信息的，乙方应在披露前或披露时尽最大努力为被要求披露的保密信息获取保密措施或保密待遇，并将披露范围严格限定在有权机关或法律法规所要求必须披露的范围之内。在法律许可的范围内，乙方应将此事立即书面通知甲方，使甲方有合理机会采取适当的申诉或保护措施。</w:t>
      </w:r>
    </w:p>
    <w:p w14:paraId="677C4AEB">
      <w:pPr>
        <w:spacing w:line="600" w:lineRule="exact"/>
        <w:ind w:firstLine="560" w:firstLineChars="200"/>
        <w:rPr>
          <w:rFonts w:ascii="仿宋_GB2312" w:hAnsi="等线" w:eastAsia="仿宋_GB2312" w:cs="黑体"/>
          <w:szCs w:val="28"/>
        </w:rPr>
      </w:pPr>
      <w:r>
        <w:rPr>
          <w:rFonts w:ascii="仿宋_GB2312" w:hAnsi="等线" w:eastAsia="仿宋_GB2312" w:cs="黑体"/>
          <w:szCs w:val="28"/>
        </w:rPr>
        <w:t>4</w:t>
      </w:r>
      <w:r>
        <w:rPr>
          <w:rFonts w:hint="eastAsia" w:ascii="仿宋_GB2312" w:hAnsi="等线" w:eastAsia="仿宋_GB2312" w:cs="黑体"/>
          <w:szCs w:val="28"/>
        </w:rPr>
        <w:t>.乙方或其雇员（无论该雇员是否已从乙方离职）在本条约定的保密期限内违反保密义务的，乙方应当对甲方因此所遭受的损失承担赔偿责任。如果乙方在本合同有效期内严重违反保密义务，甲方同时还有权提前解除本合同。</w:t>
      </w:r>
    </w:p>
    <w:p w14:paraId="265313A8">
      <w:pPr>
        <w:spacing w:line="600" w:lineRule="exact"/>
        <w:ind w:firstLine="560" w:firstLineChars="200"/>
        <w:rPr>
          <w:rFonts w:ascii="仿宋_GB2312" w:hAnsi="等线" w:eastAsia="仿宋_GB2312" w:cs="黑体"/>
          <w:szCs w:val="28"/>
        </w:rPr>
      </w:pPr>
      <w:r>
        <w:rPr>
          <w:rFonts w:ascii="仿宋_GB2312" w:hAnsi="等线" w:eastAsia="仿宋_GB2312" w:cs="黑体"/>
          <w:szCs w:val="28"/>
        </w:rPr>
        <w:t>5</w:t>
      </w:r>
      <w:r>
        <w:rPr>
          <w:rFonts w:hint="eastAsia" w:ascii="仿宋_GB2312" w:hAnsi="等线" w:eastAsia="仿宋_GB2312" w:cs="黑体"/>
          <w:szCs w:val="28"/>
        </w:rPr>
        <w:t>.如果甲方有要求，乙方在完成合同后应将甲方为本合同提供的所有资料或物品返还甲方。</w:t>
      </w:r>
    </w:p>
    <w:p w14:paraId="5C25D84A">
      <w:pPr>
        <w:spacing w:line="600" w:lineRule="exact"/>
        <w:ind w:firstLine="560" w:firstLineChars="200"/>
        <w:rPr>
          <w:rFonts w:ascii="仿宋_GB2312" w:hAnsi="等线" w:eastAsia="仿宋_GB2312" w:cs="黑体"/>
          <w:szCs w:val="28"/>
        </w:rPr>
      </w:pPr>
      <w:r>
        <w:rPr>
          <w:rFonts w:ascii="仿宋_GB2312" w:hAnsi="等线" w:eastAsia="仿宋_GB2312" w:cs="黑体"/>
          <w:szCs w:val="28"/>
        </w:rPr>
        <w:t>6</w:t>
      </w:r>
      <w:r>
        <w:rPr>
          <w:rFonts w:hint="eastAsia" w:ascii="仿宋_GB2312" w:hAnsi="等线" w:eastAsia="仿宋_GB2312" w:cs="黑体"/>
          <w:szCs w:val="28"/>
        </w:rPr>
        <w:t>.保密期限自本合同生效之日起算，保密期限为：</w:t>
      </w:r>
      <w:r>
        <w:rPr>
          <w:rFonts w:hint="eastAsia" w:ascii="仿宋_GB2312" w:hAnsi="等线" w:eastAsia="仿宋_GB2312" w:cs="黑体"/>
          <w:szCs w:val="28"/>
          <w:u w:val="single"/>
        </w:rPr>
        <w:t>永久，不因本合同的解除或终止而失效</w:t>
      </w:r>
      <w:r>
        <w:rPr>
          <w:rFonts w:hint="eastAsia" w:ascii="仿宋_GB2312" w:hAnsi="等线" w:eastAsia="仿宋_GB2312" w:cs="黑体"/>
          <w:szCs w:val="28"/>
        </w:rPr>
        <w:t>。</w:t>
      </w:r>
    </w:p>
    <w:p w14:paraId="32E77AEE">
      <w:pPr>
        <w:spacing w:line="600" w:lineRule="exact"/>
        <w:ind w:firstLine="560" w:firstLineChars="200"/>
        <w:rPr>
          <w:rFonts w:ascii="仿宋_GB2312" w:hAnsi="等线" w:eastAsia="仿宋_GB2312" w:cs="黑体"/>
          <w:szCs w:val="28"/>
        </w:rPr>
      </w:pPr>
      <w:r>
        <w:rPr>
          <w:rFonts w:ascii="仿宋_GB2312" w:hAnsi="等线" w:eastAsia="仿宋_GB2312" w:cs="黑体"/>
          <w:szCs w:val="28"/>
        </w:rPr>
        <w:t>7</w:t>
      </w:r>
      <w:r>
        <w:rPr>
          <w:rFonts w:hint="eastAsia" w:ascii="仿宋_GB2312" w:hAnsi="等线" w:eastAsia="仿宋_GB2312" w:cs="黑体"/>
          <w:szCs w:val="28"/>
        </w:rPr>
        <w:t>.其他：</w:t>
      </w:r>
      <w:r>
        <w:rPr>
          <w:rFonts w:hint="eastAsia" w:ascii="仿宋_GB2312" w:hAnsi="等线" w:eastAsia="仿宋_GB2312" w:cs="黑体"/>
          <w:szCs w:val="28"/>
          <w:u w:val="single"/>
        </w:rPr>
        <w:t xml:space="preserve">                               </w:t>
      </w:r>
      <w:r>
        <w:rPr>
          <w:rFonts w:hint="eastAsia" w:ascii="仿宋_GB2312" w:hAnsi="等线" w:eastAsia="仿宋_GB2312" w:cs="黑体"/>
          <w:szCs w:val="28"/>
        </w:rPr>
        <w:t>。</w:t>
      </w:r>
    </w:p>
    <w:p w14:paraId="7563D373">
      <w:pPr>
        <w:spacing w:line="600" w:lineRule="exact"/>
        <w:ind w:firstLine="560" w:firstLineChars="200"/>
        <w:rPr>
          <w:rFonts w:ascii="黑体" w:hAnsi="黑体" w:eastAsia="黑体" w:cs="黑体"/>
          <w:bCs/>
          <w:szCs w:val="28"/>
        </w:rPr>
      </w:pPr>
      <w:r>
        <w:rPr>
          <w:rFonts w:hint="eastAsia" w:ascii="黑体" w:hAnsi="黑体" w:eastAsia="黑体" w:cs="黑体"/>
          <w:bCs/>
          <w:szCs w:val="28"/>
        </w:rPr>
        <w:t>第十三条 承诺与保证</w:t>
      </w:r>
    </w:p>
    <w:p w14:paraId="11B3DE90">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1.乙方清楚地知悉甲方的经营范围及合同签字人权限。乙方已阅读本合同所有条款，并对本合同条款的含义及相应的法律后果已全部通晓并充分理解。</w:t>
      </w:r>
    </w:p>
    <w:p w14:paraId="3C6DF07C">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2.乙方保证具备签署、履行本合同的合法资格和能力，乙方在本合同项下的行为符合法律、行政法规、规章规定，乙方签署本合同或履行乙方在本合同项下的义务不违反乙方订立的任何其他协议，乙方在本合同项下的行为符合乙方的相关规定，且已获得公司（机构、组织）内部有权机构及/或国家有权机关的批准。</w:t>
      </w:r>
    </w:p>
    <w:p w14:paraId="60AFAB66">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3</w:t>
      </w:r>
      <w:r>
        <w:rPr>
          <w:rFonts w:ascii="仿宋_GB2312" w:hAnsi="等线" w:eastAsia="仿宋_GB2312" w:cs="黑体"/>
          <w:szCs w:val="28"/>
        </w:rPr>
        <w:t>.</w:t>
      </w:r>
      <w:r>
        <w:rPr>
          <w:rFonts w:hint="eastAsia" w:ascii="仿宋_GB2312" w:hAnsi="等线" w:eastAsia="仿宋_GB2312" w:cs="黑体"/>
          <w:szCs w:val="28"/>
        </w:rPr>
        <w:t>若乙方并非甲方所采购的货物或服务的原厂商，而是作为该原厂商的经销商或代理商与甲方签订本合同的，则对于任何依本合同约定应由或理应由原厂商提供的货物或服务或履行的其他义务（包括但不限于原厂商生产货物、原厂商维护支持服务、</w:t>
      </w:r>
      <w:bookmarkStart w:id="57" w:name="_Hlk536733933"/>
      <w:r>
        <w:rPr>
          <w:rFonts w:hint="eastAsia" w:ascii="仿宋_GB2312" w:hAnsi="等线" w:eastAsia="仿宋_GB2312" w:cs="黑体"/>
          <w:szCs w:val="28"/>
        </w:rPr>
        <w:t>原厂商售后服务、</w:t>
      </w:r>
      <w:bookmarkEnd w:id="57"/>
      <w:r>
        <w:rPr>
          <w:rFonts w:hint="eastAsia" w:ascii="仿宋_GB2312" w:hAnsi="等线" w:eastAsia="仿宋_GB2312" w:cs="黑体"/>
          <w:szCs w:val="28"/>
        </w:rPr>
        <w:t>知识产权及保密方面的义务等），乙方均有义务通过协议、安排、协调、购买、督促、要求等任何方式保证该原厂商按照本合同约定予以提供或履行，原厂商不按照本合同约定予以提供或履行的，视为系乙方的违约行为，甲方有权按照本合同约定要求乙方对该违约行为承担违约责任。</w:t>
      </w:r>
    </w:p>
    <w:p w14:paraId="4E4F468A">
      <w:pPr>
        <w:spacing w:line="600" w:lineRule="exact"/>
        <w:ind w:firstLine="560" w:firstLineChars="200"/>
        <w:rPr>
          <w:rFonts w:ascii="仿宋_GB2312" w:hAnsi="等线" w:eastAsia="仿宋_GB2312" w:cs="黑体"/>
          <w:szCs w:val="28"/>
        </w:rPr>
      </w:pPr>
      <w:r>
        <w:rPr>
          <w:rFonts w:ascii="仿宋_GB2312" w:hAnsi="等线" w:eastAsia="仿宋_GB2312" w:cs="黑体"/>
          <w:szCs w:val="28"/>
        </w:rPr>
        <w:t>4</w:t>
      </w:r>
      <w:r>
        <w:rPr>
          <w:rFonts w:hint="eastAsia" w:ascii="仿宋_GB2312" w:hAnsi="等线" w:eastAsia="仿宋_GB2312" w:cs="黑体"/>
          <w:szCs w:val="28"/>
        </w:rPr>
        <w:t>.乙方保证提供给甲方的全部资料、文件和信息均是真实、合法、准确、完整、有效的。</w:t>
      </w:r>
    </w:p>
    <w:p w14:paraId="5251F7D8">
      <w:pPr>
        <w:spacing w:line="600" w:lineRule="exact"/>
        <w:ind w:firstLine="560" w:firstLineChars="200"/>
        <w:rPr>
          <w:rFonts w:ascii="仿宋_GB2312" w:hAnsi="等线" w:eastAsia="仿宋_GB2312" w:cs="黑体"/>
          <w:szCs w:val="28"/>
        </w:rPr>
      </w:pPr>
      <w:r>
        <w:rPr>
          <w:rFonts w:ascii="仿宋_GB2312" w:hAnsi="等线" w:eastAsia="仿宋_GB2312" w:cs="黑体"/>
          <w:szCs w:val="28"/>
        </w:rPr>
        <w:t>5</w:t>
      </w:r>
      <w:r>
        <w:rPr>
          <w:rFonts w:hint="eastAsia" w:ascii="仿宋_GB2312" w:hAnsi="等线" w:eastAsia="仿宋_GB2312" w:cs="黑体"/>
          <w:szCs w:val="28"/>
        </w:rPr>
        <w:t>.乙方保证具备销售本合同项下货物及提供本合同项下各项服务的合法资质，并有义务在本合同履行期内持续保持该资质的合法有效性。乙方保证对所销售的货物合法享有所有权或处分权，货物不存在任何权属争议，也不存在任何未书面告知甲方的权利瑕疵或权利负担，包括但不限于被查封、被扣押、被监管、被出租、被留置、存在拖欠购置价款、维修费用、国家税款、损害赔偿金等情形或者货物已为第三人设定担保等。</w:t>
      </w:r>
    </w:p>
    <w:p w14:paraId="2D9DFFE6">
      <w:pPr>
        <w:spacing w:line="600" w:lineRule="exact"/>
        <w:ind w:firstLine="560" w:firstLineChars="200"/>
        <w:rPr>
          <w:rFonts w:ascii="仿宋_GB2312" w:hAnsi="等线" w:eastAsia="仿宋_GB2312" w:cs="黑体"/>
          <w:szCs w:val="28"/>
        </w:rPr>
      </w:pPr>
      <w:r>
        <w:rPr>
          <w:rFonts w:ascii="仿宋_GB2312" w:hAnsi="等线" w:eastAsia="仿宋_GB2312" w:cs="黑体"/>
          <w:szCs w:val="28"/>
        </w:rPr>
        <w:t>6</w:t>
      </w:r>
      <w:r>
        <w:rPr>
          <w:rFonts w:hint="eastAsia" w:ascii="仿宋_GB2312" w:hAnsi="等线" w:eastAsia="仿宋_GB2312" w:cs="黑体"/>
          <w:szCs w:val="28"/>
        </w:rPr>
        <w:t>.其他：</w:t>
      </w:r>
      <w:r>
        <w:rPr>
          <w:rFonts w:hint="eastAsia" w:ascii="仿宋_GB2312" w:hAnsi="等线" w:eastAsia="仿宋_GB2312" w:cs="黑体"/>
          <w:szCs w:val="28"/>
          <w:u w:val="single"/>
        </w:rPr>
        <w:t xml:space="preserve">                               </w:t>
      </w:r>
    </w:p>
    <w:p w14:paraId="216ED9A6">
      <w:pPr>
        <w:spacing w:line="600" w:lineRule="exact"/>
        <w:ind w:firstLine="560" w:firstLineChars="200"/>
        <w:rPr>
          <w:rFonts w:ascii="黑体" w:hAnsi="黑体" w:eastAsia="黑体" w:cs="黑体"/>
          <w:bCs/>
          <w:szCs w:val="28"/>
        </w:rPr>
      </w:pPr>
      <w:r>
        <w:rPr>
          <w:rFonts w:hint="eastAsia" w:ascii="黑体" w:hAnsi="黑体" w:eastAsia="黑体" w:cs="黑体"/>
          <w:bCs/>
          <w:szCs w:val="28"/>
        </w:rPr>
        <w:t>第十四条  其他约定</w:t>
      </w:r>
    </w:p>
    <w:p w14:paraId="34A06689">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1.权利保留</w:t>
      </w:r>
    </w:p>
    <w:p w14:paraId="088A5636">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任何一方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w:t>
      </w:r>
    </w:p>
    <w:p w14:paraId="3E1A1130">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2.通知</w:t>
      </w:r>
    </w:p>
    <w:p w14:paraId="0912216D">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本合同任何一方当事人传递给对方的通知，须按本合同所列的联系人、联系电话、通讯地址等联系方式进行。一方联系人、联系方式如有变动，应于发生变动之日起三个工作日内以书面形式通知对方，因未及时通知而造成的损失由变动方承担。</w:t>
      </w:r>
    </w:p>
    <w:p w14:paraId="179914E9">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（2）其他：</w:t>
      </w:r>
      <w:r>
        <w:rPr>
          <w:rFonts w:hint="eastAsia" w:ascii="仿宋_GB2312" w:hAnsi="等线" w:eastAsia="仿宋_GB2312" w:cs="黑体"/>
          <w:szCs w:val="28"/>
          <w:u w:val="single"/>
        </w:rPr>
        <w:t xml:space="preserve">                               </w:t>
      </w:r>
    </w:p>
    <w:p w14:paraId="66C3FEF7">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3.税收</w:t>
      </w:r>
    </w:p>
    <w:p w14:paraId="08193F26">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合同双方均同意根据适用的税收法律法规各自缴纳其应承担的本合同或本合同项下的一切税收。甲方除依据本合同“支付条款”支付相应款项外，无义务向乙方额外补偿或支付任何税款。如果依据税收法律法规，甲方应当为乙方代扣代缴任何税款，甲方有权在依据本合同支付相应款项前扣除应代扣的税款；如甲方按照税收法律法规已为乙方代缴了税款，但未能在支付本合同约定款项时扣除相应数额，乙方应当在接到甲方提供的代缴税收证明文件后立即全额偿付甲方已代缴的税款。</w:t>
      </w:r>
    </w:p>
    <w:p w14:paraId="4B983A1E">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（2）其他：</w:t>
      </w:r>
      <w:r>
        <w:rPr>
          <w:rFonts w:hint="eastAsia" w:ascii="仿宋_GB2312" w:hAnsi="等线" w:eastAsia="仿宋_GB2312" w:cs="黑体"/>
          <w:szCs w:val="28"/>
          <w:u w:val="single"/>
        </w:rPr>
        <w:t xml:space="preserve">                               </w:t>
      </w:r>
    </w:p>
    <w:p w14:paraId="29FA7C46">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4.不可抗力</w:t>
      </w:r>
    </w:p>
    <w:p w14:paraId="097E4813">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由于发生不可抗力事件（如疫情、战争、暴动、严重火灾、水灾、台风、地震、政府行为和禁令等事件），致使合同任一方不能履行合同义务时，遭受不可抗力事件影响的一方负有在合理时间内尽快通知合同对方和采取合理措施减少对方损失的义务。</w:t>
      </w:r>
    </w:p>
    <w:p w14:paraId="4C9FAEAF">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遭受不可抗力事件影响的一方在履行前述义务后免除违约责任。但其合同义务不因此免除。经合同双方协商同意，合同履行时间可合理延长，延长时间相当于因事件发生受到影响的时间。</w:t>
      </w:r>
    </w:p>
    <w:p w14:paraId="24FD48BE">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（2）其他：</w:t>
      </w:r>
      <w:r>
        <w:rPr>
          <w:rFonts w:hint="eastAsia" w:ascii="仿宋_GB2312" w:hAnsi="等线" w:eastAsia="仿宋_GB2312" w:cs="黑体"/>
          <w:szCs w:val="28"/>
          <w:u w:val="single"/>
        </w:rPr>
        <w:t xml:space="preserve">                               </w:t>
      </w:r>
    </w:p>
    <w:p w14:paraId="23DC5A58">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5.权利义务的转让</w:t>
      </w:r>
    </w:p>
    <w:p w14:paraId="5782BA15">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未经甲方事先书面同意，乙方不得通过任何方式出售、转让或转移其在本合同项下的任何权利或义务。</w:t>
      </w:r>
    </w:p>
    <w:p w14:paraId="4D29A8D8">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6.市场宣传</w:t>
      </w:r>
    </w:p>
    <w:p w14:paraId="523F51EA">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未经甲方书面同意，乙方不得在市场宣传中使用与甲方的合作案例，不得将甲方作为业务合作伙伴进行宣传，不得使用甲方的名称、标志、商标等。</w:t>
      </w:r>
    </w:p>
    <w:p w14:paraId="623669FA">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7.合同的完整性及解释顺序</w:t>
      </w:r>
    </w:p>
    <w:p w14:paraId="5C8C9235">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（1）下列文件是本合同不可分割的组成部分，并按下列优先顺序进行解释：</w:t>
      </w:r>
    </w:p>
    <w:p w14:paraId="17D1D4CC">
      <w:pPr>
        <w:autoSpaceDE w:val="0"/>
        <w:autoSpaceDN w:val="0"/>
        <w:adjustRightInd w:val="0"/>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 xml:space="preserve">（a）本合同及附件； </w:t>
      </w:r>
    </w:p>
    <w:p w14:paraId="67DD4BE8">
      <w:pPr>
        <w:autoSpaceDE w:val="0"/>
        <w:autoSpaceDN w:val="0"/>
        <w:adjustRightInd w:val="0"/>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 xml:space="preserve">（b）中标通知书（如果有）； </w:t>
      </w:r>
    </w:p>
    <w:p w14:paraId="2FB5ED28">
      <w:pPr>
        <w:autoSpaceDE w:val="0"/>
        <w:autoSpaceDN w:val="0"/>
        <w:adjustRightInd w:val="0"/>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（c）招标（谈判、磋商）文件及附件；</w:t>
      </w:r>
    </w:p>
    <w:p w14:paraId="7157E441">
      <w:pPr>
        <w:autoSpaceDE w:val="0"/>
        <w:autoSpaceDN w:val="0"/>
        <w:adjustRightInd w:val="0"/>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（d）投标（响应）文件（如果有）；</w:t>
      </w:r>
    </w:p>
    <w:p w14:paraId="53DC91D1">
      <w:pPr>
        <w:autoSpaceDE w:val="0"/>
        <w:autoSpaceDN w:val="0"/>
        <w:adjustRightInd w:val="0"/>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（e）投标人所作的其他承诺；</w:t>
      </w:r>
    </w:p>
    <w:p w14:paraId="4FD2D0AC">
      <w:pPr>
        <w:autoSpaceDE w:val="0"/>
        <w:autoSpaceDN w:val="0"/>
        <w:adjustRightInd w:val="0"/>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（2）在合同履行过程中形成的与合同有关的文件均构成合同文件组成部分。</w:t>
      </w:r>
    </w:p>
    <w:p w14:paraId="659C36D7">
      <w:pPr>
        <w:autoSpaceDE w:val="0"/>
        <w:autoSpaceDN w:val="0"/>
        <w:adjustRightInd w:val="0"/>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（3）上述各项合同文件包括合同当事人就该项合同文件所作出的补充和修改，属于同一类内容的文件，应以最新签署的为准。</w:t>
      </w:r>
    </w:p>
    <w:p w14:paraId="34F0C693">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8.合同条款的可分割性</w:t>
      </w:r>
    </w:p>
    <w:p w14:paraId="13FEC188">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如果本合同的任何条款被司法机关或其它有权机关宣布为无效、非法或其它形式的不可执行，本合同其它条款仍然有效，双方均应遵照执行。</w:t>
      </w:r>
    </w:p>
    <w:p w14:paraId="2F5346DD">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9.合同使用文字及效力</w:t>
      </w:r>
    </w:p>
    <w:p w14:paraId="28D25890">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除甲乙双方另行书面约定外，本合同项下所有文件、资料、工作说明书、产品说明书、手册、书信、电传、通知、电子邮件及其他书面文件若包含中文及其他语言文字的，均应以中文或中文含义为准。</w:t>
      </w:r>
    </w:p>
    <w:p w14:paraId="289C62B5">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10.廉洁规定</w:t>
      </w:r>
    </w:p>
    <w:p w14:paraId="12837DCB">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乙方及乙方人员应严格遵守国家有关法律法规规定，遵守商业道德和市场规则，禁止商业贿赂，禁止不正当竞争，不得向甲方有关工作人员提供任何形式的回扣、现金、实物、证券、礼券等有价物品或邀请甲方相关工作人员参加旅游、高档宴请等其他可能影响职务行为公正履行的活动。否则，甲方有权将乙方列入不诚信供应商名单并进行公开通报。乙方因违反廉洁规定的行为而获得的非法所得，应返还甲方，因此导致甲方遭受损失的，乙方应赔偿甲方全部损失。</w:t>
      </w:r>
    </w:p>
    <w:p w14:paraId="597D8586">
      <w:pPr>
        <w:spacing w:line="600" w:lineRule="exact"/>
        <w:ind w:firstLine="560" w:firstLineChars="200"/>
        <w:rPr>
          <w:rFonts w:ascii="黑体" w:hAnsi="黑体" w:eastAsia="黑体" w:cs="黑体"/>
          <w:bCs/>
          <w:szCs w:val="28"/>
        </w:rPr>
      </w:pPr>
      <w:r>
        <w:rPr>
          <w:rFonts w:hint="eastAsia" w:ascii="黑体" w:hAnsi="黑体" w:eastAsia="黑体" w:cs="黑体"/>
          <w:bCs/>
          <w:szCs w:val="28"/>
        </w:rPr>
        <w:t>第十五条  双方补充约定的其他事项</w:t>
      </w:r>
    </w:p>
    <w:p w14:paraId="3F784909">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u w:val="single"/>
        </w:rPr>
        <w:t xml:space="preserve">                                                                               </w:t>
      </w:r>
    </w:p>
    <w:p w14:paraId="0496B291">
      <w:pPr>
        <w:spacing w:line="600" w:lineRule="exact"/>
        <w:ind w:firstLine="560" w:firstLineChars="200"/>
        <w:rPr>
          <w:rFonts w:ascii="仿宋_GB2312" w:hAnsi="等线" w:eastAsia="仿宋_GB2312" w:cs="黑体"/>
          <w:szCs w:val="28"/>
          <w:u w:val="single"/>
        </w:rPr>
      </w:pPr>
      <w:r>
        <w:rPr>
          <w:rFonts w:hint="eastAsia" w:ascii="仿宋_GB2312" w:hAnsi="等线" w:eastAsia="仿宋_GB2312" w:cs="黑体"/>
          <w:szCs w:val="28"/>
          <w:u w:val="single"/>
        </w:rPr>
        <w:t xml:space="preserve">                                                                                  </w:t>
      </w:r>
    </w:p>
    <w:p w14:paraId="244D256A">
      <w:pPr>
        <w:spacing w:line="600" w:lineRule="exact"/>
        <w:ind w:firstLine="560" w:firstLineChars="200"/>
        <w:rPr>
          <w:rFonts w:ascii="黑体" w:hAnsi="黑体" w:eastAsia="黑体" w:cs="黑体"/>
          <w:bCs/>
          <w:szCs w:val="28"/>
        </w:rPr>
      </w:pPr>
      <w:r>
        <w:rPr>
          <w:rFonts w:hint="eastAsia" w:ascii="黑体" w:hAnsi="黑体" w:eastAsia="黑体" w:cs="黑体"/>
          <w:bCs/>
          <w:szCs w:val="28"/>
        </w:rPr>
        <w:t>第十六条　法律适用与争议的解决</w:t>
      </w:r>
    </w:p>
    <w:p w14:paraId="3EA12AF3">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1.本合同适用中华人民共和国法律。</w:t>
      </w:r>
    </w:p>
    <w:p w14:paraId="47F98524">
      <w:pPr>
        <w:spacing w:line="600" w:lineRule="exact"/>
        <w:ind w:firstLine="560" w:firstLineChars="200"/>
        <w:rPr>
          <w:rFonts w:ascii="仿宋_GB2312" w:hAnsi="等线" w:eastAsia="仿宋_GB2312" w:cs="黑体"/>
          <w:szCs w:val="28"/>
          <w:u w:val="single"/>
        </w:rPr>
      </w:pPr>
      <w:r>
        <w:rPr>
          <w:rFonts w:hint="eastAsia" w:ascii="仿宋_GB2312" w:hAnsi="等线" w:eastAsia="仿宋_GB2312" w:cs="黑体"/>
          <w:szCs w:val="28"/>
        </w:rPr>
        <w:t>2.凡因本合同引起的或与本合同有关的任何争议，双方可通过协商解决，协商不成，按照以下第（1）种方式解决：</w:t>
      </w:r>
    </w:p>
    <w:p w14:paraId="4A75A040">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（1）将争议提交杭州仲裁委员会并按照申请仲裁时该会现行有效的仲裁规则进行仲裁。仲裁裁决是终局的，对双方均有约束力。</w:t>
      </w:r>
    </w:p>
    <w:p w14:paraId="1D919FDA">
      <w:pPr>
        <w:spacing w:line="600" w:lineRule="exact"/>
        <w:ind w:firstLine="560" w:firstLineChars="200"/>
        <w:rPr>
          <w:rFonts w:ascii="仿宋_GB2312" w:hAnsi="等线" w:eastAsia="仿宋_GB2312" w:cs="黑体"/>
          <w:szCs w:val="28"/>
          <w:u w:val="single"/>
        </w:rPr>
      </w:pPr>
      <w:r>
        <w:rPr>
          <w:rFonts w:hint="eastAsia" w:ascii="仿宋_GB2312" w:hAnsi="等线" w:eastAsia="仿宋_GB2312" w:cs="黑体"/>
          <w:szCs w:val="28"/>
        </w:rPr>
        <w:t>（2）向甲方住所地有管辖权的人民法院起诉。</w:t>
      </w:r>
    </w:p>
    <w:p w14:paraId="76AE378C">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3.在诉讼或仲裁期间，本合同不涉及争议的条款仍须履行。</w:t>
      </w:r>
    </w:p>
    <w:p w14:paraId="1495EF65">
      <w:pPr>
        <w:spacing w:line="600" w:lineRule="exact"/>
        <w:ind w:firstLine="560" w:firstLineChars="200"/>
        <w:rPr>
          <w:rFonts w:ascii="黑体" w:hAnsi="黑体" w:eastAsia="黑体" w:cs="黑体"/>
          <w:bCs/>
          <w:szCs w:val="28"/>
        </w:rPr>
      </w:pPr>
      <w:r>
        <w:rPr>
          <w:rFonts w:hint="eastAsia" w:ascii="黑体" w:hAnsi="黑体" w:eastAsia="黑体" w:cs="黑体"/>
          <w:bCs/>
          <w:szCs w:val="28"/>
        </w:rPr>
        <w:t xml:space="preserve">第十七条  合同的生效、变更及合同份数  </w:t>
      </w:r>
    </w:p>
    <w:p w14:paraId="570DC125">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1.本合同经双方加盖公章或合同专用章后生效。</w:t>
      </w:r>
    </w:p>
    <w:p w14:paraId="45B77EE9">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2.本合同生效后，未经双方共同协商并达成书面协议，任何一方不得擅自变更本合同约定。</w:t>
      </w:r>
    </w:p>
    <w:p w14:paraId="2B8C7BA6">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3.本合同正本一式伍份，甲方执叁份，乙方执贰份，均具有同等法律效力。</w:t>
      </w:r>
    </w:p>
    <w:p w14:paraId="47706253">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4.技术协议等合同附件、谈判记录等相关文件与本合同同样具有法律效力，相关文件与本合同有冲突的，以本合同为准。</w:t>
      </w:r>
    </w:p>
    <w:p w14:paraId="3D78EDE2">
      <w:pPr>
        <w:spacing w:line="600" w:lineRule="exact"/>
        <w:ind w:firstLine="560" w:firstLineChars="200"/>
        <w:rPr>
          <w:rFonts w:ascii="仿宋_GB2312" w:hAnsi="等线" w:eastAsia="仿宋_GB2312" w:cs="黑体"/>
          <w:szCs w:val="28"/>
        </w:rPr>
      </w:pPr>
      <w:r>
        <w:rPr>
          <w:rFonts w:hint="eastAsia" w:ascii="仿宋_GB2312" w:hAnsi="等线" w:eastAsia="仿宋_GB2312" w:cs="黑体"/>
          <w:szCs w:val="28"/>
        </w:rPr>
        <w:t>（以下无正文）</w:t>
      </w:r>
    </w:p>
    <w:p w14:paraId="634AC7DF">
      <w:pPr>
        <w:spacing w:line="600" w:lineRule="exact"/>
        <w:ind w:firstLine="560" w:firstLineChars="200"/>
        <w:rPr>
          <w:rFonts w:ascii="仿宋_GB2312" w:hAnsi="等线" w:eastAsia="仿宋_GB2312" w:cs="黑体"/>
          <w:szCs w:val="28"/>
        </w:rPr>
      </w:pPr>
      <w:r>
        <w:rPr>
          <w:rFonts w:ascii="仿宋_GB2312" w:hAnsi="等线" w:eastAsia="仿宋_GB2312" w:cs="黑体"/>
          <w:szCs w:val="28"/>
        </w:rPr>
        <w:br w:type="page"/>
      </w:r>
    </w:p>
    <w:p w14:paraId="46E2AEDF">
      <w:pPr>
        <w:spacing w:line="600" w:lineRule="exact"/>
        <w:ind w:firstLine="560" w:firstLineChars="200"/>
        <w:rPr>
          <w:rFonts w:ascii="仿宋_GB2312" w:hAnsi="等线" w:eastAsia="仿宋_GB2312" w:cs="黑体"/>
          <w:szCs w:val="28"/>
        </w:rPr>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6"/>
        <w:gridCol w:w="4862"/>
      </w:tblGrid>
      <w:tr w14:paraId="3788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475" w:type="pct"/>
          </w:tcPr>
          <w:p w14:paraId="015B7A55">
            <w:pPr>
              <w:spacing w:line="360" w:lineRule="auto"/>
              <w:rPr>
                <w:rFonts w:ascii="仿宋_GB2312" w:hAnsi="微软雅黑" w:eastAsia="仿宋_GB2312"/>
                <w:szCs w:val="28"/>
              </w:rPr>
            </w:pPr>
            <w:r>
              <w:rPr>
                <w:rFonts w:hint="eastAsia" w:ascii="仿宋_GB2312" w:hAnsi="微软雅黑" w:eastAsia="仿宋_GB2312"/>
                <w:b/>
                <w:bCs/>
                <w:szCs w:val="28"/>
              </w:rPr>
              <w:t>甲方</w:t>
            </w:r>
            <w:r>
              <w:rPr>
                <w:rFonts w:hint="eastAsia" w:ascii="仿宋_GB2312" w:hAnsi="微软雅黑" w:eastAsia="仿宋_GB2312"/>
                <w:szCs w:val="28"/>
              </w:rPr>
              <w:t>（盖章）：</w:t>
            </w:r>
          </w:p>
          <w:p w14:paraId="2D70AFC6">
            <w:pPr>
              <w:spacing w:line="360" w:lineRule="auto"/>
              <w:rPr>
                <w:rFonts w:ascii="仿宋_GB2312" w:hAnsi="微软雅黑" w:eastAsia="仿宋_GB2312"/>
                <w:szCs w:val="28"/>
              </w:rPr>
            </w:pPr>
          </w:p>
        </w:tc>
        <w:tc>
          <w:tcPr>
            <w:tcW w:w="2525" w:type="pct"/>
          </w:tcPr>
          <w:p w14:paraId="57140ECE">
            <w:pPr>
              <w:spacing w:line="360" w:lineRule="auto"/>
              <w:rPr>
                <w:rFonts w:ascii="仿宋_GB2312" w:hAnsi="微软雅黑" w:eastAsia="仿宋_GB2312"/>
                <w:szCs w:val="28"/>
              </w:rPr>
            </w:pPr>
            <w:r>
              <w:rPr>
                <w:rFonts w:hint="eastAsia" w:ascii="仿宋_GB2312" w:hAnsi="微软雅黑" w:eastAsia="仿宋_GB2312"/>
                <w:b/>
                <w:bCs/>
                <w:szCs w:val="28"/>
              </w:rPr>
              <w:t>乙方</w:t>
            </w:r>
            <w:r>
              <w:rPr>
                <w:rFonts w:hint="eastAsia" w:ascii="仿宋_GB2312" w:hAnsi="微软雅黑" w:eastAsia="仿宋_GB2312"/>
                <w:szCs w:val="28"/>
              </w:rPr>
              <w:t>（盖章）：</w:t>
            </w:r>
          </w:p>
        </w:tc>
      </w:tr>
      <w:tr w14:paraId="40A9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pct"/>
          </w:tcPr>
          <w:p w14:paraId="1604A948">
            <w:pPr>
              <w:spacing w:line="360" w:lineRule="auto"/>
              <w:rPr>
                <w:rFonts w:ascii="仿宋_GB2312" w:hAnsi="微软雅黑" w:eastAsia="仿宋_GB2312"/>
                <w:szCs w:val="28"/>
              </w:rPr>
            </w:pPr>
            <w:r>
              <w:rPr>
                <w:rFonts w:hint="eastAsia" w:ascii="仿宋_GB2312" w:hAnsi="微软雅黑" w:eastAsia="仿宋_GB2312"/>
                <w:b/>
                <w:bCs/>
                <w:szCs w:val="28"/>
              </w:rPr>
              <w:t>单位名称</w:t>
            </w:r>
            <w:r>
              <w:rPr>
                <w:rFonts w:hint="eastAsia" w:ascii="仿宋_GB2312" w:hAnsi="微软雅黑" w:eastAsia="仿宋_GB2312"/>
                <w:szCs w:val="28"/>
              </w:rPr>
              <w:t>：浙江大学杭州国际科创中心</w:t>
            </w:r>
          </w:p>
        </w:tc>
        <w:tc>
          <w:tcPr>
            <w:tcW w:w="2525" w:type="pct"/>
          </w:tcPr>
          <w:p w14:paraId="4BDEE2A2">
            <w:pPr>
              <w:spacing w:line="360" w:lineRule="auto"/>
              <w:rPr>
                <w:rFonts w:ascii="仿宋_GB2312" w:hAnsi="微软雅黑" w:eastAsia="仿宋_GB2312"/>
                <w:szCs w:val="28"/>
              </w:rPr>
            </w:pPr>
            <w:r>
              <w:rPr>
                <w:rFonts w:hint="eastAsia" w:ascii="仿宋_GB2312" w:hAnsi="微软雅黑" w:eastAsia="仿宋_GB2312"/>
                <w:b/>
                <w:bCs/>
                <w:szCs w:val="28"/>
              </w:rPr>
              <w:t>单位名称</w:t>
            </w:r>
            <w:r>
              <w:rPr>
                <w:rFonts w:hint="eastAsia" w:ascii="仿宋_GB2312" w:hAnsi="微软雅黑" w:eastAsia="仿宋_GB2312"/>
                <w:szCs w:val="28"/>
              </w:rPr>
              <w:t>：</w:t>
            </w:r>
            <w:bookmarkStart w:id="58" w:name="单位名称"/>
            <w:bookmarkEnd w:id="58"/>
          </w:p>
        </w:tc>
      </w:tr>
      <w:tr w14:paraId="13BA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475" w:type="pct"/>
          </w:tcPr>
          <w:p w14:paraId="36041812">
            <w:pPr>
              <w:spacing w:line="500" w:lineRule="exact"/>
              <w:rPr>
                <w:rFonts w:ascii="仿宋_GB2312" w:hAnsi="微软雅黑" w:eastAsia="仿宋_GB2312"/>
                <w:szCs w:val="28"/>
              </w:rPr>
            </w:pPr>
            <w:r>
              <w:rPr>
                <w:rFonts w:hint="eastAsia" w:ascii="仿宋_GB2312" w:hAnsi="微软雅黑" w:eastAsia="仿宋_GB2312"/>
                <w:b/>
                <w:bCs/>
                <w:szCs w:val="28"/>
              </w:rPr>
              <w:t>单位地址</w:t>
            </w:r>
            <w:r>
              <w:rPr>
                <w:rFonts w:hint="eastAsia" w:ascii="仿宋_GB2312" w:hAnsi="微软雅黑" w:eastAsia="仿宋_GB2312"/>
                <w:szCs w:val="28"/>
              </w:rPr>
              <w:t>：浙江省杭州市萧山区经济技术开发区建设三路733号</w:t>
            </w:r>
          </w:p>
        </w:tc>
        <w:tc>
          <w:tcPr>
            <w:tcW w:w="2525" w:type="pct"/>
          </w:tcPr>
          <w:p w14:paraId="561C38C3">
            <w:pPr>
              <w:spacing w:line="360" w:lineRule="auto"/>
              <w:ind w:left="1405" w:hanging="1405" w:hangingChars="500"/>
              <w:rPr>
                <w:rFonts w:ascii="仿宋_GB2312" w:hAnsi="微软雅黑" w:eastAsia="仿宋_GB2312"/>
                <w:szCs w:val="28"/>
              </w:rPr>
            </w:pPr>
            <w:r>
              <w:rPr>
                <w:rFonts w:hint="eastAsia" w:ascii="仿宋_GB2312" w:hAnsi="微软雅黑" w:eastAsia="仿宋_GB2312"/>
                <w:b/>
                <w:bCs/>
                <w:szCs w:val="28"/>
              </w:rPr>
              <w:t>单位地址</w:t>
            </w:r>
            <w:r>
              <w:rPr>
                <w:rFonts w:hint="eastAsia" w:ascii="仿宋_GB2312" w:hAnsi="微软雅黑" w:eastAsia="仿宋_GB2312"/>
                <w:szCs w:val="28"/>
              </w:rPr>
              <w:t>：</w:t>
            </w:r>
          </w:p>
        </w:tc>
      </w:tr>
      <w:tr w14:paraId="1E28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pct"/>
          </w:tcPr>
          <w:p w14:paraId="753EBCFA">
            <w:pPr>
              <w:spacing w:line="360" w:lineRule="auto"/>
              <w:rPr>
                <w:rFonts w:ascii="仿宋_GB2312" w:hAnsi="微软雅黑" w:eastAsia="仿宋_GB2312"/>
                <w:szCs w:val="28"/>
              </w:rPr>
            </w:pPr>
            <w:r>
              <w:rPr>
                <w:rFonts w:hint="eastAsia" w:ascii="仿宋_GB2312" w:hAnsi="微软雅黑" w:eastAsia="仿宋_GB2312"/>
                <w:b/>
                <w:bCs/>
                <w:szCs w:val="28"/>
              </w:rPr>
              <w:t>授权代表（签字）</w:t>
            </w:r>
            <w:r>
              <w:rPr>
                <w:rFonts w:hint="eastAsia" w:ascii="仿宋_GB2312" w:hAnsi="微软雅黑" w:eastAsia="仿宋_GB2312"/>
                <w:szCs w:val="28"/>
              </w:rPr>
              <w:t>：</w:t>
            </w:r>
          </w:p>
        </w:tc>
        <w:tc>
          <w:tcPr>
            <w:tcW w:w="2525" w:type="pct"/>
          </w:tcPr>
          <w:p w14:paraId="02E4CA12">
            <w:pPr>
              <w:spacing w:line="360" w:lineRule="auto"/>
              <w:rPr>
                <w:rFonts w:ascii="仿宋_GB2312" w:hAnsi="微软雅黑" w:eastAsia="仿宋_GB2312"/>
                <w:szCs w:val="28"/>
              </w:rPr>
            </w:pPr>
            <w:r>
              <w:rPr>
                <w:rFonts w:hint="eastAsia" w:ascii="仿宋_GB2312" w:hAnsi="微软雅黑" w:eastAsia="仿宋_GB2312"/>
                <w:b/>
                <w:bCs/>
                <w:szCs w:val="28"/>
              </w:rPr>
              <w:t>授权代表（签字）</w:t>
            </w:r>
            <w:r>
              <w:rPr>
                <w:rFonts w:hint="eastAsia" w:ascii="仿宋_GB2312" w:hAnsi="微软雅黑" w:eastAsia="仿宋_GB2312"/>
                <w:szCs w:val="28"/>
              </w:rPr>
              <w:t>：</w:t>
            </w:r>
          </w:p>
        </w:tc>
      </w:tr>
      <w:tr w14:paraId="711C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475" w:type="pct"/>
          </w:tcPr>
          <w:p w14:paraId="1CC4DC2F">
            <w:pPr>
              <w:spacing w:line="360" w:lineRule="auto"/>
              <w:rPr>
                <w:rFonts w:ascii="仿宋_GB2312" w:hAnsi="微软雅黑" w:eastAsia="仿宋_GB2312"/>
                <w:szCs w:val="28"/>
              </w:rPr>
            </w:pPr>
            <w:r>
              <w:rPr>
                <w:rFonts w:hint="eastAsia" w:ascii="仿宋_GB2312" w:hAnsi="微软雅黑" w:eastAsia="仿宋_GB2312"/>
                <w:b/>
                <w:bCs/>
                <w:szCs w:val="28"/>
              </w:rPr>
              <w:t>电话</w:t>
            </w:r>
            <w:r>
              <w:rPr>
                <w:rFonts w:hint="eastAsia" w:ascii="仿宋_GB2312" w:hAnsi="微软雅黑" w:eastAsia="仿宋_GB2312"/>
                <w:szCs w:val="28"/>
              </w:rPr>
              <w:t>：</w:t>
            </w:r>
            <w:r>
              <w:rPr>
                <w:rFonts w:ascii="仿宋_GB2312" w:hAnsi="微软雅黑" w:eastAsia="仿宋_GB2312"/>
                <w:szCs w:val="28"/>
              </w:rPr>
              <w:t>0571-82359109</w:t>
            </w:r>
          </w:p>
        </w:tc>
        <w:tc>
          <w:tcPr>
            <w:tcW w:w="2525" w:type="pct"/>
          </w:tcPr>
          <w:p w14:paraId="473FAEAC">
            <w:pPr>
              <w:spacing w:line="360" w:lineRule="auto"/>
              <w:rPr>
                <w:rFonts w:ascii="仿宋_GB2312" w:hAnsi="微软雅黑" w:eastAsia="仿宋_GB2312"/>
                <w:szCs w:val="28"/>
              </w:rPr>
            </w:pPr>
            <w:r>
              <w:rPr>
                <w:rFonts w:hint="eastAsia" w:ascii="仿宋_GB2312" w:hAnsi="微软雅黑" w:eastAsia="仿宋_GB2312"/>
                <w:b/>
                <w:bCs/>
                <w:szCs w:val="28"/>
              </w:rPr>
              <w:t>电话</w:t>
            </w:r>
            <w:r>
              <w:rPr>
                <w:rFonts w:hint="eastAsia" w:ascii="仿宋_GB2312" w:hAnsi="微软雅黑" w:eastAsia="仿宋_GB2312"/>
                <w:szCs w:val="28"/>
              </w:rPr>
              <w:t xml:space="preserve">： </w:t>
            </w:r>
          </w:p>
        </w:tc>
      </w:tr>
      <w:tr w14:paraId="259B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pct"/>
          </w:tcPr>
          <w:p w14:paraId="790F4E90">
            <w:pPr>
              <w:spacing w:line="360" w:lineRule="auto"/>
              <w:rPr>
                <w:rFonts w:ascii="仿宋_GB2312" w:hAnsi="微软雅黑" w:eastAsia="仿宋_GB2312"/>
                <w:b/>
                <w:bCs/>
                <w:szCs w:val="28"/>
              </w:rPr>
            </w:pPr>
            <w:r>
              <w:rPr>
                <w:rFonts w:hint="eastAsia" w:ascii="仿宋_GB2312" w:hAnsi="微软雅黑" w:eastAsia="仿宋_GB2312"/>
                <w:b/>
                <w:bCs/>
                <w:szCs w:val="28"/>
              </w:rPr>
              <w:t>账户名</w:t>
            </w:r>
            <w:r>
              <w:rPr>
                <w:rFonts w:hint="eastAsia" w:ascii="仿宋_GB2312" w:hAnsi="微软雅黑" w:eastAsia="仿宋_GB2312"/>
                <w:bCs/>
                <w:szCs w:val="28"/>
              </w:rPr>
              <w:t>：</w:t>
            </w:r>
            <w:r>
              <w:rPr>
                <w:rFonts w:hint="eastAsia" w:ascii="仿宋_GB2312" w:hAnsi="微软雅黑" w:eastAsia="仿宋_GB2312"/>
                <w:szCs w:val="28"/>
              </w:rPr>
              <w:t>浙江大学杭州国际科创中心</w:t>
            </w:r>
          </w:p>
        </w:tc>
        <w:tc>
          <w:tcPr>
            <w:tcW w:w="2525" w:type="pct"/>
          </w:tcPr>
          <w:p w14:paraId="5B45F381">
            <w:pPr>
              <w:spacing w:line="360" w:lineRule="auto"/>
              <w:rPr>
                <w:rFonts w:ascii="仿宋_GB2312" w:hAnsi="微软雅黑" w:eastAsia="仿宋_GB2312"/>
                <w:b/>
                <w:bCs/>
                <w:szCs w:val="28"/>
              </w:rPr>
            </w:pPr>
            <w:r>
              <w:rPr>
                <w:rFonts w:hint="eastAsia" w:ascii="仿宋_GB2312" w:hAnsi="微软雅黑" w:eastAsia="仿宋_GB2312"/>
                <w:b/>
                <w:bCs/>
                <w:szCs w:val="28"/>
              </w:rPr>
              <w:t>账户名</w:t>
            </w:r>
            <w:r>
              <w:rPr>
                <w:rFonts w:hint="eastAsia" w:ascii="仿宋_GB2312" w:hAnsi="微软雅黑" w:eastAsia="仿宋_GB2312"/>
                <w:szCs w:val="28"/>
              </w:rPr>
              <w:t>：</w:t>
            </w:r>
            <w:bookmarkStart w:id="59" w:name="账户名"/>
            <w:bookmarkEnd w:id="59"/>
            <w:r>
              <w:rPr>
                <w:rFonts w:hint="eastAsia" w:ascii="仿宋_GB2312" w:hAnsi="微软雅黑" w:eastAsia="仿宋_GB2312"/>
                <w:szCs w:val="28"/>
              </w:rPr>
              <w:t xml:space="preserve"> </w:t>
            </w:r>
          </w:p>
        </w:tc>
      </w:tr>
      <w:tr w14:paraId="56F5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pct"/>
          </w:tcPr>
          <w:p w14:paraId="5B5DA543">
            <w:pPr>
              <w:spacing w:line="360" w:lineRule="auto"/>
              <w:rPr>
                <w:rFonts w:ascii="仿宋_GB2312" w:hAnsi="微软雅黑" w:eastAsia="仿宋_GB2312"/>
                <w:szCs w:val="28"/>
              </w:rPr>
            </w:pPr>
            <w:r>
              <w:rPr>
                <w:rFonts w:hint="eastAsia" w:ascii="仿宋_GB2312" w:hAnsi="微软雅黑" w:eastAsia="仿宋_GB2312"/>
                <w:b/>
                <w:bCs/>
                <w:szCs w:val="28"/>
              </w:rPr>
              <w:t>开户银行</w:t>
            </w:r>
            <w:r>
              <w:rPr>
                <w:rFonts w:hint="eastAsia" w:ascii="仿宋_GB2312" w:hAnsi="微软雅黑" w:eastAsia="仿宋_GB2312"/>
                <w:szCs w:val="28"/>
              </w:rPr>
              <w:t>：</w:t>
            </w:r>
            <w:bookmarkStart w:id="60" w:name="_Hlk36060634"/>
            <w:r>
              <w:rPr>
                <w:rFonts w:hint="eastAsia" w:ascii="仿宋_GB2312" w:hAnsi="微软雅黑" w:eastAsia="仿宋_GB2312"/>
                <w:szCs w:val="28"/>
              </w:rPr>
              <w:t>中国建设银行杭州宝石支行</w:t>
            </w:r>
            <w:bookmarkEnd w:id="60"/>
          </w:p>
        </w:tc>
        <w:tc>
          <w:tcPr>
            <w:tcW w:w="2525" w:type="pct"/>
          </w:tcPr>
          <w:p w14:paraId="3299F267">
            <w:pPr>
              <w:spacing w:line="360" w:lineRule="auto"/>
              <w:rPr>
                <w:rFonts w:ascii="仿宋_GB2312" w:hAnsi="微软雅黑" w:eastAsia="仿宋_GB2312"/>
                <w:b/>
                <w:bCs/>
                <w:szCs w:val="28"/>
              </w:rPr>
            </w:pPr>
            <w:r>
              <w:rPr>
                <w:rFonts w:hint="eastAsia" w:ascii="仿宋_GB2312" w:hAnsi="微软雅黑" w:eastAsia="仿宋_GB2312"/>
                <w:b/>
                <w:bCs/>
                <w:szCs w:val="28"/>
              </w:rPr>
              <w:t>开户银行</w:t>
            </w:r>
            <w:r>
              <w:rPr>
                <w:rFonts w:hint="eastAsia" w:ascii="仿宋_GB2312" w:hAnsi="微软雅黑" w:eastAsia="仿宋_GB2312"/>
                <w:szCs w:val="28"/>
              </w:rPr>
              <w:t>：</w:t>
            </w:r>
            <w:bookmarkStart w:id="61" w:name="开户银行"/>
            <w:bookmarkEnd w:id="61"/>
          </w:p>
        </w:tc>
      </w:tr>
      <w:tr w14:paraId="7A78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475" w:type="pct"/>
          </w:tcPr>
          <w:p w14:paraId="1597355A">
            <w:pPr>
              <w:spacing w:line="360" w:lineRule="auto"/>
              <w:rPr>
                <w:rFonts w:ascii="仿宋_GB2312" w:hAnsi="微软雅黑" w:eastAsia="仿宋_GB2312"/>
                <w:szCs w:val="28"/>
              </w:rPr>
            </w:pPr>
            <w:r>
              <w:rPr>
                <w:rFonts w:hint="eastAsia" w:ascii="仿宋_GB2312" w:hAnsi="微软雅黑" w:eastAsia="仿宋_GB2312"/>
                <w:b/>
                <w:bCs/>
                <w:szCs w:val="28"/>
              </w:rPr>
              <w:t>账号</w:t>
            </w:r>
            <w:r>
              <w:rPr>
                <w:rFonts w:hint="eastAsia" w:ascii="仿宋_GB2312" w:hAnsi="微软雅黑" w:eastAsia="仿宋_GB2312"/>
                <w:szCs w:val="28"/>
              </w:rPr>
              <w:t>：</w:t>
            </w:r>
            <w:bookmarkStart w:id="62" w:name="_Hlk36060616"/>
            <w:r>
              <w:rPr>
                <w:rFonts w:hint="eastAsia" w:ascii="仿宋_GB2312" w:hAnsi="微软雅黑" w:eastAsia="仿宋_GB2312"/>
                <w:szCs w:val="28"/>
              </w:rPr>
              <w:t>33050161612709998888</w:t>
            </w:r>
            <w:bookmarkEnd w:id="62"/>
          </w:p>
        </w:tc>
        <w:tc>
          <w:tcPr>
            <w:tcW w:w="2525" w:type="pct"/>
          </w:tcPr>
          <w:p w14:paraId="64E68493">
            <w:pPr>
              <w:spacing w:line="360" w:lineRule="auto"/>
              <w:rPr>
                <w:rFonts w:ascii="仿宋_GB2312" w:hAnsi="微软雅黑" w:eastAsia="仿宋_GB2312"/>
                <w:b/>
                <w:bCs/>
                <w:szCs w:val="28"/>
              </w:rPr>
            </w:pPr>
            <w:r>
              <w:rPr>
                <w:rFonts w:hint="eastAsia" w:ascii="仿宋_GB2312" w:hAnsi="微软雅黑" w:eastAsia="仿宋_GB2312"/>
                <w:b/>
                <w:bCs/>
                <w:szCs w:val="28"/>
              </w:rPr>
              <w:t>账号</w:t>
            </w:r>
            <w:r>
              <w:rPr>
                <w:rFonts w:hint="eastAsia" w:ascii="仿宋_GB2312" w:hAnsi="微软雅黑" w:eastAsia="仿宋_GB2312"/>
                <w:szCs w:val="28"/>
              </w:rPr>
              <w:t>：</w:t>
            </w:r>
            <w:bookmarkStart w:id="63" w:name="银行账号"/>
            <w:bookmarkEnd w:id="63"/>
          </w:p>
        </w:tc>
      </w:tr>
      <w:tr w14:paraId="2422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pct"/>
          </w:tcPr>
          <w:p w14:paraId="0D62061B">
            <w:pPr>
              <w:spacing w:line="360" w:lineRule="auto"/>
              <w:rPr>
                <w:rFonts w:ascii="仿宋_GB2312" w:hAnsi="微软雅黑" w:eastAsia="仿宋_GB2312"/>
                <w:b/>
                <w:bCs/>
                <w:szCs w:val="28"/>
              </w:rPr>
            </w:pPr>
            <w:r>
              <w:rPr>
                <w:rFonts w:hint="eastAsia" w:ascii="仿宋_GB2312" w:hAnsi="微软雅黑" w:eastAsia="仿宋_GB2312"/>
                <w:b/>
                <w:bCs/>
                <w:szCs w:val="28"/>
              </w:rPr>
              <w:t>纳税人识别号：</w:t>
            </w:r>
            <w:bookmarkStart w:id="64" w:name="_Hlk36060626"/>
          </w:p>
          <w:p w14:paraId="0490F5FB">
            <w:pPr>
              <w:spacing w:line="360" w:lineRule="auto"/>
              <w:rPr>
                <w:rFonts w:ascii="仿宋_GB2312" w:hAnsi="微软雅黑" w:eastAsia="仿宋_GB2312"/>
                <w:b/>
                <w:bCs/>
                <w:szCs w:val="28"/>
              </w:rPr>
            </w:pPr>
            <w:r>
              <w:rPr>
                <w:rFonts w:hint="eastAsia" w:ascii="仿宋_GB2312" w:hAnsi="微软雅黑" w:eastAsia="仿宋_GB2312"/>
                <w:szCs w:val="28"/>
              </w:rPr>
              <w:t>12330109MB1E42731B</w:t>
            </w:r>
            <w:bookmarkEnd w:id="64"/>
          </w:p>
        </w:tc>
        <w:tc>
          <w:tcPr>
            <w:tcW w:w="2525" w:type="pct"/>
          </w:tcPr>
          <w:p w14:paraId="48394C30">
            <w:pPr>
              <w:spacing w:line="360" w:lineRule="auto"/>
              <w:rPr>
                <w:rFonts w:ascii="仿宋_GB2312" w:hAnsi="微软雅黑" w:eastAsia="仿宋_GB2312"/>
                <w:szCs w:val="28"/>
              </w:rPr>
            </w:pPr>
            <w:r>
              <w:rPr>
                <w:rFonts w:hint="eastAsia" w:ascii="仿宋_GB2312" w:hAnsi="微软雅黑" w:eastAsia="仿宋_GB2312"/>
                <w:b/>
                <w:bCs/>
                <w:szCs w:val="28"/>
              </w:rPr>
              <w:t>纳税人识别号</w:t>
            </w:r>
            <w:r>
              <w:rPr>
                <w:rFonts w:hint="eastAsia" w:ascii="仿宋_GB2312" w:hAnsi="微软雅黑" w:eastAsia="仿宋_GB2312"/>
                <w:szCs w:val="28"/>
              </w:rPr>
              <w:t>：</w:t>
            </w:r>
            <w:bookmarkStart w:id="65" w:name="税号"/>
            <w:bookmarkEnd w:id="65"/>
          </w:p>
          <w:p w14:paraId="592CBB82">
            <w:pPr>
              <w:spacing w:line="360" w:lineRule="auto"/>
              <w:rPr>
                <w:rFonts w:ascii="仿宋_GB2312" w:hAnsi="微软雅黑" w:eastAsia="仿宋_GB2312"/>
                <w:b/>
                <w:bCs/>
                <w:szCs w:val="28"/>
              </w:rPr>
            </w:pPr>
          </w:p>
        </w:tc>
      </w:tr>
    </w:tbl>
    <w:p w14:paraId="509FFD19">
      <w:pPr>
        <w:rPr>
          <w:rFonts w:ascii="仿宋_GB2312" w:hAnsi="等线" w:eastAsia="仿宋_GB2312" w:cs="黑体"/>
          <w:sz w:val="21"/>
          <w:szCs w:val="21"/>
        </w:rPr>
      </w:pPr>
    </w:p>
    <w:p w14:paraId="24BD8EBC">
      <w:pPr>
        <w:spacing w:line="400" w:lineRule="exact"/>
        <w:rPr>
          <w:rFonts w:ascii="仿宋_GB2312" w:hAnsi="黑体" w:eastAsia="仿宋_GB2312" w:cs="黑体"/>
          <w:sz w:val="21"/>
          <w:szCs w:val="21"/>
          <w:u w:val="single"/>
        </w:rPr>
      </w:pPr>
    </w:p>
    <w:p w14:paraId="1719964B">
      <w:pPr>
        <w:spacing w:line="400" w:lineRule="exact"/>
        <w:rPr>
          <w:rFonts w:ascii="仿宋_GB2312" w:hAnsi="黑体" w:eastAsia="仿宋_GB2312" w:cs="黑体"/>
          <w:sz w:val="21"/>
          <w:szCs w:val="21"/>
          <w:u w:val="single"/>
        </w:rPr>
      </w:pPr>
    </w:p>
    <w:p w14:paraId="4BA78679">
      <w:pPr>
        <w:rPr>
          <w:rFonts w:ascii="仿宋_GB2312" w:hAnsi="等线" w:eastAsia="仿宋_GB2312"/>
          <w:b/>
          <w:szCs w:val="28"/>
        </w:rPr>
      </w:pPr>
      <w:r>
        <w:rPr>
          <w:rFonts w:ascii="仿宋_GB2312" w:hAnsi="等线" w:eastAsia="仿宋_GB2312"/>
          <w:b/>
          <w:szCs w:val="28"/>
        </w:rPr>
        <w:br w:type="page"/>
      </w:r>
    </w:p>
    <w:p w14:paraId="74DEB7E1">
      <w:pPr>
        <w:rPr>
          <w:rFonts w:ascii="仿宋_GB2312" w:hAnsi="等线" w:eastAsia="仿宋_GB2312"/>
          <w:b/>
          <w:szCs w:val="28"/>
        </w:rPr>
      </w:pPr>
      <w:bookmarkStart w:id="66" w:name="_Hlk112753169"/>
      <w:r>
        <w:rPr>
          <w:rFonts w:hint="eastAsia" w:ascii="仿宋_GB2312" w:hAnsi="等线" w:eastAsia="仿宋_GB2312"/>
          <w:b/>
          <w:szCs w:val="28"/>
        </w:rPr>
        <w:t>附件：</w:t>
      </w:r>
    </w:p>
    <w:p w14:paraId="1F413078">
      <w:pPr>
        <w:jc w:val="center"/>
        <w:rPr>
          <w:rFonts w:ascii="方正小标宋简体" w:hAnsi="等线" w:eastAsia="方正小标宋简体"/>
          <w:b/>
          <w:szCs w:val="28"/>
        </w:rPr>
      </w:pPr>
      <w:bookmarkStart w:id="67" w:name="_Hlk112753063"/>
      <w:r>
        <w:rPr>
          <w:rFonts w:hint="eastAsia" w:ascii="方正小标宋简体" w:hAnsi="等线" w:eastAsia="方正小标宋简体"/>
          <w:b/>
          <w:szCs w:val="28"/>
        </w:rPr>
        <w:t>技术参数</w:t>
      </w:r>
      <w:bookmarkEnd w:id="67"/>
      <w:r>
        <w:rPr>
          <w:rFonts w:hint="eastAsia" w:ascii="方正小标宋简体" w:hAnsi="等线" w:eastAsia="方正小标宋简体"/>
          <w:b/>
          <w:szCs w:val="28"/>
        </w:rPr>
        <w:t>（样表）</w:t>
      </w:r>
    </w:p>
    <w:p w14:paraId="22ED3DA4">
      <w:pPr>
        <w:spacing w:line="600" w:lineRule="exact"/>
        <w:ind w:firstLine="560" w:firstLineChars="200"/>
        <w:rPr>
          <w:rFonts w:ascii="仿宋_GB2312" w:hAnsi="等线" w:eastAsia="仿宋_GB2312"/>
          <w:bCs/>
          <w:szCs w:val="28"/>
        </w:rPr>
      </w:pPr>
      <w:r>
        <w:rPr>
          <w:rFonts w:ascii="仿宋_GB2312" w:hAnsi="等线" w:eastAsia="仿宋_GB2312"/>
          <w:bCs/>
          <w:szCs w:val="28"/>
        </w:rPr>
        <w:t>1.</w:t>
      </w:r>
      <w:r>
        <w:rPr>
          <w:rFonts w:hint="eastAsia" w:ascii="仿宋_GB2312" w:hAnsi="等线" w:eastAsia="仿宋_GB2312"/>
          <w:bCs/>
          <w:szCs w:val="28"/>
        </w:rPr>
        <w:t>需实现的功能或者目标：</w:t>
      </w:r>
      <w:r>
        <w:rPr>
          <w:rFonts w:ascii="仿宋_GB2312" w:hAnsi="等线" w:eastAsia="仿宋_GB2312"/>
          <w:bCs/>
          <w:szCs w:val="28"/>
          <w:u w:val="single"/>
        </w:rPr>
        <w:t xml:space="preserve">                             </w:t>
      </w:r>
      <w:r>
        <w:rPr>
          <w:rFonts w:hint="eastAsia" w:ascii="仿宋_GB2312" w:hAnsi="等线" w:eastAsia="仿宋_GB2312"/>
          <w:bCs/>
          <w:szCs w:val="28"/>
        </w:rPr>
        <w:t>。</w:t>
      </w:r>
    </w:p>
    <w:p w14:paraId="02629273">
      <w:pPr>
        <w:spacing w:line="600" w:lineRule="exact"/>
        <w:ind w:firstLine="560" w:firstLineChars="200"/>
        <w:rPr>
          <w:rFonts w:ascii="仿宋_GB2312" w:hAnsi="等线" w:eastAsia="仿宋_GB2312"/>
          <w:bCs/>
          <w:szCs w:val="28"/>
        </w:rPr>
      </w:pPr>
      <w:r>
        <w:rPr>
          <w:rFonts w:ascii="仿宋_GB2312" w:hAnsi="等线" w:eastAsia="仿宋_GB2312"/>
          <w:bCs/>
          <w:szCs w:val="28"/>
        </w:rPr>
        <w:t>2.</w:t>
      </w:r>
      <w:r>
        <w:rPr>
          <w:rFonts w:hint="eastAsia" w:ascii="仿宋_GB2312" w:hAnsi="等线" w:eastAsia="仿宋_GB2312"/>
          <w:bCs/>
          <w:szCs w:val="28"/>
        </w:rPr>
        <w:t>需执行的国家相关标准、行业标准、地方标准或者其他标准、规范：满足相关的国家相关标准，有强制性标准的执行国家强制性标准，若无强制性标准，则统一执行最新相关标准、规范。</w:t>
      </w:r>
    </w:p>
    <w:p w14:paraId="1A98FF66">
      <w:pPr>
        <w:spacing w:line="600" w:lineRule="exact"/>
        <w:ind w:firstLine="560" w:firstLineChars="200"/>
        <w:rPr>
          <w:rFonts w:ascii="仿宋_GB2312" w:hAnsi="等线" w:eastAsia="仿宋_GB2312"/>
          <w:bCs/>
          <w:szCs w:val="28"/>
        </w:rPr>
      </w:pPr>
      <w:r>
        <w:rPr>
          <w:rFonts w:ascii="仿宋_GB2312" w:hAnsi="等线" w:eastAsia="仿宋_GB2312"/>
          <w:bCs/>
          <w:szCs w:val="28"/>
        </w:rPr>
        <w:t>3.</w:t>
      </w:r>
      <w:r>
        <w:rPr>
          <w:rFonts w:hint="eastAsia" w:ascii="仿宋_GB2312" w:hAnsi="等线" w:eastAsia="仿宋_GB2312"/>
          <w:bCs/>
          <w:szCs w:val="28"/>
        </w:rPr>
        <w:t>需满足的质量、安全、技术规格、物理特性等要求：</w:t>
      </w:r>
    </w:p>
    <w:p w14:paraId="7A8AB9AE">
      <w:pPr>
        <w:spacing w:line="600" w:lineRule="exact"/>
        <w:rPr>
          <w:rFonts w:ascii="仿宋_GB2312" w:hAnsi="等线" w:eastAsia="仿宋_GB2312"/>
          <w:bCs/>
          <w:szCs w:val="28"/>
          <w:u w:val="single"/>
        </w:rPr>
      </w:pPr>
      <w:r>
        <w:rPr>
          <w:rFonts w:hint="eastAsia" w:ascii="仿宋_GB2312" w:hAnsi="等线" w:eastAsia="仿宋_GB2312"/>
          <w:bCs/>
          <w:szCs w:val="28"/>
          <w:u w:val="single"/>
        </w:rPr>
        <w:t xml:space="preserve"> </w:t>
      </w:r>
      <w:r>
        <w:rPr>
          <w:rFonts w:ascii="仿宋_GB2312" w:hAnsi="等线" w:eastAsia="仿宋_GB2312"/>
          <w:bCs/>
          <w:szCs w:val="28"/>
          <w:u w:val="single"/>
        </w:rPr>
        <w:t xml:space="preserve">                                                        </w:t>
      </w:r>
    </w:p>
    <w:p w14:paraId="37023FF2">
      <w:pPr>
        <w:spacing w:line="600" w:lineRule="exact"/>
        <w:rPr>
          <w:rFonts w:ascii="仿宋_GB2312" w:hAnsi="等线" w:eastAsia="仿宋_GB2312"/>
          <w:bCs/>
          <w:szCs w:val="28"/>
          <w:u w:val="single"/>
        </w:rPr>
      </w:pPr>
      <w:r>
        <w:rPr>
          <w:rFonts w:hint="eastAsia" w:ascii="仿宋_GB2312" w:hAnsi="等线" w:eastAsia="仿宋_GB2312"/>
          <w:bCs/>
          <w:szCs w:val="28"/>
          <w:u w:val="single"/>
        </w:rPr>
        <w:t xml:space="preserve"> </w:t>
      </w:r>
      <w:r>
        <w:rPr>
          <w:rFonts w:ascii="仿宋_GB2312" w:hAnsi="等线" w:eastAsia="仿宋_GB2312"/>
          <w:bCs/>
          <w:szCs w:val="28"/>
          <w:u w:val="single"/>
        </w:rPr>
        <w:t xml:space="preserve">                                                        </w:t>
      </w:r>
    </w:p>
    <w:p w14:paraId="6C5C0AF1">
      <w:pPr>
        <w:spacing w:line="600" w:lineRule="exact"/>
        <w:rPr>
          <w:rFonts w:ascii="仿宋_GB2312" w:hAnsi="等线" w:eastAsia="仿宋_GB2312"/>
          <w:bCs/>
          <w:szCs w:val="28"/>
          <w:u w:val="single"/>
        </w:rPr>
      </w:pPr>
      <w:r>
        <w:rPr>
          <w:rFonts w:hint="eastAsia" w:ascii="仿宋_GB2312" w:hAnsi="等线" w:eastAsia="仿宋_GB2312"/>
          <w:bCs/>
          <w:szCs w:val="28"/>
          <w:u w:val="single"/>
        </w:rPr>
        <w:t xml:space="preserve"> </w:t>
      </w:r>
      <w:r>
        <w:rPr>
          <w:rFonts w:ascii="仿宋_GB2312" w:hAnsi="等线" w:eastAsia="仿宋_GB2312"/>
          <w:bCs/>
          <w:szCs w:val="28"/>
          <w:u w:val="single"/>
        </w:rPr>
        <w:t xml:space="preserve">                    </w:t>
      </w:r>
      <w:r>
        <w:rPr>
          <w:rFonts w:ascii="仿宋_GB2312" w:hAnsi="等线" w:eastAsia="仿宋_GB2312"/>
          <w:szCs w:val="28"/>
          <w:u w:val="single"/>
        </w:rPr>
        <w:t xml:space="preserve">                                    </w:t>
      </w:r>
    </w:p>
    <w:bookmarkEnd w:id="66"/>
    <w:p w14:paraId="0FDEEF17">
      <w:pPr>
        <w:pStyle w:val="12"/>
        <w:adjustRightInd w:val="0"/>
        <w:snapToGrid w:val="0"/>
        <w:spacing w:beforeLines="0" w:afterLines="0" w:line="288" w:lineRule="auto"/>
        <w:ind w:left="5103" w:hanging="5103" w:hangingChars="2430"/>
        <w:rPr>
          <w:rFonts w:hAnsi="宋体"/>
          <w:sz w:val="21"/>
          <w:szCs w:val="21"/>
        </w:rPr>
      </w:pPr>
    </w:p>
    <w:p w14:paraId="162F12AE">
      <w:pPr>
        <w:pStyle w:val="12"/>
        <w:tabs>
          <w:tab w:val="left" w:pos="2472"/>
        </w:tabs>
        <w:adjustRightInd w:val="0"/>
        <w:snapToGrid w:val="0"/>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 xml:space="preserve"> 响应文件格式</w:t>
      </w:r>
    </w:p>
    <w:p w14:paraId="30407FEF">
      <w:pPr>
        <w:adjustRightInd w:val="0"/>
        <w:snapToGrid w:val="0"/>
        <w:spacing w:line="288" w:lineRule="auto"/>
        <w:rPr>
          <w:rFonts w:ascii="宋体" w:hAnsi="宋体"/>
          <w:b/>
          <w:bCs/>
          <w:spacing w:val="-6"/>
          <w:sz w:val="24"/>
        </w:rPr>
      </w:pPr>
    </w:p>
    <w:p w14:paraId="05BB976E">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14:paraId="5E4EF6C6">
      <w:pPr>
        <w:adjustRightInd w:val="0"/>
        <w:snapToGrid w:val="0"/>
        <w:spacing w:line="288" w:lineRule="auto"/>
        <w:rPr>
          <w:rFonts w:ascii="宋体" w:hAnsi="宋体"/>
          <w:b/>
          <w:bCs/>
          <w:spacing w:val="-6"/>
          <w:sz w:val="21"/>
          <w:szCs w:val="21"/>
        </w:rPr>
      </w:pPr>
    </w:p>
    <w:p w14:paraId="7380CEE0">
      <w:pPr>
        <w:adjustRightInd w:val="0"/>
        <w:snapToGrid w:val="0"/>
        <w:spacing w:line="288" w:lineRule="auto"/>
        <w:ind w:firstLine="422" w:firstLineChars="200"/>
        <w:rPr>
          <w:rFonts w:ascii="宋体" w:hAnsi="宋体" w:cs="宋体"/>
          <w:b/>
          <w:bCs/>
          <w:sz w:val="21"/>
          <w:szCs w:val="21"/>
        </w:rPr>
      </w:pPr>
      <w:bookmarkStart w:id="68" w:name="_Hlk71884160"/>
      <w:r>
        <w:rPr>
          <w:rFonts w:hint="eastAsia" w:ascii="宋体" w:hAnsi="宋体" w:cs="宋体"/>
          <w:b/>
          <w:bCs/>
          <w:sz w:val="21"/>
          <w:szCs w:val="21"/>
        </w:rPr>
        <w:t>▲1.资格文件。资格审查要求的资格证明材料（均需加盖公章）</w:t>
      </w:r>
    </w:p>
    <w:bookmarkEnd w:id="68"/>
    <w:p w14:paraId="29001757">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（1）有效的法人或者其他组织的营业执照等证明文件，自然人的身份证明</w:t>
      </w:r>
    </w:p>
    <w:p w14:paraId="7D3C070C">
      <w:pPr>
        <w:adjustRightInd w:val="0"/>
        <w:snapToGrid w:val="0"/>
        <w:spacing w:line="288" w:lineRule="auto"/>
        <w:ind w:firstLine="420" w:firstLineChars="200"/>
        <w:rPr>
          <w:rFonts w:ascii="宋体" w:hAnsi="宋体" w:cs="宋体"/>
          <w:sz w:val="21"/>
          <w:szCs w:val="21"/>
        </w:rPr>
      </w:pPr>
      <w:bookmarkStart w:id="69" w:name="_Hlk71884127"/>
      <w:r>
        <w:rPr>
          <w:rFonts w:hint="eastAsia" w:ascii="宋体" w:hAnsi="宋体" w:cs="宋体"/>
          <w:sz w:val="21"/>
          <w:szCs w:val="21"/>
        </w:rPr>
        <w:t>（</w:t>
      </w:r>
      <w:r>
        <w:rPr>
          <w:rFonts w:ascii="宋体" w:hAnsi="宋体" w:cs="宋体"/>
          <w:sz w:val="21"/>
          <w:szCs w:val="21"/>
        </w:rPr>
        <w:t>2）符合参加采购活动应当具备的一般条件的承诺函</w:t>
      </w:r>
    </w:p>
    <w:p w14:paraId="599DB93F">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本项目的特定资格要求</w:t>
      </w:r>
      <w:r>
        <w:rPr>
          <w:rFonts w:ascii="宋体" w:hAnsi="宋体" w:cs="宋体"/>
          <w:sz w:val="21"/>
          <w:szCs w:val="21"/>
        </w:rPr>
        <w:t>证明材料：无</w:t>
      </w:r>
    </w:p>
    <w:bookmarkEnd w:id="69"/>
    <w:p w14:paraId="7657537D">
      <w:pPr>
        <w:adjustRightInd w:val="0"/>
        <w:snapToGrid w:val="0"/>
        <w:spacing w:line="288" w:lineRule="auto"/>
        <w:ind w:firstLine="422" w:firstLineChars="200"/>
        <w:rPr>
          <w:rFonts w:ascii="宋体" w:hAnsi="宋体" w:cs="宋体"/>
          <w:b/>
          <w:bCs/>
          <w:sz w:val="21"/>
          <w:szCs w:val="21"/>
        </w:rPr>
      </w:pPr>
    </w:p>
    <w:p w14:paraId="779B43E1">
      <w:pPr>
        <w:adjustRightInd w:val="0"/>
        <w:snapToGrid w:val="0"/>
        <w:spacing w:line="288" w:lineRule="auto"/>
        <w:ind w:firstLine="422" w:firstLineChars="200"/>
        <w:rPr>
          <w:rFonts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.商务和技术文件</w:t>
      </w:r>
    </w:p>
    <w:p w14:paraId="34DE570B">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（1）响应函</w:t>
      </w:r>
    </w:p>
    <w:p w14:paraId="501984ED">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（2）授权委托书/法定代表人（单位负责人、自然人本人）身份证明</w:t>
      </w:r>
    </w:p>
    <w:p w14:paraId="37622DD0">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附：授权代表社保缴纳证明（</w:t>
      </w:r>
      <w:r>
        <w:rPr>
          <w:rFonts w:hint="eastAsia" w:ascii="宋体" w:hAnsi="宋体" w:cs="宋体"/>
          <w:sz w:val="21"/>
          <w:szCs w:val="21"/>
          <w:lang w:eastAsia="zh-CN"/>
        </w:rPr>
        <w:t>2023年6月（含）以后任意一月</w:t>
      </w:r>
      <w:r>
        <w:rPr>
          <w:rFonts w:hint="eastAsia" w:ascii="宋体" w:hAnsi="宋体" w:cs="宋体"/>
          <w:sz w:val="21"/>
          <w:szCs w:val="21"/>
        </w:rPr>
        <w:t>）</w:t>
      </w:r>
    </w:p>
    <w:p w14:paraId="22EFF60E">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）供应商同类合同一览表</w:t>
      </w:r>
    </w:p>
    <w:p w14:paraId="58EC1C36">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4）采购需求偏离表</w:t>
      </w:r>
    </w:p>
    <w:p w14:paraId="6298889C">
      <w:pPr>
        <w:adjustRightInd w:val="0"/>
        <w:snapToGrid w:val="0"/>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w:t>
      </w:r>
      <w:r>
        <w:rPr>
          <w:rFonts w:ascii="宋体" w:hAnsi="宋体" w:cs="宋体"/>
          <w:sz w:val="21"/>
          <w:szCs w:val="21"/>
          <w:highlight w:val="none"/>
        </w:rPr>
        <w:t>5）</w:t>
      </w:r>
      <w:r>
        <w:rPr>
          <w:rFonts w:hint="eastAsia" w:ascii="宋体" w:hAnsi="宋体" w:cs="宋体"/>
          <w:sz w:val="21"/>
          <w:szCs w:val="21"/>
          <w:highlight w:val="none"/>
          <w:lang w:eastAsia="zh-CN"/>
        </w:rPr>
        <w:t>标的配置</w:t>
      </w:r>
      <w:r>
        <w:rPr>
          <w:rFonts w:ascii="宋体" w:hAnsi="宋体" w:cs="宋体"/>
          <w:sz w:val="21"/>
          <w:szCs w:val="21"/>
          <w:highlight w:val="none"/>
        </w:rPr>
        <w:t>清单</w:t>
      </w:r>
    </w:p>
    <w:p w14:paraId="2037E887">
      <w:pPr>
        <w:adjustRightInd w:val="0"/>
        <w:snapToGrid w:val="0"/>
        <w:spacing w:line="288" w:lineRule="auto"/>
        <w:ind w:firstLine="420" w:firstLineChars="200"/>
        <w:rPr>
          <w:rFonts w:hint="eastAsia" w:ascii="宋体" w:hAnsi="宋体" w:cs="宋体"/>
          <w:sz w:val="21"/>
          <w:szCs w:val="21"/>
          <w:highlight w:val="none"/>
        </w:rPr>
      </w:pPr>
      <w:bookmarkStart w:id="70" w:name="_Hlk71884196"/>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w:t>
      </w:r>
      <w:r>
        <w:rPr>
          <w:rFonts w:hint="eastAsia" w:ascii="宋体" w:hAnsi="宋体" w:cs="宋体"/>
          <w:sz w:val="21"/>
          <w:szCs w:val="21"/>
          <w:highlight w:val="none"/>
          <w:lang w:eastAsia="zh-CN"/>
        </w:rPr>
        <w:t>）</w:t>
      </w:r>
      <w:r>
        <w:rPr>
          <w:rFonts w:hint="eastAsia" w:ascii="宋体" w:hAnsi="宋体" w:cs="宋体"/>
          <w:sz w:val="21"/>
          <w:szCs w:val="21"/>
          <w:highlight w:val="none"/>
        </w:rPr>
        <w:t>产品功能及配置</w:t>
      </w:r>
    </w:p>
    <w:p w14:paraId="014C7F2F">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7</w:t>
      </w:r>
      <w:r>
        <w:rPr>
          <w:rFonts w:hint="eastAsia" w:ascii="宋体" w:hAnsi="宋体" w:cs="宋体"/>
          <w:sz w:val="21"/>
          <w:szCs w:val="21"/>
          <w:highlight w:val="none"/>
          <w:lang w:eastAsia="zh-CN"/>
        </w:rPr>
        <w:t>）</w:t>
      </w:r>
      <w:r>
        <w:rPr>
          <w:rFonts w:hint="eastAsia" w:ascii="宋体" w:hAnsi="宋体" w:cs="宋体"/>
          <w:sz w:val="21"/>
          <w:szCs w:val="21"/>
          <w:highlight w:val="none"/>
        </w:rPr>
        <w:t>项目实施方案</w:t>
      </w:r>
    </w:p>
    <w:p w14:paraId="79801CAF">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8</w:t>
      </w:r>
      <w:r>
        <w:rPr>
          <w:rFonts w:hint="eastAsia" w:ascii="宋体" w:hAnsi="宋体" w:cs="宋体"/>
          <w:sz w:val="21"/>
          <w:szCs w:val="21"/>
          <w:highlight w:val="none"/>
          <w:lang w:eastAsia="zh-CN"/>
        </w:rPr>
        <w:t>）</w:t>
      </w:r>
      <w:r>
        <w:rPr>
          <w:rFonts w:hint="eastAsia" w:ascii="宋体" w:hAnsi="宋体" w:cs="宋体"/>
          <w:sz w:val="21"/>
          <w:szCs w:val="21"/>
          <w:highlight w:val="none"/>
        </w:rPr>
        <w:t>安装调试</w:t>
      </w:r>
    </w:p>
    <w:p w14:paraId="76B1FA65">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9</w:t>
      </w:r>
      <w:r>
        <w:rPr>
          <w:rFonts w:hint="eastAsia" w:ascii="宋体" w:hAnsi="宋体" w:cs="宋体"/>
          <w:sz w:val="21"/>
          <w:szCs w:val="21"/>
          <w:highlight w:val="none"/>
          <w:lang w:eastAsia="zh-CN"/>
        </w:rPr>
        <w:t>）</w:t>
      </w:r>
      <w:r>
        <w:rPr>
          <w:rFonts w:hint="eastAsia" w:ascii="宋体" w:hAnsi="宋体" w:cs="宋体"/>
          <w:sz w:val="21"/>
          <w:szCs w:val="21"/>
          <w:highlight w:val="none"/>
        </w:rPr>
        <w:t>培训</w:t>
      </w:r>
    </w:p>
    <w:p w14:paraId="6068DC7D">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10</w:t>
      </w:r>
      <w:r>
        <w:rPr>
          <w:rFonts w:hint="eastAsia" w:ascii="宋体" w:hAnsi="宋体" w:cs="宋体"/>
          <w:sz w:val="21"/>
          <w:szCs w:val="21"/>
          <w:highlight w:val="none"/>
          <w:lang w:eastAsia="zh-CN"/>
        </w:rPr>
        <w:t>）</w:t>
      </w:r>
      <w:r>
        <w:rPr>
          <w:rFonts w:hint="eastAsia" w:ascii="宋体" w:hAnsi="宋体" w:cs="宋体"/>
          <w:sz w:val="21"/>
          <w:szCs w:val="21"/>
          <w:highlight w:val="none"/>
        </w:rPr>
        <w:t>售后服务</w:t>
      </w:r>
    </w:p>
    <w:p w14:paraId="7FBA4A17">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11</w:t>
      </w:r>
      <w:r>
        <w:rPr>
          <w:rFonts w:hint="eastAsia" w:ascii="宋体" w:hAnsi="宋体" w:cs="宋体"/>
          <w:sz w:val="21"/>
          <w:szCs w:val="21"/>
          <w:highlight w:val="none"/>
          <w:lang w:eastAsia="zh-CN"/>
        </w:rPr>
        <w:t>）</w:t>
      </w:r>
      <w:r>
        <w:rPr>
          <w:rFonts w:hint="eastAsia" w:ascii="宋体" w:hAnsi="宋体" w:cs="宋体"/>
          <w:sz w:val="21"/>
          <w:szCs w:val="21"/>
          <w:highlight w:val="none"/>
        </w:rPr>
        <w:t>配件耗材</w:t>
      </w:r>
    </w:p>
    <w:p w14:paraId="4AED7F16">
      <w:pPr>
        <w:adjustRightInd w:val="0"/>
        <w:snapToGrid w:val="0"/>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12</w:t>
      </w:r>
      <w:r>
        <w:rPr>
          <w:rFonts w:ascii="宋体" w:hAnsi="宋体" w:cs="宋体"/>
          <w:sz w:val="21"/>
          <w:szCs w:val="21"/>
          <w:highlight w:val="none"/>
        </w:rPr>
        <w:t>）</w:t>
      </w:r>
      <w:r>
        <w:rPr>
          <w:rFonts w:hint="eastAsia" w:ascii="宋体" w:hAnsi="宋体" w:cs="宋体"/>
          <w:sz w:val="21"/>
          <w:szCs w:val="21"/>
          <w:highlight w:val="none"/>
        </w:rPr>
        <w:t>供应商</w:t>
      </w:r>
      <w:r>
        <w:rPr>
          <w:rFonts w:ascii="宋体" w:hAnsi="宋体" w:cs="宋体"/>
          <w:sz w:val="21"/>
          <w:szCs w:val="21"/>
          <w:highlight w:val="none"/>
        </w:rPr>
        <w:t>需要说明的其他文件和材料</w:t>
      </w:r>
      <w:bookmarkEnd w:id="70"/>
    </w:p>
    <w:p w14:paraId="211A9D8B">
      <w:pPr>
        <w:adjustRightInd w:val="0"/>
        <w:snapToGrid w:val="0"/>
        <w:spacing w:line="288" w:lineRule="auto"/>
        <w:rPr>
          <w:rFonts w:ascii="宋体" w:hAnsi="宋体" w:cs="宋体"/>
          <w:sz w:val="21"/>
          <w:szCs w:val="21"/>
        </w:rPr>
      </w:pPr>
    </w:p>
    <w:p w14:paraId="3EF6201F">
      <w:pPr>
        <w:adjustRightInd w:val="0"/>
        <w:snapToGrid w:val="0"/>
        <w:spacing w:line="288" w:lineRule="auto"/>
        <w:ind w:firstLine="422" w:firstLineChars="200"/>
        <w:rPr>
          <w:rFonts w:ascii="宋体" w:hAnsi="宋体" w:cs="宋体"/>
          <w:b/>
          <w:bCs/>
          <w:sz w:val="21"/>
          <w:szCs w:val="21"/>
        </w:rPr>
      </w:pPr>
      <w:r>
        <w:rPr>
          <w:rFonts w:ascii="宋体" w:hAnsi="宋体" w:cs="宋体"/>
          <w:b/>
          <w:bCs/>
          <w:sz w:val="21"/>
          <w:szCs w:val="21"/>
        </w:rPr>
        <w:t>3</w:t>
      </w:r>
      <w:r>
        <w:rPr>
          <w:rFonts w:hint="eastAsia" w:ascii="宋体" w:hAnsi="宋体" w:cs="宋体"/>
          <w:b/>
          <w:bCs/>
          <w:sz w:val="21"/>
          <w:szCs w:val="21"/>
        </w:rPr>
        <w:t>.报价文件</w:t>
      </w:r>
    </w:p>
    <w:p w14:paraId="3ED2E78F">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（1）初次报价一览表</w:t>
      </w:r>
    </w:p>
    <w:p w14:paraId="114FDAB1">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14:paraId="50B03D7D">
      <w:pPr>
        <w:adjustRightInd w:val="0"/>
        <w:snapToGrid w:val="0"/>
        <w:spacing w:line="288" w:lineRule="auto"/>
        <w:jc w:val="center"/>
        <w:outlineLvl w:val="3"/>
        <w:rPr>
          <w:rFonts w:ascii="宋体" w:hAnsi="宋体"/>
          <w:b/>
          <w:bCs/>
          <w:spacing w:val="-6"/>
          <w:sz w:val="21"/>
          <w:szCs w:val="21"/>
        </w:rPr>
      </w:pPr>
      <w:r>
        <w:rPr>
          <w:rFonts w:hint="eastAsia" w:ascii="宋体" w:hAnsi="宋体"/>
          <w:b/>
          <w:bCs/>
          <w:spacing w:val="-6"/>
          <w:sz w:val="21"/>
          <w:szCs w:val="21"/>
        </w:rPr>
        <w:t>外层包装（封签）</w:t>
      </w:r>
    </w:p>
    <w:p w14:paraId="4C5FA5F1">
      <w:pPr>
        <w:adjustRightInd w:val="0"/>
        <w:snapToGrid w:val="0"/>
        <w:spacing w:line="288" w:lineRule="auto"/>
        <w:rPr>
          <w:rFonts w:ascii="宋体" w:hAnsi="宋体"/>
          <w:spacing w:val="-6"/>
          <w:sz w:val="21"/>
          <w:szCs w:val="21"/>
        </w:rPr>
      </w:pPr>
    </w:p>
    <w:p w14:paraId="4C932413">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____________________（供应商名称）</w:t>
      </w:r>
    </w:p>
    <w:p w14:paraId="25BF1EB3">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竞 争 性 磋 商</w:t>
      </w:r>
    </w:p>
    <w:p w14:paraId="77C27CF1">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响应文件</w:t>
      </w:r>
    </w:p>
    <w:p w14:paraId="49337F64">
      <w:pPr>
        <w:adjustRightInd w:val="0"/>
        <w:snapToGrid w:val="0"/>
        <w:spacing w:line="288" w:lineRule="auto"/>
        <w:rPr>
          <w:rFonts w:ascii="宋体" w:hAnsi="宋体"/>
          <w:bCs/>
          <w:spacing w:val="-6"/>
          <w:sz w:val="21"/>
          <w:szCs w:val="21"/>
        </w:rPr>
      </w:pPr>
    </w:p>
    <w:p w14:paraId="40CB889C">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浙江大学杭州国际科创中心</w:t>
      </w:r>
    </w:p>
    <w:p w14:paraId="63294752">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双光子光致发光显微成像系统</w:t>
      </w:r>
    </w:p>
    <w:p w14:paraId="56942873">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QSZB-F(H)-A24571(CS)</w:t>
      </w:r>
    </w:p>
    <w:p w14:paraId="32FD6B40">
      <w:pPr>
        <w:adjustRightInd w:val="0"/>
        <w:snapToGrid w:val="0"/>
        <w:spacing w:line="288" w:lineRule="auto"/>
        <w:rPr>
          <w:rFonts w:ascii="宋体" w:hAnsi="宋体"/>
          <w:bCs/>
          <w:spacing w:val="-6"/>
          <w:sz w:val="21"/>
          <w:szCs w:val="21"/>
        </w:rPr>
      </w:pPr>
      <w:r>
        <w:rPr>
          <w:rFonts w:hint="eastAsia" w:ascii="宋体" w:hAnsi="宋体"/>
          <w:bCs/>
          <w:spacing w:val="-6"/>
          <w:sz w:val="21"/>
          <w:szCs w:val="21"/>
        </w:rPr>
        <w:t>标项：</w:t>
      </w:r>
    </w:p>
    <w:p w14:paraId="64DDA137">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供应商名称（盖章）：</w:t>
      </w:r>
    </w:p>
    <w:p w14:paraId="17841F1A">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供应商地址：</w:t>
      </w:r>
    </w:p>
    <w:p w14:paraId="4CA1B488">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14:paraId="6E09C1CA">
      <w:pPr>
        <w:adjustRightInd w:val="0"/>
        <w:snapToGrid w:val="0"/>
        <w:spacing w:line="288" w:lineRule="auto"/>
        <w:rPr>
          <w:rFonts w:ascii="宋体" w:hAnsi="宋体"/>
          <w:bCs/>
          <w:spacing w:val="-6"/>
          <w:sz w:val="21"/>
          <w:szCs w:val="21"/>
        </w:rPr>
      </w:pPr>
    </w:p>
    <w:p w14:paraId="063DA2A0">
      <w:pPr>
        <w:adjustRightInd w:val="0"/>
        <w:snapToGrid w:val="0"/>
        <w:spacing w:line="288" w:lineRule="auto"/>
        <w:rPr>
          <w:rFonts w:ascii="宋体" w:hAnsi="宋体"/>
          <w:bCs/>
          <w:spacing w:val="-6"/>
          <w:sz w:val="21"/>
          <w:szCs w:val="21"/>
        </w:rPr>
      </w:pPr>
      <w:r>
        <w:rPr>
          <w:rFonts w:hint="eastAsia" w:ascii="宋体" w:hAnsi="宋体"/>
          <w:spacing w:val="-6"/>
          <w:sz w:val="21"/>
          <w:szCs w:val="21"/>
        </w:rPr>
        <w:t>供应商授权代表签名：</w:t>
      </w:r>
    </w:p>
    <w:p w14:paraId="33FD2EDA">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14:paraId="32DCD469">
      <w:pPr>
        <w:adjustRightInd w:val="0"/>
        <w:snapToGrid w:val="0"/>
        <w:spacing w:line="288" w:lineRule="auto"/>
        <w:outlineLvl w:val="3"/>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响应文件封面</w:t>
      </w:r>
    </w:p>
    <w:p w14:paraId="7F62238C">
      <w:pPr>
        <w:adjustRightInd w:val="0"/>
        <w:snapToGrid w:val="0"/>
        <w:spacing w:line="288" w:lineRule="auto"/>
        <w:jc w:val="right"/>
        <w:rPr>
          <w:rFonts w:ascii="宋体" w:hAnsi="宋体"/>
          <w:spacing w:val="-6"/>
          <w:sz w:val="21"/>
          <w:szCs w:val="21"/>
        </w:rPr>
      </w:pPr>
      <w:r>
        <w:rPr>
          <w:rFonts w:hint="eastAsia" w:ascii="宋体" w:hAnsi="宋体"/>
          <w:b/>
          <w:bCs/>
          <w:spacing w:val="-6"/>
          <w:sz w:val="21"/>
          <w:szCs w:val="21"/>
        </w:rPr>
        <w:t>正本或副本</w:t>
      </w:r>
    </w:p>
    <w:p w14:paraId="4F834CDC">
      <w:pPr>
        <w:adjustRightInd w:val="0"/>
        <w:snapToGrid w:val="0"/>
        <w:spacing w:line="288" w:lineRule="auto"/>
        <w:rPr>
          <w:rFonts w:ascii="宋体" w:hAnsi="宋体"/>
          <w:spacing w:val="-6"/>
          <w:sz w:val="21"/>
          <w:szCs w:val="21"/>
        </w:rPr>
      </w:pPr>
    </w:p>
    <w:p w14:paraId="0FDAAEBB">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____________________（供应商名称）</w:t>
      </w:r>
    </w:p>
    <w:p w14:paraId="05515285">
      <w:pPr>
        <w:adjustRightInd w:val="0"/>
        <w:snapToGrid w:val="0"/>
        <w:spacing w:line="288" w:lineRule="auto"/>
        <w:rPr>
          <w:rFonts w:ascii="宋体" w:hAnsi="宋体"/>
          <w:bCs/>
          <w:spacing w:val="-6"/>
          <w:sz w:val="21"/>
          <w:szCs w:val="21"/>
        </w:rPr>
      </w:pPr>
    </w:p>
    <w:p w14:paraId="4ACE2AF8">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竞 争 性 磋 商</w:t>
      </w:r>
    </w:p>
    <w:p w14:paraId="41C2AF2D">
      <w:pPr>
        <w:adjustRightInd w:val="0"/>
        <w:snapToGrid w:val="0"/>
        <w:spacing w:line="288" w:lineRule="auto"/>
        <w:jc w:val="center"/>
        <w:rPr>
          <w:rFonts w:ascii="宋体" w:hAnsi="宋体"/>
          <w:b/>
          <w:spacing w:val="-6"/>
          <w:sz w:val="21"/>
          <w:szCs w:val="21"/>
        </w:rPr>
      </w:pPr>
    </w:p>
    <w:p w14:paraId="79379C81">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响应文件</w:t>
      </w:r>
    </w:p>
    <w:p w14:paraId="65453821">
      <w:pPr>
        <w:adjustRightInd w:val="0"/>
        <w:snapToGrid w:val="0"/>
        <w:spacing w:line="288" w:lineRule="auto"/>
        <w:rPr>
          <w:rFonts w:ascii="宋体" w:hAnsi="宋体"/>
          <w:bCs/>
          <w:spacing w:val="-6"/>
          <w:sz w:val="21"/>
          <w:szCs w:val="21"/>
        </w:rPr>
      </w:pPr>
    </w:p>
    <w:p w14:paraId="2D233264">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浙江大学杭州国际科创中心</w:t>
      </w:r>
    </w:p>
    <w:p w14:paraId="77BFABC1">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双光子光致发光显微成像系统</w:t>
      </w:r>
    </w:p>
    <w:p w14:paraId="19DD1D3D">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QSZB-F(H)-A24571(CS)</w:t>
      </w:r>
    </w:p>
    <w:p w14:paraId="1A484906">
      <w:pPr>
        <w:adjustRightInd w:val="0"/>
        <w:snapToGrid w:val="0"/>
        <w:spacing w:line="288" w:lineRule="auto"/>
        <w:rPr>
          <w:rFonts w:ascii="宋体" w:hAnsi="宋体"/>
          <w:bCs/>
          <w:spacing w:val="-6"/>
          <w:sz w:val="21"/>
          <w:szCs w:val="21"/>
        </w:rPr>
      </w:pPr>
      <w:r>
        <w:rPr>
          <w:rFonts w:hint="eastAsia" w:ascii="宋体" w:hAnsi="宋体"/>
          <w:bCs/>
          <w:spacing w:val="-6"/>
          <w:sz w:val="21"/>
          <w:szCs w:val="21"/>
        </w:rPr>
        <w:t>标项：</w:t>
      </w:r>
    </w:p>
    <w:p w14:paraId="69C0FCB7">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供应商名称（盖章）：</w:t>
      </w:r>
    </w:p>
    <w:p w14:paraId="3B2B66C5">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供应商地址：</w:t>
      </w:r>
    </w:p>
    <w:p w14:paraId="130677AD">
      <w:pPr>
        <w:adjustRightInd w:val="0"/>
        <w:snapToGrid w:val="0"/>
        <w:spacing w:line="288" w:lineRule="auto"/>
        <w:rPr>
          <w:rFonts w:ascii="宋体" w:hAnsi="宋体"/>
          <w:bCs/>
          <w:spacing w:val="-6"/>
          <w:sz w:val="21"/>
          <w:szCs w:val="21"/>
        </w:rPr>
      </w:pPr>
    </w:p>
    <w:p w14:paraId="5148945F">
      <w:pPr>
        <w:adjustRightInd w:val="0"/>
        <w:snapToGrid w:val="0"/>
        <w:spacing w:line="288" w:lineRule="auto"/>
        <w:rPr>
          <w:rFonts w:ascii="宋体" w:hAnsi="宋体"/>
          <w:bCs/>
          <w:spacing w:val="-6"/>
          <w:sz w:val="21"/>
          <w:szCs w:val="21"/>
        </w:rPr>
      </w:pPr>
      <w:r>
        <w:rPr>
          <w:rFonts w:hint="eastAsia" w:ascii="宋体" w:hAnsi="宋体"/>
          <w:bCs/>
          <w:spacing w:val="-6"/>
          <w:sz w:val="21"/>
          <w:szCs w:val="21"/>
        </w:rPr>
        <w:t>供应商授权代表签名：</w:t>
      </w:r>
    </w:p>
    <w:p w14:paraId="26683425">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14:paraId="083F0723">
      <w:pPr>
        <w:widowControl/>
        <w:jc w:val="left"/>
        <w:rPr>
          <w:rFonts w:ascii="宋体" w:hAnsi="宋体"/>
          <w:bCs/>
          <w:spacing w:val="-6"/>
          <w:sz w:val="21"/>
          <w:szCs w:val="21"/>
        </w:rPr>
      </w:pPr>
      <w:r>
        <w:rPr>
          <w:rFonts w:ascii="宋体" w:hAnsi="宋体"/>
          <w:bCs/>
          <w:spacing w:val="-6"/>
          <w:sz w:val="21"/>
          <w:szCs w:val="21"/>
        </w:rPr>
        <w:br w:type="page"/>
      </w:r>
    </w:p>
    <w:p w14:paraId="07103133">
      <w:pPr>
        <w:tabs>
          <w:tab w:val="center" w:pos="4706"/>
        </w:tabs>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评分索引表</w:t>
      </w:r>
    </w:p>
    <w:tbl>
      <w:tblPr>
        <w:tblStyle w:val="21"/>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7F07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2826AB3">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2091" w:type="dxa"/>
            <w:vAlign w:val="center"/>
          </w:tcPr>
          <w:p w14:paraId="69B0AF3F">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14:paraId="59CFB1E5">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3040" w:type="dxa"/>
            <w:vAlign w:val="center"/>
          </w:tcPr>
          <w:p w14:paraId="270C54D3">
            <w:pPr>
              <w:tabs>
                <w:tab w:val="left" w:pos="1418"/>
              </w:tabs>
              <w:adjustRightInd w:val="0"/>
              <w:snapToGrid w:val="0"/>
              <w:spacing w:line="288" w:lineRule="auto"/>
              <w:ind w:firstLine="398"/>
              <w:jc w:val="center"/>
              <w:rPr>
                <w:rFonts w:ascii="宋体" w:hAnsi="宋体"/>
                <w:b/>
                <w:spacing w:val="-6"/>
                <w:kern w:val="0"/>
                <w:sz w:val="21"/>
                <w:szCs w:val="21"/>
              </w:rPr>
            </w:pPr>
            <w:r>
              <w:rPr>
                <w:rFonts w:ascii="宋体" w:hAnsi="宋体"/>
                <w:b/>
                <w:spacing w:val="-6"/>
                <w:kern w:val="0"/>
                <w:sz w:val="21"/>
                <w:szCs w:val="21"/>
              </w:rPr>
              <w:t>评分标准</w:t>
            </w:r>
          </w:p>
        </w:tc>
        <w:tc>
          <w:tcPr>
            <w:tcW w:w="967" w:type="dxa"/>
            <w:vAlign w:val="center"/>
          </w:tcPr>
          <w:p w14:paraId="6959ED98">
            <w:pPr>
              <w:tabs>
                <w:tab w:val="left" w:pos="1418"/>
              </w:tabs>
              <w:adjustRightInd w:val="0"/>
              <w:snapToGrid w:val="0"/>
              <w:spacing w:line="288" w:lineRule="auto"/>
              <w:jc w:val="center"/>
              <w:rPr>
                <w:rFonts w:ascii="宋体" w:hAnsi="宋体"/>
                <w:b/>
                <w:spacing w:val="-6"/>
                <w:kern w:val="0"/>
                <w:sz w:val="21"/>
                <w:szCs w:val="21"/>
              </w:rPr>
            </w:pPr>
            <w:r>
              <w:rPr>
                <w:rFonts w:ascii="宋体" w:hAnsi="宋体"/>
                <w:b/>
                <w:spacing w:val="-6"/>
                <w:kern w:val="0"/>
                <w:sz w:val="21"/>
                <w:szCs w:val="21"/>
              </w:rPr>
              <w:t>自评分</w:t>
            </w:r>
          </w:p>
        </w:tc>
        <w:tc>
          <w:tcPr>
            <w:tcW w:w="1053" w:type="dxa"/>
            <w:vAlign w:val="center"/>
          </w:tcPr>
          <w:p w14:paraId="7AD45224">
            <w:pPr>
              <w:tabs>
                <w:tab w:val="left" w:pos="1418"/>
              </w:tabs>
              <w:adjustRightInd w:val="0"/>
              <w:snapToGrid w:val="0"/>
              <w:spacing w:line="288" w:lineRule="auto"/>
              <w:jc w:val="center"/>
              <w:rPr>
                <w:rFonts w:ascii="宋体" w:hAnsi="宋体"/>
                <w:b/>
                <w:spacing w:val="-6"/>
                <w:kern w:val="0"/>
                <w:sz w:val="21"/>
                <w:szCs w:val="21"/>
              </w:rPr>
            </w:pPr>
            <w:r>
              <w:rPr>
                <w:rFonts w:ascii="宋体" w:hAnsi="宋体"/>
                <w:b/>
                <w:spacing w:val="-6"/>
                <w:kern w:val="0"/>
                <w:sz w:val="21"/>
                <w:szCs w:val="21"/>
              </w:rPr>
              <w:t>自评依据</w:t>
            </w:r>
          </w:p>
        </w:tc>
        <w:tc>
          <w:tcPr>
            <w:tcW w:w="881" w:type="dxa"/>
            <w:vAlign w:val="center"/>
          </w:tcPr>
          <w:p w14:paraId="780FD8E3">
            <w:pPr>
              <w:tabs>
                <w:tab w:val="left" w:pos="1418"/>
              </w:tabs>
              <w:adjustRightInd w:val="0"/>
              <w:snapToGrid w:val="0"/>
              <w:spacing w:line="288" w:lineRule="auto"/>
              <w:jc w:val="center"/>
              <w:rPr>
                <w:rFonts w:ascii="宋体" w:hAnsi="宋体"/>
                <w:b/>
                <w:spacing w:val="-6"/>
                <w:kern w:val="0"/>
                <w:sz w:val="21"/>
                <w:szCs w:val="21"/>
              </w:rPr>
            </w:pPr>
            <w:r>
              <w:rPr>
                <w:rFonts w:ascii="宋体" w:hAnsi="宋体"/>
                <w:b/>
                <w:spacing w:val="-6"/>
                <w:kern w:val="0"/>
                <w:sz w:val="21"/>
                <w:szCs w:val="21"/>
              </w:rPr>
              <w:t>页码</w:t>
            </w:r>
          </w:p>
        </w:tc>
      </w:tr>
      <w:tr w14:paraId="41EB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1BC229B">
            <w:pPr>
              <w:tabs>
                <w:tab w:val="left" w:pos="1418"/>
              </w:tabs>
              <w:adjustRightInd w:val="0"/>
              <w:snapToGrid w:val="0"/>
              <w:spacing w:line="288" w:lineRule="auto"/>
              <w:jc w:val="center"/>
              <w:rPr>
                <w:rFonts w:ascii="宋体" w:hAnsi="宋体"/>
                <w:b/>
                <w:spacing w:val="-6"/>
                <w:kern w:val="0"/>
                <w:sz w:val="21"/>
                <w:szCs w:val="21"/>
              </w:rPr>
            </w:pPr>
            <w:r>
              <w:rPr>
                <w:rFonts w:ascii="宋体" w:hAnsi="宋体"/>
                <w:b/>
                <w:spacing w:val="-6"/>
                <w:kern w:val="0"/>
                <w:sz w:val="21"/>
                <w:szCs w:val="21"/>
              </w:rPr>
              <w:t>商务分</w:t>
            </w:r>
          </w:p>
        </w:tc>
      </w:tr>
      <w:tr w14:paraId="7C72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EF5493E">
            <w:pPr>
              <w:adjustRightInd w:val="0"/>
              <w:snapToGrid w:val="0"/>
              <w:spacing w:line="288" w:lineRule="auto"/>
              <w:jc w:val="center"/>
              <w:rPr>
                <w:rFonts w:ascii="宋体" w:hAnsi="宋体"/>
                <w:spacing w:val="-6"/>
                <w:sz w:val="21"/>
                <w:szCs w:val="21"/>
              </w:rPr>
            </w:pPr>
          </w:p>
        </w:tc>
        <w:tc>
          <w:tcPr>
            <w:tcW w:w="2091" w:type="dxa"/>
            <w:vAlign w:val="center"/>
          </w:tcPr>
          <w:p w14:paraId="5AC921D7">
            <w:pPr>
              <w:adjustRightInd w:val="0"/>
              <w:snapToGrid w:val="0"/>
              <w:spacing w:line="288" w:lineRule="auto"/>
              <w:jc w:val="center"/>
              <w:rPr>
                <w:rFonts w:ascii="宋体" w:hAnsi="宋体"/>
                <w:spacing w:val="-6"/>
                <w:sz w:val="21"/>
                <w:szCs w:val="21"/>
              </w:rPr>
            </w:pPr>
          </w:p>
        </w:tc>
        <w:tc>
          <w:tcPr>
            <w:tcW w:w="709" w:type="dxa"/>
            <w:vAlign w:val="center"/>
          </w:tcPr>
          <w:p w14:paraId="50C4959B">
            <w:pPr>
              <w:adjustRightInd w:val="0"/>
              <w:snapToGrid w:val="0"/>
              <w:spacing w:line="288" w:lineRule="auto"/>
              <w:jc w:val="center"/>
              <w:rPr>
                <w:rFonts w:ascii="宋体" w:hAnsi="宋体"/>
                <w:spacing w:val="-6"/>
                <w:sz w:val="21"/>
                <w:szCs w:val="21"/>
              </w:rPr>
            </w:pPr>
          </w:p>
        </w:tc>
        <w:tc>
          <w:tcPr>
            <w:tcW w:w="3040" w:type="dxa"/>
            <w:vAlign w:val="center"/>
          </w:tcPr>
          <w:p w14:paraId="16E106FF">
            <w:pPr>
              <w:adjustRightInd w:val="0"/>
              <w:snapToGrid w:val="0"/>
              <w:spacing w:line="288" w:lineRule="auto"/>
              <w:rPr>
                <w:rFonts w:ascii="宋体" w:hAnsi="宋体"/>
                <w:spacing w:val="-6"/>
                <w:sz w:val="21"/>
                <w:szCs w:val="21"/>
              </w:rPr>
            </w:pPr>
          </w:p>
        </w:tc>
        <w:tc>
          <w:tcPr>
            <w:tcW w:w="967" w:type="dxa"/>
            <w:vAlign w:val="center"/>
          </w:tcPr>
          <w:p w14:paraId="2502B3AE">
            <w:pPr>
              <w:adjustRightInd w:val="0"/>
              <w:snapToGrid w:val="0"/>
              <w:spacing w:line="288" w:lineRule="auto"/>
              <w:jc w:val="center"/>
              <w:rPr>
                <w:rFonts w:ascii="宋体" w:hAnsi="宋体"/>
                <w:spacing w:val="-6"/>
                <w:sz w:val="21"/>
                <w:szCs w:val="21"/>
              </w:rPr>
            </w:pPr>
          </w:p>
        </w:tc>
        <w:tc>
          <w:tcPr>
            <w:tcW w:w="1053" w:type="dxa"/>
            <w:vAlign w:val="center"/>
          </w:tcPr>
          <w:p w14:paraId="57EC9A44">
            <w:pPr>
              <w:adjustRightInd w:val="0"/>
              <w:snapToGrid w:val="0"/>
              <w:spacing w:line="288" w:lineRule="auto"/>
              <w:jc w:val="center"/>
              <w:rPr>
                <w:rFonts w:ascii="宋体" w:hAnsi="宋体"/>
                <w:spacing w:val="-6"/>
                <w:sz w:val="21"/>
                <w:szCs w:val="21"/>
              </w:rPr>
            </w:pPr>
          </w:p>
        </w:tc>
        <w:tc>
          <w:tcPr>
            <w:tcW w:w="881" w:type="dxa"/>
          </w:tcPr>
          <w:p w14:paraId="41457924">
            <w:pPr>
              <w:adjustRightInd w:val="0"/>
              <w:snapToGrid w:val="0"/>
              <w:spacing w:line="288" w:lineRule="auto"/>
              <w:jc w:val="center"/>
              <w:rPr>
                <w:rFonts w:ascii="宋体" w:hAnsi="宋体"/>
                <w:spacing w:val="-6"/>
                <w:sz w:val="21"/>
                <w:szCs w:val="21"/>
              </w:rPr>
            </w:pPr>
          </w:p>
        </w:tc>
      </w:tr>
      <w:tr w14:paraId="79B2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F4E1269">
            <w:pPr>
              <w:adjustRightInd w:val="0"/>
              <w:snapToGrid w:val="0"/>
              <w:spacing w:line="288" w:lineRule="auto"/>
              <w:jc w:val="center"/>
              <w:rPr>
                <w:rFonts w:ascii="宋体" w:hAnsi="宋体"/>
                <w:spacing w:val="-6"/>
                <w:sz w:val="21"/>
                <w:szCs w:val="21"/>
              </w:rPr>
            </w:pPr>
          </w:p>
        </w:tc>
        <w:tc>
          <w:tcPr>
            <w:tcW w:w="2091" w:type="dxa"/>
            <w:vAlign w:val="center"/>
          </w:tcPr>
          <w:p w14:paraId="0D13BF84">
            <w:pPr>
              <w:adjustRightInd w:val="0"/>
              <w:snapToGrid w:val="0"/>
              <w:spacing w:line="288" w:lineRule="auto"/>
              <w:jc w:val="center"/>
              <w:rPr>
                <w:rFonts w:ascii="宋体" w:hAnsi="宋体"/>
                <w:spacing w:val="-6"/>
                <w:sz w:val="21"/>
                <w:szCs w:val="21"/>
              </w:rPr>
            </w:pPr>
          </w:p>
        </w:tc>
        <w:tc>
          <w:tcPr>
            <w:tcW w:w="709" w:type="dxa"/>
            <w:vAlign w:val="center"/>
          </w:tcPr>
          <w:p w14:paraId="67E1C371">
            <w:pPr>
              <w:adjustRightInd w:val="0"/>
              <w:snapToGrid w:val="0"/>
              <w:spacing w:line="288" w:lineRule="auto"/>
              <w:jc w:val="center"/>
              <w:rPr>
                <w:rFonts w:ascii="宋体" w:hAnsi="宋体"/>
                <w:spacing w:val="-6"/>
                <w:sz w:val="21"/>
                <w:szCs w:val="21"/>
              </w:rPr>
            </w:pPr>
          </w:p>
        </w:tc>
        <w:tc>
          <w:tcPr>
            <w:tcW w:w="3040" w:type="dxa"/>
            <w:vAlign w:val="center"/>
          </w:tcPr>
          <w:p w14:paraId="6F319402">
            <w:pPr>
              <w:adjustRightInd w:val="0"/>
              <w:snapToGrid w:val="0"/>
              <w:spacing w:line="288" w:lineRule="auto"/>
              <w:rPr>
                <w:rFonts w:ascii="宋体" w:hAnsi="宋体"/>
                <w:spacing w:val="-6"/>
                <w:sz w:val="21"/>
                <w:szCs w:val="21"/>
              </w:rPr>
            </w:pPr>
          </w:p>
        </w:tc>
        <w:tc>
          <w:tcPr>
            <w:tcW w:w="967" w:type="dxa"/>
            <w:vAlign w:val="center"/>
          </w:tcPr>
          <w:p w14:paraId="2899DFCC">
            <w:pPr>
              <w:adjustRightInd w:val="0"/>
              <w:snapToGrid w:val="0"/>
              <w:spacing w:line="288" w:lineRule="auto"/>
              <w:jc w:val="center"/>
              <w:rPr>
                <w:rFonts w:ascii="宋体" w:hAnsi="宋体"/>
                <w:spacing w:val="-6"/>
                <w:sz w:val="21"/>
                <w:szCs w:val="21"/>
              </w:rPr>
            </w:pPr>
          </w:p>
        </w:tc>
        <w:tc>
          <w:tcPr>
            <w:tcW w:w="1053" w:type="dxa"/>
            <w:vAlign w:val="center"/>
          </w:tcPr>
          <w:p w14:paraId="66721E5B">
            <w:pPr>
              <w:adjustRightInd w:val="0"/>
              <w:snapToGrid w:val="0"/>
              <w:spacing w:line="288" w:lineRule="auto"/>
              <w:jc w:val="center"/>
              <w:rPr>
                <w:rFonts w:ascii="宋体" w:hAnsi="宋体"/>
                <w:spacing w:val="-6"/>
                <w:sz w:val="21"/>
                <w:szCs w:val="21"/>
              </w:rPr>
            </w:pPr>
          </w:p>
        </w:tc>
        <w:tc>
          <w:tcPr>
            <w:tcW w:w="881" w:type="dxa"/>
          </w:tcPr>
          <w:p w14:paraId="2C1C6F08">
            <w:pPr>
              <w:adjustRightInd w:val="0"/>
              <w:snapToGrid w:val="0"/>
              <w:spacing w:line="288" w:lineRule="auto"/>
              <w:jc w:val="center"/>
              <w:rPr>
                <w:rFonts w:ascii="宋体" w:hAnsi="宋体"/>
                <w:spacing w:val="-6"/>
                <w:sz w:val="21"/>
                <w:szCs w:val="21"/>
              </w:rPr>
            </w:pPr>
          </w:p>
        </w:tc>
      </w:tr>
      <w:tr w14:paraId="3714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3D167B8">
            <w:pPr>
              <w:adjustRightInd w:val="0"/>
              <w:snapToGrid w:val="0"/>
              <w:spacing w:line="288" w:lineRule="auto"/>
              <w:jc w:val="center"/>
              <w:rPr>
                <w:rFonts w:ascii="宋体" w:hAnsi="宋体"/>
                <w:kern w:val="0"/>
                <w:sz w:val="21"/>
                <w:szCs w:val="21"/>
              </w:rPr>
            </w:pPr>
          </w:p>
        </w:tc>
        <w:tc>
          <w:tcPr>
            <w:tcW w:w="2091" w:type="dxa"/>
            <w:vAlign w:val="center"/>
          </w:tcPr>
          <w:p w14:paraId="5E32E09F">
            <w:pPr>
              <w:adjustRightInd w:val="0"/>
              <w:snapToGrid w:val="0"/>
              <w:spacing w:line="288" w:lineRule="auto"/>
              <w:jc w:val="center"/>
              <w:rPr>
                <w:rFonts w:ascii="宋体" w:hAnsi="宋体"/>
                <w:kern w:val="0"/>
                <w:sz w:val="21"/>
                <w:szCs w:val="21"/>
              </w:rPr>
            </w:pPr>
          </w:p>
        </w:tc>
        <w:tc>
          <w:tcPr>
            <w:tcW w:w="709" w:type="dxa"/>
            <w:vAlign w:val="center"/>
          </w:tcPr>
          <w:p w14:paraId="03451506">
            <w:pPr>
              <w:adjustRightInd w:val="0"/>
              <w:snapToGrid w:val="0"/>
              <w:spacing w:line="288" w:lineRule="auto"/>
              <w:jc w:val="center"/>
              <w:rPr>
                <w:rFonts w:ascii="宋体" w:hAnsi="宋体"/>
                <w:kern w:val="0"/>
                <w:sz w:val="21"/>
                <w:szCs w:val="21"/>
              </w:rPr>
            </w:pPr>
          </w:p>
        </w:tc>
        <w:tc>
          <w:tcPr>
            <w:tcW w:w="3040" w:type="dxa"/>
            <w:vAlign w:val="center"/>
          </w:tcPr>
          <w:p w14:paraId="016C8687">
            <w:pPr>
              <w:adjustRightInd w:val="0"/>
              <w:snapToGrid w:val="0"/>
              <w:spacing w:line="288" w:lineRule="auto"/>
              <w:rPr>
                <w:rFonts w:ascii="宋体" w:hAnsi="宋体"/>
                <w:kern w:val="0"/>
                <w:sz w:val="21"/>
                <w:szCs w:val="21"/>
              </w:rPr>
            </w:pPr>
          </w:p>
        </w:tc>
        <w:tc>
          <w:tcPr>
            <w:tcW w:w="967" w:type="dxa"/>
            <w:vAlign w:val="center"/>
          </w:tcPr>
          <w:p w14:paraId="527EA6DA">
            <w:pPr>
              <w:adjustRightInd w:val="0"/>
              <w:snapToGrid w:val="0"/>
              <w:spacing w:line="288" w:lineRule="auto"/>
              <w:jc w:val="center"/>
              <w:rPr>
                <w:rFonts w:ascii="宋体" w:hAnsi="宋体"/>
                <w:sz w:val="21"/>
                <w:szCs w:val="21"/>
              </w:rPr>
            </w:pPr>
          </w:p>
        </w:tc>
        <w:tc>
          <w:tcPr>
            <w:tcW w:w="1053" w:type="dxa"/>
            <w:vAlign w:val="center"/>
          </w:tcPr>
          <w:p w14:paraId="6FE1392C">
            <w:pPr>
              <w:adjustRightInd w:val="0"/>
              <w:snapToGrid w:val="0"/>
              <w:spacing w:line="288" w:lineRule="auto"/>
              <w:jc w:val="center"/>
              <w:rPr>
                <w:rFonts w:ascii="宋体" w:hAnsi="宋体"/>
                <w:sz w:val="21"/>
                <w:szCs w:val="21"/>
              </w:rPr>
            </w:pPr>
          </w:p>
        </w:tc>
        <w:tc>
          <w:tcPr>
            <w:tcW w:w="881" w:type="dxa"/>
          </w:tcPr>
          <w:p w14:paraId="4C408431">
            <w:pPr>
              <w:adjustRightInd w:val="0"/>
              <w:snapToGrid w:val="0"/>
              <w:spacing w:line="288" w:lineRule="auto"/>
              <w:jc w:val="center"/>
              <w:rPr>
                <w:rFonts w:ascii="宋体" w:hAnsi="宋体"/>
                <w:sz w:val="21"/>
                <w:szCs w:val="21"/>
              </w:rPr>
            </w:pPr>
          </w:p>
        </w:tc>
      </w:tr>
      <w:tr w14:paraId="2EA6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D537277">
            <w:pPr>
              <w:adjustRightInd w:val="0"/>
              <w:snapToGrid w:val="0"/>
              <w:spacing w:line="288" w:lineRule="auto"/>
              <w:jc w:val="center"/>
              <w:rPr>
                <w:rFonts w:ascii="宋体" w:hAnsi="宋体"/>
                <w:spacing w:val="-6"/>
                <w:sz w:val="21"/>
                <w:szCs w:val="21"/>
              </w:rPr>
            </w:pPr>
          </w:p>
        </w:tc>
        <w:tc>
          <w:tcPr>
            <w:tcW w:w="2091" w:type="dxa"/>
            <w:vAlign w:val="center"/>
          </w:tcPr>
          <w:p w14:paraId="0B4E6B6A">
            <w:pPr>
              <w:adjustRightInd w:val="0"/>
              <w:snapToGrid w:val="0"/>
              <w:spacing w:line="288" w:lineRule="auto"/>
              <w:jc w:val="center"/>
              <w:rPr>
                <w:rFonts w:ascii="宋体" w:hAnsi="宋体"/>
                <w:spacing w:val="-6"/>
                <w:sz w:val="21"/>
                <w:szCs w:val="21"/>
              </w:rPr>
            </w:pPr>
          </w:p>
        </w:tc>
        <w:tc>
          <w:tcPr>
            <w:tcW w:w="709" w:type="dxa"/>
            <w:vAlign w:val="center"/>
          </w:tcPr>
          <w:p w14:paraId="174EC857">
            <w:pPr>
              <w:adjustRightInd w:val="0"/>
              <w:snapToGrid w:val="0"/>
              <w:spacing w:line="288" w:lineRule="auto"/>
              <w:jc w:val="center"/>
              <w:rPr>
                <w:rFonts w:ascii="宋体" w:hAnsi="宋体"/>
                <w:spacing w:val="-6"/>
                <w:sz w:val="21"/>
                <w:szCs w:val="21"/>
              </w:rPr>
            </w:pPr>
          </w:p>
        </w:tc>
        <w:tc>
          <w:tcPr>
            <w:tcW w:w="3040" w:type="dxa"/>
            <w:vAlign w:val="center"/>
          </w:tcPr>
          <w:p w14:paraId="17630A9A">
            <w:pPr>
              <w:adjustRightInd w:val="0"/>
              <w:snapToGrid w:val="0"/>
              <w:spacing w:line="288" w:lineRule="auto"/>
              <w:rPr>
                <w:rFonts w:ascii="宋体" w:hAnsi="宋体"/>
                <w:spacing w:val="-6"/>
                <w:sz w:val="21"/>
                <w:szCs w:val="21"/>
              </w:rPr>
            </w:pPr>
          </w:p>
        </w:tc>
        <w:tc>
          <w:tcPr>
            <w:tcW w:w="967" w:type="dxa"/>
            <w:vAlign w:val="center"/>
          </w:tcPr>
          <w:p w14:paraId="32D96D37">
            <w:pPr>
              <w:adjustRightInd w:val="0"/>
              <w:snapToGrid w:val="0"/>
              <w:spacing w:line="288" w:lineRule="auto"/>
              <w:jc w:val="center"/>
              <w:rPr>
                <w:rFonts w:ascii="宋体" w:hAnsi="宋体"/>
                <w:spacing w:val="-6"/>
                <w:sz w:val="21"/>
                <w:szCs w:val="21"/>
              </w:rPr>
            </w:pPr>
          </w:p>
        </w:tc>
        <w:tc>
          <w:tcPr>
            <w:tcW w:w="1053" w:type="dxa"/>
            <w:vAlign w:val="center"/>
          </w:tcPr>
          <w:p w14:paraId="1AF97CBC">
            <w:pPr>
              <w:adjustRightInd w:val="0"/>
              <w:snapToGrid w:val="0"/>
              <w:spacing w:line="288" w:lineRule="auto"/>
              <w:jc w:val="center"/>
              <w:rPr>
                <w:rFonts w:ascii="宋体" w:hAnsi="宋体"/>
                <w:spacing w:val="-6"/>
                <w:sz w:val="21"/>
                <w:szCs w:val="21"/>
              </w:rPr>
            </w:pPr>
          </w:p>
        </w:tc>
        <w:tc>
          <w:tcPr>
            <w:tcW w:w="881" w:type="dxa"/>
          </w:tcPr>
          <w:p w14:paraId="686CF934">
            <w:pPr>
              <w:adjustRightInd w:val="0"/>
              <w:snapToGrid w:val="0"/>
              <w:spacing w:line="288" w:lineRule="auto"/>
              <w:jc w:val="center"/>
              <w:rPr>
                <w:rFonts w:ascii="宋体" w:hAnsi="宋体"/>
                <w:spacing w:val="-6"/>
                <w:sz w:val="21"/>
                <w:szCs w:val="21"/>
              </w:rPr>
            </w:pPr>
          </w:p>
        </w:tc>
      </w:tr>
      <w:tr w14:paraId="6DB9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E25F086">
            <w:pPr>
              <w:adjustRightInd w:val="0"/>
              <w:snapToGrid w:val="0"/>
              <w:spacing w:line="288" w:lineRule="auto"/>
              <w:jc w:val="center"/>
              <w:rPr>
                <w:rFonts w:ascii="宋体" w:hAnsi="宋体"/>
                <w:spacing w:val="-6"/>
                <w:sz w:val="21"/>
                <w:szCs w:val="21"/>
              </w:rPr>
            </w:pPr>
          </w:p>
        </w:tc>
        <w:tc>
          <w:tcPr>
            <w:tcW w:w="2091" w:type="dxa"/>
            <w:vAlign w:val="center"/>
          </w:tcPr>
          <w:p w14:paraId="1C75CE8B">
            <w:pPr>
              <w:adjustRightInd w:val="0"/>
              <w:snapToGrid w:val="0"/>
              <w:spacing w:line="288" w:lineRule="auto"/>
              <w:jc w:val="center"/>
              <w:rPr>
                <w:rFonts w:ascii="宋体" w:hAnsi="宋体"/>
                <w:spacing w:val="-6"/>
                <w:sz w:val="21"/>
                <w:szCs w:val="21"/>
              </w:rPr>
            </w:pPr>
          </w:p>
        </w:tc>
        <w:tc>
          <w:tcPr>
            <w:tcW w:w="709" w:type="dxa"/>
            <w:vAlign w:val="center"/>
          </w:tcPr>
          <w:p w14:paraId="44FB8061">
            <w:pPr>
              <w:adjustRightInd w:val="0"/>
              <w:snapToGrid w:val="0"/>
              <w:spacing w:line="288" w:lineRule="auto"/>
              <w:jc w:val="center"/>
              <w:rPr>
                <w:rFonts w:ascii="宋体" w:hAnsi="宋体"/>
                <w:spacing w:val="-6"/>
                <w:sz w:val="21"/>
                <w:szCs w:val="21"/>
              </w:rPr>
            </w:pPr>
          </w:p>
        </w:tc>
        <w:tc>
          <w:tcPr>
            <w:tcW w:w="3040" w:type="dxa"/>
            <w:vAlign w:val="center"/>
          </w:tcPr>
          <w:p w14:paraId="4B3DFC51">
            <w:pPr>
              <w:adjustRightInd w:val="0"/>
              <w:snapToGrid w:val="0"/>
              <w:spacing w:line="288" w:lineRule="auto"/>
              <w:rPr>
                <w:rFonts w:ascii="宋体" w:hAnsi="宋体"/>
                <w:spacing w:val="-6"/>
                <w:sz w:val="21"/>
                <w:szCs w:val="21"/>
              </w:rPr>
            </w:pPr>
          </w:p>
        </w:tc>
        <w:tc>
          <w:tcPr>
            <w:tcW w:w="967" w:type="dxa"/>
            <w:vAlign w:val="center"/>
          </w:tcPr>
          <w:p w14:paraId="4381B02C">
            <w:pPr>
              <w:adjustRightInd w:val="0"/>
              <w:snapToGrid w:val="0"/>
              <w:spacing w:line="288" w:lineRule="auto"/>
              <w:jc w:val="center"/>
              <w:rPr>
                <w:rFonts w:ascii="宋体" w:hAnsi="宋体"/>
                <w:spacing w:val="-6"/>
                <w:sz w:val="21"/>
                <w:szCs w:val="21"/>
              </w:rPr>
            </w:pPr>
          </w:p>
        </w:tc>
        <w:tc>
          <w:tcPr>
            <w:tcW w:w="1053" w:type="dxa"/>
            <w:vAlign w:val="center"/>
          </w:tcPr>
          <w:p w14:paraId="0D1ED888">
            <w:pPr>
              <w:adjustRightInd w:val="0"/>
              <w:snapToGrid w:val="0"/>
              <w:spacing w:line="288" w:lineRule="auto"/>
              <w:jc w:val="center"/>
              <w:rPr>
                <w:rFonts w:ascii="宋体" w:hAnsi="宋体"/>
                <w:spacing w:val="-6"/>
                <w:sz w:val="21"/>
                <w:szCs w:val="21"/>
              </w:rPr>
            </w:pPr>
          </w:p>
        </w:tc>
        <w:tc>
          <w:tcPr>
            <w:tcW w:w="881" w:type="dxa"/>
          </w:tcPr>
          <w:p w14:paraId="542BC0D7">
            <w:pPr>
              <w:adjustRightInd w:val="0"/>
              <w:snapToGrid w:val="0"/>
              <w:spacing w:line="288" w:lineRule="auto"/>
              <w:jc w:val="center"/>
              <w:rPr>
                <w:rFonts w:ascii="宋体" w:hAnsi="宋体"/>
                <w:spacing w:val="-6"/>
                <w:sz w:val="21"/>
                <w:szCs w:val="21"/>
              </w:rPr>
            </w:pPr>
          </w:p>
        </w:tc>
      </w:tr>
      <w:tr w14:paraId="69D3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33A87F7">
            <w:pPr>
              <w:adjustRightInd w:val="0"/>
              <w:snapToGrid w:val="0"/>
              <w:spacing w:line="288" w:lineRule="auto"/>
              <w:jc w:val="center"/>
              <w:rPr>
                <w:rFonts w:ascii="宋体" w:hAnsi="宋体"/>
                <w:spacing w:val="-6"/>
                <w:sz w:val="21"/>
                <w:szCs w:val="21"/>
              </w:rPr>
            </w:pPr>
          </w:p>
        </w:tc>
        <w:tc>
          <w:tcPr>
            <w:tcW w:w="2091" w:type="dxa"/>
            <w:vAlign w:val="center"/>
          </w:tcPr>
          <w:p w14:paraId="047E3515">
            <w:pPr>
              <w:adjustRightInd w:val="0"/>
              <w:snapToGrid w:val="0"/>
              <w:spacing w:line="288" w:lineRule="auto"/>
              <w:jc w:val="center"/>
              <w:rPr>
                <w:rFonts w:ascii="宋体" w:hAnsi="宋体"/>
                <w:spacing w:val="-6"/>
                <w:sz w:val="21"/>
                <w:szCs w:val="21"/>
              </w:rPr>
            </w:pPr>
          </w:p>
        </w:tc>
        <w:tc>
          <w:tcPr>
            <w:tcW w:w="709" w:type="dxa"/>
            <w:vAlign w:val="center"/>
          </w:tcPr>
          <w:p w14:paraId="155EAA4F">
            <w:pPr>
              <w:adjustRightInd w:val="0"/>
              <w:snapToGrid w:val="0"/>
              <w:spacing w:line="288" w:lineRule="auto"/>
              <w:jc w:val="center"/>
              <w:rPr>
                <w:rFonts w:ascii="宋体" w:hAnsi="宋体"/>
                <w:spacing w:val="-6"/>
                <w:sz w:val="21"/>
                <w:szCs w:val="21"/>
              </w:rPr>
            </w:pPr>
          </w:p>
        </w:tc>
        <w:tc>
          <w:tcPr>
            <w:tcW w:w="3040" w:type="dxa"/>
            <w:vAlign w:val="center"/>
          </w:tcPr>
          <w:p w14:paraId="58A93548">
            <w:pPr>
              <w:adjustRightInd w:val="0"/>
              <w:snapToGrid w:val="0"/>
              <w:spacing w:line="288" w:lineRule="auto"/>
              <w:rPr>
                <w:rFonts w:ascii="宋体" w:hAnsi="宋体"/>
                <w:spacing w:val="-6"/>
                <w:sz w:val="21"/>
                <w:szCs w:val="21"/>
              </w:rPr>
            </w:pPr>
          </w:p>
        </w:tc>
        <w:tc>
          <w:tcPr>
            <w:tcW w:w="967" w:type="dxa"/>
            <w:vAlign w:val="center"/>
          </w:tcPr>
          <w:p w14:paraId="4049D7BA">
            <w:pPr>
              <w:adjustRightInd w:val="0"/>
              <w:snapToGrid w:val="0"/>
              <w:spacing w:line="288" w:lineRule="auto"/>
              <w:jc w:val="center"/>
              <w:rPr>
                <w:rFonts w:ascii="宋体" w:hAnsi="宋体"/>
                <w:spacing w:val="-6"/>
                <w:sz w:val="21"/>
                <w:szCs w:val="21"/>
              </w:rPr>
            </w:pPr>
          </w:p>
        </w:tc>
        <w:tc>
          <w:tcPr>
            <w:tcW w:w="1053" w:type="dxa"/>
            <w:vAlign w:val="center"/>
          </w:tcPr>
          <w:p w14:paraId="5B3E85EF">
            <w:pPr>
              <w:adjustRightInd w:val="0"/>
              <w:snapToGrid w:val="0"/>
              <w:spacing w:line="288" w:lineRule="auto"/>
              <w:jc w:val="center"/>
              <w:rPr>
                <w:rFonts w:ascii="宋体" w:hAnsi="宋体"/>
                <w:spacing w:val="-6"/>
                <w:sz w:val="21"/>
                <w:szCs w:val="21"/>
              </w:rPr>
            </w:pPr>
          </w:p>
        </w:tc>
        <w:tc>
          <w:tcPr>
            <w:tcW w:w="881" w:type="dxa"/>
          </w:tcPr>
          <w:p w14:paraId="2CDF200C">
            <w:pPr>
              <w:adjustRightInd w:val="0"/>
              <w:snapToGrid w:val="0"/>
              <w:spacing w:line="288" w:lineRule="auto"/>
              <w:jc w:val="center"/>
              <w:rPr>
                <w:rFonts w:ascii="宋体" w:hAnsi="宋体"/>
                <w:spacing w:val="-6"/>
                <w:sz w:val="21"/>
                <w:szCs w:val="21"/>
              </w:rPr>
            </w:pPr>
          </w:p>
        </w:tc>
      </w:tr>
      <w:tr w14:paraId="109F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6F20C90">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技术</w:t>
            </w:r>
            <w:r>
              <w:rPr>
                <w:rFonts w:ascii="宋体" w:hAnsi="宋体"/>
                <w:b/>
                <w:spacing w:val="-6"/>
                <w:sz w:val="21"/>
                <w:szCs w:val="21"/>
              </w:rPr>
              <w:t>分</w:t>
            </w:r>
          </w:p>
        </w:tc>
      </w:tr>
      <w:tr w14:paraId="2012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12A648F">
            <w:pPr>
              <w:adjustRightInd w:val="0"/>
              <w:snapToGrid w:val="0"/>
              <w:spacing w:line="288" w:lineRule="auto"/>
              <w:jc w:val="center"/>
              <w:rPr>
                <w:rFonts w:ascii="宋体" w:hAnsi="宋体"/>
                <w:spacing w:val="-6"/>
                <w:sz w:val="21"/>
                <w:szCs w:val="21"/>
              </w:rPr>
            </w:pPr>
          </w:p>
        </w:tc>
        <w:tc>
          <w:tcPr>
            <w:tcW w:w="2091" w:type="dxa"/>
            <w:vAlign w:val="center"/>
          </w:tcPr>
          <w:p w14:paraId="1D8620D2">
            <w:pPr>
              <w:adjustRightInd w:val="0"/>
              <w:snapToGrid w:val="0"/>
              <w:spacing w:line="288" w:lineRule="auto"/>
              <w:jc w:val="center"/>
              <w:rPr>
                <w:rFonts w:ascii="宋体" w:hAnsi="宋体"/>
                <w:spacing w:val="-6"/>
                <w:sz w:val="21"/>
                <w:szCs w:val="21"/>
              </w:rPr>
            </w:pPr>
          </w:p>
        </w:tc>
        <w:tc>
          <w:tcPr>
            <w:tcW w:w="709" w:type="dxa"/>
            <w:vAlign w:val="center"/>
          </w:tcPr>
          <w:p w14:paraId="6C71374A">
            <w:pPr>
              <w:adjustRightInd w:val="0"/>
              <w:snapToGrid w:val="0"/>
              <w:spacing w:line="288" w:lineRule="auto"/>
              <w:jc w:val="center"/>
              <w:rPr>
                <w:rFonts w:ascii="宋体" w:hAnsi="宋体"/>
                <w:spacing w:val="-6"/>
                <w:sz w:val="21"/>
                <w:szCs w:val="21"/>
              </w:rPr>
            </w:pPr>
          </w:p>
        </w:tc>
        <w:tc>
          <w:tcPr>
            <w:tcW w:w="3040" w:type="dxa"/>
            <w:vAlign w:val="center"/>
          </w:tcPr>
          <w:p w14:paraId="3C1D7D58">
            <w:pPr>
              <w:adjustRightInd w:val="0"/>
              <w:snapToGrid w:val="0"/>
              <w:spacing w:line="288" w:lineRule="auto"/>
              <w:rPr>
                <w:rFonts w:ascii="宋体" w:hAnsi="宋体"/>
                <w:spacing w:val="-6"/>
                <w:sz w:val="21"/>
                <w:szCs w:val="21"/>
              </w:rPr>
            </w:pPr>
          </w:p>
        </w:tc>
        <w:tc>
          <w:tcPr>
            <w:tcW w:w="967" w:type="dxa"/>
            <w:vAlign w:val="center"/>
          </w:tcPr>
          <w:p w14:paraId="2096489D">
            <w:pPr>
              <w:adjustRightInd w:val="0"/>
              <w:snapToGrid w:val="0"/>
              <w:spacing w:line="288" w:lineRule="auto"/>
              <w:jc w:val="center"/>
              <w:rPr>
                <w:rFonts w:ascii="宋体" w:hAnsi="宋体"/>
                <w:spacing w:val="-6"/>
                <w:sz w:val="21"/>
                <w:szCs w:val="21"/>
              </w:rPr>
            </w:pPr>
          </w:p>
        </w:tc>
        <w:tc>
          <w:tcPr>
            <w:tcW w:w="1053" w:type="dxa"/>
            <w:vAlign w:val="center"/>
          </w:tcPr>
          <w:p w14:paraId="5EE8E329">
            <w:pPr>
              <w:adjustRightInd w:val="0"/>
              <w:snapToGrid w:val="0"/>
              <w:spacing w:line="288" w:lineRule="auto"/>
              <w:jc w:val="center"/>
              <w:rPr>
                <w:rFonts w:ascii="宋体" w:hAnsi="宋体"/>
                <w:spacing w:val="-6"/>
                <w:sz w:val="21"/>
                <w:szCs w:val="21"/>
              </w:rPr>
            </w:pPr>
          </w:p>
        </w:tc>
        <w:tc>
          <w:tcPr>
            <w:tcW w:w="881" w:type="dxa"/>
          </w:tcPr>
          <w:p w14:paraId="7DFFEBB4">
            <w:pPr>
              <w:adjustRightInd w:val="0"/>
              <w:snapToGrid w:val="0"/>
              <w:spacing w:line="288" w:lineRule="auto"/>
              <w:jc w:val="center"/>
              <w:rPr>
                <w:rFonts w:ascii="宋体" w:hAnsi="宋体"/>
                <w:spacing w:val="-6"/>
                <w:sz w:val="21"/>
                <w:szCs w:val="21"/>
              </w:rPr>
            </w:pPr>
          </w:p>
        </w:tc>
      </w:tr>
      <w:tr w14:paraId="7316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EE74856">
            <w:pPr>
              <w:adjustRightInd w:val="0"/>
              <w:snapToGrid w:val="0"/>
              <w:spacing w:line="288" w:lineRule="auto"/>
              <w:jc w:val="center"/>
              <w:rPr>
                <w:rFonts w:ascii="宋体" w:hAnsi="宋体"/>
                <w:spacing w:val="-6"/>
                <w:sz w:val="21"/>
                <w:szCs w:val="21"/>
              </w:rPr>
            </w:pPr>
          </w:p>
        </w:tc>
        <w:tc>
          <w:tcPr>
            <w:tcW w:w="2091" w:type="dxa"/>
            <w:vAlign w:val="center"/>
          </w:tcPr>
          <w:p w14:paraId="3CDE6A3D">
            <w:pPr>
              <w:adjustRightInd w:val="0"/>
              <w:snapToGrid w:val="0"/>
              <w:spacing w:line="288" w:lineRule="auto"/>
              <w:jc w:val="center"/>
              <w:rPr>
                <w:rFonts w:ascii="宋体" w:hAnsi="宋体"/>
                <w:spacing w:val="-6"/>
                <w:sz w:val="21"/>
                <w:szCs w:val="21"/>
              </w:rPr>
            </w:pPr>
          </w:p>
        </w:tc>
        <w:tc>
          <w:tcPr>
            <w:tcW w:w="709" w:type="dxa"/>
            <w:vAlign w:val="center"/>
          </w:tcPr>
          <w:p w14:paraId="13AA8074">
            <w:pPr>
              <w:adjustRightInd w:val="0"/>
              <w:snapToGrid w:val="0"/>
              <w:spacing w:line="288" w:lineRule="auto"/>
              <w:jc w:val="center"/>
              <w:rPr>
                <w:rFonts w:ascii="宋体" w:hAnsi="宋体"/>
                <w:spacing w:val="-6"/>
                <w:sz w:val="21"/>
                <w:szCs w:val="21"/>
              </w:rPr>
            </w:pPr>
          </w:p>
        </w:tc>
        <w:tc>
          <w:tcPr>
            <w:tcW w:w="3040" w:type="dxa"/>
            <w:vAlign w:val="center"/>
          </w:tcPr>
          <w:p w14:paraId="026F9242">
            <w:pPr>
              <w:adjustRightInd w:val="0"/>
              <w:snapToGrid w:val="0"/>
              <w:spacing w:line="288" w:lineRule="auto"/>
              <w:rPr>
                <w:rFonts w:ascii="宋体" w:hAnsi="宋体"/>
                <w:spacing w:val="-6"/>
                <w:sz w:val="21"/>
                <w:szCs w:val="21"/>
              </w:rPr>
            </w:pPr>
          </w:p>
        </w:tc>
        <w:tc>
          <w:tcPr>
            <w:tcW w:w="967" w:type="dxa"/>
            <w:vAlign w:val="center"/>
          </w:tcPr>
          <w:p w14:paraId="4701E8B8">
            <w:pPr>
              <w:adjustRightInd w:val="0"/>
              <w:snapToGrid w:val="0"/>
              <w:spacing w:line="288" w:lineRule="auto"/>
              <w:jc w:val="center"/>
              <w:rPr>
                <w:rFonts w:ascii="宋体" w:hAnsi="宋体"/>
                <w:spacing w:val="-6"/>
                <w:sz w:val="21"/>
                <w:szCs w:val="21"/>
              </w:rPr>
            </w:pPr>
          </w:p>
        </w:tc>
        <w:tc>
          <w:tcPr>
            <w:tcW w:w="1053" w:type="dxa"/>
            <w:vAlign w:val="center"/>
          </w:tcPr>
          <w:p w14:paraId="7211D26D">
            <w:pPr>
              <w:adjustRightInd w:val="0"/>
              <w:snapToGrid w:val="0"/>
              <w:spacing w:line="288" w:lineRule="auto"/>
              <w:jc w:val="center"/>
              <w:rPr>
                <w:rFonts w:ascii="宋体" w:hAnsi="宋体"/>
                <w:spacing w:val="-6"/>
                <w:sz w:val="21"/>
                <w:szCs w:val="21"/>
              </w:rPr>
            </w:pPr>
          </w:p>
        </w:tc>
        <w:tc>
          <w:tcPr>
            <w:tcW w:w="881" w:type="dxa"/>
          </w:tcPr>
          <w:p w14:paraId="35B2CD23">
            <w:pPr>
              <w:adjustRightInd w:val="0"/>
              <w:snapToGrid w:val="0"/>
              <w:spacing w:line="288" w:lineRule="auto"/>
              <w:jc w:val="center"/>
              <w:rPr>
                <w:rFonts w:ascii="宋体" w:hAnsi="宋体"/>
                <w:spacing w:val="-6"/>
                <w:sz w:val="21"/>
                <w:szCs w:val="21"/>
              </w:rPr>
            </w:pPr>
          </w:p>
        </w:tc>
      </w:tr>
      <w:tr w14:paraId="07CF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BC17DB3">
            <w:pPr>
              <w:adjustRightInd w:val="0"/>
              <w:snapToGrid w:val="0"/>
              <w:spacing w:line="288" w:lineRule="auto"/>
              <w:jc w:val="center"/>
              <w:rPr>
                <w:rFonts w:ascii="宋体" w:hAnsi="宋体"/>
                <w:spacing w:val="-6"/>
                <w:sz w:val="21"/>
                <w:szCs w:val="21"/>
              </w:rPr>
            </w:pPr>
          </w:p>
        </w:tc>
        <w:tc>
          <w:tcPr>
            <w:tcW w:w="2091" w:type="dxa"/>
            <w:vAlign w:val="center"/>
          </w:tcPr>
          <w:p w14:paraId="09D03FF9">
            <w:pPr>
              <w:adjustRightInd w:val="0"/>
              <w:snapToGrid w:val="0"/>
              <w:spacing w:line="288" w:lineRule="auto"/>
              <w:jc w:val="center"/>
              <w:rPr>
                <w:rFonts w:ascii="宋体" w:hAnsi="宋体"/>
                <w:spacing w:val="-6"/>
                <w:sz w:val="21"/>
                <w:szCs w:val="21"/>
              </w:rPr>
            </w:pPr>
          </w:p>
        </w:tc>
        <w:tc>
          <w:tcPr>
            <w:tcW w:w="709" w:type="dxa"/>
            <w:vAlign w:val="center"/>
          </w:tcPr>
          <w:p w14:paraId="1FE74E4C">
            <w:pPr>
              <w:adjustRightInd w:val="0"/>
              <w:snapToGrid w:val="0"/>
              <w:spacing w:line="288" w:lineRule="auto"/>
              <w:jc w:val="center"/>
              <w:rPr>
                <w:rFonts w:ascii="宋体" w:hAnsi="宋体"/>
                <w:spacing w:val="-6"/>
                <w:sz w:val="21"/>
                <w:szCs w:val="21"/>
              </w:rPr>
            </w:pPr>
          </w:p>
        </w:tc>
        <w:tc>
          <w:tcPr>
            <w:tcW w:w="3040" w:type="dxa"/>
            <w:vAlign w:val="center"/>
          </w:tcPr>
          <w:p w14:paraId="1BC84184">
            <w:pPr>
              <w:adjustRightInd w:val="0"/>
              <w:snapToGrid w:val="0"/>
              <w:spacing w:line="288" w:lineRule="auto"/>
              <w:rPr>
                <w:rFonts w:ascii="宋体" w:hAnsi="宋体"/>
                <w:spacing w:val="-6"/>
                <w:sz w:val="21"/>
                <w:szCs w:val="21"/>
              </w:rPr>
            </w:pPr>
          </w:p>
        </w:tc>
        <w:tc>
          <w:tcPr>
            <w:tcW w:w="967" w:type="dxa"/>
            <w:vAlign w:val="center"/>
          </w:tcPr>
          <w:p w14:paraId="0CA7CE10">
            <w:pPr>
              <w:adjustRightInd w:val="0"/>
              <w:snapToGrid w:val="0"/>
              <w:spacing w:line="288" w:lineRule="auto"/>
              <w:jc w:val="center"/>
              <w:rPr>
                <w:rFonts w:ascii="宋体" w:hAnsi="宋体"/>
                <w:spacing w:val="-6"/>
                <w:sz w:val="21"/>
                <w:szCs w:val="21"/>
              </w:rPr>
            </w:pPr>
          </w:p>
        </w:tc>
        <w:tc>
          <w:tcPr>
            <w:tcW w:w="1053" w:type="dxa"/>
            <w:vAlign w:val="center"/>
          </w:tcPr>
          <w:p w14:paraId="38C196C7">
            <w:pPr>
              <w:adjustRightInd w:val="0"/>
              <w:snapToGrid w:val="0"/>
              <w:spacing w:line="288" w:lineRule="auto"/>
              <w:jc w:val="center"/>
              <w:rPr>
                <w:rFonts w:ascii="宋体" w:hAnsi="宋体"/>
                <w:spacing w:val="-6"/>
                <w:sz w:val="21"/>
                <w:szCs w:val="21"/>
              </w:rPr>
            </w:pPr>
          </w:p>
        </w:tc>
        <w:tc>
          <w:tcPr>
            <w:tcW w:w="881" w:type="dxa"/>
          </w:tcPr>
          <w:p w14:paraId="60D1005C">
            <w:pPr>
              <w:adjustRightInd w:val="0"/>
              <w:snapToGrid w:val="0"/>
              <w:spacing w:line="288" w:lineRule="auto"/>
              <w:jc w:val="center"/>
              <w:rPr>
                <w:rFonts w:ascii="宋体" w:hAnsi="宋体"/>
                <w:spacing w:val="-6"/>
                <w:sz w:val="21"/>
                <w:szCs w:val="21"/>
              </w:rPr>
            </w:pPr>
          </w:p>
        </w:tc>
      </w:tr>
      <w:tr w14:paraId="7D21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5727746">
            <w:pPr>
              <w:adjustRightInd w:val="0"/>
              <w:snapToGrid w:val="0"/>
              <w:spacing w:line="288" w:lineRule="auto"/>
              <w:jc w:val="center"/>
              <w:rPr>
                <w:rFonts w:ascii="宋体" w:hAnsi="宋体"/>
                <w:spacing w:val="-6"/>
                <w:sz w:val="21"/>
                <w:szCs w:val="21"/>
              </w:rPr>
            </w:pPr>
          </w:p>
        </w:tc>
        <w:tc>
          <w:tcPr>
            <w:tcW w:w="2091" w:type="dxa"/>
            <w:vAlign w:val="center"/>
          </w:tcPr>
          <w:p w14:paraId="161688EE">
            <w:pPr>
              <w:adjustRightInd w:val="0"/>
              <w:snapToGrid w:val="0"/>
              <w:spacing w:line="288" w:lineRule="auto"/>
              <w:jc w:val="center"/>
              <w:rPr>
                <w:rFonts w:ascii="宋体" w:hAnsi="宋体"/>
                <w:spacing w:val="-6"/>
                <w:sz w:val="21"/>
                <w:szCs w:val="21"/>
              </w:rPr>
            </w:pPr>
          </w:p>
        </w:tc>
        <w:tc>
          <w:tcPr>
            <w:tcW w:w="709" w:type="dxa"/>
            <w:vAlign w:val="center"/>
          </w:tcPr>
          <w:p w14:paraId="3B0D4822">
            <w:pPr>
              <w:adjustRightInd w:val="0"/>
              <w:snapToGrid w:val="0"/>
              <w:spacing w:line="288" w:lineRule="auto"/>
              <w:jc w:val="center"/>
              <w:rPr>
                <w:rFonts w:ascii="宋体" w:hAnsi="宋体"/>
                <w:spacing w:val="-6"/>
                <w:sz w:val="21"/>
                <w:szCs w:val="21"/>
              </w:rPr>
            </w:pPr>
          </w:p>
        </w:tc>
        <w:tc>
          <w:tcPr>
            <w:tcW w:w="3040" w:type="dxa"/>
            <w:vAlign w:val="center"/>
          </w:tcPr>
          <w:p w14:paraId="4AF4B3F0">
            <w:pPr>
              <w:adjustRightInd w:val="0"/>
              <w:snapToGrid w:val="0"/>
              <w:spacing w:line="288" w:lineRule="auto"/>
              <w:rPr>
                <w:rFonts w:ascii="宋体" w:hAnsi="宋体"/>
                <w:spacing w:val="-6"/>
                <w:sz w:val="21"/>
                <w:szCs w:val="21"/>
              </w:rPr>
            </w:pPr>
          </w:p>
        </w:tc>
        <w:tc>
          <w:tcPr>
            <w:tcW w:w="967" w:type="dxa"/>
            <w:vAlign w:val="center"/>
          </w:tcPr>
          <w:p w14:paraId="7312BFFF">
            <w:pPr>
              <w:adjustRightInd w:val="0"/>
              <w:snapToGrid w:val="0"/>
              <w:spacing w:line="288" w:lineRule="auto"/>
              <w:jc w:val="center"/>
              <w:rPr>
                <w:rFonts w:ascii="宋体" w:hAnsi="宋体"/>
                <w:spacing w:val="-6"/>
                <w:sz w:val="21"/>
                <w:szCs w:val="21"/>
              </w:rPr>
            </w:pPr>
          </w:p>
        </w:tc>
        <w:tc>
          <w:tcPr>
            <w:tcW w:w="1053" w:type="dxa"/>
            <w:vAlign w:val="center"/>
          </w:tcPr>
          <w:p w14:paraId="209B12CB">
            <w:pPr>
              <w:adjustRightInd w:val="0"/>
              <w:snapToGrid w:val="0"/>
              <w:spacing w:line="288" w:lineRule="auto"/>
              <w:jc w:val="center"/>
              <w:rPr>
                <w:rFonts w:ascii="宋体" w:hAnsi="宋体"/>
                <w:spacing w:val="-6"/>
                <w:sz w:val="21"/>
                <w:szCs w:val="21"/>
              </w:rPr>
            </w:pPr>
          </w:p>
        </w:tc>
        <w:tc>
          <w:tcPr>
            <w:tcW w:w="881" w:type="dxa"/>
          </w:tcPr>
          <w:p w14:paraId="5B9D0D1D">
            <w:pPr>
              <w:adjustRightInd w:val="0"/>
              <w:snapToGrid w:val="0"/>
              <w:spacing w:line="288" w:lineRule="auto"/>
              <w:jc w:val="center"/>
              <w:rPr>
                <w:rFonts w:ascii="宋体" w:hAnsi="宋体"/>
                <w:spacing w:val="-6"/>
                <w:sz w:val="21"/>
                <w:szCs w:val="21"/>
              </w:rPr>
            </w:pPr>
          </w:p>
        </w:tc>
      </w:tr>
      <w:tr w14:paraId="7BA6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00790F4">
            <w:pPr>
              <w:adjustRightInd w:val="0"/>
              <w:snapToGrid w:val="0"/>
              <w:spacing w:line="288" w:lineRule="auto"/>
              <w:jc w:val="center"/>
              <w:rPr>
                <w:rFonts w:ascii="宋体" w:hAnsi="宋体"/>
                <w:spacing w:val="-6"/>
                <w:sz w:val="21"/>
                <w:szCs w:val="21"/>
              </w:rPr>
            </w:pPr>
          </w:p>
        </w:tc>
        <w:tc>
          <w:tcPr>
            <w:tcW w:w="2091" w:type="dxa"/>
            <w:vAlign w:val="center"/>
          </w:tcPr>
          <w:p w14:paraId="4CFF61FA">
            <w:pPr>
              <w:adjustRightInd w:val="0"/>
              <w:snapToGrid w:val="0"/>
              <w:spacing w:line="288" w:lineRule="auto"/>
              <w:jc w:val="center"/>
              <w:rPr>
                <w:rFonts w:ascii="宋体" w:hAnsi="宋体"/>
                <w:spacing w:val="-6"/>
                <w:sz w:val="21"/>
                <w:szCs w:val="21"/>
              </w:rPr>
            </w:pPr>
          </w:p>
        </w:tc>
        <w:tc>
          <w:tcPr>
            <w:tcW w:w="709" w:type="dxa"/>
            <w:vAlign w:val="center"/>
          </w:tcPr>
          <w:p w14:paraId="0629C36E">
            <w:pPr>
              <w:adjustRightInd w:val="0"/>
              <w:snapToGrid w:val="0"/>
              <w:spacing w:line="288" w:lineRule="auto"/>
              <w:jc w:val="center"/>
              <w:rPr>
                <w:rFonts w:ascii="宋体" w:hAnsi="宋体"/>
                <w:spacing w:val="-6"/>
                <w:sz w:val="21"/>
                <w:szCs w:val="21"/>
              </w:rPr>
            </w:pPr>
          </w:p>
        </w:tc>
        <w:tc>
          <w:tcPr>
            <w:tcW w:w="3040" w:type="dxa"/>
            <w:vAlign w:val="center"/>
          </w:tcPr>
          <w:p w14:paraId="76BF170C">
            <w:pPr>
              <w:adjustRightInd w:val="0"/>
              <w:snapToGrid w:val="0"/>
              <w:spacing w:line="288" w:lineRule="auto"/>
              <w:rPr>
                <w:rFonts w:ascii="宋体" w:hAnsi="宋体"/>
                <w:spacing w:val="-6"/>
                <w:sz w:val="21"/>
                <w:szCs w:val="21"/>
              </w:rPr>
            </w:pPr>
          </w:p>
        </w:tc>
        <w:tc>
          <w:tcPr>
            <w:tcW w:w="967" w:type="dxa"/>
            <w:vAlign w:val="center"/>
          </w:tcPr>
          <w:p w14:paraId="3EF24ECB">
            <w:pPr>
              <w:adjustRightInd w:val="0"/>
              <w:snapToGrid w:val="0"/>
              <w:spacing w:line="288" w:lineRule="auto"/>
              <w:jc w:val="center"/>
              <w:rPr>
                <w:rFonts w:ascii="宋体" w:hAnsi="宋体"/>
                <w:spacing w:val="-6"/>
                <w:sz w:val="21"/>
                <w:szCs w:val="21"/>
              </w:rPr>
            </w:pPr>
          </w:p>
        </w:tc>
        <w:tc>
          <w:tcPr>
            <w:tcW w:w="1053" w:type="dxa"/>
            <w:vAlign w:val="center"/>
          </w:tcPr>
          <w:p w14:paraId="019287B4">
            <w:pPr>
              <w:adjustRightInd w:val="0"/>
              <w:snapToGrid w:val="0"/>
              <w:spacing w:line="288" w:lineRule="auto"/>
              <w:jc w:val="center"/>
              <w:rPr>
                <w:rFonts w:ascii="宋体" w:hAnsi="宋体"/>
                <w:spacing w:val="-6"/>
                <w:sz w:val="21"/>
                <w:szCs w:val="21"/>
              </w:rPr>
            </w:pPr>
          </w:p>
        </w:tc>
        <w:tc>
          <w:tcPr>
            <w:tcW w:w="881" w:type="dxa"/>
          </w:tcPr>
          <w:p w14:paraId="2D1DB90C">
            <w:pPr>
              <w:adjustRightInd w:val="0"/>
              <w:snapToGrid w:val="0"/>
              <w:spacing w:line="288" w:lineRule="auto"/>
              <w:jc w:val="center"/>
              <w:rPr>
                <w:rFonts w:ascii="宋体" w:hAnsi="宋体"/>
                <w:spacing w:val="-6"/>
                <w:sz w:val="21"/>
                <w:szCs w:val="21"/>
              </w:rPr>
            </w:pPr>
          </w:p>
        </w:tc>
      </w:tr>
    </w:tbl>
    <w:p w14:paraId="588E79D9">
      <w:pPr>
        <w:adjustRightInd w:val="0"/>
        <w:snapToGrid w:val="0"/>
        <w:spacing w:line="288" w:lineRule="auto"/>
        <w:rPr>
          <w:rFonts w:ascii="宋体" w:hAnsi="宋体"/>
          <w:spacing w:val="-6"/>
          <w:sz w:val="21"/>
          <w:szCs w:val="21"/>
        </w:rPr>
      </w:pPr>
    </w:p>
    <w:p w14:paraId="3DD75F62">
      <w:pPr>
        <w:widowControl/>
        <w:jc w:val="left"/>
        <w:rPr>
          <w:rFonts w:ascii="宋体" w:hAnsi="宋体"/>
          <w:spacing w:val="-6"/>
          <w:sz w:val="21"/>
          <w:szCs w:val="21"/>
        </w:rPr>
      </w:pPr>
      <w:r>
        <w:rPr>
          <w:rFonts w:hint="eastAsia" w:ascii="宋体" w:hAnsi="宋体"/>
          <w:spacing w:val="-6"/>
          <w:sz w:val="21"/>
          <w:szCs w:val="21"/>
        </w:rPr>
        <w:t>备注：本表仅为方便磋商小组评审使用，不作为判别响应文件是否有效的依据。</w:t>
      </w:r>
    </w:p>
    <w:p w14:paraId="44C7D38F">
      <w:pPr>
        <w:adjustRightInd w:val="0"/>
        <w:snapToGrid w:val="0"/>
        <w:spacing w:line="288" w:lineRule="auto"/>
        <w:jc w:val="left"/>
        <w:rPr>
          <w:rFonts w:ascii="宋体" w:hAnsi="宋体"/>
          <w:bCs/>
          <w:spacing w:val="-6"/>
          <w:sz w:val="21"/>
          <w:szCs w:val="21"/>
        </w:rPr>
      </w:pPr>
      <w:r>
        <w:rPr>
          <w:rFonts w:ascii="宋体" w:hAnsi="宋体"/>
          <w:bCs/>
          <w:spacing w:val="-6"/>
          <w:sz w:val="21"/>
          <w:szCs w:val="21"/>
        </w:rPr>
        <w:br w:type="page"/>
      </w:r>
    </w:p>
    <w:p w14:paraId="1954B492">
      <w:pPr>
        <w:adjustRightInd w:val="0"/>
        <w:snapToGrid w:val="0"/>
        <w:spacing w:line="288" w:lineRule="auto"/>
        <w:jc w:val="center"/>
        <w:outlineLvl w:val="1"/>
        <w:rPr>
          <w:rFonts w:ascii="宋体" w:hAnsi="宋体"/>
          <w:b/>
          <w:spacing w:val="-6"/>
          <w:sz w:val="32"/>
          <w:szCs w:val="32"/>
        </w:rPr>
      </w:pPr>
      <w:r>
        <w:rPr>
          <w:rFonts w:hint="eastAsia" w:ascii="宋体" w:hAnsi="宋体"/>
          <w:b/>
          <w:spacing w:val="-6"/>
          <w:sz w:val="32"/>
          <w:szCs w:val="32"/>
        </w:rPr>
        <w:t>资格文件</w:t>
      </w:r>
    </w:p>
    <w:p w14:paraId="1050ADFF">
      <w:pPr>
        <w:pStyle w:val="17"/>
        <w:adjustRightInd w:val="0"/>
        <w:snapToGrid w:val="0"/>
        <w:spacing w:line="288" w:lineRule="auto"/>
        <w:ind w:left="0" w:firstLine="0" w:firstLineChars="0"/>
        <w:rPr>
          <w:rFonts w:ascii="宋体" w:hAnsi="宋体"/>
          <w:bCs/>
          <w:spacing w:val="-6"/>
          <w:sz w:val="21"/>
          <w:szCs w:val="21"/>
        </w:rPr>
      </w:pPr>
    </w:p>
    <w:p w14:paraId="47DCE6D2">
      <w:pPr>
        <w:adjustRightInd w:val="0"/>
        <w:snapToGrid w:val="0"/>
        <w:spacing w:line="288" w:lineRule="auto"/>
        <w:jc w:val="center"/>
        <w:rPr>
          <w:rFonts w:ascii="宋体" w:hAnsi="宋体" w:cs="宋体"/>
          <w:b/>
          <w:bCs/>
          <w:sz w:val="21"/>
          <w:szCs w:val="21"/>
        </w:rPr>
      </w:pPr>
      <w:bookmarkStart w:id="71" w:name="_Hlk94097338"/>
      <w:r>
        <w:rPr>
          <w:rFonts w:hint="eastAsia" w:ascii="宋体" w:hAnsi="宋体" w:cs="宋体"/>
          <w:b/>
          <w:bCs/>
          <w:sz w:val="21"/>
          <w:szCs w:val="21"/>
        </w:rPr>
        <w:t>资格审查要求的资格证明材料（均需加盖公章）</w:t>
      </w:r>
    </w:p>
    <w:bookmarkEnd w:id="71"/>
    <w:p w14:paraId="5748143E">
      <w:pPr>
        <w:pStyle w:val="17"/>
        <w:adjustRightInd w:val="0"/>
        <w:snapToGrid w:val="0"/>
        <w:spacing w:line="288" w:lineRule="auto"/>
        <w:ind w:left="0" w:firstLine="0" w:firstLineChars="0"/>
        <w:rPr>
          <w:rFonts w:ascii="宋体" w:hAnsi="宋体"/>
          <w:bCs/>
          <w:spacing w:val="-6"/>
          <w:sz w:val="21"/>
          <w:szCs w:val="21"/>
        </w:rPr>
      </w:pPr>
    </w:p>
    <w:p w14:paraId="72928C42">
      <w:pPr>
        <w:pStyle w:val="17"/>
        <w:adjustRightInd w:val="0"/>
        <w:snapToGrid w:val="0"/>
        <w:spacing w:line="288" w:lineRule="auto"/>
        <w:ind w:left="0" w:firstLine="0" w:firstLineChars="0"/>
        <w:rPr>
          <w:rFonts w:ascii="宋体" w:hAnsi="宋体"/>
          <w:bCs/>
          <w:spacing w:val="-6"/>
          <w:sz w:val="21"/>
          <w:szCs w:val="21"/>
        </w:rPr>
      </w:pPr>
    </w:p>
    <w:p w14:paraId="0AA57DA2">
      <w:pPr>
        <w:pStyle w:val="17"/>
        <w:adjustRightInd w:val="0"/>
        <w:snapToGrid w:val="0"/>
        <w:spacing w:line="288" w:lineRule="auto"/>
        <w:ind w:left="0" w:firstLine="0" w:firstLineChars="0"/>
        <w:rPr>
          <w:rFonts w:ascii="宋体" w:hAnsi="宋体"/>
          <w:bCs/>
          <w:spacing w:val="-6"/>
          <w:sz w:val="21"/>
          <w:szCs w:val="21"/>
        </w:rPr>
      </w:pPr>
    </w:p>
    <w:p w14:paraId="6F136C91">
      <w:pPr>
        <w:pStyle w:val="17"/>
        <w:adjustRightInd w:val="0"/>
        <w:snapToGrid w:val="0"/>
        <w:spacing w:line="288" w:lineRule="auto"/>
        <w:ind w:left="0" w:firstLine="0" w:firstLineChars="0"/>
        <w:outlineLvl w:val="2"/>
        <w:rPr>
          <w:rFonts w:ascii="宋体" w:hAnsi="宋体"/>
          <w:b/>
          <w:spacing w:val="-6"/>
          <w:sz w:val="21"/>
          <w:szCs w:val="21"/>
        </w:rPr>
      </w:pPr>
      <w:r>
        <w:rPr>
          <w:rFonts w:hint="eastAsia" w:ascii="宋体" w:hAnsi="宋体"/>
          <w:b/>
          <w:spacing w:val="-6"/>
          <w:sz w:val="21"/>
          <w:szCs w:val="21"/>
        </w:rPr>
        <w:t>（1）有效的法人或者其他组织的营业执照等证明文件，自然人的身份证明（复印件）</w:t>
      </w:r>
    </w:p>
    <w:p w14:paraId="1CD5F232">
      <w:pPr>
        <w:adjustRightInd w:val="0"/>
        <w:snapToGrid w:val="0"/>
        <w:spacing w:line="288" w:lineRule="auto"/>
        <w:rPr>
          <w:rFonts w:ascii="宋体" w:hAnsi="宋体"/>
          <w:bCs/>
          <w:spacing w:val="-6"/>
          <w:sz w:val="21"/>
          <w:szCs w:val="21"/>
        </w:rPr>
      </w:pPr>
      <w:r>
        <w:rPr>
          <w:rFonts w:hint="eastAsia" w:ascii="宋体" w:hAnsi="宋体"/>
          <w:bCs/>
          <w:spacing w:val="-6"/>
          <w:sz w:val="21"/>
          <w:szCs w:val="21"/>
        </w:rPr>
        <w:t>说明</w:t>
      </w:r>
      <w:r>
        <w:rPr>
          <w:rFonts w:ascii="宋体" w:hAnsi="宋体"/>
          <w:bCs/>
          <w:spacing w:val="-6"/>
          <w:sz w:val="21"/>
          <w:szCs w:val="21"/>
        </w:rPr>
        <w:t>：</w:t>
      </w:r>
    </w:p>
    <w:p w14:paraId="370A369C">
      <w:pPr>
        <w:adjustRightInd w:val="0"/>
        <w:snapToGrid w:val="0"/>
        <w:spacing w:line="288" w:lineRule="auto"/>
        <w:rPr>
          <w:rFonts w:ascii="宋体" w:hAnsi="宋体"/>
          <w:bCs/>
          <w:sz w:val="21"/>
          <w:szCs w:val="21"/>
        </w:rPr>
      </w:pPr>
      <w:r>
        <w:rPr>
          <w:rFonts w:hint="eastAsia" w:ascii="宋体" w:hAnsi="宋体"/>
          <w:bCs/>
          <w:sz w:val="21"/>
          <w:szCs w:val="21"/>
        </w:rPr>
        <w:t>1</w:t>
      </w:r>
      <w:r>
        <w:rPr>
          <w:rFonts w:ascii="宋体" w:hAnsi="宋体"/>
          <w:bCs/>
          <w:sz w:val="21"/>
          <w:szCs w:val="21"/>
        </w:rPr>
        <w:t>.</w:t>
      </w:r>
      <w:r>
        <w:rPr>
          <w:rFonts w:hint="eastAsia" w:ascii="宋体" w:hAnsi="宋体"/>
          <w:bCs/>
          <w:sz w:val="21"/>
          <w:szCs w:val="21"/>
        </w:rPr>
        <w:t>如供应商是企业（包括合伙企业），提供在工商部门注册的有效“企业法人营业执照”或“营业执照”；</w:t>
      </w:r>
    </w:p>
    <w:p w14:paraId="3C7143B5">
      <w:pPr>
        <w:adjustRightInd w:val="0"/>
        <w:snapToGrid w:val="0"/>
        <w:spacing w:line="288" w:lineRule="auto"/>
        <w:rPr>
          <w:rFonts w:ascii="宋体" w:hAnsi="宋体"/>
          <w:bCs/>
          <w:sz w:val="21"/>
          <w:szCs w:val="21"/>
        </w:rPr>
      </w:pPr>
      <w:r>
        <w:rPr>
          <w:rFonts w:hint="eastAsia" w:ascii="宋体" w:hAnsi="宋体"/>
          <w:bCs/>
          <w:sz w:val="21"/>
          <w:szCs w:val="21"/>
        </w:rPr>
        <w:t>2</w:t>
      </w:r>
      <w:r>
        <w:rPr>
          <w:rFonts w:ascii="宋体" w:hAnsi="宋体"/>
          <w:bCs/>
          <w:sz w:val="21"/>
          <w:szCs w:val="21"/>
        </w:rPr>
        <w:t>.</w:t>
      </w:r>
      <w:r>
        <w:rPr>
          <w:rFonts w:hint="eastAsia" w:ascii="宋体" w:hAnsi="宋体"/>
          <w:bCs/>
          <w:sz w:val="21"/>
          <w:szCs w:val="21"/>
        </w:rPr>
        <w:t>如供应商是事业单位，提供有效的“事业单位法人证书”；</w:t>
      </w:r>
    </w:p>
    <w:p w14:paraId="6069423E">
      <w:pPr>
        <w:adjustRightInd w:val="0"/>
        <w:snapToGrid w:val="0"/>
        <w:spacing w:line="288" w:lineRule="auto"/>
        <w:rPr>
          <w:rFonts w:ascii="宋体" w:hAnsi="宋体"/>
          <w:bCs/>
          <w:sz w:val="21"/>
          <w:szCs w:val="21"/>
        </w:rPr>
      </w:pPr>
      <w:r>
        <w:rPr>
          <w:rFonts w:hint="eastAsia" w:ascii="宋体" w:hAnsi="宋体"/>
          <w:bCs/>
          <w:sz w:val="21"/>
          <w:szCs w:val="21"/>
        </w:rPr>
        <w:t>3</w:t>
      </w:r>
      <w:r>
        <w:rPr>
          <w:rFonts w:ascii="宋体" w:hAnsi="宋体"/>
          <w:bCs/>
          <w:sz w:val="21"/>
          <w:szCs w:val="21"/>
        </w:rPr>
        <w:t>.</w:t>
      </w:r>
      <w:r>
        <w:rPr>
          <w:rFonts w:hint="eastAsia" w:ascii="宋体" w:hAnsi="宋体"/>
          <w:bCs/>
          <w:sz w:val="21"/>
          <w:szCs w:val="21"/>
        </w:rPr>
        <w:t>如供应商是非企业专业服务机构的，提供执业许可证等证明文件；</w:t>
      </w:r>
    </w:p>
    <w:p w14:paraId="16CBE4DD">
      <w:pPr>
        <w:adjustRightInd w:val="0"/>
        <w:snapToGrid w:val="0"/>
        <w:spacing w:line="288" w:lineRule="auto"/>
        <w:rPr>
          <w:rFonts w:ascii="宋体" w:hAnsi="宋体"/>
          <w:bCs/>
          <w:sz w:val="21"/>
          <w:szCs w:val="21"/>
        </w:rPr>
      </w:pPr>
      <w:r>
        <w:rPr>
          <w:rFonts w:hint="eastAsia" w:ascii="宋体" w:hAnsi="宋体"/>
          <w:bCs/>
          <w:sz w:val="21"/>
          <w:szCs w:val="21"/>
        </w:rPr>
        <w:t>4</w:t>
      </w:r>
      <w:r>
        <w:rPr>
          <w:rFonts w:ascii="宋体" w:hAnsi="宋体"/>
          <w:bCs/>
          <w:sz w:val="21"/>
          <w:szCs w:val="21"/>
        </w:rPr>
        <w:t>.</w:t>
      </w:r>
      <w:r>
        <w:rPr>
          <w:rFonts w:hint="eastAsia" w:ascii="宋体" w:hAnsi="宋体"/>
          <w:bCs/>
          <w:sz w:val="21"/>
          <w:szCs w:val="21"/>
        </w:rPr>
        <w:t>如供应商是个体工商户，提供有效的“个体工商户营业执照”；</w:t>
      </w:r>
    </w:p>
    <w:p w14:paraId="1D0DB3A2">
      <w:pPr>
        <w:adjustRightInd w:val="0"/>
        <w:snapToGrid w:val="0"/>
        <w:spacing w:line="288" w:lineRule="auto"/>
        <w:rPr>
          <w:rFonts w:ascii="宋体" w:hAnsi="宋体"/>
          <w:bCs/>
          <w:sz w:val="21"/>
          <w:szCs w:val="21"/>
        </w:rPr>
      </w:pPr>
      <w:r>
        <w:rPr>
          <w:rFonts w:hint="eastAsia" w:ascii="宋体" w:hAnsi="宋体"/>
          <w:bCs/>
          <w:sz w:val="21"/>
          <w:szCs w:val="21"/>
        </w:rPr>
        <w:t>5</w:t>
      </w:r>
      <w:r>
        <w:rPr>
          <w:rFonts w:ascii="宋体" w:hAnsi="宋体"/>
          <w:bCs/>
          <w:sz w:val="21"/>
          <w:szCs w:val="21"/>
        </w:rPr>
        <w:t>.</w:t>
      </w:r>
      <w:r>
        <w:rPr>
          <w:rFonts w:hint="eastAsia" w:ascii="宋体" w:hAnsi="宋体"/>
          <w:bCs/>
          <w:sz w:val="21"/>
          <w:szCs w:val="21"/>
        </w:rPr>
        <w:t>如供应商是自然人，提供有效的自然人身份证明。</w:t>
      </w:r>
    </w:p>
    <w:p w14:paraId="0A4BA77E">
      <w:pPr>
        <w:adjustRightInd w:val="0"/>
        <w:snapToGrid w:val="0"/>
        <w:spacing w:line="288" w:lineRule="auto"/>
        <w:rPr>
          <w:rFonts w:ascii="宋体" w:hAnsi="宋体"/>
          <w:b/>
          <w:sz w:val="21"/>
          <w:szCs w:val="21"/>
        </w:rPr>
      </w:pPr>
    </w:p>
    <w:p w14:paraId="03221101">
      <w:pPr>
        <w:widowControl/>
        <w:adjustRightInd w:val="0"/>
        <w:snapToGrid w:val="0"/>
        <w:spacing w:line="288" w:lineRule="auto"/>
        <w:jc w:val="left"/>
        <w:rPr>
          <w:rFonts w:ascii="宋体" w:hAnsi="宋体"/>
          <w:b/>
          <w:sz w:val="21"/>
          <w:szCs w:val="21"/>
        </w:rPr>
      </w:pPr>
      <w:r>
        <w:rPr>
          <w:rFonts w:ascii="宋体" w:hAnsi="宋体"/>
          <w:b/>
          <w:sz w:val="21"/>
          <w:szCs w:val="21"/>
        </w:rPr>
        <w:br w:type="page"/>
      </w:r>
    </w:p>
    <w:p w14:paraId="0E8372E5">
      <w:pPr>
        <w:adjustRightInd w:val="0"/>
        <w:snapToGrid w:val="0"/>
        <w:spacing w:line="288" w:lineRule="auto"/>
        <w:jc w:val="center"/>
        <w:outlineLvl w:val="2"/>
        <w:rPr>
          <w:rFonts w:ascii="宋体" w:hAnsi="宋体"/>
          <w:b/>
          <w:bCs/>
          <w:color w:val="000000"/>
          <w:sz w:val="21"/>
          <w:szCs w:val="21"/>
          <w:shd w:val="clear" w:color="auto" w:fill="FFFFFF"/>
        </w:rPr>
      </w:pPr>
      <w:r>
        <w:rPr>
          <w:rFonts w:hint="eastAsia" w:ascii="宋体" w:hAnsi="宋体"/>
          <w:b/>
          <w:spacing w:val="-6"/>
          <w:sz w:val="21"/>
          <w:szCs w:val="21"/>
        </w:rPr>
        <w:t>（2）</w:t>
      </w:r>
      <w:r>
        <w:rPr>
          <w:rFonts w:hint="eastAsia" w:ascii="宋体" w:hAnsi="宋体"/>
          <w:b/>
          <w:bCs/>
          <w:sz w:val="21"/>
          <w:szCs w:val="21"/>
        </w:rPr>
        <w:t>符合参加采购活动应当具备的一般条件的承诺函</w:t>
      </w:r>
    </w:p>
    <w:p w14:paraId="55E7F428">
      <w:pPr>
        <w:adjustRightInd w:val="0"/>
        <w:snapToGrid w:val="0"/>
        <w:spacing w:line="288" w:lineRule="auto"/>
        <w:rPr>
          <w:rFonts w:ascii="宋体" w:hAnsi="宋体"/>
          <w:color w:val="000000"/>
          <w:sz w:val="21"/>
          <w:szCs w:val="21"/>
          <w:shd w:val="clear" w:color="auto" w:fill="FFFFFF"/>
        </w:rPr>
      </w:pPr>
    </w:p>
    <w:p w14:paraId="45B534B9">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致：</w:t>
      </w:r>
      <w:r>
        <w:rPr>
          <w:rFonts w:hint="eastAsia" w:ascii="宋体" w:hAnsi="宋体"/>
          <w:b/>
          <w:bCs/>
          <w:spacing w:val="-6"/>
          <w:sz w:val="21"/>
          <w:szCs w:val="21"/>
          <w:lang w:eastAsia="zh-CN"/>
        </w:rPr>
        <w:t>浙江大学杭州国际科创中心</w:t>
      </w:r>
      <w:r>
        <w:rPr>
          <w:rFonts w:hint="eastAsia" w:ascii="宋体" w:hAnsi="宋体"/>
          <w:b/>
          <w:bCs/>
          <w:spacing w:val="-6"/>
          <w:sz w:val="21"/>
          <w:szCs w:val="21"/>
        </w:rPr>
        <w:t>、浙江求是招标代理有限公司</w:t>
      </w:r>
    </w:p>
    <w:p w14:paraId="7608F8D3">
      <w:pPr>
        <w:adjustRightInd w:val="0"/>
        <w:snapToGrid w:val="0"/>
        <w:spacing w:line="288" w:lineRule="auto"/>
        <w:rPr>
          <w:rFonts w:ascii="宋体" w:hAnsi="宋体"/>
          <w:spacing w:val="-6"/>
          <w:sz w:val="21"/>
          <w:szCs w:val="21"/>
        </w:rPr>
      </w:pPr>
    </w:p>
    <w:p w14:paraId="49970490">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w:t>
      </w:r>
      <w:r>
        <w:rPr>
          <w:rFonts w:hint="eastAsia" w:ascii="宋体" w:hAnsi="宋体"/>
          <w:spacing w:val="-6"/>
          <w:sz w:val="21"/>
          <w:szCs w:val="21"/>
          <w:u w:val="single"/>
        </w:rPr>
        <w:t xml:space="preserve">（供应商名称）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参加</w:t>
      </w:r>
      <w:r>
        <w:rPr>
          <w:rFonts w:hint="eastAsia" w:ascii="宋体" w:hAnsi="宋体"/>
          <w:spacing w:val="-6"/>
          <w:sz w:val="21"/>
          <w:szCs w:val="21"/>
          <w:u w:val="single"/>
        </w:rPr>
        <w:t xml:space="preserve">（项目名称）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hint="eastAsia" w:ascii="宋体" w:hAnsi="宋体"/>
          <w:spacing w:val="-6"/>
          <w:sz w:val="21"/>
          <w:szCs w:val="21"/>
        </w:rPr>
        <w:t>项目的采购活动并承诺如下：</w:t>
      </w:r>
    </w:p>
    <w:p w14:paraId="10698165">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一、我方满足申请人的资格要求的基本要求：</w:t>
      </w:r>
    </w:p>
    <w:p w14:paraId="0ED21039">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（一）具有独立承担民事责任的能力；</w:t>
      </w:r>
    </w:p>
    <w:p w14:paraId="58BCCFA3">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（二）具有良好的商业信誉和健全的财务会计制度；</w:t>
      </w:r>
    </w:p>
    <w:p w14:paraId="44F8CA23">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（三）具有履行合同所必需的设备和专业技术能力；</w:t>
      </w:r>
    </w:p>
    <w:p w14:paraId="30642382">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（四）有依法缴纳税收和社会保障资金的良好记录；</w:t>
      </w:r>
    </w:p>
    <w:p w14:paraId="2929FC2B">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（五）参加本项目采购活动前三年内，在经营活动中</w:t>
      </w:r>
      <w:r>
        <w:rPr>
          <w:rFonts w:hint="eastAsia" w:ascii="宋体" w:hAnsi="宋体"/>
          <w:b/>
          <w:spacing w:val="-6"/>
          <w:sz w:val="21"/>
          <w:szCs w:val="21"/>
          <w:u w:val="single"/>
        </w:rPr>
        <w:t xml:space="preserve">  没有  </w:t>
      </w:r>
      <w:r>
        <w:rPr>
          <w:rFonts w:hint="eastAsia" w:ascii="宋体" w:hAnsi="宋体"/>
          <w:spacing w:val="-6"/>
          <w:sz w:val="21"/>
          <w:szCs w:val="21"/>
        </w:rPr>
        <w:t>重大违法记录。（重大违法记录是指供应商因违法经营受到刑事处罚或者责令停产停业、吊销许可证或者执照、较大数额罚款等行政处罚）</w:t>
      </w:r>
    </w:p>
    <w:p w14:paraId="3713F72B">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（六）法律、行政法规规定的其他条件。</w:t>
      </w:r>
    </w:p>
    <w:p w14:paraId="396BEC50">
      <w:pPr>
        <w:adjustRightInd w:val="0"/>
        <w:snapToGrid w:val="0"/>
        <w:spacing w:line="288" w:lineRule="auto"/>
        <w:ind w:firstLine="396" w:firstLineChars="200"/>
        <w:rPr>
          <w:rFonts w:ascii="宋体" w:hAnsi="宋体"/>
          <w:color w:val="auto"/>
          <w:spacing w:val="-6"/>
          <w:sz w:val="21"/>
          <w:szCs w:val="21"/>
        </w:rPr>
      </w:pPr>
      <w:r>
        <w:rPr>
          <w:rFonts w:hint="eastAsia" w:ascii="宋体" w:hAnsi="宋体"/>
          <w:color w:val="auto"/>
          <w:spacing w:val="-6"/>
          <w:sz w:val="21"/>
          <w:szCs w:val="21"/>
        </w:rPr>
        <w:t>二、未被信用中国（</w:t>
      </w:r>
      <w:r>
        <w:rPr>
          <w:rFonts w:ascii="宋体" w:hAnsi="宋体"/>
          <w:color w:val="auto"/>
          <w:spacing w:val="-6"/>
          <w:sz w:val="21"/>
          <w:szCs w:val="21"/>
        </w:rPr>
        <w:t>www.creditchina.gov.cn)、中国政府采购网（www.ccgp.gov.cn）列入失信被执行人、重大税收违法案件当事人名单、政府采购严重违法失信行为记录名单。</w:t>
      </w:r>
    </w:p>
    <w:p w14:paraId="2AC5DE36">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三、不存在以下情况：</w:t>
      </w:r>
    </w:p>
    <w:p w14:paraId="26636A35">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单位负责人为同一人或者存在直接控股、管理关系的不同供应商参加同一合同项下的采购活动的；</w:t>
      </w:r>
    </w:p>
    <w:p w14:paraId="3E5C10D3">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为采购项目提供整体设计、规范编制或者项目管理、监理、检测等服务后再参加该采购项目的其他采购活动的。</w:t>
      </w:r>
    </w:p>
    <w:p w14:paraId="1B9715DB">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w:t>
      </w:r>
      <w:r>
        <w:rPr>
          <w:rFonts w:ascii="宋体" w:hAnsi="宋体"/>
          <w:spacing w:val="-6"/>
          <w:sz w:val="21"/>
          <w:szCs w:val="21"/>
        </w:rPr>
        <w:t>以上事项如有虚假或隐瞒，我方愿意承担一切后果和责任。</w:t>
      </w:r>
    </w:p>
    <w:p w14:paraId="77037C22">
      <w:pPr>
        <w:adjustRightInd w:val="0"/>
        <w:snapToGrid w:val="0"/>
        <w:spacing w:line="288" w:lineRule="auto"/>
        <w:rPr>
          <w:rFonts w:ascii="宋体" w:hAnsi="宋体"/>
          <w:sz w:val="21"/>
          <w:szCs w:val="21"/>
        </w:rPr>
      </w:pPr>
    </w:p>
    <w:p w14:paraId="78F30A8B">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供应商名称（盖章）：</w:t>
      </w:r>
    </w:p>
    <w:p w14:paraId="0387BABA">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供应商代表签名：</w:t>
      </w:r>
    </w:p>
    <w:p w14:paraId="5FFAAA13">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14:paraId="20C18E41">
      <w:pPr>
        <w:widowControl/>
        <w:adjustRightInd w:val="0"/>
        <w:snapToGrid w:val="0"/>
        <w:spacing w:line="288" w:lineRule="auto"/>
        <w:jc w:val="left"/>
        <w:rPr>
          <w:rFonts w:ascii="宋体" w:hAnsi="宋体"/>
          <w:spacing w:val="-6"/>
          <w:sz w:val="21"/>
          <w:szCs w:val="21"/>
        </w:rPr>
      </w:pPr>
      <w:r>
        <w:rPr>
          <w:rFonts w:ascii="宋体" w:hAnsi="宋体"/>
          <w:spacing w:val="-6"/>
          <w:sz w:val="21"/>
          <w:szCs w:val="21"/>
        </w:rPr>
        <w:br w:type="page"/>
      </w:r>
    </w:p>
    <w:p w14:paraId="70FC568B">
      <w:pPr>
        <w:adjustRightInd w:val="0"/>
        <w:snapToGrid w:val="0"/>
        <w:spacing w:line="288" w:lineRule="auto"/>
        <w:jc w:val="left"/>
        <w:outlineLvl w:val="2"/>
        <w:rPr>
          <w:rFonts w:ascii="宋体" w:hAnsi="宋体"/>
          <w:b/>
          <w:spacing w:val="-6"/>
          <w:sz w:val="21"/>
          <w:szCs w:val="21"/>
        </w:rPr>
      </w:pPr>
      <w:r>
        <w:rPr>
          <w:rFonts w:hint="eastAsia" w:ascii="宋体" w:hAnsi="宋体"/>
          <w:b/>
          <w:spacing w:val="-6"/>
          <w:sz w:val="21"/>
          <w:szCs w:val="21"/>
        </w:rPr>
        <w:t>（</w:t>
      </w:r>
      <w:r>
        <w:rPr>
          <w:rFonts w:ascii="宋体" w:hAnsi="宋体"/>
          <w:b/>
          <w:spacing w:val="-6"/>
          <w:sz w:val="21"/>
          <w:szCs w:val="21"/>
        </w:rPr>
        <w:t>3</w:t>
      </w:r>
      <w:r>
        <w:rPr>
          <w:rFonts w:hint="eastAsia" w:ascii="宋体" w:hAnsi="宋体"/>
          <w:b/>
          <w:spacing w:val="-6"/>
          <w:sz w:val="21"/>
          <w:szCs w:val="21"/>
        </w:rPr>
        <w:t>）本项目的特定资格要求证明材料：无</w:t>
      </w:r>
    </w:p>
    <w:p w14:paraId="4196661E">
      <w:pPr>
        <w:widowControl/>
        <w:adjustRightInd w:val="0"/>
        <w:snapToGrid w:val="0"/>
        <w:spacing w:line="288" w:lineRule="auto"/>
        <w:jc w:val="center"/>
        <w:rPr>
          <w:rFonts w:ascii="宋体" w:hAnsi="宋体"/>
          <w:b/>
          <w:spacing w:val="-6"/>
          <w:sz w:val="21"/>
          <w:szCs w:val="21"/>
        </w:rPr>
      </w:pPr>
      <w:r>
        <w:rPr>
          <w:rFonts w:ascii="宋体" w:hAnsi="宋体"/>
          <w:b/>
          <w:spacing w:val="-6"/>
          <w:sz w:val="21"/>
          <w:szCs w:val="21"/>
        </w:rPr>
        <w:br w:type="page"/>
      </w:r>
    </w:p>
    <w:p w14:paraId="5686D37C">
      <w:pPr>
        <w:adjustRightInd w:val="0"/>
        <w:snapToGrid w:val="0"/>
        <w:spacing w:line="288" w:lineRule="auto"/>
        <w:jc w:val="center"/>
        <w:outlineLvl w:val="1"/>
        <w:rPr>
          <w:rFonts w:ascii="宋体" w:hAnsi="宋体"/>
          <w:b/>
          <w:spacing w:val="-6"/>
          <w:sz w:val="32"/>
          <w:szCs w:val="32"/>
        </w:rPr>
      </w:pPr>
      <w:r>
        <w:rPr>
          <w:rFonts w:hint="eastAsia" w:ascii="宋体" w:hAnsi="宋体"/>
          <w:b/>
          <w:spacing w:val="-6"/>
          <w:sz w:val="32"/>
          <w:szCs w:val="32"/>
        </w:rPr>
        <w:t>商务和技术文件</w:t>
      </w:r>
    </w:p>
    <w:p w14:paraId="05894E63">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（1）响应函</w:t>
      </w:r>
    </w:p>
    <w:p w14:paraId="4DD2E1E3">
      <w:pPr>
        <w:adjustRightInd w:val="0"/>
        <w:snapToGrid w:val="0"/>
        <w:spacing w:line="288" w:lineRule="auto"/>
        <w:rPr>
          <w:rFonts w:ascii="宋体" w:hAnsi="宋体"/>
          <w:spacing w:val="-6"/>
          <w:sz w:val="21"/>
          <w:szCs w:val="21"/>
        </w:rPr>
      </w:pPr>
      <w:r>
        <w:rPr>
          <w:rFonts w:hint="eastAsia" w:ascii="宋体" w:hAnsi="宋体"/>
          <w:spacing w:val="-6"/>
          <w:sz w:val="21"/>
          <w:szCs w:val="21"/>
        </w:rPr>
        <w:t>提交商务和技术文件正本一份、副本____份。</w:t>
      </w:r>
    </w:p>
    <w:p w14:paraId="40E510FC">
      <w:pPr>
        <w:adjustRightInd w:val="0"/>
        <w:snapToGrid w:val="0"/>
        <w:spacing w:line="288" w:lineRule="auto"/>
        <w:rPr>
          <w:rFonts w:ascii="宋体" w:hAnsi="宋体"/>
          <w:spacing w:val="-6"/>
          <w:sz w:val="21"/>
          <w:szCs w:val="21"/>
        </w:rPr>
      </w:pPr>
    </w:p>
    <w:p w14:paraId="799F6E6D">
      <w:pPr>
        <w:adjustRightInd w:val="0"/>
        <w:snapToGrid w:val="0"/>
        <w:spacing w:line="288" w:lineRule="auto"/>
        <w:rPr>
          <w:rFonts w:ascii="宋体" w:hAnsi="宋体" w:cs="宋体"/>
          <w:b/>
          <w:bCs/>
          <w:sz w:val="21"/>
          <w:szCs w:val="21"/>
        </w:rPr>
      </w:pPr>
      <w:r>
        <w:rPr>
          <w:rFonts w:hint="eastAsia" w:ascii="宋体" w:hAnsi="宋体" w:cs="宋体"/>
          <w:b/>
          <w:bCs/>
          <w:sz w:val="21"/>
          <w:szCs w:val="21"/>
        </w:rPr>
        <w:t>致：</w:t>
      </w:r>
      <w:r>
        <w:rPr>
          <w:rFonts w:hint="eastAsia" w:ascii="宋体" w:hAnsi="宋体" w:cs="宋体"/>
          <w:b/>
          <w:bCs/>
          <w:sz w:val="21"/>
          <w:szCs w:val="21"/>
          <w:lang w:eastAsia="zh-CN"/>
        </w:rPr>
        <w:t>浙江大学杭州国际科创中心</w:t>
      </w:r>
      <w:r>
        <w:rPr>
          <w:rFonts w:ascii="宋体" w:hAnsi="宋体" w:cs="宋体"/>
          <w:b/>
          <w:bCs/>
          <w:sz w:val="21"/>
          <w:szCs w:val="21"/>
        </w:rPr>
        <w:t>、</w:t>
      </w:r>
      <w:r>
        <w:rPr>
          <w:rFonts w:hint="eastAsia" w:ascii="宋体" w:hAnsi="宋体" w:cs="宋体"/>
          <w:b/>
          <w:bCs/>
          <w:sz w:val="21"/>
          <w:szCs w:val="21"/>
        </w:rPr>
        <w:t>浙江求是招标代理有限公司</w:t>
      </w:r>
    </w:p>
    <w:p w14:paraId="0A110995">
      <w:pPr>
        <w:adjustRightInd w:val="0"/>
        <w:snapToGrid w:val="0"/>
        <w:spacing w:line="288" w:lineRule="auto"/>
        <w:rPr>
          <w:rFonts w:ascii="宋体" w:hAnsi="宋体"/>
          <w:spacing w:val="-6"/>
          <w:sz w:val="21"/>
          <w:szCs w:val="21"/>
          <w:highlight w:val="cyan"/>
        </w:rPr>
      </w:pPr>
    </w:p>
    <w:p w14:paraId="1C2EB387">
      <w:pPr>
        <w:adjustRightInd w:val="0"/>
        <w:snapToGrid w:val="0"/>
        <w:spacing w:line="288" w:lineRule="auto"/>
        <w:ind w:firstLine="396" w:firstLineChars="200"/>
        <w:rPr>
          <w:rFonts w:ascii="宋体" w:hAnsi="宋体" w:cs="宋体"/>
          <w:sz w:val="21"/>
          <w:szCs w:val="21"/>
        </w:rPr>
      </w:pPr>
      <w:r>
        <w:rPr>
          <w:rFonts w:hint="eastAsia" w:ascii="宋体" w:hAnsi="宋体"/>
          <w:spacing w:val="-6"/>
          <w:sz w:val="21"/>
          <w:szCs w:val="21"/>
        </w:rPr>
        <w:t>我方参加</w:t>
      </w:r>
      <w:r>
        <w:rPr>
          <w:rFonts w:hint="eastAsia" w:ascii="宋体" w:hAnsi="宋体"/>
          <w:bCs/>
          <w:spacing w:val="-6"/>
          <w:sz w:val="21"/>
          <w:szCs w:val="21"/>
          <w:u w:val="single"/>
          <w:lang w:eastAsia="zh-CN"/>
        </w:rPr>
        <w:t>浙江大学杭州国际科创中心双光子光致发光显微成像系统</w:t>
      </w:r>
      <w:r>
        <w:rPr>
          <w:rFonts w:hint="eastAsia" w:ascii="宋体" w:hAnsi="宋体"/>
          <w:spacing w:val="-6"/>
          <w:sz w:val="21"/>
          <w:szCs w:val="21"/>
          <w:u w:val="single"/>
        </w:rPr>
        <w:t>（项目编号</w:t>
      </w:r>
      <w:r>
        <w:rPr>
          <w:rFonts w:hint="eastAsia" w:ascii="宋体" w:hAnsi="宋体"/>
          <w:bCs/>
          <w:spacing w:val="-6"/>
          <w:sz w:val="21"/>
          <w:szCs w:val="21"/>
          <w:u w:val="single"/>
        </w:rPr>
        <w:t>：</w:t>
      </w:r>
      <w:r>
        <w:rPr>
          <w:rFonts w:hint="eastAsia" w:ascii="宋体" w:hAnsi="宋体"/>
          <w:bCs/>
          <w:spacing w:val="-6"/>
          <w:sz w:val="21"/>
          <w:szCs w:val="21"/>
          <w:u w:val="single"/>
          <w:lang w:eastAsia="zh-CN"/>
        </w:rPr>
        <w:t>QSZB-F(H)-A24571(CS)</w:t>
      </w:r>
      <w:r>
        <w:rPr>
          <w:rFonts w:hint="eastAsia" w:ascii="宋体" w:hAnsi="宋体"/>
          <w:spacing w:val="-6"/>
          <w:sz w:val="21"/>
          <w:szCs w:val="21"/>
          <w:u w:val="single"/>
        </w:rPr>
        <w:t>）</w:t>
      </w:r>
      <w:r>
        <w:rPr>
          <w:rFonts w:hint="eastAsia" w:ascii="宋体" w:hAnsi="宋体"/>
          <w:spacing w:val="-6"/>
          <w:sz w:val="21"/>
          <w:szCs w:val="21"/>
        </w:rPr>
        <w:t>项目，为此，我方提交响应文件（资格文件、报价文件、商务和技术文件）正本一份、副本____份。签名代表宣布同意如下：</w:t>
      </w:r>
    </w:p>
    <w:p w14:paraId="4090F92B">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1.我方已详细审查全部“磋商文件”，包括修改文件（如有）以及全部参考资料和有关附件，已经了解我方对于磋商文件、采购过程、成交结果有进行询问、质疑、投诉的权利及相关渠道和要求。</w:t>
      </w:r>
    </w:p>
    <w:p w14:paraId="13B3A34D">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2.我方在磋商响应之前已经与贵方进行了充分的沟通，完全理解并接受磋商文件的各项规定和要求，对磋商文件的合理性、合法性不再有异议。</w:t>
      </w:r>
    </w:p>
    <w:p w14:paraId="65C41A85">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3.响应有效期自提交响应文件的截止之日起</w:t>
      </w:r>
      <w:r>
        <w:rPr>
          <w:rFonts w:hint="eastAsia" w:ascii="宋体" w:hAnsi="宋体" w:cs="宋体"/>
          <w:sz w:val="21"/>
          <w:szCs w:val="21"/>
          <w:u w:val="single"/>
        </w:rPr>
        <w:t>90</w:t>
      </w:r>
      <w:r>
        <w:rPr>
          <w:rFonts w:hint="eastAsia" w:ascii="宋体" w:hAnsi="宋体" w:cs="宋体"/>
          <w:sz w:val="21"/>
          <w:szCs w:val="21"/>
        </w:rPr>
        <w:t>天。</w:t>
      </w:r>
    </w:p>
    <w:p w14:paraId="7750E724">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4.如成交，本响应文件至本项目合同履行完毕止均保持有效，我方将按“磋商文件”及法律、法规的规定履行合同责任和义务。关于代理服务费，我方承诺按照磋商文件的规定履行并承担相应的责任。</w:t>
      </w:r>
    </w:p>
    <w:p w14:paraId="6122CA4E">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5.我方同意按照贵方要求提供与磋商有关的一切数据或资料。</w:t>
      </w:r>
    </w:p>
    <w:p w14:paraId="4D5B1D40">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6.与本磋商有关的一切正式往来信函联系：</w:t>
      </w:r>
    </w:p>
    <w:tbl>
      <w:tblPr>
        <w:tblStyle w:val="7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326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E8AC9CB">
            <w:pPr>
              <w:adjustRightInd w:val="0"/>
              <w:snapToGrid w:val="0"/>
              <w:spacing w:line="288" w:lineRule="auto"/>
              <w:rPr>
                <w:rFonts w:ascii="宋体" w:hAnsi="宋体"/>
                <w:spacing w:val="-6"/>
                <w:sz w:val="21"/>
                <w:szCs w:val="21"/>
              </w:rPr>
            </w:pPr>
            <w:r>
              <w:rPr>
                <w:rFonts w:hint="eastAsia" w:ascii="宋体" w:hAnsi="宋体"/>
                <w:spacing w:val="-6"/>
                <w:sz w:val="21"/>
                <w:szCs w:val="21"/>
              </w:rPr>
              <w:t>联系人：</w:t>
            </w:r>
          </w:p>
        </w:tc>
        <w:tc>
          <w:tcPr>
            <w:tcW w:w="6808" w:type="dxa"/>
          </w:tcPr>
          <w:p w14:paraId="62DCEDC4">
            <w:pPr>
              <w:adjustRightInd w:val="0"/>
              <w:snapToGrid w:val="0"/>
              <w:spacing w:line="288" w:lineRule="auto"/>
              <w:rPr>
                <w:rFonts w:ascii="宋体" w:hAnsi="宋体"/>
                <w:spacing w:val="-6"/>
                <w:sz w:val="21"/>
                <w:szCs w:val="21"/>
              </w:rPr>
            </w:pPr>
          </w:p>
        </w:tc>
      </w:tr>
      <w:tr w14:paraId="1E1F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3B95DC5">
            <w:pPr>
              <w:adjustRightInd w:val="0"/>
              <w:snapToGrid w:val="0"/>
              <w:spacing w:line="288" w:lineRule="auto"/>
              <w:rPr>
                <w:rFonts w:ascii="宋体" w:hAnsi="宋体"/>
                <w:spacing w:val="-6"/>
                <w:sz w:val="21"/>
                <w:szCs w:val="21"/>
              </w:rPr>
            </w:pPr>
            <w:r>
              <w:rPr>
                <w:rFonts w:hint="eastAsia" w:ascii="宋体" w:hAnsi="宋体"/>
                <w:spacing w:val="-6"/>
                <w:sz w:val="21"/>
                <w:szCs w:val="21"/>
              </w:rPr>
              <w:t>职务：</w:t>
            </w:r>
          </w:p>
        </w:tc>
        <w:tc>
          <w:tcPr>
            <w:tcW w:w="6808" w:type="dxa"/>
          </w:tcPr>
          <w:p w14:paraId="58657640">
            <w:pPr>
              <w:adjustRightInd w:val="0"/>
              <w:snapToGrid w:val="0"/>
              <w:spacing w:line="288" w:lineRule="auto"/>
              <w:rPr>
                <w:rFonts w:ascii="宋体" w:hAnsi="宋体"/>
                <w:spacing w:val="-6"/>
                <w:sz w:val="21"/>
                <w:szCs w:val="21"/>
              </w:rPr>
            </w:pPr>
          </w:p>
        </w:tc>
      </w:tr>
      <w:tr w14:paraId="7335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AA16C10">
            <w:pPr>
              <w:adjustRightInd w:val="0"/>
              <w:snapToGrid w:val="0"/>
              <w:spacing w:line="288" w:lineRule="auto"/>
              <w:rPr>
                <w:rFonts w:ascii="宋体" w:hAnsi="宋体"/>
                <w:spacing w:val="-6"/>
                <w:sz w:val="21"/>
                <w:szCs w:val="21"/>
              </w:rPr>
            </w:pPr>
            <w:r>
              <w:rPr>
                <w:rFonts w:hint="eastAsia" w:ascii="宋体" w:hAnsi="宋体"/>
                <w:spacing w:val="-6"/>
                <w:sz w:val="21"/>
                <w:szCs w:val="21"/>
              </w:rPr>
              <w:t>手机：</w:t>
            </w:r>
          </w:p>
        </w:tc>
        <w:tc>
          <w:tcPr>
            <w:tcW w:w="6808" w:type="dxa"/>
          </w:tcPr>
          <w:p w14:paraId="0639F09C">
            <w:pPr>
              <w:adjustRightInd w:val="0"/>
              <w:snapToGrid w:val="0"/>
              <w:spacing w:line="288" w:lineRule="auto"/>
              <w:rPr>
                <w:rFonts w:ascii="宋体" w:hAnsi="宋体"/>
                <w:spacing w:val="-6"/>
                <w:sz w:val="21"/>
                <w:szCs w:val="21"/>
              </w:rPr>
            </w:pPr>
          </w:p>
        </w:tc>
      </w:tr>
      <w:tr w14:paraId="4AAE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77E1AA0">
            <w:pPr>
              <w:adjustRightInd w:val="0"/>
              <w:snapToGrid w:val="0"/>
              <w:spacing w:line="288" w:lineRule="auto"/>
              <w:rPr>
                <w:rFonts w:ascii="宋体" w:hAnsi="宋体"/>
                <w:spacing w:val="-6"/>
                <w:sz w:val="21"/>
                <w:szCs w:val="21"/>
              </w:rPr>
            </w:pPr>
            <w:r>
              <w:rPr>
                <w:rFonts w:hint="eastAsia" w:ascii="宋体" w:hAnsi="宋体"/>
                <w:spacing w:val="-6"/>
                <w:sz w:val="21"/>
                <w:szCs w:val="21"/>
              </w:rPr>
              <w:t>电子邮箱：</w:t>
            </w:r>
          </w:p>
        </w:tc>
        <w:tc>
          <w:tcPr>
            <w:tcW w:w="6808" w:type="dxa"/>
          </w:tcPr>
          <w:p w14:paraId="56DD5321">
            <w:pPr>
              <w:adjustRightInd w:val="0"/>
              <w:snapToGrid w:val="0"/>
              <w:spacing w:line="288" w:lineRule="auto"/>
              <w:rPr>
                <w:rFonts w:ascii="宋体" w:hAnsi="宋体"/>
                <w:spacing w:val="-6"/>
                <w:sz w:val="21"/>
                <w:szCs w:val="21"/>
              </w:rPr>
            </w:pPr>
          </w:p>
        </w:tc>
      </w:tr>
      <w:tr w14:paraId="13A5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0289D0">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c>
          <w:tcPr>
            <w:tcW w:w="6808" w:type="dxa"/>
          </w:tcPr>
          <w:p w14:paraId="1A16368E">
            <w:pPr>
              <w:adjustRightInd w:val="0"/>
              <w:snapToGrid w:val="0"/>
              <w:spacing w:line="288" w:lineRule="auto"/>
              <w:rPr>
                <w:rFonts w:ascii="宋体" w:hAnsi="宋体"/>
                <w:spacing w:val="-6"/>
                <w:sz w:val="21"/>
                <w:szCs w:val="21"/>
              </w:rPr>
            </w:pPr>
          </w:p>
        </w:tc>
      </w:tr>
      <w:tr w14:paraId="559C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EA1DEC9">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c>
          <w:tcPr>
            <w:tcW w:w="6808" w:type="dxa"/>
          </w:tcPr>
          <w:p w14:paraId="21D33E88">
            <w:pPr>
              <w:adjustRightInd w:val="0"/>
              <w:snapToGrid w:val="0"/>
              <w:spacing w:line="288" w:lineRule="auto"/>
              <w:rPr>
                <w:rFonts w:ascii="宋体" w:hAnsi="宋体"/>
                <w:spacing w:val="-6"/>
                <w:sz w:val="21"/>
                <w:szCs w:val="21"/>
              </w:rPr>
            </w:pPr>
          </w:p>
        </w:tc>
      </w:tr>
      <w:tr w14:paraId="2A33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E58CADF">
            <w:pPr>
              <w:adjustRightInd w:val="0"/>
              <w:snapToGrid w:val="0"/>
              <w:spacing w:line="288" w:lineRule="auto"/>
              <w:rPr>
                <w:rFonts w:ascii="宋体" w:hAnsi="宋体"/>
                <w:spacing w:val="-6"/>
                <w:sz w:val="21"/>
                <w:szCs w:val="21"/>
              </w:rPr>
            </w:pPr>
            <w:r>
              <w:rPr>
                <w:rFonts w:hint="eastAsia" w:ascii="宋体" w:hAnsi="宋体"/>
                <w:spacing w:val="-6"/>
                <w:sz w:val="21"/>
                <w:szCs w:val="21"/>
              </w:rPr>
              <w:t>银行账号：</w:t>
            </w:r>
          </w:p>
        </w:tc>
        <w:tc>
          <w:tcPr>
            <w:tcW w:w="6808" w:type="dxa"/>
          </w:tcPr>
          <w:p w14:paraId="5D45F399">
            <w:pPr>
              <w:adjustRightInd w:val="0"/>
              <w:snapToGrid w:val="0"/>
              <w:spacing w:line="288" w:lineRule="auto"/>
              <w:rPr>
                <w:rFonts w:ascii="宋体" w:hAnsi="宋体"/>
                <w:spacing w:val="-6"/>
                <w:sz w:val="21"/>
                <w:szCs w:val="21"/>
              </w:rPr>
            </w:pPr>
          </w:p>
        </w:tc>
      </w:tr>
    </w:tbl>
    <w:p w14:paraId="3BDD9876">
      <w:pPr>
        <w:adjustRightInd w:val="0"/>
        <w:snapToGrid w:val="0"/>
        <w:spacing w:line="288" w:lineRule="auto"/>
        <w:rPr>
          <w:rFonts w:ascii="宋体" w:hAnsi="宋体" w:cs="宋体"/>
          <w:sz w:val="21"/>
          <w:szCs w:val="21"/>
        </w:rPr>
      </w:pPr>
    </w:p>
    <w:p w14:paraId="60A88EB0">
      <w:pPr>
        <w:adjustRightInd w:val="0"/>
        <w:snapToGrid w:val="0"/>
        <w:spacing w:line="288" w:lineRule="auto"/>
        <w:rPr>
          <w:rFonts w:ascii="宋体" w:hAnsi="宋体" w:cs="宋体"/>
          <w:sz w:val="21"/>
          <w:szCs w:val="21"/>
        </w:rPr>
      </w:pPr>
    </w:p>
    <w:p w14:paraId="0B585A74">
      <w:pPr>
        <w:adjustRightInd w:val="0"/>
        <w:snapToGrid w:val="0"/>
        <w:spacing w:line="288" w:lineRule="auto"/>
        <w:rPr>
          <w:rFonts w:ascii="宋体" w:hAnsi="宋体" w:cs="宋体"/>
          <w:sz w:val="21"/>
          <w:szCs w:val="21"/>
        </w:rPr>
      </w:pPr>
      <w:r>
        <w:rPr>
          <w:rFonts w:hint="eastAsia" w:ascii="宋体" w:hAnsi="宋体" w:cs="宋体"/>
          <w:sz w:val="21"/>
          <w:szCs w:val="21"/>
        </w:rPr>
        <w:t>供应商名称（盖章）：</w:t>
      </w:r>
    </w:p>
    <w:p w14:paraId="5A3C2751">
      <w:pPr>
        <w:adjustRightInd w:val="0"/>
        <w:snapToGrid w:val="0"/>
        <w:spacing w:line="288" w:lineRule="auto"/>
        <w:rPr>
          <w:rFonts w:ascii="宋体" w:hAnsi="宋体" w:cs="宋体"/>
          <w:sz w:val="21"/>
          <w:szCs w:val="21"/>
        </w:rPr>
      </w:pPr>
      <w:r>
        <w:rPr>
          <w:rFonts w:hint="eastAsia" w:ascii="宋体" w:hAnsi="宋体" w:cs="宋体"/>
          <w:sz w:val="21"/>
          <w:szCs w:val="21"/>
        </w:rPr>
        <w:t>供应商代表签名：</w:t>
      </w:r>
    </w:p>
    <w:p w14:paraId="67831B2E">
      <w:pPr>
        <w:adjustRightInd w:val="0"/>
        <w:snapToGrid w:val="0"/>
        <w:spacing w:line="288" w:lineRule="auto"/>
        <w:rPr>
          <w:rFonts w:ascii="宋体" w:hAnsi="宋体" w:cs="宋体"/>
          <w:sz w:val="21"/>
          <w:szCs w:val="21"/>
        </w:rPr>
      </w:pPr>
      <w:r>
        <w:rPr>
          <w:rFonts w:hint="eastAsia" w:ascii="宋体" w:hAnsi="宋体" w:cs="宋体"/>
          <w:sz w:val="21"/>
          <w:szCs w:val="21"/>
        </w:rPr>
        <w:t>日期：________年____月____日</w:t>
      </w:r>
    </w:p>
    <w:p w14:paraId="23663CE9">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14:paraId="4F1575C3">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）授权委托书</w:t>
      </w:r>
    </w:p>
    <w:p w14:paraId="54517D78">
      <w:pPr>
        <w:adjustRightInd w:val="0"/>
        <w:snapToGrid w:val="0"/>
        <w:spacing w:line="288" w:lineRule="auto"/>
        <w:rPr>
          <w:rFonts w:ascii="宋体" w:hAnsi="宋体"/>
          <w:b/>
          <w:bCs/>
          <w:spacing w:val="-6"/>
          <w:sz w:val="21"/>
          <w:szCs w:val="21"/>
        </w:rPr>
      </w:pPr>
    </w:p>
    <w:p w14:paraId="6E9689A7">
      <w:pPr>
        <w:adjustRightInd w:val="0"/>
        <w:snapToGrid w:val="0"/>
        <w:spacing w:line="288" w:lineRule="auto"/>
        <w:rPr>
          <w:rFonts w:ascii="宋体" w:hAnsi="宋体"/>
          <w:b/>
          <w:spacing w:val="-6"/>
          <w:sz w:val="21"/>
          <w:szCs w:val="21"/>
        </w:rPr>
      </w:pPr>
      <w:r>
        <w:rPr>
          <w:rFonts w:hint="eastAsia" w:ascii="宋体" w:hAnsi="宋体"/>
          <w:b/>
          <w:spacing w:val="-6"/>
          <w:sz w:val="21"/>
          <w:szCs w:val="21"/>
        </w:rPr>
        <w:t>致：</w:t>
      </w:r>
      <w:r>
        <w:rPr>
          <w:rFonts w:hint="eastAsia" w:ascii="宋体" w:hAnsi="宋体"/>
          <w:b/>
          <w:spacing w:val="-6"/>
          <w:sz w:val="21"/>
          <w:szCs w:val="21"/>
          <w:lang w:eastAsia="zh-CN"/>
        </w:rPr>
        <w:t>浙江大学杭州国际科创中心</w:t>
      </w:r>
      <w:r>
        <w:rPr>
          <w:rFonts w:hint="eastAsia" w:ascii="宋体" w:hAnsi="宋体"/>
          <w:b/>
          <w:spacing w:val="-6"/>
          <w:sz w:val="21"/>
          <w:szCs w:val="21"/>
        </w:rPr>
        <w:t>、浙江求是招标代理有限公司</w:t>
      </w:r>
    </w:p>
    <w:p w14:paraId="3D8CBA6C">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现授权委托：</w:t>
      </w:r>
      <w:r>
        <w:rPr>
          <w:rFonts w:ascii="宋体" w:hAnsi="宋体"/>
          <w:spacing w:val="-6"/>
          <w:sz w:val="21"/>
          <w:szCs w:val="21"/>
          <w:u w:val="single"/>
        </w:rPr>
        <w:t xml:space="preserve">            </w:t>
      </w:r>
      <w:r>
        <w:rPr>
          <w:rFonts w:hint="eastAsia" w:ascii="宋体" w:hAnsi="宋体"/>
          <w:spacing w:val="-6"/>
          <w:sz w:val="21"/>
          <w:szCs w:val="21"/>
        </w:rPr>
        <w:t>（授权代表姓名）（身份证号码：</w:t>
      </w:r>
      <w:r>
        <w:rPr>
          <w:rFonts w:ascii="宋体" w:hAnsi="宋体"/>
          <w:spacing w:val="-6"/>
          <w:sz w:val="21"/>
          <w:szCs w:val="21"/>
          <w:u w:val="single"/>
        </w:rPr>
        <w:t xml:space="preserve">            </w:t>
      </w:r>
      <w:r>
        <w:rPr>
          <w:rFonts w:hint="eastAsia" w:ascii="宋体" w:hAnsi="宋体"/>
          <w:spacing w:val="-6"/>
          <w:sz w:val="21"/>
          <w:szCs w:val="21"/>
        </w:rPr>
        <w:t>，手机：</w:t>
      </w:r>
      <w:r>
        <w:rPr>
          <w:rFonts w:ascii="宋体" w:hAnsi="宋体"/>
          <w:spacing w:val="-6"/>
          <w:sz w:val="21"/>
          <w:szCs w:val="21"/>
          <w:u w:val="single"/>
        </w:rPr>
        <w:t xml:space="preserve">            </w:t>
      </w:r>
      <w:r>
        <w:rPr>
          <w:rFonts w:hint="eastAsia" w:ascii="宋体" w:hAnsi="宋体"/>
          <w:spacing w:val="-6"/>
          <w:sz w:val="21"/>
          <w:szCs w:val="21"/>
        </w:rPr>
        <w:t>）以我方的名义参加</w:t>
      </w:r>
      <w:r>
        <w:rPr>
          <w:rFonts w:hint="eastAsia" w:ascii="宋体" w:hAnsi="宋体"/>
          <w:bCs/>
          <w:spacing w:val="-6"/>
          <w:sz w:val="21"/>
          <w:szCs w:val="21"/>
          <w:lang w:eastAsia="zh-CN"/>
        </w:rPr>
        <w:t>浙江大学杭州国际科创中心双光子光致发光显微成像系统</w:t>
      </w:r>
      <w:r>
        <w:rPr>
          <w:rFonts w:hint="eastAsia" w:ascii="宋体" w:hAnsi="宋体"/>
          <w:bCs/>
          <w:spacing w:val="-6"/>
          <w:sz w:val="21"/>
          <w:szCs w:val="21"/>
        </w:rPr>
        <w:t>项目（项目编号：</w:t>
      </w:r>
      <w:r>
        <w:rPr>
          <w:rFonts w:hint="eastAsia" w:ascii="宋体" w:hAnsi="宋体"/>
          <w:bCs/>
          <w:spacing w:val="-6"/>
          <w:sz w:val="21"/>
          <w:szCs w:val="21"/>
          <w:lang w:eastAsia="zh-CN"/>
        </w:rPr>
        <w:t>QSZB-F(H)-A24571(CS)</w:t>
      </w:r>
      <w:r>
        <w:rPr>
          <w:rFonts w:hint="eastAsia" w:ascii="宋体" w:hAnsi="宋体"/>
          <w:bCs/>
          <w:spacing w:val="-6"/>
          <w:sz w:val="21"/>
          <w:szCs w:val="21"/>
        </w:rPr>
        <w:t>）</w:t>
      </w:r>
      <w:r>
        <w:rPr>
          <w:rFonts w:hint="eastAsia" w:ascii="宋体" w:hAnsi="宋体"/>
          <w:spacing w:val="-6"/>
          <w:sz w:val="21"/>
          <w:szCs w:val="21"/>
        </w:rPr>
        <w:t>的采购活动，并代表我方全权办理针对上述项目的响应、评审、签约等具体事务和签署相关文件。</w:t>
      </w:r>
    </w:p>
    <w:p w14:paraId="6C5DF759">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我方对被授权人的签名负全部责任。</w:t>
      </w:r>
    </w:p>
    <w:p w14:paraId="3A753C57">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在撤销授权的书面通知以前，本授权书一直有效。被授权人在授权书有效期内签署的所有文件不因授权的撤销而失效。</w:t>
      </w:r>
    </w:p>
    <w:p w14:paraId="1A3AC553">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被授权人无转委托权，特此告知。</w:t>
      </w:r>
    </w:p>
    <w:p w14:paraId="2238CBF8">
      <w:pPr>
        <w:adjustRightInd w:val="0"/>
        <w:snapToGrid w:val="0"/>
        <w:spacing w:line="288" w:lineRule="auto"/>
        <w:ind w:firstLine="368" w:firstLineChars="186"/>
        <w:rPr>
          <w:rFonts w:ascii="宋体" w:hAnsi="宋体"/>
          <w:spacing w:val="-6"/>
          <w:sz w:val="21"/>
          <w:szCs w:val="21"/>
          <w:u w:val="single"/>
        </w:rPr>
      </w:pPr>
      <w:r>
        <w:rPr>
          <w:rFonts w:hint="eastAsia" w:ascii="宋体" w:hAnsi="宋体"/>
          <w:spacing w:val="-6"/>
          <w:sz w:val="21"/>
          <w:szCs w:val="21"/>
          <w:u w:val="single"/>
        </w:rPr>
        <w:t>▲提供授权代表社保缴纳证明（</w:t>
      </w:r>
      <w:r>
        <w:rPr>
          <w:rFonts w:hint="eastAsia" w:ascii="宋体" w:hAnsi="宋体"/>
          <w:spacing w:val="-6"/>
          <w:sz w:val="21"/>
          <w:szCs w:val="21"/>
          <w:u w:val="single"/>
          <w:lang w:eastAsia="zh-CN"/>
        </w:rPr>
        <w:t>2023年6月（含）以后任意一月</w:t>
      </w:r>
      <w:r>
        <w:rPr>
          <w:rFonts w:hint="eastAsia" w:ascii="宋体" w:hAnsi="宋体"/>
          <w:spacing w:val="-6"/>
          <w:sz w:val="21"/>
          <w:szCs w:val="21"/>
          <w:u w:val="single"/>
        </w:rPr>
        <w:t>）。</w:t>
      </w:r>
    </w:p>
    <w:p w14:paraId="2C44799F">
      <w:pPr>
        <w:adjustRightInd w:val="0"/>
        <w:snapToGrid w:val="0"/>
        <w:spacing w:line="288" w:lineRule="auto"/>
        <w:rPr>
          <w:rFonts w:ascii="宋体" w:hAnsi="宋体"/>
          <w:spacing w:val="-6"/>
          <w:sz w:val="21"/>
          <w:szCs w:val="21"/>
        </w:rPr>
      </w:pPr>
    </w:p>
    <w:p w14:paraId="412ED37C">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供应商名称（盖章）：</w:t>
      </w:r>
    </w:p>
    <w:p w14:paraId="0D55805D">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14:paraId="5FC04D1C">
      <w:pPr>
        <w:adjustRightInd w:val="0"/>
        <w:snapToGrid w:val="0"/>
        <w:spacing w:line="288" w:lineRule="auto"/>
        <w:rPr>
          <w:rFonts w:ascii="宋体" w:hAnsi="宋体"/>
          <w:sz w:val="21"/>
          <w:szCs w:val="21"/>
        </w:rPr>
      </w:pPr>
    </w:p>
    <w:p w14:paraId="3F9D944D">
      <w:pPr>
        <w:adjustRightInd w:val="0"/>
        <w:snapToGrid w:val="0"/>
        <w:spacing w:line="288" w:lineRule="auto"/>
        <w:rPr>
          <w:rFonts w:ascii="宋体" w:hAnsi="宋体"/>
          <w:sz w:val="21"/>
          <w:szCs w:val="21"/>
        </w:rPr>
      </w:pPr>
      <w:r>
        <w:rPr>
          <w:rFonts w:hint="eastAsia" w:ascii="宋体" w:hAnsi="宋体"/>
          <w:sz w:val="21"/>
          <w:szCs w:val="21"/>
        </w:rPr>
        <w:t>注：</w:t>
      </w:r>
    </w:p>
    <w:p w14:paraId="61C972B1">
      <w:pPr>
        <w:adjustRightInd w:val="0"/>
        <w:snapToGrid w:val="0"/>
        <w:spacing w:line="288" w:lineRule="auto"/>
        <w:rPr>
          <w:rFonts w:ascii="宋体" w:hAnsi="宋体"/>
          <w:sz w:val="21"/>
          <w:szCs w:val="21"/>
        </w:rPr>
      </w:pPr>
      <w:r>
        <w:rPr>
          <w:rFonts w:hint="eastAsia" w:ascii="宋体" w:hAnsi="宋体"/>
          <w:sz w:val="21"/>
          <w:szCs w:val="21"/>
        </w:rPr>
        <w:t>1、供应商委派不在本单位缴纳社保的人员作为授权代表的，应当在响应文件中，说明具体原因、授权代表缴纳社保的单位，并附列该授权代表缴纳社保清单。</w:t>
      </w:r>
    </w:p>
    <w:p w14:paraId="64576B61">
      <w:pPr>
        <w:adjustRightInd w:val="0"/>
        <w:snapToGrid w:val="0"/>
        <w:spacing w:line="288" w:lineRule="auto"/>
        <w:rPr>
          <w:rFonts w:ascii="宋体" w:hAnsi="宋体"/>
          <w:sz w:val="21"/>
          <w:szCs w:val="21"/>
        </w:rPr>
      </w:pPr>
      <w:r>
        <w:rPr>
          <w:rFonts w:hint="eastAsia" w:ascii="宋体" w:hAnsi="宋体"/>
          <w:sz w:val="21"/>
          <w:szCs w:val="21"/>
        </w:rPr>
        <w:t>2、供应商是联合体的，联合体各成员均应在“授权委托书”上盖章。</w:t>
      </w:r>
    </w:p>
    <w:p w14:paraId="535AA008">
      <w:pPr>
        <w:adjustRightInd w:val="0"/>
        <w:snapToGrid w:val="0"/>
        <w:spacing w:line="288" w:lineRule="auto"/>
        <w:rPr>
          <w:rFonts w:ascii="宋体" w:hAnsi="宋体"/>
          <w:sz w:val="21"/>
          <w:szCs w:val="21"/>
        </w:rPr>
      </w:pPr>
    </w:p>
    <w:p w14:paraId="0F4F3B54">
      <w:pPr>
        <w:adjustRightInd w:val="0"/>
        <w:snapToGrid w:val="0"/>
        <w:spacing w:line="288" w:lineRule="auto"/>
        <w:rPr>
          <w:rFonts w:ascii="宋体" w:hAnsi="宋体"/>
          <w:sz w:val="21"/>
          <w:szCs w:val="21"/>
        </w:rPr>
      </w:pPr>
    </w:p>
    <w:p w14:paraId="6C1FE5AB">
      <w:pPr>
        <w:adjustRightInd w:val="0"/>
        <w:snapToGrid w:val="0"/>
        <w:spacing w:line="288" w:lineRule="auto"/>
        <w:jc w:val="center"/>
        <w:outlineLvl w:val="2"/>
        <w:rPr>
          <w:rFonts w:ascii="宋体" w:hAnsi="宋体"/>
          <w:b/>
          <w:bCs/>
          <w:spacing w:val="-6"/>
          <w:sz w:val="21"/>
          <w:szCs w:val="21"/>
        </w:rPr>
      </w:pPr>
      <w:r>
        <w:rPr>
          <w:rFonts w:hint="eastAsia" w:ascii="宋体" w:hAnsi="宋体"/>
          <w:b/>
          <w:bCs/>
          <w:sz w:val="21"/>
          <w:szCs w:val="21"/>
        </w:rPr>
        <w:t>（2）法定代表人（单位负责人、自然人本人）</w:t>
      </w:r>
      <w:r>
        <w:rPr>
          <w:rFonts w:hint="eastAsia" w:ascii="宋体" w:hAnsi="宋体"/>
          <w:b/>
          <w:bCs/>
          <w:spacing w:val="-6"/>
          <w:sz w:val="21"/>
          <w:szCs w:val="21"/>
        </w:rPr>
        <w:t>身份证明</w:t>
      </w:r>
    </w:p>
    <w:p w14:paraId="65F5CC1D">
      <w:pPr>
        <w:adjustRightInd w:val="0"/>
        <w:snapToGrid w:val="0"/>
        <w:spacing w:line="288" w:lineRule="auto"/>
        <w:ind w:firstLine="495" w:firstLineChars="236"/>
        <w:jc w:val="center"/>
        <w:rPr>
          <w:rFonts w:ascii="宋体" w:hAnsi="宋体"/>
          <w:sz w:val="21"/>
          <w:szCs w:val="21"/>
        </w:rPr>
      </w:pPr>
      <w:r>
        <w:rPr>
          <w:rFonts w:hint="eastAsia" w:ascii="宋体" w:hAnsi="宋体"/>
          <w:sz w:val="21"/>
          <w:szCs w:val="21"/>
        </w:rPr>
        <w:t>（适用于：法定代表人（单位负责人、自然人本人）</w:t>
      </w:r>
      <w:r>
        <w:rPr>
          <w:rFonts w:hint="eastAsia" w:ascii="宋体" w:hAnsi="宋体"/>
          <w:spacing w:val="-6"/>
          <w:sz w:val="21"/>
          <w:szCs w:val="21"/>
        </w:rPr>
        <w:t>代表供应商参加采购活动</w:t>
      </w:r>
      <w:r>
        <w:rPr>
          <w:rFonts w:hint="eastAsia" w:ascii="宋体" w:hAnsi="宋体"/>
          <w:sz w:val="21"/>
          <w:szCs w:val="21"/>
        </w:rPr>
        <w:t>）</w:t>
      </w:r>
    </w:p>
    <w:p w14:paraId="6B56B7BF">
      <w:pPr>
        <w:adjustRightInd w:val="0"/>
        <w:snapToGrid w:val="0"/>
        <w:spacing w:line="288" w:lineRule="auto"/>
        <w:jc w:val="left"/>
        <w:rPr>
          <w:rFonts w:ascii="宋体" w:hAnsi="宋体"/>
          <w:sz w:val="21"/>
          <w:szCs w:val="21"/>
        </w:rPr>
      </w:pPr>
      <w:r>
        <w:rPr>
          <w:rFonts w:hint="eastAsia" w:ascii="宋体" w:hAnsi="宋体" w:cs="宋体"/>
          <w:bCs/>
          <w:sz w:val="21"/>
          <w:szCs w:val="21"/>
        </w:rPr>
        <w:t>身份证件复印件</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110E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4BD96F0D">
            <w:pPr>
              <w:adjustRightInd w:val="0"/>
              <w:snapToGrid w:val="0"/>
              <w:spacing w:line="288" w:lineRule="auto"/>
              <w:rPr>
                <w:rFonts w:ascii="宋体" w:hAnsi="宋体" w:eastAsia="等线" w:cs="宋体"/>
                <w:bCs/>
                <w:sz w:val="21"/>
                <w:szCs w:val="21"/>
              </w:rPr>
            </w:pPr>
            <w:r>
              <w:rPr>
                <w:rFonts w:hint="eastAsia" w:ascii="宋体" w:hAnsi="宋体" w:eastAsia="等线" w:cs="宋体"/>
                <w:bCs/>
                <w:sz w:val="21"/>
                <w:szCs w:val="21"/>
              </w:rPr>
              <w:t>正面：</w:t>
            </w:r>
          </w:p>
        </w:tc>
        <w:tc>
          <w:tcPr>
            <w:tcW w:w="4951" w:type="dxa"/>
          </w:tcPr>
          <w:p w14:paraId="79B86DC5">
            <w:pPr>
              <w:adjustRightInd w:val="0"/>
              <w:snapToGrid w:val="0"/>
              <w:spacing w:line="288" w:lineRule="auto"/>
              <w:rPr>
                <w:rFonts w:ascii="宋体" w:hAnsi="宋体" w:eastAsia="等线" w:cs="宋体"/>
                <w:bCs/>
                <w:sz w:val="21"/>
                <w:szCs w:val="21"/>
              </w:rPr>
            </w:pPr>
            <w:r>
              <w:rPr>
                <w:rFonts w:hint="eastAsia" w:ascii="宋体" w:hAnsi="宋体" w:eastAsia="等线" w:cs="宋体"/>
                <w:bCs/>
                <w:sz w:val="21"/>
                <w:szCs w:val="21"/>
              </w:rPr>
              <w:t>反面：</w:t>
            </w:r>
          </w:p>
        </w:tc>
      </w:tr>
    </w:tbl>
    <w:p w14:paraId="5408AA47">
      <w:pPr>
        <w:adjustRightInd w:val="0"/>
        <w:snapToGrid w:val="0"/>
        <w:spacing w:line="288" w:lineRule="auto"/>
        <w:rPr>
          <w:rFonts w:ascii="宋体" w:hAnsi="宋体"/>
          <w:sz w:val="21"/>
          <w:szCs w:val="21"/>
        </w:rPr>
      </w:pPr>
    </w:p>
    <w:p w14:paraId="333867A7">
      <w:pPr>
        <w:widowControl/>
        <w:adjustRightInd w:val="0"/>
        <w:snapToGrid w:val="0"/>
        <w:spacing w:line="288" w:lineRule="auto"/>
        <w:jc w:val="left"/>
        <w:rPr>
          <w:rFonts w:ascii="宋体" w:hAnsi="宋体"/>
          <w:sz w:val="21"/>
          <w:szCs w:val="21"/>
        </w:rPr>
      </w:pPr>
      <w:r>
        <w:rPr>
          <w:rFonts w:ascii="宋体" w:hAnsi="宋体"/>
          <w:sz w:val="21"/>
          <w:szCs w:val="21"/>
        </w:rPr>
        <w:br w:type="page"/>
      </w:r>
    </w:p>
    <w:p w14:paraId="2E43F9D5">
      <w:pPr>
        <w:adjustRightInd w:val="0"/>
        <w:snapToGrid w:val="0"/>
        <w:spacing w:line="288" w:lineRule="auto"/>
        <w:jc w:val="left"/>
        <w:outlineLvl w:val="2"/>
        <w:rPr>
          <w:rFonts w:ascii="宋体" w:hAnsi="宋体"/>
          <w:b/>
          <w:bCs/>
          <w:sz w:val="21"/>
          <w:szCs w:val="21"/>
        </w:rPr>
      </w:pPr>
      <w:r>
        <w:rPr>
          <w:rFonts w:hint="eastAsia" w:ascii="宋体" w:hAnsi="宋体"/>
          <w:b/>
          <w:bCs/>
          <w:sz w:val="21"/>
          <w:szCs w:val="21"/>
        </w:rPr>
        <w:t>附：授权代表社保缴纳证明（</w:t>
      </w:r>
      <w:r>
        <w:rPr>
          <w:rFonts w:hint="eastAsia" w:ascii="宋体" w:hAnsi="宋体"/>
          <w:b/>
          <w:bCs/>
          <w:sz w:val="21"/>
          <w:szCs w:val="21"/>
          <w:lang w:eastAsia="zh-CN"/>
        </w:rPr>
        <w:t>2023年6月（含）以后任意一月</w:t>
      </w:r>
      <w:r>
        <w:rPr>
          <w:rFonts w:hint="eastAsia" w:ascii="宋体" w:hAnsi="宋体"/>
          <w:b/>
          <w:bCs/>
          <w:sz w:val="21"/>
          <w:szCs w:val="21"/>
        </w:rPr>
        <w:t>）</w:t>
      </w:r>
    </w:p>
    <w:p w14:paraId="0C39CAB7">
      <w:pPr>
        <w:adjustRightInd w:val="0"/>
        <w:snapToGrid w:val="0"/>
        <w:spacing w:line="288" w:lineRule="auto"/>
        <w:rPr>
          <w:rFonts w:ascii="宋体" w:hAnsi="宋体"/>
          <w:sz w:val="21"/>
          <w:szCs w:val="21"/>
        </w:rPr>
      </w:pPr>
    </w:p>
    <w:p w14:paraId="08859D66">
      <w:pPr>
        <w:adjustRightInd w:val="0"/>
        <w:snapToGrid w:val="0"/>
        <w:spacing w:line="288" w:lineRule="auto"/>
        <w:jc w:val="center"/>
        <w:rPr>
          <w:rFonts w:ascii="宋体" w:hAnsi="宋体"/>
          <w:b/>
          <w:spacing w:val="-6"/>
          <w:sz w:val="21"/>
          <w:szCs w:val="21"/>
        </w:rPr>
      </w:pPr>
      <w:r>
        <w:rPr>
          <w:rFonts w:ascii="宋体" w:hAnsi="宋体"/>
          <w:b/>
          <w:spacing w:val="-6"/>
          <w:sz w:val="21"/>
          <w:szCs w:val="21"/>
        </w:rPr>
        <w:br w:type="page"/>
      </w:r>
    </w:p>
    <w:p w14:paraId="237BB52C">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w:t>
      </w:r>
      <w:r>
        <w:rPr>
          <w:rFonts w:ascii="宋体" w:hAnsi="宋体"/>
          <w:b/>
          <w:spacing w:val="-6"/>
          <w:sz w:val="21"/>
          <w:szCs w:val="21"/>
        </w:rPr>
        <w:t>3</w:t>
      </w:r>
      <w:r>
        <w:rPr>
          <w:rFonts w:hint="eastAsia" w:ascii="宋体" w:hAnsi="宋体"/>
          <w:b/>
          <w:spacing w:val="-6"/>
          <w:sz w:val="21"/>
          <w:szCs w:val="21"/>
        </w:rPr>
        <w:t>）供应商同类合同一览表</w:t>
      </w:r>
    </w:p>
    <w:p w14:paraId="32597469">
      <w:pPr>
        <w:pStyle w:val="17"/>
        <w:adjustRightInd w:val="0"/>
        <w:snapToGrid w:val="0"/>
        <w:spacing w:line="288" w:lineRule="auto"/>
        <w:ind w:left="396" w:hanging="396"/>
        <w:rPr>
          <w:rFonts w:ascii="宋体" w:hAnsi="宋体"/>
          <w:sz w:val="21"/>
          <w:szCs w:val="21"/>
        </w:rPr>
      </w:pPr>
      <w:r>
        <w:rPr>
          <w:rFonts w:hint="eastAsia" w:ascii="宋体" w:hAnsi="宋体"/>
          <w:bCs/>
          <w:spacing w:val="-6"/>
          <w:sz w:val="21"/>
          <w:szCs w:val="21"/>
        </w:rPr>
        <w:t>标项：</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14:paraId="4BD4F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12AEF57">
            <w:pPr>
              <w:adjustRightInd w:val="0"/>
              <w:snapToGrid w:val="0"/>
              <w:spacing w:line="288" w:lineRule="auto"/>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1C03B001">
            <w:pPr>
              <w:adjustRightInd w:val="0"/>
              <w:snapToGrid w:val="0"/>
              <w:spacing w:line="288" w:lineRule="auto"/>
              <w:jc w:val="center"/>
              <w:rPr>
                <w:rFonts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7EC621C5">
            <w:pPr>
              <w:adjustRightInd w:val="0"/>
              <w:snapToGrid w:val="0"/>
              <w:spacing w:line="288" w:lineRule="auto"/>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14:paraId="6238CF78">
            <w:pPr>
              <w:adjustRightInd w:val="0"/>
              <w:snapToGrid w:val="0"/>
              <w:spacing w:line="288" w:lineRule="auto"/>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061BB5AD">
            <w:pPr>
              <w:adjustRightInd w:val="0"/>
              <w:snapToGrid w:val="0"/>
              <w:spacing w:line="288" w:lineRule="auto"/>
              <w:jc w:val="center"/>
              <w:rPr>
                <w:rFonts w:ascii="宋体" w:hAnsi="宋体"/>
                <w:b/>
                <w:sz w:val="21"/>
                <w:szCs w:val="21"/>
              </w:rPr>
            </w:pPr>
            <w:r>
              <w:rPr>
                <w:rFonts w:hint="eastAsia" w:ascii="宋体" w:hAnsi="宋体"/>
                <w:b/>
                <w:sz w:val="21"/>
                <w:szCs w:val="21"/>
              </w:rPr>
              <w:t>合同金额</w:t>
            </w:r>
          </w:p>
          <w:p w14:paraId="3C92660E">
            <w:pPr>
              <w:adjustRightInd w:val="0"/>
              <w:snapToGrid w:val="0"/>
              <w:spacing w:line="288" w:lineRule="auto"/>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14:paraId="780C2883">
            <w:pPr>
              <w:adjustRightInd w:val="0"/>
              <w:snapToGrid w:val="0"/>
              <w:spacing w:line="288" w:lineRule="auto"/>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14:paraId="71D69581">
            <w:pPr>
              <w:adjustRightInd w:val="0"/>
              <w:snapToGrid w:val="0"/>
              <w:spacing w:line="288" w:lineRule="auto"/>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14:paraId="57001CC2">
            <w:pPr>
              <w:adjustRightInd w:val="0"/>
              <w:snapToGrid w:val="0"/>
              <w:spacing w:line="288" w:lineRule="auto"/>
              <w:jc w:val="center"/>
              <w:rPr>
                <w:rFonts w:ascii="宋体" w:hAnsi="宋体"/>
                <w:b/>
                <w:sz w:val="21"/>
                <w:szCs w:val="21"/>
              </w:rPr>
            </w:pPr>
            <w:r>
              <w:rPr>
                <w:rFonts w:hint="eastAsia" w:ascii="宋体" w:hAnsi="宋体"/>
                <w:b/>
                <w:sz w:val="21"/>
                <w:szCs w:val="21"/>
              </w:rPr>
              <w:t>采购单位联系人</w:t>
            </w:r>
          </w:p>
          <w:p w14:paraId="56FEC0DA">
            <w:pPr>
              <w:adjustRightInd w:val="0"/>
              <w:snapToGrid w:val="0"/>
              <w:spacing w:line="288" w:lineRule="auto"/>
              <w:jc w:val="center"/>
              <w:rPr>
                <w:rFonts w:ascii="宋体" w:hAnsi="宋体"/>
                <w:b/>
                <w:sz w:val="21"/>
                <w:szCs w:val="21"/>
              </w:rPr>
            </w:pPr>
            <w:r>
              <w:rPr>
                <w:rFonts w:hint="eastAsia" w:ascii="宋体" w:hAnsi="宋体"/>
                <w:b/>
                <w:sz w:val="21"/>
                <w:szCs w:val="21"/>
              </w:rPr>
              <w:t>联系方式</w:t>
            </w:r>
          </w:p>
        </w:tc>
      </w:tr>
      <w:tr w14:paraId="45C75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8B6FD1B">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F5F8164">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49A7713E">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79FBE1F7">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8122BEA">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442E9EE3">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11E8F200">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62BDF31">
            <w:pPr>
              <w:adjustRightInd w:val="0"/>
              <w:snapToGrid w:val="0"/>
              <w:spacing w:line="288" w:lineRule="auto"/>
              <w:jc w:val="center"/>
              <w:rPr>
                <w:rFonts w:ascii="宋体" w:hAnsi="宋体"/>
                <w:sz w:val="21"/>
                <w:szCs w:val="21"/>
              </w:rPr>
            </w:pPr>
          </w:p>
        </w:tc>
      </w:tr>
      <w:tr w14:paraId="60B02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C3D368C">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7D2BE4E">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1AB6F3C1">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0F23A72E">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0B42F41E">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20ED653F">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442F1D3F">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1CC1AC8C">
            <w:pPr>
              <w:adjustRightInd w:val="0"/>
              <w:snapToGrid w:val="0"/>
              <w:spacing w:line="288" w:lineRule="auto"/>
              <w:jc w:val="center"/>
              <w:rPr>
                <w:rFonts w:ascii="宋体" w:hAnsi="宋体"/>
                <w:sz w:val="21"/>
                <w:szCs w:val="21"/>
              </w:rPr>
            </w:pPr>
          </w:p>
        </w:tc>
      </w:tr>
      <w:tr w14:paraId="22E8C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4040E78">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DABBD6D">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0FC22388">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62099FB8">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F955F2C">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56377745">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17165E11">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53613C6">
            <w:pPr>
              <w:adjustRightInd w:val="0"/>
              <w:snapToGrid w:val="0"/>
              <w:spacing w:line="288" w:lineRule="auto"/>
              <w:jc w:val="center"/>
              <w:rPr>
                <w:rFonts w:ascii="宋体" w:hAnsi="宋体"/>
                <w:sz w:val="21"/>
                <w:szCs w:val="21"/>
              </w:rPr>
            </w:pPr>
          </w:p>
        </w:tc>
      </w:tr>
      <w:tr w14:paraId="505E3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2BFEFAE">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8D512FC">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7ED285A0">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3A4CA3C9">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C9C5157">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68F6377D">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65ED4616">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B9FD832">
            <w:pPr>
              <w:adjustRightInd w:val="0"/>
              <w:snapToGrid w:val="0"/>
              <w:spacing w:line="288" w:lineRule="auto"/>
              <w:jc w:val="center"/>
              <w:rPr>
                <w:rFonts w:ascii="宋体" w:hAnsi="宋体"/>
                <w:sz w:val="21"/>
                <w:szCs w:val="21"/>
              </w:rPr>
            </w:pPr>
          </w:p>
        </w:tc>
      </w:tr>
      <w:tr w14:paraId="7F274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9774A28">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6857F62">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4A27E23D">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32F270D1">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9D40215">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49088FD7">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20776250">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tcPr>
          <w:p w14:paraId="23819571">
            <w:pPr>
              <w:adjustRightInd w:val="0"/>
              <w:snapToGrid w:val="0"/>
              <w:spacing w:line="288" w:lineRule="auto"/>
              <w:jc w:val="center"/>
              <w:rPr>
                <w:rFonts w:ascii="宋体" w:hAnsi="宋体"/>
                <w:sz w:val="21"/>
                <w:szCs w:val="21"/>
              </w:rPr>
            </w:pPr>
          </w:p>
        </w:tc>
      </w:tr>
    </w:tbl>
    <w:p w14:paraId="07E91138">
      <w:pPr>
        <w:pStyle w:val="17"/>
        <w:adjustRightInd w:val="0"/>
        <w:snapToGrid w:val="0"/>
        <w:spacing w:line="288" w:lineRule="auto"/>
        <w:ind w:left="420" w:hanging="420"/>
        <w:rPr>
          <w:rFonts w:ascii="宋体" w:hAnsi="宋体"/>
          <w:sz w:val="21"/>
          <w:szCs w:val="21"/>
        </w:rPr>
      </w:pPr>
    </w:p>
    <w:p w14:paraId="3A98F3F6">
      <w:pPr>
        <w:adjustRightInd w:val="0"/>
        <w:snapToGrid w:val="0"/>
        <w:spacing w:line="288" w:lineRule="auto"/>
        <w:rPr>
          <w:rFonts w:ascii="宋体" w:hAnsi="宋体"/>
          <w:b/>
          <w:spacing w:val="-6"/>
          <w:sz w:val="21"/>
          <w:szCs w:val="21"/>
        </w:rPr>
      </w:pPr>
      <w:r>
        <w:rPr>
          <w:rFonts w:hint="eastAsia" w:ascii="宋体" w:hAnsi="宋体"/>
          <w:b/>
          <w:spacing w:val="-6"/>
          <w:sz w:val="21"/>
          <w:szCs w:val="21"/>
        </w:rPr>
        <w:t>说明：</w:t>
      </w:r>
    </w:p>
    <w:p w14:paraId="572D57A2">
      <w:pPr>
        <w:adjustRightInd w:val="0"/>
        <w:snapToGrid w:val="0"/>
        <w:spacing w:line="288"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供应商须提供上述业绩合同复印件；</w:t>
      </w:r>
    </w:p>
    <w:p w14:paraId="4EEDA5EA">
      <w:pPr>
        <w:adjustRightInd w:val="0"/>
        <w:snapToGrid w:val="0"/>
        <w:spacing w:line="288"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14:paraId="6B4E0673">
      <w:pPr>
        <w:adjustRightInd w:val="0"/>
        <w:snapToGrid w:val="0"/>
        <w:spacing w:line="288"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供应商应在不涉及商业秘密的前提下尽可能提供详细的合同复印件内容。</w:t>
      </w:r>
    </w:p>
    <w:p w14:paraId="5AB97260">
      <w:pPr>
        <w:adjustRightInd w:val="0"/>
        <w:snapToGrid w:val="0"/>
        <w:spacing w:line="288" w:lineRule="auto"/>
        <w:rPr>
          <w:rFonts w:ascii="宋体" w:hAnsi="宋体"/>
          <w:spacing w:val="-6"/>
          <w:sz w:val="21"/>
          <w:szCs w:val="21"/>
        </w:rPr>
      </w:pPr>
    </w:p>
    <w:p w14:paraId="7DEFD8E2">
      <w:pPr>
        <w:adjustRightInd w:val="0"/>
        <w:snapToGrid w:val="0"/>
        <w:spacing w:line="288" w:lineRule="auto"/>
        <w:rPr>
          <w:rFonts w:ascii="宋体" w:hAnsi="宋体"/>
          <w:spacing w:val="-6"/>
          <w:sz w:val="21"/>
          <w:szCs w:val="21"/>
        </w:rPr>
      </w:pPr>
      <w:r>
        <w:rPr>
          <w:rFonts w:hint="eastAsia" w:ascii="宋体" w:hAnsi="宋体"/>
          <w:spacing w:val="-6"/>
          <w:sz w:val="21"/>
          <w:szCs w:val="21"/>
        </w:rPr>
        <w:t>供应商名称（盖章）：</w:t>
      </w:r>
    </w:p>
    <w:p w14:paraId="1472F8EC">
      <w:pPr>
        <w:adjustRightInd w:val="0"/>
        <w:snapToGrid w:val="0"/>
        <w:spacing w:line="288" w:lineRule="auto"/>
        <w:rPr>
          <w:rFonts w:ascii="宋体" w:hAnsi="宋体"/>
          <w:spacing w:val="-6"/>
          <w:sz w:val="21"/>
          <w:szCs w:val="21"/>
        </w:rPr>
      </w:pPr>
      <w:r>
        <w:rPr>
          <w:rFonts w:hint="eastAsia" w:ascii="宋体" w:hAnsi="宋体"/>
          <w:spacing w:val="-6"/>
          <w:sz w:val="21"/>
          <w:szCs w:val="21"/>
        </w:rPr>
        <w:t>供应商授权代表签名：</w:t>
      </w:r>
    </w:p>
    <w:p w14:paraId="26B6F991">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14:paraId="34B23A78">
      <w:pPr>
        <w:pStyle w:val="17"/>
        <w:adjustRightInd w:val="0"/>
        <w:snapToGrid w:val="0"/>
        <w:spacing w:line="288" w:lineRule="auto"/>
        <w:ind w:left="0" w:firstLine="0" w:firstLineChars="0"/>
        <w:jc w:val="center"/>
        <w:outlineLvl w:val="9"/>
        <w:rPr>
          <w:rFonts w:ascii="宋体" w:hAnsi="宋体"/>
          <w:b/>
          <w:sz w:val="21"/>
          <w:szCs w:val="21"/>
        </w:rPr>
      </w:pPr>
      <w:r>
        <w:rPr>
          <w:rFonts w:ascii="宋体" w:hAnsi="宋体"/>
          <w:b/>
          <w:sz w:val="21"/>
          <w:szCs w:val="21"/>
        </w:rPr>
        <w:br w:type="page"/>
      </w:r>
    </w:p>
    <w:p w14:paraId="324BF833">
      <w:pPr>
        <w:adjustRightInd w:val="0"/>
        <w:snapToGrid w:val="0"/>
        <w:spacing w:line="288" w:lineRule="auto"/>
        <w:jc w:val="center"/>
        <w:outlineLvl w:val="2"/>
        <w:rPr>
          <w:rFonts w:ascii="宋体" w:hAnsi="宋体"/>
          <w:b/>
          <w:bCs/>
          <w:iCs/>
          <w:spacing w:val="-6"/>
          <w:sz w:val="21"/>
          <w:szCs w:val="21"/>
        </w:rPr>
      </w:pPr>
      <w:r>
        <w:rPr>
          <w:rFonts w:hint="eastAsia" w:ascii="宋体" w:hAnsi="宋体"/>
          <w:b/>
          <w:bCs/>
          <w:iCs/>
          <w:spacing w:val="-6"/>
          <w:sz w:val="21"/>
          <w:szCs w:val="21"/>
        </w:rPr>
        <w:t>（</w:t>
      </w:r>
      <w:r>
        <w:rPr>
          <w:rFonts w:ascii="宋体" w:hAnsi="宋体"/>
          <w:b/>
          <w:bCs/>
          <w:iCs/>
          <w:spacing w:val="-6"/>
          <w:sz w:val="21"/>
          <w:szCs w:val="21"/>
        </w:rPr>
        <w:t>4</w:t>
      </w:r>
      <w:r>
        <w:rPr>
          <w:rFonts w:hint="eastAsia" w:ascii="宋体" w:hAnsi="宋体"/>
          <w:b/>
          <w:bCs/>
          <w:iCs/>
          <w:spacing w:val="-6"/>
          <w:sz w:val="21"/>
          <w:szCs w:val="21"/>
        </w:rPr>
        <w:t>）采购</w:t>
      </w:r>
      <w:r>
        <w:rPr>
          <w:rFonts w:ascii="宋体" w:hAnsi="宋体"/>
          <w:b/>
          <w:bCs/>
          <w:iCs/>
          <w:spacing w:val="-6"/>
          <w:sz w:val="21"/>
          <w:szCs w:val="21"/>
        </w:rPr>
        <w:t>需求</w:t>
      </w:r>
      <w:r>
        <w:rPr>
          <w:rFonts w:hint="eastAsia" w:ascii="宋体" w:hAnsi="宋体"/>
          <w:b/>
          <w:bCs/>
          <w:iCs/>
          <w:spacing w:val="-6"/>
          <w:sz w:val="21"/>
          <w:szCs w:val="21"/>
        </w:rPr>
        <w:t>偏离表</w:t>
      </w:r>
    </w:p>
    <w:p w14:paraId="47E36646">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浙江大学杭州国际科创中心</w:t>
      </w:r>
    </w:p>
    <w:p w14:paraId="7207FAE6">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双光子光致发光显微成像系统</w:t>
      </w:r>
    </w:p>
    <w:p w14:paraId="7BBFD936">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QSZB-F(H)-A24571(CS)</w:t>
      </w:r>
    </w:p>
    <w:p w14:paraId="0E0113AF">
      <w:pPr>
        <w:adjustRightInd w:val="0"/>
        <w:snapToGrid w:val="0"/>
        <w:spacing w:line="288" w:lineRule="auto"/>
        <w:rPr>
          <w:rFonts w:ascii="宋体" w:hAnsi="宋体"/>
          <w:bCs/>
          <w:spacing w:val="-6"/>
          <w:sz w:val="21"/>
          <w:szCs w:val="21"/>
        </w:rPr>
      </w:pPr>
      <w:r>
        <w:rPr>
          <w:rFonts w:hint="eastAsia" w:ascii="宋体" w:hAnsi="宋体"/>
          <w:bCs/>
          <w:spacing w:val="-6"/>
          <w:sz w:val="21"/>
          <w:szCs w:val="21"/>
        </w:rPr>
        <w:t>标项：</w:t>
      </w: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4D79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4926CEF">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3260" w:type="dxa"/>
            <w:vAlign w:val="center"/>
          </w:tcPr>
          <w:p w14:paraId="303703F6">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磋商文件要求</w:t>
            </w:r>
          </w:p>
        </w:tc>
        <w:tc>
          <w:tcPr>
            <w:tcW w:w="3402" w:type="dxa"/>
            <w:vAlign w:val="center"/>
          </w:tcPr>
          <w:p w14:paraId="4D6BD2C0">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响应内容</w:t>
            </w:r>
          </w:p>
        </w:tc>
        <w:tc>
          <w:tcPr>
            <w:tcW w:w="1985" w:type="dxa"/>
            <w:vAlign w:val="center"/>
          </w:tcPr>
          <w:p w14:paraId="3EBBD21A">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是否偏离</w:t>
            </w:r>
          </w:p>
          <w:p w14:paraId="6E552C67">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（提供说明）</w:t>
            </w:r>
          </w:p>
        </w:tc>
      </w:tr>
      <w:tr w14:paraId="70F2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732A5BF3">
            <w:pPr>
              <w:adjustRightInd w:val="0"/>
              <w:snapToGrid w:val="0"/>
              <w:spacing w:line="288" w:lineRule="auto"/>
              <w:rPr>
                <w:rFonts w:ascii="宋体" w:hAnsi="宋体"/>
                <w:spacing w:val="-6"/>
                <w:sz w:val="21"/>
                <w:szCs w:val="21"/>
              </w:rPr>
            </w:pPr>
            <w:r>
              <w:rPr>
                <w:rFonts w:hint="eastAsia" w:ascii="宋体" w:hAnsi="宋体"/>
                <w:sz w:val="21"/>
                <w:szCs w:val="21"/>
              </w:rPr>
              <w:t>采购资金的支付方式、时间、条件</w:t>
            </w:r>
          </w:p>
        </w:tc>
      </w:tr>
      <w:tr w14:paraId="25E7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793F79F">
            <w:pPr>
              <w:adjustRightInd w:val="0"/>
              <w:snapToGrid w:val="0"/>
              <w:spacing w:line="288" w:lineRule="auto"/>
              <w:jc w:val="center"/>
              <w:rPr>
                <w:rFonts w:ascii="宋体" w:hAnsi="宋体"/>
                <w:spacing w:val="-6"/>
                <w:sz w:val="21"/>
                <w:szCs w:val="21"/>
              </w:rPr>
            </w:pPr>
          </w:p>
        </w:tc>
        <w:tc>
          <w:tcPr>
            <w:tcW w:w="3260" w:type="dxa"/>
            <w:vAlign w:val="center"/>
          </w:tcPr>
          <w:p w14:paraId="5384A7F7">
            <w:pPr>
              <w:adjustRightInd w:val="0"/>
              <w:snapToGrid w:val="0"/>
              <w:spacing w:line="288" w:lineRule="auto"/>
              <w:jc w:val="center"/>
              <w:rPr>
                <w:rFonts w:ascii="宋体" w:hAnsi="宋体"/>
                <w:spacing w:val="-6"/>
                <w:sz w:val="21"/>
                <w:szCs w:val="21"/>
              </w:rPr>
            </w:pPr>
          </w:p>
        </w:tc>
        <w:tc>
          <w:tcPr>
            <w:tcW w:w="3402" w:type="dxa"/>
            <w:vAlign w:val="center"/>
          </w:tcPr>
          <w:p w14:paraId="3AE88737">
            <w:pPr>
              <w:adjustRightInd w:val="0"/>
              <w:snapToGrid w:val="0"/>
              <w:spacing w:line="288" w:lineRule="auto"/>
              <w:jc w:val="center"/>
              <w:rPr>
                <w:rFonts w:ascii="宋体" w:hAnsi="宋体"/>
                <w:spacing w:val="-6"/>
                <w:sz w:val="21"/>
                <w:szCs w:val="21"/>
              </w:rPr>
            </w:pPr>
          </w:p>
        </w:tc>
        <w:tc>
          <w:tcPr>
            <w:tcW w:w="1985" w:type="dxa"/>
            <w:vAlign w:val="center"/>
          </w:tcPr>
          <w:p w14:paraId="4F2892BD">
            <w:pPr>
              <w:adjustRightInd w:val="0"/>
              <w:snapToGrid w:val="0"/>
              <w:spacing w:line="288" w:lineRule="auto"/>
              <w:jc w:val="center"/>
              <w:rPr>
                <w:rFonts w:ascii="宋体" w:hAnsi="宋体"/>
                <w:spacing w:val="-6"/>
                <w:sz w:val="21"/>
                <w:szCs w:val="21"/>
              </w:rPr>
            </w:pPr>
          </w:p>
        </w:tc>
      </w:tr>
      <w:tr w14:paraId="1199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36FDC383">
            <w:pPr>
              <w:adjustRightInd w:val="0"/>
              <w:snapToGrid w:val="0"/>
              <w:spacing w:line="288" w:lineRule="auto"/>
              <w:jc w:val="center"/>
              <w:rPr>
                <w:rFonts w:ascii="宋体" w:hAnsi="宋体"/>
                <w:spacing w:val="-6"/>
                <w:sz w:val="21"/>
                <w:szCs w:val="21"/>
              </w:rPr>
            </w:pPr>
          </w:p>
        </w:tc>
        <w:tc>
          <w:tcPr>
            <w:tcW w:w="3260" w:type="dxa"/>
            <w:vAlign w:val="center"/>
          </w:tcPr>
          <w:p w14:paraId="28CFA434">
            <w:pPr>
              <w:adjustRightInd w:val="0"/>
              <w:snapToGrid w:val="0"/>
              <w:spacing w:line="288" w:lineRule="auto"/>
              <w:jc w:val="center"/>
              <w:rPr>
                <w:rFonts w:ascii="宋体" w:hAnsi="宋体"/>
                <w:spacing w:val="-6"/>
                <w:sz w:val="21"/>
                <w:szCs w:val="21"/>
              </w:rPr>
            </w:pPr>
          </w:p>
        </w:tc>
        <w:tc>
          <w:tcPr>
            <w:tcW w:w="3402" w:type="dxa"/>
            <w:vAlign w:val="center"/>
          </w:tcPr>
          <w:p w14:paraId="115876A7">
            <w:pPr>
              <w:adjustRightInd w:val="0"/>
              <w:snapToGrid w:val="0"/>
              <w:spacing w:line="288" w:lineRule="auto"/>
              <w:jc w:val="center"/>
              <w:rPr>
                <w:rFonts w:ascii="宋体" w:hAnsi="宋体"/>
                <w:spacing w:val="-6"/>
                <w:sz w:val="21"/>
                <w:szCs w:val="21"/>
              </w:rPr>
            </w:pPr>
          </w:p>
        </w:tc>
        <w:tc>
          <w:tcPr>
            <w:tcW w:w="1985" w:type="dxa"/>
            <w:vAlign w:val="center"/>
          </w:tcPr>
          <w:p w14:paraId="64276F53">
            <w:pPr>
              <w:adjustRightInd w:val="0"/>
              <w:snapToGrid w:val="0"/>
              <w:spacing w:line="288" w:lineRule="auto"/>
              <w:jc w:val="center"/>
              <w:rPr>
                <w:rFonts w:ascii="宋体" w:hAnsi="宋体"/>
                <w:spacing w:val="-6"/>
                <w:sz w:val="21"/>
                <w:szCs w:val="21"/>
              </w:rPr>
            </w:pPr>
          </w:p>
        </w:tc>
      </w:tr>
      <w:tr w14:paraId="260F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7D88E896">
            <w:pPr>
              <w:adjustRightInd w:val="0"/>
              <w:snapToGrid w:val="0"/>
              <w:spacing w:line="288" w:lineRule="auto"/>
              <w:rPr>
                <w:rFonts w:ascii="宋体" w:hAnsi="宋体"/>
                <w:spacing w:val="-6"/>
                <w:sz w:val="21"/>
                <w:szCs w:val="21"/>
              </w:rPr>
            </w:pPr>
            <w:r>
              <w:rPr>
                <w:rFonts w:hint="eastAsia" w:ascii="宋体" w:hAnsi="宋体"/>
                <w:sz w:val="21"/>
                <w:szCs w:val="21"/>
              </w:rPr>
              <w:t>服务</w:t>
            </w:r>
            <w:r>
              <w:rPr>
                <w:rFonts w:ascii="宋体" w:hAnsi="宋体"/>
                <w:sz w:val="21"/>
                <w:szCs w:val="21"/>
              </w:rPr>
              <w:t>要求</w:t>
            </w:r>
          </w:p>
        </w:tc>
      </w:tr>
      <w:tr w14:paraId="2DF7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28FAB2C">
            <w:pPr>
              <w:adjustRightInd w:val="0"/>
              <w:snapToGrid w:val="0"/>
              <w:spacing w:line="288" w:lineRule="auto"/>
              <w:jc w:val="center"/>
              <w:rPr>
                <w:rFonts w:ascii="宋体" w:hAnsi="宋体"/>
                <w:spacing w:val="-6"/>
                <w:sz w:val="21"/>
                <w:szCs w:val="21"/>
              </w:rPr>
            </w:pPr>
          </w:p>
        </w:tc>
        <w:tc>
          <w:tcPr>
            <w:tcW w:w="3260" w:type="dxa"/>
            <w:vAlign w:val="center"/>
          </w:tcPr>
          <w:p w14:paraId="110EF6F3">
            <w:pPr>
              <w:adjustRightInd w:val="0"/>
              <w:snapToGrid w:val="0"/>
              <w:spacing w:line="288" w:lineRule="auto"/>
              <w:jc w:val="center"/>
              <w:rPr>
                <w:rFonts w:ascii="宋体" w:hAnsi="宋体"/>
                <w:spacing w:val="-6"/>
                <w:sz w:val="21"/>
                <w:szCs w:val="21"/>
              </w:rPr>
            </w:pPr>
          </w:p>
        </w:tc>
        <w:tc>
          <w:tcPr>
            <w:tcW w:w="3402" w:type="dxa"/>
            <w:vAlign w:val="center"/>
          </w:tcPr>
          <w:p w14:paraId="3A52D0CE">
            <w:pPr>
              <w:adjustRightInd w:val="0"/>
              <w:snapToGrid w:val="0"/>
              <w:spacing w:line="288" w:lineRule="auto"/>
              <w:jc w:val="center"/>
              <w:rPr>
                <w:rFonts w:ascii="宋体" w:hAnsi="宋体"/>
                <w:spacing w:val="-6"/>
                <w:sz w:val="21"/>
                <w:szCs w:val="21"/>
              </w:rPr>
            </w:pPr>
          </w:p>
        </w:tc>
        <w:tc>
          <w:tcPr>
            <w:tcW w:w="1985" w:type="dxa"/>
            <w:vAlign w:val="center"/>
          </w:tcPr>
          <w:p w14:paraId="66540530">
            <w:pPr>
              <w:adjustRightInd w:val="0"/>
              <w:snapToGrid w:val="0"/>
              <w:spacing w:line="288" w:lineRule="auto"/>
              <w:jc w:val="center"/>
              <w:rPr>
                <w:rFonts w:ascii="宋体" w:hAnsi="宋体"/>
                <w:spacing w:val="-6"/>
                <w:sz w:val="21"/>
                <w:szCs w:val="21"/>
              </w:rPr>
            </w:pPr>
          </w:p>
        </w:tc>
      </w:tr>
      <w:tr w14:paraId="181B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D8B3EA6">
            <w:pPr>
              <w:adjustRightInd w:val="0"/>
              <w:snapToGrid w:val="0"/>
              <w:spacing w:line="288" w:lineRule="auto"/>
              <w:jc w:val="center"/>
              <w:rPr>
                <w:rFonts w:ascii="宋体" w:hAnsi="宋体"/>
                <w:spacing w:val="-6"/>
                <w:sz w:val="21"/>
                <w:szCs w:val="21"/>
              </w:rPr>
            </w:pPr>
          </w:p>
        </w:tc>
        <w:tc>
          <w:tcPr>
            <w:tcW w:w="3260" w:type="dxa"/>
            <w:vAlign w:val="center"/>
          </w:tcPr>
          <w:p w14:paraId="6E01007B">
            <w:pPr>
              <w:adjustRightInd w:val="0"/>
              <w:snapToGrid w:val="0"/>
              <w:spacing w:line="288" w:lineRule="auto"/>
              <w:jc w:val="center"/>
              <w:rPr>
                <w:rFonts w:ascii="宋体" w:hAnsi="宋体"/>
                <w:spacing w:val="-6"/>
                <w:sz w:val="21"/>
                <w:szCs w:val="21"/>
              </w:rPr>
            </w:pPr>
          </w:p>
        </w:tc>
        <w:tc>
          <w:tcPr>
            <w:tcW w:w="3402" w:type="dxa"/>
            <w:vAlign w:val="center"/>
          </w:tcPr>
          <w:p w14:paraId="7964197D">
            <w:pPr>
              <w:adjustRightInd w:val="0"/>
              <w:snapToGrid w:val="0"/>
              <w:spacing w:line="288" w:lineRule="auto"/>
              <w:jc w:val="center"/>
              <w:rPr>
                <w:rFonts w:ascii="宋体" w:hAnsi="宋体"/>
                <w:spacing w:val="-6"/>
                <w:sz w:val="21"/>
                <w:szCs w:val="21"/>
              </w:rPr>
            </w:pPr>
          </w:p>
        </w:tc>
        <w:tc>
          <w:tcPr>
            <w:tcW w:w="1985" w:type="dxa"/>
            <w:vAlign w:val="center"/>
          </w:tcPr>
          <w:p w14:paraId="534B63E0">
            <w:pPr>
              <w:adjustRightInd w:val="0"/>
              <w:snapToGrid w:val="0"/>
              <w:spacing w:line="288" w:lineRule="auto"/>
              <w:jc w:val="center"/>
              <w:rPr>
                <w:rFonts w:ascii="宋体" w:hAnsi="宋体"/>
                <w:spacing w:val="-6"/>
                <w:sz w:val="21"/>
                <w:szCs w:val="21"/>
              </w:rPr>
            </w:pPr>
          </w:p>
        </w:tc>
      </w:tr>
      <w:tr w14:paraId="2A59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3BA7EFEA">
            <w:pPr>
              <w:adjustRightInd w:val="0"/>
              <w:snapToGrid w:val="0"/>
              <w:spacing w:line="288" w:lineRule="auto"/>
              <w:rPr>
                <w:rFonts w:ascii="宋体" w:hAnsi="宋体"/>
                <w:spacing w:val="-6"/>
                <w:sz w:val="21"/>
                <w:szCs w:val="21"/>
              </w:rPr>
            </w:pPr>
            <w:r>
              <w:rPr>
                <w:rFonts w:ascii="宋体" w:hAnsi="宋体"/>
                <w:spacing w:val="-6"/>
                <w:sz w:val="21"/>
                <w:szCs w:val="21"/>
              </w:rPr>
              <w:t>技术要求</w:t>
            </w:r>
          </w:p>
        </w:tc>
      </w:tr>
      <w:tr w14:paraId="7A76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3C31F49">
            <w:pPr>
              <w:adjustRightInd w:val="0"/>
              <w:snapToGrid w:val="0"/>
              <w:spacing w:line="288" w:lineRule="auto"/>
              <w:jc w:val="center"/>
              <w:rPr>
                <w:rFonts w:ascii="宋体" w:hAnsi="宋体"/>
                <w:spacing w:val="-6"/>
                <w:sz w:val="21"/>
                <w:szCs w:val="21"/>
              </w:rPr>
            </w:pPr>
          </w:p>
        </w:tc>
        <w:tc>
          <w:tcPr>
            <w:tcW w:w="3260" w:type="dxa"/>
            <w:vAlign w:val="center"/>
          </w:tcPr>
          <w:p w14:paraId="3AC03CFC">
            <w:pPr>
              <w:adjustRightInd w:val="0"/>
              <w:snapToGrid w:val="0"/>
              <w:spacing w:line="288" w:lineRule="auto"/>
              <w:jc w:val="center"/>
              <w:rPr>
                <w:rFonts w:ascii="宋体" w:hAnsi="宋体"/>
                <w:spacing w:val="-6"/>
                <w:sz w:val="21"/>
                <w:szCs w:val="21"/>
              </w:rPr>
            </w:pPr>
          </w:p>
        </w:tc>
        <w:tc>
          <w:tcPr>
            <w:tcW w:w="3402" w:type="dxa"/>
            <w:vAlign w:val="center"/>
          </w:tcPr>
          <w:p w14:paraId="1BBBBFA9">
            <w:pPr>
              <w:adjustRightInd w:val="0"/>
              <w:snapToGrid w:val="0"/>
              <w:spacing w:line="288" w:lineRule="auto"/>
              <w:jc w:val="center"/>
              <w:rPr>
                <w:rFonts w:ascii="宋体" w:hAnsi="宋体"/>
                <w:spacing w:val="-6"/>
                <w:sz w:val="21"/>
                <w:szCs w:val="21"/>
              </w:rPr>
            </w:pPr>
          </w:p>
        </w:tc>
        <w:tc>
          <w:tcPr>
            <w:tcW w:w="1985" w:type="dxa"/>
            <w:vAlign w:val="center"/>
          </w:tcPr>
          <w:p w14:paraId="7BEDCE4D">
            <w:pPr>
              <w:adjustRightInd w:val="0"/>
              <w:snapToGrid w:val="0"/>
              <w:spacing w:line="288" w:lineRule="auto"/>
              <w:jc w:val="center"/>
              <w:rPr>
                <w:rFonts w:ascii="宋体" w:hAnsi="宋体"/>
                <w:spacing w:val="-6"/>
                <w:sz w:val="21"/>
                <w:szCs w:val="21"/>
              </w:rPr>
            </w:pPr>
          </w:p>
        </w:tc>
      </w:tr>
      <w:tr w14:paraId="2C10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5AB413B">
            <w:pPr>
              <w:adjustRightInd w:val="0"/>
              <w:snapToGrid w:val="0"/>
              <w:spacing w:line="288" w:lineRule="auto"/>
              <w:jc w:val="center"/>
              <w:rPr>
                <w:rFonts w:ascii="宋体" w:hAnsi="宋体"/>
                <w:spacing w:val="-6"/>
                <w:sz w:val="21"/>
                <w:szCs w:val="21"/>
              </w:rPr>
            </w:pPr>
          </w:p>
        </w:tc>
        <w:tc>
          <w:tcPr>
            <w:tcW w:w="3260" w:type="dxa"/>
            <w:vAlign w:val="center"/>
          </w:tcPr>
          <w:p w14:paraId="56737BA4">
            <w:pPr>
              <w:adjustRightInd w:val="0"/>
              <w:snapToGrid w:val="0"/>
              <w:spacing w:line="288" w:lineRule="auto"/>
              <w:jc w:val="center"/>
              <w:rPr>
                <w:rFonts w:ascii="宋体" w:hAnsi="宋体"/>
                <w:spacing w:val="-6"/>
                <w:sz w:val="21"/>
                <w:szCs w:val="21"/>
              </w:rPr>
            </w:pPr>
          </w:p>
        </w:tc>
        <w:tc>
          <w:tcPr>
            <w:tcW w:w="3402" w:type="dxa"/>
            <w:vAlign w:val="center"/>
          </w:tcPr>
          <w:p w14:paraId="75D7177A">
            <w:pPr>
              <w:adjustRightInd w:val="0"/>
              <w:snapToGrid w:val="0"/>
              <w:spacing w:line="288" w:lineRule="auto"/>
              <w:jc w:val="center"/>
              <w:rPr>
                <w:rFonts w:ascii="宋体" w:hAnsi="宋体"/>
                <w:spacing w:val="-6"/>
                <w:sz w:val="21"/>
                <w:szCs w:val="21"/>
              </w:rPr>
            </w:pPr>
          </w:p>
        </w:tc>
        <w:tc>
          <w:tcPr>
            <w:tcW w:w="1985" w:type="dxa"/>
            <w:vAlign w:val="center"/>
          </w:tcPr>
          <w:p w14:paraId="19704CCA">
            <w:pPr>
              <w:adjustRightInd w:val="0"/>
              <w:snapToGrid w:val="0"/>
              <w:spacing w:line="288" w:lineRule="auto"/>
              <w:jc w:val="center"/>
              <w:rPr>
                <w:rFonts w:ascii="宋体" w:hAnsi="宋体"/>
                <w:spacing w:val="-6"/>
                <w:sz w:val="21"/>
                <w:szCs w:val="21"/>
              </w:rPr>
            </w:pPr>
          </w:p>
        </w:tc>
      </w:tr>
    </w:tbl>
    <w:p w14:paraId="676DFDDA">
      <w:pPr>
        <w:adjustRightInd w:val="0"/>
        <w:snapToGrid w:val="0"/>
        <w:spacing w:line="288" w:lineRule="auto"/>
        <w:rPr>
          <w:rFonts w:ascii="宋体" w:hAnsi="宋体"/>
          <w:b/>
          <w:bCs/>
          <w:spacing w:val="-6"/>
          <w:sz w:val="21"/>
          <w:szCs w:val="21"/>
        </w:rPr>
      </w:pPr>
    </w:p>
    <w:p w14:paraId="171407C6">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14:paraId="20E3D592">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逐项按照磋商文件要求填写响应规格；</w:t>
      </w:r>
    </w:p>
    <w:p w14:paraId="34E46D02">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偏离说明是指对磋商文件要求存在不同之处的解释说明。偏离系指：正偏离（高于采购需求）、负偏离（低于采购需求）、无偏离（满足采购需求）；</w:t>
      </w:r>
    </w:p>
    <w:p w14:paraId="7763E4F1">
      <w:pPr>
        <w:adjustRightInd w:val="0"/>
        <w:snapToGrid w:val="0"/>
        <w:spacing w:line="288" w:lineRule="auto"/>
        <w:rPr>
          <w:rFonts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，自行承担磋商响应风险。</w:t>
      </w:r>
    </w:p>
    <w:p w14:paraId="01B19AF8">
      <w:pPr>
        <w:adjustRightInd w:val="0"/>
        <w:snapToGrid w:val="0"/>
        <w:spacing w:line="288" w:lineRule="auto"/>
        <w:rPr>
          <w:rFonts w:ascii="宋体" w:hAnsi="宋体"/>
          <w:spacing w:val="-6"/>
          <w:sz w:val="21"/>
          <w:szCs w:val="21"/>
        </w:rPr>
      </w:pPr>
    </w:p>
    <w:p w14:paraId="53058A9F">
      <w:pPr>
        <w:adjustRightInd w:val="0"/>
        <w:snapToGrid w:val="0"/>
        <w:spacing w:line="288" w:lineRule="auto"/>
        <w:rPr>
          <w:rFonts w:ascii="宋体" w:hAnsi="宋体"/>
          <w:spacing w:val="-6"/>
          <w:sz w:val="21"/>
          <w:szCs w:val="21"/>
        </w:rPr>
      </w:pPr>
      <w:r>
        <w:rPr>
          <w:rFonts w:hint="eastAsia" w:ascii="宋体" w:hAnsi="宋体"/>
          <w:spacing w:val="-6"/>
          <w:sz w:val="21"/>
          <w:szCs w:val="21"/>
        </w:rPr>
        <w:t>供应商名称（盖章）：</w:t>
      </w:r>
    </w:p>
    <w:p w14:paraId="64F88682">
      <w:pPr>
        <w:adjustRightInd w:val="0"/>
        <w:snapToGrid w:val="0"/>
        <w:spacing w:line="288" w:lineRule="auto"/>
        <w:rPr>
          <w:rFonts w:ascii="宋体" w:hAnsi="宋体"/>
          <w:spacing w:val="-6"/>
          <w:sz w:val="21"/>
          <w:szCs w:val="21"/>
        </w:rPr>
      </w:pPr>
      <w:r>
        <w:rPr>
          <w:rFonts w:hint="eastAsia" w:ascii="宋体" w:hAnsi="宋体"/>
          <w:spacing w:val="-6"/>
          <w:sz w:val="21"/>
          <w:szCs w:val="21"/>
        </w:rPr>
        <w:t>供应商授权代表签名：</w:t>
      </w:r>
    </w:p>
    <w:p w14:paraId="0A504945">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14:paraId="5C04FFD4">
      <w:pPr>
        <w:adjustRightInd w:val="0"/>
        <w:snapToGrid w:val="0"/>
        <w:spacing w:line="288" w:lineRule="auto"/>
        <w:jc w:val="center"/>
        <w:outlineLvl w:val="2"/>
        <w:rPr>
          <w:rFonts w:ascii="宋体" w:hAnsi="宋体"/>
          <w:spacing w:val="-6"/>
          <w:sz w:val="21"/>
          <w:szCs w:val="21"/>
        </w:rPr>
      </w:pPr>
      <w:r>
        <w:rPr>
          <w:rFonts w:ascii="宋体" w:hAnsi="宋体"/>
          <w:spacing w:val="-6"/>
          <w:sz w:val="21"/>
          <w:szCs w:val="21"/>
        </w:rPr>
        <w:br w:type="page"/>
      </w:r>
      <w:r>
        <w:rPr>
          <w:rFonts w:hint="eastAsia" w:ascii="宋体" w:hAnsi="宋体" w:cs="宋体"/>
          <w:b/>
          <w:bCs/>
          <w:sz w:val="21"/>
          <w:szCs w:val="21"/>
        </w:rPr>
        <w:t>（</w:t>
      </w:r>
      <w:r>
        <w:rPr>
          <w:rFonts w:ascii="宋体" w:hAnsi="宋体" w:cs="宋体"/>
          <w:b/>
          <w:bCs/>
          <w:sz w:val="21"/>
          <w:szCs w:val="21"/>
        </w:rPr>
        <w:t>5</w:t>
      </w:r>
      <w:r>
        <w:rPr>
          <w:rFonts w:hint="eastAsia" w:ascii="宋体" w:hAnsi="宋体" w:cs="宋体"/>
          <w:b/>
          <w:bCs/>
          <w:sz w:val="21"/>
          <w:szCs w:val="21"/>
        </w:rPr>
        <w:t>）</w:t>
      </w:r>
      <w:r>
        <w:rPr>
          <w:rFonts w:hint="eastAsia" w:ascii="宋体" w:hAnsi="宋体" w:cs="宋体"/>
          <w:b/>
          <w:bCs/>
          <w:sz w:val="21"/>
          <w:szCs w:val="21"/>
          <w:lang w:eastAsia="zh-CN"/>
        </w:rPr>
        <w:t>标的配置</w:t>
      </w:r>
      <w:r>
        <w:rPr>
          <w:rFonts w:hint="eastAsia" w:ascii="宋体" w:hAnsi="宋体" w:cs="宋体"/>
          <w:b/>
          <w:bCs/>
          <w:sz w:val="21"/>
          <w:szCs w:val="21"/>
        </w:rPr>
        <w:t>清单</w:t>
      </w:r>
      <w:r>
        <w:rPr>
          <w:rFonts w:hint="eastAsia" w:ascii="宋体" w:hAnsi="宋体" w:cs="宋体"/>
          <w:sz w:val="21"/>
          <w:szCs w:val="21"/>
        </w:rPr>
        <w:t>（不含报价）</w:t>
      </w:r>
    </w:p>
    <w:p w14:paraId="6E02B73E">
      <w:pPr>
        <w:adjustRightInd w:val="0"/>
        <w:snapToGrid w:val="0"/>
        <w:spacing w:line="288" w:lineRule="auto"/>
        <w:rPr>
          <w:rFonts w:ascii="宋体" w:hAnsi="宋体"/>
          <w:spacing w:val="-6"/>
          <w:sz w:val="21"/>
          <w:szCs w:val="21"/>
        </w:rPr>
      </w:pPr>
      <w:r>
        <w:rPr>
          <w:rFonts w:hint="eastAsia" w:ascii="宋体" w:hAnsi="宋体"/>
          <w:bCs/>
          <w:spacing w:val="-6"/>
          <w:sz w:val="21"/>
          <w:szCs w:val="21"/>
        </w:rPr>
        <w:t>标项：</w:t>
      </w:r>
    </w:p>
    <w:tbl>
      <w:tblPr>
        <w:tblStyle w:val="21"/>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62913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623015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41E9948">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7492F5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p w14:paraId="7F1077F3">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109CA62">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1BBCBC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A7400B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5AFEB41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4D2F9DA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416A56D3">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7480C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67DE6EA">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FAEAFEA">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58C68C1">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066AEF">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75DEA4D">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50EF9F5">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CE5FA32">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492B6FED">
            <w:pPr>
              <w:adjustRightInd w:val="0"/>
              <w:snapToGrid w:val="0"/>
              <w:spacing w:line="360" w:lineRule="auto"/>
              <w:jc w:val="center"/>
              <w:rPr>
                <w:rFonts w:hint="eastAsia" w:ascii="宋体" w:hAnsi="宋体" w:eastAsia="宋体" w:cs="宋体"/>
                <w:b/>
                <w:bCs/>
                <w:sz w:val="21"/>
                <w:szCs w:val="21"/>
              </w:rPr>
            </w:pPr>
          </w:p>
        </w:tc>
      </w:tr>
      <w:tr w14:paraId="6B8A4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779651">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59E755B">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1E5B82">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252B98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338B139">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E762F5D">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19E393A">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73D1027">
            <w:pPr>
              <w:adjustRightInd w:val="0"/>
              <w:snapToGrid w:val="0"/>
              <w:spacing w:line="360" w:lineRule="auto"/>
              <w:jc w:val="center"/>
              <w:rPr>
                <w:rFonts w:hint="eastAsia" w:ascii="宋体" w:hAnsi="宋体" w:eastAsia="宋体" w:cs="宋体"/>
                <w:b/>
                <w:bCs/>
                <w:sz w:val="21"/>
                <w:szCs w:val="21"/>
              </w:rPr>
            </w:pPr>
          </w:p>
        </w:tc>
      </w:tr>
      <w:tr w14:paraId="6008B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4DB04DD">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906A58F">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1945690">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5B491DF">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88BC350">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DB9A88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1E70C05">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03780CE">
            <w:pPr>
              <w:adjustRightInd w:val="0"/>
              <w:snapToGrid w:val="0"/>
              <w:spacing w:line="360" w:lineRule="auto"/>
              <w:jc w:val="center"/>
              <w:rPr>
                <w:rFonts w:hint="eastAsia" w:ascii="宋体" w:hAnsi="宋体" w:eastAsia="宋体" w:cs="宋体"/>
                <w:b/>
                <w:bCs/>
                <w:sz w:val="21"/>
                <w:szCs w:val="21"/>
              </w:rPr>
            </w:pPr>
          </w:p>
        </w:tc>
      </w:tr>
    </w:tbl>
    <w:p w14:paraId="6E54A05E">
      <w:pPr>
        <w:adjustRightInd w:val="0"/>
        <w:snapToGrid w:val="0"/>
        <w:spacing w:line="288" w:lineRule="auto"/>
        <w:rPr>
          <w:rFonts w:hint="eastAsia" w:ascii="宋体" w:hAnsi="宋体" w:eastAsia="宋体" w:cs="宋体"/>
          <w:spacing w:val="-6"/>
          <w:sz w:val="21"/>
          <w:szCs w:val="21"/>
        </w:rPr>
      </w:pPr>
    </w:p>
    <w:p w14:paraId="6C24861C">
      <w:pPr>
        <w:adjustRightInd w:val="0"/>
        <w:snapToGrid w:val="0"/>
        <w:spacing w:line="360" w:lineRule="auto"/>
        <w:rPr>
          <w:rFonts w:hint="eastAsia" w:ascii="宋体" w:hAnsi="宋体" w:eastAsia="宋体" w:cs="宋体"/>
          <w:bCs/>
          <w:spacing w:val="-6"/>
          <w:sz w:val="21"/>
          <w:szCs w:val="21"/>
        </w:rPr>
      </w:pPr>
      <w:r>
        <w:rPr>
          <w:rFonts w:hint="eastAsia" w:ascii="宋体" w:hAnsi="宋体" w:eastAsia="宋体" w:cs="宋体"/>
          <w:bCs/>
          <w:spacing w:val="-6"/>
          <w:sz w:val="21"/>
          <w:szCs w:val="21"/>
        </w:rPr>
        <w:t>注：</w:t>
      </w:r>
    </w:p>
    <w:p w14:paraId="6FA4CD48">
      <w:pPr>
        <w:adjustRightInd w:val="0"/>
        <w:snapToGrid w:val="0"/>
        <w:spacing w:line="288" w:lineRule="auto"/>
        <w:rPr>
          <w:rFonts w:hint="eastAsia" w:ascii="宋体" w:hAnsi="宋体" w:eastAsia="宋体" w:cs="宋体"/>
          <w:bCs/>
          <w:spacing w:val="-6"/>
          <w:sz w:val="21"/>
          <w:szCs w:val="21"/>
        </w:rPr>
      </w:pPr>
      <w:r>
        <w:rPr>
          <w:rFonts w:hint="eastAsia" w:ascii="宋体" w:hAnsi="宋体" w:eastAsia="宋体" w:cs="宋体"/>
          <w:bCs/>
          <w:spacing w:val="-6"/>
          <w:sz w:val="21"/>
          <w:szCs w:val="21"/>
        </w:rPr>
        <w:t>1.供应商应按照</w:t>
      </w:r>
      <w:r>
        <w:rPr>
          <w:rFonts w:hint="eastAsia" w:cs="宋体"/>
          <w:bCs/>
          <w:spacing w:val="-6"/>
          <w:sz w:val="21"/>
          <w:szCs w:val="21"/>
          <w:lang w:val="en-US" w:eastAsia="zh-CN"/>
        </w:rPr>
        <w:t>磋商</w:t>
      </w:r>
      <w:r>
        <w:rPr>
          <w:rFonts w:hint="eastAsia" w:ascii="宋体" w:hAnsi="宋体" w:eastAsia="宋体" w:cs="宋体"/>
          <w:bCs/>
          <w:spacing w:val="-6"/>
          <w:sz w:val="21"/>
          <w:szCs w:val="21"/>
        </w:rPr>
        <w:t>文件明确的标的清单填写此表；</w:t>
      </w:r>
    </w:p>
    <w:p w14:paraId="5559B5CE">
      <w:pPr>
        <w:adjustRightInd w:val="0"/>
        <w:snapToGrid w:val="0"/>
        <w:spacing w:line="288" w:lineRule="auto"/>
        <w:rPr>
          <w:rFonts w:hint="eastAsia" w:ascii="宋体" w:hAnsi="宋体" w:eastAsia="宋体" w:cs="宋体"/>
          <w:bCs/>
          <w:spacing w:val="-6"/>
          <w:sz w:val="21"/>
          <w:szCs w:val="21"/>
        </w:rPr>
      </w:pPr>
      <w:r>
        <w:rPr>
          <w:rFonts w:hint="eastAsia" w:ascii="宋体" w:hAnsi="宋体" w:eastAsia="宋体" w:cs="宋体"/>
          <w:bCs/>
          <w:spacing w:val="-6"/>
          <w:sz w:val="21"/>
          <w:szCs w:val="21"/>
        </w:rPr>
        <w:t>★2.服务项目不涉及提供货物的，规格型号、品牌、制造商、产地的可不填写；</w:t>
      </w:r>
    </w:p>
    <w:p w14:paraId="318447A7">
      <w:pPr>
        <w:adjustRightInd w:val="0"/>
        <w:snapToGrid w:val="0"/>
        <w:spacing w:line="288" w:lineRule="auto"/>
        <w:rPr>
          <w:rFonts w:ascii="宋体" w:hAnsi="宋体"/>
          <w:spacing w:val="-6"/>
          <w:sz w:val="21"/>
          <w:szCs w:val="21"/>
        </w:rPr>
      </w:pPr>
    </w:p>
    <w:p w14:paraId="1AE3A744">
      <w:pPr>
        <w:adjustRightInd w:val="0"/>
        <w:snapToGrid w:val="0"/>
        <w:spacing w:line="288" w:lineRule="auto"/>
        <w:rPr>
          <w:rFonts w:ascii="宋体" w:hAnsi="宋体"/>
          <w:spacing w:val="-6"/>
          <w:sz w:val="21"/>
          <w:szCs w:val="21"/>
        </w:rPr>
      </w:pPr>
      <w:r>
        <w:rPr>
          <w:rFonts w:hint="eastAsia" w:ascii="宋体" w:hAnsi="宋体"/>
          <w:spacing w:val="-6"/>
          <w:sz w:val="21"/>
          <w:szCs w:val="21"/>
        </w:rPr>
        <w:t>供应商名称（盖章）：</w:t>
      </w:r>
    </w:p>
    <w:p w14:paraId="4FACA719">
      <w:pPr>
        <w:adjustRightInd w:val="0"/>
        <w:snapToGrid w:val="0"/>
        <w:spacing w:line="288" w:lineRule="auto"/>
        <w:rPr>
          <w:rFonts w:ascii="宋体" w:hAnsi="宋体"/>
          <w:spacing w:val="-6"/>
          <w:sz w:val="21"/>
          <w:szCs w:val="21"/>
        </w:rPr>
      </w:pPr>
      <w:r>
        <w:rPr>
          <w:rFonts w:hint="eastAsia" w:ascii="宋体" w:hAnsi="宋体"/>
          <w:spacing w:val="-6"/>
          <w:sz w:val="21"/>
          <w:szCs w:val="21"/>
        </w:rPr>
        <w:t>供应商授权代表签名：</w:t>
      </w:r>
    </w:p>
    <w:p w14:paraId="4EF2987A">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14:paraId="67B1B477">
      <w:pPr>
        <w:adjustRightInd w:val="0"/>
        <w:snapToGrid w:val="0"/>
        <w:spacing w:line="288" w:lineRule="auto"/>
        <w:rPr>
          <w:rFonts w:ascii="宋体" w:hAnsi="宋体"/>
          <w:spacing w:val="-6"/>
          <w:sz w:val="21"/>
          <w:szCs w:val="21"/>
        </w:rPr>
      </w:pPr>
    </w:p>
    <w:p w14:paraId="2AA4DDA0">
      <w:pPr>
        <w:adjustRightInd w:val="0"/>
        <w:snapToGrid w:val="0"/>
        <w:spacing w:line="288" w:lineRule="auto"/>
        <w:rPr>
          <w:rFonts w:ascii="宋体" w:hAnsi="宋体" w:cs="宋体"/>
          <w:b/>
          <w:spacing w:val="-6"/>
          <w:sz w:val="21"/>
          <w:szCs w:val="21"/>
          <w:highlight w:val="none"/>
        </w:rPr>
      </w:pPr>
      <w:r>
        <w:rPr>
          <w:rFonts w:hint="eastAsia" w:ascii="宋体" w:hAnsi="宋体" w:cs="宋体"/>
          <w:b/>
          <w:spacing w:val="-6"/>
          <w:sz w:val="21"/>
          <w:szCs w:val="21"/>
          <w:highlight w:val="none"/>
        </w:rPr>
        <w:t>附：产品技术支持材料</w:t>
      </w:r>
    </w:p>
    <w:p w14:paraId="46CEFD16">
      <w:pPr>
        <w:adjustRightInd w:val="0"/>
        <w:snapToGrid w:val="0"/>
        <w:spacing w:line="288" w:lineRule="auto"/>
        <w:rPr>
          <w:rFonts w:ascii="宋体" w:hAnsi="宋体"/>
          <w:spacing w:val="-6"/>
          <w:sz w:val="21"/>
          <w:szCs w:val="21"/>
        </w:rPr>
      </w:pPr>
    </w:p>
    <w:p w14:paraId="7914F5D4">
      <w:pPr>
        <w:adjustRightInd w:val="0"/>
        <w:snapToGrid w:val="0"/>
        <w:spacing w:line="288" w:lineRule="auto"/>
        <w:jc w:val="center"/>
        <w:outlineLvl w:val="9"/>
        <w:rPr>
          <w:rFonts w:ascii="宋体" w:hAnsi="宋体"/>
          <w:b/>
          <w:spacing w:val="-6"/>
          <w:sz w:val="21"/>
          <w:szCs w:val="21"/>
        </w:rPr>
      </w:pPr>
      <w:r>
        <w:rPr>
          <w:rFonts w:ascii="宋体" w:hAnsi="宋体"/>
          <w:b/>
          <w:spacing w:val="-6"/>
          <w:sz w:val="21"/>
          <w:szCs w:val="21"/>
        </w:rPr>
        <w:br w:type="page"/>
      </w:r>
    </w:p>
    <w:p w14:paraId="6DC31184">
      <w:pPr>
        <w:adjustRightInd w:val="0"/>
        <w:snapToGrid w:val="0"/>
        <w:spacing w:line="288" w:lineRule="auto"/>
        <w:outlineLvl w:val="2"/>
        <w:rPr>
          <w:rFonts w:hint="eastAsia" w:ascii="宋体" w:hAnsi="宋体" w:cs="宋体"/>
          <w:b/>
          <w:spacing w:val="-6"/>
          <w:sz w:val="21"/>
          <w:szCs w:val="21"/>
        </w:rPr>
      </w:pPr>
      <w:bookmarkStart w:id="72" w:name="_Hlk71885757"/>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6</w:t>
      </w:r>
      <w:r>
        <w:rPr>
          <w:rFonts w:hint="eastAsia" w:ascii="宋体" w:hAnsi="宋体" w:cs="宋体"/>
          <w:b/>
          <w:spacing w:val="-6"/>
          <w:sz w:val="21"/>
          <w:szCs w:val="21"/>
          <w:lang w:eastAsia="zh-CN"/>
        </w:rPr>
        <w:t>）</w:t>
      </w:r>
      <w:r>
        <w:rPr>
          <w:rFonts w:hint="eastAsia" w:ascii="宋体" w:hAnsi="宋体" w:cs="宋体"/>
          <w:b/>
          <w:spacing w:val="-6"/>
          <w:sz w:val="21"/>
          <w:szCs w:val="21"/>
        </w:rPr>
        <w:t>产品功能及配置</w:t>
      </w:r>
    </w:p>
    <w:p w14:paraId="7FF74976">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7</w:t>
      </w:r>
      <w:r>
        <w:rPr>
          <w:rFonts w:hint="eastAsia" w:ascii="宋体" w:hAnsi="宋体" w:cs="宋体"/>
          <w:b/>
          <w:spacing w:val="-6"/>
          <w:sz w:val="21"/>
          <w:szCs w:val="21"/>
          <w:lang w:eastAsia="zh-CN"/>
        </w:rPr>
        <w:t>）</w:t>
      </w:r>
      <w:r>
        <w:rPr>
          <w:rFonts w:hint="eastAsia" w:ascii="宋体" w:hAnsi="宋体" w:cs="宋体"/>
          <w:b/>
          <w:spacing w:val="-6"/>
          <w:sz w:val="21"/>
          <w:szCs w:val="21"/>
        </w:rPr>
        <w:t>项目实施方案</w:t>
      </w:r>
    </w:p>
    <w:p w14:paraId="690D3A98">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8</w:t>
      </w:r>
      <w:r>
        <w:rPr>
          <w:rFonts w:hint="eastAsia" w:ascii="宋体" w:hAnsi="宋体" w:cs="宋体"/>
          <w:b/>
          <w:spacing w:val="-6"/>
          <w:sz w:val="21"/>
          <w:szCs w:val="21"/>
          <w:lang w:eastAsia="zh-CN"/>
        </w:rPr>
        <w:t>）</w:t>
      </w:r>
      <w:r>
        <w:rPr>
          <w:rFonts w:hint="eastAsia" w:ascii="宋体" w:hAnsi="宋体" w:cs="宋体"/>
          <w:b/>
          <w:spacing w:val="-6"/>
          <w:sz w:val="21"/>
          <w:szCs w:val="21"/>
        </w:rPr>
        <w:t>安装调试</w:t>
      </w:r>
    </w:p>
    <w:p w14:paraId="7D450ED7">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9</w:t>
      </w:r>
      <w:r>
        <w:rPr>
          <w:rFonts w:hint="eastAsia" w:ascii="宋体" w:hAnsi="宋体" w:cs="宋体"/>
          <w:b/>
          <w:spacing w:val="-6"/>
          <w:sz w:val="21"/>
          <w:szCs w:val="21"/>
          <w:lang w:eastAsia="zh-CN"/>
        </w:rPr>
        <w:t>）</w:t>
      </w:r>
      <w:r>
        <w:rPr>
          <w:rFonts w:hint="eastAsia" w:ascii="宋体" w:hAnsi="宋体" w:cs="宋体"/>
          <w:b/>
          <w:spacing w:val="-6"/>
          <w:sz w:val="21"/>
          <w:szCs w:val="21"/>
        </w:rPr>
        <w:t>培训</w:t>
      </w:r>
    </w:p>
    <w:p w14:paraId="45A557E9">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10</w:t>
      </w:r>
      <w:r>
        <w:rPr>
          <w:rFonts w:hint="eastAsia" w:ascii="宋体" w:hAnsi="宋体" w:cs="宋体"/>
          <w:b/>
          <w:spacing w:val="-6"/>
          <w:sz w:val="21"/>
          <w:szCs w:val="21"/>
          <w:lang w:eastAsia="zh-CN"/>
        </w:rPr>
        <w:t>）</w:t>
      </w:r>
      <w:r>
        <w:rPr>
          <w:rFonts w:hint="eastAsia" w:ascii="宋体" w:hAnsi="宋体" w:cs="宋体"/>
          <w:b/>
          <w:spacing w:val="-6"/>
          <w:sz w:val="21"/>
          <w:szCs w:val="21"/>
        </w:rPr>
        <w:t>售后服务</w:t>
      </w:r>
    </w:p>
    <w:p w14:paraId="59B5819E">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11</w:t>
      </w:r>
      <w:r>
        <w:rPr>
          <w:rFonts w:hint="eastAsia" w:ascii="宋体" w:hAnsi="宋体" w:cs="宋体"/>
          <w:b/>
          <w:spacing w:val="-6"/>
          <w:sz w:val="21"/>
          <w:szCs w:val="21"/>
          <w:lang w:eastAsia="zh-CN"/>
        </w:rPr>
        <w:t>）</w:t>
      </w:r>
      <w:r>
        <w:rPr>
          <w:rFonts w:hint="eastAsia" w:ascii="宋体" w:hAnsi="宋体" w:cs="宋体"/>
          <w:b/>
          <w:spacing w:val="-6"/>
          <w:sz w:val="21"/>
          <w:szCs w:val="21"/>
        </w:rPr>
        <w:t>配件耗材</w:t>
      </w:r>
    </w:p>
    <w:p w14:paraId="7F7E4241">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rPr>
        <w:t>（</w:t>
      </w:r>
      <w:r>
        <w:rPr>
          <w:rFonts w:hint="eastAsia" w:ascii="宋体" w:hAnsi="宋体" w:cs="宋体"/>
          <w:b/>
          <w:spacing w:val="-6"/>
          <w:sz w:val="21"/>
          <w:szCs w:val="21"/>
          <w:lang w:val="en-US" w:eastAsia="zh-CN"/>
        </w:rPr>
        <w:t>12</w:t>
      </w:r>
      <w:r>
        <w:rPr>
          <w:rFonts w:hint="eastAsia" w:ascii="宋体" w:hAnsi="宋体" w:cs="宋体"/>
          <w:b/>
          <w:spacing w:val="-6"/>
          <w:sz w:val="21"/>
          <w:szCs w:val="21"/>
        </w:rPr>
        <w:t>）供应商需要说明的其他文件和材料</w:t>
      </w:r>
    </w:p>
    <w:bookmarkEnd w:id="72"/>
    <w:p w14:paraId="16F452D4">
      <w:pPr>
        <w:widowControl/>
        <w:jc w:val="left"/>
        <w:rPr>
          <w:rFonts w:ascii="宋体" w:hAnsi="宋体"/>
          <w:b/>
          <w:spacing w:val="-6"/>
          <w:sz w:val="21"/>
          <w:szCs w:val="21"/>
        </w:rPr>
      </w:pPr>
      <w:r>
        <w:rPr>
          <w:rFonts w:ascii="宋体" w:hAnsi="宋体"/>
          <w:b/>
          <w:spacing w:val="-6"/>
          <w:sz w:val="21"/>
          <w:szCs w:val="21"/>
        </w:rPr>
        <w:br w:type="page"/>
      </w:r>
    </w:p>
    <w:p w14:paraId="742DFDD3">
      <w:pPr>
        <w:adjustRightInd w:val="0"/>
        <w:snapToGrid w:val="0"/>
        <w:spacing w:line="288" w:lineRule="auto"/>
        <w:jc w:val="center"/>
        <w:outlineLvl w:val="1"/>
        <w:rPr>
          <w:rFonts w:ascii="宋体" w:hAnsi="宋体"/>
          <w:b/>
          <w:spacing w:val="-6"/>
          <w:sz w:val="32"/>
          <w:szCs w:val="32"/>
        </w:rPr>
      </w:pPr>
      <w:r>
        <w:rPr>
          <w:rFonts w:hint="eastAsia" w:ascii="宋体" w:hAnsi="宋体"/>
          <w:b/>
          <w:spacing w:val="-6"/>
          <w:sz w:val="32"/>
          <w:szCs w:val="32"/>
        </w:rPr>
        <w:t>报价文件</w:t>
      </w:r>
    </w:p>
    <w:p w14:paraId="011A0B5E">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（1）初次报价一览表</w:t>
      </w:r>
    </w:p>
    <w:p w14:paraId="5AAEC528">
      <w:pPr>
        <w:adjustRightInd w:val="0"/>
        <w:snapToGrid w:val="0"/>
        <w:spacing w:line="288" w:lineRule="auto"/>
        <w:rPr>
          <w:rFonts w:hint="eastAsia" w:ascii="宋体" w:hAnsi="宋体" w:eastAsia="宋体" w:cs="宋体"/>
          <w:sz w:val="21"/>
          <w:szCs w:val="21"/>
          <w:lang w:eastAsia="zh-CN"/>
        </w:rPr>
      </w:pPr>
      <w:r>
        <w:rPr>
          <w:rFonts w:hint="eastAsia" w:ascii="宋体" w:hAnsi="宋体" w:cs="宋体"/>
          <w:sz w:val="21"/>
          <w:szCs w:val="21"/>
        </w:rPr>
        <w:t>采 购 人：</w:t>
      </w:r>
      <w:r>
        <w:rPr>
          <w:rFonts w:hint="eastAsia" w:ascii="宋体" w:hAnsi="宋体" w:cs="宋体"/>
          <w:sz w:val="21"/>
          <w:szCs w:val="21"/>
          <w:lang w:eastAsia="zh-CN"/>
        </w:rPr>
        <w:t>浙江大学杭州国际科创中心</w:t>
      </w:r>
    </w:p>
    <w:p w14:paraId="5B195EB7">
      <w:pPr>
        <w:adjustRightInd w:val="0"/>
        <w:snapToGrid w:val="0"/>
        <w:spacing w:line="288" w:lineRule="auto"/>
        <w:rPr>
          <w:rFonts w:hint="eastAsia" w:ascii="宋体" w:hAnsi="宋体" w:eastAsia="宋体" w:cs="宋体"/>
          <w:sz w:val="21"/>
          <w:szCs w:val="21"/>
          <w:lang w:eastAsia="zh-CN"/>
        </w:rPr>
      </w:pPr>
      <w:r>
        <w:rPr>
          <w:rFonts w:hint="eastAsia" w:ascii="宋体" w:hAnsi="宋体" w:cs="宋体"/>
          <w:sz w:val="21"/>
          <w:szCs w:val="21"/>
        </w:rPr>
        <w:t>项目名称：</w:t>
      </w:r>
      <w:r>
        <w:rPr>
          <w:rFonts w:hint="eastAsia" w:ascii="宋体" w:hAnsi="宋体" w:cs="宋体"/>
          <w:sz w:val="21"/>
          <w:szCs w:val="21"/>
          <w:lang w:eastAsia="zh-CN"/>
        </w:rPr>
        <w:t>双光子光致发光显微成像系统</w:t>
      </w:r>
    </w:p>
    <w:p w14:paraId="494BF53B">
      <w:pPr>
        <w:adjustRightInd w:val="0"/>
        <w:snapToGrid w:val="0"/>
        <w:spacing w:line="288" w:lineRule="auto"/>
        <w:rPr>
          <w:rFonts w:hint="eastAsia" w:ascii="宋体" w:hAnsi="宋体" w:eastAsia="宋体" w:cs="宋体"/>
          <w:sz w:val="21"/>
          <w:szCs w:val="21"/>
          <w:lang w:eastAsia="zh-CN"/>
        </w:rPr>
      </w:pPr>
      <w:r>
        <w:rPr>
          <w:rFonts w:hint="eastAsia" w:ascii="宋体" w:hAnsi="宋体" w:cs="宋体"/>
          <w:sz w:val="21"/>
          <w:szCs w:val="21"/>
        </w:rPr>
        <w:t>项目编号：</w:t>
      </w:r>
      <w:r>
        <w:rPr>
          <w:rFonts w:hint="eastAsia" w:ascii="宋体" w:hAnsi="宋体" w:cs="宋体"/>
          <w:sz w:val="21"/>
          <w:szCs w:val="21"/>
          <w:lang w:eastAsia="zh-CN"/>
        </w:rPr>
        <w:t>QSZB-F(H)-A24571(CS)</w:t>
      </w:r>
    </w:p>
    <w:tbl>
      <w:tblPr>
        <w:tblStyle w:val="21"/>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9B4B4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w:t>
            </w:r>
            <w:bookmarkStart w:id="73" w:name="_Hlk177717733"/>
            <w:r>
              <w:rPr>
                <w:rFonts w:hint="eastAsia" w:ascii="宋体" w:hAnsi="宋体" w:eastAsia="宋体" w:cs="宋体"/>
                <w:b/>
                <w:bCs/>
                <w:sz w:val="21"/>
                <w:szCs w:val="21"/>
              </w:rPr>
              <w:t>规格型号</w:t>
            </w:r>
          </w:p>
          <w:p w14:paraId="6654D31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bookmarkEnd w:id="73"/>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总价（人民币元）</w:t>
            </w:r>
          </w:p>
          <w:p w14:paraId="59577BD1">
            <w:pPr>
              <w:adjustRightInd w:val="0"/>
              <w:snapToGrid w:val="0"/>
              <w:spacing w:line="288" w:lineRule="auto"/>
              <w:rPr>
                <w:rFonts w:hint="eastAsia" w:ascii="宋体" w:hAnsi="宋体" w:eastAsia="宋体" w:cs="宋体"/>
                <w:b/>
                <w:bCs/>
                <w:sz w:val="21"/>
                <w:szCs w:val="21"/>
              </w:rPr>
            </w:pPr>
          </w:p>
          <w:p w14:paraId="0C631DFA">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小写：_________________________</w:t>
            </w:r>
          </w:p>
          <w:p w14:paraId="2DD61A79">
            <w:pPr>
              <w:adjustRightInd w:val="0"/>
              <w:snapToGrid w:val="0"/>
              <w:spacing w:line="288" w:lineRule="auto"/>
              <w:rPr>
                <w:rFonts w:hint="eastAsia" w:ascii="宋体" w:hAnsi="宋体" w:eastAsia="宋体" w:cs="宋体"/>
                <w:b/>
                <w:bCs/>
                <w:sz w:val="21"/>
                <w:szCs w:val="21"/>
              </w:rPr>
            </w:pPr>
          </w:p>
          <w:p w14:paraId="5FEFE13F">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大写：_________________________</w:t>
            </w:r>
          </w:p>
          <w:p w14:paraId="76081A6A">
            <w:pPr>
              <w:adjustRightInd w:val="0"/>
              <w:snapToGrid w:val="0"/>
              <w:spacing w:line="288" w:lineRule="auto"/>
              <w:rPr>
                <w:rFonts w:hint="eastAsia" w:ascii="宋体" w:hAnsi="宋体" w:eastAsia="宋体" w:cs="宋体"/>
                <w:b/>
                <w:bCs/>
                <w:sz w:val="21"/>
                <w:szCs w:val="21"/>
              </w:rPr>
            </w:pPr>
          </w:p>
        </w:tc>
      </w:tr>
    </w:tbl>
    <w:p w14:paraId="3D76638D">
      <w:pPr>
        <w:adjustRightInd w:val="0"/>
        <w:snapToGrid w:val="0"/>
        <w:spacing w:line="288" w:lineRule="auto"/>
        <w:rPr>
          <w:rFonts w:hint="eastAsia" w:ascii="宋体" w:hAnsi="宋体" w:eastAsia="宋体" w:cs="宋体"/>
          <w:spacing w:val="-6"/>
          <w:sz w:val="21"/>
          <w:szCs w:val="21"/>
        </w:rPr>
      </w:pPr>
    </w:p>
    <w:p w14:paraId="42BE46DF">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说明：</w:t>
      </w:r>
    </w:p>
    <w:p w14:paraId="7760D6D1">
      <w:pPr>
        <w:adjustRightInd w:val="0"/>
        <w:snapToGrid w:val="0"/>
        <w:spacing w:line="288"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cs="宋体"/>
          <w:b w:val="0"/>
          <w:bCs w:val="0"/>
          <w:sz w:val="21"/>
          <w:szCs w:val="21"/>
          <w:lang w:val="en-US" w:eastAsia="zh-CN"/>
        </w:rPr>
        <w:t>初次报价</w:t>
      </w:r>
      <w:r>
        <w:rPr>
          <w:rFonts w:hint="eastAsia" w:ascii="宋体" w:hAnsi="宋体" w:eastAsia="宋体" w:cs="宋体"/>
          <w:b w:val="0"/>
          <w:bCs w:val="0"/>
          <w:sz w:val="21"/>
          <w:szCs w:val="21"/>
          <w:lang w:val="en-US" w:eastAsia="zh-CN"/>
        </w:rPr>
        <w:t>一览表应按照本</w:t>
      </w:r>
      <w:r>
        <w:rPr>
          <w:rFonts w:hint="eastAsia" w:cs="宋体"/>
          <w:b w:val="0"/>
          <w:bCs w:val="0"/>
          <w:sz w:val="21"/>
          <w:szCs w:val="21"/>
          <w:lang w:val="en-US" w:eastAsia="zh-CN"/>
        </w:rPr>
        <w:t>磋商</w:t>
      </w:r>
      <w:r>
        <w:rPr>
          <w:rFonts w:hint="eastAsia" w:ascii="宋体" w:hAnsi="宋体" w:eastAsia="宋体" w:cs="宋体"/>
          <w:b w:val="0"/>
          <w:bCs w:val="0"/>
          <w:sz w:val="21"/>
          <w:szCs w:val="21"/>
          <w:lang w:val="en-US" w:eastAsia="zh-CN"/>
        </w:rPr>
        <w:t xml:space="preserve">文件“第三章 </w:t>
      </w:r>
      <w:r>
        <w:rPr>
          <w:rFonts w:hint="eastAsia" w:cs="宋体"/>
          <w:b w:val="0"/>
          <w:bCs w:val="0"/>
          <w:sz w:val="21"/>
          <w:szCs w:val="21"/>
          <w:lang w:val="en-US" w:eastAsia="zh-CN"/>
        </w:rPr>
        <w:t>供应商</w:t>
      </w:r>
      <w:r>
        <w:rPr>
          <w:rFonts w:hint="eastAsia" w:ascii="宋体" w:hAnsi="宋体" w:eastAsia="宋体" w:cs="宋体"/>
          <w:b w:val="0"/>
          <w:bCs w:val="0"/>
          <w:sz w:val="21"/>
          <w:szCs w:val="21"/>
          <w:lang w:val="en-US" w:eastAsia="zh-CN"/>
        </w:rPr>
        <w:t>须知”关于“磋商报价”的规定填写；</w:t>
      </w:r>
    </w:p>
    <w:p w14:paraId="11678105">
      <w:pPr>
        <w:adjustRightInd w:val="0"/>
        <w:snapToGrid w:val="0"/>
        <w:spacing w:line="288"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服务项目不涉及提供货物的，规格型号、品牌、制造商、产地的可不填写；</w:t>
      </w:r>
    </w:p>
    <w:p w14:paraId="19A86684">
      <w:pPr>
        <w:adjustRightInd w:val="0"/>
        <w:snapToGrid w:val="0"/>
        <w:spacing w:line="288" w:lineRule="auto"/>
        <w:rPr>
          <w:rFonts w:ascii="宋体" w:hAnsi="宋体" w:cs="宋体"/>
          <w:sz w:val="21"/>
          <w:szCs w:val="21"/>
        </w:rPr>
      </w:pPr>
    </w:p>
    <w:p w14:paraId="27C5F12F">
      <w:pPr>
        <w:adjustRightInd w:val="0"/>
        <w:snapToGrid w:val="0"/>
        <w:spacing w:line="288" w:lineRule="auto"/>
        <w:rPr>
          <w:rFonts w:ascii="宋体" w:hAnsi="宋体" w:cs="宋体"/>
          <w:sz w:val="21"/>
          <w:szCs w:val="21"/>
        </w:rPr>
      </w:pPr>
    </w:p>
    <w:p w14:paraId="71A2478C">
      <w:pPr>
        <w:adjustRightInd w:val="0"/>
        <w:snapToGrid w:val="0"/>
        <w:spacing w:line="288" w:lineRule="auto"/>
        <w:rPr>
          <w:rFonts w:ascii="宋体" w:hAnsi="宋体" w:cs="宋体"/>
          <w:sz w:val="21"/>
          <w:szCs w:val="21"/>
        </w:rPr>
      </w:pPr>
      <w:r>
        <w:rPr>
          <w:rFonts w:hint="eastAsia" w:ascii="宋体" w:hAnsi="宋体" w:cs="宋体"/>
          <w:sz w:val="21"/>
          <w:szCs w:val="21"/>
        </w:rPr>
        <w:t>供应商名称（盖章）：</w:t>
      </w:r>
    </w:p>
    <w:p w14:paraId="67DBC88B">
      <w:pPr>
        <w:adjustRightInd w:val="0"/>
        <w:snapToGrid w:val="0"/>
        <w:spacing w:line="288" w:lineRule="auto"/>
        <w:rPr>
          <w:rFonts w:ascii="宋体" w:hAnsi="宋体" w:cs="宋体"/>
          <w:sz w:val="21"/>
          <w:szCs w:val="21"/>
        </w:rPr>
      </w:pPr>
      <w:r>
        <w:rPr>
          <w:rFonts w:hint="eastAsia" w:ascii="宋体" w:hAnsi="宋体" w:cs="宋体"/>
          <w:sz w:val="21"/>
          <w:szCs w:val="21"/>
        </w:rPr>
        <w:t>供应商代表签名：</w:t>
      </w:r>
    </w:p>
    <w:p w14:paraId="690DAECC">
      <w:pPr>
        <w:adjustRightInd w:val="0"/>
        <w:snapToGrid w:val="0"/>
        <w:spacing w:line="288" w:lineRule="auto"/>
        <w:rPr>
          <w:rFonts w:hAnsi="宋体"/>
          <w:spacing w:val="-6"/>
          <w:sz w:val="21"/>
          <w:szCs w:val="21"/>
        </w:rPr>
      </w:pPr>
      <w:r>
        <w:rPr>
          <w:rFonts w:hint="eastAsia" w:ascii="宋体" w:hAnsi="宋体" w:cs="宋体"/>
          <w:sz w:val="21"/>
          <w:szCs w:val="21"/>
        </w:rPr>
        <w:t>日期：________年____月____日</w:t>
      </w:r>
    </w:p>
    <w:sectPr>
      <w:footerReference r:id="rId5" w:type="default"/>
      <w:pgSz w:w="11906" w:h="16838"/>
      <w:pgMar w:top="1247" w:right="1247" w:bottom="1247" w:left="1247" w:header="0"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504020202030204"/>
    <w:charset w:val="00"/>
    <w:family w:val="swiss"/>
    <w:pitch w:val="default"/>
    <w:sig w:usb0="00000000" w:usb1="00000000" w:usb2="00000000" w:usb3="00000000" w:csb0="00000093"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7C774">
    <w:pPr>
      <w:pStyle w:val="15"/>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24E3E">
    <w:pPr>
      <w:pStyle w:val="15"/>
      <w:jc w:val="center"/>
      <w:rPr>
        <w:rFonts w:ascii="宋体" w:hAnsi="宋体"/>
        <w:sz w:val="21"/>
        <w:szCs w:val="21"/>
      </w:rPr>
    </w:pPr>
    <w:r>
      <w:rPr>
        <w:rFonts w:ascii="宋体" w:hAnsi="宋体" w:cstheme="majorBidi"/>
        <w:sz w:val="21"/>
        <w:szCs w:val="21"/>
        <w:lang w:val="zh-CN"/>
      </w:rPr>
      <w:fldChar w:fldCharType="begin"/>
    </w:r>
    <w:r>
      <w:rPr>
        <w:rFonts w:ascii="宋体" w:hAnsi="宋体" w:cstheme="majorBidi"/>
        <w:sz w:val="21"/>
        <w:szCs w:val="21"/>
        <w:lang w:val="zh-CN"/>
      </w:rPr>
      <w:instrText xml:space="preserve">PAGE   \* MERGEFORMAT</w:instrText>
    </w:r>
    <w:r>
      <w:rPr>
        <w:rFonts w:ascii="宋体" w:hAnsi="宋体" w:cstheme="majorBidi"/>
        <w:sz w:val="21"/>
        <w:szCs w:val="21"/>
        <w:lang w:val="zh-CN"/>
      </w:rPr>
      <w:fldChar w:fldCharType="separate"/>
    </w:r>
    <w:r>
      <w:rPr>
        <w:rFonts w:ascii="宋体" w:hAnsi="宋体" w:cstheme="majorBidi"/>
        <w:sz w:val="21"/>
        <w:szCs w:val="21"/>
        <w:lang w:val="zh-CN"/>
      </w:rPr>
      <w:t>1</w:t>
    </w:r>
    <w:r>
      <w:rPr>
        <w:rFonts w:ascii="宋体" w:hAnsi="宋体" w:cstheme="majorBidi"/>
        <w:sz w:val="21"/>
        <w:szCs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7ABE8">
    <w:pPr>
      <w:pStyle w:val="16"/>
    </w:pPr>
    <w:r>
      <w:drawing>
        <wp:inline distT="0" distB="0" distL="0" distR="0">
          <wp:extent cx="5905500" cy="679450"/>
          <wp:effectExtent l="0" t="0" r="0" b="6350"/>
          <wp:docPr id="387152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528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172A27"/>
    <w:rsid w:val="000028D4"/>
    <w:rsid w:val="00003256"/>
    <w:rsid w:val="0000392F"/>
    <w:rsid w:val="0000407F"/>
    <w:rsid w:val="00007362"/>
    <w:rsid w:val="000114CE"/>
    <w:rsid w:val="00012EBC"/>
    <w:rsid w:val="0001334A"/>
    <w:rsid w:val="0001458C"/>
    <w:rsid w:val="000145B8"/>
    <w:rsid w:val="00014602"/>
    <w:rsid w:val="0001497A"/>
    <w:rsid w:val="0001520A"/>
    <w:rsid w:val="000153ED"/>
    <w:rsid w:val="00015891"/>
    <w:rsid w:val="0001610F"/>
    <w:rsid w:val="00016610"/>
    <w:rsid w:val="000169AF"/>
    <w:rsid w:val="000169F9"/>
    <w:rsid w:val="00017BEE"/>
    <w:rsid w:val="00020E8C"/>
    <w:rsid w:val="00021187"/>
    <w:rsid w:val="000215C8"/>
    <w:rsid w:val="00021D4E"/>
    <w:rsid w:val="00024130"/>
    <w:rsid w:val="00025067"/>
    <w:rsid w:val="00026EE5"/>
    <w:rsid w:val="000270D8"/>
    <w:rsid w:val="00027A3C"/>
    <w:rsid w:val="00030DB5"/>
    <w:rsid w:val="000310FE"/>
    <w:rsid w:val="0003148C"/>
    <w:rsid w:val="00031E2B"/>
    <w:rsid w:val="00032047"/>
    <w:rsid w:val="00032280"/>
    <w:rsid w:val="000325E1"/>
    <w:rsid w:val="00035A33"/>
    <w:rsid w:val="000362B2"/>
    <w:rsid w:val="00036996"/>
    <w:rsid w:val="0003700E"/>
    <w:rsid w:val="00037598"/>
    <w:rsid w:val="0003797E"/>
    <w:rsid w:val="00040041"/>
    <w:rsid w:val="00041D0F"/>
    <w:rsid w:val="0004239D"/>
    <w:rsid w:val="00042A03"/>
    <w:rsid w:val="000437B6"/>
    <w:rsid w:val="00043E78"/>
    <w:rsid w:val="000459B5"/>
    <w:rsid w:val="00045C96"/>
    <w:rsid w:val="00045EE2"/>
    <w:rsid w:val="000468CE"/>
    <w:rsid w:val="000475A7"/>
    <w:rsid w:val="00047DF2"/>
    <w:rsid w:val="0005166C"/>
    <w:rsid w:val="00051736"/>
    <w:rsid w:val="00051C71"/>
    <w:rsid w:val="00052C43"/>
    <w:rsid w:val="00052CE7"/>
    <w:rsid w:val="000530F5"/>
    <w:rsid w:val="00053A36"/>
    <w:rsid w:val="00053AD2"/>
    <w:rsid w:val="000558AF"/>
    <w:rsid w:val="00056574"/>
    <w:rsid w:val="000572E5"/>
    <w:rsid w:val="00057B3C"/>
    <w:rsid w:val="00057C6A"/>
    <w:rsid w:val="0006044C"/>
    <w:rsid w:val="00061307"/>
    <w:rsid w:val="00061500"/>
    <w:rsid w:val="00061C96"/>
    <w:rsid w:val="000626B1"/>
    <w:rsid w:val="00062C77"/>
    <w:rsid w:val="00062D03"/>
    <w:rsid w:val="000645A8"/>
    <w:rsid w:val="00064F1A"/>
    <w:rsid w:val="00065305"/>
    <w:rsid w:val="00065362"/>
    <w:rsid w:val="00066072"/>
    <w:rsid w:val="00067095"/>
    <w:rsid w:val="0006785D"/>
    <w:rsid w:val="00067B67"/>
    <w:rsid w:val="00071C2A"/>
    <w:rsid w:val="00072425"/>
    <w:rsid w:val="00073FF7"/>
    <w:rsid w:val="00074D7B"/>
    <w:rsid w:val="00075C1B"/>
    <w:rsid w:val="00076570"/>
    <w:rsid w:val="00077067"/>
    <w:rsid w:val="00077A8E"/>
    <w:rsid w:val="00077A9F"/>
    <w:rsid w:val="000804A7"/>
    <w:rsid w:val="00080A03"/>
    <w:rsid w:val="000828E2"/>
    <w:rsid w:val="00082F7C"/>
    <w:rsid w:val="00084231"/>
    <w:rsid w:val="00084D5F"/>
    <w:rsid w:val="00085DF5"/>
    <w:rsid w:val="00085EC0"/>
    <w:rsid w:val="00087452"/>
    <w:rsid w:val="00087DAC"/>
    <w:rsid w:val="000904F8"/>
    <w:rsid w:val="00090F34"/>
    <w:rsid w:val="00091E28"/>
    <w:rsid w:val="00092849"/>
    <w:rsid w:val="00092D8B"/>
    <w:rsid w:val="00093340"/>
    <w:rsid w:val="00093A4B"/>
    <w:rsid w:val="00093FB0"/>
    <w:rsid w:val="000941F1"/>
    <w:rsid w:val="00094C73"/>
    <w:rsid w:val="000956AA"/>
    <w:rsid w:val="000957CD"/>
    <w:rsid w:val="00095E66"/>
    <w:rsid w:val="00096127"/>
    <w:rsid w:val="000965C7"/>
    <w:rsid w:val="00096836"/>
    <w:rsid w:val="00096CEF"/>
    <w:rsid w:val="00097C05"/>
    <w:rsid w:val="00097FA1"/>
    <w:rsid w:val="000A2678"/>
    <w:rsid w:val="000A28E5"/>
    <w:rsid w:val="000A3119"/>
    <w:rsid w:val="000A4DE3"/>
    <w:rsid w:val="000A584B"/>
    <w:rsid w:val="000A75F4"/>
    <w:rsid w:val="000A7CFC"/>
    <w:rsid w:val="000B0079"/>
    <w:rsid w:val="000B08AC"/>
    <w:rsid w:val="000B0CF9"/>
    <w:rsid w:val="000B1842"/>
    <w:rsid w:val="000B2628"/>
    <w:rsid w:val="000B3E1B"/>
    <w:rsid w:val="000B4CA7"/>
    <w:rsid w:val="000B504A"/>
    <w:rsid w:val="000B55D0"/>
    <w:rsid w:val="000B575E"/>
    <w:rsid w:val="000B5C50"/>
    <w:rsid w:val="000B5C73"/>
    <w:rsid w:val="000B6C54"/>
    <w:rsid w:val="000B78AE"/>
    <w:rsid w:val="000B7B69"/>
    <w:rsid w:val="000C08EB"/>
    <w:rsid w:val="000C2327"/>
    <w:rsid w:val="000C3345"/>
    <w:rsid w:val="000C3741"/>
    <w:rsid w:val="000C3CA7"/>
    <w:rsid w:val="000C3E40"/>
    <w:rsid w:val="000C41D6"/>
    <w:rsid w:val="000C460F"/>
    <w:rsid w:val="000C47A9"/>
    <w:rsid w:val="000C4883"/>
    <w:rsid w:val="000C5831"/>
    <w:rsid w:val="000C5C75"/>
    <w:rsid w:val="000C60CB"/>
    <w:rsid w:val="000C6B0D"/>
    <w:rsid w:val="000C6D59"/>
    <w:rsid w:val="000C73FF"/>
    <w:rsid w:val="000D03C9"/>
    <w:rsid w:val="000D04C5"/>
    <w:rsid w:val="000D0723"/>
    <w:rsid w:val="000D07F0"/>
    <w:rsid w:val="000D11FB"/>
    <w:rsid w:val="000D22DB"/>
    <w:rsid w:val="000D25B1"/>
    <w:rsid w:val="000D2F41"/>
    <w:rsid w:val="000D3606"/>
    <w:rsid w:val="000D3763"/>
    <w:rsid w:val="000D46E8"/>
    <w:rsid w:val="000D4C7F"/>
    <w:rsid w:val="000D519D"/>
    <w:rsid w:val="000D6C0F"/>
    <w:rsid w:val="000D79F9"/>
    <w:rsid w:val="000E01C6"/>
    <w:rsid w:val="000E06E1"/>
    <w:rsid w:val="000E0978"/>
    <w:rsid w:val="000E0C88"/>
    <w:rsid w:val="000E105F"/>
    <w:rsid w:val="000E1629"/>
    <w:rsid w:val="000E1E54"/>
    <w:rsid w:val="000E1EE9"/>
    <w:rsid w:val="000E1F26"/>
    <w:rsid w:val="000E25FD"/>
    <w:rsid w:val="000E3A24"/>
    <w:rsid w:val="000E3A69"/>
    <w:rsid w:val="000E6588"/>
    <w:rsid w:val="000E7543"/>
    <w:rsid w:val="000F05DA"/>
    <w:rsid w:val="000F09AF"/>
    <w:rsid w:val="000F0D64"/>
    <w:rsid w:val="000F21C3"/>
    <w:rsid w:val="000F2252"/>
    <w:rsid w:val="000F287C"/>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4A74"/>
    <w:rsid w:val="00105F12"/>
    <w:rsid w:val="00106134"/>
    <w:rsid w:val="001065B0"/>
    <w:rsid w:val="00106973"/>
    <w:rsid w:val="00106EF6"/>
    <w:rsid w:val="00110125"/>
    <w:rsid w:val="00110547"/>
    <w:rsid w:val="00110AE7"/>
    <w:rsid w:val="00110F05"/>
    <w:rsid w:val="00111B51"/>
    <w:rsid w:val="00112093"/>
    <w:rsid w:val="00112A94"/>
    <w:rsid w:val="00114034"/>
    <w:rsid w:val="001144F7"/>
    <w:rsid w:val="00114BEF"/>
    <w:rsid w:val="00115E4E"/>
    <w:rsid w:val="00116AC0"/>
    <w:rsid w:val="00117084"/>
    <w:rsid w:val="001178FF"/>
    <w:rsid w:val="00117E89"/>
    <w:rsid w:val="0012048B"/>
    <w:rsid w:val="00121040"/>
    <w:rsid w:val="00121153"/>
    <w:rsid w:val="0012178A"/>
    <w:rsid w:val="0012181B"/>
    <w:rsid w:val="00124DE1"/>
    <w:rsid w:val="00124F72"/>
    <w:rsid w:val="00125768"/>
    <w:rsid w:val="00126C29"/>
    <w:rsid w:val="00126C83"/>
    <w:rsid w:val="00130627"/>
    <w:rsid w:val="00130CAF"/>
    <w:rsid w:val="00130ED6"/>
    <w:rsid w:val="00131252"/>
    <w:rsid w:val="00131A09"/>
    <w:rsid w:val="0013247C"/>
    <w:rsid w:val="00132A2E"/>
    <w:rsid w:val="001330A8"/>
    <w:rsid w:val="001350A2"/>
    <w:rsid w:val="00136919"/>
    <w:rsid w:val="00136C4A"/>
    <w:rsid w:val="0013796A"/>
    <w:rsid w:val="00140256"/>
    <w:rsid w:val="00140582"/>
    <w:rsid w:val="001411DB"/>
    <w:rsid w:val="00142B06"/>
    <w:rsid w:val="0014310B"/>
    <w:rsid w:val="00143148"/>
    <w:rsid w:val="00143754"/>
    <w:rsid w:val="00143E89"/>
    <w:rsid w:val="00143EF4"/>
    <w:rsid w:val="0014555E"/>
    <w:rsid w:val="00146B7D"/>
    <w:rsid w:val="001475CB"/>
    <w:rsid w:val="001478E0"/>
    <w:rsid w:val="001502BC"/>
    <w:rsid w:val="00150D1E"/>
    <w:rsid w:val="00150EBF"/>
    <w:rsid w:val="00150EE4"/>
    <w:rsid w:val="00151C82"/>
    <w:rsid w:val="00152A4A"/>
    <w:rsid w:val="00152D27"/>
    <w:rsid w:val="00153628"/>
    <w:rsid w:val="001536ED"/>
    <w:rsid w:val="00154833"/>
    <w:rsid w:val="00154A6A"/>
    <w:rsid w:val="00155AFA"/>
    <w:rsid w:val="00155BC8"/>
    <w:rsid w:val="00155DAF"/>
    <w:rsid w:val="00156153"/>
    <w:rsid w:val="001566F2"/>
    <w:rsid w:val="001572A5"/>
    <w:rsid w:val="00157BA2"/>
    <w:rsid w:val="00160182"/>
    <w:rsid w:val="00160B84"/>
    <w:rsid w:val="001613DD"/>
    <w:rsid w:val="0016315F"/>
    <w:rsid w:val="00163EB2"/>
    <w:rsid w:val="00164383"/>
    <w:rsid w:val="0016466F"/>
    <w:rsid w:val="00164AA0"/>
    <w:rsid w:val="00164DDA"/>
    <w:rsid w:val="001651D0"/>
    <w:rsid w:val="001656CC"/>
    <w:rsid w:val="0016712C"/>
    <w:rsid w:val="00167538"/>
    <w:rsid w:val="00167CCA"/>
    <w:rsid w:val="00170101"/>
    <w:rsid w:val="00170703"/>
    <w:rsid w:val="00170DDC"/>
    <w:rsid w:val="001712CC"/>
    <w:rsid w:val="00171566"/>
    <w:rsid w:val="00171AF6"/>
    <w:rsid w:val="00172021"/>
    <w:rsid w:val="001722F1"/>
    <w:rsid w:val="00172615"/>
    <w:rsid w:val="00172A27"/>
    <w:rsid w:val="001735C7"/>
    <w:rsid w:val="0017449B"/>
    <w:rsid w:val="001763B3"/>
    <w:rsid w:val="00176D03"/>
    <w:rsid w:val="00177FB3"/>
    <w:rsid w:val="001809F4"/>
    <w:rsid w:val="001818E9"/>
    <w:rsid w:val="00181A44"/>
    <w:rsid w:val="00182D78"/>
    <w:rsid w:val="00183235"/>
    <w:rsid w:val="0018377D"/>
    <w:rsid w:val="00183AEF"/>
    <w:rsid w:val="00184D3D"/>
    <w:rsid w:val="00184E31"/>
    <w:rsid w:val="00190C4E"/>
    <w:rsid w:val="00190DBC"/>
    <w:rsid w:val="00191584"/>
    <w:rsid w:val="00192B0E"/>
    <w:rsid w:val="0019303D"/>
    <w:rsid w:val="00193798"/>
    <w:rsid w:val="00193CB3"/>
    <w:rsid w:val="00194B9F"/>
    <w:rsid w:val="00195094"/>
    <w:rsid w:val="00195167"/>
    <w:rsid w:val="00195A86"/>
    <w:rsid w:val="001965A7"/>
    <w:rsid w:val="001969F2"/>
    <w:rsid w:val="00196D4A"/>
    <w:rsid w:val="00196E78"/>
    <w:rsid w:val="00197580"/>
    <w:rsid w:val="00197E96"/>
    <w:rsid w:val="001A16C8"/>
    <w:rsid w:val="001A1D09"/>
    <w:rsid w:val="001A25C8"/>
    <w:rsid w:val="001A26EC"/>
    <w:rsid w:val="001A4D48"/>
    <w:rsid w:val="001A5A88"/>
    <w:rsid w:val="001A5DA8"/>
    <w:rsid w:val="001A6AB8"/>
    <w:rsid w:val="001A7747"/>
    <w:rsid w:val="001B045F"/>
    <w:rsid w:val="001B0E53"/>
    <w:rsid w:val="001B0ED0"/>
    <w:rsid w:val="001B1D6A"/>
    <w:rsid w:val="001B1EFE"/>
    <w:rsid w:val="001B20DE"/>
    <w:rsid w:val="001B3229"/>
    <w:rsid w:val="001B3E88"/>
    <w:rsid w:val="001B5FB1"/>
    <w:rsid w:val="001B6F07"/>
    <w:rsid w:val="001B7804"/>
    <w:rsid w:val="001C11F4"/>
    <w:rsid w:val="001C18CF"/>
    <w:rsid w:val="001C2375"/>
    <w:rsid w:val="001C4908"/>
    <w:rsid w:val="001C4959"/>
    <w:rsid w:val="001C4FC9"/>
    <w:rsid w:val="001C5AEF"/>
    <w:rsid w:val="001C787A"/>
    <w:rsid w:val="001D0F0B"/>
    <w:rsid w:val="001D2288"/>
    <w:rsid w:val="001D273B"/>
    <w:rsid w:val="001D2BC7"/>
    <w:rsid w:val="001D37E3"/>
    <w:rsid w:val="001D4791"/>
    <w:rsid w:val="001D4A34"/>
    <w:rsid w:val="001D584D"/>
    <w:rsid w:val="001E1578"/>
    <w:rsid w:val="001E1686"/>
    <w:rsid w:val="001E1703"/>
    <w:rsid w:val="001E18AD"/>
    <w:rsid w:val="001E2199"/>
    <w:rsid w:val="001E2316"/>
    <w:rsid w:val="001E27B1"/>
    <w:rsid w:val="001E2B4D"/>
    <w:rsid w:val="001E2F79"/>
    <w:rsid w:val="001E309E"/>
    <w:rsid w:val="001E3A76"/>
    <w:rsid w:val="001E4FB8"/>
    <w:rsid w:val="001E57A3"/>
    <w:rsid w:val="001E690B"/>
    <w:rsid w:val="001E6A29"/>
    <w:rsid w:val="001E6FD1"/>
    <w:rsid w:val="001E7735"/>
    <w:rsid w:val="001E7C22"/>
    <w:rsid w:val="001F01E8"/>
    <w:rsid w:val="001F1BC6"/>
    <w:rsid w:val="001F21F0"/>
    <w:rsid w:val="001F2717"/>
    <w:rsid w:val="001F2961"/>
    <w:rsid w:val="001F3F3F"/>
    <w:rsid w:val="001F4502"/>
    <w:rsid w:val="001F4531"/>
    <w:rsid w:val="001F464D"/>
    <w:rsid w:val="001F4B03"/>
    <w:rsid w:val="001F5FE3"/>
    <w:rsid w:val="001F6162"/>
    <w:rsid w:val="001F631F"/>
    <w:rsid w:val="001F6DFD"/>
    <w:rsid w:val="001F7D64"/>
    <w:rsid w:val="00200BA4"/>
    <w:rsid w:val="00201740"/>
    <w:rsid w:val="00202AFC"/>
    <w:rsid w:val="00202C3D"/>
    <w:rsid w:val="002032D2"/>
    <w:rsid w:val="00203DAA"/>
    <w:rsid w:val="00204379"/>
    <w:rsid w:val="002048D6"/>
    <w:rsid w:val="00205352"/>
    <w:rsid w:val="002053B5"/>
    <w:rsid w:val="00206669"/>
    <w:rsid w:val="00206878"/>
    <w:rsid w:val="00206B67"/>
    <w:rsid w:val="00206C9F"/>
    <w:rsid w:val="002102BE"/>
    <w:rsid w:val="00210763"/>
    <w:rsid w:val="0021085B"/>
    <w:rsid w:val="00210B1B"/>
    <w:rsid w:val="00210BCF"/>
    <w:rsid w:val="00210DE3"/>
    <w:rsid w:val="00212052"/>
    <w:rsid w:val="002126B6"/>
    <w:rsid w:val="00212E29"/>
    <w:rsid w:val="002143CB"/>
    <w:rsid w:val="00214FEB"/>
    <w:rsid w:val="00215C0E"/>
    <w:rsid w:val="00216BB7"/>
    <w:rsid w:val="00216E5F"/>
    <w:rsid w:val="00217173"/>
    <w:rsid w:val="00217E66"/>
    <w:rsid w:val="00217E78"/>
    <w:rsid w:val="00220CFB"/>
    <w:rsid w:val="00220D2D"/>
    <w:rsid w:val="0022121A"/>
    <w:rsid w:val="00221C76"/>
    <w:rsid w:val="00222191"/>
    <w:rsid w:val="002225F6"/>
    <w:rsid w:val="00223964"/>
    <w:rsid w:val="002242FA"/>
    <w:rsid w:val="00225014"/>
    <w:rsid w:val="00225666"/>
    <w:rsid w:val="00226B5C"/>
    <w:rsid w:val="00227BFF"/>
    <w:rsid w:val="002302BE"/>
    <w:rsid w:val="00230467"/>
    <w:rsid w:val="00230BB3"/>
    <w:rsid w:val="00230C06"/>
    <w:rsid w:val="00231503"/>
    <w:rsid w:val="002315A6"/>
    <w:rsid w:val="00232AEE"/>
    <w:rsid w:val="0023373E"/>
    <w:rsid w:val="0023377A"/>
    <w:rsid w:val="0023476A"/>
    <w:rsid w:val="002347A8"/>
    <w:rsid w:val="00235211"/>
    <w:rsid w:val="00237186"/>
    <w:rsid w:val="00237361"/>
    <w:rsid w:val="002378EC"/>
    <w:rsid w:val="00237EE5"/>
    <w:rsid w:val="00240C9B"/>
    <w:rsid w:val="00241349"/>
    <w:rsid w:val="00241C15"/>
    <w:rsid w:val="00242080"/>
    <w:rsid w:val="00242148"/>
    <w:rsid w:val="00242235"/>
    <w:rsid w:val="00242E6A"/>
    <w:rsid w:val="00243CEF"/>
    <w:rsid w:val="00243E14"/>
    <w:rsid w:val="00244AA6"/>
    <w:rsid w:val="00246231"/>
    <w:rsid w:val="0024679B"/>
    <w:rsid w:val="00247211"/>
    <w:rsid w:val="00250C0D"/>
    <w:rsid w:val="00251533"/>
    <w:rsid w:val="00251F41"/>
    <w:rsid w:val="0025247A"/>
    <w:rsid w:val="00253721"/>
    <w:rsid w:val="0025435A"/>
    <w:rsid w:val="002547BE"/>
    <w:rsid w:val="002548B0"/>
    <w:rsid w:val="00255253"/>
    <w:rsid w:val="0025535C"/>
    <w:rsid w:val="00255E2A"/>
    <w:rsid w:val="002562F5"/>
    <w:rsid w:val="00256681"/>
    <w:rsid w:val="002578AA"/>
    <w:rsid w:val="0026011F"/>
    <w:rsid w:val="00261101"/>
    <w:rsid w:val="00261402"/>
    <w:rsid w:val="002618AC"/>
    <w:rsid w:val="00261F96"/>
    <w:rsid w:val="00265DA1"/>
    <w:rsid w:val="00266AA8"/>
    <w:rsid w:val="00270464"/>
    <w:rsid w:val="002709F6"/>
    <w:rsid w:val="00270E5C"/>
    <w:rsid w:val="00272034"/>
    <w:rsid w:val="0027204E"/>
    <w:rsid w:val="00272F83"/>
    <w:rsid w:val="00274A62"/>
    <w:rsid w:val="0027604A"/>
    <w:rsid w:val="0027669D"/>
    <w:rsid w:val="00277580"/>
    <w:rsid w:val="00280971"/>
    <w:rsid w:val="00280D4F"/>
    <w:rsid w:val="0028261A"/>
    <w:rsid w:val="00282FB2"/>
    <w:rsid w:val="00283516"/>
    <w:rsid w:val="0028576A"/>
    <w:rsid w:val="002874C9"/>
    <w:rsid w:val="00291E79"/>
    <w:rsid w:val="00292964"/>
    <w:rsid w:val="00294556"/>
    <w:rsid w:val="002960F3"/>
    <w:rsid w:val="0029652F"/>
    <w:rsid w:val="002968CF"/>
    <w:rsid w:val="00296EF4"/>
    <w:rsid w:val="002972C0"/>
    <w:rsid w:val="002A0C1E"/>
    <w:rsid w:val="002A127B"/>
    <w:rsid w:val="002A14AF"/>
    <w:rsid w:val="002A3506"/>
    <w:rsid w:val="002A3CBC"/>
    <w:rsid w:val="002A3E8A"/>
    <w:rsid w:val="002A49A6"/>
    <w:rsid w:val="002A5CCC"/>
    <w:rsid w:val="002A6C7B"/>
    <w:rsid w:val="002A7452"/>
    <w:rsid w:val="002B11C3"/>
    <w:rsid w:val="002B1A46"/>
    <w:rsid w:val="002B2506"/>
    <w:rsid w:val="002B2768"/>
    <w:rsid w:val="002B2B72"/>
    <w:rsid w:val="002B3E2B"/>
    <w:rsid w:val="002B4E83"/>
    <w:rsid w:val="002B5DAB"/>
    <w:rsid w:val="002B6BA6"/>
    <w:rsid w:val="002B6F01"/>
    <w:rsid w:val="002B7E93"/>
    <w:rsid w:val="002C0514"/>
    <w:rsid w:val="002C076E"/>
    <w:rsid w:val="002C0F44"/>
    <w:rsid w:val="002C1460"/>
    <w:rsid w:val="002C1912"/>
    <w:rsid w:val="002C1B38"/>
    <w:rsid w:val="002C2627"/>
    <w:rsid w:val="002C33CA"/>
    <w:rsid w:val="002C39C3"/>
    <w:rsid w:val="002C3EAE"/>
    <w:rsid w:val="002C40FF"/>
    <w:rsid w:val="002C44E9"/>
    <w:rsid w:val="002C477A"/>
    <w:rsid w:val="002C5CB1"/>
    <w:rsid w:val="002C5E13"/>
    <w:rsid w:val="002C5EBF"/>
    <w:rsid w:val="002C75A5"/>
    <w:rsid w:val="002D10B5"/>
    <w:rsid w:val="002D1786"/>
    <w:rsid w:val="002D1E81"/>
    <w:rsid w:val="002D2735"/>
    <w:rsid w:val="002D3048"/>
    <w:rsid w:val="002D382A"/>
    <w:rsid w:val="002D3F02"/>
    <w:rsid w:val="002D47F3"/>
    <w:rsid w:val="002D5589"/>
    <w:rsid w:val="002D5FFD"/>
    <w:rsid w:val="002D69B5"/>
    <w:rsid w:val="002D7BD0"/>
    <w:rsid w:val="002E07ED"/>
    <w:rsid w:val="002E241B"/>
    <w:rsid w:val="002E3119"/>
    <w:rsid w:val="002E3B94"/>
    <w:rsid w:val="002E3EBA"/>
    <w:rsid w:val="002E40AE"/>
    <w:rsid w:val="002E4C92"/>
    <w:rsid w:val="002E4FDC"/>
    <w:rsid w:val="002E549E"/>
    <w:rsid w:val="002E5791"/>
    <w:rsid w:val="002E6079"/>
    <w:rsid w:val="002E64B2"/>
    <w:rsid w:val="002E68EC"/>
    <w:rsid w:val="002E7C08"/>
    <w:rsid w:val="002F0664"/>
    <w:rsid w:val="002F0F07"/>
    <w:rsid w:val="002F2683"/>
    <w:rsid w:val="002F6346"/>
    <w:rsid w:val="002F670D"/>
    <w:rsid w:val="002F6F89"/>
    <w:rsid w:val="002F7B73"/>
    <w:rsid w:val="00300CA3"/>
    <w:rsid w:val="00300ED1"/>
    <w:rsid w:val="003016B5"/>
    <w:rsid w:val="003024A6"/>
    <w:rsid w:val="00302500"/>
    <w:rsid w:val="00304728"/>
    <w:rsid w:val="003047BC"/>
    <w:rsid w:val="00304A05"/>
    <w:rsid w:val="00304EE6"/>
    <w:rsid w:val="003052FD"/>
    <w:rsid w:val="00305807"/>
    <w:rsid w:val="00305A5C"/>
    <w:rsid w:val="00306DD9"/>
    <w:rsid w:val="0031267B"/>
    <w:rsid w:val="00313747"/>
    <w:rsid w:val="003140F3"/>
    <w:rsid w:val="003153E3"/>
    <w:rsid w:val="00316590"/>
    <w:rsid w:val="00316941"/>
    <w:rsid w:val="00316B96"/>
    <w:rsid w:val="00317A07"/>
    <w:rsid w:val="00320DF0"/>
    <w:rsid w:val="003210E3"/>
    <w:rsid w:val="00322416"/>
    <w:rsid w:val="00322663"/>
    <w:rsid w:val="003232C0"/>
    <w:rsid w:val="003232CD"/>
    <w:rsid w:val="00324345"/>
    <w:rsid w:val="003254CB"/>
    <w:rsid w:val="00325EA2"/>
    <w:rsid w:val="003264E3"/>
    <w:rsid w:val="00326C09"/>
    <w:rsid w:val="00326DBE"/>
    <w:rsid w:val="00327DE6"/>
    <w:rsid w:val="00330A9F"/>
    <w:rsid w:val="00331BE2"/>
    <w:rsid w:val="00331BE9"/>
    <w:rsid w:val="0033370A"/>
    <w:rsid w:val="0033444D"/>
    <w:rsid w:val="00335F05"/>
    <w:rsid w:val="003369C9"/>
    <w:rsid w:val="00336C64"/>
    <w:rsid w:val="003402E1"/>
    <w:rsid w:val="00340383"/>
    <w:rsid w:val="003414EF"/>
    <w:rsid w:val="00341716"/>
    <w:rsid w:val="003418FF"/>
    <w:rsid w:val="00341F46"/>
    <w:rsid w:val="00342D1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38A"/>
    <w:rsid w:val="003604DE"/>
    <w:rsid w:val="003620B7"/>
    <w:rsid w:val="0036319C"/>
    <w:rsid w:val="003641CF"/>
    <w:rsid w:val="003648B7"/>
    <w:rsid w:val="00364B7C"/>
    <w:rsid w:val="003650F7"/>
    <w:rsid w:val="00365895"/>
    <w:rsid w:val="003668F9"/>
    <w:rsid w:val="00367213"/>
    <w:rsid w:val="003673D3"/>
    <w:rsid w:val="00367496"/>
    <w:rsid w:val="00367E4B"/>
    <w:rsid w:val="003700F0"/>
    <w:rsid w:val="00370631"/>
    <w:rsid w:val="00370A2E"/>
    <w:rsid w:val="00371B9E"/>
    <w:rsid w:val="00371F1D"/>
    <w:rsid w:val="0037202A"/>
    <w:rsid w:val="00372CD5"/>
    <w:rsid w:val="00373C6C"/>
    <w:rsid w:val="00374413"/>
    <w:rsid w:val="00374F03"/>
    <w:rsid w:val="003766F3"/>
    <w:rsid w:val="003773A7"/>
    <w:rsid w:val="00380705"/>
    <w:rsid w:val="00380990"/>
    <w:rsid w:val="00381337"/>
    <w:rsid w:val="00382A5C"/>
    <w:rsid w:val="003839BD"/>
    <w:rsid w:val="00385944"/>
    <w:rsid w:val="00385FBB"/>
    <w:rsid w:val="00386087"/>
    <w:rsid w:val="00386526"/>
    <w:rsid w:val="00386F68"/>
    <w:rsid w:val="00387150"/>
    <w:rsid w:val="00387DEF"/>
    <w:rsid w:val="003925E7"/>
    <w:rsid w:val="00393095"/>
    <w:rsid w:val="003933A4"/>
    <w:rsid w:val="00394115"/>
    <w:rsid w:val="0039432A"/>
    <w:rsid w:val="00394C42"/>
    <w:rsid w:val="003953E4"/>
    <w:rsid w:val="00395436"/>
    <w:rsid w:val="0039578F"/>
    <w:rsid w:val="00395BA7"/>
    <w:rsid w:val="00395F72"/>
    <w:rsid w:val="003A06EB"/>
    <w:rsid w:val="003A09FA"/>
    <w:rsid w:val="003A1756"/>
    <w:rsid w:val="003A2CBB"/>
    <w:rsid w:val="003A3E9B"/>
    <w:rsid w:val="003A41F8"/>
    <w:rsid w:val="003A4BE2"/>
    <w:rsid w:val="003A5D2C"/>
    <w:rsid w:val="003A659B"/>
    <w:rsid w:val="003A6B84"/>
    <w:rsid w:val="003A7431"/>
    <w:rsid w:val="003A79A4"/>
    <w:rsid w:val="003A7D18"/>
    <w:rsid w:val="003B006D"/>
    <w:rsid w:val="003B1C1F"/>
    <w:rsid w:val="003B20ED"/>
    <w:rsid w:val="003B2F96"/>
    <w:rsid w:val="003B357D"/>
    <w:rsid w:val="003B3F6E"/>
    <w:rsid w:val="003B4DB5"/>
    <w:rsid w:val="003B4DED"/>
    <w:rsid w:val="003B51F5"/>
    <w:rsid w:val="003B51F8"/>
    <w:rsid w:val="003B5425"/>
    <w:rsid w:val="003B59CB"/>
    <w:rsid w:val="003B6337"/>
    <w:rsid w:val="003B659C"/>
    <w:rsid w:val="003B675D"/>
    <w:rsid w:val="003B7865"/>
    <w:rsid w:val="003B7F8F"/>
    <w:rsid w:val="003C01CA"/>
    <w:rsid w:val="003C0352"/>
    <w:rsid w:val="003C25B4"/>
    <w:rsid w:val="003C3DEE"/>
    <w:rsid w:val="003C4A24"/>
    <w:rsid w:val="003C4DEA"/>
    <w:rsid w:val="003C5342"/>
    <w:rsid w:val="003C6699"/>
    <w:rsid w:val="003C7359"/>
    <w:rsid w:val="003C746E"/>
    <w:rsid w:val="003C77EB"/>
    <w:rsid w:val="003D002F"/>
    <w:rsid w:val="003D0A0A"/>
    <w:rsid w:val="003D13D8"/>
    <w:rsid w:val="003D1E07"/>
    <w:rsid w:val="003D2811"/>
    <w:rsid w:val="003D35A3"/>
    <w:rsid w:val="003D3833"/>
    <w:rsid w:val="003D4496"/>
    <w:rsid w:val="003D5252"/>
    <w:rsid w:val="003D5B6C"/>
    <w:rsid w:val="003D6E3B"/>
    <w:rsid w:val="003D71F0"/>
    <w:rsid w:val="003E01CF"/>
    <w:rsid w:val="003E10E5"/>
    <w:rsid w:val="003E420E"/>
    <w:rsid w:val="003E432C"/>
    <w:rsid w:val="003E4AC9"/>
    <w:rsid w:val="003E4D6D"/>
    <w:rsid w:val="003E5479"/>
    <w:rsid w:val="003E68D9"/>
    <w:rsid w:val="003E697D"/>
    <w:rsid w:val="003E72D6"/>
    <w:rsid w:val="003E7670"/>
    <w:rsid w:val="003E7956"/>
    <w:rsid w:val="003E7EBC"/>
    <w:rsid w:val="003F0B69"/>
    <w:rsid w:val="003F0BEC"/>
    <w:rsid w:val="003F10BB"/>
    <w:rsid w:val="003F124B"/>
    <w:rsid w:val="003F1386"/>
    <w:rsid w:val="003F15BA"/>
    <w:rsid w:val="003F218F"/>
    <w:rsid w:val="003F2AEB"/>
    <w:rsid w:val="003F2E62"/>
    <w:rsid w:val="003F3600"/>
    <w:rsid w:val="003F3ECE"/>
    <w:rsid w:val="003F3F07"/>
    <w:rsid w:val="003F5EB4"/>
    <w:rsid w:val="003F6704"/>
    <w:rsid w:val="003F6D49"/>
    <w:rsid w:val="003F7571"/>
    <w:rsid w:val="003F7DC8"/>
    <w:rsid w:val="00400CA6"/>
    <w:rsid w:val="00401B60"/>
    <w:rsid w:val="00403823"/>
    <w:rsid w:val="004047A6"/>
    <w:rsid w:val="0040605A"/>
    <w:rsid w:val="00406DA6"/>
    <w:rsid w:val="00406F68"/>
    <w:rsid w:val="00407021"/>
    <w:rsid w:val="004071E3"/>
    <w:rsid w:val="00407370"/>
    <w:rsid w:val="00407A78"/>
    <w:rsid w:val="00411200"/>
    <w:rsid w:val="0041289D"/>
    <w:rsid w:val="0041314D"/>
    <w:rsid w:val="00413B1E"/>
    <w:rsid w:val="0041409C"/>
    <w:rsid w:val="0041426E"/>
    <w:rsid w:val="0041545F"/>
    <w:rsid w:val="00416015"/>
    <w:rsid w:val="0041634C"/>
    <w:rsid w:val="00416B34"/>
    <w:rsid w:val="00420A84"/>
    <w:rsid w:val="00421296"/>
    <w:rsid w:val="004216F0"/>
    <w:rsid w:val="00422E4D"/>
    <w:rsid w:val="0042563A"/>
    <w:rsid w:val="00427131"/>
    <w:rsid w:val="004273D0"/>
    <w:rsid w:val="00427E22"/>
    <w:rsid w:val="0043054E"/>
    <w:rsid w:val="0043176C"/>
    <w:rsid w:val="00432148"/>
    <w:rsid w:val="0043242A"/>
    <w:rsid w:val="00432766"/>
    <w:rsid w:val="00433638"/>
    <w:rsid w:val="00434010"/>
    <w:rsid w:val="00434CF8"/>
    <w:rsid w:val="004355DD"/>
    <w:rsid w:val="00435717"/>
    <w:rsid w:val="004370B3"/>
    <w:rsid w:val="00441172"/>
    <w:rsid w:val="00441323"/>
    <w:rsid w:val="004414EE"/>
    <w:rsid w:val="00441565"/>
    <w:rsid w:val="00441F66"/>
    <w:rsid w:val="00442074"/>
    <w:rsid w:val="0044381E"/>
    <w:rsid w:val="00443DCD"/>
    <w:rsid w:val="00445C4A"/>
    <w:rsid w:val="00445D9A"/>
    <w:rsid w:val="004469A9"/>
    <w:rsid w:val="00446CC3"/>
    <w:rsid w:val="0044790B"/>
    <w:rsid w:val="00450275"/>
    <w:rsid w:val="004502D8"/>
    <w:rsid w:val="0045057C"/>
    <w:rsid w:val="004517BB"/>
    <w:rsid w:val="0045219F"/>
    <w:rsid w:val="004525D7"/>
    <w:rsid w:val="00452944"/>
    <w:rsid w:val="00452D8A"/>
    <w:rsid w:val="00453362"/>
    <w:rsid w:val="0045392A"/>
    <w:rsid w:val="004542ED"/>
    <w:rsid w:val="004559C3"/>
    <w:rsid w:val="00455AF6"/>
    <w:rsid w:val="00455FDE"/>
    <w:rsid w:val="00456080"/>
    <w:rsid w:val="0045627E"/>
    <w:rsid w:val="00457648"/>
    <w:rsid w:val="0045778D"/>
    <w:rsid w:val="00460046"/>
    <w:rsid w:val="004608B3"/>
    <w:rsid w:val="00460ED4"/>
    <w:rsid w:val="00462652"/>
    <w:rsid w:val="00462B19"/>
    <w:rsid w:val="00463D29"/>
    <w:rsid w:val="004659A2"/>
    <w:rsid w:val="00465A6B"/>
    <w:rsid w:val="004662E6"/>
    <w:rsid w:val="004667D5"/>
    <w:rsid w:val="00466F63"/>
    <w:rsid w:val="00466FB4"/>
    <w:rsid w:val="0047158C"/>
    <w:rsid w:val="004722A2"/>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122"/>
    <w:rsid w:val="00483955"/>
    <w:rsid w:val="00483F4B"/>
    <w:rsid w:val="00484415"/>
    <w:rsid w:val="00490624"/>
    <w:rsid w:val="004921C2"/>
    <w:rsid w:val="004925C8"/>
    <w:rsid w:val="00492B0C"/>
    <w:rsid w:val="00494866"/>
    <w:rsid w:val="00494993"/>
    <w:rsid w:val="0049588B"/>
    <w:rsid w:val="00495BB8"/>
    <w:rsid w:val="00496AF0"/>
    <w:rsid w:val="00496B2B"/>
    <w:rsid w:val="00497D90"/>
    <w:rsid w:val="004A0013"/>
    <w:rsid w:val="004A225A"/>
    <w:rsid w:val="004A236D"/>
    <w:rsid w:val="004A24A6"/>
    <w:rsid w:val="004A2DE8"/>
    <w:rsid w:val="004A3D82"/>
    <w:rsid w:val="004A63E5"/>
    <w:rsid w:val="004B12AD"/>
    <w:rsid w:val="004B1BE5"/>
    <w:rsid w:val="004B2453"/>
    <w:rsid w:val="004B38A3"/>
    <w:rsid w:val="004B5782"/>
    <w:rsid w:val="004B5CDA"/>
    <w:rsid w:val="004B759C"/>
    <w:rsid w:val="004C07AF"/>
    <w:rsid w:val="004C0B2C"/>
    <w:rsid w:val="004C0FB9"/>
    <w:rsid w:val="004C18F8"/>
    <w:rsid w:val="004C1E55"/>
    <w:rsid w:val="004C2954"/>
    <w:rsid w:val="004C2CCF"/>
    <w:rsid w:val="004C3E5D"/>
    <w:rsid w:val="004C3F08"/>
    <w:rsid w:val="004C4640"/>
    <w:rsid w:val="004C4D43"/>
    <w:rsid w:val="004C4FAA"/>
    <w:rsid w:val="004C5352"/>
    <w:rsid w:val="004C5C99"/>
    <w:rsid w:val="004C5F78"/>
    <w:rsid w:val="004C6118"/>
    <w:rsid w:val="004C6264"/>
    <w:rsid w:val="004C63B7"/>
    <w:rsid w:val="004C696F"/>
    <w:rsid w:val="004C6BBE"/>
    <w:rsid w:val="004C7410"/>
    <w:rsid w:val="004D0196"/>
    <w:rsid w:val="004D0FDB"/>
    <w:rsid w:val="004D2173"/>
    <w:rsid w:val="004D244D"/>
    <w:rsid w:val="004D338F"/>
    <w:rsid w:val="004D34B1"/>
    <w:rsid w:val="004D4751"/>
    <w:rsid w:val="004D64FE"/>
    <w:rsid w:val="004D65EE"/>
    <w:rsid w:val="004D691A"/>
    <w:rsid w:val="004D6C06"/>
    <w:rsid w:val="004D732B"/>
    <w:rsid w:val="004D7A3E"/>
    <w:rsid w:val="004D7DC7"/>
    <w:rsid w:val="004E11A9"/>
    <w:rsid w:val="004E13AE"/>
    <w:rsid w:val="004E1820"/>
    <w:rsid w:val="004E1A2F"/>
    <w:rsid w:val="004E1AC2"/>
    <w:rsid w:val="004E1C0D"/>
    <w:rsid w:val="004E2909"/>
    <w:rsid w:val="004E4DF5"/>
    <w:rsid w:val="004E55ED"/>
    <w:rsid w:val="004E5A54"/>
    <w:rsid w:val="004E641D"/>
    <w:rsid w:val="004E666E"/>
    <w:rsid w:val="004E732D"/>
    <w:rsid w:val="004E7E41"/>
    <w:rsid w:val="004F04A4"/>
    <w:rsid w:val="004F0E43"/>
    <w:rsid w:val="004F1269"/>
    <w:rsid w:val="004F1C64"/>
    <w:rsid w:val="004F25EC"/>
    <w:rsid w:val="004F3665"/>
    <w:rsid w:val="004F374C"/>
    <w:rsid w:val="004F3EB8"/>
    <w:rsid w:val="004F3F0F"/>
    <w:rsid w:val="004F4496"/>
    <w:rsid w:val="004F49E7"/>
    <w:rsid w:val="004F4B0E"/>
    <w:rsid w:val="004F5086"/>
    <w:rsid w:val="004F5F86"/>
    <w:rsid w:val="004F618C"/>
    <w:rsid w:val="004F76EF"/>
    <w:rsid w:val="004F7AA9"/>
    <w:rsid w:val="004F7AAC"/>
    <w:rsid w:val="005019B5"/>
    <w:rsid w:val="00501DC4"/>
    <w:rsid w:val="0050283A"/>
    <w:rsid w:val="00502E5B"/>
    <w:rsid w:val="00502E66"/>
    <w:rsid w:val="00502F81"/>
    <w:rsid w:val="0050309D"/>
    <w:rsid w:val="00503D73"/>
    <w:rsid w:val="00504712"/>
    <w:rsid w:val="00505A25"/>
    <w:rsid w:val="00506627"/>
    <w:rsid w:val="005069F0"/>
    <w:rsid w:val="00510880"/>
    <w:rsid w:val="00510BB7"/>
    <w:rsid w:val="00511929"/>
    <w:rsid w:val="00511DA0"/>
    <w:rsid w:val="00512334"/>
    <w:rsid w:val="00513B1C"/>
    <w:rsid w:val="005147FF"/>
    <w:rsid w:val="0051588D"/>
    <w:rsid w:val="005165D5"/>
    <w:rsid w:val="00516932"/>
    <w:rsid w:val="00517286"/>
    <w:rsid w:val="005205F6"/>
    <w:rsid w:val="00521116"/>
    <w:rsid w:val="00521239"/>
    <w:rsid w:val="005224A1"/>
    <w:rsid w:val="00522CE3"/>
    <w:rsid w:val="00522FF7"/>
    <w:rsid w:val="005230C3"/>
    <w:rsid w:val="0052329B"/>
    <w:rsid w:val="00523E7A"/>
    <w:rsid w:val="00523F6B"/>
    <w:rsid w:val="00524853"/>
    <w:rsid w:val="0052523C"/>
    <w:rsid w:val="00525F54"/>
    <w:rsid w:val="00526134"/>
    <w:rsid w:val="00526451"/>
    <w:rsid w:val="00527779"/>
    <w:rsid w:val="005300FE"/>
    <w:rsid w:val="00532103"/>
    <w:rsid w:val="005324DF"/>
    <w:rsid w:val="00532D35"/>
    <w:rsid w:val="00532F04"/>
    <w:rsid w:val="00533518"/>
    <w:rsid w:val="00533667"/>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B91"/>
    <w:rsid w:val="00546CBB"/>
    <w:rsid w:val="00546DEB"/>
    <w:rsid w:val="005476C8"/>
    <w:rsid w:val="0054774A"/>
    <w:rsid w:val="00551107"/>
    <w:rsid w:val="005518B4"/>
    <w:rsid w:val="0055250B"/>
    <w:rsid w:val="00552A8A"/>
    <w:rsid w:val="00553DF6"/>
    <w:rsid w:val="0055437C"/>
    <w:rsid w:val="005546E1"/>
    <w:rsid w:val="00555D2D"/>
    <w:rsid w:val="0055666A"/>
    <w:rsid w:val="005567B8"/>
    <w:rsid w:val="005568CC"/>
    <w:rsid w:val="00556914"/>
    <w:rsid w:val="00556B9C"/>
    <w:rsid w:val="00557654"/>
    <w:rsid w:val="00557C01"/>
    <w:rsid w:val="00560A36"/>
    <w:rsid w:val="00560A79"/>
    <w:rsid w:val="005611DF"/>
    <w:rsid w:val="0056136E"/>
    <w:rsid w:val="0056252C"/>
    <w:rsid w:val="00562F52"/>
    <w:rsid w:val="005634A9"/>
    <w:rsid w:val="005636A6"/>
    <w:rsid w:val="005643E8"/>
    <w:rsid w:val="005644F8"/>
    <w:rsid w:val="00564D6C"/>
    <w:rsid w:val="005651B9"/>
    <w:rsid w:val="005654BE"/>
    <w:rsid w:val="00565879"/>
    <w:rsid w:val="00566529"/>
    <w:rsid w:val="00567533"/>
    <w:rsid w:val="00567BB1"/>
    <w:rsid w:val="00571DBA"/>
    <w:rsid w:val="005726F3"/>
    <w:rsid w:val="00573617"/>
    <w:rsid w:val="0057439E"/>
    <w:rsid w:val="00574DC1"/>
    <w:rsid w:val="00575569"/>
    <w:rsid w:val="00575672"/>
    <w:rsid w:val="00575895"/>
    <w:rsid w:val="0057684F"/>
    <w:rsid w:val="005769CA"/>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569E"/>
    <w:rsid w:val="00595962"/>
    <w:rsid w:val="00595DC2"/>
    <w:rsid w:val="005967EE"/>
    <w:rsid w:val="00597461"/>
    <w:rsid w:val="005977A9"/>
    <w:rsid w:val="00597CF0"/>
    <w:rsid w:val="005A0B3D"/>
    <w:rsid w:val="005A0F39"/>
    <w:rsid w:val="005A200B"/>
    <w:rsid w:val="005A2394"/>
    <w:rsid w:val="005A2822"/>
    <w:rsid w:val="005A3ADA"/>
    <w:rsid w:val="005A4528"/>
    <w:rsid w:val="005A4E57"/>
    <w:rsid w:val="005A5D84"/>
    <w:rsid w:val="005A6080"/>
    <w:rsid w:val="005A63E9"/>
    <w:rsid w:val="005A6690"/>
    <w:rsid w:val="005A68EE"/>
    <w:rsid w:val="005A6EB6"/>
    <w:rsid w:val="005A7811"/>
    <w:rsid w:val="005B0176"/>
    <w:rsid w:val="005B0817"/>
    <w:rsid w:val="005B0D5E"/>
    <w:rsid w:val="005B0DA3"/>
    <w:rsid w:val="005B10DB"/>
    <w:rsid w:val="005B1867"/>
    <w:rsid w:val="005B1CE1"/>
    <w:rsid w:val="005B258F"/>
    <w:rsid w:val="005B362C"/>
    <w:rsid w:val="005B47A5"/>
    <w:rsid w:val="005B47D1"/>
    <w:rsid w:val="005B5690"/>
    <w:rsid w:val="005B573C"/>
    <w:rsid w:val="005B5B8E"/>
    <w:rsid w:val="005B6045"/>
    <w:rsid w:val="005B6590"/>
    <w:rsid w:val="005B7B7A"/>
    <w:rsid w:val="005B7F8C"/>
    <w:rsid w:val="005C0C37"/>
    <w:rsid w:val="005C4263"/>
    <w:rsid w:val="005C464D"/>
    <w:rsid w:val="005C4A34"/>
    <w:rsid w:val="005C4CDD"/>
    <w:rsid w:val="005C4D66"/>
    <w:rsid w:val="005C512B"/>
    <w:rsid w:val="005C613B"/>
    <w:rsid w:val="005C619B"/>
    <w:rsid w:val="005C6E9F"/>
    <w:rsid w:val="005C6EB2"/>
    <w:rsid w:val="005C6F03"/>
    <w:rsid w:val="005C78BD"/>
    <w:rsid w:val="005C7EC8"/>
    <w:rsid w:val="005C7F10"/>
    <w:rsid w:val="005D0515"/>
    <w:rsid w:val="005D0E6E"/>
    <w:rsid w:val="005D21C1"/>
    <w:rsid w:val="005D2E03"/>
    <w:rsid w:val="005D3AC6"/>
    <w:rsid w:val="005D4733"/>
    <w:rsid w:val="005D6D07"/>
    <w:rsid w:val="005D7846"/>
    <w:rsid w:val="005D7AB9"/>
    <w:rsid w:val="005E2C99"/>
    <w:rsid w:val="005E30D1"/>
    <w:rsid w:val="005E4137"/>
    <w:rsid w:val="005E4AAD"/>
    <w:rsid w:val="005E523D"/>
    <w:rsid w:val="005E60F5"/>
    <w:rsid w:val="005E6A7D"/>
    <w:rsid w:val="005E7B45"/>
    <w:rsid w:val="005E7BA1"/>
    <w:rsid w:val="005F1172"/>
    <w:rsid w:val="005F128B"/>
    <w:rsid w:val="005F1419"/>
    <w:rsid w:val="005F163A"/>
    <w:rsid w:val="005F24C8"/>
    <w:rsid w:val="005F2FBA"/>
    <w:rsid w:val="005F3B71"/>
    <w:rsid w:val="005F3CFC"/>
    <w:rsid w:val="005F41D4"/>
    <w:rsid w:val="005F5B90"/>
    <w:rsid w:val="005F77A5"/>
    <w:rsid w:val="00601714"/>
    <w:rsid w:val="006020B8"/>
    <w:rsid w:val="006023A2"/>
    <w:rsid w:val="006030CD"/>
    <w:rsid w:val="006045E3"/>
    <w:rsid w:val="00605186"/>
    <w:rsid w:val="0060542B"/>
    <w:rsid w:val="00605AC8"/>
    <w:rsid w:val="00606672"/>
    <w:rsid w:val="0060710A"/>
    <w:rsid w:val="006075EB"/>
    <w:rsid w:val="00607642"/>
    <w:rsid w:val="00610B2E"/>
    <w:rsid w:val="00610D60"/>
    <w:rsid w:val="00611844"/>
    <w:rsid w:val="00611BD5"/>
    <w:rsid w:val="00611D13"/>
    <w:rsid w:val="006124EC"/>
    <w:rsid w:val="006137A4"/>
    <w:rsid w:val="006144CE"/>
    <w:rsid w:val="0061497F"/>
    <w:rsid w:val="00614D33"/>
    <w:rsid w:val="0061597A"/>
    <w:rsid w:val="00616A3B"/>
    <w:rsid w:val="00616B49"/>
    <w:rsid w:val="00616D72"/>
    <w:rsid w:val="00617997"/>
    <w:rsid w:val="00617E4F"/>
    <w:rsid w:val="00620516"/>
    <w:rsid w:val="0062136D"/>
    <w:rsid w:val="00622715"/>
    <w:rsid w:val="00622BCB"/>
    <w:rsid w:val="006234A2"/>
    <w:rsid w:val="00624B01"/>
    <w:rsid w:val="006253D5"/>
    <w:rsid w:val="00625F2E"/>
    <w:rsid w:val="0062605F"/>
    <w:rsid w:val="00626910"/>
    <w:rsid w:val="00627306"/>
    <w:rsid w:val="00627BCD"/>
    <w:rsid w:val="00627D66"/>
    <w:rsid w:val="00631DCB"/>
    <w:rsid w:val="00631E35"/>
    <w:rsid w:val="00632425"/>
    <w:rsid w:val="00632602"/>
    <w:rsid w:val="00632B80"/>
    <w:rsid w:val="00633353"/>
    <w:rsid w:val="00634EB6"/>
    <w:rsid w:val="00635D82"/>
    <w:rsid w:val="00636219"/>
    <w:rsid w:val="00636593"/>
    <w:rsid w:val="00636D5D"/>
    <w:rsid w:val="00640D7E"/>
    <w:rsid w:val="0064152B"/>
    <w:rsid w:val="00641AC2"/>
    <w:rsid w:val="00641B22"/>
    <w:rsid w:val="00643429"/>
    <w:rsid w:val="00643E26"/>
    <w:rsid w:val="00643F89"/>
    <w:rsid w:val="006441C6"/>
    <w:rsid w:val="006442C3"/>
    <w:rsid w:val="0064658F"/>
    <w:rsid w:val="00646B6F"/>
    <w:rsid w:val="0064712A"/>
    <w:rsid w:val="006471BB"/>
    <w:rsid w:val="00650350"/>
    <w:rsid w:val="00650418"/>
    <w:rsid w:val="00650767"/>
    <w:rsid w:val="00650D4C"/>
    <w:rsid w:val="006514AD"/>
    <w:rsid w:val="00651518"/>
    <w:rsid w:val="00651589"/>
    <w:rsid w:val="00651BA8"/>
    <w:rsid w:val="00652282"/>
    <w:rsid w:val="00652723"/>
    <w:rsid w:val="0065275D"/>
    <w:rsid w:val="0065339E"/>
    <w:rsid w:val="00653E9A"/>
    <w:rsid w:val="00656B4B"/>
    <w:rsid w:val="00661B07"/>
    <w:rsid w:val="006621B9"/>
    <w:rsid w:val="006625A5"/>
    <w:rsid w:val="0066274A"/>
    <w:rsid w:val="006631FA"/>
    <w:rsid w:val="00663D06"/>
    <w:rsid w:val="00663DF6"/>
    <w:rsid w:val="0066445B"/>
    <w:rsid w:val="006646D8"/>
    <w:rsid w:val="0066485B"/>
    <w:rsid w:val="00665C3D"/>
    <w:rsid w:val="00666304"/>
    <w:rsid w:val="006669CC"/>
    <w:rsid w:val="00666BEA"/>
    <w:rsid w:val="0067071A"/>
    <w:rsid w:val="00670B47"/>
    <w:rsid w:val="00670ED0"/>
    <w:rsid w:val="00670FD9"/>
    <w:rsid w:val="006716EA"/>
    <w:rsid w:val="00671EC4"/>
    <w:rsid w:val="00673C8C"/>
    <w:rsid w:val="00673FE1"/>
    <w:rsid w:val="006742A5"/>
    <w:rsid w:val="0067535B"/>
    <w:rsid w:val="00676BF1"/>
    <w:rsid w:val="00676CE2"/>
    <w:rsid w:val="00676D52"/>
    <w:rsid w:val="006773E9"/>
    <w:rsid w:val="0068034F"/>
    <w:rsid w:val="00680E5F"/>
    <w:rsid w:val="006810AD"/>
    <w:rsid w:val="006811F9"/>
    <w:rsid w:val="00681E36"/>
    <w:rsid w:val="00682082"/>
    <w:rsid w:val="00682876"/>
    <w:rsid w:val="006839CB"/>
    <w:rsid w:val="00684614"/>
    <w:rsid w:val="00684BE7"/>
    <w:rsid w:val="00684F77"/>
    <w:rsid w:val="0068529C"/>
    <w:rsid w:val="006867DA"/>
    <w:rsid w:val="00686915"/>
    <w:rsid w:val="006873A5"/>
    <w:rsid w:val="00687DEB"/>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24"/>
    <w:rsid w:val="006A02F8"/>
    <w:rsid w:val="006A0333"/>
    <w:rsid w:val="006A0435"/>
    <w:rsid w:val="006A144C"/>
    <w:rsid w:val="006A14DB"/>
    <w:rsid w:val="006A19C9"/>
    <w:rsid w:val="006A200A"/>
    <w:rsid w:val="006A2258"/>
    <w:rsid w:val="006A2CF6"/>
    <w:rsid w:val="006A2CFB"/>
    <w:rsid w:val="006A3181"/>
    <w:rsid w:val="006A325B"/>
    <w:rsid w:val="006A4AD6"/>
    <w:rsid w:val="006A53B8"/>
    <w:rsid w:val="006A6157"/>
    <w:rsid w:val="006A7FF0"/>
    <w:rsid w:val="006B048D"/>
    <w:rsid w:val="006B1614"/>
    <w:rsid w:val="006B17ED"/>
    <w:rsid w:val="006B1A92"/>
    <w:rsid w:val="006B1CDA"/>
    <w:rsid w:val="006B2B16"/>
    <w:rsid w:val="006B2CC2"/>
    <w:rsid w:val="006B35A1"/>
    <w:rsid w:val="006B362D"/>
    <w:rsid w:val="006B3E96"/>
    <w:rsid w:val="006B42CD"/>
    <w:rsid w:val="006B53D3"/>
    <w:rsid w:val="006B5DCA"/>
    <w:rsid w:val="006B67DB"/>
    <w:rsid w:val="006B68D7"/>
    <w:rsid w:val="006B7793"/>
    <w:rsid w:val="006B77E9"/>
    <w:rsid w:val="006B7912"/>
    <w:rsid w:val="006C062B"/>
    <w:rsid w:val="006C10EA"/>
    <w:rsid w:val="006C20D9"/>
    <w:rsid w:val="006C5EFA"/>
    <w:rsid w:val="006C6A41"/>
    <w:rsid w:val="006C7041"/>
    <w:rsid w:val="006C770C"/>
    <w:rsid w:val="006C77EC"/>
    <w:rsid w:val="006C7C24"/>
    <w:rsid w:val="006D0283"/>
    <w:rsid w:val="006D1D73"/>
    <w:rsid w:val="006D33C0"/>
    <w:rsid w:val="006D365E"/>
    <w:rsid w:val="006D385A"/>
    <w:rsid w:val="006D4F4A"/>
    <w:rsid w:val="006D5AC9"/>
    <w:rsid w:val="006D5EB4"/>
    <w:rsid w:val="006D6867"/>
    <w:rsid w:val="006D6A04"/>
    <w:rsid w:val="006D6F17"/>
    <w:rsid w:val="006D7269"/>
    <w:rsid w:val="006E01E1"/>
    <w:rsid w:val="006E0B5D"/>
    <w:rsid w:val="006E0D0B"/>
    <w:rsid w:val="006E1442"/>
    <w:rsid w:val="006E1A6B"/>
    <w:rsid w:val="006E25DC"/>
    <w:rsid w:val="006E29B9"/>
    <w:rsid w:val="006E2B55"/>
    <w:rsid w:val="006E30CC"/>
    <w:rsid w:val="006E35A6"/>
    <w:rsid w:val="006E39BD"/>
    <w:rsid w:val="006E3DD7"/>
    <w:rsid w:val="006E4299"/>
    <w:rsid w:val="006E4425"/>
    <w:rsid w:val="006E51E2"/>
    <w:rsid w:val="006E57DF"/>
    <w:rsid w:val="006E58D2"/>
    <w:rsid w:val="006E5A01"/>
    <w:rsid w:val="006E5BB6"/>
    <w:rsid w:val="006E61D7"/>
    <w:rsid w:val="006F0ADD"/>
    <w:rsid w:val="006F0C77"/>
    <w:rsid w:val="006F0F42"/>
    <w:rsid w:val="006F13F7"/>
    <w:rsid w:val="006F17C3"/>
    <w:rsid w:val="006F1CCA"/>
    <w:rsid w:val="006F6A32"/>
    <w:rsid w:val="006F6FAD"/>
    <w:rsid w:val="006F7985"/>
    <w:rsid w:val="006F7AAD"/>
    <w:rsid w:val="007003FF"/>
    <w:rsid w:val="00700546"/>
    <w:rsid w:val="007020BA"/>
    <w:rsid w:val="007074C0"/>
    <w:rsid w:val="007079FC"/>
    <w:rsid w:val="00710906"/>
    <w:rsid w:val="00710D9B"/>
    <w:rsid w:val="00710DA2"/>
    <w:rsid w:val="00710E36"/>
    <w:rsid w:val="007124A3"/>
    <w:rsid w:val="00712D65"/>
    <w:rsid w:val="007130A9"/>
    <w:rsid w:val="00713A52"/>
    <w:rsid w:val="00713CD3"/>
    <w:rsid w:val="00714B8A"/>
    <w:rsid w:val="00715A52"/>
    <w:rsid w:val="00716BB9"/>
    <w:rsid w:val="00716D52"/>
    <w:rsid w:val="00717B0B"/>
    <w:rsid w:val="00717BBD"/>
    <w:rsid w:val="00720303"/>
    <w:rsid w:val="007214F3"/>
    <w:rsid w:val="00721974"/>
    <w:rsid w:val="00722333"/>
    <w:rsid w:val="00722BBE"/>
    <w:rsid w:val="00722C09"/>
    <w:rsid w:val="00722F80"/>
    <w:rsid w:val="007232C8"/>
    <w:rsid w:val="00724225"/>
    <w:rsid w:val="0072444D"/>
    <w:rsid w:val="0072490B"/>
    <w:rsid w:val="0072545F"/>
    <w:rsid w:val="00725469"/>
    <w:rsid w:val="00725715"/>
    <w:rsid w:val="00726978"/>
    <w:rsid w:val="00727295"/>
    <w:rsid w:val="00727417"/>
    <w:rsid w:val="007301B8"/>
    <w:rsid w:val="00730985"/>
    <w:rsid w:val="007323DC"/>
    <w:rsid w:val="0073308E"/>
    <w:rsid w:val="007338C8"/>
    <w:rsid w:val="007345F6"/>
    <w:rsid w:val="007348F8"/>
    <w:rsid w:val="007349FB"/>
    <w:rsid w:val="0073516A"/>
    <w:rsid w:val="0073637A"/>
    <w:rsid w:val="00736481"/>
    <w:rsid w:val="007374E8"/>
    <w:rsid w:val="007409D3"/>
    <w:rsid w:val="00740D39"/>
    <w:rsid w:val="007413B9"/>
    <w:rsid w:val="00741535"/>
    <w:rsid w:val="007425CB"/>
    <w:rsid w:val="007425E6"/>
    <w:rsid w:val="007427F5"/>
    <w:rsid w:val="00743A1E"/>
    <w:rsid w:val="00743B76"/>
    <w:rsid w:val="0074591B"/>
    <w:rsid w:val="007459CF"/>
    <w:rsid w:val="0075024D"/>
    <w:rsid w:val="00753C8E"/>
    <w:rsid w:val="00753DD1"/>
    <w:rsid w:val="00753DDE"/>
    <w:rsid w:val="007541AB"/>
    <w:rsid w:val="00755CAC"/>
    <w:rsid w:val="00755D20"/>
    <w:rsid w:val="007563F9"/>
    <w:rsid w:val="00756C15"/>
    <w:rsid w:val="007572E2"/>
    <w:rsid w:val="007576BA"/>
    <w:rsid w:val="00760A12"/>
    <w:rsid w:val="00760F3C"/>
    <w:rsid w:val="007614DF"/>
    <w:rsid w:val="00761C30"/>
    <w:rsid w:val="00763207"/>
    <w:rsid w:val="00763508"/>
    <w:rsid w:val="00763901"/>
    <w:rsid w:val="00763D85"/>
    <w:rsid w:val="00764057"/>
    <w:rsid w:val="00765CC7"/>
    <w:rsid w:val="007660CD"/>
    <w:rsid w:val="00766419"/>
    <w:rsid w:val="00766C3B"/>
    <w:rsid w:val="00767771"/>
    <w:rsid w:val="00771263"/>
    <w:rsid w:val="007716CF"/>
    <w:rsid w:val="00771A36"/>
    <w:rsid w:val="007727D6"/>
    <w:rsid w:val="0077295E"/>
    <w:rsid w:val="00773A56"/>
    <w:rsid w:val="00773D1D"/>
    <w:rsid w:val="00774976"/>
    <w:rsid w:val="00774A21"/>
    <w:rsid w:val="00774EEC"/>
    <w:rsid w:val="00775038"/>
    <w:rsid w:val="00775DCF"/>
    <w:rsid w:val="0077618C"/>
    <w:rsid w:val="00776857"/>
    <w:rsid w:val="00777870"/>
    <w:rsid w:val="00777C58"/>
    <w:rsid w:val="00777D33"/>
    <w:rsid w:val="007807B1"/>
    <w:rsid w:val="00780B43"/>
    <w:rsid w:val="0078100F"/>
    <w:rsid w:val="00781A1E"/>
    <w:rsid w:val="00782159"/>
    <w:rsid w:val="00782768"/>
    <w:rsid w:val="00784690"/>
    <w:rsid w:val="0078478C"/>
    <w:rsid w:val="007847E0"/>
    <w:rsid w:val="007848CC"/>
    <w:rsid w:val="00784FDC"/>
    <w:rsid w:val="0078513E"/>
    <w:rsid w:val="00785EFF"/>
    <w:rsid w:val="00787D74"/>
    <w:rsid w:val="0079130B"/>
    <w:rsid w:val="00791653"/>
    <w:rsid w:val="00792A9D"/>
    <w:rsid w:val="00793896"/>
    <w:rsid w:val="007941DF"/>
    <w:rsid w:val="00794444"/>
    <w:rsid w:val="0079468C"/>
    <w:rsid w:val="00795DC1"/>
    <w:rsid w:val="007963D1"/>
    <w:rsid w:val="007965AF"/>
    <w:rsid w:val="0079687A"/>
    <w:rsid w:val="00797AC4"/>
    <w:rsid w:val="00797B98"/>
    <w:rsid w:val="007A14F4"/>
    <w:rsid w:val="007A163A"/>
    <w:rsid w:val="007A46E3"/>
    <w:rsid w:val="007A517D"/>
    <w:rsid w:val="007A5500"/>
    <w:rsid w:val="007A5684"/>
    <w:rsid w:val="007A56D2"/>
    <w:rsid w:val="007A56F1"/>
    <w:rsid w:val="007A6062"/>
    <w:rsid w:val="007A66EC"/>
    <w:rsid w:val="007A7C42"/>
    <w:rsid w:val="007B0148"/>
    <w:rsid w:val="007B0A4C"/>
    <w:rsid w:val="007B1BF5"/>
    <w:rsid w:val="007B1E88"/>
    <w:rsid w:val="007B2CAE"/>
    <w:rsid w:val="007B2E70"/>
    <w:rsid w:val="007B3ED8"/>
    <w:rsid w:val="007B4C10"/>
    <w:rsid w:val="007B4F3B"/>
    <w:rsid w:val="007B50E5"/>
    <w:rsid w:val="007B72BF"/>
    <w:rsid w:val="007B7DD3"/>
    <w:rsid w:val="007C00D7"/>
    <w:rsid w:val="007C03FB"/>
    <w:rsid w:val="007C08D2"/>
    <w:rsid w:val="007C0F6D"/>
    <w:rsid w:val="007C1BCE"/>
    <w:rsid w:val="007C238C"/>
    <w:rsid w:val="007C2B57"/>
    <w:rsid w:val="007C3079"/>
    <w:rsid w:val="007C4867"/>
    <w:rsid w:val="007C5596"/>
    <w:rsid w:val="007C63BC"/>
    <w:rsid w:val="007C75A1"/>
    <w:rsid w:val="007C7ADF"/>
    <w:rsid w:val="007C7D9A"/>
    <w:rsid w:val="007D0EBE"/>
    <w:rsid w:val="007D1C44"/>
    <w:rsid w:val="007D1D15"/>
    <w:rsid w:val="007D1F19"/>
    <w:rsid w:val="007D3B2C"/>
    <w:rsid w:val="007D42E8"/>
    <w:rsid w:val="007D5D5E"/>
    <w:rsid w:val="007D7679"/>
    <w:rsid w:val="007D7947"/>
    <w:rsid w:val="007E058F"/>
    <w:rsid w:val="007E1C8C"/>
    <w:rsid w:val="007E205A"/>
    <w:rsid w:val="007E3405"/>
    <w:rsid w:val="007E34A8"/>
    <w:rsid w:val="007E41F2"/>
    <w:rsid w:val="007E48B5"/>
    <w:rsid w:val="007E6081"/>
    <w:rsid w:val="007E6121"/>
    <w:rsid w:val="007E709F"/>
    <w:rsid w:val="007E734E"/>
    <w:rsid w:val="007E765F"/>
    <w:rsid w:val="007E7CA0"/>
    <w:rsid w:val="007F073A"/>
    <w:rsid w:val="007F087E"/>
    <w:rsid w:val="007F0B33"/>
    <w:rsid w:val="007F0B48"/>
    <w:rsid w:val="007F0BAD"/>
    <w:rsid w:val="007F1F2A"/>
    <w:rsid w:val="007F3330"/>
    <w:rsid w:val="007F43C2"/>
    <w:rsid w:val="007F4C00"/>
    <w:rsid w:val="007F4CA3"/>
    <w:rsid w:val="007F647D"/>
    <w:rsid w:val="007F6D41"/>
    <w:rsid w:val="007F7330"/>
    <w:rsid w:val="007F750D"/>
    <w:rsid w:val="007F794F"/>
    <w:rsid w:val="008029B2"/>
    <w:rsid w:val="00802E9D"/>
    <w:rsid w:val="00804402"/>
    <w:rsid w:val="00804FDD"/>
    <w:rsid w:val="008059CB"/>
    <w:rsid w:val="008061AB"/>
    <w:rsid w:val="008065B4"/>
    <w:rsid w:val="008109BE"/>
    <w:rsid w:val="00812EB7"/>
    <w:rsid w:val="0081360D"/>
    <w:rsid w:val="00813EB4"/>
    <w:rsid w:val="008144F4"/>
    <w:rsid w:val="00814968"/>
    <w:rsid w:val="00814A49"/>
    <w:rsid w:val="00815245"/>
    <w:rsid w:val="008162B3"/>
    <w:rsid w:val="00816D8D"/>
    <w:rsid w:val="00817AC1"/>
    <w:rsid w:val="00817D9F"/>
    <w:rsid w:val="0082109C"/>
    <w:rsid w:val="00821290"/>
    <w:rsid w:val="00821B1A"/>
    <w:rsid w:val="0082202C"/>
    <w:rsid w:val="00822912"/>
    <w:rsid w:val="00822C2E"/>
    <w:rsid w:val="008232F5"/>
    <w:rsid w:val="008235ED"/>
    <w:rsid w:val="00823C42"/>
    <w:rsid w:val="00824308"/>
    <w:rsid w:val="00824BD3"/>
    <w:rsid w:val="008265DB"/>
    <w:rsid w:val="00826A78"/>
    <w:rsid w:val="00826B17"/>
    <w:rsid w:val="0082730A"/>
    <w:rsid w:val="00827344"/>
    <w:rsid w:val="00827C4F"/>
    <w:rsid w:val="00830052"/>
    <w:rsid w:val="008314D2"/>
    <w:rsid w:val="008315BD"/>
    <w:rsid w:val="008319C0"/>
    <w:rsid w:val="00831E4F"/>
    <w:rsid w:val="00831F0B"/>
    <w:rsid w:val="008332B1"/>
    <w:rsid w:val="00836E51"/>
    <w:rsid w:val="0083739B"/>
    <w:rsid w:val="00837A14"/>
    <w:rsid w:val="008403CD"/>
    <w:rsid w:val="008415EA"/>
    <w:rsid w:val="00841BCB"/>
    <w:rsid w:val="00842722"/>
    <w:rsid w:val="008449E3"/>
    <w:rsid w:val="00844F2F"/>
    <w:rsid w:val="00846521"/>
    <w:rsid w:val="008466CA"/>
    <w:rsid w:val="00846CE8"/>
    <w:rsid w:val="00847048"/>
    <w:rsid w:val="008471B7"/>
    <w:rsid w:val="008471C4"/>
    <w:rsid w:val="00847385"/>
    <w:rsid w:val="00847843"/>
    <w:rsid w:val="00847A88"/>
    <w:rsid w:val="00847D22"/>
    <w:rsid w:val="00850E08"/>
    <w:rsid w:val="00851C77"/>
    <w:rsid w:val="00851D97"/>
    <w:rsid w:val="008522D3"/>
    <w:rsid w:val="008524D2"/>
    <w:rsid w:val="008524FC"/>
    <w:rsid w:val="00852630"/>
    <w:rsid w:val="008539EE"/>
    <w:rsid w:val="008553B2"/>
    <w:rsid w:val="008557ED"/>
    <w:rsid w:val="00855903"/>
    <w:rsid w:val="00857543"/>
    <w:rsid w:val="00861B88"/>
    <w:rsid w:val="00861F7D"/>
    <w:rsid w:val="00863302"/>
    <w:rsid w:val="008644B1"/>
    <w:rsid w:val="00864939"/>
    <w:rsid w:val="00866362"/>
    <w:rsid w:val="0086636C"/>
    <w:rsid w:val="008671E2"/>
    <w:rsid w:val="00867941"/>
    <w:rsid w:val="00867F31"/>
    <w:rsid w:val="00870E1A"/>
    <w:rsid w:val="008720A7"/>
    <w:rsid w:val="0087232F"/>
    <w:rsid w:val="008724E9"/>
    <w:rsid w:val="00872766"/>
    <w:rsid w:val="00873274"/>
    <w:rsid w:val="00873459"/>
    <w:rsid w:val="008737E9"/>
    <w:rsid w:val="008744BC"/>
    <w:rsid w:val="00875709"/>
    <w:rsid w:val="00876C30"/>
    <w:rsid w:val="00881BC7"/>
    <w:rsid w:val="00881DA3"/>
    <w:rsid w:val="00882313"/>
    <w:rsid w:val="00883827"/>
    <w:rsid w:val="00884CF0"/>
    <w:rsid w:val="0088589D"/>
    <w:rsid w:val="008858D1"/>
    <w:rsid w:val="00886116"/>
    <w:rsid w:val="00887CEB"/>
    <w:rsid w:val="00887FDD"/>
    <w:rsid w:val="00890757"/>
    <w:rsid w:val="008909A8"/>
    <w:rsid w:val="00890D42"/>
    <w:rsid w:val="008918F4"/>
    <w:rsid w:val="00891926"/>
    <w:rsid w:val="008919BA"/>
    <w:rsid w:val="00891CBF"/>
    <w:rsid w:val="00892CAB"/>
    <w:rsid w:val="00893991"/>
    <w:rsid w:val="0089542D"/>
    <w:rsid w:val="008958BB"/>
    <w:rsid w:val="008A01CB"/>
    <w:rsid w:val="008A105A"/>
    <w:rsid w:val="008A1C04"/>
    <w:rsid w:val="008A2779"/>
    <w:rsid w:val="008A2AD9"/>
    <w:rsid w:val="008A3630"/>
    <w:rsid w:val="008A41BA"/>
    <w:rsid w:val="008A4257"/>
    <w:rsid w:val="008A4836"/>
    <w:rsid w:val="008A68A7"/>
    <w:rsid w:val="008A6F60"/>
    <w:rsid w:val="008A6F63"/>
    <w:rsid w:val="008A73AA"/>
    <w:rsid w:val="008A76D4"/>
    <w:rsid w:val="008B0295"/>
    <w:rsid w:val="008B17B6"/>
    <w:rsid w:val="008B1963"/>
    <w:rsid w:val="008B1BE7"/>
    <w:rsid w:val="008B37A5"/>
    <w:rsid w:val="008B525E"/>
    <w:rsid w:val="008B5A6D"/>
    <w:rsid w:val="008B5C5C"/>
    <w:rsid w:val="008B5D73"/>
    <w:rsid w:val="008B6169"/>
    <w:rsid w:val="008B6802"/>
    <w:rsid w:val="008B6D7F"/>
    <w:rsid w:val="008B74D7"/>
    <w:rsid w:val="008C0FE3"/>
    <w:rsid w:val="008C1158"/>
    <w:rsid w:val="008C1AF6"/>
    <w:rsid w:val="008C2E48"/>
    <w:rsid w:val="008C3F51"/>
    <w:rsid w:val="008C57AC"/>
    <w:rsid w:val="008C6582"/>
    <w:rsid w:val="008C6E5C"/>
    <w:rsid w:val="008C774F"/>
    <w:rsid w:val="008D1021"/>
    <w:rsid w:val="008D1E33"/>
    <w:rsid w:val="008D2A54"/>
    <w:rsid w:val="008D2BAF"/>
    <w:rsid w:val="008D337E"/>
    <w:rsid w:val="008D3665"/>
    <w:rsid w:val="008D4A72"/>
    <w:rsid w:val="008D4F4C"/>
    <w:rsid w:val="008D50A2"/>
    <w:rsid w:val="008D5E71"/>
    <w:rsid w:val="008D73CD"/>
    <w:rsid w:val="008E0D71"/>
    <w:rsid w:val="008E0F85"/>
    <w:rsid w:val="008E1925"/>
    <w:rsid w:val="008E1A89"/>
    <w:rsid w:val="008E1E97"/>
    <w:rsid w:val="008E52F6"/>
    <w:rsid w:val="008E6B93"/>
    <w:rsid w:val="008E76FC"/>
    <w:rsid w:val="008F2A5A"/>
    <w:rsid w:val="008F398B"/>
    <w:rsid w:val="008F3EF5"/>
    <w:rsid w:val="008F3FFA"/>
    <w:rsid w:val="008F4374"/>
    <w:rsid w:val="008F4A59"/>
    <w:rsid w:val="008F4E92"/>
    <w:rsid w:val="008F50E2"/>
    <w:rsid w:val="008F5B12"/>
    <w:rsid w:val="008F619D"/>
    <w:rsid w:val="008F61A4"/>
    <w:rsid w:val="008F6AAD"/>
    <w:rsid w:val="008F7251"/>
    <w:rsid w:val="008F7726"/>
    <w:rsid w:val="00900AE3"/>
    <w:rsid w:val="00901116"/>
    <w:rsid w:val="0090242D"/>
    <w:rsid w:val="009027E6"/>
    <w:rsid w:val="00902874"/>
    <w:rsid w:val="00903E8C"/>
    <w:rsid w:val="00904B1B"/>
    <w:rsid w:val="0090501C"/>
    <w:rsid w:val="00905495"/>
    <w:rsid w:val="00906B13"/>
    <w:rsid w:val="00906CE8"/>
    <w:rsid w:val="0090767E"/>
    <w:rsid w:val="009079A8"/>
    <w:rsid w:val="009079F8"/>
    <w:rsid w:val="0091081A"/>
    <w:rsid w:val="00910AB5"/>
    <w:rsid w:val="00910C17"/>
    <w:rsid w:val="00910D0A"/>
    <w:rsid w:val="00911E91"/>
    <w:rsid w:val="00913341"/>
    <w:rsid w:val="00914860"/>
    <w:rsid w:val="009212C5"/>
    <w:rsid w:val="009220F6"/>
    <w:rsid w:val="00923861"/>
    <w:rsid w:val="0092397C"/>
    <w:rsid w:val="00924234"/>
    <w:rsid w:val="00924652"/>
    <w:rsid w:val="00924753"/>
    <w:rsid w:val="00924AAC"/>
    <w:rsid w:val="0092506F"/>
    <w:rsid w:val="0092550E"/>
    <w:rsid w:val="0092554D"/>
    <w:rsid w:val="009255C6"/>
    <w:rsid w:val="0092599B"/>
    <w:rsid w:val="0092603D"/>
    <w:rsid w:val="0093076F"/>
    <w:rsid w:val="00931F2C"/>
    <w:rsid w:val="00932748"/>
    <w:rsid w:val="00932A74"/>
    <w:rsid w:val="00932AFC"/>
    <w:rsid w:val="0093302B"/>
    <w:rsid w:val="0093370A"/>
    <w:rsid w:val="0093498D"/>
    <w:rsid w:val="00934DA0"/>
    <w:rsid w:val="00935D33"/>
    <w:rsid w:val="0093610C"/>
    <w:rsid w:val="009363B8"/>
    <w:rsid w:val="00936408"/>
    <w:rsid w:val="00937A59"/>
    <w:rsid w:val="00940CFF"/>
    <w:rsid w:val="00942170"/>
    <w:rsid w:val="00942CC3"/>
    <w:rsid w:val="00943EBB"/>
    <w:rsid w:val="00944A44"/>
    <w:rsid w:val="00944E99"/>
    <w:rsid w:val="00945A84"/>
    <w:rsid w:val="00946AF5"/>
    <w:rsid w:val="00947883"/>
    <w:rsid w:val="009479D9"/>
    <w:rsid w:val="00947BC9"/>
    <w:rsid w:val="00947F1D"/>
    <w:rsid w:val="00947F5F"/>
    <w:rsid w:val="009503CB"/>
    <w:rsid w:val="0095187E"/>
    <w:rsid w:val="00951D9D"/>
    <w:rsid w:val="00951DFB"/>
    <w:rsid w:val="009531A4"/>
    <w:rsid w:val="00953603"/>
    <w:rsid w:val="00953663"/>
    <w:rsid w:val="00953808"/>
    <w:rsid w:val="009544BF"/>
    <w:rsid w:val="0095619B"/>
    <w:rsid w:val="00956A06"/>
    <w:rsid w:val="00956EC0"/>
    <w:rsid w:val="009572D0"/>
    <w:rsid w:val="00957D05"/>
    <w:rsid w:val="00961136"/>
    <w:rsid w:val="00962D5A"/>
    <w:rsid w:val="009630F7"/>
    <w:rsid w:val="00963598"/>
    <w:rsid w:val="00963697"/>
    <w:rsid w:val="00965744"/>
    <w:rsid w:val="009658BD"/>
    <w:rsid w:val="009659CD"/>
    <w:rsid w:val="00966458"/>
    <w:rsid w:val="00970C98"/>
    <w:rsid w:val="0097108B"/>
    <w:rsid w:val="00971335"/>
    <w:rsid w:val="00973BBE"/>
    <w:rsid w:val="00974045"/>
    <w:rsid w:val="00974C39"/>
    <w:rsid w:val="00974F18"/>
    <w:rsid w:val="00974F5F"/>
    <w:rsid w:val="0097510A"/>
    <w:rsid w:val="0097573B"/>
    <w:rsid w:val="00975D97"/>
    <w:rsid w:val="0097602D"/>
    <w:rsid w:val="009762FA"/>
    <w:rsid w:val="00976953"/>
    <w:rsid w:val="009773C6"/>
    <w:rsid w:val="009773C8"/>
    <w:rsid w:val="0097775D"/>
    <w:rsid w:val="00980117"/>
    <w:rsid w:val="00980524"/>
    <w:rsid w:val="009814C8"/>
    <w:rsid w:val="00981F85"/>
    <w:rsid w:val="009825C0"/>
    <w:rsid w:val="0098412D"/>
    <w:rsid w:val="009845CF"/>
    <w:rsid w:val="00984948"/>
    <w:rsid w:val="00985433"/>
    <w:rsid w:val="00985602"/>
    <w:rsid w:val="00986B71"/>
    <w:rsid w:val="0099081C"/>
    <w:rsid w:val="009928DD"/>
    <w:rsid w:val="00993077"/>
    <w:rsid w:val="00993876"/>
    <w:rsid w:val="00994286"/>
    <w:rsid w:val="009943C0"/>
    <w:rsid w:val="00994CDE"/>
    <w:rsid w:val="00994EA6"/>
    <w:rsid w:val="00995542"/>
    <w:rsid w:val="00995752"/>
    <w:rsid w:val="00995E34"/>
    <w:rsid w:val="00996D2C"/>
    <w:rsid w:val="00997783"/>
    <w:rsid w:val="009A01D0"/>
    <w:rsid w:val="009A0417"/>
    <w:rsid w:val="009A0894"/>
    <w:rsid w:val="009A16D3"/>
    <w:rsid w:val="009A185F"/>
    <w:rsid w:val="009A244E"/>
    <w:rsid w:val="009A3AFF"/>
    <w:rsid w:val="009A71F0"/>
    <w:rsid w:val="009A7D0E"/>
    <w:rsid w:val="009B07B3"/>
    <w:rsid w:val="009B0A15"/>
    <w:rsid w:val="009B0E95"/>
    <w:rsid w:val="009B256C"/>
    <w:rsid w:val="009B36B4"/>
    <w:rsid w:val="009B42C7"/>
    <w:rsid w:val="009B4484"/>
    <w:rsid w:val="009B5529"/>
    <w:rsid w:val="009B7ADD"/>
    <w:rsid w:val="009B7D9D"/>
    <w:rsid w:val="009C047F"/>
    <w:rsid w:val="009C1BA3"/>
    <w:rsid w:val="009C20F9"/>
    <w:rsid w:val="009C26FC"/>
    <w:rsid w:val="009C2700"/>
    <w:rsid w:val="009C292F"/>
    <w:rsid w:val="009C4707"/>
    <w:rsid w:val="009C4840"/>
    <w:rsid w:val="009C4C42"/>
    <w:rsid w:val="009C7DC3"/>
    <w:rsid w:val="009D04DB"/>
    <w:rsid w:val="009D09F7"/>
    <w:rsid w:val="009D0B9B"/>
    <w:rsid w:val="009D0E0E"/>
    <w:rsid w:val="009D1EAA"/>
    <w:rsid w:val="009D2856"/>
    <w:rsid w:val="009D320A"/>
    <w:rsid w:val="009D38D4"/>
    <w:rsid w:val="009D3992"/>
    <w:rsid w:val="009D471F"/>
    <w:rsid w:val="009D53E9"/>
    <w:rsid w:val="009D5641"/>
    <w:rsid w:val="009D6783"/>
    <w:rsid w:val="009D685E"/>
    <w:rsid w:val="009D6B85"/>
    <w:rsid w:val="009D7DCF"/>
    <w:rsid w:val="009E1C6C"/>
    <w:rsid w:val="009E1D25"/>
    <w:rsid w:val="009E2119"/>
    <w:rsid w:val="009E3036"/>
    <w:rsid w:val="009E4E14"/>
    <w:rsid w:val="009E59D2"/>
    <w:rsid w:val="009E61D2"/>
    <w:rsid w:val="009F071D"/>
    <w:rsid w:val="009F0AC9"/>
    <w:rsid w:val="009F1718"/>
    <w:rsid w:val="009F3518"/>
    <w:rsid w:val="009F4741"/>
    <w:rsid w:val="009F62BD"/>
    <w:rsid w:val="009F63BE"/>
    <w:rsid w:val="009F7D5C"/>
    <w:rsid w:val="00A00DB1"/>
    <w:rsid w:val="00A00ECF"/>
    <w:rsid w:val="00A02135"/>
    <w:rsid w:val="00A02621"/>
    <w:rsid w:val="00A04118"/>
    <w:rsid w:val="00A0427E"/>
    <w:rsid w:val="00A05A52"/>
    <w:rsid w:val="00A06B84"/>
    <w:rsid w:val="00A07B93"/>
    <w:rsid w:val="00A07C0C"/>
    <w:rsid w:val="00A10199"/>
    <w:rsid w:val="00A10456"/>
    <w:rsid w:val="00A1142B"/>
    <w:rsid w:val="00A11DBA"/>
    <w:rsid w:val="00A11EAD"/>
    <w:rsid w:val="00A1205C"/>
    <w:rsid w:val="00A1392D"/>
    <w:rsid w:val="00A141D4"/>
    <w:rsid w:val="00A145E1"/>
    <w:rsid w:val="00A14728"/>
    <w:rsid w:val="00A1491D"/>
    <w:rsid w:val="00A14A5F"/>
    <w:rsid w:val="00A14A74"/>
    <w:rsid w:val="00A14BB6"/>
    <w:rsid w:val="00A14BCD"/>
    <w:rsid w:val="00A14C52"/>
    <w:rsid w:val="00A157FB"/>
    <w:rsid w:val="00A15DFA"/>
    <w:rsid w:val="00A1621C"/>
    <w:rsid w:val="00A16AAB"/>
    <w:rsid w:val="00A16AF9"/>
    <w:rsid w:val="00A2035F"/>
    <w:rsid w:val="00A21540"/>
    <w:rsid w:val="00A21D30"/>
    <w:rsid w:val="00A2203F"/>
    <w:rsid w:val="00A23505"/>
    <w:rsid w:val="00A236DE"/>
    <w:rsid w:val="00A23DDC"/>
    <w:rsid w:val="00A2439F"/>
    <w:rsid w:val="00A25439"/>
    <w:rsid w:val="00A2568D"/>
    <w:rsid w:val="00A25CB7"/>
    <w:rsid w:val="00A25D68"/>
    <w:rsid w:val="00A2655C"/>
    <w:rsid w:val="00A26651"/>
    <w:rsid w:val="00A26AB9"/>
    <w:rsid w:val="00A27933"/>
    <w:rsid w:val="00A30DD5"/>
    <w:rsid w:val="00A312EA"/>
    <w:rsid w:val="00A32176"/>
    <w:rsid w:val="00A323B3"/>
    <w:rsid w:val="00A33692"/>
    <w:rsid w:val="00A339DF"/>
    <w:rsid w:val="00A35A18"/>
    <w:rsid w:val="00A36666"/>
    <w:rsid w:val="00A36A14"/>
    <w:rsid w:val="00A3777B"/>
    <w:rsid w:val="00A42FC9"/>
    <w:rsid w:val="00A43BA8"/>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563A4"/>
    <w:rsid w:val="00A616EF"/>
    <w:rsid w:val="00A62B8C"/>
    <w:rsid w:val="00A63A9F"/>
    <w:rsid w:val="00A6503E"/>
    <w:rsid w:val="00A65969"/>
    <w:rsid w:val="00A65EA5"/>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77AC8"/>
    <w:rsid w:val="00A80525"/>
    <w:rsid w:val="00A80836"/>
    <w:rsid w:val="00A810FA"/>
    <w:rsid w:val="00A81205"/>
    <w:rsid w:val="00A81B4E"/>
    <w:rsid w:val="00A824E5"/>
    <w:rsid w:val="00A8260B"/>
    <w:rsid w:val="00A82D8A"/>
    <w:rsid w:val="00A836BC"/>
    <w:rsid w:val="00A83AB2"/>
    <w:rsid w:val="00A83E81"/>
    <w:rsid w:val="00A85BAC"/>
    <w:rsid w:val="00A876D6"/>
    <w:rsid w:val="00A901B8"/>
    <w:rsid w:val="00A90C52"/>
    <w:rsid w:val="00A91BD6"/>
    <w:rsid w:val="00A91D8F"/>
    <w:rsid w:val="00A92965"/>
    <w:rsid w:val="00A929B0"/>
    <w:rsid w:val="00A92AB9"/>
    <w:rsid w:val="00A9301D"/>
    <w:rsid w:val="00A9426A"/>
    <w:rsid w:val="00A9427B"/>
    <w:rsid w:val="00A94D48"/>
    <w:rsid w:val="00A95ADB"/>
    <w:rsid w:val="00A95D38"/>
    <w:rsid w:val="00A9668B"/>
    <w:rsid w:val="00A96BFB"/>
    <w:rsid w:val="00A9784C"/>
    <w:rsid w:val="00A97C80"/>
    <w:rsid w:val="00A97F2D"/>
    <w:rsid w:val="00AA0B04"/>
    <w:rsid w:val="00AA0FC2"/>
    <w:rsid w:val="00AA1381"/>
    <w:rsid w:val="00AA1595"/>
    <w:rsid w:val="00AA2EC2"/>
    <w:rsid w:val="00AA329E"/>
    <w:rsid w:val="00AA4173"/>
    <w:rsid w:val="00AA45BF"/>
    <w:rsid w:val="00AA4B1A"/>
    <w:rsid w:val="00AA5D9B"/>
    <w:rsid w:val="00AA5EF0"/>
    <w:rsid w:val="00AA617B"/>
    <w:rsid w:val="00AB037A"/>
    <w:rsid w:val="00AB1880"/>
    <w:rsid w:val="00AB19BA"/>
    <w:rsid w:val="00AB1CA9"/>
    <w:rsid w:val="00AB1D6A"/>
    <w:rsid w:val="00AB24AE"/>
    <w:rsid w:val="00AB3DBB"/>
    <w:rsid w:val="00AB4058"/>
    <w:rsid w:val="00AB4576"/>
    <w:rsid w:val="00AB6098"/>
    <w:rsid w:val="00AB620F"/>
    <w:rsid w:val="00AB6A15"/>
    <w:rsid w:val="00AB6AFA"/>
    <w:rsid w:val="00AB7814"/>
    <w:rsid w:val="00AB7F2D"/>
    <w:rsid w:val="00AC03EB"/>
    <w:rsid w:val="00AC122A"/>
    <w:rsid w:val="00AC142E"/>
    <w:rsid w:val="00AC195F"/>
    <w:rsid w:val="00AC2329"/>
    <w:rsid w:val="00AC3928"/>
    <w:rsid w:val="00AC3BD2"/>
    <w:rsid w:val="00AC406A"/>
    <w:rsid w:val="00AC40D6"/>
    <w:rsid w:val="00AC413C"/>
    <w:rsid w:val="00AC44C3"/>
    <w:rsid w:val="00AC4DAD"/>
    <w:rsid w:val="00AC4E1D"/>
    <w:rsid w:val="00AC511F"/>
    <w:rsid w:val="00AC547C"/>
    <w:rsid w:val="00AC5679"/>
    <w:rsid w:val="00AC5FBF"/>
    <w:rsid w:val="00AC6458"/>
    <w:rsid w:val="00AC6725"/>
    <w:rsid w:val="00AC7D8F"/>
    <w:rsid w:val="00AC7E2E"/>
    <w:rsid w:val="00AD04AA"/>
    <w:rsid w:val="00AD1265"/>
    <w:rsid w:val="00AD1D47"/>
    <w:rsid w:val="00AD25B9"/>
    <w:rsid w:val="00AD2BBC"/>
    <w:rsid w:val="00AD3476"/>
    <w:rsid w:val="00AD54E8"/>
    <w:rsid w:val="00AD597F"/>
    <w:rsid w:val="00AD5C5B"/>
    <w:rsid w:val="00AD5D77"/>
    <w:rsid w:val="00AD7BDC"/>
    <w:rsid w:val="00AD7EF4"/>
    <w:rsid w:val="00AE1BD6"/>
    <w:rsid w:val="00AE1D46"/>
    <w:rsid w:val="00AE282F"/>
    <w:rsid w:val="00AE294D"/>
    <w:rsid w:val="00AE370C"/>
    <w:rsid w:val="00AE4ECF"/>
    <w:rsid w:val="00AE6003"/>
    <w:rsid w:val="00AE624F"/>
    <w:rsid w:val="00AE66B0"/>
    <w:rsid w:val="00AE6B99"/>
    <w:rsid w:val="00AE6BEC"/>
    <w:rsid w:val="00AE7040"/>
    <w:rsid w:val="00AE7847"/>
    <w:rsid w:val="00AF0AA5"/>
    <w:rsid w:val="00AF0EBE"/>
    <w:rsid w:val="00AF0EFB"/>
    <w:rsid w:val="00AF1207"/>
    <w:rsid w:val="00AF13E6"/>
    <w:rsid w:val="00AF2458"/>
    <w:rsid w:val="00AF2C5F"/>
    <w:rsid w:val="00AF43F3"/>
    <w:rsid w:val="00AF5A98"/>
    <w:rsid w:val="00AF65D0"/>
    <w:rsid w:val="00AF6C2F"/>
    <w:rsid w:val="00AF7012"/>
    <w:rsid w:val="00AF75BE"/>
    <w:rsid w:val="00AF79C9"/>
    <w:rsid w:val="00AF7E41"/>
    <w:rsid w:val="00AF7F79"/>
    <w:rsid w:val="00B0168B"/>
    <w:rsid w:val="00B019FF"/>
    <w:rsid w:val="00B02A47"/>
    <w:rsid w:val="00B036E1"/>
    <w:rsid w:val="00B038D8"/>
    <w:rsid w:val="00B052E0"/>
    <w:rsid w:val="00B07574"/>
    <w:rsid w:val="00B07C06"/>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145"/>
    <w:rsid w:val="00B1780E"/>
    <w:rsid w:val="00B1781D"/>
    <w:rsid w:val="00B2243A"/>
    <w:rsid w:val="00B228FE"/>
    <w:rsid w:val="00B22E79"/>
    <w:rsid w:val="00B230E1"/>
    <w:rsid w:val="00B2339A"/>
    <w:rsid w:val="00B23940"/>
    <w:rsid w:val="00B239AB"/>
    <w:rsid w:val="00B23A24"/>
    <w:rsid w:val="00B240C6"/>
    <w:rsid w:val="00B25609"/>
    <w:rsid w:val="00B25A51"/>
    <w:rsid w:val="00B2610C"/>
    <w:rsid w:val="00B26575"/>
    <w:rsid w:val="00B26E42"/>
    <w:rsid w:val="00B274DC"/>
    <w:rsid w:val="00B27829"/>
    <w:rsid w:val="00B32E4B"/>
    <w:rsid w:val="00B33DDE"/>
    <w:rsid w:val="00B33FB0"/>
    <w:rsid w:val="00B34C23"/>
    <w:rsid w:val="00B34E48"/>
    <w:rsid w:val="00B369FD"/>
    <w:rsid w:val="00B36D23"/>
    <w:rsid w:val="00B377DE"/>
    <w:rsid w:val="00B37991"/>
    <w:rsid w:val="00B40580"/>
    <w:rsid w:val="00B40F7E"/>
    <w:rsid w:val="00B4180E"/>
    <w:rsid w:val="00B4291A"/>
    <w:rsid w:val="00B44562"/>
    <w:rsid w:val="00B45327"/>
    <w:rsid w:val="00B45A2B"/>
    <w:rsid w:val="00B46269"/>
    <w:rsid w:val="00B46543"/>
    <w:rsid w:val="00B469C0"/>
    <w:rsid w:val="00B50639"/>
    <w:rsid w:val="00B50E78"/>
    <w:rsid w:val="00B51B73"/>
    <w:rsid w:val="00B5288F"/>
    <w:rsid w:val="00B5299E"/>
    <w:rsid w:val="00B53074"/>
    <w:rsid w:val="00B568E1"/>
    <w:rsid w:val="00B571AD"/>
    <w:rsid w:val="00B60EF2"/>
    <w:rsid w:val="00B6105C"/>
    <w:rsid w:val="00B61313"/>
    <w:rsid w:val="00B61FFB"/>
    <w:rsid w:val="00B65948"/>
    <w:rsid w:val="00B67D0C"/>
    <w:rsid w:val="00B67D13"/>
    <w:rsid w:val="00B7059C"/>
    <w:rsid w:val="00B70BAD"/>
    <w:rsid w:val="00B70EF3"/>
    <w:rsid w:val="00B72011"/>
    <w:rsid w:val="00B72294"/>
    <w:rsid w:val="00B72356"/>
    <w:rsid w:val="00B7236D"/>
    <w:rsid w:val="00B72C26"/>
    <w:rsid w:val="00B73808"/>
    <w:rsid w:val="00B73F58"/>
    <w:rsid w:val="00B7485E"/>
    <w:rsid w:val="00B74D31"/>
    <w:rsid w:val="00B751A1"/>
    <w:rsid w:val="00B778BE"/>
    <w:rsid w:val="00B81584"/>
    <w:rsid w:val="00B815D5"/>
    <w:rsid w:val="00B82CE4"/>
    <w:rsid w:val="00B840A7"/>
    <w:rsid w:val="00B84CE8"/>
    <w:rsid w:val="00B86146"/>
    <w:rsid w:val="00B86E97"/>
    <w:rsid w:val="00B86F89"/>
    <w:rsid w:val="00B87F33"/>
    <w:rsid w:val="00B90070"/>
    <w:rsid w:val="00B91320"/>
    <w:rsid w:val="00B9274D"/>
    <w:rsid w:val="00B92F62"/>
    <w:rsid w:val="00B95152"/>
    <w:rsid w:val="00B952FB"/>
    <w:rsid w:val="00B96115"/>
    <w:rsid w:val="00B971FD"/>
    <w:rsid w:val="00B97DE8"/>
    <w:rsid w:val="00BA1654"/>
    <w:rsid w:val="00BA1DE6"/>
    <w:rsid w:val="00BA1EBC"/>
    <w:rsid w:val="00BA328A"/>
    <w:rsid w:val="00BA3328"/>
    <w:rsid w:val="00BA374C"/>
    <w:rsid w:val="00BA47A1"/>
    <w:rsid w:val="00BA5659"/>
    <w:rsid w:val="00BA5BAD"/>
    <w:rsid w:val="00BA6299"/>
    <w:rsid w:val="00BA649A"/>
    <w:rsid w:val="00BA6D34"/>
    <w:rsid w:val="00BA7992"/>
    <w:rsid w:val="00BB0418"/>
    <w:rsid w:val="00BB08D9"/>
    <w:rsid w:val="00BB1A99"/>
    <w:rsid w:val="00BB2057"/>
    <w:rsid w:val="00BB2F7F"/>
    <w:rsid w:val="00BB3E9A"/>
    <w:rsid w:val="00BB4D76"/>
    <w:rsid w:val="00BB674F"/>
    <w:rsid w:val="00BB6764"/>
    <w:rsid w:val="00BB69AD"/>
    <w:rsid w:val="00BB6E1C"/>
    <w:rsid w:val="00BB7240"/>
    <w:rsid w:val="00BB739E"/>
    <w:rsid w:val="00BB7F19"/>
    <w:rsid w:val="00BC019B"/>
    <w:rsid w:val="00BC100F"/>
    <w:rsid w:val="00BC2D79"/>
    <w:rsid w:val="00BC3629"/>
    <w:rsid w:val="00BC5ABD"/>
    <w:rsid w:val="00BC6BDA"/>
    <w:rsid w:val="00BC6DAD"/>
    <w:rsid w:val="00BD014D"/>
    <w:rsid w:val="00BD16E8"/>
    <w:rsid w:val="00BD2C6A"/>
    <w:rsid w:val="00BD5B09"/>
    <w:rsid w:val="00BD6158"/>
    <w:rsid w:val="00BD66A2"/>
    <w:rsid w:val="00BD6E0C"/>
    <w:rsid w:val="00BD7AC5"/>
    <w:rsid w:val="00BD7F4D"/>
    <w:rsid w:val="00BE037A"/>
    <w:rsid w:val="00BE19B8"/>
    <w:rsid w:val="00BE2B7F"/>
    <w:rsid w:val="00BE2C75"/>
    <w:rsid w:val="00BE369D"/>
    <w:rsid w:val="00BE3B36"/>
    <w:rsid w:val="00BE3D5C"/>
    <w:rsid w:val="00BE417C"/>
    <w:rsid w:val="00BE4D03"/>
    <w:rsid w:val="00BE5725"/>
    <w:rsid w:val="00BE7017"/>
    <w:rsid w:val="00BE7906"/>
    <w:rsid w:val="00BE798B"/>
    <w:rsid w:val="00BF0969"/>
    <w:rsid w:val="00BF108E"/>
    <w:rsid w:val="00BF15F0"/>
    <w:rsid w:val="00BF1BD6"/>
    <w:rsid w:val="00BF2A5D"/>
    <w:rsid w:val="00BF2EDB"/>
    <w:rsid w:val="00BF3658"/>
    <w:rsid w:val="00BF49B0"/>
    <w:rsid w:val="00BF5463"/>
    <w:rsid w:val="00BF6C41"/>
    <w:rsid w:val="00C00996"/>
    <w:rsid w:val="00C00A93"/>
    <w:rsid w:val="00C00BB2"/>
    <w:rsid w:val="00C00F72"/>
    <w:rsid w:val="00C01D3E"/>
    <w:rsid w:val="00C01DD6"/>
    <w:rsid w:val="00C01DDE"/>
    <w:rsid w:val="00C038FE"/>
    <w:rsid w:val="00C03FFD"/>
    <w:rsid w:val="00C043EE"/>
    <w:rsid w:val="00C04D10"/>
    <w:rsid w:val="00C04EAA"/>
    <w:rsid w:val="00C04F4F"/>
    <w:rsid w:val="00C0506A"/>
    <w:rsid w:val="00C0606C"/>
    <w:rsid w:val="00C066B2"/>
    <w:rsid w:val="00C07C4D"/>
    <w:rsid w:val="00C11BE8"/>
    <w:rsid w:val="00C141C9"/>
    <w:rsid w:val="00C15BA8"/>
    <w:rsid w:val="00C17123"/>
    <w:rsid w:val="00C1777B"/>
    <w:rsid w:val="00C17781"/>
    <w:rsid w:val="00C20A27"/>
    <w:rsid w:val="00C21349"/>
    <w:rsid w:val="00C21B4E"/>
    <w:rsid w:val="00C21CD1"/>
    <w:rsid w:val="00C21E75"/>
    <w:rsid w:val="00C22D7A"/>
    <w:rsid w:val="00C22E8B"/>
    <w:rsid w:val="00C2306B"/>
    <w:rsid w:val="00C24009"/>
    <w:rsid w:val="00C240AC"/>
    <w:rsid w:val="00C25120"/>
    <w:rsid w:val="00C25FD4"/>
    <w:rsid w:val="00C26A0B"/>
    <w:rsid w:val="00C26B45"/>
    <w:rsid w:val="00C26C41"/>
    <w:rsid w:val="00C26CA2"/>
    <w:rsid w:val="00C30062"/>
    <w:rsid w:val="00C3162E"/>
    <w:rsid w:val="00C3225D"/>
    <w:rsid w:val="00C3247C"/>
    <w:rsid w:val="00C32603"/>
    <w:rsid w:val="00C330BA"/>
    <w:rsid w:val="00C3343D"/>
    <w:rsid w:val="00C34CDE"/>
    <w:rsid w:val="00C35711"/>
    <w:rsid w:val="00C36C10"/>
    <w:rsid w:val="00C41977"/>
    <w:rsid w:val="00C41D81"/>
    <w:rsid w:val="00C43F18"/>
    <w:rsid w:val="00C445A9"/>
    <w:rsid w:val="00C455E5"/>
    <w:rsid w:val="00C4672B"/>
    <w:rsid w:val="00C468E9"/>
    <w:rsid w:val="00C4747B"/>
    <w:rsid w:val="00C5050F"/>
    <w:rsid w:val="00C50917"/>
    <w:rsid w:val="00C50971"/>
    <w:rsid w:val="00C52BC8"/>
    <w:rsid w:val="00C52E2C"/>
    <w:rsid w:val="00C536B8"/>
    <w:rsid w:val="00C544C4"/>
    <w:rsid w:val="00C54612"/>
    <w:rsid w:val="00C55F54"/>
    <w:rsid w:val="00C560D6"/>
    <w:rsid w:val="00C561BE"/>
    <w:rsid w:val="00C563D3"/>
    <w:rsid w:val="00C565EB"/>
    <w:rsid w:val="00C57B19"/>
    <w:rsid w:val="00C60F70"/>
    <w:rsid w:val="00C6150A"/>
    <w:rsid w:val="00C620D3"/>
    <w:rsid w:val="00C626D1"/>
    <w:rsid w:val="00C63087"/>
    <w:rsid w:val="00C63338"/>
    <w:rsid w:val="00C6410B"/>
    <w:rsid w:val="00C64265"/>
    <w:rsid w:val="00C6448D"/>
    <w:rsid w:val="00C65278"/>
    <w:rsid w:val="00C65317"/>
    <w:rsid w:val="00C66CBE"/>
    <w:rsid w:val="00C6719A"/>
    <w:rsid w:val="00C67342"/>
    <w:rsid w:val="00C67743"/>
    <w:rsid w:val="00C6774A"/>
    <w:rsid w:val="00C67D83"/>
    <w:rsid w:val="00C7227F"/>
    <w:rsid w:val="00C7239A"/>
    <w:rsid w:val="00C7284E"/>
    <w:rsid w:val="00C72EB7"/>
    <w:rsid w:val="00C7417D"/>
    <w:rsid w:val="00C76859"/>
    <w:rsid w:val="00C76C16"/>
    <w:rsid w:val="00C77317"/>
    <w:rsid w:val="00C80BEA"/>
    <w:rsid w:val="00C80F89"/>
    <w:rsid w:val="00C813DE"/>
    <w:rsid w:val="00C8241F"/>
    <w:rsid w:val="00C83623"/>
    <w:rsid w:val="00C842A2"/>
    <w:rsid w:val="00C84BA9"/>
    <w:rsid w:val="00C86BA3"/>
    <w:rsid w:val="00C90674"/>
    <w:rsid w:val="00C93A92"/>
    <w:rsid w:val="00C93C59"/>
    <w:rsid w:val="00C95714"/>
    <w:rsid w:val="00C95C76"/>
    <w:rsid w:val="00C95F1D"/>
    <w:rsid w:val="00C9765D"/>
    <w:rsid w:val="00C976B2"/>
    <w:rsid w:val="00CA05E1"/>
    <w:rsid w:val="00CA1CD7"/>
    <w:rsid w:val="00CA34C2"/>
    <w:rsid w:val="00CA3920"/>
    <w:rsid w:val="00CA40F7"/>
    <w:rsid w:val="00CA5299"/>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09D7"/>
    <w:rsid w:val="00CC1078"/>
    <w:rsid w:val="00CC11B1"/>
    <w:rsid w:val="00CC300F"/>
    <w:rsid w:val="00CC485D"/>
    <w:rsid w:val="00CC494D"/>
    <w:rsid w:val="00CC5012"/>
    <w:rsid w:val="00CC54C1"/>
    <w:rsid w:val="00CC5653"/>
    <w:rsid w:val="00CC5A0C"/>
    <w:rsid w:val="00CC5E7D"/>
    <w:rsid w:val="00CC6800"/>
    <w:rsid w:val="00CD06F5"/>
    <w:rsid w:val="00CD0C1A"/>
    <w:rsid w:val="00CD1356"/>
    <w:rsid w:val="00CD1698"/>
    <w:rsid w:val="00CD1F31"/>
    <w:rsid w:val="00CD25EE"/>
    <w:rsid w:val="00CD2DE7"/>
    <w:rsid w:val="00CD51E0"/>
    <w:rsid w:val="00CD51E7"/>
    <w:rsid w:val="00CD71C8"/>
    <w:rsid w:val="00CE1191"/>
    <w:rsid w:val="00CE177A"/>
    <w:rsid w:val="00CE2279"/>
    <w:rsid w:val="00CE2C00"/>
    <w:rsid w:val="00CE2D60"/>
    <w:rsid w:val="00CE390F"/>
    <w:rsid w:val="00CE3C9A"/>
    <w:rsid w:val="00CE44B3"/>
    <w:rsid w:val="00CE4CD5"/>
    <w:rsid w:val="00CE6AC0"/>
    <w:rsid w:val="00CF0656"/>
    <w:rsid w:val="00CF10D8"/>
    <w:rsid w:val="00CF1CEF"/>
    <w:rsid w:val="00CF21CA"/>
    <w:rsid w:val="00CF2411"/>
    <w:rsid w:val="00CF2569"/>
    <w:rsid w:val="00CF3161"/>
    <w:rsid w:val="00CF350E"/>
    <w:rsid w:val="00CF3F70"/>
    <w:rsid w:val="00CF69AC"/>
    <w:rsid w:val="00CF6E4F"/>
    <w:rsid w:val="00CF70FD"/>
    <w:rsid w:val="00CF723C"/>
    <w:rsid w:val="00CF7693"/>
    <w:rsid w:val="00D00DDC"/>
    <w:rsid w:val="00D017BE"/>
    <w:rsid w:val="00D01B03"/>
    <w:rsid w:val="00D035A9"/>
    <w:rsid w:val="00D047F3"/>
    <w:rsid w:val="00D04B61"/>
    <w:rsid w:val="00D05CAD"/>
    <w:rsid w:val="00D063A9"/>
    <w:rsid w:val="00D06F29"/>
    <w:rsid w:val="00D07EB5"/>
    <w:rsid w:val="00D1144F"/>
    <w:rsid w:val="00D11C81"/>
    <w:rsid w:val="00D1208F"/>
    <w:rsid w:val="00D12687"/>
    <w:rsid w:val="00D133EA"/>
    <w:rsid w:val="00D13706"/>
    <w:rsid w:val="00D15967"/>
    <w:rsid w:val="00D15E6E"/>
    <w:rsid w:val="00D16437"/>
    <w:rsid w:val="00D208C8"/>
    <w:rsid w:val="00D20B0D"/>
    <w:rsid w:val="00D20F14"/>
    <w:rsid w:val="00D24153"/>
    <w:rsid w:val="00D24548"/>
    <w:rsid w:val="00D26E98"/>
    <w:rsid w:val="00D27718"/>
    <w:rsid w:val="00D301DB"/>
    <w:rsid w:val="00D30C4A"/>
    <w:rsid w:val="00D31775"/>
    <w:rsid w:val="00D31A29"/>
    <w:rsid w:val="00D31AC2"/>
    <w:rsid w:val="00D32F5C"/>
    <w:rsid w:val="00D33C1E"/>
    <w:rsid w:val="00D3484A"/>
    <w:rsid w:val="00D34881"/>
    <w:rsid w:val="00D35DA5"/>
    <w:rsid w:val="00D36981"/>
    <w:rsid w:val="00D41B5E"/>
    <w:rsid w:val="00D41E2F"/>
    <w:rsid w:val="00D41E3F"/>
    <w:rsid w:val="00D429C6"/>
    <w:rsid w:val="00D4301D"/>
    <w:rsid w:val="00D43AD5"/>
    <w:rsid w:val="00D43DEE"/>
    <w:rsid w:val="00D4450E"/>
    <w:rsid w:val="00D44E62"/>
    <w:rsid w:val="00D457F1"/>
    <w:rsid w:val="00D45CE3"/>
    <w:rsid w:val="00D47FA2"/>
    <w:rsid w:val="00D504AF"/>
    <w:rsid w:val="00D508AD"/>
    <w:rsid w:val="00D52D5F"/>
    <w:rsid w:val="00D53FF7"/>
    <w:rsid w:val="00D54A7A"/>
    <w:rsid w:val="00D553ED"/>
    <w:rsid w:val="00D55AC1"/>
    <w:rsid w:val="00D56213"/>
    <w:rsid w:val="00D56886"/>
    <w:rsid w:val="00D57009"/>
    <w:rsid w:val="00D57625"/>
    <w:rsid w:val="00D57839"/>
    <w:rsid w:val="00D60528"/>
    <w:rsid w:val="00D6057B"/>
    <w:rsid w:val="00D60849"/>
    <w:rsid w:val="00D610CB"/>
    <w:rsid w:val="00D61297"/>
    <w:rsid w:val="00D6182B"/>
    <w:rsid w:val="00D62B0C"/>
    <w:rsid w:val="00D63197"/>
    <w:rsid w:val="00D63CDA"/>
    <w:rsid w:val="00D65FAC"/>
    <w:rsid w:val="00D66535"/>
    <w:rsid w:val="00D66BAD"/>
    <w:rsid w:val="00D66C2A"/>
    <w:rsid w:val="00D66E0A"/>
    <w:rsid w:val="00D67FAC"/>
    <w:rsid w:val="00D70C7C"/>
    <w:rsid w:val="00D71451"/>
    <w:rsid w:val="00D72441"/>
    <w:rsid w:val="00D72ADC"/>
    <w:rsid w:val="00D72BA6"/>
    <w:rsid w:val="00D7397C"/>
    <w:rsid w:val="00D743CC"/>
    <w:rsid w:val="00D74B2C"/>
    <w:rsid w:val="00D75150"/>
    <w:rsid w:val="00D753F1"/>
    <w:rsid w:val="00D75B04"/>
    <w:rsid w:val="00D81445"/>
    <w:rsid w:val="00D8163E"/>
    <w:rsid w:val="00D81CB6"/>
    <w:rsid w:val="00D83CC6"/>
    <w:rsid w:val="00D83F66"/>
    <w:rsid w:val="00D84C3B"/>
    <w:rsid w:val="00D84D15"/>
    <w:rsid w:val="00D84D51"/>
    <w:rsid w:val="00D84F5C"/>
    <w:rsid w:val="00D85B16"/>
    <w:rsid w:val="00D8698C"/>
    <w:rsid w:val="00D86CE5"/>
    <w:rsid w:val="00D8746E"/>
    <w:rsid w:val="00D87AF6"/>
    <w:rsid w:val="00D90740"/>
    <w:rsid w:val="00D907DA"/>
    <w:rsid w:val="00D91AA3"/>
    <w:rsid w:val="00D948A0"/>
    <w:rsid w:val="00D94B22"/>
    <w:rsid w:val="00D951D2"/>
    <w:rsid w:val="00D974F8"/>
    <w:rsid w:val="00D9781D"/>
    <w:rsid w:val="00D978A4"/>
    <w:rsid w:val="00D97BFF"/>
    <w:rsid w:val="00D97EA7"/>
    <w:rsid w:val="00DA0037"/>
    <w:rsid w:val="00DA00ED"/>
    <w:rsid w:val="00DA0497"/>
    <w:rsid w:val="00DA0A2F"/>
    <w:rsid w:val="00DA0A40"/>
    <w:rsid w:val="00DA11D1"/>
    <w:rsid w:val="00DA1E64"/>
    <w:rsid w:val="00DA23DC"/>
    <w:rsid w:val="00DA29E6"/>
    <w:rsid w:val="00DA33BB"/>
    <w:rsid w:val="00DA3650"/>
    <w:rsid w:val="00DA427C"/>
    <w:rsid w:val="00DA4579"/>
    <w:rsid w:val="00DA51AD"/>
    <w:rsid w:val="00DA621E"/>
    <w:rsid w:val="00DA7373"/>
    <w:rsid w:val="00DB25C8"/>
    <w:rsid w:val="00DB2EAE"/>
    <w:rsid w:val="00DB3018"/>
    <w:rsid w:val="00DB39BE"/>
    <w:rsid w:val="00DB3CE6"/>
    <w:rsid w:val="00DB483F"/>
    <w:rsid w:val="00DB5075"/>
    <w:rsid w:val="00DB6895"/>
    <w:rsid w:val="00DB6A00"/>
    <w:rsid w:val="00DB733D"/>
    <w:rsid w:val="00DC0027"/>
    <w:rsid w:val="00DC046E"/>
    <w:rsid w:val="00DC0616"/>
    <w:rsid w:val="00DC0B7E"/>
    <w:rsid w:val="00DC1A0D"/>
    <w:rsid w:val="00DC2136"/>
    <w:rsid w:val="00DC255F"/>
    <w:rsid w:val="00DC2904"/>
    <w:rsid w:val="00DC31E3"/>
    <w:rsid w:val="00DC4563"/>
    <w:rsid w:val="00DC4C6B"/>
    <w:rsid w:val="00DC56D0"/>
    <w:rsid w:val="00DC6EDC"/>
    <w:rsid w:val="00DC7FA7"/>
    <w:rsid w:val="00DD0768"/>
    <w:rsid w:val="00DD0A5B"/>
    <w:rsid w:val="00DD1BAB"/>
    <w:rsid w:val="00DD1DDF"/>
    <w:rsid w:val="00DD2076"/>
    <w:rsid w:val="00DD209E"/>
    <w:rsid w:val="00DD249B"/>
    <w:rsid w:val="00DD2680"/>
    <w:rsid w:val="00DD2E59"/>
    <w:rsid w:val="00DD34D7"/>
    <w:rsid w:val="00DD442C"/>
    <w:rsid w:val="00DD487F"/>
    <w:rsid w:val="00DD521D"/>
    <w:rsid w:val="00DD746E"/>
    <w:rsid w:val="00DD7742"/>
    <w:rsid w:val="00DD7CEA"/>
    <w:rsid w:val="00DD7EF3"/>
    <w:rsid w:val="00DE1D2C"/>
    <w:rsid w:val="00DE2B6B"/>
    <w:rsid w:val="00DE2DFD"/>
    <w:rsid w:val="00DE3475"/>
    <w:rsid w:val="00DE4BCD"/>
    <w:rsid w:val="00DE64C9"/>
    <w:rsid w:val="00DE6595"/>
    <w:rsid w:val="00DF0108"/>
    <w:rsid w:val="00DF03BB"/>
    <w:rsid w:val="00DF03D5"/>
    <w:rsid w:val="00DF0CFA"/>
    <w:rsid w:val="00DF0FD7"/>
    <w:rsid w:val="00DF0FEA"/>
    <w:rsid w:val="00DF12E3"/>
    <w:rsid w:val="00DF1964"/>
    <w:rsid w:val="00DF1E3E"/>
    <w:rsid w:val="00DF1FBB"/>
    <w:rsid w:val="00DF3EC2"/>
    <w:rsid w:val="00DF430D"/>
    <w:rsid w:val="00DF5B87"/>
    <w:rsid w:val="00DF799F"/>
    <w:rsid w:val="00DF7A05"/>
    <w:rsid w:val="00E006B6"/>
    <w:rsid w:val="00E0080F"/>
    <w:rsid w:val="00E01469"/>
    <w:rsid w:val="00E01BC6"/>
    <w:rsid w:val="00E02269"/>
    <w:rsid w:val="00E03EB4"/>
    <w:rsid w:val="00E03F23"/>
    <w:rsid w:val="00E04D76"/>
    <w:rsid w:val="00E06A26"/>
    <w:rsid w:val="00E07AAE"/>
    <w:rsid w:val="00E07E09"/>
    <w:rsid w:val="00E112B7"/>
    <w:rsid w:val="00E1233C"/>
    <w:rsid w:val="00E12E54"/>
    <w:rsid w:val="00E13009"/>
    <w:rsid w:val="00E13393"/>
    <w:rsid w:val="00E13B6F"/>
    <w:rsid w:val="00E153EA"/>
    <w:rsid w:val="00E15BB6"/>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27E9A"/>
    <w:rsid w:val="00E30408"/>
    <w:rsid w:val="00E3160D"/>
    <w:rsid w:val="00E31E26"/>
    <w:rsid w:val="00E32219"/>
    <w:rsid w:val="00E3319D"/>
    <w:rsid w:val="00E33548"/>
    <w:rsid w:val="00E33AC2"/>
    <w:rsid w:val="00E33F8E"/>
    <w:rsid w:val="00E34D4A"/>
    <w:rsid w:val="00E34E6C"/>
    <w:rsid w:val="00E3580C"/>
    <w:rsid w:val="00E35D69"/>
    <w:rsid w:val="00E3615D"/>
    <w:rsid w:val="00E36583"/>
    <w:rsid w:val="00E37F77"/>
    <w:rsid w:val="00E404DA"/>
    <w:rsid w:val="00E40516"/>
    <w:rsid w:val="00E405F5"/>
    <w:rsid w:val="00E4083F"/>
    <w:rsid w:val="00E40CC0"/>
    <w:rsid w:val="00E41521"/>
    <w:rsid w:val="00E4240A"/>
    <w:rsid w:val="00E42B00"/>
    <w:rsid w:val="00E436C4"/>
    <w:rsid w:val="00E44698"/>
    <w:rsid w:val="00E446A2"/>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57599"/>
    <w:rsid w:val="00E60891"/>
    <w:rsid w:val="00E60AB6"/>
    <w:rsid w:val="00E60CAE"/>
    <w:rsid w:val="00E617C1"/>
    <w:rsid w:val="00E61935"/>
    <w:rsid w:val="00E61C1E"/>
    <w:rsid w:val="00E6210B"/>
    <w:rsid w:val="00E6358A"/>
    <w:rsid w:val="00E63CB4"/>
    <w:rsid w:val="00E6495B"/>
    <w:rsid w:val="00E64F93"/>
    <w:rsid w:val="00E66047"/>
    <w:rsid w:val="00E6608F"/>
    <w:rsid w:val="00E666FB"/>
    <w:rsid w:val="00E6695E"/>
    <w:rsid w:val="00E66A42"/>
    <w:rsid w:val="00E66C0C"/>
    <w:rsid w:val="00E71B13"/>
    <w:rsid w:val="00E71DC2"/>
    <w:rsid w:val="00E7240F"/>
    <w:rsid w:val="00E72564"/>
    <w:rsid w:val="00E72646"/>
    <w:rsid w:val="00E73425"/>
    <w:rsid w:val="00E7376C"/>
    <w:rsid w:val="00E74C43"/>
    <w:rsid w:val="00E769E3"/>
    <w:rsid w:val="00E77E0E"/>
    <w:rsid w:val="00E814EB"/>
    <w:rsid w:val="00E821D7"/>
    <w:rsid w:val="00E82802"/>
    <w:rsid w:val="00E83347"/>
    <w:rsid w:val="00E8408A"/>
    <w:rsid w:val="00E851CF"/>
    <w:rsid w:val="00E86723"/>
    <w:rsid w:val="00E874B2"/>
    <w:rsid w:val="00E87A9C"/>
    <w:rsid w:val="00E87B7D"/>
    <w:rsid w:val="00E920C5"/>
    <w:rsid w:val="00E93C2B"/>
    <w:rsid w:val="00E94F9F"/>
    <w:rsid w:val="00E97011"/>
    <w:rsid w:val="00E97303"/>
    <w:rsid w:val="00E97C10"/>
    <w:rsid w:val="00E97D98"/>
    <w:rsid w:val="00EA0048"/>
    <w:rsid w:val="00EA0096"/>
    <w:rsid w:val="00EA0692"/>
    <w:rsid w:val="00EA1466"/>
    <w:rsid w:val="00EA1B25"/>
    <w:rsid w:val="00EA20BE"/>
    <w:rsid w:val="00EA34B8"/>
    <w:rsid w:val="00EA3E7A"/>
    <w:rsid w:val="00EA3FD8"/>
    <w:rsid w:val="00EA432B"/>
    <w:rsid w:val="00EA4330"/>
    <w:rsid w:val="00EA4CED"/>
    <w:rsid w:val="00EA5AD4"/>
    <w:rsid w:val="00EA5EB5"/>
    <w:rsid w:val="00EA5EFF"/>
    <w:rsid w:val="00EA63F4"/>
    <w:rsid w:val="00EA6E92"/>
    <w:rsid w:val="00EA74CD"/>
    <w:rsid w:val="00EA7908"/>
    <w:rsid w:val="00EB196C"/>
    <w:rsid w:val="00EB2541"/>
    <w:rsid w:val="00EB2A4D"/>
    <w:rsid w:val="00EB409C"/>
    <w:rsid w:val="00EB574C"/>
    <w:rsid w:val="00EB5D91"/>
    <w:rsid w:val="00EB5EF0"/>
    <w:rsid w:val="00EB7767"/>
    <w:rsid w:val="00EB7BE3"/>
    <w:rsid w:val="00EB7D2D"/>
    <w:rsid w:val="00EC0D0A"/>
    <w:rsid w:val="00EC2129"/>
    <w:rsid w:val="00EC24FD"/>
    <w:rsid w:val="00EC2961"/>
    <w:rsid w:val="00EC2B12"/>
    <w:rsid w:val="00EC5351"/>
    <w:rsid w:val="00EC57DE"/>
    <w:rsid w:val="00EC66F2"/>
    <w:rsid w:val="00ED086F"/>
    <w:rsid w:val="00ED09A0"/>
    <w:rsid w:val="00ED0DBE"/>
    <w:rsid w:val="00ED12BE"/>
    <w:rsid w:val="00ED12C0"/>
    <w:rsid w:val="00ED1795"/>
    <w:rsid w:val="00ED1A80"/>
    <w:rsid w:val="00ED1B26"/>
    <w:rsid w:val="00ED3597"/>
    <w:rsid w:val="00ED3F6D"/>
    <w:rsid w:val="00ED4EF3"/>
    <w:rsid w:val="00ED5598"/>
    <w:rsid w:val="00ED5AF8"/>
    <w:rsid w:val="00ED5EA1"/>
    <w:rsid w:val="00ED6B1B"/>
    <w:rsid w:val="00ED6D73"/>
    <w:rsid w:val="00EE001B"/>
    <w:rsid w:val="00EE02CF"/>
    <w:rsid w:val="00EE0AAC"/>
    <w:rsid w:val="00EE11DA"/>
    <w:rsid w:val="00EE14D6"/>
    <w:rsid w:val="00EE2345"/>
    <w:rsid w:val="00EE2B66"/>
    <w:rsid w:val="00EE2C08"/>
    <w:rsid w:val="00EE2E80"/>
    <w:rsid w:val="00EE4342"/>
    <w:rsid w:val="00EE470A"/>
    <w:rsid w:val="00EE47E7"/>
    <w:rsid w:val="00EE48A7"/>
    <w:rsid w:val="00EE564A"/>
    <w:rsid w:val="00EE58BF"/>
    <w:rsid w:val="00EE6DBC"/>
    <w:rsid w:val="00EE7A80"/>
    <w:rsid w:val="00EF132F"/>
    <w:rsid w:val="00EF1652"/>
    <w:rsid w:val="00EF1C3F"/>
    <w:rsid w:val="00EF204D"/>
    <w:rsid w:val="00EF22A6"/>
    <w:rsid w:val="00EF253C"/>
    <w:rsid w:val="00EF2C0A"/>
    <w:rsid w:val="00EF5884"/>
    <w:rsid w:val="00EF5A30"/>
    <w:rsid w:val="00EF6155"/>
    <w:rsid w:val="00EF636C"/>
    <w:rsid w:val="00EF7267"/>
    <w:rsid w:val="00F00E12"/>
    <w:rsid w:val="00F00E4D"/>
    <w:rsid w:val="00F012B1"/>
    <w:rsid w:val="00F01C52"/>
    <w:rsid w:val="00F01E55"/>
    <w:rsid w:val="00F0291D"/>
    <w:rsid w:val="00F029D8"/>
    <w:rsid w:val="00F044F7"/>
    <w:rsid w:val="00F0706C"/>
    <w:rsid w:val="00F07277"/>
    <w:rsid w:val="00F10463"/>
    <w:rsid w:val="00F110BC"/>
    <w:rsid w:val="00F1181C"/>
    <w:rsid w:val="00F11C98"/>
    <w:rsid w:val="00F13E33"/>
    <w:rsid w:val="00F14514"/>
    <w:rsid w:val="00F154E5"/>
    <w:rsid w:val="00F15B3E"/>
    <w:rsid w:val="00F15C6C"/>
    <w:rsid w:val="00F16673"/>
    <w:rsid w:val="00F16E54"/>
    <w:rsid w:val="00F17718"/>
    <w:rsid w:val="00F1780A"/>
    <w:rsid w:val="00F17D5E"/>
    <w:rsid w:val="00F17FDA"/>
    <w:rsid w:val="00F209B8"/>
    <w:rsid w:val="00F20C60"/>
    <w:rsid w:val="00F21131"/>
    <w:rsid w:val="00F2136C"/>
    <w:rsid w:val="00F22455"/>
    <w:rsid w:val="00F238E5"/>
    <w:rsid w:val="00F23E53"/>
    <w:rsid w:val="00F23E72"/>
    <w:rsid w:val="00F24237"/>
    <w:rsid w:val="00F24AED"/>
    <w:rsid w:val="00F2523B"/>
    <w:rsid w:val="00F254AB"/>
    <w:rsid w:val="00F25F7E"/>
    <w:rsid w:val="00F264CE"/>
    <w:rsid w:val="00F26AC7"/>
    <w:rsid w:val="00F27082"/>
    <w:rsid w:val="00F271C9"/>
    <w:rsid w:val="00F27246"/>
    <w:rsid w:val="00F274BF"/>
    <w:rsid w:val="00F27A28"/>
    <w:rsid w:val="00F27A32"/>
    <w:rsid w:val="00F27D23"/>
    <w:rsid w:val="00F30615"/>
    <w:rsid w:val="00F314A9"/>
    <w:rsid w:val="00F31782"/>
    <w:rsid w:val="00F31F2E"/>
    <w:rsid w:val="00F327CC"/>
    <w:rsid w:val="00F32F05"/>
    <w:rsid w:val="00F33539"/>
    <w:rsid w:val="00F345F1"/>
    <w:rsid w:val="00F3462E"/>
    <w:rsid w:val="00F34A8B"/>
    <w:rsid w:val="00F3535F"/>
    <w:rsid w:val="00F35F9A"/>
    <w:rsid w:val="00F36453"/>
    <w:rsid w:val="00F3693D"/>
    <w:rsid w:val="00F3693E"/>
    <w:rsid w:val="00F403A2"/>
    <w:rsid w:val="00F40CF0"/>
    <w:rsid w:val="00F416AD"/>
    <w:rsid w:val="00F41FA4"/>
    <w:rsid w:val="00F42046"/>
    <w:rsid w:val="00F441E7"/>
    <w:rsid w:val="00F456DC"/>
    <w:rsid w:val="00F46641"/>
    <w:rsid w:val="00F503BA"/>
    <w:rsid w:val="00F50E37"/>
    <w:rsid w:val="00F5182F"/>
    <w:rsid w:val="00F51D42"/>
    <w:rsid w:val="00F531FC"/>
    <w:rsid w:val="00F5350D"/>
    <w:rsid w:val="00F53E8B"/>
    <w:rsid w:val="00F54A4A"/>
    <w:rsid w:val="00F55A54"/>
    <w:rsid w:val="00F564C6"/>
    <w:rsid w:val="00F56EAB"/>
    <w:rsid w:val="00F5753F"/>
    <w:rsid w:val="00F57559"/>
    <w:rsid w:val="00F57D43"/>
    <w:rsid w:val="00F57FC1"/>
    <w:rsid w:val="00F60D93"/>
    <w:rsid w:val="00F628BF"/>
    <w:rsid w:val="00F64156"/>
    <w:rsid w:val="00F6431A"/>
    <w:rsid w:val="00F64953"/>
    <w:rsid w:val="00F64B7F"/>
    <w:rsid w:val="00F66424"/>
    <w:rsid w:val="00F679DA"/>
    <w:rsid w:val="00F70979"/>
    <w:rsid w:val="00F70FCE"/>
    <w:rsid w:val="00F71951"/>
    <w:rsid w:val="00F71B35"/>
    <w:rsid w:val="00F71B43"/>
    <w:rsid w:val="00F71F72"/>
    <w:rsid w:val="00F7637F"/>
    <w:rsid w:val="00F763C2"/>
    <w:rsid w:val="00F767E0"/>
    <w:rsid w:val="00F77687"/>
    <w:rsid w:val="00F77BA2"/>
    <w:rsid w:val="00F77FF1"/>
    <w:rsid w:val="00F8053B"/>
    <w:rsid w:val="00F80D06"/>
    <w:rsid w:val="00F81F7D"/>
    <w:rsid w:val="00F81F7F"/>
    <w:rsid w:val="00F82065"/>
    <w:rsid w:val="00F83154"/>
    <w:rsid w:val="00F84107"/>
    <w:rsid w:val="00F85B77"/>
    <w:rsid w:val="00F8683C"/>
    <w:rsid w:val="00F87A0D"/>
    <w:rsid w:val="00F91110"/>
    <w:rsid w:val="00F91BA5"/>
    <w:rsid w:val="00F91F7F"/>
    <w:rsid w:val="00F923E9"/>
    <w:rsid w:val="00F9259A"/>
    <w:rsid w:val="00F92688"/>
    <w:rsid w:val="00F92C6E"/>
    <w:rsid w:val="00F92DC1"/>
    <w:rsid w:val="00F93287"/>
    <w:rsid w:val="00F943FD"/>
    <w:rsid w:val="00F94AD3"/>
    <w:rsid w:val="00F9586A"/>
    <w:rsid w:val="00F95C6D"/>
    <w:rsid w:val="00F971A0"/>
    <w:rsid w:val="00F9738A"/>
    <w:rsid w:val="00FA0852"/>
    <w:rsid w:val="00FA1842"/>
    <w:rsid w:val="00FA1B34"/>
    <w:rsid w:val="00FA43C2"/>
    <w:rsid w:val="00FA4890"/>
    <w:rsid w:val="00FA4F5E"/>
    <w:rsid w:val="00FA57ED"/>
    <w:rsid w:val="00FA66D0"/>
    <w:rsid w:val="00FA6A77"/>
    <w:rsid w:val="00FA7309"/>
    <w:rsid w:val="00FB03BD"/>
    <w:rsid w:val="00FB3FE6"/>
    <w:rsid w:val="00FB41D0"/>
    <w:rsid w:val="00FB4C94"/>
    <w:rsid w:val="00FB574F"/>
    <w:rsid w:val="00FB5CF8"/>
    <w:rsid w:val="00FB6B6B"/>
    <w:rsid w:val="00FC00F2"/>
    <w:rsid w:val="00FC0536"/>
    <w:rsid w:val="00FC0949"/>
    <w:rsid w:val="00FC0E64"/>
    <w:rsid w:val="00FC11CB"/>
    <w:rsid w:val="00FC3488"/>
    <w:rsid w:val="00FC4494"/>
    <w:rsid w:val="00FC5CC7"/>
    <w:rsid w:val="00FC77A2"/>
    <w:rsid w:val="00FD0974"/>
    <w:rsid w:val="00FD0A83"/>
    <w:rsid w:val="00FD12E6"/>
    <w:rsid w:val="00FD188A"/>
    <w:rsid w:val="00FD1905"/>
    <w:rsid w:val="00FD1C7E"/>
    <w:rsid w:val="00FD338D"/>
    <w:rsid w:val="00FD3F9D"/>
    <w:rsid w:val="00FD4C0E"/>
    <w:rsid w:val="00FD4E6D"/>
    <w:rsid w:val="00FD58B0"/>
    <w:rsid w:val="00FD5F8B"/>
    <w:rsid w:val="00FD71D1"/>
    <w:rsid w:val="00FE02A2"/>
    <w:rsid w:val="00FE03A0"/>
    <w:rsid w:val="00FE12B4"/>
    <w:rsid w:val="00FE15A0"/>
    <w:rsid w:val="00FE1AD5"/>
    <w:rsid w:val="00FE1E56"/>
    <w:rsid w:val="00FE211E"/>
    <w:rsid w:val="00FE2603"/>
    <w:rsid w:val="00FE3B6E"/>
    <w:rsid w:val="00FE4359"/>
    <w:rsid w:val="00FE5345"/>
    <w:rsid w:val="00FE5DEF"/>
    <w:rsid w:val="00FE61A1"/>
    <w:rsid w:val="00FE6685"/>
    <w:rsid w:val="00FE6E07"/>
    <w:rsid w:val="00FE7213"/>
    <w:rsid w:val="00FF0154"/>
    <w:rsid w:val="00FF0603"/>
    <w:rsid w:val="00FF113B"/>
    <w:rsid w:val="00FF20A4"/>
    <w:rsid w:val="00FF2234"/>
    <w:rsid w:val="00FF23A5"/>
    <w:rsid w:val="00FF3136"/>
    <w:rsid w:val="00FF425C"/>
    <w:rsid w:val="00FF5665"/>
    <w:rsid w:val="00FF6157"/>
    <w:rsid w:val="00FF68DD"/>
    <w:rsid w:val="00FF7858"/>
    <w:rsid w:val="00FF79EA"/>
    <w:rsid w:val="013A1130"/>
    <w:rsid w:val="02146E89"/>
    <w:rsid w:val="021F4265"/>
    <w:rsid w:val="02236824"/>
    <w:rsid w:val="024E46ED"/>
    <w:rsid w:val="03127926"/>
    <w:rsid w:val="03B7227C"/>
    <w:rsid w:val="0431382D"/>
    <w:rsid w:val="04500C13"/>
    <w:rsid w:val="05166466"/>
    <w:rsid w:val="053A6065"/>
    <w:rsid w:val="053E0EA6"/>
    <w:rsid w:val="057667E0"/>
    <w:rsid w:val="058817C7"/>
    <w:rsid w:val="059B3AAE"/>
    <w:rsid w:val="05CC10A3"/>
    <w:rsid w:val="0625355C"/>
    <w:rsid w:val="06833BD2"/>
    <w:rsid w:val="06954AF6"/>
    <w:rsid w:val="071874D5"/>
    <w:rsid w:val="074C774E"/>
    <w:rsid w:val="080B7C0E"/>
    <w:rsid w:val="080D44CC"/>
    <w:rsid w:val="084E3529"/>
    <w:rsid w:val="08732BE6"/>
    <w:rsid w:val="089B45A8"/>
    <w:rsid w:val="096B180A"/>
    <w:rsid w:val="09F304B2"/>
    <w:rsid w:val="09FF14CE"/>
    <w:rsid w:val="0A6A4B3C"/>
    <w:rsid w:val="0A7E3AF3"/>
    <w:rsid w:val="0A8A2498"/>
    <w:rsid w:val="0AEC7889"/>
    <w:rsid w:val="0B4654C4"/>
    <w:rsid w:val="0B505B9B"/>
    <w:rsid w:val="0B7C4CD0"/>
    <w:rsid w:val="0BA15CEB"/>
    <w:rsid w:val="0BCF050F"/>
    <w:rsid w:val="0BDE2A9B"/>
    <w:rsid w:val="0C2333E1"/>
    <w:rsid w:val="0C37664F"/>
    <w:rsid w:val="0CC66731"/>
    <w:rsid w:val="0CDB2626"/>
    <w:rsid w:val="0D0A5D09"/>
    <w:rsid w:val="0D782A7C"/>
    <w:rsid w:val="0DD56120"/>
    <w:rsid w:val="0DEF1ED0"/>
    <w:rsid w:val="0DF94DB5"/>
    <w:rsid w:val="0E3436CA"/>
    <w:rsid w:val="0E3520B1"/>
    <w:rsid w:val="0E632E24"/>
    <w:rsid w:val="0E74681A"/>
    <w:rsid w:val="0ED84F6A"/>
    <w:rsid w:val="0F34788B"/>
    <w:rsid w:val="0FB26A4C"/>
    <w:rsid w:val="0FF94348"/>
    <w:rsid w:val="111D5839"/>
    <w:rsid w:val="11A72BBD"/>
    <w:rsid w:val="129E0A35"/>
    <w:rsid w:val="12BF4C5D"/>
    <w:rsid w:val="12C377B7"/>
    <w:rsid w:val="130A06A1"/>
    <w:rsid w:val="133E369B"/>
    <w:rsid w:val="135D699C"/>
    <w:rsid w:val="143C379A"/>
    <w:rsid w:val="144638D4"/>
    <w:rsid w:val="14F14A2B"/>
    <w:rsid w:val="152B3DC1"/>
    <w:rsid w:val="155E092D"/>
    <w:rsid w:val="15B00006"/>
    <w:rsid w:val="15C56A7A"/>
    <w:rsid w:val="15F35395"/>
    <w:rsid w:val="162D4D4B"/>
    <w:rsid w:val="16501FA9"/>
    <w:rsid w:val="16781D3E"/>
    <w:rsid w:val="169923E1"/>
    <w:rsid w:val="16D05439"/>
    <w:rsid w:val="16D704B9"/>
    <w:rsid w:val="16DF3580"/>
    <w:rsid w:val="17D9549A"/>
    <w:rsid w:val="180E295A"/>
    <w:rsid w:val="188A7A8D"/>
    <w:rsid w:val="195B65E5"/>
    <w:rsid w:val="1AA34806"/>
    <w:rsid w:val="1B352414"/>
    <w:rsid w:val="1B3D3845"/>
    <w:rsid w:val="1B8B6070"/>
    <w:rsid w:val="1BDA5895"/>
    <w:rsid w:val="1C171F7D"/>
    <w:rsid w:val="1C2703A5"/>
    <w:rsid w:val="1C857C15"/>
    <w:rsid w:val="1C984EE8"/>
    <w:rsid w:val="1CB25FAA"/>
    <w:rsid w:val="1D594678"/>
    <w:rsid w:val="1D757ACE"/>
    <w:rsid w:val="1D954F84"/>
    <w:rsid w:val="1DAB010F"/>
    <w:rsid w:val="1DB945CA"/>
    <w:rsid w:val="1E7A25D0"/>
    <w:rsid w:val="1EBD6624"/>
    <w:rsid w:val="1EC835CB"/>
    <w:rsid w:val="1EDA248C"/>
    <w:rsid w:val="1F8654CC"/>
    <w:rsid w:val="1F95570F"/>
    <w:rsid w:val="20870629"/>
    <w:rsid w:val="208732AA"/>
    <w:rsid w:val="208D0B66"/>
    <w:rsid w:val="20F952A8"/>
    <w:rsid w:val="21933ED0"/>
    <w:rsid w:val="21AF5D06"/>
    <w:rsid w:val="21DD6EFA"/>
    <w:rsid w:val="21FB29C4"/>
    <w:rsid w:val="229429F5"/>
    <w:rsid w:val="229C30C2"/>
    <w:rsid w:val="22BD7457"/>
    <w:rsid w:val="22E91128"/>
    <w:rsid w:val="22EE450C"/>
    <w:rsid w:val="231D77B9"/>
    <w:rsid w:val="2353380A"/>
    <w:rsid w:val="23E4105C"/>
    <w:rsid w:val="241E5CD3"/>
    <w:rsid w:val="24287BD3"/>
    <w:rsid w:val="2439606F"/>
    <w:rsid w:val="246227C9"/>
    <w:rsid w:val="246A716A"/>
    <w:rsid w:val="24983B90"/>
    <w:rsid w:val="24E21EE4"/>
    <w:rsid w:val="24E4247E"/>
    <w:rsid w:val="255F6C5D"/>
    <w:rsid w:val="2569238C"/>
    <w:rsid w:val="25B228DD"/>
    <w:rsid w:val="25E46AA9"/>
    <w:rsid w:val="25F0544D"/>
    <w:rsid w:val="260C465E"/>
    <w:rsid w:val="26494ECA"/>
    <w:rsid w:val="265B0866"/>
    <w:rsid w:val="26655095"/>
    <w:rsid w:val="27A55152"/>
    <w:rsid w:val="27B045C5"/>
    <w:rsid w:val="281313DD"/>
    <w:rsid w:val="283006CB"/>
    <w:rsid w:val="283D279D"/>
    <w:rsid w:val="28463993"/>
    <w:rsid w:val="28E31299"/>
    <w:rsid w:val="29042498"/>
    <w:rsid w:val="29115E06"/>
    <w:rsid w:val="29203ADB"/>
    <w:rsid w:val="294A5A4D"/>
    <w:rsid w:val="29824F56"/>
    <w:rsid w:val="29AD7F37"/>
    <w:rsid w:val="29E7008E"/>
    <w:rsid w:val="2A59481B"/>
    <w:rsid w:val="2A930A12"/>
    <w:rsid w:val="2A95205C"/>
    <w:rsid w:val="2AC86999"/>
    <w:rsid w:val="2ADE61BC"/>
    <w:rsid w:val="2AE95EBF"/>
    <w:rsid w:val="2AF8058C"/>
    <w:rsid w:val="2AF979C2"/>
    <w:rsid w:val="2AFD3C60"/>
    <w:rsid w:val="2B0C371E"/>
    <w:rsid w:val="2B1971F4"/>
    <w:rsid w:val="2B4A37A4"/>
    <w:rsid w:val="2B743395"/>
    <w:rsid w:val="2BD860B6"/>
    <w:rsid w:val="2C0F4C44"/>
    <w:rsid w:val="2C1B7107"/>
    <w:rsid w:val="2C8948C4"/>
    <w:rsid w:val="2CA169F7"/>
    <w:rsid w:val="2CEC6272"/>
    <w:rsid w:val="2D3938B4"/>
    <w:rsid w:val="2D8E78CE"/>
    <w:rsid w:val="2DCD3E28"/>
    <w:rsid w:val="2E494294"/>
    <w:rsid w:val="2E7F4673"/>
    <w:rsid w:val="2E8B0993"/>
    <w:rsid w:val="2EE12E83"/>
    <w:rsid w:val="2EF57783"/>
    <w:rsid w:val="2F6F1AD9"/>
    <w:rsid w:val="2F920DEB"/>
    <w:rsid w:val="2FCA6682"/>
    <w:rsid w:val="2FE36023"/>
    <w:rsid w:val="3014442E"/>
    <w:rsid w:val="31091AB9"/>
    <w:rsid w:val="31626EEC"/>
    <w:rsid w:val="31701B38"/>
    <w:rsid w:val="31D502D7"/>
    <w:rsid w:val="31DA0BFD"/>
    <w:rsid w:val="31E71DFA"/>
    <w:rsid w:val="32202632"/>
    <w:rsid w:val="322B4407"/>
    <w:rsid w:val="325D20BC"/>
    <w:rsid w:val="32AA3706"/>
    <w:rsid w:val="32B55A55"/>
    <w:rsid w:val="32FD3BE5"/>
    <w:rsid w:val="33093FF2"/>
    <w:rsid w:val="33332E1D"/>
    <w:rsid w:val="33CB572B"/>
    <w:rsid w:val="340772C2"/>
    <w:rsid w:val="343D54B3"/>
    <w:rsid w:val="34D74C20"/>
    <w:rsid w:val="34DA604A"/>
    <w:rsid w:val="352E7D40"/>
    <w:rsid w:val="352F5F49"/>
    <w:rsid w:val="358160C2"/>
    <w:rsid w:val="35CB5BD2"/>
    <w:rsid w:val="363E0457"/>
    <w:rsid w:val="36BA3301"/>
    <w:rsid w:val="36F908E7"/>
    <w:rsid w:val="371432E1"/>
    <w:rsid w:val="37365EB5"/>
    <w:rsid w:val="37A10767"/>
    <w:rsid w:val="382F5281"/>
    <w:rsid w:val="385100C7"/>
    <w:rsid w:val="39EA6ECB"/>
    <w:rsid w:val="3A4E0637"/>
    <w:rsid w:val="3AB02844"/>
    <w:rsid w:val="3AC35398"/>
    <w:rsid w:val="3B054818"/>
    <w:rsid w:val="3B2D0704"/>
    <w:rsid w:val="3B650EBF"/>
    <w:rsid w:val="3BF05D4F"/>
    <w:rsid w:val="3C022718"/>
    <w:rsid w:val="3C173BAF"/>
    <w:rsid w:val="3C485AA7"/>
    <w:rsid w:val="3C766DAF"/>
    <w:rsid w:val="3C824CFC"/>
    <w:rsid w:val="3CC50D1B"/>
    <w:rsid w:val="3CC64857"/>
    <w:rsid w:val="3CFB2BFE"/>
    <w:rsid w:val="3D3C78B9"/>
    <w:rsid w:val="3D800F6C"/>
    <w:rsid w:val="3DC12EEA"/>
    <w:rsid w:val="3DCD7D26"/>
    <w:rsid w:val="3E0F72F5"/>
    <w:rsid w:val="3E7E11CD"/>
    <w:rsid w:val="3F4A3E44"/>
    <w:rsid w:val="3F630D60"/>
    <w:rsid w:val="3F9F114C"/>
    <w:rsid w:val="3FBE237E"/>
    <w:rsid w:val="3FD008F7"/>
    <w:rsid w:val="3FEE332F"/>
    <w:rsid w:val="400F065B"/>
    <w:rsid w:val="41122B16"/>
    <w:rsid w:val="412C656F"/>
    <w:rsid w:val="415B1EBD"/>
    <w:rsid w:val="417D7A48"/>
    <w:rsid w:val="41823B99"/>
    <w:rsid w:val="42355F51"/>
    <w:rsid w:val="429168DD"/>
    <w:rsid w:val="42A0345F"/>
    <w:rsid w:val="42A56EBA"/>
    <w:rsid w:val="42CE0D35"/>
    <w:rsid w:val="43286FA5"/>
    <w:rsid w:val="432B09D4"/>
    <w:rsid w:val="43435576"/>
    <w:rsid w:val="434542A3"/>
    <w:rsid w:val="43661115"/>
    <w:rsid w:val="43A7763B"/>
    <w:rsid w:val="43D96029"/>
    <w:rsid w:val="44BE65E0"/>
    <w:rsid w:val="45012F8D"/>
    <w:rsid w:val="45045AC7"/>
    <w:rsid w:val="450E1320"/>
    <w:rsid w:val="45470CB6"/>
    <w:rsid w:val="458E64E3"/>
    <w:rsid w:val="45B401D3"/>
    <w:rsid w:val="45ED636E"/>
    <w:rsid w:val="468B1BDA"/>
    <w:rsid w:val="46A460B4"/>
    <w:rsid w:val="47084895"/>
    <w:rsid w:val="471D5D1F"/>
    <w:rsid w:val="472A4DB0"/>
    <w:rsid w:val="4738342D"/>
    <w:rsid w:val="475D536A"/>
    <w:rsid w:val="478C7274"/>
    <w:rsid w:val="47911341"/>
    <w:rsid w:val="479A1982"/>
    <w:rsid w:val="47C47362"/>
    <w:rsid w:val="481A5F60"/>
    <w:rsid w:val="49115557"/>
    <w:rsid w:val="4987571E"/>
    <w:rsid w:val="49936DA3"/>
    <w:rsid w:val="4A8C4473"/>
    <w:rsid w:val="4AB33D29"/>
    <w:rsid w:val="4B1F647F"/>
    <w:rsid w:val="4B6422B6"/>
    <w:rsid w:val="4B643BD4"/>
    <w:rsid w:val="4BCE5A1D"/>
    <w:rsid w:val="4C233239"/>
    <w:rsid w:val="4C3B6727"/>
    <w:rsid w:val="4C3C28EB"/>
    <w:rsid w:val="4CAB6713"/>
    <w:rsid w:val="4D202F62"/>
    <w:rsid w:val="4D3C7833"/>
    <w:rsid w:val="4D665E71"/>
    <w:rsid w:val="4DBD1A4F"/>
    <w:rsid w:val="4DCB2E58"/>
    <w:rsid w:val="4DDA0EAA"/>
    <w:rsid w:val="4E3B4E99"/>
    <w:rsid w:val="4E8642F1"/>
    <w:rsid w:val="4EC45334"/>
    <w:rsid w:val="4F80123E"/>
    <w:rsid w:val="4FA47FEB"/>
    <w:rsid w:val="503912EB"/>
    <w:rsid w:val="503C4167"/>
    <w:rsid w:val="507A5BD3"/>
    <w:rsid w:val="50940F47"/>
    <w:rsid w:val="50F22391"/>
    <w:rsid w:val="5105698F"/>
    <w:rsid w:val="51E312A3"/>
    <w:rsid w:val="521A50CA"/>
    <w:rsid w:val="523D1809"/>
    <w:rsid w:val="52A116FA"/>
    <w:rsid w:val="53DA292C"/>
    <w:rsid w:val="54113768"/>
    <w:rsid w:val="54267BE0"/>
    <w:rsid w:val="54295E4B"/>
    <w:rsid w:val="54345D59"/>
    <w:rsid w:val="543B7DDF"/>
    <w:rsid w:val="54622723"/>
    <w:rsid w:val="54F24A86"/>
    <w:rsid w:val="554F368F"/>
    <w:rsid w:val="55B2291D"/>
    <w:rsid w:val="55DA564E"/>
    <w:rsid w:val="56114DE8"/>
    <w:rsid w:val="56B57908"/>
    <w:rsid w:val="56CB53DD"/>
    <w:rsid w:val="56FE2233"/>
    <w:rsid w:val="57397077"/>
    <w:rsid w:val="57C51437"/>
    <w:rsid w:val="58106A1E"/>
    <w:rsid w:val="59300AFE"/>
    <w:rsid w:val="59B87420"/>
    <w:rsid w:val="5A82653D"/>
    <w:rsid w:val="5A8E4C59"/>
    <w:rsid w:val="5AC661A1"/>
    <w:rsid w:val="5AEE74A6"/>
    <w:rsid w:val="5B127639"/>
    <w:rsid w:val="5B4F3C48"/>
    <w:rsid w:val="5B842A2E"/>
    <w:rsid w:val="5BE905BF"/>
    <w:rsid w:val="5C077BF3"/>
    <w:rsid w:val="5CD5091E"/>
    <w:rsid w:val="5CF97198"/>
    <w:rsid w:val="5CFC53FF"/>
    <w:rsid w:val="5D993762"/>
    <w:rsid w:val="5DAD294E"/>
    <w:rsid w:val="5E3B5F17"/>
    <w:rsid w:val="5E732FE7"/>
    <w:rsid w:val="5E7F7ED1"/>
    <w:rsid w:val="5EA165A4"/>
    <w:rsid w:val="5EA7453C"/>
    <w:rsid w:val="5EB52965"/>
    <w:rsid w:val="5F0D3D8E"/>
    <w:rsid w:val="5F6E0BB6"/>
    <w:rsid w:val="5F726888"/>
    <w:rsid w:val="60370D9C"/>
    <w:rsid w:val="60575593"/>
    <w:rsid w:val="605E09FA"/>
    <w:rsid w:val="60834791"/>
    <w:rsid w:val="61106291"/>
    <w:rsid w:val="614918DA"/>
    <w:rsid w:val="61616C24"/>
    <w:rsid w:val="61D513C0"/>
    <w:rsid w:val="620B22C0"/>
    <w:rsid w:val="623C31ED"/>
    <w:rsid w:val="623E7551"/>
    <w:rsid w:val="628A0D56"/>
    <w:rsid w:val="628B7F95"/>
    <w:rsid w:val="632D793D"/>
    <w:rsid w:val="63764407"/>
    <w:rsid w:val="639A2455"/>
    <w:rsid w:val="639D5F0D"/>
    <w:rsid w:val="63F50756"/>
    <w:rsid w:val="64C3075A"/>
    <w:rsid w:val="650E3F83"/>
    <w:rsid w:val="65240694"/>
    <w:rsid w:val="65964E5D"/>
    <w:rsid w:val="659F7D1B"/>
    <w:rsid w:val="65A72B32"/>
    <w:rsid w:val="663B6125"/>
    <w:rsid w:val="669453A6"/>
    <w:rsid w:val="66952ECC"/>
    <w:rsid w:val="669E4476"/>
    <w:rsid w:val="66A55805"/>
    <w:rsid w:val="66AD6293"/>
    <w:rsid w:val="66DC5913"/>
    <w:rsid w:val="66E3632D"/>
    <w:rsid w:val="670B0904"/>
    <w:rsid w:val="670C13E0"/>
    <w:rsid w:val="671B7C47"/>
    <w:rsid w:val="67801DCE"/>
    <w:rsid w:val="679720DB"/>
    <w:rsid w:val="679B3DAE"/>
    <w:rsid w:val="67D31EFE"/>
    <w:rsid w:val="67FA3ADA"/>
    <w:rsid w:val="682723E8"/>
    <w:rsid w:val="686F60CA"/>
    <w:rsid w:val="688450B6"/>
    <w:rsid w:val="69A306CC"/>
    <w:rsid w:val="69C86033"/>
    <w:rsid w:val="6A101101"/>
    <w:rsid w:val="6A6E291A"/>
    <w:rsid w:val="6A945A9B"/>
    <w:rsid w:val="6AC140B1"/>
    <w:rsid w:val="6B37562C"/>
    <w:rsid w:val="6BA74315"/>
    <w:rsid w:val="6BAB19C6"/>
    <w:rsid w:val="6BAE6F0A"/>
    <w:rsid w:val="6BBD539F"/>
    <w:rsid w:val="6C490484"/>
    <w:rsid w:val="6CA83959"/>
    <w:rsid w:val="6CF55FCB"/>
    <w:rsid w:val="6D2F76A6"/>
    <w:rsid w:val="6D4B3B3D"/>
    <w:rsid w:val="6D9739BE"/>
    <w:rsid w:val="6E033242"/>
    <w:rsid w:val="6E1312A6"/>
    <w:rsid w:val="6E425DEE"/>
    <w:rsid w:val="6F6A78D2"/>
    <w:rsid w:val="7016507D"/>
    <w:rsid w:val="701F0BE2"/>
    <w:rsid w:val="702B4173"/>
    <w:rsid w:val="702E0619"/>
    <w:rsid w:val="70412B82"/>
    <w:rsid w:val="70AC3247"/>
    <w:rsid w:val="70B25325"/>
    <w:rsid w:val="70E433CD"/>
    <w:rsid w:val="70F57389"/>
    <w:rsid w:val="71272202"/>
    <w:rsid w:val="71286EED"/>
    <w:rsid w:val="71502C3D"/>
    <w:rsid w:val="715C305A"/>
    <w:rsid w:val="71CA25C3"/>
    <w:rsid w:val="71D91954"/>
    <w:rsid w:val="71E573FD"/>
    <w:rsid w:val="71FA03D2"/>
    <w:rsid w:val="7214068D"/>
    <w:rsid w:val="72664FD3"/>
    <w:rsid w:val="727033D1"/>
    <w:rsid w:val="72A9539D"/>
    <w:rsid w:val="72C82DDB"/>
    <w:rsid w:val="72CB65F3"/>
    <w:rsid w:val="73392470"/>
    <w:rsid w:val="73982572"/>
    <w:rsid w:val="73C90572"/>
    <w:rsid w:val="746369B9"/>
    <w:rsid w:val="748527D2"/>
    <w:rsid w:val="751F1A4B"/>
    <w:rsid w:val="75747893"/>
    <w:rsid w:val="76250B47"/>
    <w:rsid w:val="763C5112"/>
    <w:rsid w:val="76513577"/>
    <w:rsid w:val="769A0ED4"/>
    <w:rsid w:val="76FE0CDA"/>
    <w:rsid w:val="770B3462"/>
    <w:rsid w:val="771D4F43"/>
    <w:rsid w:val="77520979"/>
    <w:rsid w:val="77534E09"/>
    <w:rsid w:val="77562203"/>
    <w:rsid w:val="77665C4A"/>
    <w:rsid w:val="777234E1"/>
    <w:rsid w:val="777271B3"/>
    <w:rsid w:val="77860D3A"/>
    <w:rsid w:val="77BE04D4"/>
    <w:rsid w:val="7872717E"/>
    <w:rsid w:val="787D213D"/>
    <w:rsid w:val="78987255"/>
    <w:rsid w:val="7910745F"/>
    <w:rsid w:val="79144124"/>
    <w:rsid w:val="791D56CF"/>
    <w:rsid w:val="791F21A9"/>
    <w:rsid w:val="79636726"/>
    <w:rsid w:val="79B35ED3"/>
    <w:rsid w:val="7A6811A8"/>
    <w:rsid w:val="7ADA600B"/>
    <w:rsid w:val="7AFD495C"/>
    <w:rsid w:val="7B1A4017"/>
    <w:rsid w:val="7B8B4159"/>
    <w:rsid w:val="7B93279D"/>
    <w:rsid w:val="7BA01856"/>
    <w:rsid w:val="7BB27003"/>
    <w:rsid w:val="7C354ADD"/>
    <w:rsid w:val="7C725D31"/>
    <w:rsid w:val="7C851FC2"/>
    <w:rsid w:val="7CAB1C8C"/>
    <w:rsid w:val="7CB974BC"/>
    <w:rsid w:val="7D027D7D"/>
    <w:rsid w:val="7D592A4D"/>
    <w:rsid w:val="7DBA0D42"/>
    <w:rsid w:val="7DD341AE"/>
    <w:rsid w:val="7DE50D8D"/>
    <w:rsid w:val="7E25518C"/>
    <w:rsid w:val="7E3D0E63"/>
    <w:rsid w:val="7E81225C"/>
    <w:rsid w:val="7F3E639F"/>
    <w:rsid w:val="7F8A15E4"/>
    <w:rsid w:val="7FA426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9"/>
    <w:pPr>
      <w:keepNext/>
      <w:keepLines/>
      <w:spacing w:before="260" w:after="260" w:line="416" w:lineRule="auto"/>
      <w:outlineLvl w:val="1"/>
    </w:pPr>
    <w:rPr>
      <w:rFonts w:ascii="Cambria" w:hAnsi="Cambria"/>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28"/>
    <w:qFormat/>
    <w:uiPriority w:val="0"/>
    <w:pPr>
      <w:ind w:firstLine="420"/>
    </w:pPr>
    <w:rPr>
      <w:sz w:val="21"/>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Document Map"/>
    <w:basedOn w:val="1"/>
    <w:link w:val="70"/>
    <w:semiHidden/>
    <w:unhideWhenUsed/>
    <w:qFormat/>
    <w:uiPriority w:val="99"/>
    <w:rPr>
      <w:rFonts w:ascii="宋体"/>
      <w:sz w:val="18"/>
      <w:szCs w:val="18"/>
    </w:rPr>
  </w:style>
  <w:style w:type="paragraph" w:styleId="8">
    <w:name w:val="annotation text"/>
    <w:basedOn w:val="1"/>
    <w:link w:val="32"/>
    <w:unhideWhenUsed/>
    <w:qFormat/>
    <w:uiPriority w:val="99"/>
    <w:pPr>
      <w:jc w:val="left"/>
    </w:pPr>
  </w:style>
  <w:style w:type="paragraph" w:styleId="9">
    <w:name w:val="Body Text"/>
    <w:basedOn w:val="1"/>
    <w:link w:val="76"/>
    <w:semiHidden/>
    <w:unhideWhenUsed/>
    <w:qFormat/>
    <w:uiPriority w:val="99"/>
    <w:pPr>
      <w:spacing w:after="120"/>
    </w:pPr>
  </w:style>
  <w:style w:type="paragraph" w:styleId="10">
    <w:name w:val="Body Text Indent"/>
    <w:basedOn w:val="1"/>
    <w:link w:val="33"/>
    <w:qFormat/>
    <w:uiPriority w:val="0"/>
    <w:pPr>
      <w:spacing w:line="200" w:lineRule="atLeast"/>
      <w:ind w:firstLine="301"/>
    </w:pPr>
    <w:rPr>
      <w:rFonts w:ascii="宋体" w:hAnsi="Courier New"/>
      <w:spacing w:val="-4"/>
      <w:sz w:val="18"/>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52"/>
    <w:qFormat/>
    <w:uiPriority w:val="0"/>
    <w:pPr>
      <w:spacing w:beforeLines="50" w:afterLines="50" w:line="400" w:lineRule="atLeas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Balloon Text"/>
    <w:basedOn w:val="1"/>
    <w:qFormat/>
    <w:uiPriority w:val="0"/>
    <w:rPr>
      <w:sz w:val="18"/>
      <w:szCs w:val="18"/>
    </w:rPr>
  </w:style>
  <w:style w:type="paragraph" w:styleId="15">
    <w:name w:val="footer"/>
    <w:basedOn w:val="1"/>
    <w:link w:val="40"/>
    <w:qFormat/>
    <w:uiPriority w:val="99"/>
    <w:pPr>
      <w:tabs>
        <w:tab w:val="center" w:pos="4153"/>
        <w:tab w:val="right" w:pos="8306"/>
      </w:tabs>
      <w:snapToGrid w:val="0"/>
      <w:jc w:val="left"/>
    </w:pPr>
    <w:rPr>
      <w:sz w:val="18"/>
      <w:szCs w:val="18"/>
    </w:rPr>
  </w:style>
  <w:style w:type="paragraph" w:styleId="16">
    <w:name w:val="header"/>
    <w:basedOn w:val="1"/>
    <w:link w:val="31"/>
    <w:qFormat/>
    <w:uiPriority w:val="99"/>
    <w:pP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9">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0">
    <w:name w:val="annotation subject"/>
    <w:basedOn w:val="8"/>
    <w:next w:val="8"/>
    <w:link w:val="29"/>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unhideWhenUsed/>
    <w:qFormat/>
    <w:uiPriority w:val="99"/>
    <w:rPr>
      <w:sz w:val="21"/>
      <w:szCs w:val="21"/>
    </w:rPr>
  </w:style>
  <w:style w:type="character" w:customStyle="1" w:styleId="28">
    <w:name w:val="正文缩进 字符"/>
    <w:link w:val="5"/>
    <w:qFormat/>
    <w:uiPriority w:val="0"/>
    <w:rPr>
      <w:rFonts w:eastAsia="宋体"/>
      <w:kern w:val="2"/>
      <w:sz w:val="21"/>
      <w:lang w:val="en-US" w:eastAsia="zh-CN" w:bidi="ar-SA"/>
    </w:rPr>
  </w:style>
  <w:style w:type="character" w:customStyle="1" w:styleId="29">
    <w:name w:val="批注主题 字符"/>
    <w:link w:val="20"/>
    <w:semiHidden/>
    <w:qFormat/>
    <w:uiPriority w:val="99"/>
    <w:rPr>
      <w:b/>
      <w:bCs/>
      <w:kern w:val="2"/>
      <w:sz w:val="28"/>
      <w:szCs w:val="24"/>
    </w:rPr>
  </w:style>
  <w:style w:type="character" w:customStyle="1" w:styleId="30">
    <w:name w:val="访问过的超链接1"/>
    <w:unhideWhenUsed/>
    <w:qFormat/>
    <w:uiPriority w:val="99"/>
    <w:rPr>
      <w:color w:val="800080"/>
      <w:u w:val="single"/>
    </w:rPr>
  </w:style>
  <w:style w:type="character" w:customStyle="1" w:styleId="31">
    <w:name w:val="页眉 字符1"/>
    <w:link w:val="16"/>
    <w:qFormat/>
    <w:uiPriority w:val="99"/>
    <w:rPr>
      <w:kern w:val="2"/>
      <w:sz w:val="18"/>
      <w:szCs w:val="18"/>
    </w:rPr>
  </w:style>
  <w:style w:type="character" w:customStyle="1" w:styleId="32">
    <w:name w:val="批注文字 字符1"/>
    <w:link w:val="8"/>
    <w:semiHidden/>
    <w:qFormat/>
    <w:uiPriority w:val="99"/>
    <w:rPr>
      <w:kern w:val="2"/>
      <w:sz w:val="28"/>
      <w:szCs w:val="24"/>
    </w:rPr>
  </w:style>
  <w:style w:type="character" w:customStyle="1" w:styleId="33">
    <w:name w:val="正文文本缩进 字符1"/>
    <w:link w:val="10"/>
    <w:qFormat/>
    <w:uiPriority w:val="0"/>
    <w:rPr>
      <w:rFonts w:ascii="宋体" w:hAnsi="Courier New"/>
      <w:spacing w:val="-4"/>
      <w:kern w:val="2"/>
      <w:sz w:val="18"/>
    </w:rPr>
  </w:style>
  <w:style w:type="character" w:customStyle="1" w:styleId="34">
    <w:name w:val="z-窗体顶端 Char"/>
    <w:link w:val="35"/>
    <w:semiHidden/>
    <w:qFormat/>
    <w:uiPriority w:val="99"/>
    <w:rPr>
      <w:rFonts w:ascii="Arial" w:hAnsi="Arial"/>
      <w:vanish/>
      <w:sz w:val="16"/>
      <w:szCs w:val="16"/>
    </w:rPr>
  </w:style>
  <w:style w:type="paragraph" w:customStyle="1" w:styleId="35">
    <w:name w:val="z-窗体顶端1"/>
    <w:basedOn w:val="1"/>
    <w:next w:val="1"/>
    <w:link w:val="34"/>
    <w:unhideWhenUsed/>
    <w:qFormat/>
    <w:uiPriority w:val="99"/>
    <w:pPr>
      <w:widowControl/>
      <w:pBdr>
        <w:bottom w:val="single" w:color="auto" w:sz="6" w:space="1"/>
      </w:pBdr>
      <w:jc w:val="center"/>
    </w:pPr>
    <w:rPr>
      <w:rFonts w:ascii="Arial" w:hAnsi="Arial"/>
      <w:vanish/>
      <w:kern w:val="0"/>
      <w:sz w:val="16"/>
      <w:szCs w:val="16"/>
    </w:rPr>
  </w:style>
  <w:style w:type="character" w:customStyle="1" w:styleId="36">
    <w:name w:val="正方框图 Char Char Char"/>
    <w:link w:val="37"/>
    <w:qFormat/>
    <w:uiPriority w:val="0"/>
    <w:rPr>
      <w:kern w:val="2"/>
      <w:sz w:val="21"/>
      <w:szCs w:val="21"/>
    </w:rPr>
  </w:style>
  <w:style w:type="paragraph" w:customStyle="1" w:styleId="37">
    <w:name w:val="正方框图 Char Char"/>
    <w:basedOn w:val="1"/>
    <w:link w:val="36"/>
    <w:qFormat/>
    <w:uiPriority w:val="0"/>
    <w:pPr>
      <w:snapToGrid w:val="0"/>
      <w:jc w:val="center"/>
    </w:pPr>
    <w:rPr>
      <w:sz w:val="21"/>
      <w:szCs w:val="21"/>
    </w:rPr>
  </w:style>
  <w:style w:type="character" w:customStyle="1" w:styleId="38">
    <w:name w:val="正文文本缩进 字符"/>
    <w:qFormat/>
    <w:uiPriority w:val="0"/>
    <w:rPr>
      <w:rFonts w:ascii="宋体" w:hAnsi="Courier New"/>
      <w:spacing w:val="-4"/>
      <w:kern w:val="2"/>
      <w:sz w:val="18"/>
    </w:rPr>
  </w:style>
  <w:style w:type="character" w:customStyle="1" w:styleId="39">
    <w:name w:val="标题 1 Char Char"/>
    <w:qFormat/>
    <w:uiPriority w:val="0"/>
    <w:rPr>
      <w:rFonts w:eastAsia="宋体"/>
      <w:b/>
      <w:spacing w:val="-2"/>
      <w:sz w:val="24"/>
      <w:lang w:val="en-US" w:eastAsia="zh-CN" w:bidi="ar-SA"/>
    </w:rPr>
  </w:style>
  <w:style w:type="character" w:customStyle="1" w:styleId="40">
    <w:name w:val="页脚 字符1"/>
    <w:link w:val="15"/>
    <w:qFormat/>
    <w:uiPriority w:val="99"/>
    <w:rPr>
      <w:kern w:val="2"/>
      <w:sz w:val="18"/>
      <w:szCs w:val="18"/>
    </w:rPr>
  </w:style>
  <w:style w:type="character" w:customStyle="1" w:styleId="41">
    <w:name w:val="标题 2 字符"/>
    <w:link w:val="3"/>
    <w:semiHidden/>
    <w:qFormat/>
    <w:uiPriority w:val="9"/>
    <w:rPr>
      <w:rFonts w:ascii="Cambria" w:hAnsi="Cambria" w:eastAsia="宋体" w:cs="Times New Roman"/>
      <w:b/>
      <w:bCs/>
      <w:kern w:val="2"/>
      <w:sz w:val="32"/>
      <w:szCs w:val="32"/>
    </w:rPr>
  </w:style>
  <w:style w:type="character" w:customStyle="1" w:styleId="42">
    <w:name w:val="标题 1 字符"/>
    <w:link w:val="2"/>
    <w:qFormat/>
    <w:uiPriority w:val="9"/>
    <w:rPr>
      <w:b/>
      <w:bCs/>
      <w:kern w:val="44"/>
      <w:sz w:val="44"/>
      <w:szCs w:val="44"/>
    </w:rPr>
  </w:style>
  <w:style w:type="character" w:customStyle="1" w:styleId="43">
    <w:name w:val="纯文本 字符"/>
    <w:qFormat/>
    <w:uiPriority w:val="0"/>
    <w:rPr>
      <w:rFonts w:ascii="宋体" w:hAnsi="Courier New"/>
      <w:kern w:val="2"/>
      <w:sz w:val="24"/>
      <w:szCs w:val="24"/>
    </w:rPr>
  </w:style>
  <w:style w:type="character" w:customStyle="1" w:styleId="44">
    <w:name w:val="页脚 字符"/>
    <w:qFormat/>
    <w:uiPriority w:val="99"/>
  </w:style>
  <w:style w:type="character" w:customStyle="1" w:styleId="45">
    <w:name w:val="maywed421"/>
    <w:qFormat/>
    <w:uiPriority w:val="0"/>
    <w:rPr>
      <w:color w:val="366FB6"/>
      <w:u w:val="none"/>
    </w:rPr>
  </w:style>
  <w:style w:type="character" w:customStyle="1" w:styleId="46">
    <w:name w:val="Plain Text Char Char"/>
    <w:link w:val="47"/>
    <w:qFormat/>
    <w:uiPriority w:val="0"/>
    <w:rPr>
      <w:rFonts w:ascii="宋体" w:hAnsi="Courier New" w:cs="宋体"/>
    </w:rPr>
  </w:style>
  <w:style w:type="paragraph" w:customStyle="1" w:styleId="47">
    <w:name w:val="纯文本1"/>
    <w:basedOn w:val="1"/>
    <w:link w:val="46"/>
    <w:qFormat/>
    <w:uiPriority w:val="0"/>
    <w:rPr>
      <w:rFonts w:ascii="宋体" w:hAnsi="Courier New"/>
      <w:kern w:val="0"/>
      <w:sz w:val="20"/>
      <w:szCs w:val="20"/>
    </w:rPr>
  </w:style>
  <w:style w:type="character" w:customStyle="1" w:styleId="48">
    <w:name w:val="纯文本 Char1"/>
    <w:qFormat/>
    <w:uiPriority w:val="0"/>
    <w:rPr>
      <w:rFonts w:ascii="宋体" w:hAnsi="Courier New"/>
      <w:kern w:val="2"/>
      <w:sz w:val="21"/>
    </w:rPr>
  </w:style>
  <w:style w:type="character" w:customStyle="1" w:styleId="49">
    <w:name w:val="black601"/>
    <w:qFormat/>
    <w:uiPriority w:val="0"/>
    <w:rPr>
      <w:color w:val="666666"/>
    </w:rPr>
  </w:style>
  <w:style w:type="character" w:customStyle="1" w:styleId="50">
    <w:name w:val="z-窗体底端 Char"/>
    <w:link w:val="51"/>
    <w:semiHidden/>
    <w:qFormat/>
    <w:uiPriority w:val="99"/>
    <w:rPr>
      <w:rFonts w:ascii="Arial" w:hAnsi="Arial"/>
      <w:vanish/>
      <w:sz w:val="16"/>
      <w:szCs w:val="16"/>
    </w:rPr>
  </w:style>
  <w:style w:type="paragraph" w:customStyle="1" w:styleId="51">
    <w:name w:val="z-窗体底端1"/>
    <w:basedOn w:val="1"/>
    <w:next w:val="1"/>
    <w:link w:val="50"/>
    <w:unhideWhenUsed/>
    <w:qFormat/>
    <w:uiPriority w:val="99"/>
    <w:pPr>
      <w:widowControl/>
      <w:pBdr>
        <w:top w:val="single" w:color="auto" w:sz="6" w:space="1"/>
      </w:pBdr>
      <w:jc w:val="center"/>
    </w:pPr>
    <w:rPr>
      <w:rFonts w:ascii="Arial" w:hAnsi="Arial"/>
      <w:vanish/>
      <w:kern w:val="0"/>
      <w:sz w:val="16"/>
      <w:szCs w:val="16"/>
    </w:rPr>
  </w:style>
  <w:style w:type="character" w:customStyle="1" w:styleId="52">
    <w:name w:val="纯文本 字符1"/>
    <w:link w:val="12"/>
    <w:qFormat/>
    <w:uiPriority w:val="99"/>
    <w:rPr>
      <w:rFonts w:ascii="宋体" w:hAnsi="Courier New"/>
      <w:kern w:val="2"/>
      <w:sz w:val="24"/>
      <w:szCs w:val="24"/>
    </w:rPr>
  </w:style>
  <w:style w:type="character" w:customStyle="1" w:styleId="53">
    <w:name w:val="页眉 字符"/>
    <w:qFormat/>
    <w:uiPriority w:val="99"/>
  </w:style>
  <w:style w:type="paragraph" w:styleId="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paragraph" w:customStyle="1" w:styleId="58">
    <w:name w:val="List Paragraph1"/>
    <w:basedOn w:val="1"/>
    <w:qFormat/>
    <w:uiPriority w:val="99"/>
    <w:pPr>
      <w:ind w:firstLine="420" w:firstLineChars="200"/>
    </w:pPr>
    <w:rPr>
      <w:sz w:val="21"/>
    </w:rPr>
  </w:style>
  <w:style w:type="paragraph" w:customStyle="1" w:styleId="59">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1">
    <w:name w:val="列出段落1"/>
    <w:basedOn w:val="1"/>
    <w:qFormat/>
    <w:uiPriority w:val="0"/>
    <w:pPr>
      <w:ind w:firstLine="420" w:firstLineChars="200"/>
    </w:pPr>
    <w:rPr>
      <w:rFonts w:ascii="Calibri" w:hAnsi="Calibri"/>
      <w:sz w:val="21"/>
    </w:rPr>
  </w:style>
  <w:style w:type="paragraph" w:customStyle="1" w:styleId="6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styleId="63">
    <w:name w:val="List Paragraph"/>
    <w:basedOn w:val="1"/>
    <w:qFormat/>
    <w:uiPriority w:val="34"/>
    <w:pPr>
      <w:ind w:firstLine="420" w:firstLineChars="200"/>
    </w:pPr>
    <w:rPr>
      <w:rFonts w:ascii="Calibri" w:hAnsi="Calibri"/>
      <w:sz w:val="21"/>
      <w:szCs w:val="22"/>
    </w:rPr>
  </w:style>
  <w:style w:type="paragraph" w:customStyle="1" w:styleId="64">
    <w:name w:val="正文段"/>
    <w:basedOn w:val="1"/>
    <w:qFormat/>
    <w:uiPriority w:val="0"/>
    <w:pPr>
      <w:widowControl/>
      <w:snapToGrid w:val="0"/>
      <w:spacing w:afterLines="50"/>
      <w:ind w:firstLine="200" w:firstLineChars="200"/>
    </w:pPr>
    <w:rPr>
      <w:kern w:val="0"/>
      <w:sz w:val="24"/>
      <w:szCs w:val="20"/>
    </w:rPr>
  </w:style>
  <w:style w:type="character" w:customStyle="1" w:styleId="65">
    <w:name w:val="正文文本缩进 Char"/>
    <w:qFormat/>
    <w:uiPriority w:val="0"/>
    <w:rPr>
      <w:rFonts w:ascii="宋体" w:hAnsi="Courier New"/>
      <w:spacing w:val="-4"/>
      <w:kern w:val="2"/>
      <w:sz w:val="18"/>
    </w:rPr>
  </w:style>
  <w:style w:type="character" w:customStyle="1" w:styleId="66">
    <w:name w:val="批注文字 Char"/>
    <w:qFormat/>
    <w:uiPriority w:val="99"/>
    <w:rPr>
      <w:kern w:val="2"/>
      <w:sz w:val="28"/>
      <w:szCs w:val="24"/>
    </w:rPr>
  </w:style>
  <w:style w:type="paragraph" w:customStyle="1" w:styleId="6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character" w:customStyle="1" w:styleId="68">
    <w:name w:val="纯文本 Char2"/>
    <w:qFormat/>
    <w:uiPriority w:val="99"/>
    <w:rPr>
      <w:rFonts w:ascii="宋体" w:hAnsi="Courier New"/>
      <w:kern w:val="2"/>
      <w:sz w:val="24"/>
      <w:szCs w:val="24"/>
    </w:rPr>
  </w:style>
  <w:style w:type="character" w:customStyle="1" w:styleId="69">
    <w:name w:val="批注文字 Char1"/>
    <w:semiHidden/>
    <w:qFormat/>
    <w:locked/>
    <w:uiPriority w:val="99"/>
    <w:rPr>
      <w:kern w:val="2"/>
      <w:sz w:val="28"/>
      <w:szCs w:val="24"/>
    </w:rPr>
  </w:style>
  <w:style w:type="character" w:customStyle="1" w:styleId="70">
    <w:name w:val="文档结构图 字符"/>
    <w:basedOn w:val="23"/>
    <w:link w:val="7"/>
    <w:semiHidden/>
    <w:qFormat/>
    <w:uiPriority w:val="99"/>
    <w:rPr>
      <w:rFonts w:ascii="宋体"/>
      <w:kern w:val="2"/>
      <w:sz w:val="18"/>
      <w:szCs w:val="18"/>
    </w:rPr>
  </w:style>
  <w:style w:type="character" w:customStyle="1" w:styleId="71">
    <w:name w:val="批注文字 字符"/>
    <w:qFormat/>
    <w:uiPriority w:val="99"/>
    <w:rPr>
      <w:kern w:val="2"/>
      <w:sz w:val="28"/>
      <w:szCs w:val="24"/>
    </w:rPr>
  </w:style>
  <w:style w:type="character" w:customStyle="1" w:styleId="72">
    <w:name w:val="正文文本缩进 字符2"/>
    <w:qFormat/>
    <w:uiPriority w:val="0"/>
    <w:rPr>
      <w:rFonts w:ascii="宋体" w:hAnsi="Courier New"/>
      <w:spacing w:val="-4"/>
      <w:kern w:val="2"/>
      <w:sz w:val="18"/>
    </w:rPr>
  </w:style>
  <w:style w:type="character" w:customStyle="1" w:styleId="73">
    <w:name w:val="Unresolved Mention"/>
    <w:basedOn w:val="23"/>
    <w:semiHidden/>
    <w:unhideWhenUsed/>
    <w:qFormat/>
    <w:uiPriority w:val="99"/>
    <w:rPr>
      <w:color w:val="605E5C"/>
      <w:shd w:val="clear" w:color="auto" w:fill="E1DFDD"/>
    </w:rPr>
  </w:style>
  <w:style w:type="table" w:customStyle="1" w:styleId="74">
    <w:name w:val="网格型1"/>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网格型2"/>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6">
    <w:name w:val="正文文本 字符"/>
    <w:basedOn w:val="23"/>
    <w:link w:val="9"/>
    <w:semiHidden/>
    <w:qFormat/>
    <w:uiPriority w:val="99"/>
    <w:rPr>
      <w:kern w:val="2"/>
      <w:sz w:val="28"/>
      <w:szCs w:val="24"/>
    </w:rPr>
  </w:style>
  <w:style w:type="table" w:customStyle="1" w:styleId="77">
    <w:name w:val="网格型3"/>
    <w:basedOn w:val="2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57</Pages>
  <Words>15096</Words>
  <Characters>16330</Characters>
  <Lines>147</Lines>
  <Paragraphs>41</Paragraphs>
  <TotalTime>14</TotalTime>
  <ScaleCrop>false</ScaleCrop>
  <LinksUpToDate>false</LinksUpToDate>
  <CharactersWithSpaces>16403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2022-06-20T06:41:00Z</dcterms:created>
  <dc:creator>jj</dc:creator>
  <cp:lastModifiedBy>MC</cp:lastModifiedBy>
  <cp:lastPrinted>2016-03-21T00:55:00Z</cp:lastPrinted>
  <dcterms:modified xsi:type="dcterms:W3CDTF">2024-12-10T01:42:56Z</dcterms:modified>
  <dc:title>求是招标代理有限公司</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67CE3B84803D45A4A1A27A07F6FFF7B3_13</vt:lpwstr>
  </property>
</Properties>
</file>