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61BBE">
      <w:pPr>
        <w:widowControl/>
        <w:spacing w:line="360" w:lineRule="auto"/>
        <w:ind w:right="60"/>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招标需求</w:t>
      </w:r>
    </w:p>
    <w:p w14:paraId="6BB33006">
      <w:pPr>
        <w:keepNext w:val="0"/>
        <w:keepLines w:val="0"/>
        <w:pageBreakBefore w:val="0"/>
        <w:kinsoku/>
        <w:wordWrap/>
        <w:overflowPunct/>
        <w:topLinePunct w:val="0"/>
        <w:bidi w:val="0"/>
        <w:snapToGrid/>
        <w:spacing w:line="360" w:lineRule="auto"/>
        <w:ind w:firstLine="480"/>
        <w:textAlignment w:val="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一、物业概况</w:t>
      </w:r>
    </w:p>
    <w:p w14:paraId="5209754E">
      <w:pPr>
        <w:keepNext w:val="0"/>
        <w:keepLines w:val="0"/>
        <w:pageBreakBefore w:val="0"/>
        <w:widowControl/>
        <w:kinsoku/>
        <w:wordWrap/>
        <w:overflowPunct/>
        <w:topLinePunct w:val="0"/>
        <w:bidi w:val="0"/>
        <w:snapToGrid/>
        <w:spacing w:line="360" w:lineRule="auto"/>
        <w:ind w:left="60" w:right="60" w:firstLine="540"/>
        <w:jc w:val="left"/>
        <w:textAlignment w:val="auto"/>
        <w:rPr>
          <w:rFonts w:hint="eastAsia" w:ascii="宋体" w:hAnsi="宋体" w:cs="宋体"/>
          <w:color w:val="000000" w:themeColor="text1"/>
          <w:kern w:val="0"/>
          <w:sz w:val="24"/>
          <w:highlight w:val="yellow"/>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临海</w:t>
      </w:r>
      <w:r>
        <w:rPr>
          <w:rFonts w:hint="eastAsia" w:ascii="宋体" w:hAnsi="宋体" w:cs="宋体"/>
          <w:color w:val="000000" w:themeColor="text1"/>
          <w:kern w:val="0"/>
          <w:sz w:val="24"/>
          <w:highlight w:val="none"/>
          <w:lang w:eastAsia="zh-CN"/>
          <w14:textFill>
            <w14:solidFill>
              <w14:schemeClr w14:val="tx1"/>
            </w14:solidFill>
          </w14:textFill>
        </w:rPr>
        <w:t>云境花园</w:t>
      </w:r>
      <w:r>
        <w:rPr>
          <w:rFonts w:hint="eastAsia" w:ascii="宋体" w:hAnsi="宋体" w:cs="宋体"/>
          <w:color w:val="000000" w:themeColor="text1"/>
          <w:kern w:val="0"/>
          <w:sz w:val="24"/>
          <w:highlight w:val="none"/>
          <w14:textFill>
            <w14:solidFill>
              <w14:schemeClr w14:val="tx1"/>
            </w14:solidFill>
          </w14:textFill>
        </w:rPr>
        <w:t>小区，总建筑面积</w:t>
      </w:r>
      <w:r>
        <w:rPr>
          <w:rFonts w:hint="eastAsia" w:ascii="宋体" w:hAnsi="宋体" w:cs="宋体"/>
          <w:color w:val="000000" w:themeColor="text1"/>
          <w:kern w:val="0"/>
          <w:sz w:val="24"/>
          <w:highlight w:val="none"/>
          <w:lang w:eastAsia="zh-CN"/>
          <w14:textFill>
            <w14:solidFill>
              <w14:schemeClr w14:val="tx1"/>
            </w14:solidFill>
          </w14:textFill>
        </w:rPr>
        <w:t>127125.11</w:t>
      </w:r>
      <w:r>
        <w:rPr>
          <w:rFonts w:hint="eastAsia" w:ascii="宋体" w:hAnsi="宋体" w:cs="宋体"/>
          <w:color w:val="000000" w:themeColor="text1"/>
          <w:kern w:val="0"/>
          <w:sz w:val="24"/>
          <w:highlight w:val="none"/>
          <w14:textFill>
            <w14:solidFill>
              <w14:schemeClr w14:val="tx1"/>
            </w14:solidFill>
          </w14:textFill>
        </w:rPr>
        <w:t>㎡，其中高层住宅建筑面积</w:t>
      </w:r>
      <w:r>
        <w:rPr>
          <w:rFonts w:hint="eastAsia" w:ascii="宋体" w:hAnsi="宋体" w:cs="宋体"/>
          <w:color w:val="000000" w:themeColor="text1"/>
          <w:kern w:val="0"/>
          <w:sz w:val="24"/>
          <w:highlight w:val="none"/>
          <w:lang w:eastAsia="zh-CN"/>
          <w14:textFill>
            <w14:solidFill>
              <w14:schemeClr w14:val="tx1"/>
            </w14:solidFill>
          </w14:textFill>
        </w:rPr>
        <w:t>94709.76</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小区住宅面积79998.08</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酒店建筑面积11701.03</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产权及配套设施归西林村所有，不包含在本次招标范围内</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商铺建筑面积</w:t>
      </w:r>
      <w:r>
        <w:rPr>
          <w:rFonts w:hint="eastAsia" w:ascii="宋体" w:hAnsi="宋体" w:cs="宋体"/>
          <w:color w:val="000000" w:themeColor="text1"/>
          <w:kern w:val="0"/>
          <w:sz w:val="24"/>
          <w:highlight w:val="none"/>
          <w:lang w:eastAsia="zh-CN"/>
          <w14:textFill>
            <w14:solidFill>
              <w14:schemeClr w14:val="tx1"/>
            </w14:solidFill>
          </w14:textFill>
        </w:rPr>
        <w:t>3010.65</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产权及配套设施归西林村村民所有，不包含在本次招标范围内</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；地下停车位</w:t>
      </w:r>
      <w:r>
        <w:rPr>
          <w:rFonts w:hint="eastAsia" w:ascii="宋体" w:hAnsi="宋体" w:cs="宋体"/>
          <w:color w:val="000000" w:themeColor="text1"/>
          <w:kern w:val="0"/>
          <w:sz w:val="24"/>
          <w:highlight w:val="none"/>
          <w:lang w:eastAsia="zh-CN"/>
          <w14:textFill>
            <w14:solidFill>
              <w14:schemeClr w14:val="tx1"/>
            </w14:solidFill>
          </w14:textFill>
        </w:rPr>
        <w:t>834</w:t>
      </w:r>
      <w:r>
        <w:rPr>
          <w:rFonts w:hint="eastAsia" w:ascii="宋体" w:hAnsi="宋体" w:cs="宋体"/>
          <w:color w:val="000000" w:themeColor="text1"/>
          <w:kern w:val="0"/>
          <w:sz w:val="24"/>
          <w:highlight w:val="none"/>
          <w14:textFill>
            <w14:solidFill>
              <w14:schemeClr w14:val="tx1"/>
            </w14:solidFill>
          </w14:textFill>
        </w:rPr>
        <w:t>个</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其中42个地下停车位产权归西林村所有，不包含在本次招标范围内</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，储藏室</w:t>
      </w:r>
      <w:r>
        <w:rPr>
          <w:rFonts w:hint="eastAsia" w:ascii="宋体" w:hAnsi="宋体" w:cs="宋体"/>
          <w:color w:val="000000" w:themeColor="text1"/>
          <w:kern w:val="0"/>
          <w:sz w:val="24"/>
          <w:highlight w:val="none"/>
          <w:lang w:val="en-US" w:eastAsia="zh-CN"/>
          <w14:textFill>
            <w14:solidFill>
              <w14:schemeClr w14:val="tx1"/>
            </w14:solidFill>
          </w14:textFill>
        </w:rPr>
        <w:t>160</w:t>
      </w:r>
      <w:r>
        <w:rPr>
          <w:rFonts w:hint="eastAsia" w:ascii="宋体" w:hAnsi="宋体" w:cs="宋体"/>
          <w:color w:val="000000" w:themeColor="text1"/>
          <w:kern w:val="0"/>
          <w:sz w:val="24"/>
          <w:highlight w:val="none"/>
          <w14:textFill>
            <w14:solidFill>
              <w14:schemeClr w14:val="tx1"/>
            </w14:solidFill>
          </w14:textFill>
        </w:rPr>
        <w:t>个。（以上数据具体以实际为准）。</w:t>
      </w:r>
    </w:p>
    <w:p w14:paraId="245979CE">
      <w:pPr>
        <w:keepNext w:val="0"/>
        <w:keepLines w:val="0"/>
        <w:pageBreakBefore w:val="0"/>
        <w:kinsoku/>
        <w:wordWrap/>
        <w:overflowPunct/>
        <w:topLinePunct w:val="0"/>
        <w:bidi w:val="0"/>
        <w:snapToGrid/>
        <w:spacing w:line="360" w:lineRule="auto"/>
        <w:ind w:firstLine="480"/>
        <w:textAlignment w:val="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二、物业管理总体要求</w:t>
      </w:r>
    </w:p>
    <w:p w14:paraId="17A2A31D">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1、本次招标的物业及物业管理服务要求可参照《</w:t>
      </w:r>
      <w:r>
        <w:rPr>
          <w:rFonts w:hint="eastAsia" w:ascii="宋体" w:hAnsi="宋体" w:cs="宋体"/>
          <w:color w:val="000000" w:themeColor="text1"/>
          <w:sz w:val="24"/>
          <w:lang w:eastAsia="zh-CN"/>
          <w14:textFill>
            <w14:solidFill>
              <w14:schemeClr w14:val="tx1"/>
            </w14:solidFill>
          </w14:textFill>
        </w:rPr>
        <w:t>台州市普通住宅小区物业服务等级标准</w:t>
      </w:r>
      <w:r>
        <w:rPr>
          <w:rFonts w:hint="eastAsia" w:ascii="宋体" w:hAnsi="宋体" w:cs="宋体"/>
          <w:color w:val="000000" w:themeColor="text1"/>
          <w:sz w:val="24"/>
          <w14:textFill>
            <w14:solidFill>
              <w14:schemeClr w14:val="tx1"/>
            </w14:solidFill>
          </w14:textFill>
        </w:rPr>
        <w:t>》中一级服务标准要求。物业管理企业应根据国家有关法律、法规和台州市有关物业管理规定，对采购人物业项目进行维护服务的物业管理，保障物业的合理使用，创造和保持整洁、文明、安全、正常的生活秩序和工作环境。</w:t>
      </w:r>
    </w:p>
    <w:p w14:paraId="555849C1">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szCs w:val="32"/>
          <w14:textFill>
            <w14:solidFill>
              <w14:schemeClr w14:val="tx1"/>
            </w14:solidFill>
          </w14:textFill>
        </w:rPr>
        <w:t>物业管理企业要求是指依法成立的从事物业管理服务经营活动的企业法人。</w:t>
      </w:r>
    </w:p>
    <w:p w14:paraId="37125020">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3、采购人对物业管理企业组建的物业管理机构进行业务归口监督管理，物业管理企业必须履行物业管理合同，按照合同约定提供物业管理服务，接受采购人对物业管理服务费用收支及财务报表情况的查询。</w:t>
      </w:r>
    </w:p>
    <w:p w14:paraId="54989B63">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4、物业管理企业对本小区的物业管理方案、组织架构、人员录用、建立的各项规章制度，在实施前必须经采购人审核批准及书面备案，且部门经理的任命须经过采购人审查同意后才能确定。</w:t>
      </w:r>
    </w:p>
    <w:p w14:paraId="7D8E14E7">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5、采购人对一些重要岗位的设置、人员录用与管理，一些重要的管理决策有直接参与权与审批权。</w:t>
      </w:r>
    </w:p>
    <w:p w14:paraId="4EC4F05B">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6、物业管理企业对所录用人员要严格审核，保证录用人员没有违法犯罪记录、持有所从事岗位的上岗资格证，并保持人员稳定。</w:t>
      </w:r>
    </w:p>
    <w:p w14:paraId="7445B86F">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7、物业管理企业各类管理人员按岗位着装要求统一，言行规范，要讲究仪容仪表，注重公众形象，一些公众岗位录用人员体形、身高要有规定。</w:t>
      </w:r>
    </w:p>
    <w:p w14:paraId="31C17150">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8、对处理特殊事件和紧急、突发事故时，采购人对物业管理公司的人员有直接指挥权。</w:t>
      </w:r>
    </w:p>
    <w:p w14:paraId="6524CE9F">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9、物业管理企业为业主做好工作的同时，有责任向采购人提供合理化建议，以提高管理效率和管理服务质量。</w:t>
      </w:r>
    </w:p>
    <w:p w14:paraId="50178B51">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10、物业管理区域内的供水、供电、通讯等公用事业设施及管线的维修养护责任，由相关公用事业单位负责。法律、法规另有规定的，从其规定。</w:t>
      </w:r>
    </w:p>
    <w:p w14:paraId="32488F4C">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11、物业管理企业因维护物业需要采购人配合时，应事先与采购人取得联系沟通，采购人提供方便和配合，如事先未与采购人取得联系沟通造成物业损害时，物业管理企业应承担其责任。</w:t>
      </w:r>
    </w:p>
    <w:p w14:paraId="24AE2D87">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12、物业管理服务费实行综合计价，由物业管理成本、法定税费和利润构成。</w:t>
      </w:r>
    </w:p>
    <w:p w14:paraId="4915627E">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13、合同期满后，物业管理企业应将物业管理有关资料归类整理，并必须无条件移交给采购人。物业管理企业必须建立健全内部严格的各项管理制度。</w:t>
      </w:r>
    </w:p>
    <w:p w14:paraId="54705C6E">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14、测定物业管理费的收取标准及办理政府核价文件、接受水电过户管理、质保期内的委托维修管理。</w:t>
      </w:r>
    </w:p>
    <w:p w14:paraId="6A9CD2F1">
      <w:pPr>
        <w:pStyle w:val="12"/>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▲15、小区戏水池使用期间一般为每年7-9月，要求换水一周一次，要求水体消毒一周两次，其余时间要保证戏水池及凉亭（包括顶部）日常的清洁一周一次，相关费用由物业企业承担。</w:t>
      </w:r>
    </w:p>
    <w:p w14:paraId="57C9121E">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▲16、南、北门保安立岗时间每日不少于6个小时。设置形象岗2名，提升小区的服务品质。</w:t>
      </w:r>
    </w:p>
    <w:p w14:paraId="57C8ED73">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▲17、小区北、南门避免拥堵，特别对外来车辆登记做好车辆引导工作，确保北、南门的正常通行。</w:t>
      </w:r>
    </w:p>
    <w:p w14:paraId="524A4BD6">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▲18、游乐设施每星期清洗一次，相应费用由物业公司承担。</w:t>
      </w:r>
    </w:p>
    <w:p w14:paraId="074C42A3">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▲19、根据业主（物业使用人）需求提供特约服务和不少于6种以上的便民（无偿）服务；节假日有专题布置，每年组织不少于6次社区活动，增进邻里关系，活跃小区氛围。</w:t>
      </w:r>
    </w:p>
    <w:p w14:paraId="4D32B82C">
      <w:pPr>
        <w:keepNext w:val="0"/>
        <w:keepLines w:val="0"/>
        <w:pageBreakBefore w:val="0"/>
        <w:kinsoku/>
        <w:wordWrap/>
        <w:overflowPunct/>
        <w:topLinePunct w:val="0"/>
        <w:bidi w:val="0"/>
        <w:snapToGrid/>
        <w:spacing w:line="360" w:lineRule="auto"/>
        <w:ind w:firstLine="240" w:firstLineChars="100"/>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20、要求物业企业投入小区提升费用不低于20万元（具体以承诺的金额为准），该笔费用将用于小区提升的支出，具体使用时由业委会及小区热心代表等制定使用方案，共同监督使用，合同签订前提交至业主委员会指定账户。（包括且不限于门禁系统、小区门头提升改造、地下车库配置除湿机、功能用房设施设备、电瓶车及自行车由非机动车坡道进入自行车库，围墙需开门以便进入、楼栋顶层增加晾衣区等）</w:t>
      </w:r>
    </w:p>
    <w:p w14:paraId="21823A14">
      <w:pPr>
        <w:keepNext w:val="0"/>
        <w:keepLines w:val="0"/>
        <w:pageBreakBefore w:val="0"/>
        <w:kinsoku/>
        <w:wordWrap/>
        <w:overflowPunct/>
        <w:topLinePunct w:val="0"/>
        <w:bidi w:val="0"/>
        <w:snapToGrid/>
        <w:spacing w:line="360" w:lineRule="auto"/>
        <w:ind w:firstLine="240" w:firstLineChars="100"/>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▲21、物业进场六个月内完成小区范围内所有门禁系统安装及调试，原有设备甲供，不足的设备购置及系统安装及调试费用包含在小区提升费用内。</w:t>
      </w:r>
    </w:p>
    <w:p w14:paraId="7DFCD8E8">
      <w:pPr>
        <w:pStyle w:val="5"/>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▲22、在小区地下车库配置不少于十台大功率除湿机，以防梅雨天及回南天，出现严重返潮现象。购置费及后续所产生的一切费用包含在小区提升费用内。</w:t>
      </w:r>
    </w:p>
    <w:p w14:paraId="0929DDF4">
      <w:pPr>
        <w:pStyle w:val="6"/>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▲23、4#（书吧）、7#（咖啡厅）、9#楼（健身房）功能用房，配备相应设备设施，满足业主日常使用需求，并进行日常维护，费用包含在小区提升费用内。</w:t>
      </w:r>
    </w:p>
    <w:p w14:paraId="174C8357">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▲23、4#（书吧）、7#（咖啡厅）、9#楼（健身房）功能用房（室内外墙面及玻璃）、南、北门立面保持日常清洁。</w:t>
      </w:r>
    </w:p>
    <w:p w14:paraId="51E03362">
      <w:pPr>
        <w:pStyle w:val="6"/>
        <w:keepNext w:val="0"/>
        <w:keepLines w:val="0"/>
        <w:pageBreakBefore w:val="0"/>
        <w:kinsoku/>
        <w:wordWrap/>
        <w:overflowPunct/>
        <w:topLinePunct w:val="0"/>
        <w:bidi w:val="0"/>
        <w:snapToGrid/>
        <w:spacing w:line="360" w:lineRule="auto"/>
        <w:ind w:firstLine="240" w:firstLineChars="100"/>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▲24、每栋楼地下室出入口，需设置2个大型垃圾桶，且每日清晨（6：00-9：00）有专人负责清运。地面需设置20个果皮箱，按楼栋合理分布。</w:t>
      </w:r>
    </w:p>
    <w:p w14:paraId="13A51E4A">
      <w:pPr>
        <w:keepNext w:val="0"/>
        <w:keepLines w:val="0"/>
        <w:pageBreakBefore w:val="0"/>
        <w:kinsoku/>
        <w:wordWrap/>
        <w:overflowPunct/>
        <w:topLinePunct w:val="0"/>
        <w:bidi w:val="0"/>
        <w:snapToGrid/>
        <w:spacing w:line="360" w:lineRule="auto"/>
        <w:ind w:firstLine="240" w:firstLineChars="100"/>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▲25、协助解决处理小区商铺（产权归西林村村民所有）经营过程油烟、噪音造成影响业主休息等其他事项。</w:t>
      </w:r>
    </w:p>
    <w:p w14:paraId="554E41E0">
      <w:pPr>
        <w:pStyle w:val="5"/>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26、酒店及商铺公用的共用设施设备及共用部位与云境花园小区整体相连，在无法分割的情况下，共用设施设备及共用部位维修养护、检修、使用包含在本次招标范围内，所产生的费用按面积比例分摊，由西林村统一支付。</w:t>
      </w:r>
    </w:p>
    <w:p w14:paraId="14B35EFF">
      <w:pPr>
        <w:pStyle w:val="6"/>
        <w:keepNext w:val="0"/>
        <w:keepLines w:val="0"/>
        <w:pageBreakBefore w:val="0"/>
        <w:kinsoku/>
        <w:wordWrap/>
        <w:overflowPunct/>
        <w:topLinePunct w:val="0"/>
        <w:bidi w:val="0"/>
        <w:snapToGrid/>
        <w:spacing w:line="360" w:lineRule="auto"/>
        <w:ind w:firstLine="240" w:firstLineChars="100"/>
        <w:textAlignment w:val="auto"/>
        <w:rPr>
          <w:rFonts w:hint="default"/>
          <w:lang w:val="en-US" w:eastAsia="zh-CN"/>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▲27、本小区内除酒店外所有楼栋顶层增加晾衣区并添置晾衣架，楼栋顶层需保持日常清洁。</w:t>
      </w:r>
    </w:p>
    <w:p w14:paraId="4087C3C4">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三、本次招标的物业管理范围</w:t>
      </w:r>
    </w:p>
    <w:p w14:paraId="336E0999">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（一）物业服务的管理内容</w:t>
      </w:r>
    </w:p>
    <w:p w14:paraId="1F7312CB">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1、物业服务区域内物业共用部位，共用设施设备及场所的使用管理及维修养护；</w:t>
      </w:r>
    </w:p>
    <w:p w14:paraId="1CA4B1EA">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2、物业服务区域内物业共用部位、共用设施设备和相关场地的保洁服务；</w:t>
      </w:r>
    </w:p>
    <w:p w14:paraId="754A3260">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3、物业服务区域内公共秩序和环境卫生的维护；</w:t>
      </w:r>
    </w:p>
    <w:p w14:paraId="3A7B7AF2">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4、物业服务区域内的绿化养护和管理；</w:t>
      </w:r>
    </w:p>
    <w:p w14:paraId="2E286950">
      <w:pPr>
        <w:pStyle w:val="12"/>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5、物业服务区域内车辆（机动车和非机动车）行驶、停放及经营管理；注：非机动车需经自行车坡道，进入自行车车库；不得由南北门入口或者汽车坡道，进入小区。</w:t>
      </w:r>
    </w:p>
    <w:p w14:paraId="5F5CDBE8">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6、供水、供电、供气、电信等专业单位在物业服务区域内对相关管线、设施维修养护时，进行必要的协调和管理；</w:t>
      </w:r>
    </w:p>
    <w:p w14:paraId="086D35D1">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7、物业服务区域的日常安全巡查服务；</w:t>
      </w:r>
    </w:p>
    <w:p w14:paraId="60B640EE">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8、物业服务区域内的巡视、检查，物业维修、更新费用的账务管理，物业档案资料的保管；</w:t>
      </w:r>
    </w:p>
    <w:p w14:paraId="4AE5D888">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9、物业服务区域内业主、使用人装饰、装修物业的行为管理。</w:t>
      </w:r>
    </w:p>
    <w:p w14:paraId="6EB0ACB9">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（二）物业服务的管理要求</w:t>
      </w:r>
    </w:p>
    <w:p w14:paraId="0ADF34D0">
      <w:pPr>
        <w:pStyle w:val="12"/>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服务人员最低配置26人：其中项目经理不少于1人，管家不少于3人，工程维修人员不少于2人，安保人员不少于10人（其中两名女保安），保洁人员不少于9人，绿化不少于1人（具体由投标人根据自身实际方案自行配备）。要求在合同签订后一周内将所有人员名单报业委会备案。未经业委会同意不得随意更换人员；对于不称职人员业委会有权提出换岗或替换人员要求，投标人应无条件予以配合。</w:t>
      </w:r>
    </w:p>
    <w:p w14:paraId="2FF9CFED">
      <w:pPr>
        <w:pStyle w:val="12"/>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物业经理大专学历及以上，具有2年以上相应任职经历。保安年龄要求55周岁以下，其中45周岁以上人员占总数30%以下。物业服务工作人员需具备相应上岗证，专业管理人员具备相应的岗位资格证书且定期接受专业培训，要求人品正直，充满正能量，热情服务。</w:t>
      </w:r>
    </w:p>
    <w:p w14:paraId="1DAA9210">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按专业化的要求配置管理服务人员，中标后须向采购人提供细化的工作流程及保洁频率表，工作人员名单、身份证复印件。如需调换名单中相关人员，须经采购人同意方能调换；实际工作过程中，采购人认为某个区域内有工作人员不能胜任的，投标人须无条件调换人员。</w:t>
      </w:r>
      <w:r>
        <w:rPr>
          <w:rFonts w:hint="eastAsia" w:ascii="宋体" w:hAnsi="宋体" w:cs="宋体"/>
          <w:color w:val="000000" w:themeColor="text1"/>
          <w:sz w:val="24"/>
          <w:szCs w:val="32"/>
          <w14:textFill>
            <w14:solidFill>
              <w14:schemeClr w14:val="tx1"/>
            </w14:solidFill>
          </w14:textFill>
        </w:rPr>
        <w:t>中标提交的人员需在指定地点服务，不得挂证。</w:t>
      </w:r>
    </w:p>
    <w:p w14:paraId="33B236EC">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4、物业设施、设备清洁要求：</w:t>
      </w:r>
    </w:p>
    <w:p w14:paraId="56F1BDAC">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（1）保持房屋立面、公共楼梯、电梯前室、走廊、地下室、小区内公共广场、道路等区域整洁，无堆放杂物现象。</w:t>
      </w:r>
    </w:p>
    <w:p w14:paraId="13064355">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（2）物业管理企业按工作程序对范围内的场所进行日常定期卫生保洁清扫或不定期的清扫保洁，做到按制定标准全天候、全方位保洁。</w:t>
      </w:r>
    </w:p>
    <w:p w14:paraId="7251D12B">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（3）物业管理企业需负责垃圾的收集、清运，做到垃圾日产日清。</w:t>
      </w:r>
    </w:p>
    <w:p w14:paraId="47D24ECA">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（4）每季度定期杀灭蚊、蝇、鼠，做到无滋生源，并对卫生死角重点清洁。</w:t>
      </w:r>
    </w:p>
    <w:p w14:paraId="6A257213">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（5）建筑物自来水池定期清洁，供水符合卫生标准，无二次污染及隐患。</w:t>
      </w:r>
    </w:p>
    <w:p w14:paraId="399622D0">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（6）污水排放通畅，定期清理</w:t>
      </w:r>
      <w:r>
        <w:rPr>
          <w:rFonts w:hint="eastAsia" w:ascii="宋体" w:hAnsi="宋体" w:cs="宋体"/>
          <w:color w:val="000000" w:themeColor="text1"/>
          <w:sz w:val="24"/>
          <w:lang w:val="en-US" w:eastAsia="zh-CN"/>
          <w14:textFill>
            <w14:solidFill>
              <w14:schemeClr w14:val="tx1"/>
            </w14:solidFill>
          </w14:textFill>
        </w:rPr>
        <w:t>垃圾房、垃圾箱、果皮箱</w:t>
      </w:r>
      <w:r>
        <w:rPr>
          <w:rFonts w:hint="eastAsia" w:ascii="宋体" w:hAnsi="宋体" w:cs="宋体"/>
          <w:color w:val="000000" w:themeColor="text1"/>
          <w:sz w:val="24"/>
          <w14:textFill>
            <w14:solidFill>
              <w14:schemeClr w14:val="tx1"/>
            </w14:solidFill>
          </w14:textFill>
        </w:rPr>
        <w:t>。</w:t>
      </w:r>
    </w:p>
    <w:p w14:paraId="4FC24C38">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（7）物业管理企业应对重大传染性疾病进行预防宣传工作，并定期消毒。</w:t>
      </w:r>
    </w:p>
    <w:p w14:paraId="6BF2E532">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（8）物业管理企业在清洁卫生工作中，应对公众场所饮用水机进行清洁，符合卫生标准，采购人不定期抽样卫生防疫中心检验，确保无污染。</w:t>
      </w:r>
    </w:p>
    <w:p w14:paraId="604F9BBC">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（9）清洁卫生所需耗材、工具费用由物业管理企业自行负担（所需费用包含在</w:t>
      </w:r>
      <w:r>
        <w:rPr>
          <w:rFonts w:hint="eastAsia" w:ascii="宋体" w:hAnsi="宋体" w:cs="宋体"/>
          <w:b/>
          <w:color w:val="000000" w:themeColor="text1"/>
          <w:sz w:val="24"/>
          <w:highlight w:val="none"/>
          <w:lang w:val="en-US" w:eastAsia="zh-CN"/>
          <w14:textFill>
            <w14:solidFill>
              <w14:schemeClr w14:val="tx1"/>
            </w14:solidFill>
          </w14:textFill>
        </w:rPr>
        <w:t>物业费</w:t>
      </w:r>
      <w:r>
        <w:rPr>
          <w:rFonts w:hint="eastAsia" w:ascii="宋体" w:hAnsi="宋体" w:cs="宋体"/>
          <w:b/>
          <w:color w:val="000000" w:themeColor="text1"/>
          <w:sz w:val="24"/>
          <w:highlight w:val="none"/>
          <w14:textFill>
            <w14:solidFill>
              <w14:schemeClr w14:val="tx1"/>
            </w14:solidFill>
          </w14:textFill>
        </w:rPr>
        <w:t>中）。</w:t>
      </w:r>
    </w:p>
    <w:p w14:paraId="69165CC7">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5、档案资料管理</w:t>
      </w:r>
    </w:p>
    <w:p w14:paraId="19F22433">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（1）物业管理企业要建立资料的收集、分类整理、归档管理制度。</w:t>
      </w:r>
    </w:p>
    <w:p w14:paraId="79636D33">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（2）在日常管理中要建立交接班、项目故障与维修、保养等登记制度；                              </w:t>
      </w:r>
    </w:p>
    <w:p w14:paraId="766131F7">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（3）由采购人交付给物业管理企业的物业管理相关的工程图纸、档案等资料（原件</w:t>
      </w:r>
    </w:p>
    <w:p w14:paraId="09C6B510">
      <w:pPr>
        <w:keepNext w:val="0"/>
        <w:keepLines w:val="0"/>
        <w:pageBreakBefore w:val="0"/>
        <w:kinsoku/>
        <w:wordWrap/>
        <w:overflowPunct/>
        <w:topLinePunct w:val="0"/>
        <w:bidi w:val="0"/>
        <w:snapToGrid/>
        <w:spacing w:line="360" w:lineRule="auto"/>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交采购人档案室保管），由物业管理企业进行存档、保密，若资料发生泄露，采购人保留追究物业管理企业的责任。</w:t>
      </w:r>
    </w:p>
    <w:p w14:paraId="271CE2AF">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（4）合同期满后，物业管理企业应将物业管理有关资料整理归档，并必须无条件移交给采购人。</w:t>
      </w:r>
    </w:p>
    <w:p w14:paraId="1A310C13">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6、协助处理突发事件</w:t>
      </w:r>
    </w:p>
    <w:p w14:paraId="66A8E6BA">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当出现防疫、自然灾害、火灾、外部冲击等影响安全突发事件时，物业管理企业必须协助采购人、公安、消防等有关部门及时处理突发事件。</w:t>
      </w:r>
    </w:p>
    <w:p w14:paraId="78A865C1">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7、物业管理质量指标要求</w:t>
      </w:r>
    </w:p>
    <w:p w14:paraId="6F548470">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参照国家及省、市对物业管理的质量指标的有关规定、具体标准，结合物业管理企业自身的管理服务水平，物业管理企业要具体承诺物业管理各项目要达到的目标及指标，包括但不限于清洁保洁率；治安案件发生率；车辆被盗率；道路、停车场、路灯使用完好率；房屋及配套设施、公用设施场所完好率；设备完好率；火灾、违章发生率；用户投诉率；物业使用人对物业管理的满意率等。</w:t>
      </w:r>
    </w:p>
    <w:p w14:paraId="1869A91D">
      <w:pPr>
        <w:keepNext w:val="0"/>
        <w:keepLines w:val="0"/>
        <w:pageBreakBefore w:val="0"/>
        <w:kinsoku/>
        <w:wordWrap/>
        <w:overflowPunct/>
        <w:topLinePunct w:val="0"/>
        <w:bidi w:val="0"/>
        <w:snapToGrid/>
        <w:spacing w:line="360" w:lineRule="auto"/>
        <w:ind w:firstLine="480" w:firstLineChars="200"/>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（2）物业管理企业为完成承诺指标采取的措施。</w:t>
      </w:r>
    </w:p>
    <w:p w14:paraId="28896AB8">
      <w:pPr>
        <w:keepNext w:val="0"/>
        <w:keepLines w:val="0"/>
        <w:pageBreakBefore w:val="0"/>
        <w:kinsoku/>
        <w:wordWrap/>
        <w:overflowPunct/>
        <w:topLinePunct w:val="0"/>
        <w:bidi w:val="0"/>
        <w:snapToGrid/>
        <w:spacing w:before="160" w:line="360" w:lineRule="auto"/>
        <w:ind w:firstLine="241" w:firstLineChars="100"/>
        <w:textAlignment w:val="auto"/>
        <w:rPr>
          <w:rFonts w:hint="eastAsia" w:ascii="宋体" w:hAnsi="宋体" w:cs="宋体"/>
          <w:color w:val="000000" w:themeColor="text1"/>
          <w:sz w:val="24"/>
          <w:highlight w:val="yellow"/>
          <w14:textFill>
            <w14:solidFill>
              <w14:schemeClr w14:val="tx1"/>
            </w14:solidFill>
          </w14:textFill>
        </w:rPr>
      </w:pPr>
      <w:r>
        <w:rPr>
          <w:rFonts w:hint="eastAsia" w:ascii="宋体" w:hAnsi="宋体" w:cs="Arial"/>
          <w:b/>
          <w:snapToGrid w:val="0"/>
          <w:color w:val="000000"/>
          <w:kern w:val="0"/>
          <w:sz w:val="24"/>
        </w:rPr>
        <w:t>▲</w:t>
      </w:r>
      <w:r>
        <w:rPr>
          <w:rFonts w:hint="eastAsia" w:ascii="宋体" w:hAnsi="宋体" w:cs="宋体"/>
          <w:color w:val="000000" w:themeColor="text1"/>
          <w:sz w:val="24"/>
          <w:highlight w:val="none"/>
          <w14:textFill>
            <w14:solidFill>
              <w14:schemeClr w14:val="tx1"/>
            </w14:solidFill>
          </w14:textFill>
        </w:rPr>
        <w:t>8、开展物业共用部位、共用设施设备的年度维保。如需维修，保修期内应及时通知建设单位修复；超过保修期应及时制定维修、更新、改造方案，其中单次小中修2000元以内的由物业管理企业承担并及时组织实施；单次2000元以上的应及时编制维修方案和经营性收益、物业专项维修资金使用计划并报采购人审批后组织实施。</w:t>
      </w:r>
    </w:p>
    <w:p w14:paraId="3ACFDCA0">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9、档案资料必须配套电子资料与纸质资料。</w:t>
      </w:r>
    </w:p>
    <w:p w14:paraId="534FC06A">
      <w:pPr>
        <w:keepNext w:val="0"/>
        <w:keepLines w:val="0"/>
        <w:pageBreakBefore w:val="0"/>
        <w:kinsoku/>
        <w:wordWrap/>
        <w:overflowPunct/>
        <w:topLinePunct w:val="0"/>
        <w:bidi w:val="0"/>
        <w:snapToGrid/>
        <w:spacing w:before="160"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10、全力配合第三方权威机构进行业主满意度调查，业主大会等工作。</w:t>
      </w:r>
    </w:p>
    <w:p w14:paraId="359577A1">
      <w:pPr>
        <w:keepNext w:val="0"/>
        <w:keepLines w:val="0"/>
        <w:pageBreakBefore w:val="0"/>
        <w:kinsoku/>
        <w:wordWrap/>
        <w:overflowPunct/>
        <w:topLinePunct w:val="0"/>
        <w:bidi w:val="0"/>
        <w:snapToGrid/>
        <w:spacing w:before="160"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11、在合同期内争创台州市优秀示范小区。</w:t>
      </w:r>
    </w:p>
    <w:p w14:paraId="421B1C27">
      <w:pPr>
        <w:keepNext w:val="0"/>
        <w:keepLines w:val="0"/>
        <w:pageBreakBefore w:val="0"/>
        <w:kinsoku/>
        <w:wordWrap/>
        <w:overflowPunct/>
        <w:topLinePunct w:val="0"/>
        <w:bidi w:val="0"/>
        <w:snapToGrid/>
        <w:spacing w:before="160" w:line="360" w:lineRule="auto"/>
        <w:ind w:firstLine="240" w:firstLineChars="1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▲12、物业管理期限：本次招标服务年限</w:t>
      </w:r>
      <w:r>
        <w:rPr>
          <w:rFonts w:hint="eastAsia" w:ascii="宋体" w:hAnsi="宋体" w:cs="宋体"/>
          <w:color w:val="000000" w:themeColor="text1"/>
          <w:sz w:val="24"/>
          <w:highlight w:val="none"/>
          <w:lang w:val="en-US" w:eastAsia="zh-CN"/>
          <w14:textFill>
            <w14:solidFill>
              <w14:schemeClr w14:val="tx1"/>
            </w14:solidFill>
          </w14:textFill>
        </w:rPr>
        <w:t>为5年，</w:t>
      </w:r>
      <w:r>
        <w:rPr>
          <w:rFonts w:hint="eastAsia" w:ascii="宋体" w:hAnsi="宋体" w:cs="宋体"/>
          <w:color w:val="000000" w:themeColor="text1"/>
          <w:sz w:val="24"/>
          <w:highlight w:val="none"/>
          <w14:textFill>
            <w14:solidFill>
              <w14:schemeClr w14:val="tx1"/>
            </w14:solidFill>
          </w14:textFill>
        </w:rPr>
        <w:t>采用“1+</w:t>
      </w:r>
      <w:r>
        <w:rPr>
          <w:rFonts w:hint="eastAsia" w:ascii="宋体" w:hAnsi="宋体" w:cs="宋体"/>
          <w:color w:val="000000" w:themeColor="text1"/>
          <w:sz w:val="24"/>
          <w:highlight w:val="none"/>
          <w:lang w:val="en-US" w:eastAsia="zh-CN"/>
          <w14:textFill>
            <w14:solidFill>
              <w14:schemeClr w14:val="tx1"/>
            </w14:solidFill>
          </w14:textFill>
        </w:rPr>
        <w:t>2+2</w:t>
      </w:r>
      <w:r>
        <w:rPr>
          <w:rFonts w:hint="eastAsia" w:ascii="宋体" w:hAnsi="宋体" w:cs="宋体"/>
          <w:color w:val="000000" w:themeColor="text1"/>
          <w:sz w:val="24"/>
          <w:highlight w:val="none"/>
          <w14:textFill>
            <w14:solidFill>
              <w14:schemeClr w14:val="tx1"/>
            </w14:solidFill>
          </w14:textFill>
        </w:rPr>
        <w:t>”模式，一年合同到期后，根据履约情况（结合附件：物业服务考核评分标准）决定是否续签。</w:t>
      </w:r>
    </w:p>
    <w:p w14:paraId="2513D4A5">
      <w:pPr>
        <w:keepNext w:val="0"/>
        <w:keepLines w:val="0"/>
        <w:pageBreakBefore w:val="0"/>
        <w:kinsoku/>
        <w:wordWrap/>
        <w:overflowPunct/>
        <w:topLinePunct w:val="0"/>
        <w:bidi w:val="0"/>
        <w:snapToGrid/>
        <w:spacing w:before="160" w:line="360" w:lineRule="auto"/>
        <w:ind w:firstLine="240" w:firstLineChars="1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13、本项目经营性收入全部归临海市大洋街道</w:t>
      </w:r>
      <w:r>
        <w:rPr>
          <w:rFonts w:hint="eastAsia" w:ascii="宋体" w:hAnsi="宋体" w:cs="宋体"/>
          <w:color w:val="000000" w:themeColor="text1"/>
          <w:sz w:val="24"/>
          <w:highlight w:val="none"/>
          <w:lang w:eastAsia="zh-CN"/>
          <w14:textFill>
            <w14:solidFill>
              <w14:schemeClr w14:val="tx1"/>
            </w14:solidFill>
          </w14:textFill>
        </w:rPr>
        <w:t>云境花园</w:t>
      </w:r>
      <w:r>
        <w:rPr>
          <w:rFonts w:hint="eastAsia" w:ascii="宋体" w:hAnsi="宋体" w:cs="宋体"/>
          <w:color w:val="000000" w:themeColor="text1"/>
          <w:sz w:val="24"/>
          <w:highlight w:val="none"/>
          <w14:textFill>
            <w14:solidFill>
              <w14:schemeClr w14:val="tx1"/>
            </w14:solidFill>
          </w14:textFill>
        </w:rPr>
        <w:t>全体业主所有。</w:t>
      </w:r>
    </w:p>
    <w:p w14:paraId="04D17491">
      <w:pPr>
        <w:pStyle w:val="6"/>
        <w:keepNext w:val="0"/>
        <w:keepLines w:val="0"/>
        <w:pageBreakBefore w:val="0"/>
        <w:kinsoku/>
        <w:wordWrap/>
        <w:overflowPunct/>
        <w:topLinePunct w:val="0"/>
        <w:bidi w:val="0"/>
        <w:snapToGrid/>
        <w:spacing w:line="360" w:lineRule="auto"/>
        <w:ind w:left="0" w:leftChars="0" w:firstLine="241" w:firstLineChars="100"/>
        <w:textAlignment w:val="auto"/>
        <w:rPr>
          <w:color w:val="000000" w:themeColor="text1"/>
          <w:szCs w:val="21"/>
          <w14:textFill>
            <w14:solidFill>
              <w14:schemeClr w14:val="tx1"/>
            </w14:solidFill>
          </w14:textFill>
        </w:rPr>
      </w:pPr>
      <w:r>
        <w:rPr>
          <w:rFonts w:hint="eastAsia" w:ascii="宋体" w:hAnsi="宋体" w:cs="Arial"/>
          <w:b/>
          <w:snapToGrid w:val="0"/>
          <w:color w:val="000000"/>
          <w:kern w:val="0"/>
          <w:sz w:val="24"/>
        </w:rPr>
        <w:t>▲</w:t>
      </w:r>
      <w:r>
        <w:rPr>
          <w:rFonts w:hint="eastAsia" w:ascii="宋体" w:hAnsi="宋体" w:cs="宋体"/>
          <w:color w:val="000000" w:themeColor="text1"/>
          <w:kern w:val="0"/>
          <w:sz w:val="24"/>
          <w14:textFill>
            <w14:solidFill>
              <w14:schemeClr w14:val="tx1"/>
            </w14:solidFill>
          </w14:textFill>
        </w:rPr>
        <w:t>14、收费标准：1）高层住宅（含能耗</w:t>
      </w:r>
      <w:r>
        <w:rPr>
          <w:rFonts w:hint="eastAsia" w:ascii="宋体" w:hAnsi="宋体" w:cs="宋体"/>
          <w:color w:val="000000" w:themeColor="text1"/>
          <w:kern w:val="2"/>
          <w:sz w:val="24"/>
          <w14:textFill>
            <w14:solidFill>
              <w14:schemeClr w14:val="tx1"/>
            </w14:solidFill>
          </w14:textFill>
        </w:rPr>
        <w:t>）</w:t>
      </w:r>
      <w:r>
        <w:rPr>
          <w:rFonts w:hint="eastAsia" w:ascii="宋体" w:hAnsi="宋体" w:cs="宋体"/>
          <w:color w:val="000000" w:themeColor="text1"/>
          <w:kern w:val="2"/>
          <w:sz w:val="24"/>
          <w:lang w:val="en-US" w:eastAsia="zh-CN"/>
          <w14:textFill>
            <w14:solidFill>
              <w14:schemeClr w14:val="tx1"/>
            </w14:solidFill>
          </w14:textFill>
        </w:rPr>
        <w:t>:</w:t>
      </w:r>
      <w:r>
        <w:rPr>
          <w:rFonts w:hint="eastAsia" w:ascii="宋体" w:hAnsi="宋体" w:cs="宋体"/>
          <w:color w:val="000000" w:themeColor="text1"/>
          <w:kern w:val="2"/>
          <w:sz w:val="24"/>
          <w14:textFill>
            <w14:solidFill>
              <w14:schemeClr w14:val="tx1"/>
            </w14:solidFill>
          </w14:textFill>
        </w:rPr>
        <w:t>2.04元/</w:t>
      </w:r>
      <w:r>
        <w:rPr>
          <w:rFonts w:hint="eastAsia" w:ascii="宋体" w:hAnsi="宋体" w:cs="宋体"/>
          <w:color w:val="000000" w:themeColor="text1"/>
          <w:sz w:val="24"/>
          <w:szCs w:val="24"/>
          <w14:textFill>
            <w14:solidFill>
              <w14:schemeClr w14:val="tx1"/>
            </w14:solidFill>
          </w14:textFill>
        </w:rPr>
        <w:t>m</w:t>
      </w:r>
      <w:r>
        <w:rPr>
          <w:rFonts w:hint="eastAsia" w:ascii="宋体" w:hAnsi="宋体" w:cs="宋体"/>
          <w:color w:val="000000" w:themeColor="text1"/>
          <w:sz w:val="24"/>
          <w:szCs w:val="24"/>
          <w:vertAlign w:val="baseline"/>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·月；</w:t>
      </w:r>
    </w:p>
    <w:p w14:paraId="0C64F84C">
      <w:pPr>
        <w:pStyle w:val="5"/>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   2）地下停车位：60元/个·月；</w:t>
      </w:r>
    </w:p>
    <w:p w14:paraId="1A44D1D0">
      <w:pPr>
        <w:keepNext w:val="0"/>
        <w:keepLines w:val="0"/>
        <w:pageBreakBefore w:val="0"/>
        <w:kinsoku/>
        <w:wordWrap/>
        <w:overflowPunct/>
        <w:topLinePunct w:val="0"/>
        <w:bidi w:val="0"/>
        <w:snapToGrid/>
        <w:spacing w:line="360" w:lineRule="auto"/>
        <w:ind w:firstLine="1920" w:firstLineChars="80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3）储藏室：10元/个·月；</w:t>
      </w:r>
    </w:p>
    <w:p w14:paraId="51F010A2">
      <w:pPr>
        <w:rPr>
          <w:rFonts w:hint="eastAsia" w:eastAsia="黑体" w:cs="Times New Roman"/>
          <w:b w:val="0"/>
          <w:bCs w:val="0"/>
          <w:color w:val="auto"/>
          <w:sz w:val="32"/>
          <w:highlight w:val="none"/>
          <w:lang w:eastAsia="zh-CN"/>
        </w:rPr>
      </w:pPr>
      <w:r>
        <w:rPr>
          <w:rFonts w:hint="eastAsia" w:eastAsia="黑体" w:cs="Times New Roman"/>
          <w:b w:val="0"/>
          <w:bCs w:val="0"/>
          <w:color w:val="auto"/>
          <w:sz w:val="32"/>
          <w:highlight w:val="none"/>
          <w:lang w:eastAsia="zh-CN"/>
        </w:rPr>
        <w:br w:type="page"/>
      </w:r>
    </w:p>
    <w:p w14:paraId="162D278A">
      <w:pPr>
        <w:pStyle w:val="2"/>
        <w:keepNext/>
        <w:keepLines/>
        <w:pageBreakBefore w:val="0"/>
        <w:widowControl w:val="0"/>
        <w:kinsoku/>
        <w:wordWrap/>
        <w:overflowPunct/>
        <w:topLinePunct w:val="0"/>
        <w:autoSpaceDE/>
        <w:autoSpaceDN/>
        <w:bidi w:val="0"/>
        <w:adjustRightInd/>
        <w:snapToGrid/>
        <w:spacing w:before="0" w:after="437" w:afterLines="100" w:line="360" w:lineRule="auto"/>
        <w:jc w:val="center"/>
        <w:textAlignment w:val="auto"/>
        <w:rPr>
          <w:rFonts w:hint="default" w:ascii="Times New Roman" w:hAnsi="Times New Roman" w:eastAsia="黑体" w:cs="Times New Roman"/>
          <w:b w:val="0"/>
          <w:bCs w:val="0"/>
          <w:color w:val="auto"/>
          <w:sz w:val="32"/>
          <w:highlight w:val="none"/>
          <w:lang w:val="en-US" w:eastAsia="zh-CN"/>
        </w:rPr>
      </w:pPr>
      <w:r>
        <w:rPr>
          <w:rFonts w:hint="eastAsia" w:eastAsia="黑体" w:cs="Times New Roman"/>
          <w:b w:val="0"/>
          <w:bCs w:val="0"/>
          <w:color w:val="auto"/>
          <w:sz w:val="32"/>
          <w:highlight w:val="none"/>
          <w:lang w:eastAsia="zh-CN"/>
        </w:rPr>
        <w:t>临海云境花园物业管理服务</w:t>
      </w:r>
      <w:r>
        <w:rPr>
          <w:rFonts w:hint="eastAsia" w:eastAsia="黑体" w:cs="Times New Roman"/>
          <w:b w:val="0"/>
          <w:bCs w:val="0"/>
          <w:color w:val="auto"/>
          <w:sz w:val="32"/>
          <w:highlight w:val="none"/>
          <w:lang w:val="en-US" w:eastAsia="zh-CN"/>
        </w:rPr>
        <w:t>项目</w:t>
      </w:r>
    </w:p>
    <w:p w14:paraId="36710A5E">
      <w:pPr>
        <w:spacing w:line="360" w:lineRule="auto"/>
        <w:jc w:val="center"/>
        <w:outlineLvl w:val="0"/>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kern w:val="0"/>
          <w:sz w:val="36"/>
          <w14:textFill>
            <w14:solidFill>
              <w14:schemeClr w14:val="tx1"/>
            </w14:solidFill>
          </w14:textFill>
        </w:rPr>
        <w:t>评标办法及评分标准</w:t>
      </w:r>
    </w:p>
    <w:p w14:paraId="7978031A">
      <w:pPr>
        <w:spacing w:line="420" w:lineRule="exac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一、评标委员会</w:t>
      </w:r>
    </w:p>
    <w:p w14:paraId="6CAB7989">
      <w:pPr>
        <w:spacing w:line="4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1、评标委员会由招标人依据有关规定组建，其成员由招标人代表、评标专家组成。</w:t>
      </w:r>
    </w:p>
    <w:p w14:paraId="2D295D22">
      <w:pPr>
        <w:spacing w:line="4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2、评标委员会负责审查投标文件是否符合招标文件的要求，并进行审查、质疑、评估和比较，确定中标人。</w:t>
      </w:r>
    </w:p>
    <w:p w14:paraId="7216FE69">
      <w:pPr>
        <w:spacing w:line="4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3、评标委员会负责完成全部评标过程，向招标人提出经所有评标委员会成员签字的书面报告。</w:t>
      </w:r>
    </w:p>
    <w:p w14:paraId="47499441">
      <w:pPr>
        <w:spacing w:line="4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4、评标过程直至招标人向中标人授予合同，评标委员会职责完成。</w:t>
      </w:r>
    </w:p>
    <w:p w14:paraId="60398B0F">
      <w:pPr>
        <w:spacing w:line="420" w:lineRule="exac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二、开标会议</w:t>
      </w:r>
    </w:p>
    <w:p w14:paraId="176AFA40">
      <w:pPr>
        <w:spacing w:line="4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1、投标人应仔细阅读招标文件，如对文件有疑问，可于招标文件发出之日起三日内以传真（加盖公章）的方式通知招标人，提请招标人解释。</w:t>
      </w:r>
    </w:p>
    <w:p w14:paraId="6E33E535">
      <w:pPr>
        <w:spacing w:line="4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2、在有投标人委派代表参加开标的情况下，招标人在招标文件规定的时间和地点召开开标会议，参加开标的代表须签名报到以证明出席。</w:t>
      </w:r>
    </w:p>
    <w:p w14:paraId="75E7D749">
      <w:pPr>
        <w:spacing w:line="4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3、投标人须由法定代表人或授权代表参加开标会议，随时准备对评委的询问给予解答。</w:t>
      </w:r>
    </w:p>
    <w:p w14:paraId="2C580367">
      <w:pPr>
        <w:spacing w:line="4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4、投标人的法定代表人或其委托代理人参加开标会议时，须携带有效身份证件原件。</w:t>
      </w:r>
    </w:p>
    <w:p w14:paraId="1192731E">
      <w:pPr>
        <w:spacing w:line="4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5、投标文件有下列情形之一的将视为无效：</w:t>
      </w:r>
    </w:p>
    <w:p w14:paraId="414CA2A7">
      <w:pPr>
        <w:spacing w:line="4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rFonts w:hint="eastAsia"/>
          <w:b/>
          <w:bCs/>
          <w:color w:val="000000" w:themeColor="text1"/>
          <w:kern w:val="21"/>
          <w:sz w:val="24"/>
          <w14:textFill>
            <w14:solidFill>
              <w14:schemeClr w14:val="tx1"/>
            </w14:solidFill>
          </w14:textFill>
        </w:rPr>
        <w:t xml:space="preserve"> </w:t>
      </w:r>
      <w:r>
        <w:rPr>
          <w:rFonts w:hint="eastAsia"/>
          <w:bCs/>
          <w:color w:val="000000" w:themeColor="text1"/>
          <w:kern w:val="21"/>
          <w:sz w:val="24"/>
          <w14:textFill>
            <w14:solidFill>
              <w14:schemeClr w14:val="tx1"/>
            </w14:solidFill>
          </w14:textFill>
        </w:rPr>
        <w:t>投标文件未按前附表所规定的份数提供的；</w:t>
      </w:r>
    </w:p>
    <w:p w14:paraId="7875E833">
      <w:pPr>
        <w:spacing w:line="4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(2)投标承诺书未按规定加盖投标人公章的，或未经法定代表人(或其委托代理人)签字(或盖章)的；</w:t>
      </w:r>
    </w:p>
    <w:p w14:paraId="06EE1109">
      <w:pPr>
        <w:spacing w:line="4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(3)委托代理人没有提供合法、有效的“授权委托书”原件的；</w:t>
      </w:r>
    </w:p>
    <w:p w14:paraId="5BC8A2D4">
      <w:pPr>
        <w:spacing w:line="4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(4)资信标的编制资料提供不符合要求或不全者；</w:t>
      </w:r>
    </w:p>
    <w:p w14:paraId="769F74EC">
      <w:pPr>
        <w:spacing w:line="4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(5)投标文件未按招标文件要求编制或关键内容字迹模糊辨认不清的：</w:t>
      </w:r>
    </w:p>
    <w:p w14:paraId="555D100A">
      <w:pPr>
        <w:spacing w:line="4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(6)不同投标人的投标文件载明的项目管理人员出现同一人情况；</w:t>
      </w:r>
    </w:p>
    <w:p w14:paraId="195F69E7">
      <w:pPr>
        <w:spacing w:line="4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(7)不同投标人的投标文件相互混装；</w:t>
      </w:r>
    </w:p>
    <w:p w14:paraId="20049BF8">
      <w:pPr>
        <w:spacing w:line="4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(8)投标文件附有超出物业管理相关法律法规规定等使招标人不能接受的条件；</w:t>
      </w:r>
    </w:p>
    <w:p w14:paraId="526F958F">
      <w:pPr>
        <w:spacing w:line="4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9</w:t>
      </w:r>
      <w:r>
        <w:rPr>
          <w:rFonts w:hint="eastAsia"/>
          <w:color w:val="000000" w:themeColor="text1"/>
          <w:sz w:val="24"/>
          <w14:textFill>
            <w14:solidFill>
              <w14:schemeClr w14:val="tx1"/>
            </w14:solidFill>
          </w14:textFill>
        </w:rPr>
        <w:t>)投标文件其他实质上未响应招标文件要求的。</w:t>
      </w:r>
    </w:p>
    <w:p w14:paraId="3341F6B3">
      <w:pPr>
        <w:spacing w:line="4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6、招标人按规定做开标记录，存档备查。</w:t>
      </w:r>
    </w:p>
    <w:p w14:paraId="48D32147">
      <w:pPr>
        <w:spacing w:line="420" w:lineRule="exact"/>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三、投标评估、比较</w:t>
      </w:r>
    </w:p>
    <w:p w14:paraId="1A643485">
      <w:pPr>
        <w:spacing w:line="4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1、投标文件是评标的依据。</w:t>
      </w:r>
    </w:p>
    <w:p w14:paraId="2E2A2FFB">
      <w:pPr>
        <w:spacing w:line="4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2、本次评标采用评审投标文件的形式，评标委员会将遵照评标原则，公正、平等地对待所有投标人。</w:t>
      </w:r>
    </w:p>
    <w:p w14:paraId="2E7EE6CA">
      <w:pPr>
        <w:spacing w:line="4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3、对所有投标人的评估，都采用相同的程序和标准。</w:t>
      </w:r>
    </w:p>
    <w:p w14:paraId="19D8AC52">
      <w:pPr>
        <w:spacing w:line="42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 本项目评标采用百分制综合评分办法，评分分值由资信标</w:t>
      </w:r>
      <w:r>
        <w:rPr>
          <w:rFonts w:hint="eastAsia"/>
          <w:color w:val="000000" w:themeColor="text1"/>
          <w:sz w:val="24"/>
          <w:lang w:val="en-US" w:eastAsia="zh-CN"/>
          <w14:textFill>
            <w14:solidFill>
              <w14:schemeClr w14:val="tx1"/>
            </w14:solidFill>
          </w14:textFill>
        </w:rPr>
        <w:t>25</w:t>
      </w:r>
      <w:r>
        <w:rPr>
          <w:rFonts w:hint="eastAsia"/>
          <w:color w:val="000000" w:themeColor="text1"/>
          <w:sz w:val="24"/>
          <w14:textFill>
            <w14:solidFill>
              <w14:schemeClr w14:val="tx1"/>
            </w14:solidFill>
          </w14:textFill>
        </w:rPr>
        <w:t>分、技术标</w:t>
      </w:r>
      <w:r>
        <w:rPr>
          <w:rFonts w:hint="eastAsia"/>
          <w:color w:val="000000" w:themeColor="text1"/>
          <w:sz w:val="24"/>
          <w:lang w:val="en-US" w:eastAsia="zh-CN"/>
          <w14:textFill>
            <w14:solidFill>
              <w14:schemeClr w14:val="tx1"/>
            </w14:solidFill>
          </w14:textFill>
        </w:rPr>
        <w:t>60</w:t>
      </w:r>
      <w:r>
        <w:rPr>
          <w:rFonts w:hint="eastAsia"/>
          <w:color w:val="000000" w:themeColor="text1"/>
          <w:sz w:val="24"/>
          <w14:textFill>
            <w14:solidFill>
              <w14:schemeClr w14:val="tx1"/>
            </w14:solidFill>
          </w14:textFill>
        </w:rPr>
        <w:t>分</w:t>
      </w:r>
      <w:r>
        <w:rPr>
          <w:rFonts w:hint="eastAsia"/>
          <w:color w:val="000000" w:themeColor="text1"/>
          <w:sz w:val="24"/>
          <w:lang w:val="en-US" w:eastAsia="zh-CN"/>
          <w14:textFill>
            <w14:solidFill>
              <w14:schemeClr w14:val="tx1"/>
            </w14:solidFill>
          </w14:textFill>
        </w:rPr>
        <w:t>两</w:t>
      </w:r>
      <w:r>
        <w:rPr>
          <w:rFonts w:hint="eastAsia"/>
          <w:color w:val="000000" w:themeColor="text1"/>
          <w:sz w:val="24"/>
          <w14:textFill>
            <w14:solidFill>
              <w14:schemeClr w14:val="tx1"/>
            </w14:solidFill>
          </w14:textFill>
        </w:rPr>
        <w:t>部分组成，共计</w:t>
      </w:r>
      <w:r>
        <w:rPr>
          <w:rFonts w:hint="eastAsia"/>
          <w:color w:val="000000" w:themeColor="text1"/>
          <w:sz w:val="24"/>
          <w:lang w:val="en-US" w:eastAsia="zh-CN"/>
          <w14:textFill>
            <w14:solidFill>
              <w14:schemeClr w14:val="tx1"/>
            </w14:solidFill>
          </w14:textFill>
        </w:rPr>
        <w:t>85</w:t>
      </w:r>
      <w:r>
        <w:rPr>
          <w:rFonts w:hint="eastAsia"/>
          <w:color w:val="000000" w:themeColor="text1"/>
          <w:sz w:val="24"/>
          <w14:textFill>
            <w14:solidFill>
              <w14:schemeClr w14:val="tx1"/>
            </w14:solidFill>
          </w14:textFill>
        </w:rPr>
        <w:t>分。</w:t>
      </w:r>
    </w:p>
    <w:p w14:paraId="7B1ACCDC">
      <w:pPr>
        <w:widowControl/>
        <w:spacing w:line="420" w:lineRule="exact"/>
        <w:ind w:firstLine="482" w:firstLineChars="200"/>
        <w:textAlignment w:val="baseline"/>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（一）投标文件的资信评审(</w:t>
      </w:r>
      <w:r>
        <w:rPr>
          <w:rFonts w:hint="eastAsia"/>
          <w:b/>
          <w:bCs/>
          <w:color w:val="000000" w:themeColor="text1"/>
          <w:sz w:val="24"/>
          <w:lang w:val="en-US" w:eastAsia="zh-CN"/>
          <w14:textFill>
            <w14:solidFill>
              <w14:schemeClr w14:val="tx1"/>
            </w14:solidFill>
          </w14:textFill>
        </w:rPr>
        <w:t>25</w:t>
      </w:r>
      <w:r>
        <w:rPr>
          <w:rFonts w:hint="eastAsia"/>
          <w:b/>
          <w:bCs/>
          <w:color w:val="000000" w:themeColor="text1"/>
          <w:sz w:val="24"/>
          <w14:textFill>
            <w14:solidFill>
              <w14:schemeClr w14:val="tx1"/>
            </w14:solidFill>
          </w14:textFill>
        </w:rPr>
        <w:t>分)：</w:t>
      </w:r>
    </w:p>
    <w:p w14:paraId="5701A7F4">
      <w:pPr>
        <w:widowControl/>
        <w:spacing w:line="420" w:lineRule="exact"/>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评标委员会根据各投标人提供的企业的浙江省物业服务企业信用综合得分、考核、管理现状和业绩、经营信誉、</w:t>
      </w:r>
      <w:r>
        <w:rPr>
          <w:color w:val="000000" w:themeColor="text1"/>
          <w:sz w:val="24"/>
          <w14:textFill>
            <w14:solidFill>
              <w14:schemeClr w14:val="tx1"/>
            </w14:solidFill>
          </w14:textFill>
        </w:rPr>
        <w:t>人力资源</w:t>
      </w:r>
      <w:r>
        <w:rPr>
          <w:rFonts w:hint="eastAsia"/>
          <w:color w:val="000000" w:themeColor="text1"/>
          <w:sz w:val="24"/>
          <w14:textFill>
            <w14:solidFill>
              <w14:schemeClr w14:val="tx1"/>
            </w14:solidFill>
          </w14:textFill>
        </w:rPr>
        <w:t>等有关情况，进行综合评比、打分。资信提供的材料必须真实有效，否则投标文件视为无效。</w:t>
      </w:r>
    </w:p>
    <w:p w14:paraId="4AD62D4B">
      <w:pPr>
        <w:widowControl/>
        <w:spacing w:line="360" w:lineRule="exact"/>
        <w:ind w:right="-514" w:rightChars="-245" w:firstLine="2643" w:firstLineChars="1097"/>
        <w:textAlignment w:val="baseline"/>
        <w:rPr>
          <w:b/>
          <w:bCs/>
          <w:color w:val="000000" w:themeColor="text1"/>
          <w:sz w:val="24"/>
          <w14:textFill>
            <w14:solidFill>
              <w14:schemeClr w14:val="tx1"/>
            </w14:solidFill>
          </w14:textFill>
        </w:rPr>
      </w:pPr>
    </w:p>
    <w:p w14:paraId="41CF750C">
      <w:pPr>
        <w:widowControl/>
        <w:spacing w:line="360" w:lineRule="exact"/>
        <w:ind w:right="-514" w:rightChars="-245" w:firstLine="2643" w:firstLineChars="1097"/>
        <w:textAlignment w:val="baseline"/>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资信标评分分值设定及评分细则</w:t>
      </w:r>
    </w:p>
    <w:tbl>
      <w:tblPr>
        <w:tblStyle w:val="13"/>
        <w:tblW w:w="9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555"/>
        <w:gridCol w:w="1095"/>
        <w:gridCol w:w="654"/>
        <w:gridCol w:w="3526"/>
        <w:gridCol w:w="3590"/>
      </w:tblGrid>
      <w:tr w14:paraId="5F9B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07" w:type="dxa"/>
            <w:vAlign w:val="center"/>
          </w:tcPr>
          <w:p w14:paraId="7D46F664">
            <w:pPr>
              <w:widowControl/>
              <w:spacing w:line="360" w:lineRule="exact"/>
              <w:jc w:val="center"/>
              <w:textAlignment w:val="baseline"/>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序号</w:t>
            </w:r>
          </w:p>
        </w:tc>
        <w:tc>
          <w:tcPr>
            <w:tcW w:w="1650" w:type="dxa"/>
            <w:gridSpan w:val="2"/>
            <w:vAlign w:val="center"/>
          </w:tcPr>
          <w:p w14:paraId="2D6F05AF">
            <w:pPr>
              <w:widowControl/>
              <w:spacing w:line="360" w:lineRule="exact"/>
              <w:textAlignment w:val="baseline"/>
              <w:rPr>
                <w:b/>
                <w:bCs/>
                <w:sz w:val="21"/>
                <w:szCs w:val="21"/>
              </w:rPr>
            </w:pPr>
            <w:r>
              <w:rPr>
                <w:rFonts w:hint="eastAsia"/>
                <w:b/>
                <w:bCs/>
                <w:sz w:val="21"/>
                <w:szCs w:val="21"/>
              </w:rPr>
              <w:t>项目</w:t>
            </w:r>
          </w:p>
        </w:tc>
        <w:tc>
          <w:tcPr>
            <w:tcW w:w="654" w:type="dxa"/>
            <w:vAlign w:val="center"/>
          </w:tcPr>
          <w:p w14:paraId="4323CA5E">
            <w:pPr>
              <w:widowControl/>
              <w:spacing w:line="360" w:lineRule="exact"/>
              <w:jc w:val="center"/>
              <w:textAlignment w:val="baseline"/>
              <w:rPr>
                <w:b/>
                <w:bCs/>
                <w:sz w:val="21"/>
                <w:szCs w:val="21"/>
              </w:rPr>
            </w:pPr>
            <w:r>
              <w:rPr>
                <w:rFonts w:hint="eastAsia"/>
                <w:b/>
                <w:bCs/>
                <w:sz w:val="21"/>
                <w:szCs w:val="21"/>
              </w:rPr>
              <w:t>分值</w:t>
            </w:r>
          </w:p>
        </w:tc>
        <w:tc>
          <w:tcPr>
            <w:tcW w:w="3526" w:type="dxa"/>
            <w:vAlign w:val="center"/>
          </w:tcPr>
          <w:p w14:paraId="2B6FA7E7">
            <w:pPr>
              <w:widowControl/>
              <w:spacing w:line="360" w:lineRule="exact"/>
              <w:jc w:val="center"/>
              <w:textAlignment w:val="baseline"/>
              <w:rPr>
                <w:b/>
                <w:bCs/>
                <w:sz w:val="21"/>
                <w:szCs w:val="21"/>
              </w:rPr>
            </w:pPr>
            <w:r>
              <w:rPr>
                <w:rFonts w:hint="eastAsia"/>
                <w:b/>
                <w:bCs/>
                <w:sz w:val="21"/>
                <w:szCs w:val="21"/>
              </w:rPr>
              <w:t>评分细则</w:t>
            </w:r>
          </w:p>
        </w:tc>
        <w:tc>
          <w:tcPr>
            <w:tcW w:w="3590" w:type="dxa"/>
            <w:vAlign w:val="center"/>
          </w:tcPr>
          <w:p w14:paraId="797EE693">
            <w:pPr>
              <w:widowControl/>
              <w:spacing w:line="360" w:lineRule="exact"/>
              <w:jc w:val="center"/>
              <w:textAlignment w:val="baseline"/>
              <w:rPr>
                <w:b/>
                <w:bCs/>
                <w:sz w:val="21"/>
                <w:szCs w:val="21"/>
              </w:rPr>
            </w:pPr>
            <w:r>
              <w:rPr>
                <w:rFonts w:hint="eastAsia"/>
                <w:b/>
                <w:bCs/>
                <w:sz w:val="21"/>
                <w:szCs w:val="21"/>
              </w:rPr>
              <w:t>评分依据</w:t>
            </w:r>
          </w:p>
        </w:tc>
      </w:tr>
      <w:tr w14:paraId="5D7A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507" w:type="dxa"/>
            <w:vAlign w:val="center"/>
          </w:tcPr>
          <w:p w14:paraId="2191322B">
            <w:pPr>
              <w:widowControl/>
              <w:spacing w:line="360" w:lineRule="exact"/>
              <w:jc w:val="center"/>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650" w:type="dxa"/>
            <w:gridSpan w:val="2"/>
            <w:vAlign w:val="center"/>
          </w:tcPr>
          <w:p w14:paraId="1C4041C3">
            <w:pPr>
              <w:widowControl/>
              <w:spacing w:line="3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企业信用分</w:t>
            </w:r>
          </w:p>
        </w:tc>
        <w:tc>
          <w:tcPr>
            <w:tcW w:w="654" w:type="dxa"/>
            <w:vAlign w:val="center"/>
          </w:tcPr>
          <w:p w14:paraId="24A136D6">
            <w:pPr>
              <w:widowControl/>
              <w:spacing w:line="3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c>
          <w:tcPr>
            <w:tcW w:w="3526" w:type="dxa"/>
            <w:vAlign w:val="center"/>
          </w:tcPr>
          <w:p w14:paraId="268CF5CA">
            <w:pPr>
              <w:widowControl/>
              <w:spacing w:line="360" w:lineRule="exact"/>
              <w:textAlignment w:val="baseline"/>
              <w:rPr>
                <w:rFonts w:hint="eastAsia" w:ascii="宋体" w:hAnsi="宋体" w:eastAsia="宋体" w:cs="宋体"/>
                <w:sz w:val="21"/>
                <w:szCs w:val="21"/>
              </w:rPr>
            </w:pPr>
            <w:r>
              <w:rPr>
                <w:rFonts w:hint="eastAsia" w:ascii="宋体" w:hAnsi="宋体" w:eastAsia="宋体" w:cs="宋体"/>
                <w:sz w:val="21"/>
                <w:szCs w:val="21"/>
              </w:rPr>
              <w:t>企业在上年度获得的省级及以上物业服务企业信用等级计分。信用等级AAA级得</w:t>
            </w:r>
            <w:r>
              <w:rPr>
                <w:rFonts w:hint="eastAsia" w:ascii="宋体" w:hAnsi="宋体" w:eastAsia="宋体" w:cs="宋体"/>
                <w:sz w:val="21"/>
                <w:szCs w:val="21"/>
                <w:lang w:val="en-US" w:eastAsia="zh-CN"/>
              </w:rPr>
              <w:t>3</w:t>
            </w:r>
            <w:r>
              <w:rPr>
                <w:rFonts w:hint="eastAsia" w:ascii="宋体" w:hAnsi="宋体" w:eastAsia="宋体" w:cs="宋体"/>
                <w:sz w:val="21"/>
                <w:szCs w:val="21"/>
              </w:rPr>
              <w:t>分，AA级得</w:t>
            </w:r>
            <w:r>
              <w:rPr>
                <w:rFonts w:hint="eastAsia" w:ascii="宋体" w:hAnsi="宋体" w:eastAsia="宋体" w:cs="宋体"/>
                <w:sz w:val="21"/>
                <w:szCs w:val="21"/>
                <w:lang w:val="en-US" w:eastAsia="zh-CN"/>
              </w:rPr>
              <w:t>2</w:t>
            </w:r>
            <w:r>
              <w:rPr>
                <w:rFonts w:hint="eastAsia" w:ascii="宋体" w:hAnsi="宋体" w:eastAsia="宋体" w:cs="宋体"/>
                <w:sz w:val="21"/>
                <w:szCs w:val="21"/>
              </w:rPr>
              <w:t>分，A级得1分。</w:t>
            </w:r>
          </w:p>
        </w:tc>
        <w:tc>
          <w:tcPr>
            <w:tcW w:w="3590" w:type="dxa"/>
            <w:vAlign w:val="center"/>
          </w:tcPr>
          <w:p w14:paraId="7605FC69">
            <w:pPr>
              <w:widowControl/>
              <w:spacing w:line="360" w:lineRule="exact"/>
              <w:textAlignment w:val="baseline"/>
              <w:rPr>
                <w:rFonts w:hint="eastAsia" w:ascii="宋体" w:hAnsi="宋体" w:eastAsia="宋体" w:cs="宋体"/>
                <w:sz w:val="21"/>
                <w:szCs w:val="21"/>
              </w:rPr>
            </w:pPr>
            <w:r>
              <w:rPr>
                <w:rFonts w:hint="eastAsia" w:ascii="宋体" w:hAnsi="宋体" w:eastAsia="宋体" w:cs="宋体"/>
                <w:sz w:val="21"/>
                <w:szCs w:val="21"/>
              </w:rPr>
              <w:t>信用等级以省级及以上住房和城乡建设厅或第三方机构颁发发布的信用等级结果名单为准。</w:t>
            </w:r>
          </w:p>
        </w:tc>
      </w:tr>
      <w:tr w14:paraId="33A7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507" w:type="dxa"/>
            <w:vAlign w:val="center"/>
          </w:tcPr>
          <w:p w14:paraId="04833BFD">
            <w:pPr>
              <w:widowControl/>
              <w:spacing w:line="360" w:lineRule="exact"/>
              <w:jc w:val="center"/>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1650" w:type="dxa"/>
            <w:gridSpan w:val="2"/>
            <w:vAlign w:val="center"/>
          </w:tcPr>
          <w:p w14:paraId="518B7250">
            <w:pPr>
              <w:widowControl/>
              <w:spacing w:line="360" w:lineRule="exac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财务状况</w:t>
            </w:r>
          </w:p>
        </w:tc>
        <w:tc>
          <w:tcPr>
            <w:tcW w:w="654" w:type="dxa"/>
            <w:vAlign w:val="center"/>
          </w:tcPr>
          <w:p w14:paraId="4FA67E65">
            <w:pPr>
              <w:widowControl/>
              <w:spacing w:line="360" w:lineRule="exac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4分</w:t>
            </w:r>
          </w:p>
        </w:tc>
        <w:tc>
          <w:tcPr>
            <w:tcW w:w="3526" w:type="dxa"/>
            <w:vAlign w:val="center"/>
          </w:tcPr>
          <w:p w14:paraId="72086A7A">
            <w:pPr>
              <w:widowControl/>
              <w:spacing w:line="360" w:lineRule="exact"/>
              <w:textAlignment w:val="baseline"/>
              <w:rPr>
                <w:rFonts w:hint="eastAsia" w:ascii="宋体" w:hAnsi="宋体" w:eastAsia="宋体" w:cs="宋体"/>
                <w:sz w:val="21"/>
                <w:szCs w:val="21"/>
              </w:rPr>
            </w:pPr>
            <w:r>
              <w:rPr>
                <w:rFonts w:hint="eastAsia" w:ascii="宋体" w:hAnsi="宋体" w:eastAsia="宋体" w:cs="宋体"/>
                <w:sz w:val="21"/>
                <w:szCs w:val="21"/>
              </w:rPr>
              <w:t>盈亏情况：提供202</w:t>
            </w:r>
            <w:r>
              <w:rPr>
                <w:rFonts w:hint="eastAsia" w:ascii="宋体" w:hAnsi="宋体" w:eastAsia="宋体" w:cs="宋体"/>
                <w:sz w:val="21"/>
                <w:szCs w:val="21"/>
                <w:lang w:val="en-US" w:eastAsia="zh-CN"/>
              </w:rPr>
              <w:t>2</w:t>
            </w:r>
            <w:r>
              <w:rPr>
                <w:rFonts w:hint="eastAsia" w:ascii="宋体" w:hAnsi="宋体" w:eastAsia="宋体" w:cs="宋体"/>
                <w:sz w:val="21"/>
                <w:szCs w:val="21"/>
              </w:rPr>
              <w:t>年度、202</w:t>
            </w:r>
            <w:r>
              <w:rPr>
                <w:rFonts w:hint="eastAsia" w:ascii="宋体" w:hAnsi="宋体" w:eastAsia="宋体" w:cs="宋体"/>
                <w:sz w:val="21"/>
                <w:szCs w:val="21"/>
                <w:lang w:val="en-US" w:eastAsia="zh-CN"/>
              </w:rPr>
              <w:t>3</w:t>
            </w:r>
            <w:r>
              <w:rPr>
                <w:rFonts w:hint="eastAsia" w:ascii="宋体" w:hAnsi="宋体" w:eastAsia="宋体" w:cs="宋体"/>
                <w:sz w:val="21"/>
                <w:szCs w:val="21"/>
              </w:rPr>
              <w:t>年度、202</w:t>
            </w:r>
            <w:r>
              <w:rPr>
                <w:rFonts w:hint="eastAsia" w:ascii="宋体" w:hAnsi="宋体" w:eastAsia="宋体" w:cs="宋体"/>
                <w:sz w:val="21"/>
                <w:szCs w:val="21"/>
                <w:lang w:val="en-US" w:eastAsia="zh-CN"/>
              </w:rPr>
              <w:t>4</w:t>
            </w:r>
            <w:r>
              <w:rPr>
                <w:rFonts w:hint="eastAsia" w:ascii="宋体" w:hAnsi="宋体" w:eastAsia="宋体" w:cs="宋体"/>
                <w:sz w:val="21"/>
                <w:szCs w:val="21"/>
              </w:rPr>
              <w:t>年度经审计的财务审计报告，</w:t>
            </w:r>
            <w:r>
              <w:rPr>
                <w:rFonts w:hint="eastAsia" w:ascii="宋体" w:hAnsi="宋体" w:eastAsia="宋体" w:cs="宋体"/>
                <w:sz w:val="21"/>
                <w:szCs w:val="21"/>
                <w:lang w:val="en-US" w:eastAsia="zh-CN"/>
              </w:rPr>
              <w:t>其中</w:t>
            </w:r>
            <w:r>
              <w:rPr>
                <w:rFonts w:hint="eastAsia" w:ascii="宋体" w:hAnsi="宋体" w:eastAsia="宋体" w:cs="宋体"/>
                <w:sz w:val="21"/>
                <w:szCs w:val="21"/>
              </w:rPr>
              <w:t>有</w:t>
            </w:r>
            <w:r>
              <w:rPr>
                <w:rFonts w:hint="eastAsia" w:ascii="宋体" w:hAnsi="宋体" w:eastAsia="宋体" w:cs="宋体"/>
                <w:sz w:val="21"/>
                <w:szCs w:val="21"/>
                <w:lang w:val="en-US" w:eastAsia="zh-CN"/>
              </w:rPr>
              <w:t>一年</w:t>
            </w:r>
            <w:r>
              <w:rPr>
                <w:rFonts w:hint="eastAsia" w:ascii="宋体" w:hAnsi="宋体" w:eastAsia="宋体" w:cs="宋体"/>
                <w:sz w:val="21"/>
                <w:szCs w:val="21"/>
              </w:rPr>
              <w:t>年均盈利</w:t>
            </w:r>
            <w:r>
              <w:rPr>
                <w:rFonts w:hint="eastAsia" w:ascii="宋体" w:hAnsi="宋体" w:eastAsia="宋体" w:cs="宋体"/>
                <w:sz w:val="21"/>
                <w:szCs w:val="21"/>
                <w:lang w:val="en-US" w:eastAsia="zh-CN"/>
              </w:rPr>
              <w:t>的得1分，其中两年</w:t>
            </w:r>
            <w:r>
              <w:rPr>
                <w:rFonts w:hint="eastAsia" w:ascii="宋体" w:hAnsi="宋体" w:eastAsia="宋体" w:cs="宋体"/>
                <w:sz w:val="21"/>
                <w:szCs w:val="21"/>
              </w:rPr>
              <w:t>年均盈利</w:t>
            </w:r>
            <w:r>
              <w:rPr>
                <w:rFonts w:hint="eastAsia" w:ascii="宋体" w:hAnsi="宋体" w:eastAsia="宋体" w:cs="宋体"/>
                <w:sz w:val="21"/>
                <w:szCs w:val="21"/>
                <w:lang w:val="en-US" w:eastAsia="zh-CN"/>
              </w:rPr>
              <w:t>的得2分，连续三年</w:t>
            </w:r>
            <w:r>
              <w:rPr>
                <w:rFonts w:hint="eastAsia" w:ascii="宋体" w:hAnsi="宋体" w:eastAsia="宋体" w:cs="宋体"/>
                <w:sz w:val="21"/>
                <w:szCs w:val="21"/>
              </w:rPr>
              <w:t>年均盈利</w:t>
            </w:r>
            <w:r>
              <w:rPr>
                <w:rFonts w:hint="eastAsia" w:ascii="宋体" w:hAnsi="宋体" w:eastAsia="宋体" w:cs="宋体"/>
                <w:sz w:val="21"/>
                <w:szCs w:val="21"/>
                <w:lang w:val="en-US" w:eastAsia="zh-CN"/>
              </w:rPr>
              <w:t>的得4分，无盈利不得分；</w:t>
            </w:r>
          </w:p>
        </w:tc>
        <w:tc>
          <w:tcPr>
            <w:tcW w:w="3590" w:type="dxa"/>
            <w:vAlign w:val="center"/>
          </w:tcPr>
          <w:p w14:paraId="3A914F73">
            <w:pPr>
              <w:widowControl/>
              <w:spacing w:line="360" w:lineRule="exact"/>
              <w:textAlignment w:val="baseline"/>
              <w:rPr>
                <w:rFonts w:hint="eastAsia" w:ascii="宋体" w:hAnsi="宋体" w:eastAsia="宋体" w:cs="宋体"/>
                <w:sz w:val="21"/>
                <w:szCs w:val="21"/>
              </w:rPr>
            </w:pPr>
            <w:r>
              <w:rPr>
                <w:rFonts w:hint="eastAsia" w:ascii="宋体" w:hAnsi="宋体" w:eastAsia="宋体" w:cs="宋体"/>
                <w:sz w:val="21"/>
                <w:szCs w:val="21"/>
              </w:rPr>
              <w:t>提供202</w:t>
            </w:r>
            <w:r>
              <w:rPr>
                <w:rFonts w:hint="eastAsia" w:ascii="宋体" w:hAnsi="宋体" w:eastAsia="宋体" w:cs="宋体"/>
                <w:sz w:val="21"/>
                <w:szCs w:val="21"/>
                <w:lang w:val="en-US" w:eastAsia="zh-CN"/>
              </w:rPr>
              <w:t>2</w:t>
            </w: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年经审计的财务报告复印件及相应证明材料。</w:t>
            </w:r>
          </w:p>
        </w:tc>
      </w:tr>
      <w:tr w14:paraId="5F5B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507" w:type="dxa"/>
            <w:vAlign w:val="center"/>
          </w:tcPr>
          <w:p w14:paraId="3608D637">
            <w:pPr>
              <w:widowControl/>
              <w:spacing w:line="360" w:lineRule="exact"/>
              <w:jc w:val="center"/>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650" w:type="dxa"/>
            <w:gridSpan w:val="2"/>
            <w:vAlign w:val="center"/>
          </w:tcPr>
          <w:p w14:paraId="6E578487">
            <w:pPr>
              <w:widowControl/>
              <w:spacing w:line="3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企业业绩分</w:t>
            </w:r>
          </w:p>
        </w:tc>
        <w:tc>
          <w:tcPr>
            <w:tcW w:w="654" w:type="dxa"/>
            <w:vAlign w:val="center"/>
          </w:tcPr>
          <w:p w14:paraId="037EEE34">
            <w:pPr>
              <w:widowControl/>
              <w:spacing w:line="3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6分</w:t>
            </w:r>
          </w:p>
        </w:tc>
        <w:tc>
          <w:tcPr>
            <w:tcW w:w="3526" w:type="dxa"/>
            <w:vAlign w:val="center"/>
          </w:tcPr>
          <w:p w14:paraId="44BDC651">
            <w:pPr>
              <w:widowControl/>
              <w:spacing w:line="360" w:lineRule="exact"/>
              <w:textAlignment w:val="baseline"/>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kern w:val="0"/>
                <w:sz w:val="21"/>
                <w:szCs w:val="21"/>
              </w:rPr>
              <w:t>自20</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年1月1日以来</w:t>
            </w:r>
            <w:r>
              <w:rPr>
                <w:rFonts w:hint="eastAsia" w:ascii="宋体" w:hAnsi="宋体" w:eastAsia="宋体" w:cs="宋体"/>
                <w:sz w:val="21"/>
                <w:szCs w:val="21"/>
              </w:rPr>
              <w:t>的单个住宅小区管理服务项目合同总建筑面积≥10万平方米的，得2分；最高得6分。</w:t>
            </w:r>
          </w:p>
        </w:tc>
        <w:tc>
          <w:tcPr>
            <w:tcW w:w="3590" w:type="dxa"/>
            <w:vAlign w:val="center"/>
          </w:tcPr>
          <w:p w14:paraId="24D20B91">
            <w:pPr>
              <w:widowControl/>
              <w:spacing w:line="360" w:lineRule="exact"/>
              <w:textAlignment w:val="baseline"/>
              <w:rPr>
                <w:rFonts w:hint="eastAsia" w:ascii="宋体" w:hAnsi="宋体" w:eastAsia="宋体" w:cs="宋体"/>
                <w:sz w:val="21"/>
                <w:szCs w:val="21"/>
              </w:rPr>
            </w:pPr>
            <w:r>
              <w:rPr>
                <w:rFonts w:hint="eastAsia" w:ascii="宋体" w:hAnsi="宋体" w:eastAsia="宋体" w:cs="宋体"/>
                <w:sz w:val="21"/>
                <w:szCs w:val="21"/>
              </w:rPr>
              <w:t>提供合同复印件，合同中无法体现项目规模或服务内容的，不得分。</w:t>
            </w:r>
          </w:p>
        </w:tc>
      </w:tr>
      <w:tr w14:paraId="0067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507" w:type="dxa"/>
            <w:vAlign w:val="center"/>
          </w:tcPr>
          <w:p w14:paraId="6EF44FA6">
            <w:pPr>
              <w:widowControl/>
              <w:spacing w:line="360" w:lineRule="exact"/>
              <w:jc w:val="center"/>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1650" w:type="dxa"/>
            <w:gridSpan w:val="2"/>
            <w:vAlign w:val="center"/>
          </w:tcPr>
          <w:p w14:paraId="15711C3F">
            <w:pPr>
              <w:widowControl/>
              <w:spacing w:line="360" w:lineRule="exac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企业</w:t>
            </w:r>
            <w:r>
              <w:rPr>
                <w:rFonts w:hint="eastAsia" w:ascii="宋体" w:hAnsi="宋体" w:eastAsia="宋体" w:cs="宋体"/>
                <w:sz w:val="21"/>
                <w:szCs w:val="21"/>
                <w:lang w:val="en-US" w:eastAsia="zh-CN"/>
              </w:rPr>
              <w:t>荣誉</w:t>
            </w:r>
          </w:p>
        </w:tc>
        <w:tc>
          <w:tcPr>
            <w:tcW w:w="654" w:type="dxa"/>
            <w:vAlign w:val="center"/>
          </w:tcPr>
          <w:p w14:paraId="39B3A7D1">
            <w:pPr>
              <w:widowControl/>
              <w:spacing w:line="360" w:lineRule="exac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3分</w:t>
            </w:r>
          </w:p>
        </w:tc>
        <w:tc>
          <w:tcPr>
            <w:tcW w:w="3526" w:type="dxa"/>
            <w:vAlign w:val="center"/>
          </w:tcPr>
          <w:p w14:paraId="1B9C4474">
            <w:pPr>
              <w:widowControl/>
              <w:spacing w:line="360" w:lineRule="exact"/>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2020年以来投标人所管理的物业管理项目获得过物业行政主管部门或物业协会颁发的市级及以上物业管理示范小区荣誉的得3分。</w:t>
            </w:r>
          </w:p>
        </w:tc>
        <w:tc>
          <w:tcPr>
            <w:tcW w:w="3590" w:type="dxa"/>
            <w:vAlign w:val="center"/>
          </w:tcPr>
          <w:p w14:paraId="7DB1C723">
            <w:pPr>
              <w:widowControl/>
              <w:spacing w:line="360" w:lineRule="exact"/>
              <w:textAlignment w:val="baseline"/>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val="en-US" w:eastAsia="zh-CN"/>
              </w:rPr>
              <w:t>合同复印件及</w:t>
            </w:r>
            <w:r>
              <w:rPr>
                <w:rFonts w:hint="eastAsia" w:ascii="宋体" w:hAnsi="宋体" w:eastAsia="宋体" w:cs="宋体"/>
                <w:sz w:val="21"/>
                <w:szCs w:val="21"/>
              </w:rPr>
              <w:t>相关证书材料。</w:t>
            </w:r>
          </w:p>
        </w:tc>
      </w:tr>
      <w:tr w14:paraId="0470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8" w:hRule="atLeast"/>
          <w:jc w:val="center"/>
        </w:trPr>
        <w:tc>
          <w:tcPr>
            <w:tcW w:w="507" w:type="dxa"/>
            <w:vAlign w:val="center"/>
          </w:tcPr>
          <w:p w14:paraId="46F094E5">
            <w:pPr>
              <w:widowControl/>
              <w:spacing w:line="360" w:lineRule="exact"/>
              <w:jc w:val="center"/>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650" w:type="dxa"/>
            <w:gridSpan w:val="2"/>
            <w:vAlign w:val="center"/>
          </w:tcPr>
          <w:p w14:paraId="2D44DC80">
            <w:pPr>
              <w:widowControl/>
              <w:spacing w:line="360" w:lineRule="exact"/>
              <w:jc w:val="center"/>
              <w:textAlignment w:val="baseline"/>
              <w:rPr>
                <w:rFonts w:hint="eastAsia" w:ascii="宋体" w:hAnsi="宋体" w:eastAsia="宋体" w:cs="宋体"/>
                <w:sz w:val="21"/>
                <w:szCs w:val="21"/>
              </w:rPr>
            </w:pPr>
          </w:p>
          <w:p w14:paraId="3F3B2EF1">
            <w:pPr>
              <w:pStyle w:val="3"/>
              <w:ind w:firstLine="0"/>
              <w:rPr>
                <w:rFonts w:hint="eastAsia" w:ascii="宋体" w:hAnsi="宋体" w:eastAsia="宋体" w:cs="宋体"/>
                <w:sz w:val="21"/>
                <w:szCs w:val="21"/>
              </w:rPr>
            </w:pPr>
            <w:r>
              <w:rPr>
                <w:rFonts w:hint="eastAsia" w:ascii="宋体" w:hAnsi="宋体" w:eastAsia="宋体" w:cs="宋体"/>
                <w:sz w:val="21"/>
                <w:szCs w:val="21"/>
              </w:rPr>
              <w:t>体系认证证书</w:t>
            </w:r>
          </w:p>
          <w:p w14:paraId="3CDDF6A7">
            <w:pPr>
              <w:rPr>
                <w:rFonts w:hint="eastAsia" w:ascii="宋体" w:hAnsi="宋体" w:eastAsia="宋体" w:cs="宋体"/>
                <w:szCs w:val="21"/>
              </w:rPr>
            </w:pPr>
          </w:p>
        </w:tc>
        <w:tc>
          <w:tcPr>
            <w:tcW w:w="654" w:type="dxa"/>
            <w:vAlign w:val="center"/>
          </w:tcPr>
          <w:p w14:paraId="10EBB943">
            <w:pPr>
              <w:widowControl/>
              <w:spacing w:line="3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3分</w:t>
            </w:r>
          </w:p>
        </w:tc>
        <w:tc>
          <w:tcPr>
            <w:tcW w:w="3526" w:type="dxa"/>
            <w:vAlign w:val="center"/>
          </w:tcPr>
          <w:p w14:paraId="422507D7">
            <w:pPr>
              <w:widowControl/>
              <w:jc w:val="left"/>
              <w:rPr>
                <w:rFonts w:hint="eastAsia" w:ascii="宋体" w:hAnsi="宋体" w:eastAsia="宋体" w:cs="宋体"/>
                <w:sz w:val="21"/>
                <w:szCs w:val="21"/>
              </w:rPr>
            </w:pPr>
            <w:r>
              <w:rPr>
                <w:rFonts w:hint="eastAsia" w:ascii="宋体" w:hAnsi="宋体" w:eastAsia="宋体" w:cs="宋体"/>
                <w:sz w:val="21"/>
                <w:szCs w:val="21"/>
              </w:rPr>
              <w:t>投标人通过ISO9001质量管理体系认证、ISO45001职业健康及安全体系认证、ISO14001环境管理体系认证，并获得有效证书的每项得1分，最高得3分。</w:t>
            </w:r>
          </w:p>
        </w:tc>
        <w:tc>
          <w:tcPr>
            <w:tcW w:w="3590" w:type="dxa"/>
            <w:vAlign w:val="center"/>
          </w:tcPr>
          <w:p w14:paraId="41531FB5">
            <w:pPr>
              <w:spacing w:line="420" w:lineRule="exact"/>
              <w:jc w:val="left"/>
              <w:rPr>
                <w:rFonts w:hint="eastAsia" w:ascii="宋体" w:hAnsi="宋体" w:eastAsia="宋体" w:cs="宋体"/>
                <w:sz w:val="21"/>
                <w:szCs w:val="21"/>
              </w:rPr>
            </w:pPr>
            <w:r>
              <w:rPr>
                <w:rFonts w:hint="eastAsia" w:ascii="宋体" w:hAnsi="宋体" w:eastAsia="宋体" w:cs="宋体"/>
                <w:sz w:val="21"/>
                <w:szCs w:val="21"/>
              </w:rPr>
              <w:t>提供证书须由通过中国国家认证认可监督管理委员会备案通过的认证机构颁发且在全国认证认可信息公共服务平台（www.cnca.gov.cn）可查询。须提供认证证书的扫描件和网页截图，否则不得分）</w:t>
            </w:r>
          </w:p>
        </w:tc>
      </w:tr>
      <w:tr w14:paraId="0310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507" w:type="dxa"/>
            <w:vAlign w:val="center"/>
          </w:tcPr>
          <w:p w14:paraId="24AFC5B2">
            <w:pPr>
              <w:widowControl/>
              <w:spacing w:line="360" w:lineRule="exact"/>
              <w:jc w:val="center"/>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555" w:type="dxa"/>
            <w:vAlign w:val="center"/>
          </w:tcPr>
          <w:p w14:paraId="703657CC">
            <w:pPr>
              <w:rPr>
                <w:rFonts w:hint="eastAsia" w:ascii="宋体" w:hAnsi="宋体" w:eastAsia="宋体" w:cs="宋体"/>
                <w:sz w:val="21"/>
                <w:szCs w:val="21"/>
              </w:rPr>
            </w:pPr>
            <w:r>
              <w:rPr>
                <w:rFonts w:hint="eastAsia" w:ascii="宋体" w:hAnsi="宋体" w:eastAsia="宋体" w:cs="宋体"/>
                <w:sz w:val="21"/>
                <w:szCs w:val="21"/>
              </w:rPr>
              <w:t>人力资源</w:t>
            </w:r>
          </w:p>
        </w:tc>
        <w:tc>
          <w:tcPr>
            <w:tcW w:w="1095" w:type="dxa"/>
            <w:vAlign w:val="center"/>
          </w:tcPr>
          <w:p w14:paraId="1E43B86A">
            <w:pPr>
              <w:rPr>
                <w:rFonts w:hint="eastAsia" w:ascii="宋体" w:hAnsi="宋体" w:eastAsia="宋体" w:cs="宋体"/>
                <w:sz w:val="21"/>
                <w:szCs w:val="21"/>
              </w:rPr>
            </w:pPr>
            <w:r>
              <w:rPr>
                <w:rFonts w:hint="eastAsia" w:ascii="宋体" w:hAnsi="宋体" w:eastAsia="宋体" w:cs="宋体"/>
                <w:sz w:val="21"/>
                <w:szCs w:val="21"/>
              </w:rPr>
              <w:t>项目经理</w:t>
            </w:r>
          </w:p>
        </w:tc>
        <w:tc>
          <w:tcPr>
            <w:tcW w:w="654" w:type="dxa"/>
            <w:vAlign w:val="center"/>
          </w:tcPr>
          <w:p w14:paraId="5E8638B5">
            <w:pPr>
              <w:widowControl/>
              <w:spacing w:line="3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6分</w:t>
            </w:r>
          </w:p>
        </w:tc>
        <w:tc>
          <w:tcPr>
            <w:tcW w:w="3526" w:type="dxa"/>
            <w:vAlign w:val="center"/>
          </w:tcPr>
          <w:p w14:paraId="2B5234DF">
            <w:pPr>
              <w:widowControl/>
              <w:spacing w:line="360" w:lineRule="exact"/>
              <w:jc w:val="left"/>
              <w:textAlignment w:val="baseline"/>
              <w:rPr>
                <w:rFonts w:hint="eastAsia" w:ascii="宋体" w:hAnsi="宋体" w:eastAsia="宋体" w:cs="宋体"/>
                <w:sz w:val="21"/>
                <w:szCs w:val="21"/>
              </w:rPr>
            </w:pPr>
            <w:r>
              <w:rPr>
                <w:rFonts w:hint="eastAsia" w:ascii="宋体" w:hAnsi="宋体" w:eastAsia="宋体" w:cs="宋体"/>
                <w:sz w:val="21"/>
                <w:szCs w:val="21"/>
              </w:rPr>
              <w:t>担任项目经理的</w:t>
            </w:r>
            <w:r>
              <w:rPr>
                <w:rFonts w:hint="eastAsia" w:ascii="宋体" w:hAnsi="宋体" w:eastAsia="宋体" w:cs="宋体"/>
                <w:sz w:val="21"/>
                <w:szCs w:val="21"/>
                <w:lang w:val="en-US" w:eastAsia="zh-CN"/>
              </w:rPr>
              <w:t>物业管理项目获得过物业行政主管部门或物业协会颁发的市级及以上物业管理示范小区荣誉的一个业绩</w:t>
            </w:r>
            <w:r>
              <w:rPr>
                <w:rFonts w:hint="eastAsia" w:ascii="宋体" w:hAnsi="宋体" w:eastAsia="宋体" w:cs="宋体"/>
                <w:sz w:val="21"/>
                <w:szCs w:val="21"/>
              </w:rPr>
              <w:t>得2分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最高得6分</w:t>
            </w:r>
            <w:r>
              <w:rPr>
                <w:rFonts w:hint="eastAsia" w:ascii="宋体" w:hAnsi="宋体" w:eastAsia="宋体" w:cs="宋体"/>
                <w:sz w:val="21"/>
                <w:szCs w:val="21"/>
              </w:rPr>
              <w:t>。</w:t>
            </w:r>
          </w:p>
          <w:p w14:paraId="3A5E871C">
            <w:pPr>
              <w:widowControl/>
              <w:jc w:val="left"/>
              <w:rPr>
                <w:rFonts w:hint="eastAsia" w:ascii="宋体" w:hAnsi="宋体" w:eastAsia="宋体" w:cs="宋体"/>
                <w:sz w:val="21"/>
                <w:szCs w:val="21"/>
              </w:rPr>
            </w:pPr>
          </w:p>
        </w:tc>
        <w:tc>
          <w:tcPr>
            <w:tcW w:w="3590" w:type="dxa"/>
            <w:vAlign w:val="center"/>
          </w:tcPr>
          <w:p w14:paraId="52860CE2">
            <w:pPr>
              <w:pStyle w:val="12"/>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kern w:val="2"/>
                <w:sz w:val="21"/>
                <w:szCs w:val="21"/>
              </w:rPr>
              <w:t>提供</w:t>
            </w:r>
            <w:r>
              <w:rPr>
                <w:rFonts w:hint="eastAsia" w:ascii="宋体" w:hAnsi="宋体" w:eastAsia="宋体" w:cs="宋体"/>
                <w:color w:val="auto"/>
                <w:kern w:val="2"/>
                <w:sz w:val="21"/>
                <w:szCs w:val="21"/>
                <w:lang w:val="en-US" w:eastAsia="zh-CN"/>
              </w:rPr>
              <w:t>合同复印件及相关</w:t>
            </w:r>
            <w:r>
              <w:rPr>
                <w:rFonts w:hint="eastAsia" w:ascii="宋体" w:hAnsi="宋体" w:eastAsia="宋体" w:cs="宋体"/>
                <w:color w:val="auto"/>
                <w:kern w:val="2"/>
                <w:sz w:val="21"/>
                <w:szCs w:val="21"/>
              </w:rPr>
              <w:t>证书材料。注：</w:t>
            </w:r>
            <w:r>
              <w:rPr>
                <w:rFonts w:hint="eastAsia" w:ascii="宋体" w:hAnsi="宋体" w:eastAsia="宋体" w:cs="宋体"/>
                <w:color w:val="auto"/>
                <w:kern w:val="2"/>
                <w:sz w:val="21"/>
                <w:szCs w:val="21"/>
                <w:highlight w:val="none"/>
              </w:rPr>
              <w:t>（必须提供在本单位</w:t>
            </w:r>
            <w:r>
              <w:rPr>
                <w:rFonts w:hint="eastAsia" w:ascii="宋体" w:hAnsi="宋体" w:eastAsia="宋体" w:cs="宋体"/>
                <w:color w:val="auto"/>
                <w:kern w:val="2"/>
                <w:sz w:val="21"/>
                <w:szCs w:val="21"/>
                <w:highlight w:val="none"/>
                <w:lang w:val="en-US" w:eastAsia="zh-CN"/>
              </w:rPr>
              <w:t>近一个月的</w:t>
            </w:r>
            <w:r>
              <w:rPr>
                <w:rFonts w:hint="eastAsia" w:ascii="宋体" w:hAnsi="宋体" w:eastAsia="宋体" w:cs="宋体"/>
                <w:color w:val="auto"/>
                <w:kern w:val="2"/>
                <w:sz w:val="21"/>
                <w:szCs w:val="21"/>
                <w:highlight w:val="none"/>
              </w:rPr>
              <w:t>社保证明，否则不得分）</w:t>
            </w:r>
          </w:p>
        </w:tc>
      </w:tr>
    </w:tbl>
    <w:p w14:paraId="71FC9EEC">
      <w:pPr>
        <w:widowControl/>
        <w:spacing w:line="360" w:lineRule="exact"/>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注：上述评分内容， 缺项的不得分。</w:t>
      </w:r>
    </w:p>
    <w:p w14:paraId="2F2251CB">
      <w:pPr>
        <w:widowControl/>
        <w:spacing w:line="360" w:lineRule="exact"/>
        <w:ind w:firstLine="482" w:firstLineChars="200"/>
        <w:textAlignment w:val="baseline"/>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（二）投标文件的技术评审(</w:t>
      </w:r>
      <w:r>
        <w:rPr>
          <w:rFonts w:hint="eastAsia"/>
          <w:b/>
          <w:bCs/>
          <w:color w:val="000000" w:themeColor="text1"/>
          <w:sz w:val="24"/>
          <w:lang w:val="en-US" w:eastAsia="zh-CN"/>
          <w14:textFill>
            <w14:solidFill>
              <w14:schemeClr w14:val="tx1"/>
            </w14:solidFill>
          </w14:textFill>
        </w:rPr>
        <w:t>60</w:t>
      </w:r>
      <w:r>
        <w:rPr>
          <w:rFonts w:hint="eastAsia"/>
          <w:b/>
          <w:bCs/>
          <w:color w:val="000000" w:themeColor="text1"/>
          <w:sz w:val="24"/>
          <w14:textFill>
            <w14:solidFill>
              <w14:schemeClr w14:val="tx1"/>
            </w14:solidFill>
          </w14:textFill>
        </w:rPr>
        <w:t>分)：</w:t>
      </w:r>
    </w:p>
    <w:p w14:paraId="3515C0D4">
      <w:pPr>
        <w:spacing w:line="360" w:lineRule="exact"/>
        <w:ind w:firstLine="480" w:firstLineChars="200"/>
        <w:rPr>
          <w:b/>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标委员会根据各投标人的技术标的物业项目整体服务策划与管理目标，项目组织实施方案、物业服务重难点分析及解决措施、具体实施方案、内部考核制度、应急措施方案、服务质量承诺等内容，并视其科学性、合理性、创新性、针对性、可行性和完善性程度分别进行综合评审。每一单项经集体充分讨论后，由评标委员会成员有记名形式分别打分，汇总各评分分值后取算术平均分作为该投标人的分数。</w:t>
      </w:r>
    </w:p>
    <w:p w14:paraId="1D683618">
      <w:pPr>
        <w:widowControl/>
        <w:spacing w:line="360" w:lineRule="exact"/>
        <w:ind w:right="-514" w:rightChars="-245" w:firstLine="2643" w:firstLineChars="1097"/>
        <w:textAlignment w:val="baseline"/>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技术标评分分值设定及评分细则</w:t>
      </w:r>
    </w:p>
    <w:tbl>
      <w:tblPr>
        <w:tblStyle w:val="13"/>
        <w:tblpPr w:leftFromText="180" w:rightFromText="180" w:vertAnchor="text" w:horzAnchor="page" w:tblpX="1426" w:tblpY="359"/>
        <w:tblOverlap w:val="never"/>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353"/>
        <w:gridCol w:w="1036"/>
        <w:gridCol w:w="5705"/>
      </w:tblGrid>
      <w:tr w14:paraId="0C58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0" w:type="dxa"/>
            <w:noWrap w:val="0"/>
            <w:vAlign w:val="center"/>
          </w:tcPr>
          <w:p w14:paraId="24A5DCD3">
            <w:pPr>
              <w:widowControl/>
              <w:spacing w:line="340" w:lineRule="exact"/>
              <w:jc w:val="center"/>
              <w:rPr>
                <w:rFonts w:ascii="宋体" w:hAnsi="宋体" w:cs="Arial"/>
                <w:b/>
                <w:color w:val="000000"/>
                <w:kern w:val="0"/>
                <w:szCs w:val="21"/>
              </w:rPr>
            </w:pPr>
            <w:r>
              <w:rPr>
                <w:rFonts w:hint="eastAsia" w:ascii="宋体" w:hAnsi="宋体" w:cs="Arial"/>
                <w:b/>
                <w:color w:val="000000"/>
                <w:kern w:val="0"/>
                <w:szCs w:val="21"/>
              </w:rPr>
              <w:t>项目</w:t>
            </w:r>
          </w:p>
        </w:tc>
        <w:tc>
          <w:tcPr>
            <w:tcW w:w="2353" w:type="dxa"/>
            <w:noWrap w:val="0"/>
            <w:vAlign w:val="center"/>
          </w:tcPr>
          <w:p w14:paraId="70F6B45E">
            <w:pPr>
              <w:widowControl/>
              <w:spacing w:line="340" w:lineRule="exact"/>
              <w:jc w:val="center"/>
              <w:rPr>
                <w:rFonts w:ascii="宋体" w:hAnsi="宋体" w:cs="Arial"/>
                <w:b/>
                <w:color w:val="000000"/>
                <w:kern w:val="0"/>
                <w:szCs w:val="21"/>
              </w:rPr>
            </w:pPr>
            <w:r>
              <w:rPr>
                <w:rFonts w:hint="eastAsia" w:ascii="宋体" w:hAnsi="宋体" w:cs="Arial"/>
                <w:b/>
                <w:color w:val="000000"/>
                <w:kern w:val="0"/>
                <w:szCs w:val="21"/>
              </w:rPr>
              <w:t>评分内容</w:t>
            </w:r>
          </w:p>
        </w:tc>
        <w:tc>
          <w:tcPr>
            <w:tcW w:w="1036" w:type="dxa"/>
            <w:noWrap w:val="0"/>
            <w:vAlign w:val="center"/>
          </w:tcPr>
          <w:p w14:paraId="0F113B66">
            <w:pPr>
              <w:widowControl/>
              <w:spacing w:line="340" w:lineRule="exact"/>
              <w:jc w:val="center"/>
              <w:rPr>
                <w:rFonts w:ascii="宋体" w:hAnsi="宋体" w:cs="Arial"/>
                <w:b/>
                <w:color w:val="000000"/>
                <w:kern w:val="0"/>
                <w:szCs w:val="21"/>
              </w:rPr>
            </w:pPr>
            <w:r>
              <w:rPr>
                <w:rFonts w:hint="eastAsia" w:ascii="宋体" w:hAnsi="宋体" w:cs="Arial"/>
                <w:b/>
                <w:color w:val="000000"/>
                <w:kern w:val="0"/>
                <w:szCs w:val="21"/>
              </w:rPr>
              <w:t>分值（分）</w:t>
            </w:r>
          </w:p>
        </w:tc>
        <w:tc>
          <w:tcPr>
            <w:tcW w:w="5705" w:type="dxa"/>
            <w:noWrap w:val="0"/>
            <w:vAlign w:val="center"/>
          </w:tcPr>
          <w:p w14:paraId="4100F13D">
            <w:pPr>
              <w:widowControl/>
              <w:spacing w:line="340" w:lineRule="exact"/>
              <w:jc w:val="center"/>
              <w:rPr>
                <w:rFonts w:ascii="宋体" w:hAnsi="宋体" w:cs="Arial"/>
                <w:b/>
                <w:color w:val="000000"/>
                <w:kern w:val="0"/>
                <w:szCs w:val="21"/>
              </w:rPr>
            </w:pPr>
            <w:r>
              <w:rPr>
                <w:rFonts w:hint="eastAsia" w:ascii="宋体" w:hAnsi="宋体" w:cs="Arial"/>
                <w:b/>
                <w:color w:val="000000"/>
                <w:kern w:val="0"/>
                <w:szCs w:val="21"/>
              </w:rPr>
              <w:t>评分标准说明</w:t>
            </w:r>
          </w:p>
        </w:tc>
      </w:tr>
      <w:tr w14:paraId="7B15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40" w:type="dxa"/>
            <w:vMerge w:val="restart"/>
            <w:noWrap w:val="0"/>
            <w:vAlign w:val="center"/>
          </w:tcPr>
          <w:p w14:paraId="7A08DE0E">
            <w:pPr>
              <w:spacing w:line="340" w:lineRule="exact"/>
              <w:jc w:val="center"/>
              <w:rPr>
                <w:rFonts w:hint="eastAsia" w:ascii="宋体" w:hAnsi="宋体" w:eastAsia="宋体" w:cs="Arial"/>
                <w:color w:val="000000"/>
                <w:kern w:val="0"/>
                <w:szCs w:val="21"/>
                <w:lang w:eastAsia="zh-CN"/>
              </w:rPr>
            </w:pPr>
            <w:r>
              <w:rPr>
                <w:rFonts w:hint="eastAsia" w:ascii="宋体" w:hAnsi="宋体" w:cs="Arial"/>
                <w:color w:val="000000"/>
                <w:kern w:val="0"/>
                <w:szCs w:val="21"/>
                <w:lang w:val="en-US" w:eastAsia="zh-CN"/>
              </w:rPr>
              <w:t>1</w:t>
            </w:r>
          </w:p>
        </w:tc>
        <w:tc>
          <w:tcPr>
            <w:tcW w:w="2353" w:type="dxa"/>
            <w:vMerge w:val="restart"/>
            <w:noWrap w:val="0"/>
            <w:vAlign w:val="center"/>
          </w:tcPr>
          <w:p w14:paraId="53E2D6C2">
            <w:pPr>
              <w:widowControl/>
              <w:spacing w:line="340" w:lineRule="exact"/>
              <w:rPr>
                <w:rFonts w:hint="eastAsia"/>
                <w:color w:val="000000"/>
                <w:szCs w:val="21"/>
                <w:lang w:val="zh-CN"/>
              </w:rPr>
            </w:pPr>
            <w:r>
              <w:rPr>
                <w:rFonts w:hint="eastAsia"/>
                <w:szCs w:val="21"/>
                <w:lang w:val="zh-CN"/>
              </w:rPr>
              <w:t>根据投标人对物业项</w:t>
            </w:r>
            <w:r>
              <w:rPr>
                <w:rFonts w:hint="eastAsia"/>
                <w:szCs w:val="21"/>
              </w:rPr>
              <w:t>目</w:t>
            </w:r>
            <w:r>
              <w:rPr>
                <w:rFonts w:hint="eastAsia"/>
                <w:szCs w:val="21"/>
                <w:lang w:val="zh-CN"/>
              </w:rPr>
              <w:t>的理解、项目组织机架及管理制度、拟定的项目管理设想、服务定位、策化以及人员、设备配备投入情况，</w:t>
            </w:r>
            <w:r>
              <w:rPr>
                <w:rFonts w:hint="eastAsia"/>
                <w:color w:val="000000"/>
                <w:szCs w:val="21"/>
                <w:lang w:val="zh-CN"/>
              </w:rPr>
              <w:t>服务承诺等进行评比打分。</w:t>
            </w:r>
          </w:p>
          <w:p w14:paraId="016FCF7C">
            <w:pPr>
              <w:widowControl/>
              <w:spacing w:line="340" w:lineRule="exact"/>
              <w:rPr>
                <w:rFonts w:ascii="宋体" w:hAnsi="宋体" w:cs="Arial"/>
                <w:b/>
                <w:color w:val="000000"/>
                <w:kern w:val="0"/>
                <w:szCs w:val="21"/>
              </w:rPr>
            </w:pPr>
            <w:r>
              <w:rPr>
                <w:rFonts w:hint="eastAsia" w:ascii="宋体" w:hAnsi="宋体"/>
                <w:color w:val="000000"/>
                <w:szCs w:val="21"/>
              </w:rPr>
              <w:t>（</w:t>
            </w:r>
            <w:r>
              <w:rPr>
                <w:rFonts w:hint="eastAsia" w:ascii="宋体" w:hAnsi="宋体"/>
                <w:color w:val="000000"/>
                <w:szCs w:val="21"/>
                <w:lang w:val="en-US" w:eastAsia="zh-CN"/>
              </w:rPr>
              <w:t>18</w:t>
            </w:r>
            <w:r>
              <w:rPr>
                <w:rFonts w:hint="eastAsia" w:ascii="宋体" w:hAnsi="宋体"/>
                <w:color w:val="000000"/>
                <w:szCs w:val="21"/>
              </w:rPr>
              <w:t>分）</w:t>
            </w:r>
          </w:p>
        </w:tc>
        <w:tc>
          <w:tcPr>
            <w:tcW w:w="1036" w:type="dxa"/>
            <w:noWrap w:val="0"/>
            <w:vAlign w:val="center"/>
          </w:tcPr>
          <w:p w14:paraId="08E6750C">
            <w:pPr>
              <w:widowControl/>
              <w:spacing w:line="340" w:lineRule="exact"/>
              <w:jc w:val="center"/>
              <w:rPr>
                <w:rFonts w:hint="eastAsia" w:ascii="宋体" w:hAnsi="宋体" w:eastAsia="宋体" w:cs="Arial"/>
                <w:color w:val="000000"/>
                <w:kern w:val="0"/>
                <w:szCs w:val="21"/>
                <w:lang w:eastAsia="zh-CN"/>
              </w:rPr>
            </w:pPr>
            <w:r>
              <w:rPr>
                <w:rFonts w:hint="eastAsia" w:ascii="宋体" w:hAnsi="宋体" w:cs="Arial"/>
                <w:color w:val="000000"/>
                <w:kern w:val="0"/>
                <w:szCs w:val="21"/>
              </w:rPr>
              <w:t>0-</w:t>
            </w:r>
            <w:r>
              <w:rPr>
                <w:rFonts w:hint="eastAsia" w:ascii="宋体" w:hAnsi="宋体" w:cs="Arial"/>
                <w:color w:val="000000"/>
                <w:kern w:val="0"/>
                <w:szCs w:val="21"/>
                <w:lang w:val="en-US" w:eastAsia="zh-CN"/>
              </w:rPr>
              <w:t>6</w:t>
            </w:r>
          </w:p>
        </w:tc>
        <w:tc>
          <w:tcPr>
            <w:tcW w:w="5705" w:type="dxa"/>
            <w:noWrap w:val="0"/>
            <w:vAlign w:val="center"/>
          </w:tcPr>
          <w:p w14:paraId="1B41AE26">
            <w:pPr>
              <w:widowControl/>
              <w:spacing w:line="340" w:lineRule="exact"/>
              <w:rPr>
                <w:rFonts w:ascii="宋体" w:hAnsi="宋体" w:cs="Arial"/>
                <w:color w:val="000000"/>
                <w:szCs w:val="21"/>
              </w:rPr>
            </w:pPr>
            <w:r>
              <w:rPr>
                <w:rFonts w:hint="eastAsia" w:ascii="宋体" w:hAnsi="宋体"/>
                <w:color w:val="000000"/>
                <w:szCs w:val="21"/>
                <w:lang w:val="zh-CN"/>
              </w:rPr>
              <w:t>项目管理的初步设想、服务定位及策化、服务理念新颖，</w:t>
            </w:r>
            <w:r>
              <w:rPr>
                <w:rFonts w:hint="eastAsia" w:ascii="宋体" w:hAnsi="宋体"/>
                <w:color w:val="000000"/>
                <w:szCs w:val="21"/>
              </w:rPr>
              <w:t>是</w:t>
            </w:r>
            <w:r>
              <w:rPr>
                <w:rFonts w:hint="eastAsia" w:ascii="宋体" w:hAnsi="宋体"/>
                <w:color w:val="000000"/>
                <w:szCs w:val="21"/>
                <w:lang w:val="zh-CN"/>
              </w:rPr>
              <w:t>否具备可操作性：</w:t>
            </w:r>
            <w:r>
              <w:rPr>
                <w:rFonts w:hint="eastAsia" w:ascii="宋体" w:hAnsi="宋体"/>
                <w:color w:val="000000"/>
                <w:szCs w:val="21"/>
              </w:rPr>
              <w:t>一类得</w:t>
            </w:r>
            <w:r>
              <w:rPr>
                <w:rFonts w:hint="eastAsia" w:ascii="宋体" w:hAnsi="宋体" w:cs="Arial"/>
                <w:color w:val="000000"/>
                <w:kern w:val="0"/>
                <w:szCs w:val="21"/>
                <w:lang w:val="en-US" w:eastAsia="zh-CN"/>
              </w:rPr>
              <w:t>6</w:t>
            </w:r>
            <w:r>
              <w:rPr>
                <w:rFonts w:hint="eastAsia" w:ascii="宋体" w:hAnsi="宋体" w:cs="Arial"/>
                <w:color w:val="000000"/>
                <w:kern w:val="0"/>
                <w:szCs w:val="21"/>
              </w:rPr>
              <w:t>.0-4.0分，</w:t>
            </w:r>
            <w:r>
              <w:rPr>
                <w:rFonts w:hint="eastAsia" w:ascii="宋体" w:hAnsi="宋体"/>
                <w:color w:val="000000"/>
                <w:szCs w:val="21"/>
              </w:rPr>
              <w:t>二类</w:t>
            </w:r>
            <w:r>
              <w:rPr>
                <w:rFonts w:hint="eastAsia" w:ascii="宋体" w:hAnsi="宋体" w:cs="Arial"/>
                <w:color w:val="000000"/>
                <w:kern w:val="0"/>
                <w:szCs w:val="21"/>
              </w:rPr>
              <w:t>得3.9-1.7分，</w:t>
            </w:r>
            <w:r>
              <w:rPr>
                <w:rFonts w:hint="eastAsia" w:ascii="宋体" w:hAnsi="宋体"/>
                <w:color w:val="000000"/>
                <w:szCs w:val="21"/>
              </w:rPr>
              <w:t>三类</w:t>
            </w:r>
            <w:r>
              <w:rPr>
                <w:rFonts w:hint="eastAsia" w:ascii="宋体" w:hAnsi="宋体" w:cs="Arial"/>
                <w:color w:val="000000"/>
                <w:kern w:val="0"/>
                <w:szCs w:val="21"/>
              </w:rPr>
              <w:t>得1.6-0分</w:t>
            </w:r>
            <w:r>
              <w:rPr>
                <w:rFonts w:hint="eastAsia" w:ascii="宋体" w:hAnsi="宋体"/>
                <w:color w:val="000000"/>
                <w:szCs w:val="21"/>
              </w:rPr>
              <w:t>。</w:t>
            </w:r>
          </w:p>
        </w:tc>
      </w:tr>
      <w:tr w14:paraId="2CA5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40" w:type="dxa"/>
            <w:vMerge w:val="continue"/>
            <w:noWrap w:val="0"/>
            <w:vAlign w:val="center"/>
          </w:tcPr>
          <w:p w14:paraId="7FB4F038">
            <w:pPr>
              <w:spacing w:line="340" w:lineRule="exact"/>
              <w:jc w:val="center"/>
              <w:rPr>
                <w:rFonts w:hint="eastAsia" w:ascii="宋体" w:hAnsi="宋体" w:cs="Arial"/>
                <w:color w:val="000000"/>
                <w:kern w:val="0"/>
                <w:szCs w:val="21"/>
              </w:rPr>
            </w:pPr>
          </w:p>
        </w:tc>
        <w:tc>
          <w:tcPr>
            <w:tcW w:w="2353" w:type="dxa"/>
            <w:vMerge w:val="continue"/>
            <w:noWrap w:val="0"/>
            <w:vAlign w:val="center"/>
          </w:tcPr>
          <w:p w14:paraId="4AC76738">
            <w:pPr>
              <w:widowControl/>
              <w:spacing w:line="340" w:lineRule="exact"/>
              <w:rPr>
                <w:rFonts w:hint="eastAsia"/>
                <w:szCs w:val="21"/>
                <w:lang w:val="zh-CN"/>
              </w:rPr>
            </w:pPr>
          </w:p>
        </w:tc>
        <w:tc>
          <w:tcPr>
            <w:tcW w:w="1036" w:type="dxa"/>
            <w:noWrap w:val="0"/>
            <w:vAlign w:val="center"/>
          </w:tcPr>
          <w:p w14:paraId="5EE8A50A">
            <w:pPr>
              <w:jc w:val="center"/>
              <w:rPr>
                <w:rFonts w:hint="eastAsia" w:eastAsia="宋体"/>
                <w:lang w:eastAsia="zh-CN"/>
              </w:rPr>
            </w:pPr>
            <w:r>
              <w:rPr>
                <w:rFonts w:hint="eastAsia" w:ascii="宋体" w:hAnsi="宋体" w:cs="Arial"/>
                <w:color w:val="000000"/>
                <w:kern w:val="0"/>
                <w:szCs w:val="21"/>
              </w:rPr>
              <w:t>0-</w:t>
            </w:r>
            <w:r>
              <w:rPr>
                <w:rFonts w:hint="eastAsia" w:ascii="宋体" w:hAnsi="宋体" w:cs="Arial"/>
                <w:color w:val="000000"/>
                <w:kern w:val="0"/>
                <w:szCs w:val="21"/>
                <w:lang w:val="en-US" w:eastAsia="zh-CN"/>
              </w:rPr>
              <w:t>4</w:t>
            </w:r>
          </w:p>
        </w:tc>
        <w:tc>
          <w:tcPr>
            <w:tcW w:w="5705" w:type="dxa"/>
            <w:noWrap w:val="0"/>
            <w:vAlign w:val="center"/>
          </w:tcPr>
          <w:p w14:paraId="78520D02">
            <w:pPr>
              <w:rPr>
                <w:rFonts w:hint="eastAsia"/>
                <w:lang w:val="zh-CN"/>
              </w:rPr>
            </w:pPr>
            <w:r>
              <w:rPr>
                <w:rFonts w:hint="eastAsia"/>
              </w:rPr>
              <w:t>组织机构及管理制度是否全面、细致，是否具备可操作性：一类</w:t>
            </w:r>
            <w:r>
              <w:rPr>
                <w:rFonts w:hint="eastAsia" w:ascii="宋体" w:hAnsi="宋体" w:cs="Arial"/>
                <w:color w:val="000000"/>
                <w:kern w:val="0"/>
                <w:szCs w:val="21"/>
              </w:rPr>
              <w:t>得</w:t>
            </w:r>
            <w:r>
              <w:rPr>
                <w:rFonts w:hint="eastAsia" w:ascii="宋体" w:hAnsi="宋体" w:cs="Arial"/>
                <w:color w:val="000000"/>
                <w:kern w:val="0"/>
                <w:szCs w:val="21"/>
                <w:lang w:val="en-US" w:eastAsia="zh-CN"/>
              </w:rPr>
              <w:t>4</w:t>
            </w:r>
            <w:r>
              <w:rPr>
                <w:rFonts w:hint="eastAsia" w:ascii="宋体" w:hAnsi="宋体" w:cs="Arial"/>
                <w:color w:val="000000"/>
                <w:kern w:val="0"/>
                <w:szCs w:val="21"/>
              </w:rPr>
              <w:t>-</w:t>
            </w:r>
            <w:r>
              <w:rPr>
                <w:rFonts w:hint="eastAsia" w:ascii="宋体" w:hAnsi="宋体" w:cs="Arial"/>
                <w:color w:val="000000"/>
                <w:kern w:val="0"/>
                <w:szCs w:val="21"/>
                <w:lang w:val="en-US" w:eastAsia="zh-CN"/>
              </w:rPr>
              <w:t>2.6</w:t>
            </w:r>
            <w:r>
              <w:rPr>
                <w:rFonts w:hint="eastAsia" w:ascii="宋体" w:hAnsi="宋体" w:cs="Arial"/>
                <w:color w:val="000000"/>
                <w:kern w:val="0"/>
                <w:szCs w:val="21"/>
              </w:rPr>
              <w:t>分，二类得</w:t>
            </w:r>
            <w:r>
              <w:rPr>
                <w:rFonts w:hint="eastAsia" w:ascii="宋体" w:hAnsi="宋体" w:cs="Arial"/>
                <w:color w:val="000000"/>
                <w:kern w:val="0"/>
                <w:szCs w:val="21"/>
                <w:lang w:val="en-US" w:eastAsia="zh-CN"/>
              </w:rPr>
              <w:t>2.5</w:t>
            </w:r>
            <w:r>
              <w:rPr>
                <w:rFonts w:hint="eastAsia" w:ascii="宋体" w:hAnsi="宋体" w:cs="Arial"/>
                <w:color w:val="000000"/>
                <w:kern w:val="0"/>
                <w:szCs w:val="21"/>
              </w:rPr>
              <w:t>-1分，三类得1-0分。</w:t>
            </w:r>
          </w:p>
        </w:tc>
      </w:tr>
      <w:tr w14:paraId="6DCB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640" w:type="dxa"/>
            <w:vMerge w:val="continue"/>
            <w:noWrap w:val="0"/>
            <w:vAlign w:val="center"/>
          </w:tcPr>
          <w:p w14:paraId="7DB814DD">
            <w:pPr>
              <w:spacing w:line="340" w:lineRule="exact"/>
              <w:jc w:val="center"/>
              <w:rPr>
                <w:rFonts w:hint="eastAsia" w:ascii="宋体" w:hAnsi="宋体" w:cs="Arial"/>
                <w:color w:val="000000"/>
                <w:kern w:val="0"/>
                <w:szCs w:val="21"/>
              </w:rPr>
            </w:pPr>
          </w:p>
        </w:tc>
        <w:tc>
          <w:tcPr>
            <w:tcW w:w="2353" w:type="dxa"/>
            <w:vMerge w:val="continue"/>
            <w:noWrap w:val="0"/>
            <w:vAlign w:val="center"/>
          </w:tcPr>
          <w:p w14:paraId="5E23A4CE">
            <w:pPr>
              <w:widowControl/>
              <w:spacing w:line="340" w:lineRule="exact"/>
              <w:rPr>
                <w:rFonts w:hint="eastAsia"/>
                <w:szCs w:val="21"/>
                <w:lang w:val="zh-CN"/>
              </w:rPr>
            </w:pPr>
          </w:p>
        </w:tc>
        <w:tc>
          <w:tcPr>
            <w:tcW w:w="1036" w:type="dxa"/>
            <w:noWrap w:val="0"/>
            <w:vAlign w:val="center"/>
          </w:tcPr>
          <w:p w14:paraId="7601B670">
            <w:pPr>
              <w:widowControl/>
              <w:spacing w:line="340" w:lineRule="exact"/>
              <w:jc w:val="center"/>
              <w:rPr>
                <w:rFonts w:hint="eastAsia" w:ascii="宋体" w:hAnsi="宋体" w:eastAsia="宋体" w:cs="Arial"/>
                <w:color w:val="000000"/>
                <w:kern w:val="0"/>
                <w:szCs w:val="21"/>
                <w:lang w:eastAsia="zh-CN"/>
              </w:rPr>
            </w:pPr>
            <w:r>
              <w:rPr>
                <w:rFonts w:hint="eastAsia" w:ascii="宋体" w:hAnsi="宋体" w:cs="Arial"/>
                <w:color w:val="000000"/>
                <w:kern w:val="0"/>
                <w:szCs w:val="21"/>
              </w:rPr>
              <w:t>0-</w:t>
            </w:r>
            <w:r>
              <w:rPr>
                <w:rFonts w:hint="eastAsia" w:ascii="宋体" w:hAnsi="宋体" w:cs="Arial"/>
                <w:color w:val="000000"/>
                <w:kern w:val="0"/>
                <w:szCs w:val="21"/>
                <w:lang w:val="en-US" w:eastAsia="zh-CN"/>
              </w:rPr>
              <w:t>4</w:t>
            </w:r>
          </w:p>
        </w:tc>
        <w:tc>
          <w:tcPr>
            <w:tcW w:w="5705" w:type="dxa"/>
            <w:tcBorders>
              <w:bottom w:val="nil"/>
            </w:tcBorders>
            <w:noWrap w:val="0"/>
            <w:vAlign w:val="center"/>
          </w:tcPr>
          <w:p w14:paraId="5F4F37C4">
            <w:pPr>
              <w:spacing w:line="340" w:lineRule="exact"/>
              <w:rPr>
                <w:rFonts w:ascii="宋体" w:hAnsi="宋体" w:cs="Arial"/>
                <w:color w:val="000000"/>
                <w:szCs w:val="21"/>
              </w:rPr>
            </w:pPr>
            <w:r>
              <w:rPr>
                <w:rFonts w:hint="eastAsia" w:ascii="宋体" w:hAnsi="宋体"/>
                <w:szCs w:val="21"/>
                <w:lang w:val="zh-CN"/>
              </w:rPr>
              <w:t>配置的管理人员、项目负责人从事相关专业物业管理</w:t>
            </w:r>
            <w:r>
              <w:rPr>
                <w:rFonts w:hint="eastAsia" w:ascii="宋体" w:hAnsi="宋体"/>
                <w:szCs w:val="21"/>
              </w:rPr>
              <w:t>工</w:t>
            </w:r>
            <w:r>
              <w:rPr>
                <w:rFonts w:hint="eastAsia" w:ascii="宋体" w:hAnsi="宋体"/>
                <w:szCs w:val="21"/>
                <w:lang w:val="zh-CN"/>
              </w:rPr>
              <w:t>作能力和经验</w:t>
            </w:r>
            <w:r>
              <w:rPr>
                <w:rFonts w:hint="eastAsia" w:ascii="宋体" w:hAnsi="宋体"/>
                <w:szCs w:val="21"/>
                <w:lang w:val="en-US" w:eastAsia="zh-CN"/>
              </w:rPr>
              <w:t>、技能或专业资格证书情况</w:t>
            </w:r>
            <w:r>
              <w:rPr>
                <w:rFonts w:hint="eastAsia" w:ascii="宋体" w:hAnsi="宋体"/>
                <w:szCs w:val="21"/>
                <w:lang w:val="zh-CN"/>
              </w:rPr>
              <w:t>，人员分工合理性、人员稳定性</w:t>
            </w:r>
            <w:r>
              <w:rPr>
                <w:rFonts w:hint="eastAsia" w:ascii="宋体" w:hAnsi="宋体"/>
                <w:color w:val="000000"/>
                <w:szCs w:val="21"/>
              </w:rPr>
              <w:t>比较评</w:t>
            </w:r>
            <w:r>
              <w:rPr>
                <w:rFonts w:hint="eastAsia" w:ascii="宋体" w:hAnsi="宋体" w:cs="Arial"/>
                <w:color w:val="000000"/>
                <w:szCs w:val="21"/>
              </w:rPr>
              <w:t>分：</w:t>
            </w:r>
          </w:p>
          <w:p w14:paraId="334A0559">
            <w:pPr>
              <w:widowControl/>
              <w:spacing w:line="340" w:lineRule="exact"/>
              <w:rPr>
                <w:rFonts w:ascii="宋体" w:hAnsi="宋体" w:cs="Arial"/>
                <w:color w:val="000000"/>
                <w:szCs w:val="21"/>
              </w:rPr>
            </w:pPr>
            <w:r>
              <w:rPr>
                <w:rFonts w:hint="eastAsia" w:ascii="宋体" w:hAnsi="宋体"/>
                <w:color w:val="000000"/>
                <w:szCs w:val="21"/>
              </w:rPr>
              <w:t>一类得</w:t>
            </w:r>
            <w:r>
              <w:rPr>
                <w:rFonts w:hint="eastAsia" w:ascii="宋体" w:hAnsi="宋体" w:cs="Arial"/>
                <w:color w:val="000000"/>
                <w:kern w:val="0"/>
                <w:szCs w:val="21"/>
                <w:lang w:val="en-US" w:eastAsia="zh-CN"/>
              </w:rPr>
              <w:t>4</w:t>
            </w:r>
            <w:r>
              <w:rPr>
                <w:rFonts w:hint="eastAsia" w:ascii="宋体" w:hAnsi="宋体" w:cs="Arial"/>
                <w:color w:val="000000"/>
                <w:kern w:val="0"/>
                <w:szCs w:val="21"/>
              </w:rPr>
              <w:t>-</w:t>
            </w:r>
            <w:r>
              <w:rPr>
                <w:rFonts w:hint="eastAsia" w:ascii="宋体" w:hAnsi="宋体" w:cs="Arial"/>
                <w:color w:val="000000"/>
                <w:kern w:val="0"/>
                <w:szCs w:val="21"/>
                <w:lang w:val="en-US" w:eastAsia="zh-CN"/>
              </w:rPr>
              <w:t>2.6</w:t>
            </w:r>
            <w:r>
              <w:rPr>
                <w:rFonts w:hint="eastAsia" w:ascii="宋体" w:hAnsi="宋体" w:cs="Arial"/>
                <w:color w:val="000000"/>
                <w:kern w:val="0"/>
                <w:szCs w:val="21"/>
              </w:rPr>
              <w:t>分，</w:t>
            </w:r>
            <w:r>
              <w:rPr>
                <w:rFonts w:hint="eastAsia" w:ascii="宋体" w:hAnsi="宋体"/>
                <w:color w:val="000000"/>
                <w:szCs w:val="21"/>
              </w:rPr>
              <w:t>二类</w:t>
            </w:r>
            <w:r>
              <w:rPr>
                <w:rFonts w:hint="eastAsia" w:ascii="宋体" w:hAnsi="宋体" w:cs="Arial"/>
                <w:color w:val="000000"/>
                <w:kern w:val="0"/>
                <w:szCs w:val="21"/>
              </w:rPr>
              <w:t>得</w:t>
            </w:r>
            <w:r>
              <w:rPr>
                <w:rFonts w:hint="eastAsia" w:ascii="宋体" w:hAnsi="宋体" w:cs="Arial"/>
                <w:color w:val="000000"/>
                <w:kern w:val="0"/>
                <w:szCs w:val="21"/>
                <w:lang w:val="en-US" w:eastAsia="zh-CN"/>
              </w:rPr>
              <w:t>2.5</w:t>
            </w:r>
            <w:r>
              <w:rPr>
                <w:rFonts w:hint="eastAsia" w:ascii="宋体" w:hAnsi="宋体" w:cs="Arial"/>
                <w:color w:val="000000"/>
                <w:kern w:val="0"/>
                <w:szCs w:val="21"/>
              </w:rPr>
              <w:t>-1</w:t>
            </w:r>
            <w:r>
              <w:rPr>
                <w:rFonts w:hint="eastAsia" w:ascii="宋体" w:hAnsi="宋体" w:cs="Arial"/>
                <w:color w:val="000000"/>
                <w:kern w:val="0"/>
                <w:szCs w:val="21"/>
                <w:lang w:val="en-US" w:eastAsia="zh-CN"/>
              </w:rPr>
              <w:t>.1</w:t>
            </w:r>
            <w:r>
              <w:rPr>
                <w:rFonts w:hint="eastAsia" w:ascii="宋体" w:hAnsi="宋体" w:cs="Arial"/>
                <w:color w:val="000000"/>
                <w:kern w:val="0"/>
                <w:szCs w:val="21"/>
              </w:rPr>
              <w:t>分，</w:t>
            </w:r>
            <w:r>
              <w:rPr>
                <w:rFonts w:hint="eastAsia" w:ascii="宋体" w:hAnsi="宋体"/>
                <w:color w:val="000000"/>
                <w:szCs w:val="21"/>
              </w:rPr>
              <w:t>三类</w:t>
            </w:r>
            <w:r>
              <w:rPr>
                <w:rFonts w:hint="eastAsia" w:ascii="宋体" w:hAnsi="宋体" w:cs="Arial"/>
                <w:color w:val="000000"/>
                <w:kern w:val="0"/>
                <w:szCs w:val="21"/>
              </w:rPr>
              <w:t>得1-0分</w:t>
            </w:r>
            <w:r>
              <w:rPr>
                <w:rFonts w:hint="eastAsia" w:ascii="宋体" w:hAnsi="宋体"/>
                <w:color w:val="000000"/>
                <w:szCs w:val="21"/>
              </w:rPr>
              <w:t>。</w:t>
            </w:r>
          </w:p>
        </w:tc>
      </w:tr>
      <w:tr w14:paraId="29C2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40" w:type="dxa"/>
            <w:vMerge w:val="continue"/>
            <w:noWrap w:val="0"/>
            <w:vAlign w:val="center"/>
          </w:tcPr>
          <w:p w14:paraId="7B0D85D8">
            <w:pPr>
              <w:spacing w:line="340" w:lineRule="exact"/>
              <w:jc w:val="center"/>
              <w:rPr>
                <w:rFonts w:hint="eastAsia" w:ascii="宋体" w:hAnsi="宋体" w:cs="Arial"/>
                <w:color w:val="000000"/>
                <w:kern w:val="0"/>
                <w:szCs w:val="21"/>
              </w:rPr>
            </w:pPr>
          </w:p>
        </w:tc>
        <w:tc>
          <w:tcPr>
            <w:tcW w:w="2353" w:type="dxa"/>
            <w:vMerge w:val="continue"/>
            <w:noWrap w:val="0"/>
            <w:vAlign w:val="center"/>
          </w:tcPr>
          <w:p w14:paraId="7C9AA6A7">
            <w:pPr>
              <w:widowControl/>
              <w:spacing w:line="340" w:lineRule="exact"/>
              <w:rPr>
                <w:rFonts w:hint="eastAsia"/>
                <w:szCs w:val="21"/>
                <w:lang w:val="zh-CN"/>
              </w:rPr>
            </w:pPr>
          </w:p>
        </w:tc>
        <w:tc>
          <w:tcPr>
            <w:tcW w:w="1036" w:type="dxa"/>
            <w:noWrap w:val="0"/>
            <w:vAlign w:val="center"/>
          </w:tcPr>
          <w:p w14:paraId="3450E72C">
            <w:pPr>
              <w:widowControl/>
              <w:spacing w:line="340" w:lineRule="exact"/>
              <w:jc w:val="center"/>
              <w:rPr>
                <w:rFonts w:hint="default" w:ascii="宋体" w:hAnsi="宋体" w:eastAsia="宋体" w:cs="Arial"/>
                <w:color w:val="000000"/>
                <w:kern w:val="0"/>
                <w:szCs w:val="21"/>
                <w:lang w:val="en-US" w:eastAsia="zh-CN"/>
              </w:rPr>
            </w:pPr>
            <w:r>
              <w:rPr>
                <w:rFonts w:hint="eastAsia" w:ascii="宋体" w:hAnsi="宋体" w:cs="Arial"/>
                <w:color w:val="000000"/>
                <w:kern w:val="0"/>
                <w:szCs w:val="21"/>
                <w:lang w:val="en-US" w:eastAsia="zh-CN"/>
              </w:rPr>
              <w:t>0-4</w:t>
            </w:r>
          </w:p>
        </w:tc>
        <w:tc>
          <w:tcPr>
            <w:tcW w:w="5705" w:type="dxa"/>
            <w:tcBorders>
              <w:bottom w:val="nil"/>
            </w:tcBorders>
            <w:noWrap w:val="0"/>
            <w:vAlign w:val="center"/>
          </w:tcPr>
          <w:p w14:paraId="68CD680C">
            <w:pPr>
              <w:widowControl/>
              <w:spacing w:line="340" w:lineRule="exact"/>
              <w:rPr>
                <w:rFonts w:hint="default" w:ascii="宋体" w:hAnsi="宋体" w:eastAsia="宋体"/>
                <w:color w:val="000000"/>
                <w:szCs w:val="21"/>
                <w:lang w:val="en-US" w:eastAsia="zh-CN"/>
              </w:rPr>
            </w:pPr>
            <w:r>
              <w:rPr>
                <w:rFonts w:hint="eastAsia" w:ascii="宋体" w:hAnsi="宋体"/>
                <w:color w:val="000000"/>
                <w:szCs w:val="21"/>
                <w:lang w:val="en-US" w:eastAsia="zh-CN"/>
              </w:rPr>
              <w:t>人员配置在满足招标文件要求人数配置26人的情况下每增加1人增加1分，最多增加4分。（满足招标文件基本人数配置的不得分）</w:t>
            </w:r>
          </w:p>
        </w:tc>
      </w:tr>
      <w:tr w14:paraId="0143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Merge w:val="restart"/>
            <w:noWrap w:val="0"/>
            <w:vAlign w:val="center"/>
          </w:tcPr>
          <w:p w14:paraId="2353A2AA">
            <w:pPr>
              <w:widowControl/>
              <w:spacing w:line="340" w:lineRule="exact"/>
              <w:ind w:firstLine="210" w:firstLineChars="100"/>
              <w:jc w:val="left"/>
              <w:rPr>
                <w:rFonts w:hint="eastAsia" w:ascii="宋体" w:hAnsi="宋体" w:eastAsia="宋体" w:cs="Arial"/>
                <w:color w:val="000000"/>
                <w:kern w:val="0"/>
                <w:szCs w:val="21"/>
                <w:lang w:eastAsia="zh-CN"/>
              </w:rPr>
            </w:pPr>
            <w:r>
              <w:rPr>
                <w:rFonts w:hint="eastAsia" w:ascii="宋体" w:hAnsi="宋体" w:cs="Arial"/>
                <w:color w:val="000000"/>
                <w:kern w:val="0"/>
                <w:szCs w:val="21"/>
                <w:lang w:val="en-US" w:eastAsia="zh-CN"/>
              </w:rPr>
              <w:t>2</w:t>
            </w:r>
          </w:p>
        </w:tc>
        <w:tc>
          <w:tcPr>
            <w:tcW w:w="2353" w:type="dxa"/>
            <w:vMerge w:val="restart"/>
            <w:noWrap w:val="0"/>
            <w:vAlign w:val="center"/>
          </w:tcPr>
          <w:p w14:paraId="14AC5E73">
            <w:pPr>
              <w:pStyle w:val="5"/>
              <w:spacing w:after="0" w:line="320" w:lineRule="exact"/>
              <w:jc w:val="left"/>
              <w:rPr>
                <w:rFonts w:hint="eastAsia" w:cs="Tahoma"/>
                <w:sz w:val="22"/>
                <w:szCs w:val="20"/>
                <w:lang w:val="zh-CN"/>
              </w:rPr>
            </w:pPr>
            <w:r>
              <w:rPr>
                <w:rFonts w:hint="eastAsia"/>
                <w:color w:val="000000"/>
                <w:sz w:val="22"/>
                <w:szCs w:val="20"/>
                <w:lang w:val="zh-CN"/>
              </w:rPr>
              <w:t>针对本项</w:t>
            </w:r>
            <w:r>
              <w:rPr>
                <w:rFonts w:hint="eastAsia"/>
                <w:color w:val="000000"/>
                <w:sz w:val="22"/>
                <w:szCs w:val="20"/>
              </w:rPr>
              <w:t>目提供的保安、保洁、绿化养护、工程维修养护、客户服务、档案管理等</w:t>
            </w:r>
            <w:r>
              <w:rPr>
                <w:rFonts w:hint="eastAsia"/>
                <w:color w:val="000000"/>
                <w:sz w:val="22"/>
                <w:szCs w:val="20"/>
                <w:lang w:val="zh-CN"/>
              </w:rPr>
              <w:t>物业管理服务方案情况进行评比打分（</w:t>
            </w:r>
            <w:r>
              <w:rPr>
                <w:rFonts w:hint="eastAsia"/>
                <w:color w:val="000000"/>
                <w:sz w:val="22"/>
                <w:szCs w:val="20"/>
              </w:rPr>
              <w:t>25分</w:t>
            </w:r>
            <w:r>
              <w:rPr>
                <w:rFonts w:hint="eastAsia"/>
                <w:color w:val="000000"/>
                <w:sz w:val="22"/>
                <w:szCs w:val="20"/>
                <w:lang w:val="zh-CN"/>
              </w:rPr>
              <w:t>）</w:t>
            </w:r>
          </w:p>
        </w:tc>
        <w:tc>
          <w:tcPr>
            <w:tcW w:w="1036" w:type="dxa"/>
            <w:noWrap w:val="0"/>
            <w:vAlign w:val="center"/>
          </w:tcPr>
          <w:p w14:paraId="1802273C">
            <w:pPr>
              <w:widowControl/>
              <w:spacing w:line="340" w:lineRule="exact"/>
              <w:jc w:val="center"/>
              <w:rPr>
                <w:rFonts w:ascii="宋体" w:hAnsi="宋体" w:cs="Arial"/>
                <w:color w:val="000000"/>
                <w:kern w:val="0"/>
                <w:sz w:val="20"/>
                <w:szCs w:val="20"/>
              </w:rPr>
            </w:pPr>
            <w:r>
              <w:rPr>
                <w:rFonts w:hint="eastAsia" w:ascii="宋体" w:hAnsi="宋体" w:cs="Arial"/>
                <w:color w:val="000000"/>
                <w:kern w:val="0"/>
                <w:sz w:val="20"/>
                <w:szCs w:val="20"/>
              </w:rPr>
              <w:t>0-5</w:t>
            </w:r>
          </w:p>
        </w:tc>
        <w:tc>
          <w:tcPr>
            <w:tcW w:w="5705" w:type="dxa"/>
            <w:noWrap w:val="0"/>
            <w:vAlign w:val="center"/>
          </w:tcPr>
          <w:p w14:paraId="7A3E0C95">
            <w:pPr>
              <w:pStyle w:val="5"/>
              <w:spacing w:after="0"/>
              <w:rPr>
                <w:rFonts w:hint="eastAsia" w:ascii="宋体" w:hAnsi="宋体"/>
                <w:color w:val="000000"/>
                <w:sz w:val="22"/>
                <w:szCs w:val="20"/>
                <w:lang w:val="zh-CN"/>
              </w:rPr>
            </w:pPr>
            <w:r>
              <w:rPr>
                <w:rFonts w:hint="eastAsia" w:ascii="宋体" w:hAnsi="宋体"/>
                <w:color w:val="000000"/>
                <w:sz w:val="22"/>
                <w:szCs w:val="20"/>
                <w:lang w:val="zh-CN"/>
              </w:rPr>
              <w:t>保安管理服务方案全面、具体，是否具备可操作性，</w:t>
            </w:r>
            <w:r>
              <w:rPr>
                <w:rFonts w:hint="eastAsia" w:ascii="宋体" w:hAnsi="宋体"/>
                <w:color w:val="000000"/>
                <w:sz w:val="22"/>
                <w:szCs w:val="20"/>
              </w:rPr>
              <w:t>一类得</w:t>
            </w:r>
            <w:r>
              <w:rPr>
                <w:rFonts w:hint="eastAsia" w:ascii="宋体" w:hAnsi="宋体" w:cs="Arial"/>
                <w:color w:val="000000"/>
                <w:kern w:val="0"/>
                <w:sz w:val="22"/>
                <w:szCs w:val="20"/>
              </w:rPr>
              <w:t>5.0-4.0分，</w:t>
            </w:r>
            <w:r>
              <w:rPr>
                <w:rFonts w:hint="eastAsia" w:ascii="宋体" w:hAnsi="宋体"/>
                <w:color w:val="000000"/>
                <w:sz w:val="22"/>
                <w:szCs w:val="20"/>
              </w:rPr>
              <w:t>二类</w:t>
            </w:r>
            <w:r>
              <w:rPr>
                <w:rFonts w:hint="eastAsia" w:ascii="宋体" w:hAnsi="宋体" w:cs="Arial"/>
                <w:color w:val="000000"/>
                <w:kern w:val="0"/>
                <w:sz w:val="22"/>
                <w:szCs w:val="20"/>
              </w:rPr>
              <w:t>得3.9-</w:t>
            </w:r>
            <w:r>
              <w:rPr>
                <w:rFonts w:hint="eastAsia" w:ascii="宋体" w:hAnsi="宋体" w:cs="Arial"/>
                <w:color w:val="000000"/>
                <w:kern w:val="0"/>
                <w:sz w:val="22"/>
                <w:szCs w:val="20"/>
                <w:lang w:val="en-US" w:eastAsia="zh-CN"/>
              </w:rPr>
              <w:t>2.0</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得1.</w:t>
            </w:r>
            <w:r>
              <w:rPr>
                <w:rFonts w:hint="eastAsia" w:ascii="宋体" w:hAnsi="宋体" w:cs="Arial"/>
                <w:color w:val="000000"/>
                <w:kern w:val="0"/>
                <w:sz w:val="22"/>
                <w:szCs w:val="20"/>
                <w:lang w:val="en-US" w:eastAsia="zh-CN"/>
              </w:rPr>
              <w:t>9</w:t>
            </w:r>
            <w:r>
              <w:rPr>
                <w:rFonts w:hint="eastAsia" w:ascii="宋体" w:hAnsi="宋体" w:cs="Arial"/>
                <w:color w:val="000000"/>
                <w:kern w:val="0"/>
                <w:sz w:val="22"/>
                <w:szCs w:val="20"/>
              </w:rPr>
              <w:t>-0分</w:t>
            </w:r>
            <w:r>
              <w:rPr>
                <w:rFonts w:hint="eastAsia" w:ascii="宋体" w:hAnsi="宋体"/>
                <w:color w:val="000000"/>
                <w:sz w:val="22"/>
                <w:szCs w:val="20"/>
              </w:rPr>
              <w:t>。</w:t>
            </w:r>
          </w:p>
        </w:tc>
      </w:tr>
      <w:tr w14:paraId="6C07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40" w:type="dxa"/>
            <w:vMerge w:val="continue"/>
            <w:noWrap w:val="0"/>
            <w:vAlign w:val="center"/>
          </w:tcPr>
          <w:p w14:paraId="37A3FA4F">
            <w:pPr>
              <w:widowControl/>
              <w:spacing w:line="340" w:lineRule="exact"/>
              <w:ind w:firstLine="210" w:firstLineChars="100"/>
              <w:jc w:val="left"/>
              <w:rPr>
                <w:rFonts w:hint="eastAsia" w:ascii="宋体" w:hAnsi="宋体" w:cs="Arial"/>
                <w:color w:val="000000"/>
                <w:kern w:val="0"/>
                <w:szCs w:val="21"/>
              </w:rPr>
            </w:pPr>
          </w:p>
        </w:tc>
        <w:tc>
          <w:tcPr>
            <w:tcW w:w="2353" w:type="dxa"/>
            <w:vMerge w:val="continue"/>
            <w:noWrap w:val="0"/>
            <w:vAlign w:val="center"/>
          </w:tcPr>
          <w:p w14:paraId="66760BDA">
            <w:pPr>
              <w:pStyle w:val="5"/>
              <w:spacing w:after="0" w:line="320" w:lineRule="exact"/>
              <w:jc w:val="left"/>
              <w:rPr>
                <w:rFonts w:hint="eastAsia"/>
                <w:color w:val="000000"/>
                <w:sz w:val="22"/>
                <w:szCs w:val="20"/>
                <w:lang w:val="zh-CN"/>
              </w:rPr>
            </w:pPr>
          </w:p>
        </w:tc>
        <w:tc>
          <w:tcPr>
            <w:tcW w:w="1036" w:type="dxa"/>
            <w:noWrap w:val="0"/>
            <w:vAlign w:val="center"/>
          </w:tcPr>
          <w:p w14:paraId="62BD5D8C">
            <w:pPr>
              <w:jc w:val="center"/>
              <w:rPr>
                <w:rFonts w:hint="eastAsia" w:ascii="宋体" w:hAnsi="宋体" w:cs="Arial"/>
                <w:color w:val="000000"/>
                <w:kern w:val="0"/>
                <w:sz w:val="20"/>
                <w:szCs w:val="20"/>
              </w:rPr>
            </w:pPr>
            <w:r>
              <w:rPr>
                <w:rFonts w:hint="eastAsia" w:ascii="宋体" w:hAnsi="宋体" w:cs="Arial"/>
                <w:color w:val="000000"/>
                <w:kern w:val="0"/>
                <w:sz w:val="20"/>
                <w:szCs w:val="20"/>
              </w:rPr>
              <w:t>0-5</w:t>
            </w:r>
          </w:p>
        </w:tc>
        <w:tc>
          <w:tcPr>
            <w:tcW w:w="5705" w:type="dxa"/>
            <w:noWrap w:val="0"/>
            <w:vAlign w:val="center"/>
          </w:tcPr>
          <w:p w14:paraId="7AC1130A">
            <w:pPr>
              <w:pStyle w:val="5"/>
              <w:spacing w:after="0"/>
              <w:rPr>
                <w:rFonts w:hint="eastAsia" w:ascii="宋体" w:hAnsi="宋体"/>
                <w:color w:val="000000"/>
                <w:sz w:val="22"/>
                <w:szCs w:val="20"/>
                <w:lang w:val="zh-CN"/>
              </w:rPr>
            </w:pPr>
            <w:r>
              <w:rPr>
                <w:rFonts w:hint="eastAsia" w:ascii="宋体" w:hAnsi="宋体"/>
                <w:color w:val="000000"/>
                <w:sz w:val="22"/>
                <w:szCs w:val="20"/>
                <w:lang w:val="zh-CN"/>
              </w:rPr>
              <w:t>保洁管理服务方案全面、具体、细致，是否具备可操作性，</w:t>
            </w:r>
            <w:r>
              <w:rPr>
                <w:rFonts w:hint="eastAsia" w:ascii="宋体" w:hAnsi="宋体"/>
                <w:color w:val="000000"/>
                <w:sz w:val="22"/>
                <w:szCs w:val="20"/>
              </w:rPr>
              <w:t>一类得</w:t>
            </w:r>
            <w:r>
              <w:rPr>
                <w:rFonts w:hint="eastAsia" w:ascii="宋体" w:hAnsi="宋体" w:cs="Arial"/>
                <w:color w:val="000000"/>
                <w:kern w:val="0"/>
                <w:sz w:val="22"/>
                <w:szCs w:val="20"/>
              </w:rPr>
              <w:t>5.0-4.0分，</w:t>
            </w:r>
            <w:r>
              <w:rPr>
                <w:rFonts w:hint="eastAsia" w:ascii="宋体" w:hAnsi="宋体"/>
                <w:color w:val="000000"/>
                <w:sz w:val="22"/>
                <w:szCs w:val="20"/>
              </w:rPr>
              <w:t>二类</w:t>
            </w:r>
            <w:r>
              <w:rPr>
                <w:rFonts w:hint="eastAsia" w:ascii="宋体" w:hAnsi="宋体" w:cs="Arial"/>
                <w:color w:val="000000"/>
                <w:kern w:val="0"/>
                <w:sz w:val="22"/>
                <w:szCs w:val="20"/>
              </w:rPr>
              <w:t>得3.9-</w:t>
            </w:r>
            <w:r>
              <w:rPr>
                <w:rFonts w:hint="eastAsia" w:ascii="宋体" w:hAnsi="宋体" w:cs="Arial"/>
                <w:color w:val="000000"/>
                <w:kern w:val="0"/>
                <w:sz w:val="22"/>
                <w:szCs w:val="20"/>
                <w:lang w:val="en-US" w:eastAsia="zh-CN"/>
              </w:rPr>
              <w:t>2.0</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得1.</w:t>
            </w:r>
            <w:r>
              <w:rPr>
                <w:rFonts w:hint="eastAsia" w:ascii="宋体" w:hAnsi="宋体" w:cs="Arial"/>
                <w:color w:val="000000"/>
                <w:kern w:val="0"/>
                <w:sz w:val="22"/>
                <w:szCs w:val="20"/>
                <w:lang w:val="en-US" w:eastAsia="zh-CN"/>
              </w:rPr>
              <w:t>9</w:t>
            </w:r>
            <w:r>
              <w:rPr>
                <w:rFonts w:hint="eastAsia" w:ascii="宋体" w:hAnsi="宋体" w:cs="Arial"/>
                <w:color w:val="000000"/>
                <w:kern w:val="0"/>
                <w:sz w:val="22"/>
                <w:szCs w:val="20"/>
              </w:rPr>
              <w:t>-0分</w:t>
            </w:r>
          </w:p>
        </w:tc>
      </w:tr>
      <w:tr w14:paraId="3C43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40" w:type="dxa"/>
            <w:vMerge w:val="continue"/>
            <w:noWrap w:val="0"/>
            <w:vAlign w:val="center"/>
          </w:tcPr>
          <w:p w14:paraId="44A4ADCB">
            <w:pPr>
              <w:widowControl/>
              <w:spacing w:line="340" w:lineRule="exact"/>
              <w:jc w:val="left"/>
              <w:rPr>
                <w:rFonts w:ascii="宋体" w:hAnsi="宋体" w:cs="Arial"/>
                <w:color w:val="000000"/>
                <w:kern w:val="0"/>
                <w:szCs w:val="21"/>
              </w:rPr>
            </w:pPr>
          </w:p>
        </w:tc>
        <w:tc>
          <w:tcPr>
            <w:tcW w:w="2353" w:type="dxa"/>
            <w:vMerge w:val="continue"/>
            <w:noWrap w:val="0"/>
            <w:vAlign w:val="center"/>
          </w:tcPr>
          <w:p w14:paraId="5130E5E4">
            <w:pPr>
              <w:widowControl/>
              <w:spacing w:line="340" w:lineRule="exact"/>
              <w:rPr>
                <w:rFonts w:ascii="宋体" w:hAnsi="宋体"/>
                <w:color w:val="000000"/>
                <w:sz w:val="20"/>
                <w:szCs w:val="20"/>
              </w:rPr>
            </w:pPr>
          </w:p>
        </w:tc>
        <w:tc>
          <w:tcPr>
            <w:tcW w:w="1036" w:type="dxa"/>
            <w:noWrap w:val="0"/>
            <w:vAlign w:val="center"/>
          </w:tcPr>
          <w:p w14:paraId="46C2C04C">
            <w:pPr>
              <w:jc w:val="center"/>
              <w:rPr>
                <w:rFonts w:hint="eastAsia" w:ascii="宋体" w:hAnsi="宋体" w:cs="Arial"/>
                <w:color w:val="000000"/>
                <w:kern w:val="0"/>
                <w:sz w:val="20"/>
                <w:szCs w:val="20"/>
              </w:rPr>
            </w:pPr>
            <w:r>
              <w:rPr>
                <w:rFonts w:hint="eastAsia" w:ascii="宋体" w:hAnsi="宋体" w:cs="Arial"/>
                <w:color w:val="000000"/>
                <w:kern w:val="0"/>
                <w:sz w:val="20"/>
                <w:szCs w:val="20"/>
              </w:rPr>
              <w:t>0-5</w:t>
            </w:r>
          </w:p>
        </w:tc>
        <w:tc>
          <w:tcPr>
            <w:tcW w:w="5705" w:type="dxa"/>
            <w:noWrap w:val="0"/>
            <w:vAlign w:val="center"/>
          </w:tcPr>
          <w:p w14:paraId="78495B92">
            <w:pPr>
              <w:pStyle w:val="5"/>
              <w:spacing w:after="0"/>
              <w:rPr>
                <w:rFonts w:hint="eastAsia" w:ascii="宋体" w:hAnsi="宋体"/>
                <w:color w:val="000000"/>
                <w:sz w:val="22"/>
                <w:szCs w:val="20"/>
                <w:lang w:val="zh-CN"/>
              </w:rPr>
            </w:pPr>
            <w:r>
              <w:rPr>
                <w:rFonts w:hint="eastAsia" w:ascii="宋体" w:hAnsi="宋体"/>
                <w:color w:val="000000"/>
                <w:sz w:val="22"/>
                <w:szCs w:val="20"/>
                <w:lang w:val="zh-CN"/>
              </w:rPr>
              <w:t>绿化养护服务方案全面、具体、细致，是否具备可操作性，</w:t>
            </w:r>
            <w:r>
              <w:rPr>
                <w:rFonts w:hint="eastAsia" w:ascii="宋体" w:hAnsi="宋体"/>
                <w:color w:val="000000"/>
                <w:sz w:val="22"/>
                <w:szCs w:val="20"/>
              </w:rPr>
              <w:t>一类得</w:t>
            </w:r>
            <w:r>
              <w:rPr>
                <w:rFonts w:hint="eastAsia" w:ascii="宋体" w:hAnsi="宋体" w:cs="Arial"/>
                <w:color w:val="000000"/>
                <w:kern w:val="0"/>
                <w:sz w:val="22"/>
                <w:szCs w:val="20"/>
              </w:rPr>
              <w:t>5.0-4.0分，</w:t>
            </w:r>
            <w:r>
              <w:rPr>
                <w:rFonts w:hint="eastAsia" w:ascii="宋体" w:hAnsi="宋体"/>
                <w:color w:val="000000"/>
                <w:sz w:val="22"/>
                <w:szCs w:val="20"/>
              </w:rPr>
              <w:t>二类</w:t>
            </w:r>
            <w:r>
              <w:rPr>
                <w:rFonts w:hint="eastAsia" w:ascii="宋体" w:hAnsi="宋体" w:cs="Arial"/>
                <w:color w:val="000000"/>
                <w:kern w:val="0"/>
                <w:sz w:val="22"/>
                <w:szCs w:val="20"/>
              </w:rPr>
              <w:t>得3.9-</w:t>
            </w:r>
            <w:r>
              <w:rPr>
                <w:rFonts w:hint="eastAsia" w:ascii="宋体" w:hAnsi="宋体" w:cs="Arial"/>
                <w:color w:val="000000"/>
                <w:kern w:val="0"/>
                <w:sz w:val="22"/>
                <w:szCs w:val="20"/>
                <w:lang w:val="en-US" w:eastAsia="zh-CN"/>
              </w:rPr>
              <w:t>2.0</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得1.</w:t>
            </w:r>
            <w:r>
              <w:rPr>
                <w:rFonts w:hint="eastAsia" w:ascii="宋体" w:hAnsi="宋体" w:cs="Arial"/>
                <w:color w:val="000000"/>
                <w:kern w:val="0"/>
                <w:sz w:val="22"/>
                <w:szCs w:val="20"/>
                <w:lang w:val="en-US" w:eastAsia="zh-CN"/>
              </w:rPr>
              <w:t>9</w:t>
            </w:r>
            <w:r>
              <w:rPr>
                <w:rFonts w:hint="eastAsia" w:ascii="宋体" w:hAnsi="宋体" w:cs="Arial"/>
                <w:color w:val="000000"/>
                <w:kern w:val="0"/>
                <w:sz w:val="22"/>
                <w:szCs w:val="20"/>
              </w:rPr>
              <w:t>-0分</w:t>
            </w:r>
          </w:p>
        </w:tc>
      </w:tr>
      <w:tr w14:paraId="1EBD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40" w:type="dxa"/>
            <w:vMerge w:val="continue"/>
            <w:noWrap w:val="0"/>
            <w:vAlign w:val="center"/>
          </w:tcPr>
          <w:p w14:paraId="3F74382B">
            <w:pPr>
              <w:widowControl/>
              <w:spacing w:line="340" w:lineRule="exact"/>
              <w:jc w:val="left"/>
              <w:rPr>
                <w:rFonts w:ascii="宋体" w:hAnsi="宋体" w:cs="Arial"/>
                <w:color w:val="000000"/>
                <w:kern w:val="0"/>
                <w:szCs w:val="21"/>
              </w:rPr>
            </w:pPr>
          </w:p>
        </w:tc>
        <w:tc>
          <w:tcPr>
            <w:tcW w:w="2353" w:type="dxa"/>
            <w:vMerge w:val="continue"/>
            <w:noWrap w:val="0"/>
            <w:vAlign w:val="center"/>
          </w:tcPr>
          <w:p w14:paraId="1E667731">
            <w:pPr>
              <w:widowControl/>
              <w:spacing w:line="340" w:lineRule="exact"/>
              <w:rPr>
                <w:rFonts w:ascii="宋体" w:hAnsi="宋体"/>
                <w:color w:val="000000"/>
                <w:sz w:val="20"/>
                <w:szCs w:val="20"/>
              </w:rPr>
            </w:pPr>
          </w:p>
        </w:tc>
        <w:tc>
          <w:tcPr>
            <w:tcW w:w="1036" w:type="dxa"/>
            <w:noWrap w:val="0"/>
            <w:vAlign w:val="center"/>
          </w:tcPr>
          <w:p w14:paraId="052E5875">
            <w:pPr>
              <w:jc w:val="center"/>
              <w:rPr>
                <w:rFonts w:hint="eastAsia" w:ascii="宋体" w:hAnsi="宋体" w:cs="Arial"/>
                <w:color w:val="000000"/>
                <w:kern w:val="0"/>
                <w:sz w:val="20"/>
                <w:szCs w:val="20"/>
              </w:rPr>
            </w:pPr>
            <w:r>
              <w:rPr>
                <w:rFonts w:hint="eastAsia" w:ascii="宋体" w:hAnsi="宋体" w:cs="Arial"/>
                <w:color w:val="000000"/>
                <w:kern w:val="0"/>
                <w:sz w:val="20"/>
                <w:szCs w:val="20"/>
              </w:rPr>
              <w:t>0-5</w:t>
            </w:r>
          </w:p>
        </w:tc>
        <w:tc>
          <w:tcPr>
            <w:tcW w:w="5705" w:type="dxa"/>
            <w:noWrap w:val="0"/>
            <w:vAlign w:val="center"/>
          </w:tcPr>
          <w:p w14:paraId="1FADB707">
            <w:pPr>
              <w:pStyle w:val="5"/>
              <w:spacing w:after="0"/>
              <w:rPr>
                <w:rFonts w:hint="eastAsia" w:ascii="宋体" w:hAnsi="宋体" w:eastAsia="宋体"/>
                <w:color w:val="000000"/>
                <w:sz w:val="22"/>
                <w:szCs w:val="20"/>
                <w:lang w:val="en-US" w:eastAsia="zh-CN"/>
              </w:rPr>
            </w:pPr>
            <w:r>
              <w:rPr>
                <w:rFonts w:hint="eastAsia" w:ascii="宋体" w:hAnsi="宋体"/>
                <w:color w:val="000000"/>
                <w:sz w:val="22"/>
                <w:szCs w:val="20"/>
                <w:lang w:val="zh-CN"/>
              </w:rPr>
              <w:t>工程维修养护服务方案</w:t>
            </w:r>
            <w:r>
              <w:rPr>
                <w:rFonts w:hint="eastAsia" w:ascii="宋体" w:hAnsi="宋体"/>
                <w:color w:val="auto"/>
                <w:sz w:val="22"/>
                <w:szCs w:val="20"/>
                <w:lang w:val="zh-CN"/>
              </w:rPr>
              <w:t>（</w:t>
            </w:r>
            <w:r>
              <w:rPr>
                <w:rFonts w:hint="eastAsia" w:ascii="宋体" w:hAnsi="宋体"/>
                <w:color w:val="auto"/>
                <w:sz w:val="22"/>
                <w:szCs w:val="20"/>
                <w:lang w:val="en-US" w:eastAsia="zh-CN"/>
              </w:rPr>
              <w:t>包括小区内门禁系统、小区门头提升改造、地下车库配置除湿机</w:t>
            </w:r>
            <w:r>
              <w:rPr>
                <w:rFonts w:hint="eastAsia" w:ascii="宋体" w:hAnsi="宋体"/>
                <w:color w:val="auto"/>
                <w:sz w:val="22"/>
                <w:szCs w:val="20"/>
                <w:lang w:val="zh-CN"/>
              </w:rPr>
              <w:t>）</w:t>
            </w:r>
            <w:r>
              <w:rPr>
                <w:rFonts w:hint="eastAsia" w:ascii="宋体" w:hAnsi="宋体"/>
                <w:color w:val="000000"/>
                <w:sz w:val="22"/>
                <w:szCs w:val="20"/>
                <w:lang w:val="zh-CN"/>
              </w:rPr>
              <w:t>全面、具体、细致，是否具备可操作性，</w:t>
            </w:r>
            <w:r>
              <w:rPr>
                <w:rFonts w:hint="eastAsia" w:ascii="宋体" w:hAnsi="宋体"/>
                <w:color w:val="000000"/>
                <w:sz w:val="22"/>
                <w:szCs w:val="20"/>
              </w:rPr>
              <w:t>一类得</w:t>
            </w:r>
            <w:r>
              <w:rPr>
                <w:rFonts w:hint="eastAsia" w:ascii="宋体" w:hAnsi="宋体" w:cs="Arial"/>
                <w:color w:val="000000"/>
                <w:kern w:val="0"/>
                <w:sz w:val="22"/>
                <w:szCs w:val="20"/>
              </w:rPr>
              <w:t>5.0-4.0分，</w:t>
            </w:r>
            <w:r>
              <w:rPr>
                <w:rFonts w:hint="eastAsia" w:ascii="宋体" w:hAnsi="宋体"/>
                <w:color w:val="000000"/>
                <w:sz w:val="22"/>
                <w:szCs w:val="20"/>
              </w:rPr>
              <w:t>二类</w:t>
            </w:r>
            <w:r>
              <w:rPr>
                <w:rFonts w:hint="eastAsia" w:ascii="宋体" w:hAnsi="宋体" w:cs="Arial"/>
                <w:color w:val="000000"/>
                <w:kern w:val="0"/>
                <w:sz w:val="22"/>
                <w:szCs w:val="20"/>
              </w:rPr>
              <w:t>得3.9-</w:t>
            </w:r>
            <w:r>
              <w:rPr>
                <w:rFonts w:hint="eastAsia" w:ascii="宋体" w:hAnsi="宋体" w:cs="Arial"/>
                <w:color w:val="000000"/>
                <w:kern w:val="0"/>
                <w:sz w:val="22"/>
                <w:szCs w:val="20"/>
                <w:lang w:val="en-US" w:eastAsia="zh-CN"/>
              </w:rPr>
              <w:t>2.0</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得1.</w:t>
            </w:r>
            <w:r>
              <w:rPr>
                <w:rFonts w:hint="eastAsia" w:ascii="宋体" w:hAnsi="宋体" w:cs="Arial"/>
                <w:color w:val="000000"/>
                <w:kern w:val="0"/>
                <w:sz w:val="22"/>
                <w:szCs w:val="20"/>
                <w:lang w:val="en-US" w:eastAsia="zh-CN"/>
              </w:rPr>
              <w:t>9</w:t>
            </w:r>
            <w:r>
              <w:rPr>
                <w:rFonts w:hint="eastAsia" w:ascii="宋体" w:hAnsi="宋体" w:cs="Arial"/>
                <w:color w:val="000000"/>
                <w:kern w:val="0"/>
                <w:sz w:val="22"/>
                <w:szCs w:val="20"/>
              </w:rPr>
              <w:t>-0分</w:t>
            </w:r>
            <w:r>
              <w:rPr>
                <w:rFonts w:hint="eastAsia" w:ascii="宋体" w:hAnsi="宋体" w:cs="Arial"/>
                <w:color w:val="000000"/>
                <w:kern w:val="0"/>
                <w:sz w:val="22"/>
                <w:szCs w:val="20"/>
                <w:lang w:eastAsia="zh-CN"/>
              </w:rPr>
              <w:t>。</w:t>
            </w:r>
          </w:p>
        </w:tc>
      </w:tr>
      <w:tr w14:paraId="368F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40" w:type="dxa"/>
            <w:vMerge w:val="continue"/>
            <w:noWrap w:val="0"/>
            <w:vAlign w:val="center"/>
          </w:tcPr>
          <w:p w14:paraId="4E0117DD">
            <w:pPr>
              <w:widowControl/>
              <w:spacing w:line="340" w:lineRule="exact"/>
              <w:jc w:val="left"/>
              <w:rPr>
                <w:rFonts w:ascii="宋体" w:hAnsi="宋体" w:cs="Arial"/>
                <w:color w:val="000000"/>
                <w:kern w:val="0"/>
                <w:szCs w:val="21"/>
              </w:rPr>
            </w:pPr>
          </w:p>
        </w:tc>
        <w:tc>
          <w:tcPr>
            <w:tcW w:w="2353" w:type="dxa"/>
            <w:vMerge w:val="continue"/>
            <w:noWrap w:val="0"/>
            <w:vAlign w:val="center"/>
          </w:tcPr>
          <w:p w14:paraId="40CB179E">
            <w:pPr>
              <w:widowControl/>
              <w:spacing w:line="340" w:lineRule="exact"/>
              <w:rPr>
                <w:rFonts w:ascii="宋体" w:hAnsi="宋体"/>
                <w:color w:val="000000"/>
                <w:sz w:val="20"/>
                <w:szCs w:val="20"/>
              </w:rPr>
            </w:pPr>
          </w:p>
        </w:tc>
        <w:tc>
          <w:tcPr>
            <w:tcW w:w="1036" w:type="dxa"/>
            <w:noWrap w:val="0"/>
            <w:vAlign w:val="center"/>
          </w:tcPr>
          <w:p w14:paraId="4D46E862">
            <w:pPr>
              <w:jc w:val="center"/>
              <w:rPr>
                <w:rFonts w:hint="eastAsia" w:ascii="宋体" w:hAnsi="宋体" w:cs="Arial"/>
                <w:color w:val="000000"/>
                <w:kern w:val="0"/>
                <w:sz w:val="20"/>
                <w:szCs w:val="20"/>
              </w:rPr>
            </w:pPr>
            <w:r>
              <w:rPr>
                <w:rFonts w:hint="eastAsia" w:ascii="宋体" w:hAnsi="宋体" w:cs="Arial"/>
                <w:color w:val="000000"/>
                <w:kern w:val="0"/>
                <w:sz w:val="20"/>
                <w:szCs w:val="20"/>
              </w:rPr>
              <w:t>0-5</w:t>
            </w:r>
          </w:p>
        </w:tc>
        <w:tc>
          <w:tcPr>
            <w:tcW w:w="5705" w:type="dxa"/>
            <w:noWrap w:val="0"/>
            <w:vAlign w:val="center"/>
          </w:tcPr>
          <w:p w14:paraId="52FE81E7">
            <w:pPr>
              <w:pStyle w:val="5"/>
              <w:spacing w:after="0"/>
              <w:rPr>
                <w:rFonts w:hint="eastAsia" w:ascii="宋体" w:hAnsi="宋体"/>
                <w:color w:val="000000"/>
                <w:sz w:val="22"/>
                <w:szCs w:val="20"/>
                <w:lang w:val="zh-CN"/>
              </w:rPr>
            </w:pPr>
            <w:r>
              <w:rPr>
                <w:rFonts w:hint="eastAsia" w:ascii="宋体" w:hAnsi="宋体"/>
                <w:color w:val="000000"/>
                <w:sz w:val="22"/>
                <w:szCs w:val="20"/>
                <w:lang w:val="zh-CN"/>
              </w:rPr>
              <w:t>客户服务方案（包括来电、来访、投诉、报修、客服接待）及档案管理制度的建立是否健全，是否可行，是否科学合理，比较打分，</w:t>
            </w:r>
            <w:r>
              <w:rPr>
                <w:rFonts w:hint="eastAsia" w:ascii="宋体" w:hAnsi="宋体"/>
                <w:color w:val="000000"/>
                <w:sz w:val="22"/>
                <w:szCs w:val="20"/>
              </w:rPr>
              <w:t>一类得</w:t>
            </w:r>
            <w:r>
              <w:rPr>
                <w:rFonts w:hint="eastAsia" w:ascii="宋体" w:hAnsi="宋体" w:cs="Arial"/>
                <w:color w:val="000000"/>
                <w:kern w:val="0"/>
                <w:sz w:val="22"/>
                <w:szCs w:val="20"/>
              </w:rPr>
              <w:t>5.0-4.0分，</w:t>
            </w:r>
            <w:r>
              <w:rPr>
                <w:rFonts w:hint="eastAsia" w:ascii="宋体" w:hAnsi="宋体"/>
                <w:color w:val="000000"/>
                <w:sz w:val="22"/>
                <w:szCs w:val="20"/>
              </w:rPr>
              <w:t>二类</w:t>
            </w:r>
            <w:r>
              <w:rPr>
                <w:rFonts w:hint="eastAsia" w:ascii="宋体" w:hAnsi="宋体" w:cs="Arial"/>
                <w:color w:val="000000"/>
                <w:kern w:val="0"/>
                <w:sz w:val="22"/>
                <w:szCs w:val="20"/>
              </w:rPr>
              <w:t>得3.9-</w:t>
            </w:r>
            <w:r>
              <w:rPr>
                <w:rFonts w:hint="eastAsia" w:ascii="宋体" w:hAnsi="宋体" w:cs="Arial"/>
                <w:color w:val="000000"/>
                <w:kern w:val="0"/>
                <w:sz w:val="22"/>
                <w:szCs w:val="20"/>
                <w:lang w:val="en-US" w:eastAsia="zh-CN"/>
              </w:rPr>
              <w:t>2.0</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得1.</w:t>
            </w:r>
            <w:r>
              <w:rPr>
                <w:rFonts w:hint="eastAsia" w:ascii="宋体" w:hAnsi="宋体" w:cs="Arial"/>
                <w:color w:val="000000"/>
                <w:kern w:val="0"/>
                <w:sz w:val="22"/>
                <w:szCs w:val="20"/>
                <w:lang w:val="en-US" w:eastAsia="zh-CN"/>
              </w:rPr>
              <w:t>9</w:t>
            </w:r>
            <w:r>
              <w:rPr>
                <w:rFonts w:hint="eastAsia" w:ascii="宋体" w:hAnsi="宋体" w:cs="Arial"/>
                <w:color w:val="000000"/>
                <w:kern w:val="0"/>
                <w:sz w:val="22"/>
                <w:szCs w:val="20"/>
              </w:rPr>
              <w:t>-0分</w:t>
            </w:r>
            <w:r>
              <w:rPr>
                <w:rFonts w:hint="eastAsia" w:ascii="宋体" w:hAnsi="宋体"/>
                <w:color w:val="000000"/>
                <w:sz w:val="22"/>
                <w:szCs w:val="20"/>
              </w:rPr>
              <w:t>。</w:t>
            </w:r>
          </w:p>
        </w:tc>
      </w:tr>
      <w:tr w14:paraId="7A08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640" w:type="dxa"/>
            <w:noWrap w:val="0"/>
            <w:vAlign w:val="center"/>
          </w:tcPr>
          <w:p w14:paraId="47CD02D0">
            <w:pPr>
              <w:widowControl/>
              <w:spacing w:line="340" w:lineRule="exact"/>
              <w:ind w:firstLine="210" w:firstLineChars="100"/>
              <w:jc w:val="left"/>
              <w:rPr>
                <w:rFonts w:hint="eastAsia" w:ascii="宋体" w:hAnsi="宋体" w:eastAsia="宋体" w:cs="Arial"/>
                <w:color w:val="000000"/>
                <w:kern w:val="0"/>
                <w:szCs w:val="21"/>
                <w:lang w:eastAsia="zh-CN"/>
              </w:rPr>
            </w:pPr>
            <w:r>
              <w:rPr>
                <w:rFonts w:hint="eastAsia" w:ascii="宋体" w:hAnsi="宋体" w:cs="Arial"/>
                <w:color w:val="000000"/>
                <w:kern w:val="0"/>
                <w:szCs w:val="21"/>
                <w:lang w:val="en-US" w:eastAsia="zh-CN"/>
              </w:rPr>
              <w:t>3</w:t>
            </w:r>
          </w:p>
        </w:tc>
        <w:tc>
          <w:tcPr>
            <w:tcW w:w="2353" w:type="dxa"/>
            <w:noWrap w:val="0"/>
            <w:vAlign w:val="center"/>
          </w:tcPr>
          <w:p w14:paraId="42CB4307">
            <w:pPr>
              <w:widowControl/>
              <w:spacing w:line="340" w:lineRule="exact"/>
              <w:rPr>
                <w:rFonts w:hint="eastAsia" w:ascii="宋体" w:hAnsi="宋体"/>
                <w:color w:val="000000"/>
                <w:sz w:val="22"/>
                <w:szCs w:val="20"/>
                <w:lang w:val="zh-CN"/>
              </w:rPr>
            </w:pPr>
            <w:r>
              <w:rPr>
                <w:rFonts w:hint="eastAsia" w:ascii="宋体" w:hAnsi="宋体" w:cs="Times New Roman"/>
                <w:color w:val="000000"/>
                <w:kern w:val="2"/>
                <w:sz w:val="22"/>
                <w:szCs w:val="20"/>
                <w:lang w:val="zh-CN"/>
              </w:rPr>
              <w:t>应急预案（</w:t>
            </w:r>
            <w:r>
              <w:rPr>
                <w:rFonts w:hint="eastAsia" w:ascii="宋体" w:hAnsi="宋体" w:cs="Times New Roman"/>
                <w:color w:val="000000"/>
                <w:kern w:val="2"/>
                <w:sz w:val="22"/>
                <w:szCs w:val="20"/>
                <w:lang w:val="zh-CN" w:eastAsia="zh-CN"/>
              </w:rPr>
              <w:t>3</w:t>
            </w:r>
            <w:r>
              <w:rPr>
                <w:rFonts w:hint="eastAsia" w:ascii="宋体" w:hAnsi="宋体" w:cs="Times New Roman"/>
                <w:color w:val="000000"/>
                <w:kern w:val="2"/>
                <w:sz w:val="22"/>
                <w:szCs w:val="20"/>
                <w:lang w:val="zh-CN"/>
              </w:rPr>
              <w:t>分）</w:t>
            </w:r>
          </w:p>
        </w:tc>
        <w:tc>
          <w:tcPr>
            <w:tcW w:w="1036" w:type="dxa"/>
            <w:noWrap w:val="0"/>
            <w:vAlign w:val="center"/>
          </w:tcPr>
          <w:p w14:paraId="40348B92">
            <w:pPr>
              <w:widowControl/>
              <w:spacing w:line="340" w:lineRule="exact"/>
              <w:jc w:val="center"/>
              <w:rPr>
                <w:rFonts w:hint="eastAsia" w:ascii="宋体" w:hAnsi="宋体" w:eastAsia="宋体" w:cs="Times New Roman"/>
                <w:color w:val="000000"/>
                <w:kern w:val="2"/>
                <w:sz w:val="22"/>
                <w:szCs w:val="20"/>
                <w:lang w:val="zh-CN" w:eastAsia="zh-CN"/>
              </w:rPr>
            </w:pPr>
            <w:r>
              <w:rPr>
                <w:rFonts w:hint="eastAsia" w:ascii="宋体" w:hAnsi="宋体" w:cs="Times New Roman"/>
                <w:color w:val="000000"/>
                <w:kern w:val="2"/>
                <w:sz w:val="22"/>
                <w:szCs w:val="20"/>
                <w:lang w:val="zh-CN"/>
              </w:rPr>
              <w:t>0-</w:t>
            </w:r>
            <w:r>
              <w:rPr>
                <w:rFonts w:hint="eastAsia" w:ascii="宋体" w:hAnsi="宋体" w:cs="Times New Roman"/>
                <w:color w:val="000000"/>
                <w:kern w:val="2"/>
                <w:sz w:val="22"/>
                <w:szCs w:val="20"/>
                <w:lang w:val="zh-CN" w:eastAsia="zh-CN"/>
              </w:rPr>
              <w:t>3</w:t>
            </w:r>
          </w:p>
        </w:tc>
        <w:tc>
          <w:tcPr>
            <w:tcW w:w="5705" w:type="dxa"/>
            <w:noWrap w:val="0"/>
            <w:vAlign w:val="center"/>
          </w:tcPr>
          <w:p w14:paraId="5C93B806">
            <w:pPr>
              <w:spacing w:line="340" w:lineRule="exact"/>
              <w:rPr>
                <w:rFonts w:hint="eastAsia" w:ascii="宋体" w:hAnsi="宋体" w:cs="Times New Roman"/>
                <w:color w:val="000000"/>
                <w:kern w:val="2"/>
                <w:sz w:val="22"/>
                <w:szCs w:val="20"/>
                <w:lang w:val="zh-CN"/>
              </w:rPr>
            </w:pPr>
            <w:r>
              <w:rPr>
                <w:rFonts w:hint="eastAsia" w:ascii="宋体" w:hAnsi="宋体" w:cs="Times New Roman"/>
                <w:color w:val="000000"/>
                <w:kern w:val="2"/>
                <w:sz w:val="22"/>
                <w:szCs w:val="20"/>
                <w:lang w:val="zh-CN"/>
              </w:rPr>
              <w:t>应急预案及突发事件处理方案（包括消防演习、防爆、台风、暴雨、地震、业主急救、疫情应急预案等）及相应的解决措施，根据方案的实施优劣综合评比打分:</w:t>
            </w:r>
          </w:p>
          <w:p w14:paraId="28A500FF">
            <w:pPr>
              <w:spacing w:line="340" w:lineRule="exact"/>
              <w:rPr>
                <w:rFonts w:hint="eastAsia" w:ascii="宋体" w:hAnsi="宋体"/>
                <w:color w:val="000000"/>
                <w:sz w:val="22"/>
                <w:szCs w:val="20"/>
                <w:lang w:val="zh-CN"/>
              </w:rPr>
            </w:pPr>
            <w:r>
              <w:rPr>
                <w:rFonts w:hint="eastAsia" w:ascii="宋体" w:hAnsi="宋体"/>
                <w:color w:val="000000"/>
                <w:sz w:val="22"/>
                <w:szCs w:val="20"/>
                <w:lang w:val="zh-CN"/>
              </w:rPr>
              <w:t>一类得</w:t>
            </w:r>
            <w:r>
              <w:rPr>
                <w:rFonts w:hint="eastAsia" w:ascii="宋体" w:hAnsi="宋体" w:cs="Times New Roman"/>
                <w:color w:val="000000"/>
                <w:kern w:val="2"/>
                <w:sz w:val="22"/>
                <w:szCs w:val="20"/>
                <w:lang w:val="zh-CN" w:eastAsia="zh-CN"/>
              </w:rPr>
              <w:t>3</w:t>
            </w:r>
            <w:r>
              <w:rPr>
                <w:rFonts w:hint="eastAsia" w:ascii="宋体" w:hAnsi="宋体" w:cs="Times New Roman"/>
                <w:color w:val="000000"/>
                <w:kern w:val="2"/>
                <w:sz w:val="22"/>
                <w:szCs w:val="20"/>
                <w:lang w:val="zh-CN"/>
              </w:rPr>
              <w:t>.0-</w:t>
            </w:r>
            <w:r>
              <w:rPr>
                <w:rFonts w:hint="eastAsia" w:ascii="宋体" w:hAnsi="宋体" w:cs="Times New Roman"/>
                <w:color w:val="000000"/>
                <w:kern w:val="2"/>
                <w:sz w:val="22"/>
                <w:szCs w:val="20"/>
                <w:lang w:val="zh-CN" w:eastAsia="zh-CN"/>
              </w:rPr>
              <w:t>2</w:t>
            </w:r>
            <w:r>
              <w:rPr>
                <w:rFonts w:hint="eastAsia" w:ascii="宋体" w:hAnsi="宋体" w:cs="Times New Roman"/>
                <w:color w:val="000000"/>
                <w:kern w:val="2"/>
                <w:sz w:val="22"/>
                <w:szCs w:val="20"/>
                <w:lang w:val="zh-CN"/>
              </w:rPr>
              <w:t>.0分，</w:t>
            </w:r>
            <w:r>
              <w:rPr>
                <w:rFonts w:hint="eastAsia" w:ascii="宋体" w:hAnsi="宋体"/>
                <w:color w:val="000000"/>
                <w:sz w:val="22"/>
                <w:szCs w:val="20"/>
                <w:lang w:val="zh-CN"/>
              </w:rPr>
              <w:t>二类</w:t>
            </w:r>
            <w:r>
              <w:rPr>
                <w:rFonts w:hint="eastAsia" w:ascii="宋体" w:hAnsi="宋体" w:cs="Times New Roman"/>
                <w:color w:val="000000"/>
                <w:kern w:val="2"/>
                <w:sz w:val="22"/>
                <w:szCs w:val="20"/>
                <w:lang w:val="zh-CN"/>
              </w:rPr>
              <w:t>得</w:t>
            </w:r>
            <w:r>
              <w:rPr>
                <w:rFonts w:hint="eastAsia" w:ascii="宋体" w:hAnsi="宋体" w:cs="Times New Roman"/>
                <w:color w:val="000000"/>
                <w:kern w:val="2"/>
                <w:sz w:val="22"/>
                <w:szCs w:val="20"/>
                <w:lang w:val="zh-CN" w:eastAsia="zh-CN"/>
              </w:rPr>
              <w:t>2.0</w:t>
            </w:r>
            <w:r>
              <w:rPr>
                <w:rFonts w:hint="eastAsia" w:ascii="宋体" w:hAnsi="宋体" w:cs="Times New Roman"/>
                <w:color w:val="000000"/>
                <w:kern w:val="2"/>
                <w:sz w:val="22"/>
                <w:szCs w:val="20"/>
                <w:lang w:val="zh-CN"/>
              </w:rPr>
              <w:t>-1</w:t>
            </w:r>
            <w:r>
              <w:rPr>
                <w:rFonts w:hint="eastAsia" w:ascii="宋体" w:hAnsi="宋体" w:cs="Times New Roman"/>
                <w:color w:val="000000"/>
                <w:kern w:val="2"/>
                <w:sz w:val="22"/>
                <w:szCs w:val="20"/>
                <w:lang w:val="zh-CN" w:eastAsia="zh-CN"/>
              </w:rPr>
              <w:t>.0</w:t>
            </w:r>
            <w:r>
              <w:rPr>
                <w:rFonts w:hint="eastAsia" w:ascii="宋体" w:hAnsi="宋体" w:cs="Times New Roman"/>
                <w:color w:val="000000"/>
                <w:kern w:val="2"/>
                <w:sz w:val="22"/>
                <w:szCs w:val="20"/>
                <w:lang w:val="zh-CN"/>
              </w:rPr>
              <w:t>分，</w:t>
            </w:r>
            <w:r>
              <w:rPr>
                <w:rFonts w:hint="eastAsia" w:ascii="宋体" w:hAnsi="宋体"/>
                <w:color w:val="000000"/>
                <w:sz w:val="22"/>
                <w:szCs w:val="20"/>
                <w:lang w:val="zh-CN"/>
              </w:rPr>
              <w:t>三类</w:t>
            </w:r>
            <w:r>
              <w:rPr>
                <w:rFonts w:hint="eastAsia" w:ascii="宋体" w:hAnsi="宋体" w:cs="Times New Roman"/>
                <w:color w:val="000000"/>
                <w:kern w:val="2"/>
                <w:sz w:val="22"/>
                <w:szCs w:val="20"/>
                <w:lang w:val="zh-CN"/>
              </w:rPr>
              <w:t>得</w:t>
            </w:r>
            <w:r>
              <w:rPr>
                <w:rFonts w:hint="eastAsia" w:ascii="宋体" w:hAnsi="宋体" w:cs="Times New Roman"/>
                <w:color w:val="000000"/>
                <w:kern w:val="2"/>
                <w:sz w:val="22"/>
                <w:szCs w:val="20"/>
                <w:lang w:val="zh-CN" w:eastAsia="zh-CN"/>
              </w:rPr>
              <w:t>0.9</w:t>
            </w:r>
            <w:r>
              <w:rPr>
                <w:rFonts w:hint="eastAsia" w:ascii="宋体" w:hAnsi="宋体" w:cs="Times New Roman"/>
                <w:color w:val="000000"/>
                <w:kern w:val="2"/>
                <w:sz w:val="22"/>
                <w:szCs w:val="20"/>
                <w:lang w:val="zh-CN"/>
              </w:rPr>
              <w:t>-0</w:t>
            </w:r>
            <w:r>
              <w:rPr>
                <w:rFonts w:hint="eastAsia" w:ascii="宋体" w:hAnsi="宋体" w:cs="Times New Roman"/>
                <w:color w:val="000000"/>
                <w:kern w:val="2"/>
                <w:sz w:val="22"/>
                <w:szCs w:val="20"/>
                <w:lang w:val="zh-CN" w:eastAsia="zh-CN"/>
              </w:rPr>
              <w:t>.5</w:t>
            </w:r>
            <w:r>
              <w:rPr>
                <w:rFonts w:hint="eastAsia" w:ascii="宋体" w:hAnsi="宋体" w:cs="Times New Roman"/>
                <w:color w:val="000000"/>
                <w:kern w:val="2"/>
                <w:sz w:val="22"/>
                <w:szCs w:val="20"/>
                <w:lang w:val="zh-CN"/>
              </w:rPr>
              <w:t>分</w:t>
            </w:r>
            <w:r>
              <w:rPr>
                <w:rFonts w:hint="eastAsia" w:ascii="宋体" w:hAnsi="宋体"/>
                <w:color w:val="000000"/>
                <w:sz w:val="22"/>
                <w:szCs w:val="20"/>
                <w:lang w:val="zh-CN"/>
              </w:rPr>
              <w:t>。</w:t>
            </w:r>
          </w:p>
        </w:tc>
      </w:tr>
      <w:tr w14:paraId="4B54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40" w:type="dxa"/>
            <w:noWrap w:val="0"/>
            <w:vAlign w:val="center"/>
          </w:tcPr>
          <w:p w14:paraId="6F54C3D5">
            <w:pPr>
              <w:spacing w:line="340" w:lineRule="exact"/>
              <w:ind w:firstLine="210" w:firstLineChars="100"/>
              <w:jc w:val="left"/>
              <w:rPr>
                <w:rFonts w:hint="eastAsia" w:ascii="宋体" w:hAnsi="宋体" w:eastAsia="宋体" w:cs="Arial"/>
                <w:color w:val="000000"/>
                <w:kern w:val="0"/>
                <w:szCs w:val="21"/>
                <w:lang w:eastAsia="zh-CN"/>
              </w:rPr>
            </w:pPr>
            <w:r>
              <w:rPr>
                <w:rFonts w:hint="eastAsia" w:ascii="宋体" w:hAnsi="宋体" w:cs="Arial"/>
                <w:color w:val="000000"/>
                <w:kern w:val="0"/>
                <w:szCs w:val="21"/>
                <w:lang w:val="en-US" w:eastAsia="zh-CN"/>
              </w:rPr>
              <w:t>4</w:t>
            </w:r>
          </w:p>
        </w:tc>
        <w:tc>
          <w:tcPr>
            <w:tcW w:w="2353" w:type="dxa"/>
            <w:noWrap w:val="0"/>
            <w:vAlign w:val="center"/>
          </w:tcPr>
          <w:p w14:paraId="7E2C8FB2">
            <w:pPr>
              <w:pStyle w:val="5"/>
              <w:rPr>
                <w:rFonts w:hint="eastAsia" w:ascii="宋体" w:hAnsi="宋体" w:cs="Times New Roman"/>
                <w:color w:val="000000"/>
                <w:sz w:val="22"/>
                <w:szCs w:val="20"/>
                <w:lang w:val="zh-CN"/>
              </w:rPr>
            </w:pPr>
            <w:r>
              <w:rPr>
                <w:rFonts w:hint="eastAsia" w:ascii="宋体" w:hAnsi="宋体" w:cs="Times New Roman"/>
                <w:color w:val="000000"/>
                <w:sz w:val="22"/>
                <w:szCs w:val="20"/>
                <w:lang w:val="zh-CN"/>
              </w:rPr>
              <w:t>标书的制作</w:t>
            </w:r>
            <w:r>
              <w:rPr>
                <w:rFonts w:hint="eastAsia" w:ascii="宋体" w:hAnsi="宋体" w:eastAsia="宋体" w:cs="Times New Roman"/>
                <w:color w:val="000000"/>
                <w:sz w:val="22"/>
                <w:szCs w:val="20"/>
                <w:lang w:val="zh-CN"/>
              </w:rPr>
              <w:t>（</w:t>
            </w:r>
            <w:r>
              <w:rPr>
                <w:rFonts w:hint="eastAsia" w:ascii="宋体" w:hAnsi="宋体" w:eastAsia="宋体" w:cs="Times New Roman"/>
                <w:color w:val="000000"/>
                <w:sz w:val="22"/>
                <w:szCs w:val="20"/>
                <w:lang w:val="zh-CN" w:eastAsia="zh-CN"/>
              </w:rPr>
              <w:t>2</w:t>
            </w:r>
            <w:r>
              <w:rPr>
                <w:rFonts w:hint="eastAsia" w:ascii="宋体" w:hAnsi="宋体" w:eastAsia="宋体" w:cs="Times New Roman"/>
                <w:color w:val="000000"/>
                <w:sz w:val="22"/>
                <w:szCs w:val="20"/>
                <w:lang w:val="zh-CN"/>
              </w:rPr>
              <w:t>分）</w:t>
            </w:r>
          </w:p>
        </w:tc>
        <w:tc>
          <w:tcPr>
            <w:tcW w:w="1036" w:type="dxa"/>
            <w:noWrap w:val="0"/>
            <w:vAlign w:val="center"/>
          </w:tcPr>
          <w:p w14:paraId="0785C1A9">
            <w:pPr>
              <w:pStyle w:val="5"/>
              <w:ind w:firstLine="220" w:firstLineChars="100"/>
              <w:jc w:val="left"/>
              <w:rPr>
                <w:rFonts w:hint="eastAsia" w:ascii="宋体" w:hAnsi="宋体" w:eastAsia="宋体" w:cs="Times New Roman"/>
                <w:color w:val="000000"/>
                <w:kern w:val="2"/>
                <w:sz w:val="22"/>
                <w:szCs w:val="20"/>
                <w:lang w:val="zh-CN" w:eastAsia="zh-CN"/>
              </w:rPr>
            </w:pPr>
            <w:r>
              <w:rPr>
                <w:rFonts w:hint="eastAsia" w:ascii="宋体" w:hAnsi="宋体"/>
                <w:color w:val="000000"/>
                <w:sz w:val="22"/>
                <w:szCs w:val="20"/>
                <w:lang w:val="zh-CN"/>
              </w:rPr>
              <w:t>0-</w:t>
            </w:r>
            <w:r>
              <w:rPr>
                <w:rFonts w:hint="eastAsia" w:ascii="宋体" w:hAnsi="宋体"/>
                <w:color w:val="000000"/>
                <w:sz w:val="22"/>
                <w:szCs w:val="20"/>
                <w:lang w:val="zh-CN" w:eastAsia="zh-CN"/>
              </w:rPr>
              <w:t>2</w:t>
            </w:r>
          </w:p>
        </w:tc>
        <w:tc>
          <w:tcPr>
            <w:tcW w:w="5705" w:type="dxa"/>
            <w:noWrap w:val="0"/>
            <w:vAlign w:val="top"/>
          </w:tcPr>
          <w:p w14:paraId="6404176F">
            <w:pPr>
              <w:pStyle w:val="5"/>
              <w:rPr>
                <w:rFonts w:hint="eastAsia" w:ascii="宋体" w:hAnsi="宋体" w:cs="Times New Roman"/>
                <w:color w:val="000000"/>
                <w:kern w:val="2"/>
                <w:sz w:val="22"/>
                <w:szCs w:val="20"/>
                <w:lang w:val="zh-CN"/>
              </w:rPr>
            </w:pPr>
            <w:r>
              <w:rPr>
                <w:rFonts w:hint="eastAsia" w:ascii="宋体" w:hAnsi="宋体" w:cs="Times New Roman"/>
                <w:color w:val="000000"/>
                <w:kern w:val="2"/>
                <w:sz w:val="22"/>
                <w:szCs w:val="20"/>
                <w:lang w:val="zh-CN"/>
              </w:rPr>
              <w:t>根据各投标人制作标书的美观情况，所交资料的完整性与投标书内容、格式、装订质量、编排的合理性等情况进行评比打分。</w:t>
            </w:r>
          </w:p>
        </w:tc>
      </w:tr>
      <w:tr w14:paraId="1847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40" w:type="dxa"/>
            <w:noWrap w:val="0"/>
            <w:vAlign w:val="center"/>
          </w:tcPr>
          <w:p w14:paraId="41A6F6D1">
            <w:pPr>
              <w:widowControl/>
              <w:spacing w:line="360" w:lineRule="exact"/>
              <w:ind w:firstLine="210" w:firstLineChars="100"/>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2353" w:type="dxa"/>
            <w:noWrap w:val="0"/>
            <w:vAlign w:val="center"/>
          </w:tcPr>
          <w:p w14:paraId="662E8AF5">
            <w:pPr>
              <w:widowControl/>
              <w:spacing w:line="360" w:lineRule="exact"/>
              <w:textAlignment w:val="baseline"/>
              <w:rPr>
                <w:rFonts w:hint="eastAsia" w:ascii="宋体" w:hAnsi="宋体" w:eastAsia="宋体" w:cs="宋体"/>
                <w:sz w:val="21"/>
                <w:szCs w:val="21"/>
                <w:lang w:val="zh-CN" w:eastAsia="zh-CN"/>
              </w:rPr>
            </w:pPr>
            <w:r>
              <w:rPr>
                <w:rFonts w:hint="eastAsia" w:ascii="宋体" w:hAnsi="宋体" w:eastAsia="宋体" w:cs="宋体"/>
                <w:sz w:val="21"/>
                <w:szCs w:val="21"/>
                <w:lang w:val="zh-CN"/>
              </w:rPr>
              <w:t>现场踏勘情况</w:t>
            </w:r>
            <w:r>
              <w:rPr>
                <w:rFonts w:hint="eastAsia" w:ascii="宋体" w:hAnsi="宋体" w:eastAsia="宋体" w:cs="宋体"/>
                <w:sz w:val="21"/>
                <w:szCs w:val="21"/>
                <w:lang w:val="zh-CN" w:eastAsia="zh-CN"/>
              </w:rPr>
              <w:t>（</w:t>
            </w:r>
            <w:r>
              <w:rPr>
                <w:rFonts w:hint="eastAsia" w:ascii="宋体" w:hAnsi="宋体" w:eastAsia="宋体" w:cs="宋体"/>
                <w:sz w:val="21"/>
                <w:szCs w:val="21"/>
                <w:lang w:val="zh-CN"/>
              </w:rPr>
              <w:t>2分</w:t>
            </w:r>
            <w:r>
              <w:rPr>
                <w:rFonts w:hint="eastAsia" w:ascii="宋体" w:hAnsi="宋体" w:eastAsia="宋体" w:cs="宋体"/>
                <w:sz w:val="21"/>
                <w:szCs w:val="21"/>
                <w:lang w:val="zh-CN" w:eastAsia="zh-CN"/>
              </w:rPr>
              <w:t>）</w:t>
            </w:r>
          </w:p>
        </w:tc>
        <w:tc>
          <w:tcPr>
            <w:tcW w:w="1036" w:type="dxa"/>
            <w:noWrap w:val="0"/>
            <w:vAlign w:val="center"/>
          </w:tcPr>
          <w:p w14:paraId="324BA0C0">
            <w:pPr>
              <w:widowControl/>
              <w:spacing w:line="360" w:lineRule="exact"/>
              <w:jc w:val="center"/>
              <w:textAlignment w:val="baseline"/>
              <w:rPr>
                <w:rFonts w:hint="eastAsia" w:ascii="宋体" w:hAnsi="宋体" w:cs="Times New Roman"/>
                <w:color w:val="000000"/>
                <w:sz w:val="22"/>
                <w:szCs w:val="20"/>
                <w:lang w:val="zh-CN" w:eastAsia="zh-CN"/>
              </w:rPr>
            </w:pPr>
            <w:r>
              <w:rPr>
                <w:rFonts w:hint="eastAsia" w:ascii="宋体" w:hAnsi="宋体"/>
                <w:color w:val="000000"/>
                <w:sz w:val="22"/>
                <w:szCs w:val="20"/>
                <w:lang w:val="zh-CN"/>
              </w:rPr>
              <w:t>0-</w:t>
            </w:r>
            <w:r>
              <w:rPr>
                <w:rFonts w:hint="eastAsia" w:ascii="宋体" w:hAnsi="宋体"/>
                <w:color w:val="000000"/>
                <w:sz w:val="22"/>
                <w:szCs w:val="20"/>
                <w:lang w:val="zh-CN" w:eastAsia="zh-CN"/>
              </w:rPr>
              <w:t>2</w:t>
            </w:r>
          </w:p>
        </w:tc>
        <w:tc>
          <w:tcPr>
            <w:tcW w:w="5705" w:type="dxa"/>
            <w:noWrap w:val="0"/>
            <w:vAlign w:val="center"/>
          </w:tcPr>
          <w:p w14:paraId="3278B512">
            <w:pPr>
              <w:widowControl/>
              <w:spacing w:line="360" w:lineRule="exact"/>
              <w:jc w:val="left"/>
              <w:textAlignment w:val="baseline"/>
              <w:rPr>
                <w:rFonts w:hint="eastAsia" w:ascii="宋体" w:hAnsi="宋体"/>
                <w:color w:val="000000"/>
                <w:sz w:val="22"/>
                <w:szCs w:val="20"/>
                <w:lang w:val="zh-CN"/>
              </w:rPr>
            </w:pPr>
            <w:r>
              <w:rPr>
                <w:rFonts w:hint="eastAsia" w:ascii="宋体" w:hAnsi="宋体"/>
                <w:color w:val="000000"/>
                <w:sz w:val="22"/>
                <w:szCs w:val="20"/>
                <w:lang w:val="zh-CN"/>
              </w:rPr>
              <w:t>为更好地编制符合本小区实际的服务方案，投标单位应提前到现场进行踏勘。投标文件中根据踏勘情况提供采购单位盖章的现场踏勘确认单，踏勘前与采购单位提前预约（具体联系人详见及踏勘要求见前附表，现场踏勘确认单格式见附件八）。提供踏勘确认单的得2分，未提供不得。</w:t>
            </w:r>
          </w:p>
        </w:tc>
      </w:tr>
      <w:tr w14:paraId="1DEF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40" w:type="dxa"/>
            <w:noWrap w:val="0"/>
            <w:vAlign w:val="center"/>
          </w:tcPr>
          <w:p w14:paraId="5A2968A0">
            <w:pPr>
              <w:widowControl/>
              <w:spacing w:line="360" w:lineRule="exact"/>
              <w:ind w:firstLine="210" w:firstLineChars="100"/>
              <w:textAlignment w:val="baseline"/>
              <w:rPr>
                <w:rFonts w:hint="eastAsia" w:ascii="宋体" w:hAnsi="宋体" w:eastAsia="宋体" w:cs="宋体"/>
                <w:sz w:val="21"/>
                <w:szCs w:val="21"/>
                <w:lang w:val="en-US" w:eastAsia="zh-CN"/>
              </w:rPr>
            </w:pPr>
            <w:bookmarkStart w:id="0" w:name="_GoBack"/>
            <w:bookmarkEnd w:id="0"/>
            <w:r>
              <w:rPr>
                <w:rFonts w:hint="eastAsia" w:ascii="宋体" w:hAnsi="宋体" w:eastAsia="宋体" w:cs="宋体"/>
                <w:sz w:val="21"/>
                <w:szCs w:val="21"/>
                <w:lang w:val="en-US" w:eastAsia="zh-CN"/>
              </w:rPr>
              <w:t>6</w:t>
            </w:r>
          </w:p>
        </w:tc>
        <w:tc>
          <w:tcPr>
            <w:tcW w:w="2353" w:type="dxa"/>
            <w:noWrap w:val="0"/>
            <w:vAlign w:val="center"/>
          </w:tcPr>
          <w:p w14:paraId="7C989ACC">
            <w:pPr>
              <w:widowControl/>
              <w:spacing w:line="360" w:lineRule="exact"/>
              <w:textAlignment w:val="baseline"/>
              <w:rPr>
                <w:rFonts w:hint="eastAsia" w:ascii="宋体" w:hAnsi="宋体" w:eastAsia="宋体" w:cs="宋体"/>
                <w:sz w:val="21"/>
                <w:szCs w:val="21"/>
                <w:lang w:val="zh-CN"/>
              </w:rPr>
            </w:pPr>
            <w:r>
              <w:rPr>
                <w:rFonts w:hint="eastAsia" w:ascii="宋体" w:hAnsi="宋体" w:eastAsia="宋体" w:cs="宋体"/>
                <w:sz w:val="21"/>
                <w:szCs w:val="21"/>
                <w:lang w:val="zh-CN"/>
              </w:rPr>
              <w:t>用于小区提升费用评分（</w:t>
            </w:r>
            <w:r>
              <w:rPr>
                <w:rFonts w:hint="eastAsia" w:ascii="宋体" w:hAnsi="宋体" w:eastAsia="宋体" w:cs="宋体"/>
                <w:sz w:val="21"/>
                <w:szCs w:val="21"/>
                <w:lang w:val="en-US" w:eastAsia="zh-CN"/>
              </w:rPr>
              <w:t>10分</w:t>
            </w:r>
            <w:r>
              <w:rPr>
                <w:rFonts w:hint="eastAsia" w:ascii="宋体" w:hAnsi="宋体" w:eastAsia="宋体" w:cs="宋体"/>
                <w:sz w:val="21"/>
                <w:szCs w:val="21"/>
                <w:lang w:val="zh-CN"/>
              </w:rPr>
              <w:t>）</w:t>
            </w:r>
          </w:p>
        </w:tc>
        <w:tc>
          <w:tcPr>
            <w:tcW w:w="1036" w:type="dxa"/>
            <w:noWrap w:val="0"/>
            <w:vAlign w:val="center"/>
          </w:tcPr>
          <w:p w14:paraId="611F13C6">
            <w:pPr>
              <w:widowControl/>
              <w:spacing w:line="360" w:lineRule="exact"/>
              <w:jc w:val="center"/>
              <w:textAlignment w:val="baseline"/>
              <w:rPr>
                <w:rFonts w:hint="default" w:ascii="宋体" w:hAnsi="宋体"/>
                <w:color w:val="000000"/>
                <w:sz w:val="22"/>
                <w:szCs w:val="20"/>
                <w:lang w:val="en-US"/>
              </w:rPr>
            </w:pPr>
            <w:r>
              <w:rPr>
                <w:rFonts w:hint="eastAsia" w:ascii="宋体" w:hAnsi="宋体"/>
                <w:color w:val="000000"/>
                <w:sz w:val="22"/>
                <w:szCs w:val="20"/>
                <w:lang w:val="zh-CN"/>
              </w:rPr>
              <w:t>0-</w:t>
            </w:r>
            <w:r>
              <w:rPr>
                <w:rFonts w:hint="eastAsia" w:ascii="宋体" w:hAnsi="宋体"/>
                <w:color w:val="000000"/>
                <w:sz w:val="22"/>
                <w:szCs w:val="20"/>
                <w:lang w:val="en-US" w:eastAsia="zh-CN"/>
              </w:rPr>
              <w:t>10</w:t>
            </w:r>
          </w:p>
        </w:tc>
        <w:tc>
          <w:tcPr>
            <w:tcW w:w="5705" w:type="dxa"/>
            <w:noWrap w:val="0"/>
            <w:vAlign w:val="center"/>
          </w:tcPr>
          <w:p w14:paraId="717D17E6">
            <w:pPr>
              <w:widowControl/>
              <w:spacing w:line="360" w:lineRule="exact"/>
              <w:jc w:val="left"/>
              <w:textAlignment w:val="baseline"/>
              <w:rPr>
                <w:rFonts w:hint="eastAsia" w:ascii="宋体" w:hAnsi="宋体"/>
                <w:color w:val="000000"/>
                <w:sz w:val="22"/>
                <w:szCs w:val="20"/>
                <w:lang w:val="zh-CN"/>
              </w:rPr>
            </w:pPr>
            <w:r>
              <w:rPr>
                <w:rFonts w:hint="eastAsia" w:ascii="宋体" w:hAnsi="宋体"/>
                <w:color w:val="000000"/>
                <w:sz w:val="22"/>
                <w:szCs w:val="20"/>
                <w:lang w:val="zh-CN"/>
              </w:rPr>
              <w:t>根据投标人拟投入用于小区提升费用进行评分，提升费用在2</w:t>
            </w:r>
            <w:r>
              <w:rPr>
                <w:rFonts w:hint="eastAsia" w:ascii="宋体" w:hAnsi="宋体"/>
                <w:color w:val="000000"/>
                <w:sz w:val="22"/>
                <w:szCs w:val="20"/>
                <w:lang w:val="zh-CN" w:eastAsia="zh-CN"/>
              </w:rPr>
              <w:t>0</w:t>
            </w:r>
            <w:r>
              <w:rPr>
                <w:rFonts w:hint="eastAsia" w:ascii="宋体" w:hAnsi="宋体"/>
                <w:color w:val="000000"/>
                <w:sz w:val="22"/>
                <w:szCs w:val="20"/>
                <w:lang w:val="zh-CN"/>
              </w:rPr>
              <w:t>万元的基础上，每增加</w:t>
            </w:r>
            <w:r>
              <w:rPr>
                <w:rFonts w:hint="eastAsia" w:ascii="宋体" w:hAnsi="宋体"/>
                <w:color w:val="000000"/>
                <w:sz w:val="22"/>
                <w:szCs w:val="20"/>
                <w:lang w:val="en-US" w:eastAsia="zh-CN"/>
              </w:rPr>
              <w:t>1</w:t>
            </w:r>
            <w:r>
              <w:rPr>
                <w:rFonts w:hint="eastAsia" w:ascii="宋体" w:hAnsi="宋体"/>
                <w:color w:val="000000"/>
                <w:sz w:val="22"/>
                <w:szCs w:val="20"/>
                <w:lang w:val="zh-CN"/>
              </w:rPr>
              <w:t>万元，加</w:t>
            </w:r>
            <w:r>
              <w:rPr>
                <w:rFonts w:hint="eastAsia" w:ascii="宋体" w:hAnsi="宋体"/>
                <w:color w:val="000000"/>
                <w:sz w:val="22"/>
                <w:szCs w:val="20"/>
                <w:lang w:val="en-US" w:eastAsia="zh-CN"/>
              </w:rPr>
              <w:t>0.5</w:t>
            </w:r>
            <w:r>
              <w:rPr>
                <w:rFonts w:hint="eastAsia" w:ascii="宋体" w:hAnsi="宋体"/>
                <w:color w:val="000000"/>
                <w:sz w:val="22"/>
                <w:szCs w:val="20"/>
                <w:lang w:val="zh-CN"/>
              </w:rPr>
              <w:t>分，最高加</w:t>
            </w:r>
            <w:r>
              <w:rPr>
                <w:rFonts w:hint="eastAsia" w:ascii="宋体" w:hAnsi="宋体"/>
                <w:color w:val="000000"/>
                <w:sz w:val="22"/>
                <w:szCs w:val="20"/>
                <w:lang w:val="en-US" w:eastAsia="zh-CN"/>
              </w:rPr>
              <w:t>10</w:t>
            </w:r>
            <w:r>
              <w:rPr>
                <w:rFonts w:hint="eastAsia" w:ascii="宋体" w:hAnsi="宋体"/>
                <w:color w:val="000000"/>
                <w:sz w:val="22"/>
                <w:szCs w:val="20"/>
                <w:lang w:val="zh-CN"/>
              </w:rPr>
              <w:t>分。注：如中标，承诺的费用须在合同签订前一次性转入业委会账户。</w:t>
            </w:r>
          </w:p>
        </w:tc>
      </w:tr>
    </w:tbl>
    <w:p w14:paraId="208E19A5">
      <w:pPr>
        <w:widowControl/>
        <w:spacing w:line="360" w:lineRule="exact"/>
        <w:ind w:firstLine="0" w:firstLineChars="0"/>
        <w:textAlignment w:val="baseline"/>
        <w:rPr>
          <w:b/>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注：上述评分内容，缺项的不得分。</w:t>
      </w:r>
    </w:p>
    <w:p w14:paraId="69D40D92">
      <w:pPr>
        <w:widowControl/>
        <w:spacing w:line="360" w:lineRule="exact"/>
        <w:ind w:firstLine="482" w:firstLineChars="200"/>
        <w:textAlignment w:val="baseline"/>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三</w:t>
      </w:r>
      <w:r>
        <w:rPr>
          <w:rFonts w:hint="eastAsia"/>
          <w:b/>
          <w:bCs/>
          <w:color w:val="000000" w:themeColor="text1"/>
          <w:sz w:val="24"/>
          <w14:textFill>
            <w14:solidFill>
              <w14:schemeClr w14:val="tx1"/>
            </w14:solidFill>
          </w14:textFill>
        </w:rPr>
        <w:t>）、中标候选人的确定</w:t>
      </w:r>
    </w:p>
    <w:p w14:paraId="51A6223E">
      <w:pPr>
        <w:widowControl/>
        <w:spacing w:line="400" w:lineRule="exact"/>
        <w:ind w:firstLine="48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评标委员会按各投标人的得分情况，由高到低排序，推荐排序前二名的投标人为中标候选人。如出现总得分相同的，按以下优先顺序确定中标候选人推荐次序：</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资信得分高者；</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技术标得分高者；</w:t>
      </w:r>
      <w:r>
        <w:rPr>
          <w:rFonts w:hint="eastAsia"/>
          <w:color w:val="000000" w:themeColor="text1"/>
          <w:sz w:val="24"/>
          <w:lang w:val="en-US" w:eastAsia="zh-CN"/>
          <w14:textFill>
            <w14:solidFill>
              <w14:schemeClr w14:val="tx1"/>
            </w14:solidFill>
          </w14:textFill>
        </w:rPr>
        <w:t>3.由投标人代表</w:t>
      </w:r>
      <w:r>
        <w:rPr>
          <w:rFonts w:hint="eastAsia"/>
          <w:color w:val="000000" w:themeColor="text1"/>
          <w:sz w:val="24"/>
          <w14:textFill>
            <w14:solidFill>
              <w14:schemeClr w14:val="tx1"/>
            </w14:solidFill>
          </w14:textFill>
        </w:rPr>
        <w:t>抽签确定。中标候选人公示结束后，由业主委员会委托第三方机构组织对二名中标候选人进行小区投票表决，根据投票结果决出中标人。决出中标人后向中标物业企业发布中标通知书，并由业主委员会代表全体业主与中标的物业企业签订本小区的物业服务合同。</w:t>
      </w:r>
    </w:p>
    <w:p w14:paraId="4B1DA6D2">
      <w:pPr>
        <w:widowControl/>
        <w:spacing w:line="360" w:lineRule="exact"/>
        <w:ind w:firstLine="482" w:firstLineChars="200"/>
        <w:textAlignment w:val="baseline"/>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四</w:t>
      </w:r>
      <w:r>
        <w:rPr>
          <w:rFonts w:hint="eastAsia"/>
          <w:b/>
          <w:bCs/>
          <w:color w:val="000000" w:themeColor="text1"/>
          <w:sz w:val="24"/>
          <w14:textFill>
            <w14:solidFill>
              <w14:schemeClr w14:val="tx1"/>
            </w14:solidFill>
          </w14:textFill>
        </w:rPr>
        <w:t>）、其它</w:t>
      </w:r>
    </w:p>
    <w:p w14:paraId="327DDCC8">
      <w:pPr>
        <w:widowControl/>
        <w:spacing w:line="400" w:lineRule="exact"/>
        <w:ind w:firstLine="480" w:firstLineChars="200"/>
        <w:textAlignment w:val="baseline"/>
        <w:rPr>
          <w:rFonts w:hint="default" w:eastAsia="宋体"/>
          <w:lang w:val="en-US" w:eastAsia="zh-CN"/>
        </w:rPr>
      </w:pPr>
      <w:r>
        <w:rPr>
          <w:rFonts w:hint="eastAsia" w:ascii="宋体" w:hAnsi="宋体"/>
          <w:color w:val="000000" w:themeColor="text1"/>
          <w:sz w:val="24"/>
          <w14:textFill>
            <w14:solidFill>
              <w14:schemeClr w14:val="tx1"/>
            </w14:solidFill>
          </w14:textFill>
        </w:rPr>
        <w:t>计算结果均保留小数点后两位，小数点后第三位四舍五入。</w:t>
      </w:r>
    </w:p>
    <w:sectPr>
      <w:headerReference r:id="rId3" w:type="default"/>
      <w:footerReference r:id="rId4" w:type="default"/>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BBBCF">
    <w:pPr>
      <w:pStyle w:val="8"/>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4672E9">
                          <w:pPr>
                            <w:pStyle w:val="8"/>
                          </w:pPr>
                          <w:r>
                            <w:fldChar w:fldCharType="begin"/>
                          </w:r>
                          <w:r>
                            <w:instrText xml:space="preserve"> PAGE  \* MERGEFORMAT </w:instrText>
                          </w:r>
                          <w:r>
                            <w:fldChar w:fldCharType="separate"/>
                          </w:r>
                          <w:r>
                            <w:t>75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E4672E9">
                    <w:pPr>
                      <w:pStyle w:val="8"/>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132CC">
    <w:pPr>
      <w:pStyle w:val="9"/>
      <w:pBdr>
        <w:bottom w:val="single" w:color="auto" w:sz="4" w:space="1"/>
      </w:pBdr>
      <w:wordWrap w:val="0"/>
      <w:jc w:val="right"/>
      <w:rPr>
        <w:rFonts w:hint="eastAsia"/>
        <w:color w:val="000000" w:themeColor="text1"/>
        <w14:textFill>
          <w14:solidFill>
            <w14:schemeClr w14:val="tx1"/>
          </w14:solidFill>
        </w14:textFill>
      </w:rPr>
    </w:pPr>
  </w:p>
  <w:p w14:paraId="555F7764">
    <w:pPr>
      <w:pStyle w:val="9"/>
      <w:pBdr>
        <w:bottom w:val="single" w:color="auto" w:sz="4" w:space="1"/>
      </w:pBdr>
      <w:wordWrap w:val="0"/>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MDE4OWZlNzY4Y2IyNjM0YWY3NWM2NGZmNTgxMzUifQ=="/>
  </w:docVars>
  <w:rsids>
    <w:rsidRoot w:val="43F86A13"/>
    <w:rsid w:val="116B7E3F"/>
    <w:rsid w:val="19C429CB"/>
    <w:rsid w:val="24B854F7"/>
    <w:rsid w:val="28135295"/>
    <w:rsid w:val="3B232BD1"/>
    <w:rsid w:val="4252328A"/>
    <w:rsid w:val="43F86A13"/>
    <w:rsid w:val="56651F74"/>
    <w:rsid w:val="62AD358F"/>
    <w:rsid w:val="6E9172BB"/>
    <w:rsid w:val="70AD732E"/>
    <w:rsid w:val="710036E5"/>
    <w:rsid w:val="76157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Body Text First Indent"/>
    <w:basedOn w:val="5"/>
    <w:next w:val="1"/>
    <w:qFormat/>
    <w:uiPriority w:val="0"/>
    <w:pPr>
      <w:spacing w:line="440" w:lineRule="exact"/>
      <w:ind w:firstLine="420" w:firstLineChars="100"/>
    </w:pPr>
  </w:style>
  <w:style w:type="paragraph" w:styleId="7">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8">
    <w:name w:val="footer"/>
    <w:basedOn w:val="1"/>
    <w:unhideWhenUsed/>
    <w:qFormat/>
    <w:uiPriority w:val="99"/>
    <w:pPr>
      <w:tabs>
        <w:tab w:val="center" w:pos="4153"/>
        <w:tab w:val="right" w:pos="8306"/>
      </w:tabs>
      <w:snapToGrid w:val="0"/>
    </w:pPr>
    <w:rPr>
      <w:rFonts w:ascii="Times New Roman" w:hAnsi="Times New Roman"/>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0">
    <w:name w:val="toc 1"/>
    <w:basedOn w:val="1"/>
    <w:next w:val="1"/>
    <w:qFormat/>
    <w:uiPriority w:val="39"/>
    <w:pPr>
      <w:tabs>
        <w:tab w:val="right" w:leader="dot" w:pos="8296"/>
      </w:tabs>
      <w:spacing w:line="440" w:lineRule="exact"/>
      <w:jc w:val="center"/>
    </w:pPr>
    <w:rPr>
      <w:rFonts w:ascii="宋体" w:hAnsi="宋体"/>
      <w:color w:val="000000"/>
    </w:rPr>
  </w:style>
  <w:style w:type="paragraph" w:styleId="11">
    <w:name w:val="toc 6"/>
    <w:basedOn w:val="1"/>
    <w:next w:val="1"/>
    <w:unhideWhenUsed/>
    <w:qFormat/>
    <w:uiPriority w:val="39"/>
    <w:pPr>
      <w:ind w:left="2100" w:leftChars="1000"/>
    </w:pPr>
  </w:style>
  <w:style w:type="paragraph" w:styleId="12">
    <w:name w:val="Body Text First Indent 2"/>
    <w:basedOn w:val="7"/>
    <w:next w:val="1"/>
    <w:qFormat/>
    <w:uiPriority w:val="0"/>
    <w:pPr>
      <w:spacing w:after="120" w:line="240" w:lineRule="auto"/>
      <w:ind w:left="420" w:leftChars="200" w:firstLine="420" w:firstLineChars="200"/>
    </w:pPr>
    <w:rPr>
      <w:sz w:val="28"/>
      <w:szCs w:val="24"/>
    </w:rPr>
  </w:style>
  <w:style w:type="character" w:styleId="15">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3148</Words>
  <Characters>3405</Characters>
  <Lines>0</Lines>
  <Paragraphs>0</Paragraphs>
  <TotalTime>0</TotalTime>
  <ScaleCrop>false</ScaleCrop>
  <LinksUpToDate>false</LinksUpToDate>
  <CharactersWithSpaces>3409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2024-07-05T09:32:00Z</dcterms:created>
  <dc:creator>Administrator</dc:creator>
  <cp:lastModifiedBy>周祥</cp:lastModifiedBy>
  <dcterms:modified xsi:type="dcterms:W3CDTF">2025-03-07T06:51:48Z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F0107D4C3DF54A7E8B559910A23F1CA0_12</vt:lpwstr>
  </property>
  <property fmtid="{D5CDD505-2E9C-101B-9397-08002B2CF9AE}" pid="4" name="KSOTemplateDocerSaveRecord">
    <vt:lpwstr>eyJoZGlkIjoiZThkMDQ3NThkNjE5ZjU2ZGZlMDI4NjI3ZjlhYjdkYmYiLCJ1c2VySWQiOiI2NDg3NzM4NjgifQ==</vt:lpwstr>
  </property>
</Properties>
</file>