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3001A">
      <w:pPr>
        <w:shd w:val="clear"/>
        <w:spacing w:line="240" w:lineRule="auto"/>
        <w:ind w:firstLine="0" w:firstLineChars="0"/>
        <w:jc w:val="both"/>
        <w:rPr>
          <w:rFonts w:hint="eastAsia" w:ascii="宋体" w:hAnsi="宋体" w:eastAsia="宋体" w:cs="宋体"/>
          <w:b/>
          <w:color w:val="auto"/>
          <w:sz w:val="36"/>
          <w:szCs w:val="36"/>
          <w:highlight w:val="none"/>
          <w:lang w:val="zh-CN"/>
        </w:rPr>
      </w:pPr>
      <w:bookmarkStart w:id="0" w:name="_Toc29473"/>
      <w:bookmarkStart w:id="1" w:name="_Toc15022"/>
      <w:bookmarkStart w:id="2" w:name="_Toc32399"/>
    </w:p>
    <w:p w14:paraId="33B453B3">
      <w:pPr>
        <w:shd w:val="clear"/>
        <w:tabs>
          <w:tab w:val="center" w:pos="4932"/>
          <w:tab w:val="left" w:pos="8491"/>
        </w:tabs>
        <w:spacing w:line="240" w:lineRule="auto"/>
        <w:ind w:firstLine="0" w:firstLineChars="0"/>
        <w:jc w:val="center"/>
        <w:outlineLvl w:val="0"/>
        <w:rPr>
          <w:rFonts w:hint="eastAsia" w:ascii="宋体" w:hAnsi="宋体" w:eastAsia="宋体" w:cs="宋体"/>
          <w:b/>
          <w:color w:val="auto"/>
          <w:sz w:val="52"/>
          <w:szCs w:val="52"/>
          <w:highlight w:val="none"/>
          <w:lang w:val="zh-CN"/>
        </w:rPr>
      </w:pPr>
      <w:bookmarkStart w:id="3" w:name="_Toc27751"/>
      <w:bookmarkStart w:id="4" w:name="_Toc9211"/>
      <w:bookmarkStart w:id="5" w:name="_Toc27429"/>
      <w:bookmarkStart w:id="6" w:name="_Toc22968"/>
      <w:bookmarkStart w:id="7" w:name="_Toc2899"/>
      <w:bookmarkStart w:id="8" w:name="_Toc22519"/>
      <w:bookmarkStart w:id="9" w:name="_Toc15456"/>
      <w:bookmarkStart w:id="10" w:name="_Toc10558"/>
      <w:bookmarkStart w:id="11" w:name="_Toc4828"/>
      <w:r>
        <w:rPr>
          <w:rFonts w:hint="eastAsia" w:ascii="宋体" w:hAnsi="宋体" w:cs="宋体"/>
          <w:b/>
          <w:color w:val="auto"/>
          <w:sz w:val="52"/>
          <w:szCs w:val="52"/>
          <w:highlight w:val="none"/>
          <w:lang w:val="zh-CN"/>
        </w:rPr>
        <w:t>龙游县龙南污水厂建设工程设备采购招标</w:t>
      </w:r>
    </w:p>
    <w:p w14:paraId="34DFE2CF">
      <w:pPr>
        <w:shd w:val="clear"/>
        <w:tabs>
          <w:tab w:val="center" w:pos="4932"/>
          <w:tab w:val="left" w:pos="8491"/>
        </w:tabs>
        <w:spacing w:line="240" w:lineRule="auto"/>
        <w:ind w:firstLine="0" w:firstLineChars="0"/>
        <w:jc w:val="center"/>
        <w:outlineLvl w:val="9"/>
        <w:rPr>
          <w:rFonts w:hint="eastAsia" w:ascii="宋体" w:hAnsi="宋体" w:eastAsia="宋体" w:cs="宋体"/>
          <w:b/>
          <w:color w:val="auto"/>
          <w:sz w:val="44"/>
          <w:szCs w:val="44"/>
          <w:highlight w:val="none"/>
          <w:lang w:val="zh-CN"/>
        </w:rPr>
      </w:pPr>
      <w:bookmarkStart w:id="12" w:name="_Toc5692"/>
    </w:p>
    <w:p w14:paraId="06FA610E">
      <w:pPr>
        <w:shd w:val="clear"/>
        <w:tabs>
          <w:tab w:val="center" w:pos="4932"/>
          <w:tab w:val="left" w:pos="8491"/>
        </w:tabs>
        <w:spacing w:line="240" w:lineRule="auto"/>
        <w:ind w:firstLine="0" w:firstLineChars="0"/>
        <w:jc w:val="center"/>
        <w:outlineLvl w:val="0"/>
        <w:rPr>
          <w:rFonts w:hint="eastAsia" w:ascii="宋体" w:hAnsi="宋体" w:eastAsia="宋体" w:cs="宋体"/>
          <w:b/>
          <w:color w:val="auto"/>
          <w:sz w:val="44"/>
          <w:szCs w:val="44"/>
          <w:highlight w:val="none"/>
          <w:lang w:val="en-US" w:eastAsia="zh-CN"/>
        </w:rPr>
      </w:pPr>
      <w:bookmarkStart w:id="13" w:name="_Toc13325"/>
      <w:bookmarkStart w:id="14" w:name="_Toc1958"/>
      <w:r>
        <w:rPr>
          <w:rFonts w:hint="eastAsia" w:ascii="宋体" w:hAnsi="宋体" w:eastAsia="宋体" w:cs="宋体"/>
          <w:b/>
          <w:color w:val="auto"/>
          <w:sz w:val="44"/>
          <w:szCs w:val="44"/>
          <w:highlight w:val="none"/>
          <w:lang w:val="zh-CN"/>
        </w:rPr>
        <w:t>项目编号：</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宋体" w:hAnsi="宋体" w:cs="宋体"/>
          <w:b/>
          <w:color w:val="auto"/>
          <w:sz w:val="44"/>
          <w:szCs w:val="44"/>
          <w:highlight w:val="none"/>
          <w:lang w:val="zh-CN"/>
        </w:rPr>
        <w:t>LYCG2025YX-002</w:t>
      </w:r>
      <w:bookmarkEnd w:id="14"/>
    </w:p>
    <w:p w14:paraId="26361848">
      <w:pPr>
        <w:pStyle w:val="3"/>
        <w:shd w:val="clear"/>
        <w:ind w:firstLine="0" w:firstLineChars="0"/>
        <w:rPr>
          <w:rFonts w:hint="eastAsia" w:ascii="宋体" w:hAnsi="宋体" w:eastAsia="宋体" w:cs="宋体"/>
          <w:color w:val="auto"/>
          <w:highlight w:val="none"/>
        </w:rPr>
      </w:pPr>
    </w:p>
    <w:p w14:paraId="504A9BFB">
      <w:pPr>
        <w:pStyle w:val="2"/>
        <w:shd w:val="clear"/>
        <w:ind w:firstLine="0" w:firstLineChars="0"/>
        <w:rPr>
          <w:rFonts w:hint="eastAsia" w:ascii="宋体" w:hAnsi="宋体" w:eastAsia="宋体" w:cs="宋体"/>
          <w:color w:val="auto"/>
          <w:highlight w:val="none"/>
        </w:rPr>
      </w:pPr>
    </w:p>
    <w:p w14:paraId="6AD9AC2B">
      <w:pPr>
        <w:shd w:val="clear"/>
        <w:ind w:left="0" w:leftChars="0" w:firstLine="0" w:firstLineChars="0"/>
        <w:rPr>
          <w:rFonts w:hint="eastAsia" w:ascii="宋体" w:hAnsi="宋体" w:eastAsia="宋体" w:cs="宋体"/>
          <w:color w:val="auto"/>
          <w:highlight w:val="none"/>
        </w:rPr>
      </w:pPr>
    </w:p>
    <w:p w14:paraId="029E3081">
      <w:pPr>
        <w:pStyle w:val="17"/>
        <w:shd w:val="clear"/>
        <w:rPr>
          <w:rFonts w:hint="eastAsia"/>
          <w:color w:val="auto"/>
          <w:highlight w:val="none"/>
        </w:rPr>
      </w:pPr>
    </w:p>
    <w:p w14:paraId="1230424A">
      <w:pPr>
        <w:pStyle w:val="5"/>
        <w:numPr>
          <w:ilvl w:val="0"/>
          <w:numId w:val="0"/>
        </w:numPr>
        <w:shd w:val="clear"/>
        <w:spacing w:before="312" w:after="312"/>
        <w:rPr>
          <w:rFonts w:hint="eastAsia" w:ascii="宋体" w:hAnsi="宋体" w:eastAsia="宋体" w:cs="宋体"/>
          <w:color w:val="auto"/>
          <w:sz w:val="84"/>
          <w:szCs w:val="84"/>
          <w:highlight w:val="none"/>
        </w:rPr>
      </w:pPr>
      <w:bookmarkStart w:id="15" w:name="_Toc2996"/>
      <w:bookmarkStart w:id="16" w:name="_Toc13806"/>
      <w:bookmarkStart w:id="17" w:name="_Toc3599"/>
      <w:bookmarkStart w:id="18" w:name="_Toc24377"/>
      <w:bookmarkStart w:id="19" w:name="_Toc26637"/>
      <w:bookmarkStart w:id="20" w:name="_Toc3816"/>
      <w:bookmarkStart w:id="21" w:name="_Toc30029"/>
      <w:bookmarkStart w:id="22" w:name="_Toc32532"/>
      <w:bookmarkStart w:id="23" w:name="_Toc29628"/>
      <w:bookmarkStart w:id="24" w:name="_Toc7862"/>
      <w:bookmarkStart w:id="25" w:name="_Toc1315"/>
      <w:bookmarkStart w:id="26" w:name="_Toc18946"/>
      <w:bookmarkStart w:id="27" w:name="_Toc29899"/>
      <w:bookmarkStart w:id="28" w:name="_Toc3353"/>
      <w:bookmarkStart w:id="29" w:name="_Toc31437"/>
      <w:bookmarkStart w:id="30" w:name="_Toc29345"/>
      <w:bookmarkStart w:id="31" w:name="_Toc16998"/>
      <w:bookmarkStart w:id="32" w:name="_Toc25432"/>
      <w:bookmarkStart w:id="33" w:name="_Toc316"/>
      <w:bookmarkStart w:id="34" w:name="_Toc22509"/>
      <w:bookmarkStart w:id="35" w:name="_Toc3452"/>
      <w:bookmarkStart w:id="36" w:name="_Toc19234"/>
      <w:bookmarkStart w:id="37" w:name="_Toc20415"/>
      <w:bookmarkStart w:id="38" w:name="_Toc21191"/>
      <w:bookmarkStart w:id="39" w:name="_Toc3604"/>
      <w:bookmarkStart w:id="40" w:name="_Toc9907"/>
      <w:bookmarkStart w:id="41" w:name="_Toc22836"/>
      <w:bookmarkStart w:id="42" w:name="_Toc18284"/>
      <w:bookmarkStart w:id="43" w:name="_Toc14416"/>
      <w:r>
        <w:rPr>
          <w:rFonts w:hint="eastAsia" w:ascii="宋体" w:hAnsi="宋体" w:eastAsia="宋体" w:cs="宋体"/>
          <w:color w:val="auto"/>
          <w:sz w:val="84"/>
          <w:szCs w:val="84"/>
          <w:highlight w:val="none"/>
        </w:rPr>
        <w:t>公开招标文件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199B71E">
      <w:pPr>
        <w:pStyle w:val="5"/>
        <w:numPr>
          <w:ilvl w:val="0"/>
          <w:numId w:val="0"/>
        </w:numPr>
        <w:shd w:val="clear"/>
        <w:bidi w:val="0"/>
        <w:ind w:left="432" w:leftChars="0"/>
        <w:jc w:val="center"/>
        <w:rPr>
          <w:rFonts w:hint="eastAsia" w:ascii="宋体" w:hAnsi="宋体" w:eastAsia="宋体" w:cs="宋体"/>
          <w:color w:val="auto"/>
          <w:sz w:val="52"/>
          <w:szCs w:val="52"/>
          <w:highlight w:val="none"/>
          <w:lang w:val="en-US" w:eastAsia="zh-CN"/>
        </w:rPr>
      </w:pPr>
      <w:bookmarkStart w:id="44" w:name="_Toc19230"/>
      <w:bookmarkStart w:id="45" w:name="_Toc19864"/>
      <w:bookmarkStart w:id="46" w:name="_Toc12814"/>
      <w:r>
        <w:rPr>
          <w:rFonts w:hint="eastAsia" w:ascii="宋体" w:hAnsi="宋体" w:eastAsia="宋体" w:cs="宋体"/>
          <w:color w:val="auto"/>
          <w:sz w:val="52"/>
          <w:szCs w:val="52"/>
          <w:highlight w:val="none"/>
          <w:lang w:val="en-US" w:eastAsia="zh-CN"/>
        </w:rPr>
        <w:t>(电子交易）</w:t>
      </w:r>
      <w:bookmarkEnd w:id="44"/>
      <w:bookmarkEnd w:id="45"/>
      <w:bookmarkEnd w:id="46"/>
    </w:p>
    <w:p w14:paraId="56BA5778">
      <w:pPr>
        <w:pStyle w:val="39"/>
        <w:shd w:val="clear"/>
        <w:ind w:left="0" w:leftChars="0" w:firstLine="0" w:firstLineChars="0"/>
        <w:jc w:val="both"/>
        <w:outlineLvl w:val="9"/>
        <w:rPr>
          <w:rFonts w:hint="eastAsia" w:ascii="宋体" w:hAnsi="宋体" w:eastAsia="宋体" w:cs="宋体"/>
          <w:color w:val="auto"/>
          <w:highlight w:val="none"/>
        </w:rPr>
      </w:pPr>
    </w:p>
    <w:p w14:paraId="1E031B76">
      <w:pPr>
        <w:pStyle w:val="59"/>
        <w:shd w:val="clear"/>
        <w:ind w:left="0" w:leftChars="0" w:firstLine="0" w:firstLineChars="0"/>
        <w:rPr>
          <w:rFonts w:hint="eastAsia" w:ascii="宋体" w:hAnsi="宋体" w:eastAsia="宋体" w:cs="宋体"/>
          <w:color w:val="auto"/>
          <w:highlight w:val="none"/>
          <w:lang w:val="zh-CN"/>
        </w:rPr>
      </w:pPr>
    </w:p>
    <w:p w14:paraId="258C1F4B">
      <w:pPr>
        <w:pStyle w:val="60"/>
        <w:shd w:val="clear"/>
        <w:rPr>
          <w:rFonts w:hint="eastAsia" w:ascii="宋体" w:hAnsi="宋体" w:eastAsia="宋体" w:cs="宋体"/>
          <w:color w:val="auto"/>
          <w:highlight w:val="none"/>
          <w:lang w:val="zh-CN"/>
        </w:rPr>
      </w:pPr>
    </w:p>
    <w:p w14:paraId="478B36C7">
      <w:pPr>
        <w:shd w:val="clear"/>
        <w:adjustRightInd w:val="0"/>
        <w:snapToGrid w:val="0"/>
        <w:spacing w:line="800" w:lineRule="exact"/>
        <w:ind w:left="0" w:leftChars="0" w:firstLine="0" w:firstLineChars="0"/>
        <w:outlineLvl w:val="9"/>
        <w:rPr>
          <w:rFonts w:hint="eastAsia" w:ascii="宋体" w:hAnsi="宋体" w:eastAsia="宋体" w:cs="宋体"/>
          <w:b/>
          <w:bCs/>
          <w:color w:val="auto"/>
          <w:sz w:val="32"/>
          <w:szCs w:val="32"/>
          <w:highlight w:val="none"/>
          <w:lang w:val="zh-CN"/>
        </w:rPr>
      </w:pPr>
      <w:bookmarkStart w:id="47" w:name="_Toc21898"/>
      <w:bookmarkStart w:id="48" w:name="_Toc6812"/>
      <w:bookmarkStart w:id="49" w:name="_Toc25950"/>
      <w:bookmarkStart w:id="50" w:name="_Toc5623"/>
      <w:bookmarkStart w:id="51" w:name="_Toc10292"/>
      <w:bookmarkStart w:id="52" w:name="_Toc10073"/>
      <w:bookmarkStart w:id="53" w:name="_Toc17343"/>
      <w:bookmarkStart w:id="54" w:name="_Toc21088"/>
      <w:bookmarkStart w:id="55" w:name="_Toc25590"/>
      <w:bookmarkStart w:id="56" w:name="_Toc17119"/>
      <w:bookmarkStart w:id="57" w:name="_Toc17773"/>
      <w:bookmarkStart w:id="58" w:name="_Toc5870"/>
      <w:bookmarkStart w:id="59" w:name="_Toc19150"/>
      <w:bookmarkStart w:id="60" w:name="_Toc11886"/>
      <w:bookmarkStart w:id="61" w:name="_Toc13995"/>
    </w:p>
    <w:p w14:paraId="33A8FF25">
      <w:pPr>
        <w:pStyle w:val="2"/>
        <w:rPr>
          <w:rFonts w:hint="eastAsia"/>
          <w:color w:val="auto"/>
          <w:highlight w:val="none"/>
          <w:lang w:val="zh-CN"/>
        </w:rPr>
      </w:pPr>
    </w:p>
    <w:p w14:paraId="7CB8D325">
      <w:pPr>
        <w:shd w:val="clear"/>
        <w:adjustRightInd w:val="0"/>
        <w:snapToGrid w:val="0"/>
        <w:spacing w:line="800" w:lineRule="exact"/>
        <w:ind w:firstLine="1084" w:firstLineChars="300"/>
        <w:outlineLvl w:val="0"/>
        <w:rPr>
          <w:rFonts w:hint="eastAsia" w:ascii="宋体" w:hAnsi="宋体" w:eastAsia="宋体" w:cs="宋体"/>
          <w:b/>
          <w:bCs/>
          <w:color w:val="auto"/>
          <w:sz w:val="36"/>
          <w:szCs w:val="36"/>
          <w:highlight w:val="none"/>
          <w:lang w:val="zh-CN"/>
        </w:rPr>
      </w:pPr>
      <w:bookmarkStart w:id="62" w:name="_Toc4639"/>
      <w:bookmarkStart w:id="63" w:name="_Toc18782"/>
      <w:bookmarkStart w:id="64" w:name="_Toc1642"/>
      <w:r>
        <w:rPr>
          <w:rFonts w:hint="eastAsia" w:ascii="宋体" w:hAnsi="宋体" w:eastAsia="宋体" w:cs="宋体"/>
          <w:b/>
          <w:bCs/>
          <w:color w:val="auto"/>
          <w:sz w:val="36"/>
          <w:szCs w:val="36"/>
          <w:highlight w:val="none"/>
          <w:lang w:val="zh-CN"/>
        </w:rPr>
        <w:t>采</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购</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人：</w:t>
      </w:r>
      <w:r>
        <w:rPr>
          <w:rFonts w:hint="eastAsia" w:ascii="宋体" w:hAnsi="宋体" w:cs="宋体"/>
          <w:b/>
          <w:bCs/>
          <w:color w:val="auto"/>
          <w:sz w:val="36"/>
          <w:szCs w:val="36"/>
          <w:highlight w:val="none"/>
          <w:lang w:val="zh-CN"/>
        </w:rPr>
        <w:t>浙江华水环境工程有限公司</w:t>
      </w:r>
      <w:r>
        <w:rPr>
          <w:rFonts w:hint="eastAsia" w:ascii="宋体" w:hAnsi="宋体" w:eastAsia="宋体" w:cs="宋体"/>
          <w:b/>
          <w:bCs/>
          <w:color w:val="auto"/>
          <w:sz w:val="36"/>
          <w:szCs w:val="36"/>
          <w:highlight w:val="none"/>
          <w:lang w:val="zh-CN"/>
        </w:rPr>
        <w:t>（</w:t>
      </w:r>
      <w:r>
        <w:rPr>
          <w:rFonts w:hint="eastAsia" w:ascii="宋体" w:hAnsi="宋体" w:eastAsia="宋体" w:cs="宋体"/>
          <w:b/>
          <w:bCs/>
          <w:color w:val="auto"/>
          <w:sz w:val="36"/>
          <w:szCs w:val="36"/>
          <w:highlight w:val="none"/>
        </w:rPr>
        <w:t>盖章</w:t>
      </w:r>
      <w:r>
        <w:rPr>
          <w:rFonts w:hint="eastAsia" w:ascii="宋体" w:hAnsi="宋体" w:eastAsia="宋体" w:cs="宋体"/>
          <w:b/>
          <w:bCs/>
          <w:color w:val="auto"/>
          <w:sz w:val="36"/>
          <w:szCs w:val="36"/>
          <w:highlight w:val="none"/>
          <w:lang w:val="zh-CN"/>
        </w:rPr>
        <w:t>）</w:t>
      </w:r>
      <w:bookmarkEnd w:id="47"/>
      <w:bookmarkEnd w:id="48"/>
      <w:bookmarkEnd w:id="49"/>
      <w:bookmarkEnd w:id="50"/>
      <w:bookmarkEnd w:id="51"/>
      <w:bookmarkEnd w:id="52"/>
      <w:bookmarkEnd w:id="53"/>
      <w:bookmarkEnd w:id="54"/>
      <w:bookmarkEnd w:id="55"/>
      <w:bookmarkEnd w:id="56"/>
      <w:bookmarkEnd w:id="57"/>
      <w:bookmarkEnd w:id="58"/>
      <w:bookmarkEnd w:id="59"/>
      <w:bookmarkEnd w:id="62"/>
      <w:bookmarkEnd w:id="63"/>
      <w:bookmarkEnd w:id="64"/>
    </w:p>
    <w:p w14:paraId="5C84588B">
      <w:pPr>
        <w:shd w:val="clear"/>
        <w:adjustRightInd w:val="0"/>
        <w:snapToGrid w:val="0"/>
        <w:spacing w:line="800" w:lineRule="exact"/>
        <w:ind w:firstLine="1084" w:firstLineChars="300"/>
        <w:outlineLvl w:val="0"/>
        <w:rPr>
          <w:rFonts w:hint="eastAsia" w:ascii="宋体" w:hAnsi="宋体" w:eastAsia="宋体" w:cs="宋体"/>
          <w:b/>
          <w:bCs/>
          <w:color w:val="auto"/>
          <w:sz w:val="36"/>
          <w:szCs w:val="36"/>
          <w:highlight w:val="none"/>
          <w:lang w:val="zh-CN"/>
        </w:rPr>
      </w:pPr>
      <w:bookmarkStart w:id="65" w:name="_Toc8207"/>
      <w:bookmarkStart w:id="66" w:name="_Toc23740"/>
      <w:bookmarkStart w:id="67" w:name="_Toc22952"/>
      <w:bookmarkStart w:id="68" w:name="_Toc28723"/>
      <w:bookmarkStart w:id="69" w:name="_Toc11940"/>
      <w:bookmarkStart w:id="70" w:name="_Toc6155"/>
      <w:bookmarkStart w:id="71" w:name="_Toc13576"/>
      <w:bookmarkStart w:id="72" w:name="_Toc17743"/>
      <w:bookmarkStart w:id="73" w:name="_Toc11450"/>
      <w:bookmarkStart w:id="74" w:name="_Toc17588"/>
      <w:bookmarkStart w:id="75" w:name="_Toc10821"/>
      <w:bookmarkStart w:id="76" w:name="_Toc13318"/>
      <w:bookmarkStart w:id="77" w:name="_Toc611"/>
      <w:bookmarkStart w:id="78" w:name="_Toc5468"/>
      <w:bookmarkStart w:id="79" w:name="_Toc26242"/>
      <w:bookmarkStart w:id="80" w:name="_Toc10453"/>
      <w:bookmarkStart w:id="81" w:name="_Toc21860"/>
      <w:bookmarkStart w:id="82" w:name="_Toc1371"/>
      <w:bookmarkStart w:id="83" w:name="_Toc11169"/>
      <w:r>
        <w:rPr>
          <w:rFonts w:hint="eastAsia" w:ascii="宋体" w:hAnsi="宋体" w:eastAsia="宋体" w:cs="宋体"/>
          <w:b/>
          <w:bCs/>
          <w:color w:val="auto"/>
          <w:sz w:val="36"/>
          <w:szCs w:val="36"/>
          <w:highlight w:val="none"/>
        </w:rPr>
        <w:t>采购</w:t>
      </w:r>
      <w:r>
        <w:rPr>
          <w:rFonts w:hint="eastAsia" w:ascii="宋体" w:hAnsi="宋体" w:eastAsia="宋体" w:cs="宋体"/>
          <w:b/>
          <w:bCs/>
          <w:color w:val="auto"/>
          <w:sz w:val="36"/>
          <w:szCs w:val="36"/>
          <w:highlight w:val="none"/>
          <w:lang w:val="zh-CN"/>
        </w:rPr>
        <w:t>代理机构：衢州宇信工程咨询有限公司</w:t>
      </w:r>
      <w:bookmarkEnd w:id="65"/>
      <w:bookmarkEnd w:id="66"/>
      <w:bookmarkEnd w:id="67"/>
      <w:r>
        <w:rPr>
          <w:rFonts w:hint="eastAsia" w:ascii="宋体" w:hAnsi="宋体" w:eastAsia="宋体" w:cs="宋体"/>
          <w:b/>
          <w:bCs/>
          <w:color w:val="auto"/>
          <w:sz w:val="36"/>
          <w:szCs w:val="36"/>
          <w:highlight w:val="none"/>
          <w:lang w:val="zh-CN"/>
        </w:rPr>
        <w:t>（</w:t>
      </w:r>
      <w:r>
        <w:rPr>
          <w:rFonts w:hint="eastAsia" w:ascii="宋体" w:hAnsi="宋体" w:eastAsia="宋体" w:cs="宋体"/>
          <w:b/>
          <w:bCs/>
          <w:color w:val="auto"/>
          <w:sz w:val="36"/>
          <w:szCs w:val="36"/>
          <w:highlight w:val="none"/>
        </w:rPr>
        <w:t>盖章</w:t>
      </w:r>
      <w:r>
        <w:rPr>
          <w:rFonts w:hint="eastAsia" w:ascii="宋体" w:hAnsi="宋体" w:eastAsia="宋体" w:cs="宋体"/>
          <w:b/>
          <w:bCs/>
          <w:color w:val="auto"/>
          <w:sz w:val="36"/>
          <w:szCs w:val="36"/>
          <w:highlight w:val="none"/>
          <w:lang w:val="zh-CN"/>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5AEB834">
      <w:pPr>
        <w:pStyle w:val="40"/>
        <w:shd w:val="clear"/>
        <w:ind w:left="0" w:leftChars="0" w:firstLine="0" w:firstLineChars="0"/>
        <w:jc w:val="left"/>
        <w:rPr>
          <w:rFonts w:hint="eastAsia" w:ascii="宋体" w:hAnsi="宋体" w:eastAsia="宋体" w:cs="宋体"/>
          <w:b/>
          <w:bCs/>
          <w:color w:val="auto"/>
          <w:sz w:val="36"/>
          <w:szCs w:val="36"/>
          <w:highlight w:val="none"/>
          <w:lang w:val="zh-CN"/>
        </w:rPr>
      </w:pPr>
    </w:p>
    <w:p w14:paraId="26B3D752">
      <w:pPr>
        <w:pStyle w:val="40"/>
        <w:shd w:val="clear"/>
        <w:ind w:left="0" w:leftChars="0" w:firstLine="0" w:firstLineChars="0"/>
        <w:jc w:val="center"/>
        <w:rPr>
          <w:rFonts w:hint="eastAsia" w:ascii="宋体" w:hAnsi="宋体" w:eastAsia="宋体" w:cs="宋体"/>
          <w:b/>
          <w:bCs/>
          <w:color w:val="auto"/>
          <w:kern w:val="2"/>
          <w:sz w:val="36"/>
          <w:szCs w:val="36"/>
          <w:highlight w:val="none"/>
          <w:lang w:val="zh-CN"/>
        </w:rPr>
      </w:pPr>
      <w:r>
        <w:rPr>
          <w:rFonts w:hint="eastAsia" w:ascii="宋体" w:hAnsi="宋体" w:eastAsia="宋体" w:cs="宋体"/>
          <w:b/>
          <w:bCs/>
          <w:color w:val="auto"/>
          <w:kern w:val="2"/>
          <w:sz w:val="36"/>
          <w:szCs w:val="36"/>
          <w:highlight w:val="none"/>
          <w:lang w:val="zh-CN"/>
        </w:rPr>
        <w:t>二〇二</w:t>
      </w:r>
      <w:r>
        <w:rPr>
          <w:rFonts w:hint="eastAsia" w:hAnsi="宋体" w:cs="宋体"/>
          <w:b/>
          <w:bCs/>
          <w:color w:val="auto"/>
          <w:kern w:val="2"/>
          <w:sz w:val="36"/>
          <w:szCs w:val="36"/>
          <w:highlight w:val="none"/>
          <w:lang w:val="en-US" w:eastAsia="zh-CN"/>
        </w:rPr>
        <w:t>五</w:t>
      </w:r>
      <w:r>
        <w:rPr>
          <w:rFonts w:hint="eastAsia" w:ascii="宋体" w:hAnsi="宋体" w:eastAsia="宋体" w:cs="宋体"/>
          <w:b/>
          <w:bCs/>
          <w:color w:val="auto"/>
          <w:kern w:val="2"/>
          <w:sz w:val="36"/>
          <w:szCs w:val="36"/>
          <w:highlight w:val="none"/>
          <w:lang w:val="zh-CN"/>
        </w:rPr>
        <w:t>年</w:t>
      </w:r>
      <w:r>
        <w:rPr>
          <w:rFonts w:hint="eastAsia" w:hAnsi="宋体" w:cs="宋体"/>
          <w:b/>
          <w:bCs/>
          <w:color w:val="auto"/>
          <w:kern w:val="2"/>
          <w:sz w:val="36"/>
          <w:szCs w:val="36"/>
          <w:highlight w:val="none"/>
          <w:lang w:val="en-US" w:eastAsia="zh-CN"/>
        </w:rPr>
        <w:t>一</w:t>
      </w:r>
      <w:r>
        <w:rPr>
          <w:rFonts w:hint="eastAsia" w:ascii="宋体" w:hAnsi="宋体" w:eastAsia="宋体" w:cs="宋体"/>
          <w:b/>
          <w:bCs/>
          <w:color w:val="auto"/>
          <w:kern w:val="2"/>
          <w:sz w:val="36"/>
          <w:szCs w:val="36"/>
          <w:highlight w:val="none"/>
          <w:lang w:val="zh-CN"/>
        </w:rPr>
        <w:t>月</w:t>
      </w:r>
    </w:p>
    <w:bookmarkEnd w:id="60"/>
    <w:bookmarkEnd w:id="61"/>
    <w:p w14:paraId="230A328C">
      <w:pPr>
        <w:shd w:val="clear"/>
        <w:ind w:firstLine="0" w:firstLineChars="0"/>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目  录</w:t>
      </w:r>
    </w:p>
    <w:sdt>
      <w:sdtPr>
        <w:rPr>
          <w:rFonts w:ascii="宋体" w:hAnsi="宋体" w:eastAsia="宋体" w:cstheme="minorBidi"/>
          <w:color w:val="auto"/>
          <w:kern w:val="2"/>
          <w:sz w:val="21"/>
          <w:szCs w:val="24"/>
          <w:highlight w:val="none"/>
          <w:lang w:val="en-US" w:eastAsia="zh-CN" w:bidi="ar-SA"/>
        </w:rPr>
        <w:id w:val="147454431"/>
        <w15:color w:val="DBDBDB"/>
        <w:docPartObj>
          <w:docPartGallery w:val="Table of Contents"/>
          <w:docPartUnique/>
        </w:docPartObj>
      </w:sdtPr>
      <w:sdtEndPr>
        <w:rPr>
          <w:rFonts w:hint="eastAsia" w:ascii="Times New Roman" w:hAnsi="Times New Roman" w:eastAsia="宋体" w:cstheme="minorBidi"/>
          <w:b/>
          <w:color w:val="auto"/>
          <w:kern w:val="2"/>
          <w:sz w:val="24"/>
          <w:szCs w:val="24"/>
          <w:highlight w:val="none"/>
          <w:lang w:val="en-US" w:eastAsia="zh-CN" w:bidi="ar-SA"/>
        </w:rPr>
      </w:sdtEndPr>
      <w:sdtContent>
        <w:p w14:paraId="2A02011F">
          <w:pPr>
            <w:spacing w:before="0" w:beforeLines="0" w:after="0" w:afterLines="0" w:line="240" w:lineRule="auto"/>
            <w:ind w:left="0" w:leftChars="0" w:right="0" w:rightChars="0" w:firstLine="0" w:firstLineChars="0"/>
            <w:jc w:val="center"/>
            <w:rPr>
              <w:color w:val="auto"/>
              <w:highlight w:val="none"/>
            </w:rPr>
          </w:pPr>
        </w:p>
        <w:p w14:paraId="65022BA1">
          <w:pPr>
            <w:pStyle w:val="92"/>
            <w:tabs>
              <w:tab w:val="right" w:leader="dot" w:pos="9746"/>
            </w:tabs>
            <w:rPr>
              <w:b/>
              <w:color w:val="auto"/>
              <w:highlight w:val="none"/>
            </w:rPr>
          </w:pPr>
          <w:r>
            <w:rPr>
              <w:rFonts w:hint="eastAsia" w:ascii="Times New Roman" w:hAnsi="Times New Roman" w:eastAsia="宋体" w:cstheme="minorBidi"/>
              <w:b/>
              <w:color w:val="auto"/>
              <w:kern w:val="2"/>
              <w:sz w:val="24"/>
              <w:szCs w:val="24"/>
              <w:highlight w:val="none"/>
              <w:lang w:val="en-US" w:eastAsia="zh-CN" w:bidi="ar-SA"/>
            </w:rPr>
            <w:fldChar w:fldCharType="begin"/>
          </w:r>
          <w:r>
            <w:rPr>
              <w:rFonts w:hint="eastAsia" w:ascii="Times New Roman" w:hAnsi="Times New Roman" w:eastAsia="宋体" w:cstheme="minorBidi"/>
              <w:b/>
              <w:color w:val="auto"/>
              <w:kern w:val="2"/>
              <w:sz w:val="24"/>
              <w:szCs w:val="24"/>
              <w:highlight w:val="none"/>
              <w:lang w:val="en-US" w:eastAsia="zh-CN" w:bidi="ar-SA"/>
            </w:rPr>
            <w:instrText xml:space="preserve">TOC \o "1-2" \h \u </w:instrText>
          </w:r>
          <w:r>
            <w:rPr>
              <w:rFonts w:hint="eastAsia" w:ascii="Times New Roman" w:hAnsi="Times New Roman" w:eastAsia="宋体" w:cstheme="minorBidi"/>
              <w:b/>
              <w:color w:val="auto"/>
              <w:kern w:val="2"/>
              <w:sz w:val="24"/>
              <w:szCs w:val="24"/>
              <w:highlight w:val="none"/>
              <w:lang w:val="en-US" w:eastAsia="zh-CN" w:bidi="ar-SA"/>
            </w:rPr>
            <w:fldChar w:fldCharType="separate"/>
          </w:r>
        </w:p>
        <w:p w14:paraId="73BABE32">
          <w:pPr>
            <w:pStyle w:val="92"/>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_Toc12162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bCs/>
              <w:color w:val="auto"/>
              <w:sz w:val="22"/>
              <w:szCs w:val="22"/>
              <w:highlight w:val="none"/>
            </w:rPr>
            <w:t>第一章 招标公告</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_Toc12162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72BF2D47">
          <w:pPr>
            <w:pStyle w:val="92"/>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_Toc3195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rPr>
            <w:t xml:space="preserve">第二章 </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须知</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_Toc3195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6</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4827C59B">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_Toc23252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一、</w:t>
          </w:r>
          <w:r>
            <w:rPr>
              <w:rFonts w:hint="eastAsia" w:ascii="宋体" w:hAnsi="宋体" w:cs="宋体"/>
              <w:bCs w:val="0"/>
              <w:color w:val="auto"/>
              <w:sz w:val="22"/>
              <w:szCs w:val="22"/>
              <w:highlight w:val="none"/>
              <w:lang w:eastAsia="zh-CN" w:bidi="ar"/>
            </w:rPr>
            <w:t>投标人</w:t>
          </w:r>
          <w:r>
            <w:rPr>
              <w:rFonts w:hint="eastAsia" w:ascii="宋体" w:hAnsi="宋体" w:eastAsia="宋体" w:cs="宋体"/>
              <w:bCs w:val="0"/>
              <w:color w:val="auto"/>
              <w:sz w:val="22"/>
              <w:szCs w:val="22"/>
              <w:highlight w:val="none"/>
              <w:lang w:bidi="ar"/>
            </w:rPr>
            <w:t>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_Toc23252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7FA67EB4">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_Toc17814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二、总 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_Toc17814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7400E9D">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_Toc351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三、招标文件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71002BA0">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_Toc11971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四、投标文件的编制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_Toc11971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6A72A6AF">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_Toc17806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五、投标文件的递交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_Toc17806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78AE39DD">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_Toc8383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六、投标无效的情形</w:t>
          </w:r>
          <w:r>
            <w:rPr>
              <w:rFonts w:hint="eastAsia" w:ascii="宋体" w:hAnsi="宋体" w:eastAsia="宋体" w:cs="宋体"/>
              <w:color w:val="auto"/>
              <w:sz w:val="22"/>
              <w:szCs w:val="22"/>
              <w:highlight w:val="none"/>
            </w:rPr>
            <w:tab/>
          </w:r>
          <w:bookmarkStart w:id="2031" w:name="_GoBack"/>
          <w:bookmarkEnd w:id="2031"/>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_Toc8383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336A5799">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_Toc31521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val="en-US" w:eastAsia="zh-CN" w:bidi="ar"/>
            </w:rPr>
            <w:t>七</w:t>
          </w:r>
          <w:r>
            <w:rPr>
              <w:rFonts w:hint="eastAsia" w:ascii="宋体" w:hAnsi="宋体" w:eastAsia="宋体" w:cs="宋体"/>
              <w:bCs w:val="0"/>
              <w:color w:val="auto"/>
              <w:sz w:val="22"/>
              <w:szCs w:val="22"/>
              <w:highlight w:val="none"/>
              <w:lang w:bidi="ar"/>
            </w:rPr>
            <w:t>、废标的情形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_Toc31521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00B44684">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_Toc2054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val="en-US" w:eastAsia="zh-CN" w:bidi="ar"/>
            </w:rPr>
            <w:t>八</w:t>
          </w:r>
          <w:r>
            <w:rPr>
              <w:rFonts w:hint="eastAsia" w:ascii="宋体" w:hAnsi="宋体" w:eastAsia="宋体" w:cs="宋体"/>
              <w:bCs w:val="0"/>
              <w:color w:val="auto"/>
              <w:sz w:val="22"/>
              <w:szCs w:val="22"/>
              <w:highlight w:val="none"/>
              <w:lang w:bidi="ar"/>
            </w:rPr>
            <w:t>、开标、评标和定标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_Toc2054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6700BBCD">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_Toc11626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val="en-US" w:eastAsia="zh-CN" w:bidi="ar"/>
            </w:rPr>
            <w:t>九、</w:t>
          </w:r>
          <w:r>
            <w:rPr>
              <w:rFonts w:hint="eastAsia" w:ascii="宋体" w:hAnsi="宋体" w:eastAsia="宋体" w:cs="宋体"/>
              <w:bCs w:val="0"/>
              <w:color w:val="auto"/>
              <w:sz w:val="22"/>
              <w:szCs w:val="22"/>
              <w:highlight w:val="none"/>
              <w:lang w:bidi="ar"/>
            </w:rPr>
            <w:t>电子投标说明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_Toc11626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0C12BA0">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_Toc14457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十、纪律和监督</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_Toc14457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DEFE173">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_Toc26084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一</w:t>
          </w:r>
          <w:r>
            <w:rPr>
              <w:rFonts w:hint="eastAsia" w:ascii="宋体" w:hAnsi="宋体" w:eastAsia="宋体" w:cs="宋体"/>
              <w:bCs w:val="0"/>
              <w:color w:val="auto"/>
              <w:sz w:val="22"/>
              <w:szCs w:val="22"/>
              <w:highlight w:val="none"/>
              <w:lang w:bidi="ar"/>
            </w:rPr>
            <w:t>、质疑和投诉</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_Toc26084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1F2DF859">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_Toc22578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二</w:t>
          </w:r>
          <w:r>
            <w:rPr>
              <w:rFonts w:hint="eastAsia" w:ascii="宋体" w:hAnsi="宋体" w:eastAsia="宋体" w:cs="宋体"/>
              <w:bCs w:val="0"/>
              <w:color w:val="auto"/>
              <w:sz w:val="22"/>
              <w:szCs w:val="22"/>
              <w:highlight w:val="none"/>
              <w:lang w:bidi="ar"/>
            </w:rPr>
            <w:t>、授予合同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_Toc22578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5BD2EB7E">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_Toc18745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三</w:t>
          </w:r>
          <w:r>
            <w:rPr>
              <w:rFonts w:hint="eastAsia" w:ascii="宋体" w:hAnsi="宋体" w:eastAsia="宋体" w:cs="宋体"/>
              <w:bCs w:val="0"/>
              <w:color w:val="auto"/>
              <w:sz w:val="22"/>
              <w:szCs w:val="22"/>
              <w:highlight w:val="none"/>
              <w:lang w:bidi="ar"/>
            </w:rPr>
            <w:t>、法律责任</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_Toc18745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6C7A0962">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_Toc18174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rPr>
            <w:t>十</w:t>
          </w:r>
          <w:r>
            <w:rPr>
              <w:rFonts w:hint="eastAsia" w:ascii="宋体" w:hAnsi="宋体" w:eastAsia="宋体" w:cs="宋体"/>
              <w:bCs w:val="0"/>
              <w:color w:val="auto"/>
              <w:sz w:val="22"/>
              <w:szCs w:val="22"/>
              <w:highlight w:val="none"/>
              <w:lang w:val="en-US" w:eastAsia="zh-CN"/>
            </w:rPr>
            <w:t>四</w:t>
          </w:r>
          <w:r>
            <w:rPr>
              <w:rFonts w:hint="eastAsia" w:ascii="宋体" w:hAnsi="宋体" w:eastAsia="宋体" w:cs="宋体"/>
              <w:bCs w:val="0"/>
              <w:color w:val="auto"/>
              <w:sz w:val="22"/>
              <w:szCs w:val="22"/>
              <w:highlight w:val="none"/>
            </w:rPr>
            <w:t>、诚信管理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_Toc18174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373CEFAD">
          <w:pPr>
            <w:pStyle w:val="93"/>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fldChar w:fldCharType="begin"/>
          </w:r>
          <w:r>
            <w:rPr>
              <w:rFonts w:hint="eastAsia" w:ascii="宋体" w:hAnsi="宋体" w:eastAsia="宋体" w:cs="宋体"/>
              <w:color w:val="auto"/>
              <w:kern w:val="2"/>
              <w:sz w:val="22"/>
              <w:szCs w:val="22"/>
              <w:highlight w:val="none"/>
              <w:lang w:val="en-US" w:eastAsia="zh-CN" w:bidi="ar-SA"/>
            </w:rPr>
            <w:instrText xml:space="preserve"> HYPERLINK \l _Toc8468 </w:instrText>
          </w:r>
          <w:r>
            <w:rPr>
              <w:rFonts w:hint="eastAsia" w:ascii="宋体" w:hAnsi="宋体" w:eastAsia="宋体" w:cs="宋体"/>
              <w:color w:val="auto"/>
              <w:kern w:val="2"/>
              <w:sz w:val="22"/>
              <w:szCs w:val="22"/>
              <w:highlight w:val="none"/>
              <w:lang w:val="en-US" w:eastAsia="zh-CN" w:bidi="ar-SA"/>
            </w:rPr>
            <w:fldChar w:fldCharType="separate"/>
          </w:r>
          <w:r>
            <w:rPr>
              <w:rFonts w:hint="eastAsia" w:ascii="宋体" w:hAnsi="宋体" w:eastAsia="宋体" w:cs="宋体"/>
              <w:bCs w:val="0"/>
              <w:color w:val="auto"/>
              <w:sz w:val="22"/>
              <w:szCs w:val="22"/>
              <w:highlight w:val="none"/>
              <w:lang w:bidi="ar"/>
            </w:rPr>
            <w:t>十</w:t>
          </w:r>
          <w:r>
            <w:rPr>
              <w:rFonts w:hint="eastAsia" w:ascii="宋体" w:hAnsi="宋体" w:eastAsia="宋体" w:cs="宋体"/>
              <w:bCs w:val="0"/>
              <w:color w:val="auto"/>
              <w:sz w:val="22"/>
              <w:szCs w:val="22"/>
              <w:highlight w:val="none"/>
              <w:lang w:val="en-US" w:eastAsia="zh-CN" w:bidi="ar"/>
            </w:rPr>
            <w:t>五</w:t>
          </w:r>
          <w:r>
            <w:rPr>
              <w:rFonts w:hint="eastAsia" w:ascii="宋体" w:hAnsi="宋体" w:eastAsia="宋体" w:cs="宋体"/>
              <w:bCs w:val="0"/>
              <w:color w:val="auto"/>
              <w:sz w:val="22"/>
              <w:szCs w:val="22"/>
              <w:highlight w:val="none"/>
              <w:lang w:bidi="ar"/>
            </w:rPr>
            <w:t>、其他</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_Toc8468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kern w:val="2"/>
              <w:sz w:val="22"/>
              <w:szCs w:val="22"/>
              <w:highlight w:val="none"/>
              <w:lang w:val="en-US" w:eastAsia="zh-CN" w:bidi="ar-SA"/>
            </w:rPr>
            <w:fldChar w:fldCharType="end"/>
          </w:r>
        </w:p>
        <w:p w14:paraId="2133D49B">
          <w:pPr>
            <w:pStyle w:val="92"/>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_Toc1744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lang w:eastAsia="zh-CN"/>
            </w:rPr>
            <w:t xml:space="preserve">第三章 </w:t>
          </w:r>
          <w:r>
            <w:rPr>
              <w:rFonts w:hint="eastAsia" w:ascii="宋体" w:hAnsi="宋体" w:eastAsia="宋体" w:cs="宋体"/>
              <w:b/>
              <w:color w:val="auto"/>
              <w:sz w:val="22"/>
              <w:szCs w:val="22"/>
              <w:highlight w:val="none"/>
            </w:rPr>
            <w:t>采购内容及要求</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_Toc1744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25</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39DDE02A">
          <w:pPr>
            <w:pStyle w:val="92"/>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_Toc9334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rPr>
            <w:t xml:space="preserve">第四章 </w:t>
          </w:r>
          <w:r>
            <w:rPr>
              <w:rFonts w:hint="eastAsia" w:ascii="宋体" w:hAnsi="宋体" w:eastAsia="宋体" w:cs="宋体"/>
              <w:b/>
              <w:color w:val="auto"/>
              <w:sz w:val="22"/>
              <w:szCs w:val="22"/>
              <w:highlight w:val="none"/>
              <w:lang w:val="zh-CN"/>
            </w:rPr>
            <w:t>评标办法及评分标准</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_Toc9334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76</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166EC7F8">
          <w:pPr>
            <w:pStyle w:val="92"/>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_Toc31801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lang w:val="zh-CN"/>
            </w:rPr>
            <w:t>第五章 合同条款及格式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_Toc31801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82</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66BBBC7B">
          <w:pPr>
            <w:pStyle w:val="92"/>
            <w:keepNext w:val="0"/>
            <w:keepLines w:val="0"/>
            <w:pageBreakBefore w:val="0"/>
            <w:widowControl/>
            <w:tabs>
              <w:tab w:val="right" w:leader="dot" w:pos="9746"/>
            </w:tabs>
            <w:kinsoku/>
            <w:wordWrap/>
            <w:overflowPunct/>
            <w:topLinePunct w:val="0"/>
            <w:autoSpaceDE/>
            <w:autoSpaceDN/>
            <w:bidi w:val="0"/>
            <w:adjustRightInd/>
            <w:snapToGrid/>
            <w:spacing w:line="312" w:lineRule="auto"/>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kern w:val="2"/>
              <w:sz w:val="22"/>
              <w:szCs w:val="22"/>
              <w:highlight w:val="none"/>
              <w:lang w:val="en-US" w:eastAsia="zh-CN" w:bidi="ar-SA"/>
            </w:rPr>
            <w:fldChar w:fldCharType="begin"/>
          </w:r>
          <w:r>
            <w:rPr>
              <w:rFonts w:hint="eastAsia" w:ascii="宋体" w:hAnsi="宋体" w:eastAsia="宋体" w:cs="宋体"/>
              <w:b/>
              <w:color w:val="auto"/>
              <w:kern w:val="2"/>
              <w:sz w:val="22"/>
              <w:szCs w:val="22"/>
              <w:highlight w:val="none"/>
              <w:lang w:val="en-US" w:eastAsia="zh-CN" w:bidi="ar-SA"/>
            </w:rPr>
            <w:instrText xml:space="preserve"> HYPERLINK \l _Toc6114 </w:instrText>
          </w:r>
          <w:r>
            <w:rPr>
              <w:rFonts w:hint="eastAsia" w:ascii="宋体" w:hAnsi="宋体" w:eastAsia="宋体" w:cs="宋体"/>
              <w:b/>
              <w:color w:val="auto"/>
              <w:kern w:val="2"/>
              <w:sz w:val="22"/>
              <w:szCs w:val="22"/>
              <w:highlight w:val="none"/>
              <w:lang w:val="en-US" w:eastAsia="zh-CN" w:bidi="ar-SA"/>
            </w:rPr>
            <w:fldChar w:fldCharType="separate"/>
          </w:r>
          <w:r>
            <w:rPr>
              <w:rFonts w:hint="eastAsia" w:ascii="宋体" w:hAnsi="宋体" w:eastAsia="宋体" w:cs="宋体"/>
              <w:b/>
              <w:color w:val="auto"/>
              <w:sz w:val="22"/>
              <w:szCs w:val="22"/>
              <w:highlight w:val="none"/>
            </w:rPr>
            <w:t>第六章 投标文件格式</w:t>
          </w:r>
          <w:r>
            <w:rPr>
              <w:rFonts w:hint="eastAsia" w:ascii="宋体" w:hAnsi="宋体" w:eastAsia="宋体" w:cs="宋体"/>
              <w:b/>
              <w:color w:val="auto"/>
              <w:sz w:val="22"/>
              <w:szCs w:val="22"/>
              <w:highlight w:val="none"/>
            </w:rPr>
            <w:tab/>
          </w:r>
          <w:r>
            <w:rPr>
              <w:rFonts w:hint="eastAsia" w:ascii="宋体" w:hAnsi="宋体" w:eastAsia="宋体" w:cs="宋体"/>
              <w:b/>
              <w:color w:val="auto"/>
              <w:sz w:val="22"/>
              <w:szCs w:val="22"/>
              <w:highlight w:val="none"/>
            </w:rPr>
            <w:fldChar w:fldCharType="begin"/>
          </w:r>
          <w:r>
            <w:rPr>
              <w:rFonts w:hint="eastAsia" w:ascii="宋体" w:hAnsi="宋体" w:eastAsia="宋体" w:cs="宋体"/>
              <w:b/>
              <w:color w:val="auto"/>
              <w:sz w:val="22"/>
              <w:szCs w:val="22"/>
              <w:highlight w:val="none"/>
            </w:rPr>
            <w:instrText xml:space="preserve"> PAGEREF _Toc6114 \h </w:instrText>
          </w:r>
          <w:r>
            <w:rPr>
              <w:rFonts w:hint="eastAsia" w:ascii="宋体" w:hAnsi="宋体" w:eastAsia="宋体" w:cs="宋体"/>
              <w:b/>
              <w:color w:val="auto"/>
              <w:sz w:val="22"/>
              <w:szCs w:val="22"/>
              <w:highlight w:val="none"/>
            </w:rPr>
            <w:fldChar w:fldCharType="separate"/>
          </w:r>
          <w:r>
            <w:rPr>
              <w:rFonts w:hint="eastAsia" w:ascii="宋体" w:hAnsi="宋体" w:eastAsia="宋体" w:cs="宋体"/>
              <w:b/>
              <w:color w:val="auto"/>
              <w:sz w:val="22"/>
              <w:szCs w:val="22"/>
              <w:highlight w:val="none"/>
            </w:rPr>
            <w:t>89</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kern w:val="2"/>
              <w:sz w:val="22"/>
              <w:szCs w:val="22"/>
              <w:highlight w:val="none"/>
              <w:lang w:val="en-US" w:eastAsia="zh-CN" w:bidi="ar-SA"/>
            </w:rPr>
            <w:fldChar w:fldCharType="end"/>
          </w:r>
        </w:p>
        <w:p w14:paraId="1F51B80B">
          <w:pPr>
            <w:shd w:val="clear"/>
            <w:bidi w:val="0"/>
            <w:ind w:left="0" w:leftChars="0" w:firstLine="0" w:firstLineChars="0"/>
            <w:rPr>
              <w:rFonts w:hint="eastAsia" w:ascii="Times New Roman" w:hAnsi="Times New Roman" w:eastAsia="宋体" w:cstheme="minorBidi"/>
              <w:b/>
              <w:color w:val="auto"/>
              <w:kern w:val="2"/>
              <w:sz w:val="24"/>
              <w:szCs w:val="24"/>
              <w:highlight w:val="none"/>
              <w:lang w:val="en-US" w:eastAsia="zh-CN" w:bidi="ar-SA"/>
            </w:rPr>
          </w:pPr>
          <w:r>
            <w:rPr>
              <w:rFonts w:hint="eastAsia" w:ascii="Times New Roman" w:hAnsi="Times New Roman" w:eastAsia="宋体" w:cstheme="minorBidi"/>
              <w:b/>
              <w:color w:val="auto"/>
              <w:kern w:val="2"/>
              <w:szCs w:val="24"/>
              <w:highlight w:val="none"/>
              <w:lang w:val="en-US" w:eastAsia="zh-CN" w:bidi="ar-SA"/>
            </w:rPr>
            <w:fldChar w:fldCharType="end"/>
          </w:r>
        </w:p>
      </w:sdtContent>
    </w:sdt>
    <w:p w14:paraId="7CA9BF61">
      <w:pPr>
        <w:pStyle w:val="40"/>
        <w:rPr>
          <w:rFonts w:hint="eastAsia"/>
          <w:color w:val="auto"/>
          <w:highlight w:val="none"/>
          <w:lang w:val="en-US" w:eastAsia="zh-CN"/>
        </w:rPr>
      </w:pPr>
    </w:p>
    <w:p w14:paraId="40AF72F3">
      <w:pPr>
        <w:pStyle w:val="5"/>
        <w:numPr>
          <w:ilvl w:val="0"/>
          <w:numId w:val="0"/>
        </w:numPr>
        <w:shd w:val="clear"/>
        <w:spacing w:beforeLines="0" w:afterLines="0" w:line="480" w:lineRule="exact"/>
        <w:rPr>
          <w:rFonts w:hint="eastAsia" w:ascii="宋体" w:hAnsi="宋体" w:eastAsia="宋体" w:cs="宋体"/>
          <w:bCs/>
          <w:color w:val="auto"/>
          <w:szCs w:val="36"/>
          <w:highlight w:val="none"/>
        </w:rPr>
      </w:pPr>
      <w:bookmarkStart w:id="84" w:name="_Toc16590"/>
      <w:bookmarkStart w:id="85" w:name="_Toc12162"/>
    </w:p>
    <w:p w14:paraId="6D15369F">
      <w:pPr>
        <w:rPr>
          <w:rFonts w:hint="eastAsia" w:ascii="宋体" w:hAnsi="宋体" w:eastAsia="宋体" w:cs="宋体"/>
          <w:bCs/>
          <w:color w:val="auto"/>
          <w:szCs w:val="36"/>
          <w:highlight w:val="none"/>
        </w:rPr>
      </w:pPr>
    </w:p>
    <w:p w14:paraId="51A7C829">
      <w:pPr>
        <w:pStyle w:val="2"/>
        <w:rPr>
          <w:rFonts w:hint="eastAsia" w:ascii="宋体" w:hAnsi="宋体" w:eastAsia="宋体" w:cs="宋体"/>
          <w:bCs/>
          <w:color w:val="auto"/>
          <w:szCs w:val="36"/>
          <w:highlight w:val="none"/>
        </w:rPr>
      </w:pPr>
    </w:p>
    <w:p w14:paraId="7EA38E7B">
      <w:pPr>
        <w:pStyle w:val="4"/>
        <w:rPr>
          <w:rFonts w:hint="eastAsia"/>
          <w:color w:val="auto"/>
          <w:highlight w:val="none"/>
        </w:rPr>
      </w:pPr>
    </w:p>
    <w:p w14:paraId="7EBA96C5">
      <w:pPr>
        <w:pStyle w:val="2"/>
        <w:rPr>
          <w:rFonts w:hint="eastAsia" w:ascii="宋体" w:hAnsi="宋体" w:eastAsia="宋体" w:cs="宋体"/>
          <w:bCs/>
          <w:color w:val="auto"/>
          <w:szCs w:val="36"/>
          <w:highlight w:val="none"/>
        </w:rPr>
      </w:pPr>
    </w:p>
    <w:p w14:paraId="2A383C1D">
      <w:pPr>
        <w:rPr>
          <w:rFonts w:hint="eastAsia"/>
          <w:color w:val="auto"/>
          <w:highlight w:val="none"/>
        </w:rPr>
      </w:pPr>
    </w:p>
    <w:p w14:paraId="2519B097">
      <w:pPr>
        <w:pStyle w:val="5"/>
        <w:numPr>
          <w:ilvl w:val="0"/>
          <w:numId w:val="0"/>
        </w:numPr>
        <w:shd w:val="clear"/>
        <w:spacing w:beforeLines="0" w:afterLines="0" w:line="480" w:lineRule="exact"/>
        <w:rPr>
          <w:rFonts w:hint="eastAsia" w:ascii="宋体" w:hAnsi="宋体" w:eastAsia="宋体" w:cs="宋体"/>
          <w:b/>
          <w:bCs/>
          <w:color w:val="auto"/>
          <w:highlight w:val="none"/>
        </w:rPr>
      </w:pPr>
      <w:r>
        <w:rPr>
          <w:rFonts w:hint="eastAsia" w:ascii="宋体" w:hAnsi="宋体" w:eastAsia="宋体" w:cs="宋体"/>
          <w:bCs/>
          <w:color w:val="auto"/>
          <w:szCs w:val="36"/>
          <w:highlight w:val="none"/>
        </w:rPr>
        <w:t>第一章 招标公告</w:t>
      </w:r>
      <w:bookmarkEnd w:id="84"/>
      <w:bookmarkEnd w:id="85"/>
      <w:bookmarkStart w:id="86" w:name="_Toc23139"/>
      <w:bookmarkStart w:id="87" w:name="_Toc6450"/>
      <w:bookmarkStart w:id="88" w:name="_Toc15323"/>
      <w:bookmarkStart w:id="89" w:name="_Toc22093"/>
      <w:bookmarkStart w:id="90" w:name="_Toc16052"/>
      <w:bookmarkStart w:id="91" w:name="_Toc28535"/>
      <w:bookmarkStart w:id="92" w:name="_Toc19851"/>
      <w:bookmarkStart w:id="93" w:name="_Toc31067"/>
      <w:bookmarkStart w:id="94" w:name="_Toc26629"/>
      <w:bookmarkStart w:id="95" w:name="_Toc14390"/>
      <w:bookmarkStart w:id="96" w:name="_Toc29328"/>
      <w:bookmarkStart w:id="97" w:name="_Toc14520"/>
      <w:bookmarkStart w:id="98" w:name="_Toc15977"/>
      <w:bookmarkStart w:id="99" w:name="_Toc30197"/>
      <w:bookmarkStart w:id="100" w:name="_Toc20476"/>
      <w:bookmarkStart w:id="101" w:name="_Toc18103"/>
      <w:bookmarkStart w:id="102" w:name="_Toc29696"/>
      <w:bookmarkStart w:id="103" w:name="_Toc24657"/>
      <w:bookmarkStart w:id="104" w:name="_Toc6951"/>
      <w:bookmarkStart w:id="105" w:name="_Toc30645"/>
      <w:bookmarkStart w:id="106" w:name="_Toc16750"/>
      <w:bookmarkStart w:id="107" w:name="_Hlk24379207"/>
      <w:bookmarkStart w:id="108" w:name="_Toc28359002"/>
      <w:bookmarkStart w:id="109" w:name="_Toc28359079"/>
      <w:bookmarkStart w:id="110" w:name="_Toc11780"/>
      <w:bookmarkStart w:id="111" w:name="_Toc16976"/>
      <w:bookmarkStart w:id="112" w:name="_Toc12772"/>
      <w:bookmarkStart w:id="113" w:name="_Toc5925"/>
      <w:bookmarkStart w:id="114" w:name="_Toc2153"/>
      <w:bookmarkStart w:id="115" w:name="_Toc5108"/>
      <w:bookmarkStart w:id="116" w:name="_Toc23741"/>
      <w:bookmarkStart w:id="117" w:name="_Toc3174"/>
      <w:bookmarkStart w:id="118" w:name="_Toc26829"/>
    </w:p>
    <w:p w14:paraId="3E3EEE8F">
      <w:pPr>
        <w:pStyle w:val="41"/>
        <w:keepNext w:val="0"/>
        <w:keepLines w:val="0"/>
        <w:pageBreakBefore w:val="0"/>
        <w:shd w:val="clear"/>
        <w:tabs>
          <w:tab w:val="left" w:pos="397"/>
          <w:tab w:val="left" w:pos="420"/>
        </w:tabs>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lang w:val="zh-CN"/>
        </w:rPr>
      </w:pPr>
      <w:r>
        <w:rPr>
          <w:rFonts w:hint="eastAsia" w:ascii="宋体" w:hAnsi="宋体" w:cs="宋体"/>
          <w:color w:val="auto"/>
          <w:highlight w:val="none"/>
          <w:lang w:val="zh-CN" w:eastAsia="zh-CN"/>
        </w:rPr>
        <w:t>根据《</w:t>
      </w:r>
      <w:r>
        <w:rPr>
          <w:rFonts w:hint="eastAsia" w:ascii="宋体" w:hAnsi="宋体" w:eastAsia="宋体" w:cs="宋体"/>
          <w:color w:val="auto"/>
          <w:highlight w:val="none"/>
          <w:lang w:val="zh-CN"/>
        </w:rPr>
        <w:t>龙游县国有企业采购管理办法》（龙政办发〔2021〕58号）等有关规定，衢州宇信工程咨询有限公司受</w:t>
      </w:r>
      <w:r>
        <w:rPr>
          <w:rFonts w:hint="eastAsia" w:ascii="宋体" w:hAnsi="宋体" w:cs="宋体"/>
          <w:color w:val="auto"/>
          <w:highlight w:val="none"/>
          <w:lang w:val="zh-CN"/>
        </w:rPr>
        <w:t>浙江华水环境工程有限公司</w:t>
      </w:r>
      <w:r>
        <w:rPr>
          <w:rFonts w:hint="eastAsia" w:ascii="宋体" w:hAnsi="宋体" w:eastAsia="宋体" w:cs="宋体"/>
          <w:color w:val="auto"/>
          <w:highlight w:val="none"/>
          <w:lang w:val="zh-CN"/>
        </w:rPr>
        <w:t>委托，就</w:t>
      </w:r>
      <w:r>
        <w:rPr>
          <w:rFonts w:hint="eastAsia" w:ascii="宋体" w:hAnsi="宋体" w:cs="宋体"/>
          <w:color w:val="auto"/>
          <w:highlight w:val="none"/>
          <w:lang w:eastAsia="zh-CN"/>
        </w:rPr>
        <w:t>龙游县龙南污水厂建设工程设备采购招标</w:t>
      </w:r>
      <w:r>
        <w:rPr>
          <w:rFonts w:hint="eastAsia" w:ascii="宋体" w:hAnsi="宋体" w:eastAsia="宋体" w:cs="宋体"/>
          <w:color w:val="auto"/>
          <w:highlight w:val="none"/>
          <w:lang w:val="zh-CN"/>
        </w:rPr>
        <w:t>进行公开招标，欢迎符合条件的</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参加本次采购活动。</w:t>
      </w:r>
    </w:p>
    <w:p w14:paraId="0BFA4BEC">
      <w:pPr>
        <w:keepNext w:val="0"/>
        <w:keepLines w:val="0"/>
        <w:pageBreakBefore w:val="0"/>
        <w:widowControl w:val="0"/>
        <w:numPr>
          <w:ilvl w:val="255"/>
          <w:numId w:val="0"/>
        </w:numPr>
        <w:shd w:val="clear"/>
        <w:kinsoku/>
        <w:wordWrap/>
        <w:overflowPunct/>
        <w:topLinePunct w:val="0"/>
        <w:autoSpaceDE/>
        <w:autoSpaceDN/>
        <w:bidi w:val="0"/>
        <w:adjustRightInd/>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bookmarkStart w:id="119" w:name="_Toc23420"/>
      <w:bookmarkStart w:id="120" w:name="_Toc15834"/>
      <w:bookmarkStart w:id="121" w:name="_Toc18378"/>
      <w:bookmarkStart w:id="122" w:name="_Toc11491"/>
      <w:bookmarkStart w:id="123" w:name="_Toc26312"/>
      <w:r>
        <w:rPr>
          <w:rFonts w:hint="eastAsia" w:ascii="宋体" w:hAnsi="宋体" w:eastAsia="宋体" w:cs="宋体"/>
          <w:b/>
          <w:bCs/>
          <w:color w:val="auto"/>
          <w:highlight w:val="none"/>
        </w:rPr>
        <w:t>一、</w:t>
      </w:r>
      <w:r>
        <w:rPr>
          <w:rFonts w:hint="eastAsia" w:ascii="宋体" w:hAnsi="宋体" w:eastAsia="宋体" w:cs="宋体"/>
          <w:b/>
          <w:bCs/>
          <w:color w:val="auto"/>
          <w:highlight w:val="none"/>
          <w:lang w:val="zh-CN"/>
        </w:rPr>
        <w:t>项目基本情况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19"/>
      <w:bookmarkEnd w:id="120"/>
      <w:bookmarkEnd w:id="121"/>
      <w:bookmarkEnd w:id="122"/>
      <w:bookmarkEnd w:id="123"/>
    </w:p>
    <w:p w14:paraId="19E22338">
      <w:pPr>
        <w:pStyle w:val="41"/>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1.项目编号：</w:t>
      </w:r>
      <w:r>
        <w:rPr>
          <w:rFonts w:hint="eastAsia" w:ascii="宋体" w:hAnsi="宋体" w:cs="宋体"/>
          <w:color w:val="auto"/>
          <w:highlight w:val="none"/>
          <w:lang w:eastAsia="zh-CN"/>
        </w:rPr>
        <w:t>LYCG2025YX-002</w:t>
      </w:r>
    </w:p>
    <w:p w14:paraId="62A8009B">
      <w:pPr>
        <w:pStyle w:val="41"/>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cs="宋体"/>
          <w:color w:val="auto"/>
          <w:highlight w:val="none"/>
          <w:lang w:eastAsia="zh-CN"/>
        </w:rPr>
      </w:pPr>
      <w:r>
        <w:rPr>
          <w:rFonts w:hint="eastAsia" w:ascii="宋体" w:hAnsi="宋体" w:eastAsia="宋体" w:cs="宋体"/>
          <w:color w:val="auto"/>
          <w:highlight w:val="none"/>
        </w:rPr>
        <w:t>2.项目名称：</w:t>
      </w:r>
      <w:r>
        <w:rPr>
          <w:rFonts w:hint="eastAsia" w:ascii="宋体" w:hAnsi="宋体" w:cs="宋体"/>
          <w:color w:val="auto"/>
          <w:highlight w:val="none"/>
          <w:lang w:eastAsia="zh-CN"/>
        </w:rPr>
        <w:t>龙游县龙南污水厂建设工程设备采购招标</w:t>
      </w:r>
    </w:p>
    <w:p w14:paraId="4A0B7587">
      <w:pPr>
        <w:pStyle w:val="41"/>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3.采购方式：公开招标</w:t>
      </w:r>
    </w:p>
    <w:p w14:paraId="6D3CDEDE">
      <w:pPr>
        <w:pStyle w:val="41"/>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4.预算金额（元）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50781780元</w:t>
      </w:r>
    </w:p>
    <w:p w14:paraId="7B7E9C2A">
      <w:pPr>
        <w:pStyle w:val="41"/>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5.最高限价（元）</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48242691</w:t>
      </w:r>
      <w:r>
        <w:rPr>
          <w:rFonts w:hint="eastAsia" w:ascii="宋体" w:hAnsi="宋体" w:eastAsia="宋体" w:cs="宋体"/>
          <w:color w:val="auto"/>
          <w:highlight w:val="none"/>
          <w:lang w:val="en-US" w:eastAsia="zh-CN"/>
        </w:rPr>
        <w:t>元</w:t>
      </w:r>
    </w:p>
    <w:p w14:paraId="15A29855">
      <w:pPr>
        <w:pStyle w:val="41"/>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auto"/>
          <w:highlight w:val="none"/>
          <w:lang w:val="en-US" w:eastAsia="zh-CN"/>
        </w:rPr>
      </w:pPr>
      <w:bookmarkStart w:id="124" w:name="_Toc25114"/>
      <w:bookmarkStart w:id="125" w:name="_Toc19072"/>
      <w:bookmarkStart w:id="126" w:name="_Toc11395"/>
      <w:bookmarkStart w:id="127" w:name="_Toc20050"/>
      <w:bookmarkStart w:id="128" w:name="_Toc12876"/>
      <w:bookmarkStart w:id="129" w:name="_Toc11832"/>
      <w:bookmarkStart w:id="130" w:name="_Toc14749"/>
      <w:bookmarkStart w:id="131" w:name="_Toc16650"/>
      <w:bookmarkStart w:id="132" w:name="_Toc22029"/>
      <w:bookmarkStart w:id="133" w:name="_Toc17737"/>
      <w:bookmarkStart w:id="134" w:name="_Toc8407"/>
      <w:bookmarkStart w:id="135" w:name="_Toc25577"/>
      <w:bookmarkStart w:id="136" w:name="_Toc2474"/>
      <w:bookmarkStart w:id="137" w:name="_Toc8671"/>
      <w:r>
        <w:rPr>
          <w:rFonts w:hint="eastAsia" w:ascii="宋体" w:hAnsi="宋体" w:eastAsia="宋体" w:cs="宋体"/>
          <w:color w:val="auto"/>
          <w:highlight w:val="none"/>
          <w:lang w:val="en-US" w:eastAsia="zh-CN"/>
        </w:rPr>
        <w:t>6.简要规格描述或项目基本概况介绍、用途：采购一批污水处理厂设备，具体详见招标文件“第三章 采购内容及要求”（包括但不限于标的的名称、数量、简要技术需求或服务要求等）。</w:t>
      </w:r>
    </w:p>
    <w:p w14:paraId="238CD415">
      <w:pPr>
        <w:pStyle w:val="41"/>
        <w:numPr>
          <w:ilvl w:val="255"/>
          <w:numId w:val="0"/>
        </w:numPr>
        <w:tabs>
          <w:tab w:val="left" w:pos="397"/>
          <w:tab w:val="left" w:pos="420"/>
        </w:tabs>
        <w:snapToGrid w:val="0"/>
        <w:spacing w:line="288"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7.合同履行期限：</w:t>
      </w:r>
      <w:bookmarkStart w:id="138" w:name="_Toc3697"/>
      <w:bookmarkStart w:id="139" w:name="_Toc21589"/>
      <w:bookmarkStart w:id="140" w:name="_Toc2852"/>
      <w:bookmarkStart w:id="141" w:name="_Toc6501"/>
      <w:bookmarkStart w:id="142" w:name="_Toc1861"/>
      <w:r>
        <w:rPr>
          <w:rFonts w:hint="eastAsia" w:ascii="宋体" w:hAnsi="宋体" w:cs="宋体"/>
          <w:color w:val="auto"/>
          <w:kern w:val="2"/>
          <w:sz w:val="24"/>
          <w:szCs w:val="24"/>
          <w:highlight w:val="none"/>
          <w:lang w:val="en-US" w:eastAsia="zh-CN" w:bidi="ar-SA"/>
        </w:rPr>
        <w:t>中标人在签订合同生效，接到采购人进场施工通知后，90日历天内按采购人要求完成交货、安装、调试，稳定运行后交工验收，与土建单位做好同步配合工作，设备联机试运行3个月后进行竣工验收并通过环保验收。技术服务期24个月（不包含试运行时间）。</w:t>
      </w:r>
    </w:p>
    <w:p w14:paraId="234C1808">
      <w:pPr>
        <w:pStyle w:val="41"/>
        <w:numPr>
          <w:ilvl w:val="255"/>
          <w:numId w:val="0"/>
        </w:numPr>
        <w:tabs>
          <w:tab w:val="left" w:pos="397"/>
          <w:tab w:val="left" w:pos="420"/>
        </w:tabs>
        <w:snapToGrid w:val="0"/>
        <w:spacing w:line="288" w:lineRule="auto"/>
        <w:ind w:firstLine="480" w:firstLineChars="200"/>
        <w:rPr>
          <w:rFonts w:ascii="宋体" w:hAnsi="宋体" w:cs="宋体"/>
          <w:color w:val="auto"/>
          <w:highlight w:val="none"/>
        </w:rPr>
      </w:pPr>
      <w:r>
        <w:rPr>
          <w:rFonts w:hint="eastAsia" w:ascii="宋体" w:hAnsi="宋体" w:cs="宋体"/>
          <w:color w:val="auto"/>
          <w:highlight w:val="none"/>
        </w:rPr>
        <w:t>8.本项目接受联合体投标，联合体成员不超过</w:t>
      </w:r>
      <w:r>
        <w:rPr>
          <w:rFonts w:hint="eastAsia" w:ascii="宋体" w:hAnsi="宋体" w:cs="宋体"/>
          <w:color w:val="auto"/>
          <w:highlight w:val="none"/>
          <w:lang w:val="en-US" w:eastAsia="zh-CN"/>
        </w:rPr>
        <w:t>二</w:t>
      </w:r>
      <w:r>
        <w:rPr>
          <w:rFonts w:hint="eastAsia" w:ascii="宋体" w:hAnsi="宋体" w:cs="宋体"/>
          <w:color w:val="auto"/>
          <w:highlight w:val="none"/>
        </w:rPr>
        <w:t xml:space="preserve">家。 </w:t>
      </w:r>
    </w:p>
    <w:p w14:paraId="6A025AC7">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143" w:name="_Toc10038"/>
      <w:r>
        <w:rPr>
          <w:rFonts w:hint="eastAsia" w:ascii="宋体" w:hAnsi="宋体" w:eastAsia="宋体" w:cs="宋体"/>
          <w:b/>
          <w:bCs/>
          <w:color w:val="auto"/>
          <w:highlight w:val="none"/>
        </w:rPr>
        <w:t>二、申请人的资格要求</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CDEDD2D">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cs="宋体"/>
          <w:color w:val="auto"/>
          <w:highlight w:val="none"/>
        </w:rPr>
      </w:pPr>
      <w:bookmarkStart w:id="144" w:name="_Toc3109"/>
      <w:bookmarkStart w:id="145" w:name="_Toc17140"/>
      <w:bookmarkStart w:id="146" w:name="_Toc29933"/>
      <w:bookmarkStart w:id="147" w:name="_Toc15990"/>
      <w:bookmarkStart w:id="148" w:name="_Toc16689"/>
      <w:bookmarkStart w:id="149" w:name="_Toc11020"/>
      <w:r>
        <w:rPr>
          <w:rFonts w:hint="eastAsia" w:ascii="宋体" w:hAnsi="宋体" w:eastAsia="宋体" w:cs="宋体"/>
          <w:color w:val="auto"/>
          <w:highlight w:val="none"/>
        </w:rPr>
        <w:t>1.</w:t>
      </w:r>
      <w:r>
        <w:rPr>
          <w:rFonts w:hint="eastAsia" w:ascii="宋体" w:hAnsi="宋体" w:cs="宋体"/>
          <w:color w:val="auto"/>
          <w:highlight w:val="none"/>
          <w:lang w:eastAsia="zh-CN"/>
        </w:rPr>
        <w:t>满足《龙游县国有企业采购管理办法》（龙政办发〔2021〕58号）第十二条规定</w:t>
      </w:r>
      <w:r>
        <w:rPr>
          <w:rFonts w:hint="eastAsia" w:ascii="宋体" w:hAnsi="宋体" w:cs="宋体"/>
          <w:color w:val="auto"/>
          <w:highlight w:val="none"/>
        </w:rPr>
        <w:t>：</w:t>
      </w:r>
    </w:p>
    <w:p w14:paraId="1D5B4CA4">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6F66A556">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7E813E6F">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2EAA454">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19DF0CA8">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5）参加</w:t>
      </w:r>
      <w:r>
        <w:rPr>
          <w:rFonts w:hint="eastAsia" w:ascii="宋体" w:hAnsi="宋体" w:cs="宋体"/>
          <w:color w:val="auto"/>
          <w:highlight w:val="none"/>
          <w:lang w:val="en-US" w:eastAsia="zh-CN"/>
        </w:rPr>
        <w:t>国企</w:t>
      </w:r>
      <w:r>
        <w:rPr>
          <w:rFonts w:hint="eastAsia" w:ascii="宋体" w:hAnsi="宋体" w:eastAsia="宋体" w:cs="宋体"/>
          <w:color w:val="auto"/>
          <w:highlight w:val="none"/>
        </w:rPr>
        <w:t>采购活动前三年内，在经营活动中没有重大违法记录；</w:t>
      </w:r>
    </w:p>
    <w:p w14:paraId="3C1C218B">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14:paraId="48481EF1">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投标人</w:t>
      </w:r>
      <w:r>
        <w:rPr>
          <w:rFonts w:hint="eastAsia" w:ascii="宋体" w:hAnsi="宋体" w:eastAsia="宋体" w:cs="宋体"/>
          <w:color w:val="auto"/>
          <w:highlight w:val="none"/>
        </w:rPr>
        <w:t>未被列入失信被执行人名单、重大税收违法案件当事人名单、政府采购严重违法失信行为记录名单，信用信息以信用中国网站（www.creditchina.gov.cn）、中国政府采购网（www.ccgp.gov.cn）公布为准。</w:t>
      </w:r>
    </w:p>
    <w:p w14:paraId="2E91CECE">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3.单位负责人为同一人或者存在直接控股、管理关系的不同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，不得参加同一合同项下的采购活动。</w:t>
      </w:r>
    </w:p>
    <w:bookmarkEnd w:id="144"/>
    <w:bookmarkEnd w:id="145"/>
    <w:bookmarkEnd w:id="146"/>
    <w:bookmarkEnd w:id="147"/>
    <w:bookmarkEnd w:id="148"/>
    <w:bookmarkEnd w:id="149"/>
    <w:p w14:paraId="2E171006">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4.落实国企采购政策需满足的资格要求：</w:t>
      </w:r>
      <w:r>
        <w:rPr>
          <w:rFonts w:hint="eastAsia" w:ascii="宋体" w:hAnsi="宋体" w:eastAsia="宋体" w:cs="宋体"/>
          <w:color w:val="auto"/>
          <w:highlight w:val="none"/>
          <w:lang w:val="en-US" w:eastAsia="zh-CN"/>
        </w:rPr>
        <w:t>无。</w:t>
      </w:r>
    </w:p>
    <w:p w14:paraId="4C2C22CF">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5.本项目的特定资格要求</w:t>
      </w:r>
      <w:r>
        <w:rPr>
          <w:rFonts w:hint="eastAsia" w:ascii="宋体" w:hAnsi="宋体" w:cs="宋体"/>
          <w:color w:val="auto"/>
          <w:highlight w:val="none"/>
          <w:lang w:val="en-US" w:eastAsia="zh-CN"/>
        </w:rPr>
        <w:t>（以下条件须同时满足）</w:t>
      </w:r>
      <w:r>
        <w:rPr>
          <w:rFonts w:hint="eastAsia" w:ascii="宋体" w:hAnsi="宋体" w:eastAsia="宋体" w:cs="宋体"/>
          <w:color w:val="auto"/>
          <w:highlight w:val="none"/>
          <w:lang w:val="en-US" w:eastAsia="zh-CN"/>
        </w:rPr>
        <w:t>：</w:t>
      </w:r>
      <w:bookmarkStart w:id="150" w:name="OLE_LINK9"/>
      <w:bookmarkStart w:id="151" w:name="OLE_LINK14"/>
    </w:p>
    <w:p w14:paraId="7AA3E029">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5.1投标人应具有建设行政主管部门颁发的机电工程施工总承包一级资质及建设行政主管部门颁发的环</w:t>
      </w:r>
      <w:r>
        <w:rPr>
          <w:rFonts w:hint="eastAsia" w:ascii="宋体" w:hAnsi="宋体" w:eastAsia="宋体" w:cs="宋体"/>
          <w:color w:val="auto"/>
          <w:highlight w:val="none"/>
          <w:lang w:val="en-US" w:eastAsia="zh-CN"/>
        </w:rPr>
        <w:t>保工程专业承包二级及以上资质，且具有有效的安全生产许可证。</w:t>
      </w:r>
    </w:p>
    <w:p w14:paraId="64D5FDE6">
      <w:pPr>
        <w:keepNext w:val="0"/>
        <w:keepLines w:val="0"/>
        <w:pageBreakBefore w:val="0"/>
        <w:shd w:val="clear"/>
        <w:kinsoku/>
        <w:wordWrap/>
        <w:overflowPunct/>
        <w:topLinePunct w:val="0"/>
        <w:autoSpaceDE/>
        <w:autoSpaceDN/>
        <w:bidi w:val="0"/>
        <w:adjustRightInd w:val="0"/>
        <w:snapToGrid w:val="0"/>
        <w:spacing w:line="288" w:lineRule="auto"/>
        <w:ind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5.2投标人（联合体任何一方）须承担过污水处理能力大于或等于</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000吨/天及以上一体化装配式污水处理厂项目设备安装或供货相关业绩。</w:t>
      </w:r>
    </w:p>
    <w:bookmarkEnd w:id="150"/>
    <w:bookmarkEnd w:id="151"/>
    <w:p w14:paraId="4B6477C0">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152" w:name="_Toc14501"/>
      <w:bookmarkStart w:id="153" w:name="_Toc31197"/>
      <w:bookmarkStart w:id="154" w:name="_Toc21291"/>
      <w:bookmarkStart w:id="155" w:name="_Toc5989"/>
      <w:bookmarkStart w:id="156" w:name="_Toc31911"/>
      <w:bookmarkStart w:id="157" w:name="_Toc11147"/>
      <w:bookmarkStart w:id="158" w:name="_Toc17769"/>
      <w:bookmarkStart w:id="159" w:name="_Toc5447"/>
      <w:bookmarkStart w:id="160" w:name="_Toc32492"/>
      <w:bookmarkStart w:id="161" w:name="_Toc21923"/>
      <w:bookmarkStart w:id="162" w:name="_Toc1765"/>
      <w:bookmarkStart w:id="163" w:name="_Toc23129"/>
      <w:bookmarkStart w:id="164" w:name="_Toc20310"/>
      <w:bookmarkStart w:id="165" w:name="_Toc13512"/>
      <w:bookmarkStart w:id="166" w:name="_Toc2752"/>
      <w:bookmarkStart w:id="167" w:name="_Toc29791"/>
      <w:bookmarkStart w:id="168" w:name="_Toc1399"/>
      <w:bookmarkStart w:id="169" w:name="_Toc26194"/>
      <w:bookmarkStart w:id="170" w:name="_Toc20064"/>
      <w:bookmarkStart w:id="171" w:name="_Toc728"/>
      <w:r>
        <w:rPr>
          <w:rFonts w:hint="eastAsia" w:ascii="宋体" w:hAnsi="宋体" w:eastAsia="宋体" w:cs="宋体"/>
          <w:b/>
          <w:bCs/>
          <w:color w:val="auto"/>
          <w:highlight w:val="none"/>
        </w:rPr>
        <w:t>三、电子评标</w:t>
      </w:r>
      <w:bookmarkEnd w:id="152"/>
      <w:bookmarkEnd w:id="153"/>
      <w:bookmarkEnd w:id="154"/>
      <w:bookmarkEnd w:id="155"/>
      <w:bookmarkEnd w:id="156"/>
      <w:bookmarkEnd w:id="157"/>
    </w:p>
    <w:p w14:paraId="01E51060">
      <w:pPr>
        <w:keepNext w:val="0"/>
        <w:keepLines w:val="0"/>
        <w:pageBreakBefore w:val="0"/>
        <w:shd w:val="clear"/>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本项目实行不见面电子招</w:t>
      </w:r>
      <w:r>
        <w:rPr>
          <w:rFonts w:hint="eastAsia" w:ascii="宋体" w:hAnsi="宋体" w:cs="宋体"/>
          <w:color w:val="auto"/>
          <w:highlight w:val="none"/>
          <w:lang w:eastAsia="zh-CN"/>
        </w:rPr>
        <w:t>投标方式</w:t>
      </w:r>
      <w:r>
        <w:rPr>
          <w:rFonts w:hint="eastAsia" w:ascii="宋体" w:hAnsi="宋体" w:eastAsia="宋体" w:cs="宋体"/>
          <w:color w:val="auto"/>
          <w:highlight w:val="none"/>
        </w:rPr>
        <w:t>。</w:t>
      </w:r>
    </w:p>
    <w:p w14:paraId="3DD70E6E">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rPr>
      </w:pPr>
      <w:bookmarkStart w:id="172" w:name="_Toc7095"/>
      <w:bookmarkStart w:id="173" w:name="_Toc13910"/>
      <w:bookmarkStart w:id="174" w:name="_Toc30557"/>
      <w:bookmarkStart w:id="175" w:name="_Toc21925"/>
      <w:bookmarkStart w:id="176" w:name="_Toc17981"/>
      <w:bookmarkStart w:id="177" w:name="_Toc31107"/>
      <w:r>
        <w:rPr>
          <w:rFonts w:hint="eastAsia" w:ascii="宋体" w:hAnsi="宋体" w:eastAsia="宋体" w:cs="宋体"/>
          <w:b/>
          <w:bCs/>
          <w:color w:val="auto"/>
          <w:highlight w:val="none"/>
        </w:rPr>
        <w:t>四、招标文件的获取</w:t>
      </w:r>
      <w:bookmarkEnd w:id="172"/>
      <w:bookmarkEnd w:id="173"/>
      <w:bookmarkEnd w:id="174"/>
      <w:bookmarkEnd w:id="175"/>
      <w:bookmarkEnd w:id="176"/>
      <w:bookmarkEnd w:id="177"/>
    </w:p>
    <w:p w14:paraId="0FEC194C">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bookmarkStart w:id="178" w:name="_Toc27666"/>
      <w:bookmarkStart w:id="179" w:name="_Toc19745"/>
      <w:bookmarkStart w:id="180" w:name="_Toc4243"/>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按下述要求获取采购文件，如未在“衢州市阳光交易服务平台”系统内完成相关流程，引起投标无效，责任自负。 </w:t>
      </w:r>
    </w:p>
    <w:p w14:paraId="07C050B0">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2.本项目采购文件实行“衢州市阳光交易服务平台”在线申请获取采购文件，不提供纸质版采购文件。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获取采购文件前应先办理“衢州市阳光交易服务平台”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信息入库备案同时办理介质CA锁。完成介质CA锁办理预计2-3个工作日，建议各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合理安排办理时间。 </w:t>
      </w:r>
    </w:p>
    <w:p w14:paraId="63574786">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3.潜在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登录衢州市阳光交易服务平台（https://qzygjy.com/）办理</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信息入库备案事宜，注册成功并公示24小时无异议后入库。 </w:t>
      </w:r>
    </w:p>
    <w:p w14:paraId="648750CA">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4.未办理企业信息入库的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，根据显示界面提示免费注册，填写、上传相关主体信息，带“*”号的必填，填好后“提交”。</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须提前申领介质CA锁及电子签章，具体操作可参考衢州市阳光交易服务平台交易乙方操作手册。</w:t>
      </w:r>
    </w:p>
    <w:p w14:paraId="07421359">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5.CA办理： </w:t>
      </w:r>
    </w:p>
    <w:p w14:paraId="2633EA59">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（1）天谷CA：http://www.tseal.cn/tcloud/common.xhtml?projId=307 天谷联系电话：400-087-8198 </w:t>
      </w:r>
    </w:p>
    <w:p w14:paraId="13F92ECF">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6.采购文件下载： </w:t>
      </w:r>
    </w:p>
    <w:p w14:paraId="322A52C7">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登录“衢州市阳光交易服务平台”，在线申请获取采购文件(选择采购公告，进入项目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选择“交易前阶段”进入项目在获取采购文件菜单中选择项目,选择“交易文件下载”)。 </w:t>
      </w:r>
    </w:p>
    <w:p w14:paraId="28598913">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（2）投标文件的解密：</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按照平台提示和采购文件的规定在30分钟内于衢州市阳光交易服务平台不见面开标大厅完成在线解密。 </w:t>
      </w:r>
    </w:p>
    <w:p w14:paraId="0DC8393B">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（3）具体操作指南：详见衢州市阳光交易服务平台“办事指南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衢州市阳光交易服务平台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操作手册”，如遇平台技术问题详询4009980000、0570-3878007。</w:t>
      </w:r>
    </w:p>
    <w:p w14:paraId="4E896A9C">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7.投标工具</w:t>
      </w:r>
    </w:p>
    <w:p w14:paraId="2E42A76D">
      <w:pPr>
        <w:pStyle w:val="98"/>
        <w:keepNext w:val="0"/>
        <w:keepLines w:val="0"/>
        <w:pageBreakBefore w:val="0"/>
        <w:numPr>
          <w:ilvl w:val="0"/>
          <w:numId w:val="0"/>
        </w:numPr>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投标文件制作软件（衢州产交版），下载地址：https://download.bqpoint.com/download/downloaddetail.html?SourceFrom=Ztb&amp;ZtbSoftXiaQuCode=112601&amp;ZtbSoftType=tballinclusive。联系方式，新点软件客服电话：4009980000。</w:t>
      </w:r>
    </w:p>
    <w:p w14:paraId="5D461F61">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rPr>
      </w:pPr>
      <w:bookmarkStart w:id="181" w:name="_Toc9357"/>
      <w:bookmarkStart w:id="182" w:name="_Toc21676"/>
      <w:bookmarkStart w:id="183" w:name="_Toc22226"/>
      <w:bookmarkStart w:id="184" w:name="_Toc15693"/>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、解密</w:t>
      </w:r>
      <w:bookmarkEnd w:id="181"/>
      <w:bookmarkEnd w:id="182"/>
      <w:bookmarkEnd w:id="183"/>
      <w:bookmarkEnd w:id="184"/>
    </w:p>
    <w:p w14:paraId="54B9B26E">
      <w:pPr>
        <w:pStyle w:val="98"/>
        <w:keepNext w:val="0"/>
        <w:keepLines w:val="0"/>
        <w:pageBreakBefore w:val="0"/>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1.投标文件开启时间到后，代理机构（或公证人员）宣布开始解密，30分钟内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应完成投标文件的解密。</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解密方式：</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自行登录衢州市阳光交易服务平台不见面开标大厅（https://qzygjy.com/BidOpening/bidopeninghallaction/hall/login)——</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身份——我的项目——选择标段——待代理开启解密后进行解密操作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在规定的时间内都已完成解密，则系统自动结束解密；</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因自身原因未在规定时间内完成解密，则默认自动放弃。</w:t>
      </w:r>
    </w:p>
    <w:p w14:paraId="0B9DAF0F">
      <w:pPr>
        <w:pStyle w:val="98"/>
        <w:keepNext w:val="0"/>
        <w:keepLines w:val="0"/>
        <w:pageBreakBefore w:val="0"/>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2.采购代理机构导入投标文件成功后进入评标流程。</w:t>
      </w:r>
    </w:p>
    <w:p w14:paraId="56C6A9D1">
      <w:pPr>
        <w:keepNext w:val="0"/>
        <w:keepLines w:val="0"/>
        <w:pageBreakBefore w:val="0"/>
        <w:widowControl/>
        <w:numPr>
          <w:ilvl w:val="255"/>
          <w:numId w:val="0"/>
        </w:numPr>
        <w:shd w:val="clear"/>
        <w:kinsoku/>
        <w:wordWrap/>
        <w:overflowPunct/>
        <w:topLinePunct w:val="0"/>
        <w:autoSpaceDE/>
        <w:autoSpaceDN/>
        <w:bidi w:val="0"/>
        <w:snapToGrid w:val="0"/>
        <w:spacing w:line="288" w:lineRule="auto"/>
        <w:ind w:firstLine="482" w:firstLineChars="200"/>
        <w:jc w:val="left"/>
        <w:textAlignment w:val="auto"/>
        <w:outlineLvl w:val="1"/>
        <w:rPr>
          <w:rFonts w:hint="eastAsia" w:ascii="宋体" w:hAnsi="宋体" w:eastAsia="宋体" w:cs="宋体"/>
          <w:b/>
          <w:bCs/>
          <w:color w:val="auto"/>
          <w:highlight w:val="none"/>
        </w:rPr>
      </w:pPr>
      <w:bookmarkStart w:id="185" w:name="_Toc19306"/>
      <w:bookmarkStart w:id="186" w:name="_Toc17044"/>
      <w:bookmarkStart w:id="187" w:name="_Toc31943"/>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、投标文件的递交</w:t>
      </w:r>
      <w:bookmarkEnd w:id="178"/>
      <w:bookmarkEnd w:id="179"/>
      <w:bookmarkEnd w:id="180"/>
      <w:bookmarkEnd w:id="185"/>
      <w:bookmarkEnd w:id="186"/>
      <w:bookmarkEnd w:id="187"/>
    </w:p>
    <w:p w14:paraId="1878CCFA">
      <w:pPr>
        <w:pStyle w:val="98"/>
        <w:keepNext w:val="0"/>
        <w:keepLines w:val="0"/>
        <w:pageBreakBefore w:val="0"/>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1.投标文件递交截止时间（投标截止时间，下同）：</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 00 秒。</w:t>
      </w:r>
    </w:p>
    <w:p w14:paraId="17411462">
      <w:pPr>
        <w:pStyle w:val="98"/>
        <w:keepNext w:val="0"/>
        <w:keepLines w:val="0"/>
        <w:pageBreakBefore w:val="0"/>
        <w:widowControl/>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2.投标文件递交方式：电子投标文件采用网上递交的方式，上传至衢州市阳光交易服务平台（https://qzygjy.com/TPBidder/memberLogin?type=13）。</w:t>
      </w:r>
    </w:p>
    <w:p w14:paraId="7D69FA3B">
      <w:pPr>
        <w:pStyle w:val="98"/>
        <w:keepNext w:val="0"/>
        <w:keepLines w:val="0"/>
        <w:pageBreakBefore w:val="0"/>
        <w:shd w:val="clear"/>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3.网上开标</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：衢州市阳光交易服务平台不见面开标大厅（网址：https://qzygjy.com/BidOpening/bidopeninghallaction/hall/login）。操作手册见官网首页下载中心。</w:t>
      </w:r>
    </w:p>
    <w:p w14:paraId="6B72D347">
      <w:pPr>
        <w:keepNext w:val="0"/>
        <w:keepLines w:val="0"/>
        <w:pageBreakBefore w:val="0"/>
        <w:shd w:val="clear"/>
        <w:kinsoku/>
        <w:wordWrap/>
        <w:overflowPunct/>
        <w:topLinePunct w:val="0"/>
        <w:autoSpaceDE/>
        <w:autoSpaceDN/>
        <w:bidi w:val="0"/>
        <w:adjustRightInd w:val="0"/>
        <w:spacing w:line="288" w:lineRule="auto"/>
        <w:ind w:firstLine="482"/>
        <w:textAlignment w:val="auto"/>
        <w:outlineLvl w:val="1"/>
        <w:rPr>
          <w:rFonts w:hint="eastAsia" w:ascii="宋体" w:hAnsi="宋体" w:eastAsia="宋体" w:cs="宋体"/>
          <w:b/>
          <w:color w:val="auto"/>
          <w:szCs w:val="21"/>
          <w:highlight w:val="none"/>
        </w:rPr>
      </w:pPr>
      <w:bookmarkStart w:id="188" w:name="_Toc10378"/>
      <w:bookmarkStart w:id="189" w:name="_Toc947"/>
      <w:bookmarkStart w:id="190" w:name="_Toc20733"/>
      <w:bookmarkStart w:id="191" w:name="_Toc22063"/>
      <w:bookmarkStart w:id="192" w:name="_Toc30825"/>
      <w:bookmarkStart w:id="193" w:name="_Toc15705"/>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、发布公告的媒介</w:t>
      </w:r>
      <w:bookmarkEnd w:id="188"/>
      <w:bookmarkEnd w:id="189"/>
      <w:bookmarkEnd w:id="190"/>
      <w:bookmarkEnd w:id="191"/>
      <w:bookmarkEnd w:id="192"/>
      <w:bookmarkEnd w:id="193"/>
    </w:p>
    <w:p w14:paraId="561FFDFF">
      <w:pPr>
        <w:keepNext w:val="0"/>
        <w:keepLines w:val="0"/>
        <w:pageBreakBefore w:val="0"/>
        <w:shd w:val="clear"/>
        <w:kinsoku/>
        <w:wordWrap/>
        <w:overflowPunct/>
        <w:topLinePunct w:val="0"/>
        <w:autoSpaceDE/>
        <w:autoSpaceDN/>
        <w:bidi w:val="0"/>
        <w:adjustRightInd w:val="0"/>
        <w:spacing w:line="288"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本招标公告在“衢州市阳光交易服务平台https://qzygjy.com/”“浙江政府采购网https://zfcg.czt.zj.gov.cn/”上发布。</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14:paraId="64D45262">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bookmarkStart w:id="194" w:name="_Toc615"/>
      <w:bookmarkStart w:id="195" w:name="_Toc7062"/>
      <w:bookmarkStart w:id="196" w:name="_Toc9579"/>
      <w:bookmarkStart w:id="197" w:name="_Toc31991"/>
      <w:bookmarkStart w:id="198" w:name="_Toc30620"/>
      <w:bookmarkStart w:id="199" w:name="_Toc16995"/>
      <w:bookmarkStart w:id="200" w:name="_Toc24482"/>
      <w:bookmarkStart w:id="201" w:name="_Toc2592"/>
      <w:bookmarkStart w:id="202" w:name="_Toc13827"/>
      <w:bookmarkStart w:id="203" w:name="_Toc24728"/>
      <w:bookmarkStart w:id="204" w:name="_Toc29452"/>
      <w:bookmarkStart w:id="205" w:name="_Toc3728"/>
      <w:bookmarkStart w:id="206" w:name="_Toc3321"/>
      <w:bookmarkStart w:id="207" w:name="_Toc19503"/>
      <w:bookmarkStart w:id="208" w:name="_Toc18088"/>
      <w:bookmarkStart w:id="209" w:name="_Toc7001"/>
      <w:bookmarkStart w:id="210" w:name="_Toc21431"/>
      <w:bookmarkStart w:id="211" w:name="_Toc32256"/>
      <w:bookmarkStart w:id="212" w:name="_Toc28973"/>
      <w:bookmarkStart w:id="213" w:name="_Toc6741"/>
      <w:bookmarkStart w:id="214" w:name="_Toc15563"/>
      <w:bookmarkStart w:id="215" w:name="_Toc25813"/>
      <w:bookmarkStart w:id="216" w:name="_Toc12522"/>
      <w:bookmarkStart w:id="217" w:name="_Toc5934"/>
      <w:bookmarkStart w:id="218" w:name="_Toc29674"/>
      <w:bookmarkStart w:id="219" w:name="_Toc15296"/>
      <w:bookmarkStart w:id="220" w:name="_Toc30034"/>
      <w:bookmarkStart w:id="221" w:name="_Toc9962"/>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lang w:val="zh-CN"/>
        </w:rPr>
        <w:t>、公告期限</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CD0B946">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19523F24">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bookmarkStart w:id="222" w:name="_Toc29902"/>
      <w:bookmarkStart w:id="223" w:name="_Toc12880"/>
      <w:bookmarkStart w:id="224" w:name="_Toc31025"/>
      <w:bookmarkStart w:id="225" w:name="_Toc21407"/>
      <w:bookmarkStart w:id="226" w:name="_Toc31633"/>
      <w:bookmarkStart w:id="227" w:name="_Toc16029"/>
      <w:bookmarkStart w:id="228" w:name="_Toc2589"/>
      <w:bookmarkStart w:id="229" w:name="_Toc14198"/>
      <w:bookmarkStart w:id="230" w:name="_Toc5254"/>
      <w:bookmarkStart w:id="231" w:name="_Toc8449"/>
      <w:bookmarkStart w:id="232" w:name="_Toc26070"/>
      <w:bookmarkStart w:id="233" w:name="_Toc17913"/>
      <w:bookmarkStart w:id="234" w:name="_Toc18112"/>
      <w:bookmarkStart w:id="235" w:name="_Toc31065"/>
      <w:bookmarkStart w:id="236" w:name="_Toc20211"/>
      <w:bookmarkStart w:id="237" w:name="_Toc19281"/>
      <w:bookmarkStart w:id="238" w:name="_Toc9751"/>
      <w:bookmarkStart w:id="239" w:name="_Toc5521"/>
      <w:bookmarkStart w:id="240" w:name="_Toc31887"/>
      <w:bookmarkStart w:id="241" w:name="_Toc20864"/>
      <w:bookmarkStart w:id="242" w:name="_Toc15440"/>
      <w:bookmarkStart w:id="243" w:name="_Toc15789"/>
      <w:bookmarkStart w:id="244" w:name="_Toc16285"/>
      <w:bookmarkStart w:id="245" w:name="_Toc19949"/>
      <w:bookmarkStart w:id="246" w:name="_Toc21686"/>
      <w:bookmarkStart w:id="247" w:name="_Toc1123"/>
      <w:bookmarkStart w:id="248" w:name="_Toc5821"/>
      <w:bookmarkStart w:id="249" w:name="_Toc3633"/>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lang w:val="zh-CN"/>
        </w:rPr>
        <w:t>、其他补充事宜</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7D1DC6C">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对采购人或采购代理机构的质疑答复不满意或者采购人或采购代理机构未在规定时间内作出答复的，可以在答复期满后十五个工作日内向</w:t>
      </w:r>
      <w:r>
        <w:rPr>
          <w:rFonts w:hint="eastAsia" w:ascii="宋体" w:hAnsi="宋体" w:cs="宋体"/>
          <w:bCs/>
          <w:color w:val="auto"/>
          <w:highlight w:val="none"/>
          <w:lang w:eastAsia="zh-CN"/>
        </w:rPr>
        <w:t>龙游县水务集团有限公司招投标分中心</w:t>
      </w:r>
      <w:r>
        <w:rPr>
          <w:rFonts w:hint="eastAsia" w:ascii="宋体" w:hAnsi="宋体" w:eastAsia="宋体" w:cs="宋体"/>
          <w:bCs/>
          <w:color w:val="auto"/>
          <w:highlight w:val="none"/>
        </w:rPr>
        <w:t>投诉（联系人</w:t>
      </w:r>
      <w:r>
        <w:rPr>
          <w:rFonts w:hint="eastAsia" w:ascii="宋体" w:hAnsi="宋体" w:eastAsia="宋体" w:cs="宋体"/>
          <w:bCs/>
          <w:color w:val="auto"/>
          <w:highlight w:val="none"/>
          <w:lang w:eastAsia="zh-CN"/>
        </w:rPr>
        <w:t>：</w:t>
      </w:r>
      <w:r>
        <w:rPr>
          <w:rFonts w:hint="eastAsia" w:ascii="宋体" w:hAnsi="宋体" w:cs="宋体"/>
          <w:bCs/>
          <w:color w:val="auto"/>
          <w:highlight w:val="none"/>
          <w:lang w:eastAsia="zh-CN"/>
        </w:rPr>
        <w:t>夏先生</w:t>
      </w:r>
      <w:r>
        <w:rPr>
          <w:rFonts w:hint="eastAsia" w:ascii="宋体" w:hAnsi="宋体" w:eastAsia="宋体" w:cs="宋体"/>
          <w:bCs/>
          <w:color w:val="auto"/>
          <w:highlight w:val="none"/>
        </w:rPr>
        <w:t>，联系号码：</w:t>
      </w:r>
      <w:r>
        <w:rPr>
          <w:rFonts w:hint="eastAsia" w:ascii="宋体" w:hAnsi="宋体" w:cs="宋体"/>
          <w:bCs/>
          <w:color w:val="auto"/>
          <w:highlight w:val="none"/>
          <w:lang w:eastAsia="zh-CN"/>
        </w:rPr>
        <w:t>1836705822</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rPr>
        <w:t>，联系地址：</w:t>
      </w:r>
      <w:r>
        <w:rPr>
          <w:rFonts w:hint="eastAsia" w:ascii="宋体" w:hAnsi="宋体"/>
          <w:color w:val="auto"/>
          <w:highlight w:val="none"/>
          <w:lang w:val="zh-CN" w:eastAsia="zh-CN"/>
        </w:rPr>
        <w:t>龙游县龙洲街道荣昌路东道35号</w:t>
      </w:r>
      <w:r>
        <w:rPr>
          <w:rFonts w:hint="eastAsia" w:ascii="宋体" w:hAnsi="宋体" w:eastAsia="宋体" w:cs="宋体"/>
          <w:bCs/>
          <w:color w:val="auto"/>
          <w:highlight w:val="none"/>
        </w:rPr>
        <w:t>）</w:t>
      </w:r>
      <w:r>
        <w:rPr>
          <w:rFonts w:hint="eastAsia" w:ascii="宋体" w:hAnsi="宋体" w:eastAsia="宋体" w:cs="宋体"/>
          <w:color w:val="auto"/>
          <w:highlight w:val="none"/>
        </w:rPr>
        <w:t>。</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D2E2F34">
      <w:pPr>
        <w:keepNext w:val="0"/>
        <w:keepLines w:val="0"/>
        <w:pageBreakBefore w:val="0"/>
        <w:numPr>
          <w:ilvl w:val="255"/>
          <w:numId w:val="0"/>
        </w:numPr>
        <w:shd w:val="clear"/>
        <w:kinsoku/>
        <w:wordWrap/>
        <w:overflowPunct/>
        <w:topLinePunct w:val="0"/>
        <w:autoSpaceDE/>
        <w:autoSpaceDN/>
        <w:bidi w:val="0"/>
        <w:snapToGrid w:val="0"/>
        <w:spacing w:line="288" w:lineRule="auto"/>
        <w:ind w:firstLine="482" w:firstLineChars="200"/>
        <w:textAlignment w:val="auto"/>
        <w:outlineLvl w:val="1"/>
        <w:rPr>
          <w:rFonts w:hint="eastAsia" w:ascii="宋体" w:hAnsi="宋体" w:eastAsia="宋体" w:cs="宋体"/>
          <w:b/>
          <w:bCs/>
          <w:color w:val="auto"/>
          <w:highlight w:val="none"/>
          <w:lang w:val="zh-CN"/>
        </w:rPr>
      </w:pPr>
      <w:bookmarkStart w:id="250" w:name="_Toc4375"/>
      <w:bookmarkStart w:id="251" w:name="_Toc22562"/>
      <w:bookmarkStart w:id="252" w:name="_Toc4537"/>
      <w:bookmarkStart w:id="253" w:name="_Toc14989"/>
      <w:bookmarkStart w:id="254" w:name="_Toc9248"/>
      <w:bookmarkStart w:id="255" w:name="_Toc7004"/>
      <w:bookmarkStart w:id="256" w:name="_Toc25243"/>
      <w:bookmarkStart w:id="257" w:name="_Toc22164"/>
      <w:bookmarkStart w:id="258" w:name="_Toc30923"/>
      <w:bookmarkStart w:id="259" w:name="_Toc26385"/>
      <w:bookmarkStart w:id="260" w:name="_Toc12397"/>
      <w:bookmarkStart w:id="261" w:name="_Toc4869"/>
      <w:bookmarkStart w:id="262" w:name="_Toc18715"/>
      <w:bookmarkStart w:id="263" w:name="_Toc16125"/>
      <w:bookmarkStart w:id="264" w:name="_Toc3570"/>
      <w:bookmarkStart w:id="265" w:name="_Toc14675"/>
      <w:bookmarkStart w:id="266" w:name="_Toc23801"/>
      <w:bookmarkStart w:id="267" w:name="_Toc3531"/>
      <w:bookmarkStart w:id="268" w:name="_Toc3493"/>
      <w:bookmarkStart w:id="269" w:name="_Toc10681"/>
      <w:bookmarkStart w:id="270" w:name="_Toc16832"/>
      <w:bookmarkStart w:id="271" w:name="_Toc16069"/>
      <w:bookmarkStart w:id="272" w:name="_Toc7089"/>
      <w:bookmarkStart w:id="273" w:name="_Toc900"/>
      <w:bookmarkStart w:id="274" w:name="_Toc8106"/>
      <w:bookmarkStart w:id="275" w:name="_Toc19515"/>
      <w:bookmarkStart w:id="276" w:name="_Toc26697"/>
      <w:bookmarkStart w:id="277" w:name="_Toc16934"/>
      <w:r>
        <w:rPr>
          <w:rFonts w:hint="eastAsia" w:ascii="宋体" w:hAnsi="宋体" w:eastAsia="宋体" w:cs="宋体"/>
          <w:b/>
          <w:bCs/>
          <w:color w:val="auto"/>
          <w:highlight w:val="none"/>
          <w:lang w:val="en-US" w:eastAsia="zh-CN"/>
        </w:rPr>
        <w:t>十</w:t>
      </w:r>
      <w:r>
        <w:rPr>
          <w:rFonts w:hint="eastAsia" w:ascii="宋体" w:hAnsi="宋体" w:eastAsia="宋体" w:cs="宋体"/>
          <w:b/>
          <w:bCs/>
          <w:color w:val="auto"/>
          <w:highlight w:val="none"/>
          <w:lang w:val="zh-CN"/>
        </w:rPr>
        <w:t>、业务咨询</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DD247D0">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采购人信息</w:t>
      </w:r>
    </w:p>
    <w:p w14:paraId="31BE3B3C">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cs="宋体"/>
          <w:color w:val="auto"/>
          <w:highlight w:val="none"/>
          <w:lang w:eastAsia="zh-CN"/>
        </w:rPr>
        <w:t>浙江华水环境工程有限公司</w:t>
      </w:r>
    </w:p>
    <w:p w14:paraId="71F32C93">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rPr>
        <w:t>：</w:t>
      </w:r>
      <w:r>
        <w:rPr>
          <w:rFonts w:hint="eastAsia" w:ascii="宋体" w:hAnsi="宋体" w:cs="宋体"/>
          <w:color w:val="auto"/>
          <w:highlight w:val="none"/>
          <w:lang w:eastAsia="zh-CN"/>
        </w:rPr>
        <w:t>龙游县龙洲街道荣昌路东道35号</w:t>
      </w:r>
    </w:p>
    <w:p w14:paraId="6BA30705">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胡</w:t>
      </w:r>
      <w:r>
        <w:rPr>
          <w:rFonts w:hint="eastAsia" w:ascii="宋体" w:hAnsi="宋体" w:cs="宋体"/>
          <w:color w:val="auto"/>
          <w:highlight w:val="none"/>
          <w:lang w:eastAsia="zh-CN"/>
        </w:rPr>
        <w:t>先生</w:t>
      </w:r>
    </w:p>
    <w:p w14:paraId="07B9A9B4">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联系</w:t>
      </w:r>
      <w:r>
        <w:rPr>
          <w:rFonts w:hint="eastAsia" w:ascii="宋体" w:hAnsi="宋体" w:eastAsia="宋体" w:cs="宋体"/>
          <w:color w:val="auto"/>
          <w:highlight w:val="none"/>
          <w:lang w:val="en-US" w:eastAsia="zh-CN"/>
        </w:rPr>
        <w:t>方式</w:t>
      </w:r>
      <w:r>
        <w:rPr>
          <w:rFonts w:hint="eastAsia" w:ascii="宋体" w:hAnsi="宋体" w:eastAsia="宋体" w:cs="宋体"/>
          <w:color w:val="auto"/>
          <w:highlight w:val="none"/>
        </w:rPr>
        <w:t>：</w:t>
      </w:r>
      <w:r>
        <w:rPr>
          <w:rFonts w:hint="eastAsia" w:ascii="宋体" w:hAnsi="宋体" w:cs="宋体"/>
          <w:color w:val="auto"/>
          <w:highlight w:val="none"/>
          <w:lang w:val="en-US" w:eastAsia="zh-CN"/>
        </w:rPr>
        <w:t>13575676825</w:t>
      </w:r>
    </w:p>
    <w:p w14:paraId="16EB4200">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p>
    <w:p w14:paraId="630EF8C8">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采购代理机构</w:t>
      </w:r>
      <w:r>
        <w:rPr>
          <w:rFonts w:hint="eastAsia" w:ascii="宋体" w:hAnsi="宋体" w:cs="宋体"/>
          <w:color w:val="auto"/>
          <w:highlight w:val="none"/>
          <w:lang w:val="en-US" w:eastAsia="zh-CN"/>
        </w:rPr>
        <w:t>信息</w:t>
      </w:r>
    </w:p>
    <w:p w14:paraId="47BD8E85">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名称：衢州宇信工程咨询有限公司</w:t>
      </w:r>
    </w:p>
    <w:p w14:paraId="705A2901">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rPr>
        <w:t>：龙游县荣昌路广和商务楼306室</w:t>
      </w:r>
    </w:p>
    <w:p w14:paraId="15B05ECC">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祝</w:t>
      </w:r>
      <w:r>
        <w:rPr>
          <w:rFonts w:hint="eastAsia" w:ascii="宋体" w:hAnsi="宋体" w:eastAsia="宋体" w:cs="宋体"/>
          <w:color w:val="auto"/>
          <w:highlight w:val="none"/>
        </w:rPr>
        <w:t>女士</w:t>
      </w:r>
    </w:p>
    <w:p w14:paraId="707357EA">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18367068335</w:t>
      </w:r>
    </w:p>
    <w:p w14:paraId="01364113">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p>
    <w:p w14:paraId="0F6301E5">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3.</w:t>
      </w:r>
      <w:r>
        <w:rPr>
          <w:rFonts w:hint="eastAsia" w:ascii="宋体" w:hAnsi="宋体" w:eastAsia="宋体" w:cs="宋体"/>
          <w:color w:val="auto"/>
          <w:highlight w:val="none"/>
          <w:lang w:val="zh-CN"/>
        </w:rPr>
        <w:t>同级</w:t>
      </w:r>
      <w:r>
        <w:rPr>
          <w:rFonts w:hint="eastAsia" w:ascii="宋体" w:hAnsi="宋体" w:eastAsia="宋体" w:cs="宋体"/>
          <w:color w:val="auto"/>
          <w:highlight w:val="none"/>
        </w:rPr>
        <w:t>国企</w:t>
      </w:r>
      <w:r>
        <w:rPr>
          <w:rFonts w:hint="eastAsia" w:ascii="宋体" w:hAnsi="宋体" w:eastAsia="宋体" w:cs="宋体"/>
          <w:color w:val="auto"/>
          <w:highlight w:val="none"/>
          <w:lang w:val="zh-CN"/>
        </w:rPr>
        <w:t>采购监督管理部门</w:t>
      </w:r>
    </w:p>
    <w:p w14:paraId="19916B52">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cs="宋体"/>
          <w:bCs/>
          <w:color w:val="auto"/>
          <w:highlight w:val="none"/>
          <w:lang w:eastAsia="zh-CN"/>
        </w:rPr>
      </w:pPr>
      <w:r>
        <w:rPr>
          <w:rFonts w:hint="eastAsia" w:ascii="宋体" w:hAnsi="宋体" w:eastAsia="宋体" w:cs="宋体"/>
          <w:color w:val="auto"/>
          <w:highlight w:val="none"/>
          <w:lang w:val="zh-CN"/>
        </w:rPr>
        <w:t>名称：</w:t>
      </w:r>
      <w:bookmarkStart w:id="278" w:name="OLE_LINK2"/>
      <w:r>
        <w:rPr>
          <w:rFonts w:hint="eastAsia" w:ascii="宋体" w:hAnsi="宋体" w:cs="宋体"/>
          <w:bCs/>
          <w:color w:val="auto"/>
          <w:highlight w:val="none"/>
          <w:lang w:eastAsia="zh-CN"/>
        </w:rPr>
        <w:t>龙游县水务集团有限公司招投标分中心</w:t>
      </w:r>
    </w:p>
    <w:p w14:paraId="40E82C2E">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地址</w:t>
      </w:r>
      <w:bookmarkEnd w:id="278"/>
      <w:r>
        <w:rPr>
          <w:rFonts w:hint="eastAsia" w:ascii="宋体" w:hAnsi="宋体" w:eastAsia="宋体" w:cs="宋体"/>
          <w:color w:val="auto"/>
          <w:highlight w:val="none"/>
          <w:lang w:val="zh-CN"/>
        </w:rPr>
        <w:t>：</w:t>
      </w:r>
      <w:r>
        <w:rPr>
          <w:rFonts w:hint="eastAsia" w:ascii="宋体" w:hAnsi="宋体"/>
          <w:color w:val="auto"/>
          <w:highlight w:val="none"/>
          <w:lang w:val="zh-CN" w:eastAsia="zh-CN"/>
        </w:rPr>
        <w:t>龙游县龙洲街道荣昌路东道35号</w:t>
      </w:r>
    </w:p>
    <w:p w14:paraId="4B4D786A">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联系人：</w:t>
      </w:r>
      <w:r>
        <w:rPr>
          <w:rFonts w:hint="eastAsia" w:ascii="宋体" w:hAnsi="宋体" w:cs="宋体"/>
          <w:color w:val="auto"/>
          <w:highlight w:val="none"/>
          <w:lang w:eastAsia="zh-CN"/>
        </w:rPr>
        <w:t>夏先生</w:t>
      </w:r>
    </w:p>
    <w:p w14:paraId="12D77ECF">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监督投诉方式：</w:t>
      </w:r>
      <w:r>
        <w:rPr>
          <w:rFonts w:hint="eastAsia" w:ascii="宋体" w:hAnsi="宋体" w:cs="宋体"/>
          <w:color w:val="auto"/>
          <w:highlight w:val="none"/>
          <w:lang w:eastAsia="zh-CN"/>
        </w:rPr>
        <w:t xml:space="preserve">18367058222 </w:t>
      </w:r>
      <w:r>
        <w:rPr>
          <w:rFonts w:hint="eastAsia" w:ascii="宋体" w:hAnsi="宋体" w:eastAsia="宋体" w:cs="宋体"/>
          <w:color w:val="auto"/>
          <w:highlight w:val="none"/>
        </w:rPr>
        <w:t xml:space="preserve">                </w:t>
      </w:r>
    </w:p>
    <w:p w14:paraId="133F501A">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p>
    <w:p w14:paraId="16AB961E">
      <w:pPr>
        <w:keepNext w:val="0"/>
        <w:keepLines w:val="0"/>
        <w:pageBreakBefore w:val="0"/>
        <w:shd w:val="clear"/>
        <w:tabs>
          <w:tab w:val="left" w:pos="567"/>
        </w:tabs>
        <w:kinsoku/>
        <w:wordWrap/>
        <w:overflowPunct/>
        <w:topLinePunct w:val="0"/>
        <w:autoSpaceDE/>
        <w:autoSpaceDN/>
        <w:bidi w:val="0"/>
        <w:snapToGrid w:val="0"/>
        <w:spacing w:line="288"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cs="宋体"/>
          <w:color w:val="auto"/>
          <w:highlight w:val="none"/>
          <w:lang w:val="en-US" w:eastAsia="zh-CN"/>
        </w:rPr>
        <w:t>26</w:t>
      </w:r>
      <w:r>
        <w:rPr>
          <w:rFonts w:hint="eastAsia" w:ascii="宋体" w:hAnsi="宋体" w:eastAsia="宋体" w:cs="宋体"/>
          <w:color w:val="auto"/>
          <w:highlight w:val="none"/>
        </w:rPr>
        <w:t>日</w:t>
      </w:r>
    </w:p>
    <w:p w14:paraId="38750067">
      <w:pPr>
        <w:pStyle w:val="3"/>
        <w:keepNext w:val="0"/>
        <w:keepLines w:val="0"/>
        <w:pageBreakBefore w:val="0"/>
        <w:shd w:val="clear"/>
        <w:kinsoku/>
        <w:wordWrap/>
        <w:overflowPunct/>
        <w:topLinePunct w:val="0"/>
        <w:autoSpaceDE/>
        <w:autoSpaceDN/>
        <w:bidi w:val="0"/>
        <w:spacing w:line="288" w:lineRule="auto"/>
        <w:ind w:firstLine="480"/>
        <w:textAlignment w:val="auto"/>
        <w:rPr>
          <w:rFonts w:hint="eastAsia" w:ascii="宋体" w:hAnsi="宋体" w:eastAsia="宋体" w:cs="宋体"/>
          <w:color w:val="auto"/>
          <w:highlight w:val="none"/>
        </w:rPr>
      </w:pPr>
      <w:r>
        <w:rPr>
          <w:rFonts w:hint="eastAsia" w:ascii="宋体" w:hAnsi="宋体" w:eastAsia="宋体" w:cs="宋体"/>
          <w:bCs w:val="0"/>
          <w:color w:val="auto"/>
          <w:highlight w:val="none"/>
        </w:rPr>
        <w:br w:type="page"/>
      </w:r>
      <w:bookmarkStart w:id="279" w:name="_Toc18814"/>
      <w:bookmarkStart w:id="280" w:name="_Toc5940"/>
      <w:bookmarkStart w:id="281" w:name="_Toc24829"/>
      <w:bookmarkStart w:id="282" w:name="_Toc16230"/>
      <w:bookmarkStart w:id="283" w:name="_Toc26049"/>
      <w:bookmarkStart w:id="284" w:name="_Toc12646"/>
    </w:p>
    <w:p w14:paraId="4E52067B">
      <w:pPr>
        <w:pStyle w:val="5"/>
        <w:numPr>
          <w:ilvl w:val="0"/>
          <w:numId w:val="0"/>
        </w:numPr>
        <w:shd w:val="clear"/>
        <w:spacing w:beforeLines="0" w:afterLines="0"/>
        <w:rPr>
          <w:rFonts w:hint="eastAsia" w:ascii="宋体" w:hAnsi="宋体" w:eastAsia="宋体" w:cs="宋体"/>
          <w:color w:val="auto"/>
          <w:highlight w:val="none"/>
        </w:rPr>
      </w:pPr>
      <w:bookmarkStart w:id="285" w:name="_Toc7054"/>
      <w:bookmarkStart w:id="286" w:name="_Toc11144"/>
      <w:bookmarkStart w:id="287" w:name="_Toc29935"/>
      <w:bookmarkStart w:id="288" w:name="_Toc28801"/>
      <w:bookmarkStart w:id="289" w:name="_Toc9281"/>
      <w:bookmarkStart w:id="290" w:name="_Toc27038"/>
      <w:bookmarkStart w:id="291" w:name="_Toc13762"/>
      <w:bookmarkStart w:id="292" w:name="_Toc30924"/>
      <w:bookmarkStart w:id="293" w:name="_Toc12587"/>
      <w:bookmarkStart w:id="294" w:name="_Toc3207"/>
      <w:bookmarkStart w:id="295" w:name="_Toc22916"/>
      <w:bookmarkStart w:id="296" w:name="_Toc8894"/>
      <w:bookmarkStart w:id="297" w:name="_Toc3557"/>
      <w:bookmarkStart w:id="298" w:name="_Toc24594"/>
      <w:bookmarkStart w:id="299" w:name="_Toc26647"/>
      <w:bookmarkStart w:id="300" w:name="_Toc14948"/>
      <w:bookmarkStart w:id="301" w:name="_Toc8830"/>
      <w:bookmarkStart w:id="302" w:name="_Toc9562"/>
      <w:bookmarkStart w:id="303" w:name="_Toc2759"/>
      <w:bookmarkStart w:id="304" w:name="_Toc21043"/>
      <w:bookmarkStart w:id="305" w:name="_Toc20710"/>
      <w:bookmarkStart w:id="306" w:name="_Toc5219"/>
      <w:bookmarkStart w:id="307" w:name="_Toc14630"/>
      <w:bookmarkStart w:id="308" w:name="_Toc27348"/>
      <w:bookmarkStart w:id="309" w:name="_Toc6325"/>
      <w:bookmarkStart w:id="310" w:name="_Toc16652"/>
      <w:bookmarkStart w:id="311" w:name="_Toc2504"/>
      <w:bookmarkStart w:id="312" w:name="_Toc19320"/>
      <w:bookmarkStart w:id="313" w:name="_Toc3742"/>
      <w:bookmarkStart w:id="314" w:name="_Toc29673"/>
      <w:bookmarkStart w:id="315" w:name="_Toc21210"/>
      <w:bookmarkStart w:id="316" w:name="_Toc3195"/>
      <w:bookmarkStart w:id="317" w:name="_Toc17699"/>
      <w:bookmarkStart w:id="318" w:name="_Toc30570"/>
      <w:bookmarkStart w:id="319" w:name="_Toc26017"/>
      <w:bookmarkStart w:id="320" w:name="_Toc30817"/>
      <w:r>
        <w:rPr>
          <w:rFonts w:hint="eastAsia" w:ascii="宋体" w:hAnsi="宋体" w:eastAsia="宋体" w:cs="宋体"/>
          <w:color w:val="auto"/>
          <w:highlight w:val="none"/>
        </w:rPr>
        <w:t xml:space="preserve">第二章  </w:t>
      </w:r>
      <w:r>
        <w:rPr>
          <w:rFonts w:hint="eastAsia" w:ascii="宋体" w:hAnsi="宋体" w:cs="宋体"/>
          <w:color w:val="auto"/>
          <w:highlight w:val="none"/>
          <w:lang w:eastAsia="zh-CN"/>
        </w:rPr>
        <w:t>投标人</w:t>
      </w:r>
      <w:r>
        <w:rPr>
          <w:rFonts w:hint="eastAsia" w:ascii="宋体" w:hAnsi="宋体" w:eastAsia="宋体" w:cs="宋体"/>
          <w:color w:val="auto"/>
          <w:highlight w:val="none"/>
        </w:rPr>
        <w:t>须知</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AA64500">
      <w:pPr>
        <w:pStyle w:val="6"/>
        <w:numPr>
          <w:ilvl w:val="1"/>
          <w:numId w:val="0"/>
        </w:numPr>
        <w:shd w:val="clear"/>
        <w:spacing w:beforeLines="0" w:afterLines="0"/>
        <w:rPr>
          <w:rFonts w:hint="eastAsia" w:ascii="宋体" w:hAnsi="宋体" w:eastAsia="宋体" w:cs="宋体"/>
          <w:b/>
          <w:bCs w:val="0"/>
          <w:color w:val="auto"/>
          <w:highlight w:val="none"/>
          <w:lang w:bidi="ar"/>
        </w:rPr>
      </w:pPr>
      <w:bookmarkStart w:id="321" w:name="_Toc2093"/>
      <w:bookmarkStart w:id="322" w:name="_Toc14813"/>
      <w:bookmarkStart w:id="323" w:name="_Toc9012"/>
      <w:bookmarkStart w:id="324" w:name="_Toc22528"/>
      <w:bookmarkStart w:id="325" w:name="_Toc9417"/>
      <w:bookmarkStart w:id="326" w:name="_Toc20609"/>
      <w:bookmarkStart w:id="327" w:name="_Toc26033"/>
      <w:bookmarkStart w:id="328" w:name="_Toc23252"/>
      <w:bookmarkStart w:id="329" w:name="_Toc6943"/>
      <w:bookmarkStart w:id="330" w:name="_Toc23368"/>
      <w:bookmarkStart w:id="331" w:name="_Toc6862"/>
      <w:bookmarkStart w:id="332" w:name="_Toc18954"/>
      <w:bookmarkStart w:id="333" w:name="_Toc25611"/>
      <w:bookmarkStart w:id="334" w:name="_Toc1898"/>
      <w:bookmarkStart w:id="335" w:name="_Toc14238"/>
      <w:bookmarkStart w:id="336" w:name="_Toc22955"/>
      <w:bookmarkStart w:id="337" w:name="_Toc16050"/>
      <w:bookmarkStart w:id="338" w:name="_Toc28757"/>
      <w:bookmarkStart w:id="339" w:name="_Toc18330"/>
      <w:bookmarkStart w:id="340" w:name="_Toc1709"/>
      <w:bookmarkStart w:id="341" w:name="_Toc2286"/>
      <w:bookmarkStart w:id="342" w:name="_Toc29631"/>
      <w:bookmarkStart w:id="343" w:name="_Toc16227"/>
      <w:bookmarkStart w:id="344" w:name="_Toc13830"/>
      <w:bookmarkStart w:id="345" w:name="_Toc1237"/>
      <w:bookmarkStart w:id="346" w:name="_Toc1286"/>
      <w:bookmarkStart w:id="347" w:name="_Toc20037"/>
      <w:bookmarkStart w:id="348" w:name="_Toc31532"/>
      <w:bookmarkStart w:id="349" w:name="_Toc29109"/>
      <w:bookmarkStart w:id="350" w:name="_Toc25506"/>
      <w:bookmarkStart w:id="351" w:name="_Toc24970"/>
      <w:bookmarkStart w:id="352" w:name="_Toc27365"/>
      <w:bookmarkStart w:id="353" w:name="_Toc8017"/>
      <w:bookmarkStart w:id="354" w:name="_Toc17538"/>
      <w:bookmarkStart w:id="355" w:name="_Toc7175"/>
      <w:bookmarkStart w:id="356" w:name="_Toc14335"/>
      <w:bookmarkStart w:id="357" w:name="_Toc10078"/>
      <w:bookmarkStart w:id="358" w:name="_Toc5445"/>
      <w:bookmarkStart w:id="359" w:name="_Toc24474"/>
      <w:bookmarkStart w:id="360" w:name="_Toc5731"/>
      <w:bookmarkStart w:id="361" w:name="_Toc32497"/>
      <w:bookmarkStart w:id="362" w:name="_Toc5125"/>
      <w:r>
        <w:rPr>
          <w:rFonts w:hint="eastAsia" w:ascii="宋体" w:hAnsi="宋体" w:eastAsia="宋体" w:cs="宋体"/>
          <w:b/>
          <w:bCs w:val="0"/>
          <w:color w:val="auto"/>
          <w:highlight w:val="none"/>
          <w:lang w:bidi="ar"/>
        </w:rPr>
        <w:t>一、</w:t>
      </w:r>
      <w:r>
        <w:rPr>
          <w:rFonts w:hint="eastAsia" w:ascii="宋体" w:hAnsi="宋体" w:cs="宋体"/>
          <w:b/>
          <w:bCs w:val="0"/>
          <w:color w:val="auto"/>
          <w:highlight w:val="none"/>
          <w:lang w:eastAsia="zh-CN" w:bidi="ar"/>
        </w:rPr>
        <w:t>投标人</w:t>
      </w:r>
      <w:r>
        <w:rPr>
          <w:rFonts w:hint="eastAsia" w:ascii="宋体" w:hAnsi="宋体" w:eastAsia="宋体" w:cs="宋体"/>
          <w:b/>
          <w:bCs w:val="0"/>
          <w:color w:val="auto"/>
          <w:highlight w:val="none"/>
          <w:lang w:bidi="ar"/>
        </w:rPr>
        <w:t>须知前附表</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tbl>
      <w:tblPr>
        <w:tblStyle w:val="43"/>
        <w:tblW w:w="10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13"/>
        <w:gridCol w:w="7202"/>
      </w:tblGrid>
      <w:tr w14:paraId="64DD5E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thinThickSmallGap" w:color="auto" w:sz="12" w:space="0"/>
            </w:tcBorders>
            <w:vAlign w:val="center"/>
          </w:tcPr>
          <w:p w14:paraId="0BFB4FC9">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bookmarkStart w:id="363" w:name="_Toc101321790"/>
            <w:bookmarkStart w:id="364" w:name="_Toc361434894"/>
            <w:bookmarkStart w:id="365" w:name="_Toc361434798"/>
            <w:bookmarkStart w:id="366" w:name="_Toc361437144"/>
            <w:bookmarkStart w:id="367" w:name="_Toc361434459"/>
            <w:bookmarkStart w:id="368" w:name="_Toc361434558"/>
            <w:bookmarkStart w:id="369" w:name="_Toc496962944"/>
            <w:bookmarkStart w:id="370" w:name="_Toc11475"/>
            <w:bookmarkStart w:id="371" w:name="_Toc1125"/>
            <w:bookmarkStart w:id="372" w:name="_Toc7709"/>
            <w:bookmarkStart w:id="373" w:name="_Toc4691"/>
            <w:bookmarkStart w:id="374" w:name="_Toc1265"/>
            <w:bookmarkStart w:id="375" w:name="_Toc5990"/>
            <w:bookmarkStart w:id="376" w:name="_Toc7346"/>
            <w:bookmarkStart w:id="377" w:name="_Toc22941"/>
            <w:bookmarkStart w:id="378" w:name="_Toc16613"/>
            <w:bookmarkStart w:id="379" w:name="_Toc23442"/>
            <w:bookmarkStart w:id="380" w:name="_Toc21242"/>
            <w:bookmarkStart w:id="381" w:name="_Toc3888"/>
            <w:bookmarkStart w:id="382" w:name="_Toc17354"/>
            <w:bookmarkStart w:id="383" w:name="_Toc12616"/>
            <w:bookmarkStart w:id="384" w:name="_Toc452528599"/>
            <w:bookmarkStart w:id="385" w:name="_Toc24118"/>
            <w:bookmarkStart w:id="386" w:name="_Toc16257"/>
            <w:bookmarkStart w:id="387" w:name="_Toc11179"/>
            <w:bookmarkStart w:id="388" w:name="_Toc331"/>
            <w:bookmarkStart w:id="389" w:name="_Toc26063"/>
            <w:bookmarkStart w:id="390" w:name="_Toc5481"/>
            <w:bookmarkStart w:id="391" w:name="_Toc27241"/>
            <w:bookmarkStart w:id="392" w:name="_Toc3923"/>
            <w:bookmarkStart w:id="393" w:name="_Toc6094"/>
            <w:bookmarkStart w:id="394" w:name="_Toc28742"/>
            <w:bookmarkStart w:id="395" w:name="_Toc29625"/>
            <w:bookmarkStart w:id="396" w:name="_Toc31099"/>
            <w:bookmarkStart w:id="397" w:name="_Toc27406"/>
            <w:bookmarkStart w:id="398" w:name="_Toc391298955"/>
            <w:bookmarkStart w:id="399" w:name="_Toc19715"/>
            <w:bookmarkStart w:id="400" w:name="_Toc30126"/>
            <w:bookmarkStart w:id="401" w:name="_Toc11023"/>
            <w:bookmarkStart w:id="402" w:name="_Toc12403"/>
            <w:bookmarkStart w:id="403" w:name="_Toc12381"/>
            <w:bookmarkStart w:id="404" w:name="_Toc24478"/>
            <w:bookmarkStart w:id="405" w:name="_Toc19731"/>
            <w:bookmarkStart w:id="406" w:name="_Toc27407"/>
            <w:bookmarkStart w:id="407" w:name="_Toc12958"/>
            <w:bookmarkStart w:id="408" w:name="_Toc4630"/>
            <w:bookmarkStart w:id="409" w:name="_Toc17098"/>
            <w:bookmarkStart w:id="410" w:name="_Toc25730"/>
            <w:bookmarkStart w:id="411" w:name="_Toc27367"/>
            <w:bookmarkStart w:id="412" w:name="_Toc15313"/>
            <w:bookmarkStart w:id="413" w:name="_Toc22305"/>
            <w:bookmarkStart w:id="414" w:name="_Toc20312"/>
            <w:r>
              <w:rPr>
                <w:rFonts w:hint="eastAsia" w:ascii="宋体" w:hAnsi="宋体" w:eastAsia="宋体" w:cs="宋体"/>
                <w:color w:val="auto"/>
                <w:highlight w:val="none"/>
              </w:rPr>
              <w:t>序号</w:t>
            </w:r>
          </w:p>
        </w:tc>
        <w:tc>
          <w:tcPr>
            <w:tcW w:w="2013" w:type="dxa"/>
            <w:tcBorders>
              <w:top w:val="thinThickSmallGap" w:color="auto" w:sz="12" w:space="0"/>
            </w:tcBorders>
            <w:vAlign w:val="center"/>
          </w:tcPr>
          <w:p w14:paraId="558747EB">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  容</w:t>
            </w:r>
          </w:p>
        </w:tc>
        <w:tc>
          <w:tcPr>
            <w:tcW w:w="7202" w:type="dxa"/>
            <w:tcBorders>
              <w:top w:val="thinThickSmallGap" w:color="auto" w:sz="12" w:space="0"/>
            </w:tcBorders>
            <w:vAlign w:val="center"/>
          </w:tcPr>
          <w:p w14:paraId="2514093D">
            <w:pPr>
              <w:keepNext w:val="0"/>
              <w:keepLines w:val="0"/>
              <w:suppressLineNumbers w:val="0"/>
              <w:shd w:val="clear"/>
              <w:tabs>
                <w:tab w:val="left" w:pos="0"/>
              </w:tabs>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说明与要求</w:t>
            </w:r>
          </w:p>
        </w:tc>
      </w:tr>
      <w:tr w14:paraId="7C80E1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BFEB6AA">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013" w:type="dxa"/>
            <w:vAlign w:val="center"/>
          </w:tcPr>
          <w:p w14:paraId="43E0A7A9">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w:t>
            </w:r>
          </w:p>
        </w:tc>
        <w:tc>
          <w:tcPr>
            <w:tcW w:w="7202" w:type="dxa"/>
            <w:vAlign w:val="center"/>
          </w:tcPr>
          <w:p w14:paraId="5CFADF2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名  称</w:t>
            </w:r>
            <w:r>
              <w:rPr>
                <w:rFonts w:hint="eastAsia" w:ascii="宋体" w:hAnsi="宋体" w:eastAsia="宋体" w:cs="宋体"/>
                <w:color w:val="auto"/>
                <w:highlight w:val="none"/>
                <w:lang w:val="en-US" w:eastAsia="zh-CN"/>
              </w:rPr>
              <w:t>：</w:t>
            </w:r>
            <w:r>
              <w:rPr>
                <w:rFonts w:hint="eastAsia" w:ascii="宋体" w:hAnsi="宋体" w:cs="宋体"/>
                <w:color w:val="auto"/>
                <w:highlight w:val="none"/>
                <w:lang w:val="zh-CN" w:eastAsia="zh-CN"/>
              </w:rPr>
              <w:t>浙江华水环境工程有限公司</w:t>
            </w:r>
            <w:r>
              <w:rPr>
                <w:rFonts w:hint="eastAsia" w:ascii="宋体" w:hAnsi="宋体" w:eastAsia="宋体" w:cs="宋体"/>
                <w:color w:val="auto"/>
                <w:highlight w:val="none"/>
                <w:lang w:val="zh-CN"/>
              </w:rPr>
              <w:t xml:space="preserve"> </w:t>
            </w:r>
          </w:p>
          <w:p w14:paraId="0DEA2F8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址：</w:t>
            </w:r>
            <w:r>
              <w:rPr>
                <w:rFonts w:hint="eastAsia" w:ascii="宋体" w:hAnsi="宋体" w:cs="宋体"/>
                <w:color w:val="auto"/>
                <w:highlight w:val="none"/>
                <w:lang w:val="zh-CN"/>
              </w:rPr>
              <w:t>龙游县龙洲街道荣昌路东道35号</w:t>
            </w:r>
          </w:p>
          <w:p w14:paraId="1EB5FCDB">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ascii="宋体" w:hAnsi="宋体" w:cs="宋体"/>
                <w:color w:val="auto"/>
                <w:highlight w:val="none"/>
                <w:lang w:val="zh-CN"/>
              </w:rPr>
              <w:t>胡先生</w:t>
            </w:r>
          </w:p>
          <w:p w14:paraId="3C4ADB1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联系</w:t>
            </w:r>
            <w:r>
              <w:rPr>
                <w:rFonts w:hint="eastAsia" w:ascii="宋体" w:hAnsi="宋体" w:eastAsia="宋体" w:cs="宋体"/>
                <w:color w:val="auto"/>
                <w:highlight w:val="none"/>
                <w:lang w:val="en-US" w:eastAsia="zh-CN"/>
              </w:rPr>
              <w:t>方式</w:t>
            </w:r>
            <w:r>
              <w:rPr>
                <w:rFonts w:hint="eastAsia" w:ascii="宋体" w:hAnsi="宋体" w:eastAsia="宋体" w:cs="宋体"/>
                <w:color w:val="auto"/>
                <w:highlight w:val="none"/>
                <w:lang w:val="zh-CN"/>
              </w:rPr>
              <w:t>：</w:t>
            </w:r>
            <w:r>
              <w:rPr>
                <w:rFonts w:hint="eastAsia" w:ascii="宋体" w:hAnsi="宋体" w:cs="宋体"/>
                <w:color w:val="auto"/>
                <w:highlight w:val="none"/>
                <w:lang w:val="zh-CN"/>
              </w:rPr>
              <w:t>13575676825</w:t>
            </w:r>
          </w:p>
        </w:tc>
      </w:tr>
      <w:tr w14:paraId="1B2B29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2EABEA0">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013" w:type="dxa"/>
            <w:vAlign w:val="center"/>
          </w:tcPr>
          <w:p w14:paraId="2F18049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w:t>
            </w:r>
          </w:p>
        </w:tc>
        <w:tc>
          <w:tcPr>
            <w:tcW w:w="7202" w:type="dxa"/>
            <w:vAlign w:val="center"/>
          </w:tcPr>
          <w:p w14:paraId="03B5D3BE">
            <w:pPr>
              <w:keepNext w:val="0"/>
              <w:keepLines w:val="0"/>
              <w:widowControl/>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名  称：衢州宇信工程咨询有限公司  </w:t>
            </w:r>
          </w:p>
          <w:p w14:paraId="011ED6B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址：龙游县龙洲街道广和商务楼3楼306室</w:t>
            </w:r>
          </w:p>
          <w:p w14:paraId="5F7FF07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联系人：祝女士</w:t>
            </w:r>
          </w:p>
          <w:p w14:paraId="5363A5D1">
            <w:pPr>
              <w:keepNext w:val="0"/>
              <w:keepLines w:val="0"/>
              <w:widowControl/>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联系方式：18367068335 </w:t>
            </w:r>
          </w:p>
        </w:tc>
      </w:tr>
      <w:tr w14:paraId="0BA472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A92046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013" w:type="dxa"/>
            <w:vAlign w:val="center"/>
          </w:tcPr>
          <w:p w14:paraId="7FFAE88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w:t>
            </w:r>
          </w:p>
        </w:tc>
        <w:tc>
          <w:tcPr>
            <w:tcW w:w="7202" w:type="dxa"/>
            <w:vAlign w:val="center"/>
          </w:tcPr>
          <w:p w14:paraId="4AFF96E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龙游县龙南污水厂建设工程设备采购招标</w:t>
            </w:r>
          </w:p>
        </w:tc>
      </w:tr>
      <w:tr w14:paraId="0D88396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7A955B7">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013" w:type="dxa"/>
            <w:vAlign w:val="center"/>
          </w:tcPr>
          <w:p w14:paraId="5B622F6B">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预算金额</w:t>
            </w:r>
          </w:p>
        </w:tc>
        <w:tc>
          <w:tcPr>
            <w:tcW w:w="7202" w:type="dxa"/>
          </w:tcPr>
          <w:p w14:paraId="1E81928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en-US"/>
              </w:rPr>
            </w:pPr>
            <w:r>
              <w:rPr>
                <w:rFonts w:hint="eastAsia" w:ascii="宋体" w:hAnsi="宋体" w:cs="宋体"/>
                <w:color w:val="auto"/>
                <w:highlight w:val="none"/>
                <w:lang w:val="en-US" w:eastAsia="zh-CN"/>
              </w:rPr>
              <w:t>50781780</w:t>
            </w:r>
            <w:r>
              <w:rPr>
                <w:rFonts w:hint="eastAsia" w:ascii="宋体" w:hAnsi="宋体" w:eastAsia="宋体" w:cs="宋体"/>
                <w:color w:val="auto"/>
                <w:highlight w:val="none"/>
                <w:lang w:val="en-US" w:eastAsia="zh-CN"/>
              </w:rPr>
              <w:t>元；</w:t>
            </w:r>
          </w:p>
        </w:tc>
      </w:tr>
      <w:tr w14:paraId="58B9EB3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1FCC4A2">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013" w:type="dxa"/>
            <w:vAlign w:val="center"/>
          </w:tcPr>
          <w:p w14:paraId="18CC9D6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最高限价</w:t>
            </w:r>
          </w:p>
        </w:tc>
        <w:tc>
          <w:tcPr>
            <w:tcW w:w="7202" w:type="dxa"/>
          </w:tcPr>
          <w:p w14:paraId="0B85A7C5">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en-US" w:eastAsia="zh-CN"/>
              </w:rPr>
              <w:t>48242691</w:t>
            </w:r>
            <w:r>
              <w:rPr>
                <w:rFonts w:hint="eastAsia" w:ascii="宋体" w:hAnsi="宋体" w:eastAsia="宋体" w:cs="宋体"/>
                <w:color w:val="auto"/>
                <w:highlight w:val="none"/>
                <w:lang w:val="en-US" w:eastAsia="zh-CN"/>
              </w:rPr>
              <w:t>元；</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应按此最高限价并结合企业自身情况及管理经验自主报价，报价不得超过最高限价，否则作为废标处理。</w:t>
            </w:r>
          </w:p>
        </w:tc>
      </w:tr>
      <w:tr w14:paraId="1A8A06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13925382">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013" w:type="dxa"/>
            <w:vAlign w:val="center"/>
          </w:tcPr>
          <w:p w14:paraId="39FE9183">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质量要求</w:t>
            </w:r>
          </w:p>
        </w:tc>
        <w:tc>
          <w:tcPr>
            <w:tcW w:w="7202" w:type="dxa"/>
          </w:tcPr>
          <w:p w14:paraId="47D6E5E8">
            <w:pPr>
              <w:keepNext w:val="0"/>
              <w:keepLines w:val="0"/>
              <w:suppressLineNumbers w:val="0"/>
              <w:shd w:val="clear"/>
              <w:autoSpaceDE w:val="0"/>
              <w:autoSpaceDN w:val="0"/>
              <w:adjustRightInd w:val="0"/>
              <w:spacing w:before="0" w:beforeAutospacing="0" w:after="0" w:afterAutospacing="0" w:line="240" w:lineRule="auto"/>
              <w:ind w:left="0" w:leftChars="0" w:right="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满足现行国家、地方、行业的质量标准。</w:t>
            </w:r>
          </w:p>
        </w:tc>
      </w:tr>
      <w:tr w14:paraId="530B2E9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72BED4F">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013" w:type="dxa"/>
            <w:vAlign w:val="center"/>
          </w:tcPr>
          <w:p w14:paraId="394132C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申请人资格要求</w:t>
            </w:r>
          </w:p>
        </w:tc>
        <w:tc>
          <w:tcPr>
            <w:tcW w:w="7202" w:type="dxa"/>
            <w:vAlign w:val="center"/>
          </w:tcPr>
          <w:p w14:paraId="5850839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详见“第一章 招标公告”。</w:t>
            </w:r>
          </w:p>
        </w:tc>
      </w:tr>
      <w:tr w14:paraId="5EDAAB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1D380D99">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w:t>
            </w:r>
          </w:p>
        </w:tc>
        <w:tc>
          <w:tcPr>
            <w:tcW w:w="2013" w:type="dxa"/>
            <w:vAlign w:val="center"/>
          </w:tcPr>
          <w:p w14:paraId="667E2A0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获取招标文件</w:t>
            </w:r>
          </w:p>
        </w:tc>
        <w:tc>
          <w:tcPr>
            <w:tcW w:w="7202" w:type="dxa"/>
            <w:vAlign w:val="center"/>
          </w:tcPr>
          <w:p w14:paraId="5835CBA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详见“第一章 招标公告”。</w:t>
            </w:r>
          </w:p>
        </w:tc>
      </w:tr>
      <w:tr w14:paraId="286611A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31A2EB5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w:t>
            </w:r>
          </w:p>
        </w:tc>
        <w:tc>
          <w:tcPr>
            <w:tcW w:w="2013" w:type="dxa"/>
            <w:vAlign w:val="center"/>
          </w:tcPr>
          <w:p w14:paraId="3DE9B9D7">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投标有效期</w:t>
            </w:r>
          </w:p>
        </w:tc>
        <w:tc>
          <w:tcPr>
            <w:tcW w:w="7202" w:type="dxa"/>
            <w:vAlign w:val="center"/>
          </w:tcPr>
          <w:p w14:paraId="6C0BAF9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自投标截止之日起90日历天。</w:t>
            </w:r>
          </w:p>
        </w:tc>
      </w:tr>
      <w:tr w14:paraId="5D1FC3F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16573A8">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c>
          <w:tcPr>
            <w:tcW w:w="2013" w:type="dxa"/>
            <w:vAlign w:val="center"/>
          </w:tcPr>
          <w:p w14:paraId="06BE6A23">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lang w:val="zh-CN"/>
              </w:rPr>
              <w:t>分包</w:t>
            </w:r>
          </w:p>
        </w:tc>
        <w:tc>
          <w:tcPr>
            <w:tcW w:w="7202" w:type="dxa"/>
            <w:vAlign w:val="top"/>
          </w:tcPr>
          <w:p w14:paraId="5D03F1C7">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cs="宋体"/>
                <w:color w:val="auto"/>
                <w:highlight w:val="none"/>
                <w:lang w:val="zh-CN"/>
              </w:rPr>
            </w:pPr>
            <w:r>
              <w:rPr>
                <w:rFonts w:hint="eastAsia" w:ascii="宋体" w:hAnsi="宋体" w:cs="宋体"/>
                <w:color w:val="auto"/>
                <w:sz w:val="24"/>
                <w:szCs w:val="24"/>
                <w:highlight w:val="none"/>
                <w:lang w:val="zh-CN" w:eastAsia="zh-CN"/>
              </w:rPr>
              <w:t>☑</w:t>
            </w:r>
            <w:r>
              <w:rPr>
                <w:rFonts w:hint="eastAsia" w:ascii="宋体" w:hAnsi="宋体" w:cs="宋体"/>
                <w:color w:val="auto"/>
                <w:highlight w:val="none"/>
                <w:lang w:val="zh-CN"/>
              </w:rPr>
              <w:t>不允许</w:t>
            </w:r>
          </w:p>
          <w:p w14:paraId="143B5560">
            <w:pPr>
              <w:keepNext w:val="0"/>
              <w:keepLines w:val="0"/>
              <w:suppressLineNumbers w:val="0"/>
              <w:shd w:val="clear"/>
              <w:spacing w:before="0" w:beforeAutospacing="0" w:after="0" w:afterAutospacing="0" w:line="240" w:lineRule="auto"/>
              <w:ind w:left="0" w:leftChars="0" w:right="0" w:rightChars="0" w:firstLine="0" w:firstLineChars="0"/>
              <w:jc w:val="left"/>
              <w:rPr>
                <w:rFonts w:hint="eastAsia" w:ascii="宋体" w:hAnsi="宋体" w:eastAsia="宋体" w:cs="宋体"/>
                <w:color w:val="auto"/>
                <w:highlight w:val="none"/>
                <w:lang w:val="en-US"/>
              </w:rPr>
            </w:pPr>
            <w:r>
              <w:rPr>
                <w:rFonts w:hint="eastAsia" w:ascii="宋体" w:hAnsi="宋体" w:cs="宋体"/>
                <w:color w:val="auto"/>
                <w:sz w:val="24"/>
                <w:szCs w:val="24"/>
                <w:highlight w:val="none"/>
                <w:lang w:val="zh-CN" w:eastAsia="zh-CN"/>
              </w:rPr>
              <w:t>□</w:t>
            </w:r>
            <w:r>
              <w:rPr>
                <w:rFonts w:hint="eastAsia" w:ascii="宋体" w:hAnsi="宋体" w:cs="宋体"/>
                <w:color w:val="auto"/>
                <w:highlight w:val="none"/>
                <w:lang w:val="zh-CN"/>
              </w:rPr>
              <w:t>允许，投标人根据招标文件载明的标的采购项目实际情况， 拟在中标后将中标项目的非主体、非关键性工作交由他人完成的，事先须经采购人同意，分包承担主体应当具备相应资质条件且不得再次分包。</w:t>
            </w:r>
          </w:p>
        </w:tc>
      </w:tr>
      <w:tr w14:paraId="4EECABC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D640B38">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11</w:t>
            </w:r>
          </w:p>
        </w:tc>
        <w:tc>
          <w:tcPr>
            <w:tcW w:w="2013" w:type="dxa"/>
            <w:vAlign w:val="center"/>
          </w:tcPr>
          <w:p w14:paraId="07ED435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lang w:val="zh-CN"/>
              </w:rPr>
              <w:t>转包</w:t>
            </w:r>
          </w:p>
        </w:tc>
        <w:tc>
          <w:tcPr>
            <w:tcW w:w="7202" w:type="dxa"/>
            <w:vAlign w:val="top"/>
          </w:tcPr>
          <w:p w14:paraId="01319580">
            <w:pPr>
              <w:keepNext w:val="0"/>
              <w:keepLines w:val="0"/>
              <w:suppressLineNumbers w:val="0"/>
              <w:shd w:val="clear"/>
              <w:spacing w:before="0" w:beforeAutospacing="0" w:after="0" w:afterAutospacing="0" w:line="240" w:lineRule="auto"/>
              <w:ind w:left="0" w:leftChars="0" w:right="0" w:rightChars="0" w:firstLine="0" w:firstLineChars="0"/>
              <w:jc w:val="left"/>
              <w:rPr>
                <w:rFonts w:hint="eastAsia" w:ascii="宋体" w:hAnsi="宋体" w:eastAsia="宋体" w:cs="宋体"/>
                <w:color w:val="auto"/>
                <w:highlight w:val="none"/>
                <w:lang w:val="en-US"/>
              </w:rPr>
            </w:pPr>
            <w:r>
              <w:rPr>
                <w:rFonts w:hint="eastAsia" w:ascii="宋体" w:hAnsi="宋体" w:cs="宋体"/>
                <w:color w:val="auto"/>
                <w:highlight w:val="none"/>
                <w:lang w:val="zh-CN"/>
              </w:rPr>
              <w:t>禁止</w:t>
            </w:r>
            <w:r>
              <w:rPr>
                <w:rFonts w:hint="eastAsia" w:ascii="宋体" w:hAnsi="宋体" w:cs="宋体"/>
                <w:color w:val="auto"/>
                <w:highlight w:val="none"/>
                <w:lang w:val="en-US" w:eastAsia="zh-CN"/>
              </w:rPr>
              <w:t>。</w:t>
            </w:r>
          </w:p>
        </w:tc>
      </w:tr>
      <w:tr w14:paraId="7BCEC6E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1D31F84">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12</w:t>
            </w:r>
          </w:p>
        </w:tc>
        <w:tc>
          <w:tcPr>
            <w:tcW w:w="2013" w:type="dxa"/>
            <w:vAlign w:val="center"/>
          </w:tcPr>
          <w:p w14:paraId="7B96F02A">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现场勘查</w:t>
            </w:r>
          </w:p>
        </w:tc>
        <w:tc>
          <w:tcPr>
            <w:tcW w:w="7202" w:type="dxa"/>
            <w:vAlign w:val="center"/>
          </w:tcPr>
          <w:p w14:paraId="07A6346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不组织，</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可自行勘察。</w:t>
            </w:r>
          </w:p>
        </w:tc>
      </w:tr>
      <w:tr w14:paraId="25DBFB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37658A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13</w:t>
            </w:r>
          </w:p>
        </w:tc>
        <w:tc>
          <w:tcPr>
            <w:tcW w:w="2013" w:type="dxa"/>
            <w:vAlign w:val="center"/>
          </w:tcPr>
          <w:p w14:paraId="7BE241E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资金来源及比例</w:t>
            </w:r>
          </w:p>
        </w:tc>
        <w:tc>
          <w:tcPr>
            <w:tcW w:w="7202" w:type="dxa"/>
            <w:vAlign w:val="center"/>
          </w:tcPr>
          <w:p w14:paraId="16E83A7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国有资金100%。</w:t>
            </w:r>
          </w:p>
        </w:tc>
      </w:tr>
      <w:tr w14:paraId="58B288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215FA03">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14</w:t>
            </w:r>
          </w:p>
        </w:tc>
        <w:tc>
          <w:tcPr>
            <w:tcW w:w="2013" w:type="dxa"/>
            <w:vAlign w:val="center"/>
          </w:tcPr>
          <w:p w14:paraId="3F7A4A2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答疑会</w:t>
            </w:r>
          </w:p>
        </w:tc>
        <w:tc>
          <w:tcPr>
            <w:tcW w:w="7202" w:type="dxa"/>
            <w:vAlign w:val="center"/>
          </w:tcPr>
          <w:p w14:paraId="62E6F8A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不召开。</w:t>
            </w:r>
          </w:p>
        </w:tc>
      </w:tr>
      <w:tr w14:paraId="3D092D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631E203">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15</w:t>
            </w:r>
          </w:p>
        </w:tc>
        <w:tc>
          <w:tcPr>
            <w:tcW w:w="2013" w:type="dxa"/>
            <w:vAlign w:val="center"/>
          </w:tcPr>
          <w:p w14:paraId="05906AB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项目属性与核心产品</w:t>
            </w:r>
          </w:p>
        </w:tc>
        <w:tc>
          <w:tcPr>
            <w:tcW w:w="7202" w:type="dxa"/>
            <w:vAlign w:val="center"/>
          </w:tcPr>
          <w:p w14:paraId="0EF82311">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货物类，核心产品为：水泵、装配集成式一体化AAO生化池、磁分离器。</w:t>
            </w:r>
          </w:p>
        </w:tc>
      </w:tr>
      <w:tr w14:paraId="0081F02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1599B3D">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16</w:t>
            </w:r>
          </w:p>
        </w:tc>
        <w:tc>
          <w:tcPr>
            <w:tcW w:w="2013" w:type="dxa"/>
            <w:vAlign w:val="center"/>
          </w:tcPr>
          <w:p w14:paraId="4375C530">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是否接受联合体</w:t>
            </w:r>
          </w:p>
        </w:tc>
        <w:tc>
          <w:tcPr>
            <w:tcW w:w="7202" w:type="dxa"/>
            <w:vAlign w:val="center"/>
          </w:tcPr>
          <w:p w14:paraId="208C84EF">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□不接受</w:t>
            </w:r>
          </w:p>
          <w:p w14:paraId="579C3285">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default" w:ascii="宋体" w:hAnsi="宋体" w:eastAsia="宋体" w:cs="宋体"/>
                <w:color w:val="auto"/>
                <w:highlight w:val="none"/>
                <w:lang w:val="zh-CN"/>
              </w:rPr>
              <w:t>☑</w:t>
            </w:r>
            <w:r>
              <w:rPr>
                <w:rFonts w:hint="eastAsia" w:ascii="宋体" w:hAnsi="宋体" w:eastAsia="宋体" w:cs="宋体"/>
                <w:color w:val="auto"/>
                <w:highlight w:val="none"/>
                <w:lang w:val="zh-CN"/>
              </w:rPr>
              <w:t>接受。</w:t>
            </w:r>
          </w:p>
          <w:p w14:paraId="51719474">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若为联合体投标的，需提供联合体协议，明确牵头人及双方职责。牵头人作为本项目的总负责方，联合体申请人与采购人之间的往来所有事务（包括信函、履约担保）均将通过牵头人传递，款项支付根据联合体协议书约定支付。联合体各方应共同与采购人签订合同。联合体各方应为履行合同承担连带责任。联合体协议经采购人确认后作为合同附件。在履行合同过程中，未经采购人同意，不得修改联合体协议。联合体牵头人或联合体授权的代表负责与采购人联系，并接受指示，负责组织联合体各成员全面履行合同。</w:t>
            </w:r>
          </w:p>
        </w:tc>
      </w:tr>
      <w:tr w14:paraId="3FDA39B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4834ED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17</w:t>
            </w:r>
          </w:p>
        </w:tc>
        <w:tc>
          <w:tcPr>
            <w:tcW w:w="2013" w:type="dxa"/>
            <w:vAlign w:val="center"/>
          </w:tcPr>
          <w:p w14:paraId="7616FFD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投标保证金</w:t>
            </w:r>
          </w:p>
        </w:tc>
        <w:tc>
          <w:tcPr>
            <w:tcW w:w="7202" w:type="dxa"/>
            <w:vAlign w:val="center"/>
          </w:tcPr>
          <w:p w14:paraId="725A317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不收取。</w:t>
            </w:r>
          </w:p>
        </w:tc>
      </w:tr>
      <w:tr w14:paraId="003FEB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8AD82DF">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18</w:t>
            </w:r>
          </w:p>
        </w:tc>
        <w:tc>
          <w:tcPr>
            <w:tcW w:w="2013" w:type="dxa"/>
            <w:vAlign w:val="center"/>
          </w:tcPr>
          <w:p w14:paraId="15456BB2">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合同履行期限</w:t>
            </w:r>
          </w:p>
        </w:tc>
        <w:tc>
          <w:tcPr>
            <w:tcW w:w="7202" w:type="dxa"/>
            <w:vAlign w:val="center"/>
          </w:tcPr>
          <w:p w14:paraId="523C573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中标人在签订合同生效，接到采购人进场施工通知后，90日历天内按采购人要求完成交货、安装、调试，稳定运行后交工验收，与土建单位做好同步配合工作，设备联机试运行3个月后进行竣工验收并通过环保验收。技术服务期24个月（不包含试运行时间）。</w:t>
            </w:r>
          </w:p>
        </w:tc>
      </w:tr>
      <w:tr w14:paraId="7248D36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D31E024">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19</w:t>
            </w:r>
          </w:p>
        </w:tc>
        <w:tc>
          <w:tcPr>
            <w:tcW w:w="2013" w:type="dxa"/>
            <w:vAlign w:val="center"/>
          </w:tcPr>
          <w:p w14:paraId="436A3A4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对招标文件要求澄清的截止时间</w:t>
            </w:r>
          </w:p>
        </w:tc>
        <w:tc>
          <w:tcPr>
            <w:tcW w:w="7202" w:type="dxa"/>
            <w:vAlign w:val="center"/>
          </w:tcPr>
          <w:p w14:paraId="673C672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对招标文件有异议的，公告期限内获取招标文件的</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应在自收到招标文件之日（获取招标文件之日）起7个工作日内提出，公告期限外获取招标文件的</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应在公告期限届满之日起7个工作日内，以书面形式向采购人提出质疑，逾期将不予受理。</w:t>
            </w:r>
          </w:p>
        </w:tc>
      </w:tr>
      <w:tr w14:paraId="2E7FC4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5" w:type="dxa"/>
            <w:shd w:val="clear" w:color="auto" w:fill="auto"/>
            <w:vAlign w:val="center"/>
          </w:tcPr>
          <w:p w14:paraId="48C1DF2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20</w:t>
            </w:r>
          </w:p>
        </w:tc>
        <w:tc>
          <w:tcPr>
            <w:tcW w:w="2013" w:type="dxa"/>
            <w:vAlign w:val="center"/>
          </w:tcPr>
          <w:p w14:paraId="7725F5E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采购人澄清的截止时间</w:t>
            </w:r>
          </w:p>
        </w:tc>
        <w:tc>
          <w:tcPr>
            <w:tcW w:w="7202" w:type="dxa"/>
            <w:vAlign w:val="center"/>
          </w:tcPr>
          <w:p w14:paraId="087005B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采购人可对已发出的招标文件进行必要的澄清或修改，如澄清或修改的内容可能影响投标文件编制的，采购人应当在投标截止时间至少15日前，在</w:t>
            </w:r>
            <w:r>
              <w:rPr>
                <w:rFonts w:hint="eastAsia" w:ascii="宋体" w:hAnsi="宋体" w:eastAsia="宋体" w:cs="宋体"/>
                <w:color w:val="auto"/>
                <w:highlight w:val="none"/>
              </w:rPr>
              <w:t>招标</w:t>
            </w:r>
            <w:r>
              <w:rPr>
                <w:rFonts w:hint="eastAsia" w:ascii="宋体" w:hAnsi="宋体" w:eastAsia="宋体" w:cs="宋体"/>
                <w:color w:val="auto"/>
                <w:highlight w:val="none"/>
                <w:lang w:val="zh-CN"/>
              </w:rPr>
              <w:t>公告原发布媒体上发布更正公告，更正内容作为招标文件的组成部分；不足15日的，采购人将顺延提交投标文件的截止时间。如澄清或修改的内容不影响投标文件编制的，采购人将不延长提交投标文件的截止时间。</w:t>
            </w:r>
          </w:p>
        </w:tc>
      </w:tr>
      <w:tr w14:paraId="008DBF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AF694C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21</w:t>
            </w:r>
          </w:p>
        </w:tc>
        <w:tc>
          <w:tcPr>
            <w:tcW w:w="2013" w:type="dxa"/>
            <w:vAlign w:val="center"/>
          </w:tcPr>
          <w:p w14:paraId="65F5E8E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是否采用电子招标投标</w:t>
            </w:r>
          </w:p>
        </w:tc>
        <w:tc>
          <w:tcPr>
            <w:tcW w:w="7202" w:type="dxa"/>
            <w:vAlign w:val="center"/>
          </w:tcPr>
          <w:p w14:paraId="6283B3E5">
            <w:pPr>
              <w:keepNext w:val="0"/>
              <w:keepLines w:val="0"/>
              <w:suppressLineNumbers w:val="0"/>
              <w:shd w:val="clear"/>
              <w:spacing w:before="0" w:beforeAutospacing="0" w:after="0" w:afterAutospacing="0" w:line="240" w:lineRule="auto"/>
              <w:ind w:left="0" w:right="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是；本项目实行不见面电子招</w:t>
            </w:r>
            <w:r>
              <w:rPr>
                <w:rFonts w:hint="eastAsia" w:ascii="宋体" w:hAnsi="宋体" w:cs="宋体"/>
                <w:color w:val="auto"/>
                <w:highlight w:val="none"/>
                <w:lang w:val="zh-CN"/>
              </w:rPr>
              <w:t>投标方式</w:t>
            </w:r>
            <w:r>
              <w:rPr>
                <w:rFonts w:hint="eastAsia" w:ascii="宋体" w:hAnsi="宋体" w:eastAsia="宋体" w:cs="宋体"/>
                <w:color w:val="auto"/>
                <w:highlight w:val="none"/>
                <w:lang w:val="zh-CN"/>
              </w:rPr>
              <w:t>。</w:t>
            </w:r>
          </w:p>
        </w:tc>
      </w:tr>
      <w:tr w14:paraId="2849DF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4FE7C3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22</w:t>
            </w:r>
          </w:p>
        </w:tc>
        <w:tc>
          <w:tcPr>
            <w:tcW w:w="2013" w:type="dxa"/>
            <w:vAlign w:val="center"/>
          </w:tcPr>
          <w:p w14:paraId="228664B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构成招标文件的其他材料</w:t>
            </w:r>
          </w:p>
        </w:tc>
        <w:tc>
          <w:tcPr>
            <w:tcW w:w="7202" w:type="dxa"/>
            <w:vAlign w:val="center"/>
          </w:tcPr>
          <w:p w14:paraId="7545742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补充（答疑、澄清）、修改（</w:t>
            </w:r>
            <w:r>
              <w:rPr>
                <w:rFonts w:hint="eastAsia" w:ascii="宋体" w:hAnsi="宋体" w:eastAsia="宋体" w:cs="宋体"/>
                <w:color w:val="auto"/>
                <w:highlight w:val="none"/>
                <w:lang w:val="zh-CN"/>
              </w:rPr>
              <w:t>更正</w:t>
            </w:r>
            <w:r>
              <w:rPr>
                <w:rFonts w:hint="eastAsia" w:ascii="宋体" w:hAnsi="宋体" w:eastAsia="宋体" w:cs="宋体"/>
                <w:color w:val="auto"/>
                <w:highlight w:val="none"/>
              </w:rPr>
              <w:t>）文件。</w:t>
            </w:r>
          </w:p>
        </w:tc>
      </w:tr>
      <w:tr w14:paraId="5868F8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1A7C7CF">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23</w:t>
            </w:r>
          </w:p>
        </w:tc>
        <w:tc>
          <w:tcPr>
            <w:tcW w:w="2013" w:type="dxa"/>
            <w:vAlign w:val="center"/>
          </w:tcPr>
          <w:p w14:paraId="4B1FEA9F">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投标报价</w:t>
            </w:r>
          </w:p>
        </w:tc>
        <w:tc>
          <w:tcPr>
            <w:tcW w:w="7202" w:type="dxa"/>
            <w:vAlign w:val="center"/>
          </w:tcPr>
          <w:p w14:paraId="747B37C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投标报价是指</w:t>
            </w:r>
            <w:r>
              <w:rPr>
                <w:rFonts w:hint="eastAsia" w:ascii="宋体" w:hAnsi="宋体" w:cs="宋体"/>
                <w:color w:val="auto"/>
                <w:highlight w:val="none"/>
                <w:lang w:val="zh-CN" w:eastAsia="zh-CN"/>
              </w:rPr>
              <w:t>投标人</w:t>
            </w:r>
            <w:r>
              <w:rPr>
                <w:rFonts w:hint="eastAsia" w:ascii="宋体" w:hAnsi="宋体" w:eastAsia="宋体" w:cs="宋体"/>
                <w:color w:val="auto"/>
                <w:highlight w:val="none"/>
                <w:lang w:val="zh-CN" w:eastAsia="zh-CN"/>
              </w:rPr>
              <w:t>在正确地完全履行合同义务后采购人应支付给</w:t>
            </w:r>
            <w:r>
              <w:rPr>
                <w:rFonts w:hint="eastAsia" w:ascii="宋体" w:hAnsi="宋体" w:cs="宋体"/>
                <w:color w:val="auto"/>
                <w:highlight w:val="none"/>
                <w:lang w:val="zh-CN" w:eastAsia="zh-CN"/>
              </w:rPr>
              <w:t>中标人</w:t>
            </w:r>
            <w:r>
              <w:rPr>
                <w:rFonts w:hint="eastAsia" w:ascii="宋体" w:hAnsi="宋体" w:eastAsia="宋体" w:cs="宋体"/>
                <w:color w:val="auto"/>
                <w:highlight w:val="none"/>
                <w:lang w:val="zh-CN" w:eastAsia="zh-CN"/>
              </w:rPr>
              <w:t>所有的价款</w:t>
            </w:r>
            <w:r>
              <w:rPr>
                <w:rFonts w:hint="eastAsia" w:ascii="宋体" w:hAnsi="宋体" w:cs="宋体"/>
                <w:color w:val="auto"/>
                <w:highlight w:val="none"/>
                <w:lang w:val="zh-CN" w:eastAsia="zh-CN"/>
              </w:rPr>
              <w:t>，</w:t>
            </w:r>
            <w:r>
              <w:rPr>
                <w:rFonts w:hint="eastAsia" w:ascii="宋体" w:hAnsi="宋体" w:cs="宋体"/>
                <w:color w:val="auto"/>
                <w:highlight w:val="none"/>
                <w:lang w:val="en-US" w:eastAsia="zh-CN"/>
              </w:rPr>
              <w:t>本项目为总价合同，主要包括但不限于</w:t>
            </w:r>
            <w:r>
              <w:rPr>
                <w:rFonts w:hint="eastAsia" w:ascii="宋体" w:hAnsi="宋体" w:eastAsia="宋体" w:cs="宋体"/>
                <w:color w:val="auto"/>
                <w:highlight w:val="none"/>
                <w:lang w:val="zh-CN" w:eastAsia="zh-CN"/>
              </w:rPr>
              <w:t>：</w:t>
            </w:r>
          </w:p>
          <w:p w14:paraId="1C93211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1、本项目报价应包括招标范围内所有工艺设备的深化设计，设备及材料货款、标准附件、备品备件、专用工具、包装、运输、装卸、保险、所有设备货到就位以及安装、单机调试、系统（单元）调试、负责污水处理厂系统工艺联动调试、人员技术培训（含操作培训）、2年技术服务、土建配合费（以中标价的</w:t>
            </w:r>
            <w:r>
              <w:rPr>
                <w:rFonts w:hint="eastAsia" w:ascii="宋体" w:hAnsi="宋体" w:cs="宋体"/>
                <w:color w:val="auto"/>
                <w:highlight w:val="none"/>
                <w:lang w:val="en-US" w:eastAsia="zh-CN"/>
              </w:rPr>
              <w:t>0.4%</w:t>
            </w:r>
            <w:r>
              <w:rPr>
                <w:rFonts w:hint="eastAsia" w:ascii="宋体" w:hAnsi="宋体" w:cs="宋体"/>
                <w:color w:val="auto"/>
                <w:highlight w:val="none"/>
                <w:lang w:val="zh-CN" w:eastAsia="zh-CN"/>
              </w:rPr>
              <w:t>；</w:t>
            </w:r>
            <w:r>
              <w:rPr>
                <w:rFonts w:hint="eastAsia" w:ascii="宋体" w:hAnsi="宋体" w:eastAsia="宋体" w:cs="宋体"/>
                <w:color w:val="auto"/>
                <w:highlight w:val="none"/>
                <w:lang w:val="zh-CN" w:eastAsia="zh-CN"/>
              </w:rPr>
              <w:t>具体配合内容包括但不限于：施工通道和场地提供、 交叉施工协调、设备吊运的协助、设备到场监控、配合临时水电接入（含水电费）等与设备安装相关的配合工作）</w:t>
            </w:r>
            <w:r>
              <w:rPr>
                <w:rFonts w:hint="eastAsia" w:ascii="宋体" w:hAnsi="宋体" w:cs="宋体"/>
                <w:color w:val="auto"/>
                <w:highlight w:val="none"/>
                <w:lang w:val="zh-CN" w:eastAsia="zh-CN"/>
              </w:rPr>
              <w:t>、</w:t>
            </w:r>
            <w:r>
              <w:rPr>
                <w:rFonts w:hint="eastAsia" w:ascii="宋体" w:hAnsi="宋体" w:cs="宋体"/>
                <w:color w:val="auto"/>
                <w:highlight w:val="none"/>
                <w:lang w:val="en-US" w:eastAsia="zh-CN"/>
              </w:rPr>
              <w:t>调试期间及试运行（含药剂、人员工资、水电费、维修等试运行所产生的所有费用）、</w:t>
            </w:r>
            <w:r>
              <w:rPr>
                <w:rFonts w:hint="eastAsia" w:ascii="宋体" w:hAnsi="宋体" w:eastAsia="宋体" w:cs="宋体"/>
                <w:color w:val="auto"/>
                <w:highlight w:val="none"/>
                <w:lang w:val="zh-CN" w:eastAsia="zh-CN"/>
              </w:rPr>
              <w:t>竣工验收、</w:t>
            </w:r>
            <w:r>
              <w:rPr>
                <w:rFonts w:hint="eastAsia" w:ascii="宋体" w:hAnsi="宋体" w:cs="宋体"/>
                <w:color w:val="auto"/>
                <w:highlight w:val="none"/>
                <w:lang w:val="en-US" w:eastAsia="zh-CN"/>
              </w:rPr>
              <w:t>环保验收、</w:t>
            </w:r>
            <w:r>
              <w:rPr>
                <w:rFonts w:hint="eastAsia" w:ascii="宋体" w:hAnsi="宋体" w:eastAsia="宋体" w:cs="宋体"/>
                <w:color w:val="auto"/>
                <w:highlight w:val="none"/>
                <w:lang w:val="zh-CN" w:eastAsia="zh-CN"/>
              </w:rPr>
              <w:t>施工安全、保修、规费、税费、保险、利润、招标代理服务费以及质保期内正常运行2年所需的备品备件等一切费用。由于场地限制等原因，设备到货的储存、大型设备吊机、保管、二次搬运等费用全部包含在投标报价中。</w:t>
            </w:r>
          </w:p>
          <w:p w14:paraId="2EDC7814">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2、招标文件中的设备包括所有连接件、管件（包括预埋）和安装材料、耗材、辅料等。该部分费用，无论投标人是否在投标文件相关材料中明细列出，均视为已包含在投标总价中。</w:t>
            </w:r>
          </w:p>
          <w:p w14:paraId="5FAD52B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3、招标文件要求的安装调试及验收包括所有设备及材料的安装、与项目其他建设方和</w:t>
            </w:r>
            <w:r>
              <w:rPr>
                <w:rFonts w:hint="eastAsia" w:ascii="宋体" w:hAnsi="宋体" w:cs="宋体"/>
                <w:color w:val="auto"/>
                <w:highlight w:val="none"/>
                <w:lang w:val="zh-CN" w:eastAsia="zh-CN"/>
              </w:rPr>
              <w:t>投标人</w:t>
            </w:r>
            <w:r>
              <w:rPr>
                <w:rFonts w:hint="eastAsia" w:ascii="宋体" w:hAnsi="宋体" w:eastAsia="宋体" w:cs="宋体"/>
                <w:color w:val="auto"/>
                <w:highlight w:val="none"/>
                <w:lang w:val="zh-CN" w:eastAsia="zh-CN"/>
              </w:rPr>
              <w:t>的衔接配合、全厂联动调试等所有本项目整体建设顺利竣工验收所需要的工时和工程量。该部分费用，无论投标人是否在投标文件相关材料中明细列出，均视为已包含在投标总价中。</w:t>
            </w:r>
          </w:p>
        </w:tc>
      </w:tr>
      <w:tr w14:paraId="139581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shd w:val="clear" w:color="auto" w:fill="auto"/>
            <w:vAlign w:val="center"/>
          </w:tcPr>
          <w:p w14:paraId="7452B8B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24</w:t>
            </w:r>
          </w:p>
        </w:tc>
        <w:tc>
          <w:tcPr>
            <w:tcW w:w="2013" w:type="dxa"/>
            <w:vAlign w:val="center"/>
          </w:tcPr>
          <w:p w14:paraId="5944465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投标报价次数</w:t>
            </w:r>
          </w:p>
        </w:tc>
        <w:tc>
          <w:tcPr>
            <w:tcW w:w="7202" w:type="dxa"/>
            <w:vAlign w:val="center"/>
          </w:tcPr>
          <w:p w14:paraId="14BED6C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本次投标报价为一次，不得更改报价，</w:t>
            </w:r>
            <w:r>
              <w:rPr>
                <w:rFonts w:hint="eastAsia" w:ascii="宋体" w:hAnsi="宋体" w:cs="宋体"/>
                <w:color w:val="auto"/>
                <w:kern w:val="2"/>
                <w:sz w:val="24"/>
                <w:szCs w:val="24"/>
                <w:highlight w:val="none"/>
                <w:lang w:val="zh-CN" w:eastAsia="zh-CN" w:bidi="ar-SA"/>
              </w:rPr>
              <w:t>投标人</w:t>
            </w:r>
            <w:r>
              <w:rPr>
                <w:rFonts w:hint="eastAsia" w:ascii="宋体" w:hAnsi="宋体" w:eastAsia="宋体" w:cs="宋体"/>
                <w:color w:val="auto"/>
                <w:kern w:val="2"/>
                <w:sz w:val="24"/>
                <w:szCs w:val="24"/>
                <w:highlight w:val="none"/>
                <w:lang w:val="zh-CN" w:eastAsia="zh-CN" w:bidi="ar-SA"/>
              </w:rPr>
              <w:t>只有一次报价的机会。投标报价不得有选择性报价和附有条件，且不得高于最高限价。</w:t>
            </w:r>
          </w:p>
        </w:tc>
      </w:tr>
      <w:tr w14:paraId="650D4C6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85" w:type="dxa"/>
            <w:shd w:val="clear" w:color="auto" w:fill="auto"/>
            <w:vAlign w:val="center"/>
          </w:tcPr>
          <w:p w14:paraId="3A438E1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25</w:t>
            </w:r>
          </w:p>
        </w:tc>
        <w:tc>
          <w:tcPr>
            <w:tcW w:w="2013" w:type="dxa"/>
            <w:vAlign w:val="center"/>
          </w:tcPr>
          <w:p w14:paraId="050530ED">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w:t>
            </w:r>
            <w:r>
              <w:rPr>
                <w:rFonts w:hint="eastAsia" w:ascii="宋体" w:hAnsi="宋体" w:eastAsia="宋体" w:cs="宋体"/>
                <w:color w:val="auto"/>
                <w:highlight w:val="none"/>
              </w:rPr>
              <w:t>份数</w:t>
            </w:r>
          </w:p>
        </w:tc>
        <w:tc>
          <w:tcPr>
            <w:tcW w:w="7202" w:type="dxa"/>
            <w:vAlign w:val="center"/>
          </w:tcPr>
          <w:p w14:paraId="027DCA5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电子投标文件：加密电子投标文件一份，包括资格审查文件、资信技术文件、商务报价文件，按规定上传至衢州市阳光交易服务平台。</w:t>
            </w:r>
          </w:p>
          <w:p w14:paraId="285A7F8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中标人</w:t>
            </w:r>
            <w:r>
              <w:rPr>
                <w:rFonts w:hint="eastAsia" w:ascii="宋体" w:hAnsi="宋体" w:eastAsia="宋体" w:cs="宋体"/>
                <w:color w:val="auto"/>
                <w:highlight w:val="none"/>
                <w:lang w:val="zh-CN"/>
              </w:rPr>
              <w:t>在公示结束后，提供与投标时一致的纸质投标文件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套。</w:t>
            </w:r>
          </w:p>
        </w:tc>
      </w:tr>
      <w:tr w14:paraId="5D537C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8B1E385">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26</w:t>
            </w:r>
          </w:p>
        </w:tc>
        <w:tc>
          <w:tcPr>
            <w:tcW w:w="2013" w:type="dxa"/>
            <w:vAlign w:val="center"/>
          </w:tcPr>
          <w:p w14:paraId="44BCF3AD">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投标截止时间</w:t>
            </w:r>
          </w:p>
        </w:tc>
        <w:tc>
          <w:tcPr>
            <w:tcW w:w="7202" w:type="dxa"/>
            <w:vAlign w:val="center"/>
          </w:tcPr>
          <w:p w14:paraId="727CB57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时  间：202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rPr>
              <w:t>年</w:t>
            </w:r>
            <w:r>
              <w:rPr>
                <w:rFonts w:hint="eastAsia" w:ascii="宋体" w:hAnsi="宋体" w:cs="宋体"/>
                <w:color w:val="auto"/>
                <w:highlight w:val="none"/>
                <w:lang w:val="en-US" w:eastAsia="zh-CN"/>
              </w:rPr>
              <w:t>2</w:t>
            </w:r>
            <w:r>
              <w:rPr>
                <w:rFonts w:hint="eastAsia" w:ascii="宋体" w:hAnsi="宋体" w:eastAsia="宋体" w:cs="宋体"/>
                <w:color w:val="auto"/>
                <w:highlight w:val="none"/>
                <w:lang w:val="zh-CN"/>
              </w:rPr>
              <w:t>月</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zh-CN"/>
              </w:rPr>
              <w:t>日</w:t>
            </w:r>
            <w:r>
              <w:rPr>
                <w:rFonts w:hint="eastAsia" w:ascii="宋体" w:hAnsi="宋体" w:cs="宋体"/>
                <w:color w:val="auto"/>
                <w:highlight w:val="none"/>
                <w:lang w:val="en-US" w:eastAsia="zh-CN"/>
              </w:rPr>
              <w:t>09</w:t>
            </w:r>
            <w:r>
              <w:rPr>
                <w:rFonts w:hint="eastAsia" w:ascii="宋体" w:hAnsi="宋体" w:eastAsia="宋体" w:cs="宋体"/>
                <w:color w:val="auto"/>
                <w:highlight w:val="none"/>
                <w:lang w:val="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val="zh-CN"/>
              </w:rPr>
              <w:t>0时止。</w:t>
            </w:r>
          </w:p>
        </w:tc>
      </w:tr>
      <w:tr w14:paraId="4A9006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3FBB37A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27</w:t>
            </w:r>
          </w:p>
        </w:tc>
        <w:tc>
          <w:tcPr>
            <w:tcW w:w="2013" w:type="dxa"/>
            <w:vAlign w:val="center"/>
          </w:tcPr>
          <w:p w14:paraId="38D8BEEA">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w:t>
            </w:r>
          </w:p>
        </w:tc>
        <w:tc>
          <w:tcPr>
            <w:tcW w:w="7202" w:type="dxa"/>
            <w:vAlign w:val="center"/>
          </w:tcPr>
          <w:p w14:paraId="1B3F05CB">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开标时间：同电子投标文件上传截止时间。</w:t>
            </w:r>
          </w:p>
          <w:p w14:paraId="4A01A67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开标地址：衢州市公共资源交易龙游县分中心</w:t>
            </w:r>
            <w:r>
              <w:rPr>
                <w:rFonts w:hint="eastAsia" w:ascii="宋体" w:hAnsi="宋体" w:eastAsia="宋体" w:cs="宋体"/>
                <w:color w:val="auto"/>
                <w:highlight w:val="none"/>
              </w:rPr>
              <w:t>2楼</w:t>
            </w:r>
            <w:r>
              <w:rPr>
                <w:rFonts w:hint="eastAsia" w:ascii="宋体" w:hAnsi="宋体" w:eastAsia="宋体" w:cs="宋体"/>
                <w:color w:val="auto"/>
                <w:highlight w:val="none"/>
                <w:lang w:val="zh-CN"/>
              </w:rPr>
              <w:t>开标室3（龙游县龙翔路原香溢市场西侧）</w:t>
            </w:r>
          </w:p>
          <w:p w14:paraId="1FD9875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开标平台：</w:t>
            </w:r>
            <w:r>
              <w:rPr>
                <w:rFonts w:hint="eastAsia" w:ascii="宋体" w:hAnsi="宋体" w:eastAsia="宋体" w:cs="宋体"/>
                <w:color w:val="auto"/>
                <w:highlight w:val="none"/>
              </w:rPr>
              <w:t>衢州市阳光交易服务平台不见面开标大厅。</w:t>
            </w:r>
          </w:p>
        </w:tc>
      </w:tr>
      <w:tr w14:paraId="717828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9963F2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28</w:t>
            </w:r>
          </w:p>
        </w:tc>
        <w:tc>
          <w:tcPr>
            <w:tcW w:w="2013" w:type="dxa"/>
            <w:vAlign w:val="center"/>
          </w:tcPr>
          <w:p w14:paraId="5989E1D2">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递交投标文件的地址</w:t>
            </w:r>
          </w:p>
        </w:tc>
        <w:tc>
          <w:tcPr>
            <w:tcW w:w="7202" w:type="dxa"/>
            <w:vAlign w:val="center"/>
          </w:tcPr>
          <w:p w14:paraId="568E936E">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将由投标文件制作工具制作生成的加密投标文件在投标截止时间前（以上传完成时间为准）上传至衢州市阳光交易服务平台（网址：https://qzygjy.com/)。</w:t>
            </w:r>
          </w:p>
        </w:tc>
      </w:tr>
      <w:tr w14:paraId="34FA523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85" w:type="dxa"/>
            <w:shd w:val="clear" w:color="auto" w:fill="auto"/>
            <w:vAlign w:val="center"/>
          </w:tcPr>
          <w:p w14:paraId="0F285907">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29</w:t>
            </w:r>
          </w:p>
        </w:tc>
        <w:tc>
          <w:tcPr>
            <w:tcW w:w="2013" w:type="dxa"/>
            <w:vAlign w:val="center"/>
          </w:tcPr>
          <w:p w14:paraId="7F3C190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投标文件的外包装和密封要求</w:t>
            </w:r>
          </w:p>
        </w:tc>
        <w:tc>
          <w:tcPr>
            <w:tcW w:w="7202" w:type="dxa"/>
            <w:vAlign w:val="center"/>
          </w:tcPr>
          <w:p w14:paraId="3614362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电子招投标，无密封要求。</w:t>
            </w:r>
          </w:p>
        </w:tc>
      </w:tr>
      <w:tr w14:paraId="16BAA93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DCA17DC">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30</w:t>
            </w:r>
          </w:p>
        </w:tc>
        <w:tc>
          <w:tcPr>
            <w:tcW w:w="2013" w:type="dxa"/>
            <w:vAlign w:val="center"/>
          </w:tcPr>
          <w:p w14:paraId="35398D33">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投标文件封面上应载明的信息</w:t>
            </w:r>
          </w:p>
        </w:tc>
        <w:tc>
          <w:tcPr>
            <w:tcW w:w="7202" w:type="dxa"/>
            <w:vAlign w:val="center"/>
          </w:tcPr>
          <w:p w14:paraId="658F61AE">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详见第六章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投标文件格式。</w:t>
            </w:r>
          </w:p>
        </w:tc>
      </w:tr>
      <w:tr w14:paraId="482AFE7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78D3B1B">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31</w:t>
            </w:r>
          </w:p>
        </w:tc>
        <w:tc>
          <w:tcPr>
            <w:tcW w:w="2013" w:type="dxa"/>
            <w:vAlign w:val="center"/>
          </w:tcPr>
          <w:p w14:paraId="2F3D58F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rPr>
              <w:t>签字或盖章要求</w:t>
            </w:r>
          </w:p>
        </w:tc>
        <w:tc>
          <w:tcPr>
            <w:tcW w:w="7202" w:type="dxa"/>
            <w:vAlign w:val="center"/>
          </w:tcPr>
          <w:p w14:paraId="6E8BA999">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rPr>
              <w:t>电子签章。采购文件所指的加盖单位公章为电子签章（采用联合体的，除投标文件格式要求另有约定外均由牵头人签字或盖章）。投标文件须按采购文件格式要求，由投标人加盖单位公章和法定代表人或其授权代表印章（或签字）。</w:t>
            </w:r>
          </w:p>
        </w:tc>
      </w:tr>
      <w:tr w14:paraId="5908FFF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CBFEF94">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32</w:t>
            </w:r>
          </w:p>
        </w:tc>
        <w:tc>
          <w:tcPr>
            <w:tcW w:w="2013" w:type="dxa"/>
            <w:vAlign w:val="center"/>
          </w:tcPr>
          <w:p w14:paraId="1B727A7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是否允许提交备选</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案</w:t>
            </w:r>
          </w:p>
        </w:tc>
        <w:tc>
          <w:tcPr>
            <w:tcW w:w="7202" w:type="dxa"/>
            <w:vAlign w:val="center"/>
          </w:tcPr>
          <w:p w14:paraId="544F53B2">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不允许。</w:t>
            </w:r>
          </w:p>
        </w:tc>
      </w:tr>
      <w:tr w14:paraId="6DCB53F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55262AA">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33</w:t>
            </w:r>
          </w:p>
        </w:tc>
        <w:tc>
          <w:tcPr>
            <w:tcW w:w="2013" w:type="dxa"/>
            <w:vAlign w:val="center"/>
          </w:tcPr>
          <w:p w14:paraId="2F9A5A1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w:t>
            </w:r>
            <w:r>
              <w:rPr>
                <w:rFonts w:hint="eastAsia" w:ascii="宋体" w:hAnsi="宋体" w:eastAsia="宋体" w:cs="宋体"/>
                <w:color w:val="auto"/>
                <w:highlight w:val="none"/>
              </w:rPr>
              <w:t>采购进口产品</w:t>
            </w:r>
          </w:p>
        </w:tc>
        <w:tc>
          <w:tcPr>
            <w:tcW w:w="7202" w:type="dxa"/>
            <w:vAlign w:val="center"/>
          </w:tcPr>
          <w:p w14:paraId="0655B9A2">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允许。</w:t>
            </w:r>
          </w:p>
        </w:tc>
      </w:tr>
      <w:tr w14:paraId="4993B66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5F8A205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34</w:t>
            </w:r>
          </w:p>
        </w:tc>
        <w:tc>
          <w:tcPr>
            <w:tcW w:w="2013" w:type="dxa"/>
            <w:vAlign w:val="center"/>
          </w:tcPr>
          <w:p w14:paraId="6150C284">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是否允许提交</w:t>
            </w:r>
            <w:r>
              <w:rPr>
                <w:rFonts w:hint="eastAsia" w:ascii="宋体" w:hAnsi="宋体" w:eastAsia="宋体" w:cs="宋体"/>
                <w:color w:val="auto"/>
                <w:highlight w:val="none"/>
                <w:lang w:val="en-US" w:eastAsia="zh-CN"/>
              </w:rPr>
              <w:t>样品</w:t>
            </w:r>
          </w:p>
        </w:tc>
        <w:tc>
          <w:tcPr>
            <w:tcW w:w="7202" w:type="dxa"/>
            <w:vAlign w:val="center"/>
          </w:tcPr>
          <w:p w14:paraId="59B18EA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FE"/>
            </w:r>
            <w:r>
              <w:rPr>
                <w:rFonts w:hint="eastAsia" w:ascii="宋体" w:hAnsi="宋体" w:eastAsia="宋体" w:cs="宋体"/>
                <w:color w:val="auto"/>
                <w:highlight w:val="none"/>
                <w:lang w:val="zh-CN"/>
              </w:rPr>
              <w:t>不要求提供；</w:t>
            </w:r>
          </w:p>
          <w:p w14:paraId="3060074B">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sym w:font="Wingdings" w:char="00A8"/>
            </w:r>
            <w:r>
              <w:rPr>
                <w:rFonts w:hint="eastAsia" w:ascii="宋体" w:hAnsi="宋体" w:eastAsia="宋体" w:cs="宋体"/>
                <w:color w:val="auto"/>
                <w:highlight w:val="none"/>
                <w:lang w:val="zh-CN"/>
              </w:rPr>
              <w:t>要求提供。</w:t>
            </w:r>
          </w:p>
        </w:tc>
      </w:tr>
      <w:tr w14:paraId="62A5DEC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07473C0">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35</w:t>
            </w:r>
          </w:p>
        </w:tc>
        <w:tc>
          <w:tcPr>
            <w:tcW w:w="2013" w:type="dxa"/>
            <w:vAlign w:val="center"/>
          </w:tcPr>
          <w:p w14:paraId="64B037CD">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7202" w:type="dxa"/>
            <w:vAlign w:val="center"/>
          </w:tcPr>
          <w:p w14:paraId="16F9C99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公开招标。</w:t>
            </w:r>
          </w:p>
        </w:tc>
      </w:tr>
      <w:tr w14:paraId="02A2A8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3EC8EAC">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36</w:t>
            </w:r>
          </w:p>
        </w:tc>
        <w:tc>
          <w:tcPr>
            <w:tcW w:w="2013" w:type="dxa"/>
            <w:vAlign w:val="center"/>
          </w:tcPr>
          <w:p w14:paraId="690F16C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评标委员会的组建</w:t>
            </w:r>
          </w:p>
        </w:tc>
        <w:tc>
          <w:tcPr>
            <w:tcW w:w="7202" w:type="dxa"/>
            <w:vAlign w:val="center"/>
          </w:tcPr>
          <w:p w14:paraId="06A5E66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 xml:space="preserve">评标委员会人数： </w:t>
            </w:r>
            <w:r>
              <w:rPr>
                <w:rFonts w:hint="eastAsia" w:ascii="宋体" w:hAnsi="宋体" w:eastAsia="宋体" w:cs="宋体"/>
                <w:color w:val="auto"/>
                <w:highlight w:val="none"/>
                <w:u w:val="single"/>
                <w:lang w:val="zh-CN"/>
              </w:rPr>
              <w:t xml:space="preserve"> 7  </w:t>
            </w:r>
            <w:r>
              <w:rPr>
                <w:rFonts w:hint="eastAsia" w:ascii="宋体" w:hAnsi="宋体" w:eastAsia="宋体" w:cs="宋体"/>
                <w:color w:val="auto"/>
                <w:highlight w:val="none"/>
                <w:lang w:val="zh-CN"/>
              </w:rPr>
              <w:t>人及以上单数，其中</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val="zh-CN"/>
              </w:rPr>
              <w:t>人代表不超过三分之一，有关技术、经济方面的专家人数不少于三分之二。</w:t>
            </w:r>
          </w:p>
          <w:p w14:paraId="600EAB1C">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评标委员会组成方式：由</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val="zh-CN"/>
              </w:rPr>
              <w:t>人代表和有关技术、经济方面的专家组成。</w:t>
            </w:r>
          </w:p>
          <w:p w14:paraId="33AA3D7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评标委员会确定方式：按规定随机选聘。</w:t>
            </w:r>
          </w:p>
        </w:tc>
      </w:tr>
      <w:tr w14:paraId="1E6E5E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3658232">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zh-CN"/>
              </w:rPr>
              <w:t>37</w:t>
            </w:r>
          </w:p>
        </w:tc>
        <w:tc>
          <w:tcPr>
            <w:tcW w:w="2013" w:type="dxa"/>
            <w:vAlign w:val="center"/>
          </w:tcPr>
          <w:p w14:paraId="2EC535B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评审办法</w:t>
            </w:r>
          </w:p>
        </w:tc>
        <w:tc>
          <w:tcPr>
            <w:tcW w:w="7202" w:type="dxa"/>
            <w:vAlign w:val="center"/>
          </w:tcPr>
          <w:p w14:paraId="3AC407E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综合评分法。</w:t>
            </w:r>
          </w:p>
        </w:tc>
      </w:tr>
      <w:tr w14:paraId="4DF8748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6B9563A9">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rPr>
              <w:t>38</w:t>
            </w:r>
          </w:p>
        </w:tc>
        <w:tc>
          <w:tcPr>
            <w:tcW w:w="2013" w:type="dxa"/>
            <w:vAlign w:val="center"/>
          </w:tcPr>
          <w:p w14:paraId="6FFFA8C1">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w:t>
            </w:r>
            <w:r>
              <w:rPr>
                <w:rFonts w:hint="eastAsia" w:ascii="宋体" w:hAnsi="宋体" w:cs="宋体"/>
                <w:color w:val="auto"/>
                <w:highlight w:val="none"/>
                <w:lang w:val="zh-CN"/>
              </w:rPr>
              <w:t>中标人</w:t>
            </w:r>
          </w:p>
        </w:tc>
        <w:tc>
          <w:tcPr>
            <w:tcW w:w="7202" w:type="dxa"/>
            <w:vAlign w:val="center"/>
          </w:tcPr>
          <w:p w14:paraId="7943BE98">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确定1个</w:t>
            </w:r>
            <w:r>
              <w:rPr>
                <w:rFonts w:hint="eastAsia" w:ascii="宋体" w:hAnsi="宋体" w:cs="宋体"/>
                <w:color w:val="auto"/>
                <w:highlight w:val="none"/>
                <w:lang w:val="zh-CN"/>
              </w:rPr>
              <w:t>中标人</w:t>
            </w:r>
            <w:r>
              <w:rPr>
                <w:rFonts w:hint="eastAsia" w:ascii="宋体" w:hAnsi="宋体" w:eastAsia="宋体" w:cs="宋体"/>
                <w:color w:val="auto"/>
                <w:highlight w:val="none"/>
                <w:lang w:val="zh-CN"/>
              </w:rPr>
              <w:t>，中标结果在衢州市阳光交易服务平台、浙江政府采购网公告，中标结果公告期限为1个工作日。</w:t>
            </w:r>
          </w:p>
        </w:tc>
      </w:tr>
      <w:tr w14:paraId="71CC38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AF2D83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rPr>
              <w:t>39</w:t>
            </w:r>
          </w:p>
        </w:tc>
        <w:tc>
          <w:tcPr>
            <w:tcW w:w="2013" w:type="dxa"/>
            <w:vAlign w:val="center"/>
          </w:tcPr>
          <w:p w14:paraId="54A2D6FF">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履约保证金</w:t>
            </w:r>
          </w:p>
        </w:tc>
        <w:tc>
          <w:tcPr>
            <w:tcW w:w="7202" w:type="dxa"/>
            <w:vAlign w:val="center"/>
          </w:tcPr>
          <w:p w14:paraId="085F214F">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1.缴纳金额：</w:t>
            </w:r>
            <w:r>
              <w:rPr>
                <w:rFonts w:hint="eastAsia" w:ascii="宋体" w:hAnsi="宋体" w:eastAsia="宋体" w:cs="宋体"/>
                <w:color w:val="auto"/>
                <w:highlight w:val="none"/>
                <w:lang w:val="en-US" w:eastAsia="zh-CN"/>
              </w:rPr>
              <w:t>合同价的1%</w:t>
            </w:r>
            <w:r>
              <w:rPr>
                <w:rFonts w:hint="eastAsia" w:ascii="宋体" w:hAnsi="宋体" w:eastAsia="宋体" w:cs="宋体"/>
                <w:color w:val="auto"/>
                <w:highlight w:val="none"/>
                <w:lang w:val="zh-CN" w:eastAsia="zh-CN"/>
              </w:rPr>
              <w:t>；</w:t>
            </w:r>
          </w:p>
          <w:p w14:paraId="0F54195B">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2.缴纳方式：汇票/支票/银行转账/银行保函/保险保函。</w:t>
            </w:r>
          </w:p>
          <w:p w14:paraId="20BB7578">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3.缴纳时间：本项目中标通知书发出后合同签订前缴纳；</w:t>
            </w:r>
          </w:p>
          <w:p w14:paraId="465ECF00">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4.退还条件：</w:t>
            </w:r>
            <w:r>
              <w:rPr>
                <w:rFonts w:hint="eastAsia" w:ascii="宋体" w:hAnsi="宋体" w:cs="宋体"/>
                <w:color w:val="auto"/>
                <w:highlight w:val="none"/>
                <w:lang w:val="zh-CN"/>
              </w:rPr>
              <w:t>项目验收合格</w:t>
            </w:r>
            <w:r>
              <w:rPr>
                <w:rFonts w:hint="eastAsia" w:ascii="宋体" w:hAnsi="宋体" w:eastAsia="宋体" w:cs="宋体"/>
                <w:color w:val="auto"/>
                <w:highlight w:val="none"/>
                <w:lang w:val="zh-CN"/>
              </w:rPr>
              <w:t>后</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zh-CN"/>
              </w:rPr>
              <w:t>日内退还（不计息）。</w:t>
            </w:r>
          </w:p>
        </w:tc>
      </w:tr>
      <w:tr w14:paraId="3A52C9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011A5671">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rPr>
              <w:t>40</w:t>
            </w:r>
          </w:p>
        </w:tc>
        <w:tc>
          <w:tcPr>
            <w:tcW w:w="2013" w:type="dxa"/>
            <w:vAlign w:val="center"/>
          </w:tcPr>
          <w:p w14:paraId="0E3160F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构成招标文件的其他资料</w:t>
            </w:r>
          </w:p>
        </w:tc>
        <w:tc>
          <w:tcPr>
            <w:tcW w:w="7202" w:type="dxa"/>
            <w:vAlign w:val="center"/>
          </w:tcPr>
          <w:p w14:paraId="324F91C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sym w:font="Wingdings 2" w:char="0052"/>
            </w:r>
            <w:r>
              <w:rPr>
                <w:rFonts w:hint="eastAsia" w:ascii="宋体" w:hAnsi="宋体" w:eastAsia="宋体" w:cs="宋体"/>
                <w:color w:val="auto"/>
                <w:highlight w:val="none"/>
                <w:lang w:val="zh-CN" w:eastAsia="zh-CN"/>
              </w:rPr>
              <w:t>图纸</w:t>
            </w:r>
          </w:p>
        </w:tc>
      </w:tr>
      <w:tr w14:paraId="430209C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1BBFD45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rPr>
              <w:t>41</w:t>
            </w:r>
          </w:p>
        </w:tc>
        <w:tc>
          <w:tcPr>
            <w:tcW w:w="2013" w:type="dxa"/>
            <w:vAlign w:val="center"/>
          </w:tcPr>
          <w:p w14:paraId="1D606693">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签字或盖章要求</w:t>
            </w:r>
          </w:p>
        </w:tc>
        <w:tc>
          <w:tcPr>
            <w:tcW w:w="7202" w:type="dxa"/>
            <w:vAlign w:val="center"/>
          </w:tcPr>
          <w:p w14:paraId="75CFB77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电子签章。采购文件所指的加盖单位公章为电子签章。投标文件须按采购文件格式要求，由投标人加盖单位公章和法定代表人或其授权代表印章（或签字）。</w:t>
            </w:r>
          </w:p>
        </w:tc>
      </w:tr>
      <w:tr w14:paraId="68BD45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1A40B21F">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en-US" w:eastAsia="zh-CN"/>
              </w:rPr>
              <w:t>42</w:t>
            </w:r>
          </w:p>
        </w:tc>
        <w:tc>
          <w:tcPr>
            <w:tcW w:w="2013" w:type="dxa"/>
            <w:vAlign w:val="center"/>
          </w:tcPr>
          <w:p w14:paraId="379A0D26">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签订合同时间</w:t>
            </w:r>
          </w:p>
        </w:tc>
        <w:tc>
          <w:tcPr>
            <w:tcW w:w="7202" w:type="dxa"/>
            <w:vAlign w:val="center"/>
          </w:tcPr>
          <w:p w14:paraId="66B4AF2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中标通知书发出之日起30日内</w:t>
            </w:r>
          </w:p>
        </w:tc>
      </w:tr>
      <w:tr w14:paraId="5C6D93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44D6CD2D">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3</w:t>
            </w:r>
          </w:p>
        </w:tc>
        <w:tc>
          <w:tcPr>
            <w:tcW w:w="2013" w:type="dxa"/>
            <w:vAlign w:val="center"/>
          </w:tcPr>
          <w:p w14:paraId="115BD8C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采购信息发布媒体</w:t>
            </w:r>
          </w:p>
        </w:tc>
        <w:tc>
          <w:tcPr>
            <w:tcW w:w="7202" w:type="dxa"/>
            <w:vAlign w:val="center"/>
          </w:tcPr>
          <w:p w14:paraId="40C05F22">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衢州市阳光交易服务平台（https://qzygjy.com/）、浙江省政府采购网（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http://zfcg.czt.zj.gov.cn/</w:t>
            </w:r>
            <w:r>
              <w:rPr>
                <w:rFonts w:hint="eastAsia" w:ascii="宋体" w:hAnsi="宋体" w:eastAsia="宋体" w:cs="宋体"/>
                <w:color w:val="auto"/>
                <w:highlight w:val="none"/>
                <w:lang w:val="zh-CN"/>
              </w:rPr>
              <w:fldChar w:fldCharType="end"/>
            </w:r>
            <w:r>
              <w:rPr>
                <w:rFonts w:hint="eastAsia" w:ascii="宋体" w:hAnsi="宋体" w:eastAsia="宋体" w:cs="宋体"/>
                <w:color w:val="auto"/>
                <w:highlight w:val="none"/>
                <w:lang w:val="zh-CN"/>
              </w:rPr>
              <w:t>）</w:t>
            </w:r>
          </w:p>
        </w:tc>
      </w:tr>
      <w:tr w14:paraId="245DC21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22647760">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en-US" w:eastAsia="zh-CN"/>
              </w:rPr>
              <w:t>44</w:t>
            </w:r>
          </w:p>
        </w:tc>
        <w:tc>
          <w:tcPr>
            <w:tcW w:w="2013" w:type="dxa"/>
            <w:vAlign w:val="center"/>
          </w:tcPr>
          <w:p w14:paraId="1000ADB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质疑</w:t>
            </w:r>
          </w:p>
        </w:tc>
        <w:tc>
          <w:tcPr>
            <w:tcW w:w="7202" w:type="dxa"/>
            <w:vAlign w:val="center"/>
          </w:tcPr>
          <w:p w14:paraId="053F95C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名称：衢州宇信工程咨询有限公司  </w:t>
            </w:r>
          </w:p>
          <w:p w14:paraId="4E7025E8">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地址：龙游县龙洲街道广和商务楼3楼306室</w:t>
            </w:r>
          </w:p>
          <w:p w14:paraId="33B674A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质疑联系人：</w:t>
            </w:r>
            <w:r>
              <w:rPr>
                <w:rFonts w:hint="eastAsia" w:ascii="宋体" w:hAnsi="宋体" w:eastAsia="宋体" w:cs="宋体"/>
                <w:color w:val="auto"/>
                <w:highlight w:val="none"/>
                <w:lang w:val="en-US" w:eastAsia="zh-CN"/>
              </w:rPr>
              <w:t>祝女士</w:t>
            </w:r>
          </w:p>
          <w:p w14:paraId="0580E33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质疑联系方式：</w:t>
            </w:r>
            <w:r>
              <w:rPr>
                <w:rFonts w:hint="eastAsia" w:ascii="宋体" w:hAnsi="宋体" w:eastAsia="宋体" w:cs="宋体"/>
                <w:color w:val="auto"/>
                <w:highlight w:val="none"/>
                <w:lang w:val="en-US" w:eastAsia="zh-CN"/>
              </w:rPr>
              <w:t>18367068335</w:t>
            </w:r>
          </w:p>
        </w:tc>
      </w:tr>
      <w:tr w14:paraId="7E55DD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shd w:val="clear" w:color="auto" w:fill="auto"/>
            <w:vAlign w:val="center"/>
          </w:tcPr>
          <w:p w14:paraId="771CC735">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45</w:t>
            </w:r>
          </w:p>
        </w:tc>
        <w:tc>
          <w:tcPr>
            <w:tcW w:w="2013" w:type="dxa"/>
            <w:vAlign w:val="center"/>
          </w:tcPr>
          <w:p w14:paraId="40AB37C3">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投诉</w:t>
            </w:r>
          </w:p>
        </w:tc>
        <w:tc>
          <w:tcPr>
            <w:tcW w:w="7202" w:type="dxa"/>
            <w:vAlign w:val="center"/>
          </w:tcPr>
          <w:p w14:paraId="7229198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eastAsia="zh-CN"/>
              </w:rPr>
            </w:pPr>
            <w:r>
              <w:rPr>
                <w:rFonts w:hint="eastAsia" w:ascii="宋体" w:hAnsi="宋体" w:eastAsia="宋体" w:cs="宋体"/>
                <w:color w:val="auto"/>
                <w:highlight w:val="none"/>
                <w:lang w:val="zh-CN"/>
              </w:rPr>
              <w:t>名称：</w:t>
            </w:r>
            <w:r>
              <w:rPr>
                <w:rFonts w:hint="eastAsia" w:ascii="宋体" w:hAnsi="宋体" w:cs="宋体"/>
                <w:color w:val="auto"/>
                <w:highlight w:val="none"/>
                <w:lang w:val="zh-CN" w:eastAsia="zh-CN"/>
              </w:rPr>
              <w:t>龙游县水务集团有限公司招投标分中心</w:t>
            </w:r>
          </w:p>
          <w:p w14:paraId="5F85A88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w:t>
            </w:r>
            <w:r>
              <w:rPr>
                <w:rFonts w:hint="eastAsia" w:ascii="宋体" w:hAnsi="宋体" w:cs="宋体"/>
                <w:color w:val="auto"/>
                <w:highlight w:val="none"/>
                <w:lang w:val="zh-CN"/>
              </w:rPr>
              <w:t>龙游县龙洲街道荣昌路东道35号</w:t>
            </w:r>
          </w:p>
          <w:p w14:paraId="3A52C5D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ascii="宋体" w:hAnsi="宋体" w:cs="宋体"/>
                <w:color w:val="auto"/>
                <w:highlight w:val="none"/>
                <w:lang w:val="zh-CN"/>
              </w:rPr>
              <w:t>夏先生</w:t>
            </w:r>
          </w:p>
          <w:p w14:paraId="41EBFA0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监督投诉方式：</w:t>
            </w:r>
            <w:r>
              <w:rPr>
                <w:rFonts w:hint="eastAsia" w:ascii="宋体" w:hAnsi="宋体" w:cs="宋体"/>
                <w:color w:val="auto"/>
                <w:highlight w:val="none"/>
                <w:lang w:val="zh-CN"/>
              </w:rPr>
              <w:t xml:space="preserve">18367058222 </w:t>
            </w:r>
            <w:r>
              <w:rPr>
                <w:rFonts w:hint="eastAsia" w:ascii="宋体" w:hAnsi="宋体" w:eastAsia="宋体" w:cs="宋体"/>
                <w:color w:val="auto"/>
                <w:highlight w:val="none"/>
                <w:lang w:val="zh-CN"/>
              </w:rPr>
              <w:t xml:space="preserve">  </w:t>
            </w:r>
          </w:p>
        </w:tc>
      </w:tr>
      <w:tr w14:paraId="683F38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955B82B">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eastAsia="宋体" w:cs="宋体"/>
                <w:color w:val="auto"/>
                <w:highlight w:val="none"/>
                <w:lang w:val="en-US" w:eastAsia="zh-CN"/>
              </w:rPr>
            </w:pPr>
          </w:p>
        </w:tc>
        <w:tc>
          <w:tcPr>
            <w:tcW w:w="2013" w:type="dxa"/>
            <w:vAlign w:val="center"/>
          </w:tcPr>
          <w:p w14:paraId="4395AB35">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解释权</w:t>
            </w:r>
          </w:p>
        </w:tc>
        <w:tc>
          <w:tcPr>
            <w:tcW w:w="7202" w:type="dxa"/>
            <w:vAlign w:val="center"/>
          </w:tcPr>
          <w:p w14:paraId="02BCCF35">
            <w:pPr>
              <w:keepNext w:val="0"/>
              <w:keepLines w:val="0"/>
              <w:suppressLineNumbers w:val="0"/>
              <w:shd w:val="clear"/>
              <w:spacing w:before="0" w:beforeAutospacing="0" w:after="0" w:afterAutospacing="0"/>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本文件的解释权属于采购人</w:t>
            </w:r>
          </w:p>
        </w:tc>
      </w:tr>
    </w:tbl>
    <w:p w14:paraId="7F06468B">
      <w:pPr>
        <w:pStyle w:val="6"/>
        <w:numPr>
          <w:ilvl w:val="1"/>
          <w:numId w:val="0"/>
        </w:numPr>
        <w:shd w:val="clear"/>
        <w:spacing w:beforeLines="0" w:afterLines="0"/>
        <w:rPr>
          <w:rFonts w:hint="eastAsia" w:ascii="宋体" w:hAnsi="宋体" w:eastAsia="宋体" w:cs="宋体"/>
          <w:b/>
          <w:bCs w:val="0"/>
          <w:color w:val="auto"/>
          <w:highlight w:val="none"/>
          <w:lang w:bidi="ar"/>
        </w:rPr>
      </w:pPr>
      <w:bookmarkStart w:id="415" w:name="_Toc19328"/>
      <w:bookmarkStart w:id="416" w:name="_Toc5088"/>
      <w:bookmarkStart w:id="417" w:name="_Toc8910"/>
      <w:bookmarkStart w:id="418" w:name="_Toc12264"/>
      <w:bookmarkStart w:id="419" w:name="_Toc22609"/>
      <w:bookmarkStart w:id="420" w:name="_Toc19602"/>
      <w:bookmarkStart w:id="421" w:name="_Toc17814"/>
      <w:bookmarkStart w:id="422" w:name="_Toc1271"/>
      <w:r>
        <w:rPr>
          <w:rFonts w:hint="eastAsia" w:ascii="宋体" w:hAnsi="宋体" w:eastAsia="宋体" w:cs="宋体"/>
          <w:b/>
          <w:bCs w:val="0"/>
          <w:color w:val="auto"/>
          <w:highlight w:val="none"/>
          <w:lang w:bidi="ar"/>
        </w:rPr>
        <w:t>二、</w:t>
      </w:r>
      <w:bookmarkEnd w:id="363"/>
      <w:bookmarkEnd w:id="364"/>
      <w:bookmarkEnd w:id="365"/>
      <w:bookmarkEnd w:id="366"/>
      <w:bookmarkEnd w:id="367"/>
      <w:bookmarkEnd w:id="368"/>
      <w:r>
        <w:rPr>
          <w:rFonts w:hint="eastAsia" w:ascii="宋体" w:hAnsi="宋体" w:eastAsia="宋体" w:cs="宋体"/>
          <w:b/>
          <w:bCs w:val="0"/>
          <w:color w:val="auto"/>
          <w:highlight w:val="none"/>
          <w:lang w:bidi="ar"/>
        </w:rPr>
        <w:t>总 则</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415"/>
      <w:bookmarkEnd w:id="416"/>
      <w:bookmarkEnd w:id="417"/>
      <w:bookmarkEnd w:id="418"/>
      <w:bookmarkEnd w:id="419"/>
      <w:bookmarkEnd w:id="420"/>
      <w:bookmarkEnd w:id="421"/>
      <w:bookmarkEnd w:id="422"/>
    </w:p>
    <w:p w14:paraId="64D558B3">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编制依据</w:t>
      </w:r>
    </w:p>
    <w:p w14:paraId="638DAB63">
      <w:pPr>
        <w:pStyle w:val="37"/>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根据《龙游县国有企业采购管理办法》（龙政办发〔2021〕58号），参照《中华人民共和国政府采购法》《中华人民共和国政府采购法实施条例》以及政府采购有关规定，编制本招标文件。</w:t>
      </w:r>
    </w:p>
    <w:p w14:paraId="0E23CDFE">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定 义</w:t>
      </w:r>
    </w:p>
    <w:p w14:paraId="4A881BB1">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bCs/>
          <w:snapToGrid w:val="0"/>
          <w:color w:val="auto"/>
          <w:highlight w:val="none"/>
        </w:rPr>
        <w:t>采购人，是指本次采购货物或服务的购买单位。</w:t>
      </w:r>
    </w:p>
    <w:p w14:paraId="3C354BF1">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，是指响应招标、参加投标竞争的法人。</w:t>
      </w:r>
    </w:p>
    <w:p w14:paraId="4D90F5DB">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采购代理机构（采购组织机构），是指</w:t>
      </w:r>
      <w:r>
        <w:rPr>
          <w:rFonts w:hint="eastAsia" w:ascii="宋体" w:hAnsi="宋体" w:eastAsia="宋体" w:cs="宋体"/>
          <w:color w:val="auto"/>
          <w:highlight w:val="none"/>
          <w:shd w:val="clear" w:color="auto" w:fill="FFFFFF"/>
        </w:rPr>
        <w:t>在采购活动中根据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"http://www.so.com/s?q=%E9%87%87%E8%B4%AD%E4%BA%BA&amp;ie=utf-8&amp;src=internal_wenda_recommend_textn" \t "https://wenda.so.com/q/_blank" </w:instrText>
      </w:r>
      <w:r>
        <w:rPr>
          <w:rFonts w:hint="eastAsia" w:ascii="宋体" w:hAnsi="宋体" w:eastAsia="宋体" w:cs="宋体"/>
          <w:color w:val="auto"/>
          <w:highlight w:val="none"/>
        </w:rPr>
        <w:fldChar w:fldCharType="separate"/>
      </w:r>
      <w:r>
        <w:rPr>
          <w:rStyle w:val="48"/>
          <w:rFonts w:hint="eastAsia" w:ascii="宋体" w:hAnsi="宋体" w:eastAsia="宋体" w:cs="宋体"/>
          <w:color w:val="auto"/>
          <w:highlight w:val="none"/>
          <w:shd w:val="clear" w:color="auto" w:fill="FFFFFF"/>
        </w:rPr>
        <w:t>采购人</w:t>
      </w:r>
      <w:r>
        <w:rPr>
          <w:rStyle w:val="48"/>
          <w:rFonts w:hint="eastAsia" w:ascii="宋体" w:hAnsi="宋体" w:eastAsia="宋体" w:cs="宋体"/>
          <w:color w:val="auto"/>
          <w:highlight w:val="none"/>
          <w:shd w:val="clear" w:color="auto" w:fill="FFFFFF"/>
        </w:rPr>
        <w:fldChar w:fldCharType="end"/>
      </w:r>
      <w:r>
        <w:rPr>
          <w:rFonts w:hint="eastAsia" w:ascii="宋体" w:hAnsi="宋体" w:eastAsia="宋体" w:cs="宋体"/>
          <w:color w:val="auto"/>
          <w:highlight w:val="none"/>
          <w:shd w:val="clear" w:color="auto" w:fill="FFFFFF"/>
        </w:rPr>
        <w:t>的委托代理采购</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"http://www.so.com/s?q=%E4%BA%8B%E5%AE%9C&amp;ie=utf-8&amp;src=internal_wenda_recommend_textn" \t "https://wenda.so.com/q/_blank" </w:instrText>
      </w:r>
      <w:r>
        <w:rPr>
          <w:rFonts w:hint="eastAsia" w:ascii="宋体" w:hAnsi="宋体" w:eastAsia="宋体" w:cs="宋体"/>
          <w:color w:val="auto"/>
          <w:highlight w:val="none"/>
        </w:rPr>
        <w:fldChar w:fldCharType="separate"/>
      </w:r>
      <w:r>
        <w:rPr>
          <w:rStyle w:val="48"/>
          <w:rFonts w:hint="eastAsia" w:ascii="宋体" w:hAnsi="宋体" w:eastAsia="宋体" w:cs="宋体"/>
          <w:color w:val="auto"/>
          <w:highlight w:val="none"/>
          <w:shd w:val="clear" w:color="auto" w:fill="FFFFFF"/>
        </w:rPr>
        <w:t>事宜</w:t>
      </w:r>
      <w:r>
        <w:rPr>
          <w:rStyle w:val="48"/>
          <w:rFonts w:hint="eastAsia" w:ascii="宋体" w:hAnsi="宋体" w:eastAsia="宋体" w:cs="宋体"/>
          <w:color w:val="auto"/>
          <w:highlight w:val="none"/>
          <w:shd w:val="clear" w:color="auto" w:fill="FFFFFF"/>
        </w:rPr>
        <w:fldChar w:fldCharType="end"/>
      </w:r>
      <w:r>
        <w:rPr>
          <w:rFonts w:hint="eastAsia" w:ascii="宋体" w:hAnsi="宋体" w:eastAsia="宋体" w:cs="宋体"/>
          <w:color w:val="auto"/>
          <w:highlight w:val="none"/>
          <w:shd w:val="clear" w:color="auto" w:fill="FFFFFF"/>
        </w:rPr>
        <w:t>的机构</w:t>
      </w:r>
      <w:r>
        <w:rPr>
          <w:rFonts w:hint="eastAsia" w:ascii="宋体" w:hAnsi="宋体" w:eastAsia="宋体" w:cs="宋体"/>
          <w:color w:val="auto"/>
          <w:highlight w:val="none"/>
        </w:rPr>
        <w:t>。</w:t>
      </w:r>
    </w:p>
    <w:p w14:paraId="29821D3C">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原件，是指原</w:t>
      </w:r>
      <w:r>
        <w:rPr>
          <w:rFonts w:hint="eastAsia" w:ascii="宋体" w:hAnsi="宋体" w:cs="宋体"/>
          <w:color w:val="auto"/>
          <w:highlight w:val="none"/>
          <w:lang w:eastAsia="zh-CN"/>
        </w:rPr>
        <w:t>始文</w:t>
      </w:r>
      <w:r>
        <w:rPr>
          <w:rFonts w:hint="eastAsia" w:ascii="宋体" w:hAnsi="宋体" w:eastAsia="宋体" w:cs="宋体"/>
          <w:color w:val="auto"/>
          <w:highlight w:val="none"/>
        </w:rPr>
        <w:t>件（即：资料生成时的原始形态，包括所加盖的印章、相关人员的签字笔迹等均是原始印痕、印迹和行迹）。</w:t>
      </w:r>
    </w:p>
    <w:p w14:paraId="44B3C1DB">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书面形式，包括文字的打印或复印件、传真、信函、电传、电报、</w:t>
      </w:r>
      <w:r>
        <w:rPr>
          <w:rFonts w:hint="eastAsia" w:ascii="宋体" w:hAnsi="宋体" w:eastAsia="宋体" w:cs="宋体"/>
          <w:color w:val="auto"/>
          <w:highlight w:val="none"/>
          <w:shd w:val="clear" w:color="auto" w:fill="FFFFFF"/>
        </w:rPr>
        <w:t>电子邮件、</w:t>
      </w:r>
      <w:r>
        <w:rPr>
          <w:rFonts w:hint="eastAsia" w:ascii="宋体" w:hAnsi="宋体" w:eastAsia="宋体" w:cs="宋体"/>
          <w:color w:val="auto"/>
          <w:highlight w:val="none"/>
          <w:lang w:val="zh-CN"/>
        </w:rPr>
        <w:t>衢州市阳光交易服务平台、</w:t>
      </w:r>
      <w:r>
        <w:rPr>
          <w:rFonts w:hint="eastAsia" w:ascii="宋体" w:hAnsi="宋体" w:eastAsia="宋体" w:cs="宋体"/>
          <w:color w:val="auto"/>
          <w:highlight w:val="none"/>
        </w:rPr>
        <w:t>浙江政府采购网网站发布的公告</w:t>
      </w:r>
      <w:r>
        <w:rPr>
          <w:rFonts w:hint="eastAsia" w:ascii="宋体" w:hAnsi="宋体" w:eastAsia="宋体" w:cs="宋体"/>
          <w:color w:val="auto"/>
          <w:highlight w:val="none"/>
          <w:shd w:val="clear" w:color="auto" w:fill="FFFFFF"/>
        </w:rPr>
        <w:t>等可以有形地表现所载内容的形式。</w:t>
      </w:r>
    </w:p>
    <w:p w14:paraId="3C53DFCA">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bCs/>
          <w:color w:val="auto"/>
          <w:highlight w:val="none"/>
          <w:lang w:eastAsia="zh-CN"/>
        </w:rPr>
        <w:t>投标人</w:t>
      </w:r>
      <w:r>
        <w:rPr>
          <w:rFonts w:hint="eastAsia" w:ascii="宋体" w:hAnsi="宋体" w:eastAsia="宋体" w:cs="宋体"/>
          <w:bCs/>
          <w:color w:val="auto"/>
          <w:highlight w:val="none"/>
        </w:rPr>
        <w:t>公章，</w:t>
      </w:r>
      <w:r>
        <w:rPr>
          <w:rFonts w:hint="eastAsia" w:ascii="宋体" w:hAnsi="宋体" w:eastAsia="宋体" w:cs="宋体"/>
          <w:color w:val="auto"/>
          <w:highlight w:val="none"/>
        </w:rPr>
        <w:t>是指</w:t>
      </w:r>
      <w:r>
        <w:rPr>
          <w:rFonts w:hint="eastAsia" w:ascii="宋体" w:hAnsi="宋体" w:cs="宋体"/>
          <w:color w:val="auto"/>
          <w:highlight w:val="none"/>
          <w:lang w:eastAsia="zh-CN"/>
        </w:rPr>
        <w:t>投标人</w:t>
      </w:r>
      <w:r>
        <w:rPr>
          <w:rFonts w:hint="eastAsia" w:ascii="宋体" w:hAnsi="宋体" w:eastAsia="宋体" w:cs="宋体"/>
          <w:color w:val="auto"/>
          <w:highlight w:val="none"/>
          <w:shd w:val="clear" w:color="auto" w:fill="FFFFFF"/>
        </w:rPr>
        <w:t>用自己法定主体行为名称制作的签名印章</w:t>
      </w:r>
      <w:r>
        <w:rPr>
          <w:rFonts w:hint="eastAsia" w:ascii="宋体" w:hAnsi="宋体" w:eastAsia="宋体" w:cs="宋体"/>
          <w:color w:val="auto"/>
          <w:highlight w:val="none"/>
        </w:rPr>
        <w:t>。</w:t>
      </w:r>
      <w:r>
        <w:rPr>
          <w:rFonts w:hint="eastAsia" w:ascii="宋体" w:hAnsi="宋体" w:eastAsia="宋体" w:cs="宋体"/>
          <w:bCs/>
          <w:color w:val="auto"/>
          <w:highlight w:val="none"/>
        </w:rPr>
        <w:t>不得使用专用章（如经济合同章、投标专用章、业务专用章等）或下属单位印章代替。</w:t>
      </w:r>
    </w:p>
    <w:p w14:paraId="07A66E21">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bCs/>
          <w:color w:val="auto"/>
          <w:highlight w:val="none"/>
        </w:rPr>
      </w:pPr>
      <w:r>
        <w:rPr>
          <w:rFonts w:hint="eastAsia" w:ascii="宋体" w:hAnsi="宋体" w:eastAsia="宋体" w:cs="宋体"/>
          <w:bCs/>
          <w:color w:val="auto"/>
          <w:highlight w:val="none"/>
        </w:rPr>
        <w:t>“▲”是</w:t>
      </w:r>
      <w:r>
        <w:rPr>
          <w:rFonts w:hint="eastAsia" w:ascii="宋体" w:hAnsi="宋体" w:cs="宋体"/>
          <w:bCs/>
          <w:color w:val="auto"/>
          <w:highlight w:val="none"/>
          <w:lang w:eastAsia="zh-CN"/>
        </w:rPr>
        <w:t>投标人</w:t>
      </w:r>
      <w:r>
        <w:rPr>
          <w:rFonts w:hint="eastAsia" w:ascii="宋体" w:hAnsi="宋体" w:eastAsia="宋体" w:cs="宋体"/>
          <w:bCs/>
          <w:color w:val="auto"/>
          <w:highlight w:val="none"/>
        </w:rPr>
        <w:t>按本招标文件要求必须实质性响应的条款，有任何一项缺失或非实质性响应将取消其投标资格。</w:t>
      </w:r>
    </w:p>
    <w:p w14:paraId="7DFEBDA2">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采购方式</w:t>
      </w:r>
    </w:p>
    <w:p w14:paraId="261F9CE2">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采购组织形式国企采购委托代理。</w:t>
      </w:r>
    </w:p>
    <w:p w14:paraId="0E3092C3">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lang w:val="zh-CN"/>
        </w:rPr>
        <w:t>采取</w:t>
      </w:r>
      <w:r>
        <w:rPr>
          <w:rFonts w:hint="eastAsia" w:ascii="宋体" w:hAnsi="宋体" w:eastAsia="宋体" w:cs="宋体"/>
          <w:color w:val="auto"/>
          <w:highlight w:val="none"/>
        </w:rPr>
        <w:t>公开招标采购方式。</w:t>
      </w:r>
    </w:p>
    <w:p w14:paraId="550DE29D">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合格的</w:t>
      </w:r>
      <w:r>
        <w:rPr>
          <w:rFonts w:hint="eastAsia" w:ascii="宋体" w:hAnsi="宋体" w:cs="宋体"/>
          <w:color w:val="auto"/>
          <w:highlight w:val="none"/>
          <w:lang w:eastAsia="zh-CN"/>
        </w:rPr>
        <w:t>投标人</w:t>
      </w:r>
    </w:p>
    <w:p w14:paraId="4979B478">
      <w:pPr>
        <w:pStyle w:val="37"/>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合格的</w:t>
      </w:r>
      <w:r>
        <w:rPr>
          <w:rFonts w:hint="eastAsia" w:ascii="宋体" w:hAnsi="宋体" w:cs="宋体"/>
          <w:color w:val="auto"/>
          <w:highlight w:val="none"/>
          <w:lang w:eastAsia="zh-CN"/>
        </w:rPr>
        <w:t>投标人</w:t>
      </w:r>
      <w:r>
        <w:rPr>
          <w:rFonts w:hint="eastAsia" w:ascii="宋体" w:hAnsi="宋体" w:eastAsia="宋体" w:cs="宋体"/>
          <w:color w:val="auto"/>
          <w:highlight w:val="none"/>
        </w:rPr>
        <w:t>应具备以下条件：</w:t>
      </w:r>
    </w:p>
    <w:p w14:paraId="77D98E4A">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具备法律法规和本采购文件规定的资格条件；</w:t>
      </w:r>
    </w:p>
    <w:p w14:paraId="739EAEAF">
      <w:pPr>
        <w:pStyle w:val="37"/>
        <w:widowControl w:val="0"/>
        <w:numPr>
          <w:ilvl w:val="1"/>
          <w:numId w:val="4"/>
        </w:numPr>
        <w:shd w:val="clear"/>
        <w:adjustRightInd w:val="0"/>
        <w:snapToGrid w:val="0"/>
        <w:spacing w:line="312" w:lineRule="auto"/>
        <w:ind w:left="0" w:firstLine="464"/>
        <w:jc w:val="both"/>
        <w:rPr>
          <w:rFonts w:hint="eastAsia" w:ascii="宋体" w:hAnsi="宋体" w:eastAsia="宋体" w:cs="宋体"/>
          <w:color w:val="auto"/>
          <w:highlight w:val="none"/>
        </w:rPr>
      </w:pPr>
      <w:r>
        <w:rPr>
          <w:rFonts w:hint="eastAsia" w:ascii="宋体" w:hAnsi="宋体" w:eastAsia="宋体" w:cs="宋体"/>
          <w:color w:val="auto"/>
          <w:spacing w:val="-4"/>
          <w:highlight w:val="none"/>
        </w:rPr>
        <w:t>不属于限制参加本项目采购活动的</w:t>
      </w:r>
      <w:r>
        <w:rPr>
          <w:rFonts w:hint="eastAsia" w:ascii="宋体" w:hAnsi="宋体" w:cs="宋体"/>
          <w:color w:val="auto"/>
          <w:spacing w:val="-4"/>
          <w:highlight w:val="none"/>
          <w:lang w:eastAsia="zh-CN"/>
        </w:rPr>
        <w:t>投标人</w:t>
      </w:r>
      <w:r>
        <w:rPr>
          <w:rFonts w:hint="eastAsia" w:ascii="宋体" w:hAnsi="宋体" w:eastAsia="宋体" w:cs="宋体"/>
          <w:color w:val="auto"/>
          <w:highlight w:val="none"/>
        </w:rPr>
        <w:t>；</w:t>
      </w:r>
    </w:p>
    <w:p w14:paraId="3ED366B9">
      <w:pPr>
        <w:pStyle w:val="37"/>
        <w:widowControl w:val="0"/>
        <w:numPr>
          <w:ilvl w:val="1"/>
          <w:numId w:val="4"/>
        </w:numPr>
        <w:shd w:val="clear"/>
        <w:adjustRightInd w:val="0"/>
        <w:snapToGrid w:val="0"/>
        <w:spacing w:line="312" w:lineRule="auto"/>
        <w:ind w:left="0" w:firstLine="464"/>
        <w:jc w:val="both"/>
        <w:rPr>
          <w:rFonts w:hint="eastAsia" w:ascii="宋体" w:hAnsi="宋体" w:eastAsia="宋体" w:cs="宋体"/>
          <w:color w:val="auto"/>
          <w:highlight w:val="none"/>
        </w:rPr>
      </w:pPr>
      <w:r>
        <w:rPr>
          <w:rFonts w:hint="eastAsia" w:ascii="宋体" w:hAnsi="宋体" w:eastAsia="宋体" w:cs="宋体"/>
          <w:color w:val="auto"/>
          <w:spacing w:val="-4"/>
          <w:highlight w:val="none"/>
        </w:rPr>
        <w:t>按照规定</w:t>
      </w:r>
      <w:r>
        <w:rPr>
          <w:rFonts w:hint="eastAsia" w:ascii="宋体" w:hAnsi="宋体" w:eastAsia="宋体" w:cs="宋体"/>
          <w:color w:val="auto"/>
          <w:highlight w:val="none"/>
        </w:rPr>
        <w:t>获取了招标文件，属于实质性参加本次采购活动的</w:t>
      </w:r>
      <w:r>
        <w:rPr>
          <w:rFonts w:hint="eastAsia" w:ascii="宋体" w:hAnsi="宋体" w:cs="宋体"/>
          <w:color w:val="auto"/>
          <w:highlight w:val="none"/>
          <w:lang w:eastAsia="zh-CN"/>
        </w:rPr>
        <w:t>投标人</w:t>
      </w:r>
      <w:r>
        <w:rPr>
          <w:rFonts w:hint="eastAsia" w:ascii="宋体" w:hAnsi="宋体" w:eastAsia="宋体" w:cs="宋体"/>
          <w:color w:val="auto"/>
          <w:highlight w:val="none"/>
        </w:rPr>
        <w:t>。</w:t>
      </w:r>
    </w:p>
    <w:p w14:paraId="7A023330">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对</w:t>
      </w:r>
      <w:r>
        <w:rPr>
          <w:rFonts w:hint="eastAsia" w:ascii="宋体" w:hAnsi="宋体" w:cs="宋体"/>
          <w:color w:val="auto"/>
          <w:highlight w:val="none"/>
          <w:lang w:eastAsia="zh-CN"/>
        </w:rPr>
        <w:t>投标人</w:t>
      </w:r>
      <w:r>
        <w:rPr>
          <w:rFonts w:hint="eastAsia" w:ascii="宋体" w:hAnsi="宋体" w:eastAsia="宋体" w:cs="宋体"/>
          <w:color w:val="auto"/>
          <w:highlight w:val="none"/>
        </w:rPr>
        <w:t>的限制</w:t>
      </w:r>
    </w:p>
    <w:p w14:paraId="7BED5CC6">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拒绝不良信用记录的</w:t>
      </w:r>
      <w:r>
        <w:rPr>
          <w:rFonts w:hint="eastAsia" w:ascii="宋体" w:hAnsi="宋体" w:cs="宋体"/>
          <w:color w:val="auto"/>
          <w:highlight w:val="none"/>
          <w:lang w:eastAsia="zh-CN"/>
        </w:rPr>
        <w:t>投标人</w:t>
      </w:r>
      <w:r>
        <w:rPr>
          <w:rFonts w:hint="eastAsia" w:ascii="宋体" w:hAnsi="宋体" w:eastAsia="宋体" w:cs="宋体"/>
          <w:color w:val="auto"/>
          <w:highlight w:val="none"/>
        </w:rPr>
        <w:t>参加本项目的采购活动。</w:t>
      </w:r>
    </w:p>
    <w:p w14:paraId="36CCE73D">
      <w:pPr>
        <w:pStyle w:val="114"/>
        <w:widowControl w:val="0"/>
        <w:numPr>
          <w:ilvl w:val="2"/>
          <w:numId w:val="5"/>
        </w:numPr>
        <w:shd w:val="clear"/>
        <w:adjustRightInd w:val="0"/>
        <w:snapToGrid w:val="0"/>
        <w:spacing w:line="312"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不良信用记录</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lang w:eastAsia="zh-CN"/>
        </w:rPr>
        <w:t>被</w:t>
      </w:r>
      <w:r>
        <w:rPr>
          <w:rFonts w:hint="eastAsia" w:ascii="宋体" w:hAnsi="宋体" w:eastAsia="宋体" w:cs="宋体"/>
          <w:color w:val="auto"/>
          <w:sz w:val="24"/>
          <w:szCs w:val="24"/>
          <w:highlight w:val="none"/>
        </w:rPr>
        <w:t>信用中国网站（www.creditchina.gov.cn）</w:t>
      </w:r>
      <w:r>
        <w:rPr>
          <w:rFonts w:hint="eastAsia" w:ascii="宋体" w:hAnsi="宋体" w:eastAsia="宋体" w:cs="宋体"/>
          <w:color w:val="auto"/>
          <w:sz w:val="24"/>
          <w:szCs w:val="24"/>
          <w:highlight w:val="none"/>
          <w:shd w:val="clear" w:color="auto" w:fill="FFFFFF"/>
        </w:rPr>
        <w:t>列入失信被执行人、重大税收违法案件当事人名单、政府采购严重违法失信名单</w:t>
      </w:r>
      <w:r>
        <w:rPr>
          <w:rFonts w:hint="eastAsia" w:ascii="宋体" w:hAnsi="宋体" w:eastAsia="宋体" w:cs="宋体"/>
          <w:color w:val="auto"/>
          <w:sz w:val="24"/>
          <w:szCs w:val="24"/>
          <w:highlight w:val="none"/>
          <w:shd w:val="clear" w:color="auto" w:fill="FFFFFF"/>
          <w:lang w:eastAsia="zh-CN"/>
        </w:rPr>
        <w:t>的，</w:t>
      </w:r>
      <w:r>
        <w:rPr>
          <w:rFonts w:hint="eastAsia" w:ascii="宋体" w:hAnsi="宋体" w:eastAsia="宋体" w:cs="宋体"/>
          <w:color w:val="auto"/>
          <w:sz w:val="24"/>
          <w:szCs w:val="24"/>
          <w:highlight w:val="none"/>
          <w:lang w:eastAsia="zh-CN"/>
        </w:rPr>
        <w:t>被</w:t>
      </w:r>
      <w:r>
        <w:rPr>
          <w:rFonts w:hint="eastAsia" w:ascii="宋体" w:hAnsi="宋体" w:eastAsia="宋体" w:cs="宋体"/>
          <w:color w:val="auto"/>
          <w:sz w:val="24"/>
          <w:szCs w:val="24"/>
          <w:highlight w:val="none"/>
        </w:rPr>
        <w:t>中国政府采购网（www.ccgp.gov.cn）</w:t>
      </w:r>
      <w:r>
        <w:rPr>
          <w:rFonts w:hint="eastAsia" w:ascii="宋体" w:hAnsi="宋体" w:eastAsia="宋体" w:cs="宋体"/>
          <w:color w:val="auto"/>
          <w:sz w:val="24"/>
          <w:szCs w:val="24"/>
          <w:highlight w:val="none"/>
          <w:shd w:val="clear" w:color="auto" w:fill="FFFFFF"/>
        </w:rPr>
        <w:t>列入政府采购严重违法失信行为</w:t>
      </w:r>
      <w:r>
        <w:rPr>
          <w:rFonts w:hint="eastAsia" w:ascii="宋体" w:hAnsi="宋体" w:eastAsia="宋体" w:cs="宋体"/>
          <w:color w:val="auto"/>
          <w:sz w:val="24"/>
          <w:szCs w:val="24"/>
          <w:highlight w:val="none"/>
          <w:shd w:val="clear" w:color="auto" w:fill="FFFFFF"/>
          <w:lang w:eastAsia="zh-CN"/>
        </w:rPr>
        <w:t>信用</w:t>
      </w:r>
      <w:r>
        <w:rPr>
          <w:rFonts w:hint="eastAsia" w:ascii="宋体" w:hAnsi="宋体" w:eastAsia="宋体" w:cs="宋体"/>
          <w:color w:val="auto"/>
          <w:sz w:val="24"/>
          <w:szCs w:val="24"/>
          <w:highlight w:val="none"/>
          <w:shd w:val="clear" w:color="auto" w:fill="FFFFFF"/>
        </w:rPr>
        <w:t>记录名单</w:t>
      </w:r>
      <w:r>
        <w:rPr>
          <w:rFonts w:hint="eastAsia" w:ascii="宋体" w:hAnsi="宋体" w:eastAsia="宋体" w:cs="宋体"/>
          <w:color w:val="auto"/>
          <w:sz w:val="24"/>
          <w:szCs w:val="24"/>
          <w:highlight w:val="none"/>
        </w:rPr>
        <w:t>且在处罚有效期内的</w:t>
      </w:r>
      <w:r>
        <w:rPr>
          <w:rFonts w:hint="eastAsia" w:ascii="宋体" w:hAnsi="宋体" w:eastAsia="宋体" w:cs="宋体"/>
          <w:color w:val="auto"/>
          <w:sz w:val="24"/>
          <w:szCs w:val="24"/>
          <w:highlight w:val="none"/>
          <w:lang w:eastAsia="zh-CN"/>
        </w:rPr>
        <w:t>（投标截止之日追溯三年）</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lang w:eastAsia="zh-CN"/>
        </w:rPr>
        <w:t>被</w:t>
      </w:r>
      <w:r>
        <w:rPr>
          <w:rFonts w:hint="eastAsia" w:ascii="宋体" w:hAnsi="宋体" w:eastAsia="宋体" w:cs="宋体"/>
          <w:color w:val="auto"/>
          <w:sz w:val="24"/>
          <w:szCs w:val="24"/>
          <w:highlight w:val="none"/>
        </w:rPr>
        <w:t>浙江政府采购网（zfcg.czt.zj.gov.cn）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曝光台曝光且在处罚有效期内的</w:t>
      </w:r>
      <w:r>
        <w:rPr>
          <w:rFonts w:hint="eastAsia" w:ascii="宋体" w:hAnsi="宋体" w:eastAsia="宋体" w:cs="宋体"/>
          <w:color w:val="auto"/>
          <w:sz w:val="24"/>
          <w:szCs w:val="24"/>
          <w:highlight w:val="none"/>
          <w:lang w:eastAsia="zh-CN"/>
        </w:rPr>
        <w:t>（投标截止之日追溯三年）以</w:t>
      </w:r>
      <w:r>
        <w:rPr>
          <w:rFonts w:hint="eastAsia" w:ascii="宋体" w:hAnsi="宋体" w:eastAsia="宋体" w:cs="宋体"/>
          <w:color w:val="auto"/>
          <w:sz w:val="24"/>
          <w:szCs w:val="24"/>
          <w:highlight w:val="none"/>
          <w:shd w:val="clear" w:color="auto" w:fill="FFFFFF"/>
        </w:rPr>
        <w:t>及其他不符合</w:t>
      </w:r>
      <w:r>
        <w:rPr>
          <w:rFonts w:hint="eastAsia" w:ascii="宋体" w:hAnsi="宋体" w:eastAsia="宋体" w:cs="宋体"/>
          <w:color w:val="auto"/>
          <w:sz w:val="24"/>
          <w:szCs w:val="24"/>
          <w:highlight w:val="none"/>
          <w:shd w:val="clear" w:color="auto" w:fill="FFFFFF"/>
          <w:lang w:eastAsia="zh-CN"/>
        </w:rPr>
        <w:t>《龙游县国有企业采购管理办法》（龙政办发〔2021〕58号）第十二条</w:t>
      </w:r>
      <w:r>
        <w:rPr>
          <w:rFonts w:hint="eastAsia" w:ascii="宋体" w:hAnsi="宋体" w:eastAsia="宋体" w:cs="宋体"/>
          <w:color w:val="auto"/>
          <w:sz w:val="24"/>
          <w:szCs w:val="24"/>
          <w:highlight w:val="none"/>
          <w:shd w:val="clear" w:color="auto" w:fill="FFFFFF"/>
        </w:rPr>
        <w:t>条件的</w:t>
      </w:r>
      <w:r>
        <w:rPr>
          <w:rFonts w:hint="eastAsia" w:ascii="宋体" w:hAnsi="宋体" w:cs="宋体"/>
          <w:color w:val="auto"/>
          <w:sz w:val="24"/>
          <w:szCs w:val="24"/>
          <w:highlight w:val="none"/>
          <w:shd w:val="clear" w:color="auto" w:fill="FFFFFF"/>
          <w:lang w:eastAsia="zh-CN"/>
        </w:rPr>
        <w:t>投标人</w:t>
      </w:r>
      <w:r>
        <w:rPr>
          <w:rFonts w:hint="eastAsia" w:ascii="宋体" w:hAnsi="宋体" w:eastAsia="宋体" w:cs="宋体"/>
          <w:color w:val="auto"/>
          <w:sz w:val="24"/>
          <w:szCs w:val="24"/>
          <w:highlight w:val="none"/>
          <w:shd w:val="clear" w:color="auto" w:fill="FFFFFF"/>
          <w:lang w:eastAsia="zh-CN"/>
        </w:rPr>
        <w:t>。</w:t>
      </w:r>
    </w:p>
    <w:p w14:paraId="235042E1">
      <w:pPr>
        <w:pStyle w:val="114"/>
        <w:widowControl w:val="0"/>
        <w:numPr>
          <w:ilvl w:val="2"/>
          <w:numId w:val="5"/>
        </w:numPr>
        <w:shd w:val="clear"/>
        <w:adjustRightInd w:val="0"/>
        <w:snapToGrid w:val="0"/>
        <w:spacing w:line="312"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信用记录</w:t>
      </w:r>
    </w:p>
    <w:p w14:paraId="0AED96F0">
      <w:pPr>
        <w:pStyle w:val="37"/>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信用信息查询。根据《关于在政府采购活动中查询及使用信用记录有关问题的通知》（财库〔2016〕125号）的要求，通过信用中国网站（www.creditchina.gov.cn）、中国政府采购网（www.ccgp.gov.cn）、浙江政府采购网（zfcg.czt.zj.gov.cn）等渠道查询。</w:t>
      </w:r>
    </w:p>
    <w:p w14:paraId="75A2289E">
      <w:pPr>
        <w:pStyle w:val="37"/>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截止时点。投标截止时间。</w:t>
      </w:r>
    </w:p>
    <w:p w14:paraId="4C5B8341">
      <w:pPr>
        <w:pStyle w:val="37"/>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信用信息查询记录和证据留存的方式。采购代理机构经办人将查询网页打印与其他采购文件一并保存。</w:t>
      </w:r>
    </w:p>
    <w:p w14:paraId="652E2930">
      <w:pPr>
        <w:pStyle w:val="37"/>
        <w:widowControl w:val="0"/>
        <w:numPr>
          <w:ilvl w:val="0"/>
          <w:numId w:val="6"/>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信用信息的使用规则。被列入失信被执行人、重大税收违法案件当事人名单、国企或政府采购严重违法失信行为记录名单及其他不符合《龙游县国有企业采购管理办法》（龙政办发〔2021〕58号）第十二条条件的</w:t>
      </w:r>
      <w:r>
        <w:rPr>
          <w:rFonts w:hint="eastAsia" w:ascii="宋体" w:hAnsi="宋体" w:cs="宋体"/>
          <w:color w:val="auto"/>
          <w:highlight w:val="none"/>
          <w:lang w:eastAsia="zh-CN"/>
        </w:rPr>
        <w:t>投标人</w:t>
      </w:r>
      <w:r>
        <w:rPr>
          <w:rFonts w:hint="eastAsia" w:ascii="宋体" w:hAnsi="宋体" w:eastAsia="宋体" w:cs="宋体"/>
          <w:color w:val="auto"/>
          <w:highlight w:val="none"/>
        </w:rPr>
        <w:t>，拒绝参与本次采购活动。</w:t>
      </w:r>
    </w:p>
    <w:p w14:paraId="75B3B027">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单位负责人为同一人或者存在直接控股、管理关系的不同</w:t>
      </w:r>
      <w:r>
        <w:rPr>
          <w:rFonts w:hint="eastAsia" w:ascii="宋体" w:hAnsi="宋体" w:cs="宋体"/>
          <w:color w:val="auto"/>
          <w:highlight w:val="none"/>
          <w:shd w:val="clear" w:color="auto" w:fill="FFFFFF"/>
          <w:lang w:eastAsia="zh-CN"/>
        </w:rPr>
        <w:t>投标人</w:t>
      </w:r>
      <w:r>
        <w:rPr>
          <w:rFonts w:hint="eastAsia" w:ascii="宋体" w:hAnsi="宋体" w:eastAsia="宋体" w:cs="宋体"/>
          <w:color w:val="auto"/>
          <w:highlight w:val="none"/>
          <w:shd w:val="clear" w:color="auto" w:fill="FFFFFF"/>
        </w:rPr>
        <w:t>，不得参加同一合同项下的采购活动。</w:t>
      </w:r>
    </w:p>
    <w:p w14:paraId="1224CC75">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采购活动中，采购人员及相关人员与</w:t>
      </w:r>
      <w:r>
        <w:rPr>
          <w:rFonts w:hint="eastAsia" w:ascii="宋体" w:hAnsi="宋体" w:cs="宋体"/>
          <w:color w:val="auto"/>
          <w:highlight w:val="none"/>
          <w:lang w:eastAsia="zh-CN"/>
        </w:rPr>
        <w:t>投标人</w:t>
      </w:r>
      <w:r>
        <w:rPr>
          <w:rFonts w:hint="eastAsia" w:ascii="宋体" w:hAnsi="宋体" w:eastAsia="宋体" w:cs="宋体"/>
          <w:color w:val="auto"/>
          <w:highlight w:val="none"/>
        </w:rPr>
        <w:t>有下列利害关系之一的，应当回避：</w:t>
      </w:r>
    </w:p>
    <w:p w14:paraId="2DE2ECBF">
      <w:pPr>
        <w:pStyle w:val="37"/>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参加采购活动前3年内与</w:t>
      </w:r>
      <w:r>
        <w:rPr>
          <w:rFonts w:hint="eastAsia" w:ascii="宋体" w:hAnsi="宋体" w:cs="宋体"/>
          <w:color w:val="auto"/>
          <w:highlight w:val="none"/>
          <w:lang w:eastAsia="zh-CN"/>
        </w:rPr>
        <w:t>投标人</w:t>
      </w:r>
      <w:r>
        <w:rPr>
          <w:rFonts w:hint="eastAsia" w:ascii="宋体" w:hAnsi="宋体" w:eastAsia="宋体" w:cs="宋体"/>
          <w:color w:val="auto"/>
          <w:highlight w:val="none"/>
        </w:rPr>
        <w:t>存在劳动关系；</w:t>
      </w:r>
    </w:p>
    <w:p w14:paraId="00CD84E1">
      <w:pPr>
        <w:pStyle w:val="37"/>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参加采购活动前3年内担任</w:t>
      </w:r>
      <w:r>
        <w:rPr>
          <w:rFonts w:hint="eastAsia" w:ascii="宋体" w:hAnsi="宋体" w:cs="宋体"/>
          <w:color w:val="auto"/>
          <w:highlight w:val="none"/>
          <w:lang w:eastAsia="zh-CN"/>
        </w:rPr>
        <w:t>投标人</w:t>
      </w:r>
      <w:r>
        <w:rPr>
          <w:rFonts w:hint="eastAsia" w:ascii="宋体" w:hAnsi="宋体" w:eastAsia="宋体" w:cs="宋体"/>
          <w:color w:val="auto"/>
          <w:highlight w:val="none"/>
        </w:rPr>
        <w:t>的董事、监事；</w:t>
      </w:r>
    </w:p>
    <w:p w14:paraId="13D4394B">
      <w:pPr>
        <w:pStyle w:val="37"/>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参加采购活动前3年内是</w:t>
      </w:r>
      <w:r>
        <w:rPr>
          <w:rFonts w:hint="eastAsia" w:ascii="宋体" w:hAnsi="宋体" w:cs="宋体"/>
          <w:color w:val="auto"/>
          <w:highlight w:val="none"/>
          <w:lang w:eastAsia="zh-CN"/>
        </w:rPr>
        <w:t>投标人</w:t>
      </w:r>
      <w:r>
        <w:rPr>
          <w:rFonts w:hint="eastAsia" w:ascii="宋体" w:hAnsi="宋体" w:eastAsia="宋体" w:cs="宋体"/>
          <w:color w:val="auto"/>
          <w:highlight w:val="none"/>
        </w:rPr>
        <w:t>的控股股东或者实际控制人；</w:t>
      </w:r>
    </w:p>
    <w:p w14:paraId="64C548A3">
      <w:pPr>
        <w:pStyle w:val="37"/>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与</w:t>
      </w:r>
      <w:r>
        <w:rPr>
          <w:rFonts w:hint="eastAsia" w:ascii="宋体" w:hAnsi="宋体" w:cs="宋体"/>
          <w:color w:val="auto"/>
          <w:highlight w:val="none"/>
          <w:lang w:eastAsia="zh-CN"/>
        </w:rPr>
        <w:t>投标人</w:t>
      </w:r>
      <w:r>
        <w:rPr>
          <w:rFonts w:hint="eastAsia" w:ascii="宋体" w:hAnsi="宋体" w:eastAsia="宋体" w:cs="宋体"/>
          <w:color w:val="auto"/>
          <w:highlight w:val="none"/>
        </w:rPr>
        <w:t>的法定代表人或者负责人有夫妻、直系血亲、三代以内旁系血亲或者近姻亲关系；</w:t>
      </w:r>
    </w:p>
    <w:p w14:paraId="52354C53">
      <w:pPr>
        <w:pStyle w:val="37"/>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存在共同直接或间接投资设立子公司、联营企业和合营企业情况；</w:t>
      </w:r>
    </w:p>
    <w:p w14:paraId="28F047A3">
      <w:pPr>
        <w:pStyle w:val="37"/>
        <w:widowControl w:val="0"/>
        <w:numPr>
          <w:ilvl w:val="2"/>
          <w:numId w:val="4"/>
        </w:numPr>
        <w:shd w:val="clear"/>
        <w:tabs>
          <w:tab w:val="clear" w:pos="0"/>
        </w:tabs>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与</w:t>
      </w:r>
      <w:r>
        <w:rPr>
          <w:rFonts w:hint="eastAsia" w:ascii="宋体" w:hAnsi="宋体" w:cs="宋体"/>
          <w:color w:val="auto"/>
          <w:highlight w:val="none"/>
          <w:lang w:eastAsia="zh-CN"/>
        </w:rPr>
        <w:t>投标人</w:t>
      </w:r>
      <w:r>
        <w:rPr>
          <w:rFonts w:hint="eastAsia" w:ascii="宋体" w:hAnsi="宋体" w:eastAsia="宋体" w:cs="宋体"/>
          <w:color w:val="auto"/>
          <w:highlight w:val="none"/>
        </w:rPr>
        <w:t>有其他可能影响采购活动公平、公正进行的关系。</w:t>
      </w:r>
    </w:p>
    <w:p w14:paraId="1182D551">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14:paraId="4E738C73">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认为采购人员及相关人员与其他</w:t>
      </w:r>
      <w:r>
        <w:rPr>
          <w:rFonts w:hint="eastAsia" w:ascii="宋体" w:hAnsi="宋体" w:cs="宋体"/>
          <w:color w:val="auto"/>
          <w:highlight w:val="none"/>
          <w:lang w:eastAsia="zh-CN"/>
        </w:rPr>
        <w:t>投标人</w:t>
      </w:r>
      <w:r>
        <w:rPr>
          <w:rFonts w:hint="eastAsia" w:ascii="宋体" w:hAnsi="宋体" w:eastAsia="宋体" w:cs="宋体"/>
          <w:color w:val="auto"/>
          <w:highlight w:val="none"/>
        </w:rPr>
        <w:t>有利害关系的，可以向采购代理机构书面提出回避申请，并说明理由。采购代理机构将及时询问被申请回避人员，有利害关系的被申请回避人员应当回避。</w:t>
      </w:r>
    </w:p>
    <w:p w14:paraId="0DDB178A">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资格审查</w:t>
      </w:r>
    </w:p>
    <w:p w14:paraId="26B86459">
      <w:pPr>
        <w:pStyle w:val="37"/>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本次</w:t>
      </w:r>
      <w:r>
        <w:rPr>
          <w:rFonts w:hint="eastAsia" w:ascii="宋体" w:hAnsi="宋体" w:eastAsia="宋体" w:cs="宋体"/>
          <w:color w:val="auto"/>
          <w:highlight w:val="none"/>
          <w:lang w:val="zh-CN"/>
        </w:rPr>
        <w:t>采取</w:t>
      </w:r>
      <w:r>
        <w:rPr>
          <w:rFonts w:hint="eastAsia" w:ascii="宋体" w:hAnsi="宋体" w:eastAsia="宋体" w:cs="宋体"/>
          <w:color w:val="auto"/>
          <w:highlight w:val="none"/>
        </w:rPr>
        <w:t>资格后审，采购组织机构不保证所有</w:t>
      </w:r>
      <w:r>
        <w:rPr>
          <w:rFonts w:hint="eastAsia" w:ascii="宋体" w:hAnsi="宋体" w:cs="宋体"/>
          <w:color w:val="auto"/>
          <w:highlight w:val="none"/>
          <w:lang w:val="en-US" w:eastAsia="zh-CN"/>
        </w:rPr>
        <w:t>获取</w:t>
      </w:r>
      <w:r>
        <w:rPr>
          <w:rFonts w:hint="eastAsia" w:ascii="宋体" w:hAnsi="宋体" w:eastAsia="宋体" w:cs="宋体"/>
          <w:color w:val="auto"/>
          <w:highlight w:val="none"/>
        </w:rPr>
        <w:t>招标文件的</w:t>
      </w:r>
      <w:r>
        <w:rPr>
          <w:rFonts w:hint="eastAsia" w:ascii="宋体" w:hAnsi="宋体" w:cs="宋体"/>
          <w:color w:val="auto"/>
          <w:highlight w:val="none"/>
          <w:lang w:eastAsia="zh-CN"/>
        </w:rPr>
        <w:t>投标人</w:t>
      </w:r>
      <w:r>
        <w:rPr>
          <w:rFonts w:hint="eastAsia" w:ascii="宋体" w:hAnsi="宋体" w:eastAsia="宋体" w:cs="宋体"/>
          <w:color w:val="auto"/>
          <w:highlight w:val="none"/>
        </w:rPr>
        <w:t>都符合合格</w:t>
      </w:r>
      <w:r>
        <w:rPr>
          <w:rFonts w:hint="eastAsia" w:ascii="宋体" w:hAnsi="宋体" w:cs="宋体"/>
          <w:color w:val="auto"/>
          <w:highlight w:val="none"/>
          <w:lang w:eastAsia="zh-CN"/>
        </w:rPr>
        <w:t>投标人</w:t>
      </w:r>
      <w:r>
        <w:rPr>
          <w:rFonts w:hint="eastAsia" w:ascii="宋体" w:hAnsi="宋体" w:eastAsia="宋体" w:cs="宋体"/>
          <w:color w:val="auto"/>
          <w:highlight w:val="none"/>
        </w:rPr>
        <w:t>资格要求。</w:t>
      </w:r>
    </w:p>
    <w:p w14:paraId="42E418B1">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bCs/>
          <w:color w:val="auto"/>
          <w:highlight w:val="none"/>
        </w:rPr>
      </w:pPr>
      <w:r>
        <w:rPr>
          <w:rFonts w:hint="eastAsia" w:ascii="宋体" w:hAnsi="宋体" w:eastAsia="宋体" w:cs="宋体"/>
          <w:bCs/>
          <w:color w:val="auto"/>
          <w:highlight w:val="none"/>
        </w:rPr>
        <w:t>语言文字</w:t>
      </w:r>
    </w:p>
    <w:p w14:paraId="0DC39ECA">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投标文件以及</w:t>
      </w:r>
      <w:r>
        <w:rPr>
          <w:rFonts w:hint="eastAsia" w:ascii="宋体" w:hAnsi="宋体" w:cs="宋体"/>
          <w:color w:val="auto"/>
          <w:highlight w:val="none"/>
          <w:lang w:eastAsia="zh-CN"/>
        </w:rPr>
        <w:t>投标人</w:t>
      </w:r>
      <w:r>
        <w:rPr>
          <w:rFonts w:hint="eastAsia" w:ascii="宋体" w:hAnsi="宋体" w:eastAsia="宋体" w:cs="宋体"/>
          <w:color w:val="auto"/>
          <w:highlight w:val="none"/>
        </w:rPr>
        <w:t>与采购人就有关响应事宜的所有来往函电，均应以中文汉语书写。除签名、盖章、专用名称等特殊情形外，以中文汉语以外的文字表述的投标文件视同未提供。</w:t>
      </w:r>
    </w:p>
    <w:p w14:paraId="58D8FFE5">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外文专用术语应附有中文注释。投标文件及相关往来文件中有外文资料的（如质疑函、进口产品厂商授权书等），资料提供方应当将其翻译为中文，注明翻译人员姓名、工作单位、联系方式等信息，并对译文的完整性、客观性、真实性负责。</w:t>
      </w:r>
    </w:p>
    <w:p w14:paraId="6314E908">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bCs/>
          <w:color w:val="auto"/>
          <w:highlight w:val="none"/>
        </w:rPr>
        <w:t>计量单位</w:t>
      </w:r>
    </w:p>
    <w:p w14:paraId="368C401A">
      <w:pPr>
        <w:pStyle w:val="37"/>
        <w:widowControl w:val="0"/>
        <w:shd w:val="clear"/>
        <w:adjustRightInd w:val="0"/>
        <w:snapToGrid w:val="0"/>
        <w:spacing w:line="312" w:lineRule="auto"/>
        <w:ind w:firstLine="48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除招标文件另有规定外，计量均应采用中华人民共和国法定计量单位；所有报价一律使用人民币，货币单位为“元”。</w:t>
      </w:r>
    </w:p>
    <w:p w14:paraId="7C02470B">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保密</w:t>
      </w:r>
    </w:p>
    <w:p w14:paraId="3C60F1C1">
      <w:pPr>
        <w:pStyle w:val="37"/>
        <w:widowControl w:val="0"/>
        <w:shd w:val="clear"/>
        <w:tabs>
          <w:tab w:val="left" w:pos="0"/>
        </w:tabs>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参与招标的当事人应对招标文件和投标文件中的商业和技术等秘密保密，违者应对由此造成的后果承担法律责任。</w:t>
      </w:r>
    </w:p>
    <w:p w14:paraId="4E200A17">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投标费用</w:t>
      </w:r>
    </w:p>
    <w:p w14:paraId="54D95937">
      <w:pPr>
        <w:pStyle w:val="37"/>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不论投标的结果如何，</w:t>
      </w:r>
      <w:r>
        <w:rPr>
          <w:rFonts w:hint="eastAsia" w:ascii="宋体" w:hAnsi="宋体" w:cs="宋体"/>
          <w:color w:val="auto"/>
          <w:highlight w:val="none"/>
          <w:lang w:eastAsia="zh-CN"/>
        </w:rPr>
        <w:t>投标人</w:t>
      </w:r>
      <w:r>
        <w:rPr>
          <w:rFonts w:hint="eastAsia" w:ascii="宋体" w:hAnsi="宋体" w:eastAsia="宋体" w:cs="宋体"/>
          <w:color w:val="auto"/>
          <w:highlight w:val="none"/>
        </w:rPr>
        <w:t>均自行承担所有与参加本次投标有关的费用。</w:t>
      </w:r>
    </w:p>
    <w:p w14:paraId="602F1A45">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投标有效期</w:t>
      </w:r>
    </w:p>
    <w:p w14:paraId="3EB7A7CF">
      <w:pPr>
        <w:pStyle w:val="114"/>
        <w:widowControl w:val="0"/>
        <w:numPr>
          <w:ilvl w:val="1"/>
          <w:numId w:val="7"/>
        </w:numPr>
        <w:shd w:val="clear"/>
        <w:adjustRightInd w:val="0"/>
        <w:snapToGrid w:val="0"/>
        <w:spacing w:line="312"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须知前附表规定的投标有效期内，投标文件以及其补充、承诺等部分均保持有效。</w:t>
      </w:r>
    </w:p>
    <w:p w14:paraId="06ED9846">
      <w:pPr>
        <w:pStyle w:val="114"/>
        <w:widowControl w:val="0"/>
        <w:numPr>
          <w:ilvl w:val="1"/>
          <w:numId w:val="7"/>
        </w:numPr>
        <w:shd w:val="clear"/>
        <w:adjustRightInd w:val="0"/>
        <w:snapToGrid w:val="0"/>
        <w:spacing w:line="312"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在招标文件规定的投标文件有效期满之前，如果出现特殊情况，采购人或者采购代理机构可在投标有效期内要求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延长有效期，要求与答复均以书面通知为准并作为招标文件和投标文件的组成部分。</w:t>
      </w:r>
    </w:p>
    <w:p w14:paraId="04A8CCD4">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分包与转包</w:t>
      </w:r>
    </w:p>
    <w:p w14:paraId="0796CE84">
      <w:pPr>
        <w:pStyle w:val="114"/>
        <w:widowControl w:val="0"/>
        <w:shd w:val="clear"/>
        <w:tabs>
          <w:tab w:val="left" w:pos="0"/>
        </w:tabs>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14:paraId="39FEF692">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现场勘查</w:t>
      </w:r>
    </w:p>
    <w:p w14:paraId="47784F8E">
      <w:pPr>
        <w:pStyle w:val="37"/>
        <w:widowControl w:val="0"/>
        <w:shd w:val="clear"/>
        <w:adjustRightInd w:val="0"/>
        <w:snapToGrid w:val="0"/>
        <w:spacing w:line="312" w:lineRule="auto"/>
        <w:ind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自行</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以获取有关编制投标文件和签署合同所涉及现场的资料，但需经采购人允许方可为勘察目的进入采购人的项目现场。不得因</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而使采购人承担有关的责任和蒙受损失，</w:t>
      </w:r>
      <w:r>
        <w:rPr>
          <w:rFonts w:hint="eastAsia" w:ascii="宋体" w:hAnsi="宋体" w:cs="宋体"/>
          <w:color w:val="auto"/>
          <w:highlight w:val="none"/>
          <w:lang w:eastAsia="zh-CN"/>
        </w:rPr>
        <w:t>投标人</w:t>
      </w:r>
      <w:r>
        <w:rPr>
          <w:rFonts w:hint="eastAsia" w:ascii="宋体" w:hAnsi="宋体" w:eastAsia="宋体" w:cs="宋体"/>
          <w:color w:val="auto"/>
          <w:highlight w:val="none"/>
        </w:rPr>
        <w:t>应承担</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的责任和风险以及承担</w:t>
      </w:r>
      <w:r>
        <w:rPr>
          <w:rFonts w:hint="eastAsia" w:ascii="宋体" w:hAnsi="宋体" w:eastAsia="宋体" w:cs="宋体"/>
          <w:color w:val="auto"/>
          <w:highlight w:val="none"/>
          <w:lang w:eastAsia="zh-CN"/>
        </w:rPr>
        <w:t>勘查现场</w:t>
      </w:r>
      <w:r>
        <w:rPr>
          <w:rFonts w:hint="eastAsia" w:ascii="宋体" w:hAnsi="宋体" w:eastAsia="宋体" w:cs="宋体"/>
          <w:color w:val="auto"/>
          <w:highlight w:val="none"/>
        </w:rPr>
        <w:t>所发生的费用。</w:t>
      </w:r>
    </w:p>
    <w:p w14:paraId="5B39AD56">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知识产权</w:t>
      </w:r>
    </w:p>
    <w:p w14:paraId="1A08171F">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应保证在本项目使用的任何产品和服务（包括部分使用）时，不会侵犯第三方</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专利权、商标权</w:t>
      </w:r>
      <w:r>
        <w:rPr>
          <w:rFonts w:hint="eastAsia" w:ascii="宋体" w:hAnsi="宋体" w:eastAsia="宋体" w:cs="宋体"/>
          <w:color w:val="auto"/>
          <w:highlight w:val="none"/>
          <w:lang w:eastAsia="zh-CN"/>
        </w:rPr>
        <w:t>或其他</w:t>
      </w:r>
      <w:r>
        <w:rPr>
          <w:rFonts w:hint="eastAsia" w:ascii="宋体" w:hAnsi="宋体" w:eastAsia="宋体" w:cs="宋体"/>
          <w:color w:val="auto"/>
          <w:highlight w:val="none"/>
        </w:rPr>
        <w:t>知识产权，否则因此引起的法律和经济纠纷，由</w:t>
      </w:r>
      <w:r>
        <w:rPr>
          <w:rFonts w:hint="eastAsia" w:ascii="宋体" w:hAnsi="宋体" w:cs="宋体"/>
          <w:color w:val="auto"/>
          <w:highlight w:val="none"/>
          <w:lang w:eastAsia="zh-CN"/>
        </w:rPr>
        <w:t>投标人</w:t>
      </w:r>
      <w:r>
        <w:rPr>
          <w:rFonts w:hint="eastAsia" w:ascii="宋体" w:hAnsi="宋体" w:eastAsia="宋体" w:cs="宋体"/>
          <w:color w:val="auto"/>
          <w:highlight w:val="none"/>
        </w:rPr>
        <w:t>按其过错承担所有相关责任。</w:t>
      </w:r>
    </w:p>
    <w:p w14:paraId="2D0FBC68">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为采购人在本项目中定制化的工作成果所涉知识产权归属于采购人。</w:t>
      </w:r>
      <w:r>
        <w:rPr>
          <w:rFonts w:hint="eastAsia" w:ascii="宋体" w:hAnsi="宋体" w:cs="宋体"/>
          <w:color w:val="auto"/>
          <w:highlight w:val="none"/>
          <w:lang w:eastAsia="zh-CN"/>
        </w:rPr>
        <w:t>投标人</w:t>
      </w:r>
      <w:r>
        <w:rPr>
          <w:rFonts w:hint="eastAsia" w:ascii="宋体" w:hAnsi="宋体" w:eastAsia="宋体" w:cs="宋体"/>
          <w:color w:val="auto"/>
          <w:highlight w:val="none"/>
        </w:rPr>
        <w:t>为本项目而使用的工具、软件、系统、代码、文档、图表等知识产权及产权均归属于</w:t>
      </w:r>
      <w:r>
        <w:rPr>
          <w:rFonts w:hint="eastAsia" w:ascii="宋体" w:hAnsi="宋体" w:cs="宋体"/>
          <w:color w:val="auto"/>
          <w:highlight w:val="none"/>
          <w:lang w:eastAsia="zh-CN"/>
        </w:rPr>
        <w:t>中标人</w:t>
      </w:r>
      <w:r>
        <w:rPr>
          <w:rFonts w:hint="eastAsia" w:ascii="宋体" w:hAnsi="宋体" w:eastAsia="宋体" w:cs="宋体"/>
          <w:color w:val="auto"/>
          <w:highlight w:val="none"/>
        </w:rPr>
        <w:t>或权利人，采购人可为本项目之目的在本合同有效期内非独占、</w:t>
      </w:r>
      <w:r>
        <w:rPr>
          <w:rFonts w:hint="eastAsia" w:ascii="宋体" w:hAnsi="宋体" w:eastAsia="宋体" w:cs="宋体"/>
          <w:color w:val="auto"/>
          <w:highlight w:val="none"/>
          <w:lang w:eastAsia="zh-CN"/>
        </w:rPr>
        <w:t>非排他性</w:t>
      </w:r>
      <w:r>
        <w:rPr>
          <w:rFonts w:hint="eastAsia" w:ascii="宋体" w:hAnsi="宋体" w:eastAsia="宋体" w:cs="宋体"/>
          <w:color w:val="auto"/>
          <w:highlight w:val="none"/>
        </w:rPr>
        <w:t>使用。</w:t>
      </w:r>
    </w:p>
    <w:p w14:paraId="6538129F">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如采用</w:t>
      </w:r>
      <w:r>
        <w:rPr>
          <w:rFonts w:hint="eastAsia" w:ascii="宋体" w:hAnsi="宋体" w:cs="宋体"/>
          <w:color w:val="auto"/>
          <w:highlight w:val="none"/>
          <w:lang w:eastAsia="zh-CN"/>
        </w:rPr>
        <w:t>投标人</w:t>
      </w:r>
      <w:r>
        <w:rPr>
          <w:rFonts w:hint="eastAsia" w:ascii="宋体" w:hAnsi="宋体" w:eastAsia="宋体" w:cs="宋体"/>
          <w:color w:val="auto"/>
          <w:highlight w:val="none"/>
        </w:rPr>
        <w:t>所不拥有的知识产权，则在投标报价中必须包括合法获取该知识产权的相关费用。</w:t>
      </w:r>
    </w:p>
    <w:p w14:paraId="6672CA04">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联合体投标</w:t>
      </w:r>
    </w:p>
    <w:p w14:paraId="6E4FB63B">
      <w:pPr>
        <w:snapToGrid w:val="0"/>
        <w:spacing w:line="303"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rPr>
        <w:t>投标须知前附表</w:t>
      </w:r>
      <w:r>
        <w:rPr>
          <w:rFonts w:hint="eastAsia" w:ascii="宋体" w:hAnsi="宋体" w:cs="宋体"/>
          <w:color w:val="auto"/>
          <w:kern w:val="0"/>
          <w:highlight w:val="none"/>
          <w:lang w:val="zh-CN"/>
        </w:rPr>
        <w:t>规定接受联合体投标的，还应遵守以下规定：</w:t>
      </w:r>
    </w:p>
    <w:p w14:paraId="0E46A7EC">
      <w:pPr>
        <w:snapToGrid w:val="0"/>
        <w:spacing w:line="303" w:lineRule="auto"/>
        <w:ind w:firstLine="480"/>
        <w:jc w:val="left"/>
        <w:rPr>
          <w:rFonts w:ascii="宋体" w:hAnsi="宋体" w:cs="宋体"/>
          <w:color w:val="auto"/>
          <w:kern w:val="0"/>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zh-CN"/>
        </w:rPr>
        <w:t>）联合体各方应按招标文件提供的格式签订联合体协议书，明确联合体牵头人和各方权利义务；</w:t>
      </w:r>
    </w:p>
    <w:p w14:paraId="0F3847C3">
      <w:pPr>
        <w:snapToGrid w:val="0"/>
        <w:spacing w:line="303" w:lineRule="auto"/>
        <w:ind w:firstLine="480"/>
        <w:jc w:val="left"/>
        <w:rPr>
          <w:rFonts w:ascii="宋体" w:hAnsi="宋体" w:cs="宋体"/>
          <w:color w:val="auto"/>
          <w:kern w:val="0"/>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）联合体各方不得再以自己名义单独或参加其他联合体在本招标项目中投标</w:t>
      </w:r>
      <w:r>
        <w:rPr>
          <w:rFonts w:hint="eastAsia" w:ascii="宋体" w:hAnsi="宋体" w:cs="宋体"/>
          <w:color w:val="auto"/>
          <w:kern w:val="0"/>
          <w:highlight w:val="none"/>
        </w:rPr>
        <w:t>。</w:t>
      </w:r>
    </w:p>
    <w:p w14:paraId="0A96A6DF">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特别说明</w:t>
      </w:r>
    </w:p>
    <w:p w14:paraId="1FFA5D2F">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应仔细阅读招标文件的所有内容，按照招标文件的要求提交投标文件，并对所提供的全部资料的真实性承担法律责任。</w:t>
      </w:r>
    </w:p>
    <w:p w14:paraId="566DC2D4">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2F8595D8">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bookmarkStart w:id="423" w:name="_Toc27436"/>
      <w:bookmarkStart w:id="424" w:name="_Toc452528600"/>
      <w:bookmarkStart w:id="425" w:name="_Toc14228"/>
      <w:bookmarkStart w:id="426" w:name="_Toc496962945"/>
      <w:bookmarkStart w:id="427" w:name="_Toc361434895"/>
      <w:bookmarkStart w:id="428" w:name="_Toc6035"/>
      <w:bookmarkStart w:id="429" w:name="_Toc361434559"/>
      <w:bookmarkStart w:id="430" w:name="_Toc361434799"/>
      <w:bookmarkStart w:id="431" w:name="_Toc101321791"/>
      <w:bookmarkStart w:id="432" w:name="_Toc14280"/>
      <w:bookmarkStart w:id="433" w:name="_Toc361434460"/>
      <w:bookmarkStart w:id="434" w:name="_Toc4362"/>
      <w:bookmarkStart w:id="435" w:name="_Toc12781"/>
      <w:bookmarkStart w:id="436" w:name="_Toc23248"/>
      <w:bookmarkStart w:id="437" w:name="_Toc361437145"/>
      <w:bookmarkStart w:id="438" w:name="_Toc1747"/>
      <w:bookmarkStart w:id="439" w:name="_Toc38"/>
      <w:bookmarkStart w:id="440" w:name="_Toc10567"/>
      <w:bookmarkStart w:id="441" w:name="_Toc4333"/>
      <w:bookmarkStart w:id="442" w:name="_Toc9389"/>
      <w:bookmarkStart w:id="443" w:name="_Toc28916"/>
      <w:r>
        <w:rPr>
          <w:rFonts w:hint="eastAsia" w:ascii="宋体" w:hAnsi="宋体" w:eastAsia="宋体" w:cs="宋体"/>
          <w:color w:val="auto"/>
          <w:highlight w:val="none"/>
        </w:rPr>
        <w:t>单位负责人为同一人或者存在直接控股、管理关系的不同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，不得参加本项目的政府采购活动。</w:t>
      </w:r>
    </w:p>
    <w:p w14:paraId="2A3D16CE">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政府采购货物和服务招标投标管理办法（财政部令第87号）第31条规定：使用综合评分法的采购项目，提供相同品牌产品且通过资格审查、符合性审查的不同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参加同一合同项下投标的，按一家</w:t>
      </w:r>
      <w:r>
        <w:rPr>
          <w:rFonts w:hint="eastAsia" w:ascii="宋体" w:hAnsi="宋体" w:cs="宋体"/>
          <w:color w:val="auto"/>
          <w:highlight w:val="none"/>
          <w:lang w:eastAsia="zh-CN"/>
        </w:rPr>
        <w:t>投标人</w:t>
      </w:r>
      <w:r>
        <w:rPr>
          <w:rFonts w:hint="eastAsia" w:ascii="宋体" w:hAnsi="宋体" w:eastAsia="宋体" w:cs="宋体"/>
          <w:color w:val="auto"/>
          <w:highlight w:val="none"/>
        </w:rPr>
        <w:t>计算，评审后得分最高的同品牌</w:t>
      </w:r>
      <w:r>
        <w:rPr>
          <w:rFonts w:hint="eastAsia" w:ascii="宋体" w:hAnsi="宋体" w:cs="宋体"/>
          <w:color w:val="auto"/>
          <w:highlight w:val="none"/>
          <w:lang w:eastAsia="zh-CN"/>
        </w:rPr>
        <w:t>投标人</w:t>
      </w:r>
      <w:r>
        <w:rPr>
          <w:rFonts w:hint="eastAsia" w:ascii="宋体" w:hAnsi="宋体" w:eastAsia="宋体" w:cs="宋体"/>
          <w:color w:val="auto"/>
          <w:highlight w:val="none"/>
        </w:rPr>
        <w:t>获得</w:t>
      </w:r>
      <w:r>
        <w:rPr>
          <w:rFonts w:hint="eastAsia" w:ascii="宋体" w:hAnsi="宋体" w:cs="宋体"/>
          <w:color w:val="auto"/>
          <w:highlight w:val="none"/>
          <w:lang w:eastAsia="zh-CN"/>
        </w:rPr>
        <w:t>中标人</w:t>
      </w:r>
      <w:r>
        <w:rPr>
          <w:rFonts w:hint="eastAsia" w:ascii="宋体" w:hAnsi="宋体" w:eastAsia="宋体" w:cs="宋体"/>
          <w:color w:val="auto"/>
          <w:highlight w:val="none"/>
        </w:rPr>
        <w:t>推荐资格；评审得分相同的采取随机抽取方式确定，其他同品牌</w:t>
      </w:r>
      <w:r>
        <w:rPr>
          <w:rFonts w:hint="eastAsia" w:ascii="宋体" w:hAnsi="宋体" w:cs="宋体"/>
          <w:color w:val="auto"/>
          <w:highlight w:val="none"/>
          <w:lang w:eastAsia="zh-CN"/>
        </w:rPr>
        <w:t>投标人</w:t>
      </w:r>
      <w:r>
        <w:rPr>
          <w:rFonts w:hint="eastAsia" w:ascii="宋体" w:hAnsi="宋体" w:eastAsia="宋体" w:cs="宋体"/>
          <w:color w:val="auto"/>
          <w:highlight w:val="none"/>
        </w:rPr>
        <w:t>不作为中标候选人。</w:t>
      </w:r>
    </w:p>
    <w:p w14:paraId="25C146CA">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非单一产品采购项目，招标文件中确定核心产品。多家</w:t>
      </w:r>
      <w:r>
        <w:rPr>
          <w:rFonts w:hint="eastAsia" w:ascii="宋体" w:hAnsi="宋体" w:cs="宋体"/>
          <w:color w:val="auto"/>
          <w:highlight w:val="none"/>
          <w:lang w:eastAsia="zh-CN"/>
        </w:rPr>
        <w:t>投标人</w:t>
      </w:r>
      <w:r>
        <w:rPr>
          <w:rFonts w:hint="eastAsia" w:ascii="宋体" w:hAnsi="宋体" w:eastAsia="宋体" w:cs="宋体"/>
          <w:color w:val="auto"/>
          <w:highlight w:val="none"/>
        </w:rPr>
        <w:t>提供的核心产品品牌全部相同的，按前款规定处理。</w:t>
      </w:r>
    </w:p>
    <w:p w14:paraId="12BEA37E">
      <w:pPr>
        <w:pStyle w:val="37"/>
        <w:widowControl w:val="0"/>
        <w:numPr>
          <w:ilvl w:val="1"/>
          <w:numId w:val="4"/>
        </w:numPr>
        <w:shd w:val="clear"/>
        <w:adjustRightInd w:val="0"/>
        <w:snapToGrid w:val="0"/>
        <w:spacing w:line="312" w:lineRule="auto"/>
        <w:ind w:left="0" w:firstLine="480"/>
        <w:jc w:val="both"/>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在投标活动中提供任何虚假材料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中标人</w:t>
      </w:r>
      <w:r>
        <w:rPr>
          <w:rFonts w:hint="eastAsia" w:ascii="宋体" w:hAnsi="宋体" w:eastAsia="宋体" w:cs="宋体"/>
          <w:color w:val="auto"/>
          <w:highlight w:val="none"/>
        </w:rPr>
        <w:t>须依照《中华人民共和国消费者权益保护法</w:t>
      </w:r>
      <w:r>
        <w:rPr>
          <w:rFonts w:hint="eastAsia" w:ascii="宋体" w:hAnsi="宋体" w:eastAsia="宋体" w:cs="宋体"/>
          <w:color w:val="auto"/>
          <w:highlight w:val="none"/>
          <w:lang w:eastAsia="zh-CN"/>
        </w:rPr>
        <w:t>》第四十九条</w:t>
      </w:r>
      <w:r>
        <w:rPr>
          <w:rFonts w:hint="eastAsia" w:ascii="宋体" w:hAnsi="宋体" w:eastAsia="宋体" w:cs="宋体"/>
          <w:color w:val="auto"/>
          <w:highlight w:val="none"/>
        </w:rPr>
        <w:t>之规定双倍赔偿采购人，且民事赔偿并不免除违法</w:t>
      </w:r>
      <w:r>
        <w:rPr>
          <w:rFonts w:hint="eastAsia" w:ascii="宋体" w:hAnsi="宋体" w:cs="宋体"/>
          <w:color w:val="auto"/>
          <w:highlight w:val="none"/>
          <w:lang w:eastAsia="zh-CN"/>
        </w:rPr>
        <w:t>投标人</w:t>
      </w:r>
      <w:r>
        <w:rPr>
          <w:rFonts w:hint="eastAsia" w:ascii="宋体" w:hAnsi="宋体" w:eastAsia="宋体" w:cs="宋体"/>
          <w:color w:val="auto"/>
          <w:highlight w:val="none"/>
        </w:rPr>
        <w:t>的行政与刑事责任。</w:t>
      </w:r>
    </w:p>
    <w:p w14:paraId="6FB4D83E">
      <w:pPr>
        <w:pStyle w:val="6"/>
        <w:numPr>
          <w:ilvl w:val="1"/>
          <w:numId w:val="0"/>
        </w:numPr>
        <w:shd w:val="clear"/>
        <w:spacing w:beforeLines="0" w:afterLines="0"/>
        <w:rPr>
          <w:rFonts w:hint="eastAsia" w:ascii="宋体" w:hAnsi="宋体" w:eastAsia="宋体" w:cs="宋体"/>
          <w:b/>
          <w:bCs w:val="0"/>
          <w:color w:val="auto"/>
          <w:highlight w:val="none"/>
          <w:lang w:bidi="ar"/>
        </w:rPr>
      </w:pPr>
      <w:bookmarkStart w:id="444" w:name="_Toc10053"/>
      <w:bookmarkStart w:id="445" w:name="_Toc351"/>
      <w:bookmarkStart w:id="446" w:name="_Toc32436"/>
      <w:bookmarkStart w:id="447" w:name="_Toc21911"/>
      <w:bookmarkStart w:id="448" w:name="_Toc26184"/>
      <w:bookmarkStart w:id="449" w:name="_Toc14205"/>
      <w:bookmarkStart w:id="450" w:name="_Toc23065"/>
      <w:bookmarkStart w:id="451" w:name="_Toc9060"/>
      <w:r>
        <w:rPr>
          <w:rFonts w:hint="eastAsia" w:ascii="宋体" w:hAnsi="宋体" w:eastAsia="宋体" w:cs="宋体"/>
          <w:b/>
          <w:bCs w:val="0"/>
          <w:color w:val="auto"/>
          <w:highlight w:val="none"/>
          <w:lang w:bidi="ar"/>
        </w:rPr>
        <w:t>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eastAsia="宋体" w:cs="宋体"/>
          <w:b/>
          <w:bCs w:val="0"/>
          <w:color w:val="auto"/>
          <w:highlight w:val="none"/>
          <w:lang w:bidi="ar"/>
        </w:rPr>
        <w:t>招标文件</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2261FB5">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招标文件的组成</w:t>
      </w:r>
    </w:p>
    <w:p w14:paraId="54B4D066">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招标公告</w:t>
      </w:r>
    </w:p>
    <w:p w14:paraId="278DE7D6">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投标须知前附表及投标须知</w:t>
      </w:r>
    </w:p>
    <w:p w14:paraId="0FE5FE0C">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采购内容及要求</w:t>
      </w:r>
    </w:p>
    <w:p w14:paraId="16AE3396">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合同的主要条款</w:t>
      </w:r>
    </w:p>
    <w:p w14:paraId="3954C2E5">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应提交的有关格式范例</w:t>
      </w:r>
    </w:p>
    <w:p w14:paraId="79C96D55">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rPr>
      </w:pPr>
      <w:r>
        <w:rPr>
          <w:rFonts w:hint="eastAsia" w:ascii="宋体" w:hAnsi="宋体" w:eastAsia="宋体" w:cs="宋体"/>
          <w:color w:val="auto"/>
          <w:highlight w:val="none"/>
        </w:rPr>
        <w:t>评标办法及开评标程序</w:t>
      </w:r>
      <w:bookmarkStart w:id="452" w:name="_Toc5619"/>
      <w:bookmarkStart w:id="453" w:name="_Toc13569"/>
      <w:bookmarkStart w:id="454" w:name="_Toc19778"/>
      <w:bookmarkStart w:id="455" w:name="_Toc31745"/>
      <w:bookmarkStart w:id="456" w:name="_Toc16377"/>
      <w:bookmarkStart w:id="457" w:name="_Toc22903"/>
      <w:bookmarkStart w:id="458" w:name="_Toc366144032"/>
      <w:bookmarkStart w:id="459" w:name="_Toc2522"/>
      <w:bookmarkStart w:id="460" w:name="_Toc356371435"/>
      <w:bookmarkStart w:id="461" w:name="_Toc9200"/>
      <w:bookmarkStart w:id="462" w:name="_Toc11932"/>
    </w:p>
    <w:p w14:paraId="0B8B9B05">
      <w:pPr>
        <w:pStyle w:val="37"/>
        <w:widowControl w:val="0"/>
        <w:numPr>
          <w:ilvl w:val="0"/>
          <w:numId w:val="4"/>
        </w:numPr>
        <w:shd w:val="clear"/>
        <w:adjustRightInd w:val="0"/>
        <w:snapToGri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招标文件的澄清及修改</w:t>
      </w:r>
    </w:p>
    <w:p w14:paraId="7E59B3F2">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任何要求对招标文件进行澄清的</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，均应按招标公告中规定的时间和通讯地址，以书面形式（如信件、传真等）送达</w:t>
      </w:r>
      <w:r>
        <w:rPr>
          <w:rFonts w:hint="eastAsia" w:ascii="宋体" w:hAnsi="宋体" w:eastAsia="宋体" w:cs="宋体"/>
          <w:color w:val="auto"/>
          <w:highlight w:val="none"/>
          <w:lang w:eastAsia="zh-CN" w:bidi="ar"/>
        </w:rPr>
        <w:t>采购代理机构</w:t>
      </w:r>
      <w:r>
        <w:rPr>
          <w:rFonts w:hint="eastAsia" w:ascii="宋体" w:hAnsi="宋体" w:eastAsia="宋体" w:cs="宋体"/>
          <w:color w:val="auto"/>
          <w:highlight w:val="none"/>
          <w:lang w:bidi="ar"/>
        </w:rPr>
        <w:t>，在规定时间内未收到质疑则视为各</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均对此无异议。</w:t>
      </w:r>
      <w:r>
        <w:rPr>
          <w:rFonts w:hint="eastAsia" w:ascii="宋体" w:hAnsi="宋体" w:eastAsia="宋体" w:cs="宋体"/>
          <w:color w:val="auto"/>
          <w:highlight w:val="none"/>
          <w:lang w:eastAsia="zh-CN" w:bidi="ar"/>
        </w:rPr>
        <w:t>采购代理机构</w:t>
      </w:r>
      <w:r>
        <w:rPr>
          <w:rFonts w:hint="eastAsia" w:ascii="宋体" w:hAnsi="宋体" w:eastAsia="宋体" w:cs="宋体"/>
          <w:color w:val="auto"/>
          <w:highlight w:val="none"/>
          <w:lang w:bidi="ar"/>
        </w:rPr>
        <w:t>对规定时间前收到的任何质疑将在</w:t>
      </w:r>
      <w:r>
        <w:rPr>
          <w:rFonts w:hint="eastAsia" w:ascii="宋体" w:hAnsi="宋体" w:eastAsia="宋体" w:cs="宋体"/>
          <w:color w:val="auto"/>
          <w:highlight w:val="none"/>
        </w:rPr>
        <w:t>衢州市阳光交易服务平台（https://qzygjy.com/）</w:t>
      </w:r>
      <w:r>
        <w:rPr>
          <w:rFonts w:hint="eastAsia" w:ascii="宋体" w:hAnsi="宋体" w:eastAsia="宋体" w:cs="宋体"/>
          <w:color w:val="auto"/>
          <w:highlight w:val="none"/>
          <w:lang w:val="zh-CN"/>
        </w:rPr>
        <w:t>、</w:t>
      </w:r>
      <w:r>
        <w:rPr>
          <w:rFonts w:hint="eastAsia" w:ascii="宋体" w:hAnsi="宋体" w:eastAsia="宋体" w:cs="宋体"/>
          <w:color w:val="auto"/>
          <w:highlight w:val="none"/>
          <w:lang w:bidi="ar"/>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bidi="ar"/>
        </w:rPr>
        <w:t>http://zfcg.czt.zj.gov.cn/</w:t>
      </w:r>
      <w:r>
        <w:rPr>
          <w:rFonts w:hint="eastAsia" w:ascii="宋体" w:hAnsi="宋体" w:eastAsia="宋体" w:cs="宋体"/>
          <w:color w:val="auto"/>
          <w:highlight w:val="none"/>
          <w:lang w:bidi="ar"/>
        </w:rPr>
        <w:fldChar w:fldCharType="end"/>
      </w:r>
      <w:r>
        <w:rPr>
          <w:rFonts w:hint="eastAsia" w:ascii="宋体" w:hAnsi="宋体" w:eastAsia="宋体" w:cs="宋体"/>
          <w:color w:val="auto"/>
          <w:highlight w:val="none"/>
          <w:lang w:bidi="ar"/>
        </w:rPr>
        <w:t>）公布澄清，</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自行到网上查看。无论是采购人根据需要主动对招标文件进行必要的修改或是根据</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的要求对招标文件</w:t>
      </w:r>
      <w:r>
        <w:rPr>
          <w:rFonts w:hint="eastAsia" w:ascii="宋体" w:hAnsi="宋体" w:eastAsia="宋体" w:cs="宋体"/>
          <w:color w:val="auto"/>
          <w:highlight w:val="none"/>
          <w:lang w:eastAsia="zh-CN" w:bidi="ar"/>
        </w:rPr>
        <w:t>作出</w:t>
      </w:r>
      <w:r>
        <w:rPr>
          <w:rFonts w:hint="eastAsia" w:ascii="宋体" w:hAnsi="宋体" w:eastAsia="宋体" w:cs="宋体"/>
          <w:color w:val="auto"/>
          <w:highlight w:val="none"/>
          <w:lang w:bidi="ar"/>
        </w:rPr>
        <w:t>答复（答复中不包括问题的来源），并视为本招标文件的组成部分。</w:t>
      </w:r>
    </w:p>
    <w:p w14:paraId="72971086">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因其他紧急情况影响本项目正常招标活动的，</w:t>
      </w:r>
      <w:r>
        <w:rPr>
          <w:rFonts w:hint="eastAsia" w:ascii="宋体" w:hAnsi="宋体" w:eastAsia="宋体" w:cs="宋体"/>
          <w:color w:val="auto"/>
          <w:highlight w:val="none"/>
          <w:lang w:eastAsia="zh-CN" w:bidi="ar"/>
        </w:rPr>
        <w:t>采购代理机构</w:t>
      </w:r>
      <w:r>
        <w:rPr>
          <w:rFonts w:hint="eastAsia" w:ascii="宋体" w:hAnsi="宋体" w:eastAsia="宋体" w:cs="宋体"/>
          <w:color w:val="auto"/>
          <w:highlight w:val="none"/>
          <w:lang w:bidi="ar"/>
        </w:rPr>
        <w:t>将于投标截止日期5天前书面通知所有已</w:t>
      </w:r>
      <w:r>
        <w:rPr>
          <w:rFonts w:hint="eastAsia" w:ascii="宋体" w:hAnsi="宋体" w:eastAsia="宋体" w:cs="宋体"/>
          <w:color w:val="auto"/>
          <w:highlight w:val="none"/>
          <w:lang w:val="en-US" w:eastAsia="zh-CN" w:bidi="ar"/>
        </w:rPr>
        <w:t>获取</w:t>
      </w:r>
      <w:r>
        <w:rPr>
          <w:rFonts w:hint="eastAsia" w:ascii="宋体" w:hAnsi="宋体" w:eastAsia="宋体" w:cs="宋体"/>
          <w:color w:val="auto"/>
          <w:highlight w:val="none"/>
          <w:lang w:bidi="ar"/>
        </w:rPr>
        <w:t>的</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w:t>
      </w:r>
    </w:p>
    <w:p w14:paraId="7EEB4D7D">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不论采购人向</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发送的资料文件，还是</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提出的问题，均通过</w:t>
      </w:r>
      <w:r>
        <w:rPr>
          <w:rFonts w:hint="eastAsia" w:ascii="宋体" w:hAnsi="宋体" w:eastAsia="宋体" w:cs="宋体"/>
          <w:color w:val="auto"/>
          <w:highlight w:val="none"/>
        </w:rPr>
        <w:t>衢州市阳光交易服务平台（https://qzygjy.com/）、</w:t>
      </w:r>
      <w:r>
        <w:rPr>
          <w:rFonts w:hint="eastAsia" w:ascii="宋体" w:hAnsi="宋体" w:eastAsia="宋体" w:cs="宋体"/>
          <w:color w:val="auto"/>
          <w:highlight w:val="none"/>
          <w:lang w:bidi="ar"/>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bidi="ar"/>
        </w:rPr>
        <w:t>http://zfcg.czt.zj.gov.cn/</w:t>
      </w:r>
      <w:r>
        <w:rPr>
          <w:rFonts w:hint="eastAsia" w:ascii="宋体" w:hAnsi="宋体" w:eastAsia="宋体" w:cs="宋体"/>
          <w:color w:val="auto"/>
          <w:highlight w:val="none"/>
          <w:lang w:bidi="ar"/>
        </w:rPr>
        <w:fldChar w:fldCharType="end"/>
      </w:r>
      <w:r>
        <w:rPr>
          <w:rFonts w:hint="eastAsia" w:ascii="宋体" w:hAnsi="宋体" w:eastAsia="宋体" w:cs="宋体"/>
          <w:color w:val="auto"/>
          <w:highlight w:val="none"/>
          <w:lang w:bidi="ar"/>
        </w:rPr>
        <w:t>）发布，任何口头提问及答复一律无效。</w:t>
      </w:r>
    </w:p>
    <w:p w14:paraId="7A982DEC">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当招标文件、澄清（答疑）纪要内容相互矛盾时，以最后发出的通知（或纪要）或修改文件为准。</w:t>
      </w:r>
    </w:p>
    <w:p w14:paraId="6C5195C1">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若有必要，采购人将酌情延长递交投标文件的截止日期。</w:t>
      </w:r>
    </w:p>
    <w:p w14:paraId="61B55D74">
      <w:pPr>
        <w:pStyle w:val="6"/>
        <w:numPr>
          <w:ilvl w:val="1"/>
          <w:numId w:val="0"/>
        </w:numPr>
        <w:shd w:val="clear"/>
        <w:spacing w:beforeLines="0" w:afterLines="0"/>
        <w:rPr>
          <w:rFonts w:hint="eastAsia" w:ascii="宋体" w:hAnsi="宋体" w:eastAsia="宋体" w:cs="宋体"/>
          <w:b/>
          <w:bCs w:val="0"/>
          <w:color w:val="auto"/>
          <w:highlight w:val="none"/>
          <w:lang w:bidi="ar"/>
        </w:rPr>
      </w:pPr>
      <w:bookmarkStart w:id="463" w:name="_Toc10055"/>
      <w:bookmarkStart w:id="464" w:name="_Toc1014"/>
      <w:bookmarkStart w:id="465" w:name="_Toc8318"/>
      <w:bookmarkStart w:id="466" w:name="_Toc7618"/>
      <w:bookmarkStart w:id="467" w:name="_Toc25162"/>
      <w:bookmarkStart w:id="468" w:name="_Toc7119"/>
      <w:bookmarkStart w:id="469" w:name="_Toc11335"/>
      <w:bookmarkStart w:id="470" w:name="_Toc26168"/>
      <w:bookmarkStart w:id="471" w:name="_Toc29403"/>
      <w:bookmarkStart w:id="472" w:name="_Toc18666"/>
      <w:bookmarkStart w:id="473" w:name="_Toc9649"/>
      <w:bookmarkStart w:id="474" w:name="_Toc24001"/>
      <w:bookmarkStart w:id="475" w:name="_Toc16426"/>
      <w:bookmarkStart w:id="476" w:name="_Toc1555"/>
      <w:bookmarkStart w:id="477" w:name="_Toc26069"/>
      <w:bookmarkStart w:id="478" w:name="_Toc27315"/>
      <w:bookmarkStart w:id="479" w:name="_Toc26092"/>
      <w:bookmarkStart w:id="480" w:name="_Toc20129"/>
      <w:bookmarkStart w:id="481" w:name="_Toc21937"/>
      <w:bookmarkStart w:id="482" w:name="_Toc30018"/>
      <w:bookmarkStart w:id="483" w:name="_Toc9684"/>
      <w:bookmarkStart w:id="484" w:name="_Toc69"/>
      <w:bookmarkStart w:id="485" w:name="_Toc11019"/>
      <w:bookmarkStart w:id="486" w:name="_Toc15023"/>
      <w:bookmarkStart w:id="487" w:name="_Toc15778"/>
      <w:bookmarkStart w:id="488" w:name="_Toc20563"/>
      <w:bookmarkStart w:id="489" w:name="_Toc2313"/>
      <w:bookmarkStart w:id="490" w:name="_Toc15095"/>
      <w:bookmarkStart w:id="491" w:name="_Toc31816"/>
      <w:bookmarkStart w:id="492" w:name="_Toc11971"/>
      <w:bookmarkStart w:id="493" w:name="_Toc7917"/>
      <w:bookmarkStart w:id="494" w:name="_Toc24672"/>
      <w:bookmarkStart w:id="495" w:name="_Toc14300"/>
      <w:bookmarkStart w:id="496" w:name="_Toc12858"/>
      <w:bookmarkStart w:id="497" w:name="_Toc4773"/>
      <w:r>
        <w:rPr>
          <w:rFonts w:hint="eastAsia" w:ascii="宋体" w:hAnsi="宋体" w:eastAsia="宋体" w:cs="宋体"/>
          <w:b/>
          <w:bCs w:val="0"/>
          <w:color w:val="auto"/>
          <w:highlight w:val="none"/>
          <w:lang w:bidi="ar"/>
        </w:rPr>
        <w:t>四、投标文件的编制</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FEC05F6">
      <w:pPr>
        <w:pStyle w:val="37"/>
        <w:numPr>
          <w:ilvl w:val="0"/>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总体要求</w:t>
      </w:r>
    </w:p>
    <w:p w14:paraId="30710B4D">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应仔细阅读招标文件的所有内容，按本文件的要求提供投标文件，并保证所提供的全部资料的真实性和有效性，以使其投标文件对招标文件作出实质性响应，否则，其投标文件可能导致废标处理。</w:t>
      </w:r>
    </w:p>
    <w:p w14:paraId="243D314F">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投标文件及</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与采购有关的来往通知，函件和文件均应使用中文。</w:t>
      </w:r>
    </w:p>
    <w:p w14:paraId="5D38E3C4">
      <w:pPr>
        <w:pStyle w:val="37"/>
        <w:numPr>
          <w:ilvl w:val="1"/>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应按本文件中提供的文件格式、内容和要求制作投标文件。投标文件应装订成册。</w:t>
      </w:r>
    </w:p>
    <w:p w14:paraId="65D176FF">
      <w:pPr>
        <w:pStyle w:val="37"/>
        <w:numPr>
          <w:ilvl w:val="0"/>
          <w:numId w:val="4"/>
        </w:numPr>
        <w:shd w:val="clear"/>
        <w:adjustRightInd w:val="0"/>
        <w:spacing w:line="312" w:lineRule="auto"/>
        <w:ind w:left="0"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投标文件的组成</w:t>
      </w:r>
    </w:p>
    <w:p w14:paraId="463EFD6E">
      <w:pPr>
        <w:pStyle w:val="3"/>
        <w:keepNext w:val="0"/>
        <w:keepLines w:val="0"/>
        <w:pageBreakBefore w:val="0"/>
        <w:widowControl w:val="0"/>
        <w:shd w:val="clear"/>
        <w:tabs>
          <w:tab w:val="left" w:pos="0"/>
          <w:tab w:val="left" w:pos="993"/>
          <w:tab w:val="left" w:pos="1134"/>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val="0"/>
          <w:color w:val="auto"/>
          <w:highlight w:val="none"/>
          <w:lang w:bidi="ar"/>
        </w:rPr>
      </w:pPr>
      <w:bookmarkStart w:id="498" w:name="OLE_LINK17"/>
      <w:r>
        <w:rPr>
          <w:rFonts w:hint="eastAsia" w:ascii="宋体" w:hAnsi="宋体" w:eastAsia="宋体" w:cs="宋体"/>
          <w:bCs w:val="0"/>
          <w:color w:val="auto"/>
          <w:highlight w:val="none"/>
          <w:lang w:bidi="ar"/>
        </w:rPr>
        <w:t>▲</w:t>
      </w:r>
      <w:bookmarkEnd w:id="498"/>
      <w:r>
        <w:rPr>
          <w:rFonts w:hint="eastAsia" w:ascii="宋体" w:hAnsi="宋体" w:eastAsia="宋体" w:cs="宋体"/>
          <w:bCs w:val="0"/>
          <w:color w:val="auto"/>
          <w:highlight w:val="none"/>
          <w:lang w:bidi="ar"/>
        </w:rPr>
        <w:t>投标文件由资格审查文件、资信技术文件和商务报价文件三部分组成，使用CA锁加盖</w:t>
      </w:r>
      <w:r>
        <w:rPr>
          <w:rFonts w:hint="eastAsia" w:ascii="宋体" w:hAnsi="宋体" w:eastAsia="宋体" w:cs="宋体"/>
          <w:bCs w:val="0"/>
          <w:color w:val="auto"/>
          <w:highlight w:val="none"/>
          <w:lang w:eastAsia="zh-CN" w:bidi="ar"/>
        </w:rPr>
        <w:t>投标人</w:t>
      </w:r>
      <w:r>
        <w:rPr>
          <w:rFonts w:hint="eastAsia" w:ascii="宋体" w:hAnsi="宋体" w:eastAsia="宋体" w:cs="宋体"/>
          <w:bCs w:val="0"/>
          <w:color w:val="auto"/>
          <w:highlight w:val="none"/>
          <w:lang w:bidi="ar"/>
        </w:rPr>
        <w:t>电子公章及法定代表人电子签章，用投标工具生成文件格式为“已加密投标文件”的电子投标文件，并将该格式的电子投标文件成功上传至衢州市阳光交易服务平台。</w:t>
      </w:r>
    </w:p>
    <w:p w14:paraId="13E8D26E">
      <w:pPr>
        <w:pStyle w:val="37"/>
        <w:numPr>
          <w:ilvl w:val="1"/>
          <w:numId w:val="8"/>
        </w:numPr>
        <w:shd w:val="clear"/>
        <w:tabs>
          <w:tab w:val="left" w:pos="171"/>
          <w:tab w:val="clear" w:pos="0"/>
        </w:tabs>
        <w:adjustRightInd w:val="0"/>
        <w:spacing w:line="240" w:lineRule="auto"/>
        <w:ind w:firstLine="480" w:firstLineChars="200"/>
        <w:jc w:val="both"/>
        <w:rPr>
          <w:rFonts w:hint="eastAsia" w:ascii="宋体" w:hAnsi="宋体" w:eastAsia="宋体" w:cs="宋体"/>
          <w:b/>
          <w:bCs/>
          <w:color w:val="auto"/>
          <w:highlight w:val="none"/>
          <w:lang w:eastAsia="en-US" w:bidi="ar"/>
        </w:rPr>
      </w:pPr>
      <w:bookmarkStart w:id="499" w:name="_Toc677"/>
      <w:r>
        <w:rPr>
          <w:rFonts w:hint="eastAsia" w:ascii="宋体" w:hAnsi="宋体" w:eastAsia="宋体" w:cs="宋体"/>
          <w:bCs w:val="0"/>
          <w:color w:val="auto"/>
          <w:highlight w:val="none"/>
          <w:lang w:bidi="ar"/>
        </w:rPr>
        <w:t>▲</w:t>
      </w:r>
      <w:r>
        <w:rPr>
          <w:rFonts w:hint="eastAsia" w:ascii="宋体" w:hAnsi="宋体" w:eastAsia="宋体" w:cs="宋体"/>
          <w:b/>
          <w:bCs/>
          <w:color w:val="auto"/>
          <w:highlight w:val="none"/>
          <w:lang w:eastAsia="en-US" w:bidi="ar"/>
        </w:rPr>
        <w:t>资格审查文件</w:t>
      </w:r>
      <w:bookmarkEnd w:id="499"/>
    </w:p>
    <w:p w14:paraId="64C7BCFD">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bookmarkStart w:id="500" w:name="_Toc500208474"/>
      <w:r>
        <w:rPr>
          <w:rFonts w:hint="eastAsia" w:ascii="宋体" w:hAnsi="宋体" w:cs="宋体"/>
          <w:color w:val="auto"/>
          <w:highlight w:val="none"/>
          <w:lang w:val="en-US" w:eastAsia="zh-CN" w:bidi="ar"/>
        </w:rPr>
        <w:t>（1）投标人基本情况表；（格式见附件1）(如采用联合体的，应包括联合体各方相关情况）；</w:t>
      </w:r>
    </w:p>
    <w:p w14:paraId="7A23B15C">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（2）提供有效《企业法人营业执照》副本原件扫描件加盖公章编入投标文件中； (如采用联合体的，应包括联合体各方相关情况）；</w:t>
      </w:r>
    </w:p>
    <w:p w14:paraId="5EDB2339">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（3）符合参加国企采购活动应当具备的一般条件的承诺函；（格式见附件2）</w:t>
      </w:r>
    </w:p>
    <w:p w14:paraId="481FC626">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（4）投标函；（格式见附件3）</w:t>
      </w:r>
    </w:p>
    <w:p w14:paraId="15D147B2">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（5）法人证明或授权委托书；（格式见附件4）</w:t>
      </w:r>
    </w:p>
    <w:p w14:paraId="2665CA8F">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（6）本项目的特定资格要求：提供建设行政主管部门颁发的机电工程施工总承包一级资质及建设行政主管部门颁发的环保工程专业承包二级及以上资质证书扫描件，并提供有效的安全生产许可证扫描件。</w:t>
      </w:r>
    </w:p>
    <w:p w14:paraId="732AD0E7">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（7）投标人</w:t>
      </w:r>
      <w:r>
        <w:rPr>
          <w:rFonts w:hint="eastAsia" w:ascii="宋体" w:hAnsi="宋体" w:eastAsia="宋体" w:cs="宋体"/>
          <w:color w:val="auto"/>
          <w:highlight w:val="none"/>
          <w:lang w:val="en-US" w:eastAsia="zh-CN"/>
        </w:rPr>
        <w:t>须</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污水处理能力大于或等于</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000吨/天及以上一体化装配式污水处理厂项目设备安装或供货相关业绩</w:t>
      </w:r>
      <w:r>
        <w:rPr>
          <w:rFonts w:hint="eastAsia" w:ascii="宋体" w:hAnsi="宋体" w:cs="宋体"/>
          <w:color w:val="auto"/>
          <w:highlight w:val="none"/>
          <w:lang w:val="en-US" w:eastAsia="zh-CN"/>
        </w:rPr>
        <w:t>的中标通知书及采购合同扫描件</w:t>
      </w:r>
      <w:r>
        <w:rPr>
          <w:rFonts w:hint="eastAsia" w:ascii="宋体" w:hAnsi="宋体" w:eastAsia="宋体" w:cs="宋体"/>
          <w:color w:val="auto"/>
          <w:highlight w:val="none"/>
          <w:lang w:val="en-US" w:eastAsia="zh-CN"/>
        </w:rPr>
        <w:t>。</w:t>
      </w:r>
    </w:p>
    <w:p w14:paraId="7A1FF54E">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（8）</w:t>
      </w:r>
      <w:r>
        <w:rPr>
          <w:rFonts w:hint="eastAsia" w:ascii="宋体" w:hAnsi="宋体" w:cs="宋体"/>
          <w:color w:val="auto"/>
          <w:highlight w:val="none"/>
          <w:lang w:bidi="ar"/>
        </w:rPr>
        <w:t>提供联合体协议书（如有）；（格式见附件5）</w:t>
      </w:r>
    </w:p>
    <w:p w14:paraId="024A5BCB">
      <w:pPr>
        <w:pStyle w:val="37"/>
        <w:keepNext w:val="0"/>
        <w:keepLines w:val="0"/>
        <w:pageBreakBefore w:val="0"/>
        <w:numPr>
          <w:ilvl w:val="255"/>
          <w:numId w:val="0"/>
        </w:numPr>
        <w:shd w:val="clear"/>
        <w:tabs>
          <w:tab w:val="left" w:pos="171"/>
        </w:tabs>
        <w:kinsoku/>
        <w:wordWrap/>
        <w:overflowPunct/>
        <w:topLinePunct w:val="0"/>
        <w:autoSpaceDE/>
        <w:autoSpaceDN/>
        <w:bidi w:val="0"/>
        <w:adjustRightInd/>
        <w:spacing w:line="312" w:lineRule="auto"/>
        <w:ind w:firstLine="482" w:firstLineChars="200"/>
        <w:textAlignment w:val="auto"/>
        <w:rPr>
          <w:rFonts w:hint="eastAsia" w:ascii="宋体" w:hAnsi="宋体" w:eastAsia="宋体" w:cs="宋体"/>
          <w:b/>
          <w:bCs/>
          <w:color w:val="auto"/>
          <w:highlight w:val="none"/>
          <w:lang w:eastAsia="en-US" w:bidi="ar"/>
        </w:rPr>
      </w:pPr>
      <w:r>
        <w:rPr>
          <w:rFonts w:hint="eastAsia" w:ascii="宋体" w:hAnsi="宋体" w:eastAsia="宋体" w:cs="宋体"/>
          <w:b/>
          <w:bCs/>
          <w:color w:val="auto"/>
          <w:highlight w:val="none"/>
          <w:lang w:eastAsia="en-US" w:bidi="ar"/>
        </w:rPr>
        <w:t>注：以上资格文件为通过式评审</w:t>
      </w:r>
      <w:r>
        <w:rPr>
          <w:rFonts w:hint="eastAsia" w:ascii="宋体" w:hAnsi="宋体" w:eastAsia="宋体" w:cs="宋体"/>
          <w:b/>
          <w:bCs/>
          <w:color w:val="auto"/>
          <w:highlight w:val="none"/>
          <w:lang w:eastAsia="zh-CN" w:bidi="ar"/>
        </w:rPr>
        <w:t>，</w:t>
      </w:r>
      <w:r>
        <w:rPr>
          <w:rFonts w:hint="eastAsia" w:ascii="宋体" w:hAnsi="宋体" w:eastAsia="宋体" w:cs="宋体"/>
          <w:b/>
          <w:bCs/>
          <w:color w:val="auto"/>
          <w:highlight w:val="none"/>
          <w:lang w:eastAsia="en-US" w:bidi="ar"/>
        </w:rPr>
        <w:t>如有缺少或不符合要求的</w:t>
      </w:r>
      <w:r>
        <w:rPr>
          <w:rFonts w:hint="eastAsia" w:ascii="宋体" w:hAnsi="宋体" w:eastAsia="宋体" w:cs="宋体"/>
          <w:b/>
          <w:bCs/>
          <w:color w:val="auto"/>
          <w:highlight w:val="none"/>
          <w:lang w:eastAsia="zh-CN" w:bidi="ar"/>
        </w:rPr>
        <w:t>，</w:t>
      </w:r>
      <w:r>
        <w:rPr>
          <w:rFonts w:hint="eastAsia" w:ascii="宋体" w:hAnsi="宋体" w:eastAsia="宋体" w:cs="宋体"/>
          <w:b/>
          <w:bCs/>
          <w:color w:val="auto"/>
          <w:highlight w:val="none"/>
          <w:lang w:eastAsia="en-US" w:bidi="ar"/>
        </w:rPr>
        <w:t>则视为资格审查不予通过。</w:t>
      </w:r>
    </w:p>
    <w:p w14:paraId="12EC99BC">
      <w:pPr>
        <w:pStyle w:val="37"/>
        <w:numPr>
          <w:ilvl w:val="1"/>
          <w:numId w:val="8"/>
        </w:numPr>
        <w:shd w:val="clear"/>
        <w:tabs>
          <w:tab w:val="left" w:pos="171"/>
          <w:tab w:val="clear" w:pos="0"/>
        </w:tabs>
        <w:adjustRightInd w:val="0"/>
        <w:spacing w:line="240" w:lineRule="auto"/>
        <w:ind w:firstLine="482" w:firstLineChars="200"/>
        <w:jc w:val="both"/>
        <w:rPr>
          <w:rFonts w:hint="eastAsia" w:ascii="宋体" w:hAnsi="宋体" w:eastAsia="宋体" w:cs="宋体"/>
          <w:b/>
          <w:bCs/>
          <w:color w:val="auto"/>
          <w:highlight w:val="none"/>
          <w:lang w:eastAsia="en-US" w:bidi="ar"/>
        </w:rPr>
      </w:pPr>
      <w:r>
        <w:rPr>
          <w:rFonts w:hint="eastAsia" w:ascii="宋体" w:hAnsi="宋体" w:eastAsia="宋体" w:cs="宋体"/>
          <w:b/>
          <w:bCs/>
          <w:color w:val="auto"/>
          <w:highlight w:val="none"/>
          <w:lang w:eastAsia="en-US" w:bidi="ar"/>
        </w:rPr>
        <w:t>资信技术文件</w:t>
      </w:r>
    </w:p>
    <w:p w14:paraId="7CFAB952">
      <w:pPr>
        <w:pStyle w:val="26"/>
        <w:shd w:val="clear"/>
        <w:spacing w:line="312"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包括但不限于以下内容：</w:t>
      </w:r>
    </w:p>
    <w:p w14:paraId="2DE087AB">
      <w:pPr>
        <w:pStyle w:val="26"/>
        <w:shd w:val="clear"/>
        <w:spacing w:line="312" w:lineRule="auto"/>
        <w:ind w:firstLine="48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zh-CN" w:eastAsia="zh-CN"/>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eastAsia="zh-CN"/>
        </w:rPr>
        <w:t>）</w:t>
      </w:r>
      <w:r>
        <w:rPr>
          <w:rFonts w:hint="eastAsia" w:hAnsi="宋体" w:cs="宋体"/>
          <w:color w:val="auto"/>
          <w:szCs w:val="24"/>
          <w:highlight w:val="none"/>
          <w:lang w:val="zh-CN" w:eastAsia="zh-CN"/>
        </w:rPr>
        <w:t>类似业绩一览表</w:t>
      </w:r>
      <w:r>
        <w:rPr>
          <w:rFonts w:hint="eastAsia" w:ascii="宋体" w:hAnsi="宋体" w:eastAsia="宋体" w:cs="宋体"/>
          <w:color w:val="auto"/>
          <w:szCs w:val="24"/>
          <w:highlight w:val="none"/>
          <w:lang w:val="zh-CN" w:eastAsia="zh-CN"/>
        </w:rPr>
        <w:t>；（格式见附件</w:t>
      </w:r>
      <w:r>
        <w:rPr>
          <w:rFonts w:hint="eastAsia" w:hAnsi="宋体" w:cs="宋体"/>
          <w:color w:val="auto"/>
          <w:szCs w:val="24"/>
          <w:highlight w:val="none"/>
          <w:lang w:val="en-US" w:eastAsia="zh-CN"/>
        </w:rPr>
        <w:t>6</w:t>
      </w:r>
      <w:r>
        <w:rPr>
          <w:rFonts w:hint="eastAsia" w:ascii="宋体" w:hAnsi="宋体" w:eastAsia="宋体" w:cs="宋体"/>
          <w:color w:val="auto"/>
          <w:szCs w:val="24"/>
          <w:highlight w:val="none"/>
          <w:lang w:val="zh-CN" w:eastAsia="zh-CN"/>
        </w:rPr>
        <w:t>）</w:t>
      </w:r>
    </w:p>
    <w:p w14:paraId="7D1B4895">
      <w:pPr>
        <w:pStyle w:val="26"/>
        <w:shd w:val="clear"/>
        <w:spacing w:line="312" w:lineRule="auto"/>
        <w:ind w:firstLine="480"/>
        <w:jc w:val="left"/>
        <w:rPr>
          <w:rFonts w:hint="eastAsia" w:ascii="宋体" w:hAnsi="宋体" w:eastAsia="宋体" w:cs="宋体"/>
          <w:color w:val="auto"/>
          <w:szCs w:val="24"/>
          <w:highlight w:val="none"/>
          <w:lang w:val="en-US" w:eastAsia="zh-CN"/>
        </w:rPr>
      </w:pPr>
      <w:bookmarkStart w:id="501" w:name="_Toc29404"/>
      <w:bookmarkStart w:id="502" w:name="_Toc17884"/>
      <w:bookmarkStart w:id="503" w:name="_Toc24537"/>
      <w:bookmarkStart w:id="504" w:name="_Toc10577"/>
      <w:bookmarkStart w:id="505" w:name="_Toc16512"/>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eastAsia="zh-CN"/>
        </w:rPr>
        <w:t>拟派</w:t>
      </w:r>
      <w:r>
        <w:rPr>
          <w:rFonts w:hint="eastAsia" w:ascii="宋体" w:hAnsi="宋体" w:eastAsia="宋体" w:cs="宋体"/>
          <w:color w:val="auto"/>
          <w:szCs w:val="24"/>
          <w:highlight w:val="none"/>
          <w:lang w:val="en-US" w:eastAsia="zh-CN"/>
        </w:rPr>
        <w:t>项目负责人情况表；（格式见附件7）</w:t>
      </w:r>
    </w:p>
    <w:p w14:paraId="17E2DB31">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eastAsia="zh-CN"/>
        </w:rPr>
        <w:t>拟派</w:t>
      </w:r>
      <w:r>
        <w:rPr>
          <w:rFonts w:hint="eastAsia" w:ascii="宋体" w:hAnsi="宋体" w:eastAsia="宋体" w:cs="宋体"/>
          <w:color w:val="auto"/>
          <w:szCs w:val="24"/>
          <w:highlight w:val="none"/>
          <w:lang w:val="en-US" w:eastAsia="zh-CN"/>
        </w:rPr>
        <w:t>技术负责人情况表；（格式见附件8）</w:t>
      </w:r>
    </w:p>
    <w:p w14:paraId="346EADAD">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（4）拟投入项目组成员一览表；（格式见附件9）</w:t>
      </w:r>
    </w:p>
    <w:p w14:paraId="3F7C0039">
      <w:pPr>
        <w:pStyle w:val="26"/>
        <w:shd w:val="clear"/>
        <w:spacing w:line="312" w:lineRule="auto"/>
        <w:ind w:firstLine="480"/>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（5）产品配置清单；（格式见附件10）</w:t>
      </w:r>
    </w:p>
    <w:p w14:paraId="7ED9A698">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Hans" w:eastAsia="zh-CN"/>
        </w:rPr>
        <w:t>技术偏离表</w:t>
      </w:r>
      <w:r>
        <w:rPr>
          <w:rFonts w:hint="eastAsia" w:ascii="宋体" w:hAnsi="宋体" w:eastAsia="宋体" w:cs="宋体"/>
          <w:color w:val="auto"/>
          <w:szCs w:val="24"/>
          <w:highlight w:val="none"/>
          <w:lang w:val="en-US" w:eastAsia="zh-CN"/>
        </w:rPr>
        <w:t>；（格式见附件11）</w:t>
      </w:r>
    </w:p>
    <w:p w14:paraId="400C05F6">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（7）商务响应承诺函；（格式见附件12）</w:t>
      </w:r>
    </w:p>
    <w:p w14:paraId="0216A399">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（8）一体化生化池深化设计方案；（格式自拟）</w:t>
      </w:r>
    </w:p>
    <w:p w14:paraId="3711857D">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（9）节能降耗及运营成本方案；（格式自拟）</w:t>
      </w:r>
    </w:p>
    <w:p w14:paraId="3CD486FF">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（10）安装调试及实施方案；（格式自拟）</w:t>
      </w:r>
    </w:p>
    <w:p w14:paraId="79A8A32A">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（11）进度计划；（格式自拟）</w:t>
      </w:r>
    </w:p>
    <w:p w14:paraId="316BED3B">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（12）培训方案；（格式自拟）</w:t>
      </w:r>
    </w:p>
    <w:p w14:paraId="1C72D3CB">
      <w:pPr>
        <w:pStyle w:val="26"/>
        <w:shd w:val="clear"/>
        <w:spacing w:line="312" w:lineRule="auto"/>
        <w:ind w:firstLine="480"/>
        <w:jc w:val="left"/>
        <w:rPr>
          <w:rFonts w:hint="eastAsia" w:ascii="宋体" w:hAnsi="宋体" w:eastAsia="宋体" w:cs="宋体"/>
          <w:color w:val="auto"/>
          <w:szCs w:val="24"/>
          <w:highlight w:val="none"/>
          <w:lang w:val="zh-CN" w:eastAsia="zh-CN"/>
        </w:rPr>
      </w:pPr>
      <w:r>
        <w:rPr>
          <w:rFonts w:hint="eastAsia" w:ascii="宋体" w:hAnsi="宋体" w:eastAsia="宋体" w:cs="宋体"/>
          <w:color w:val="auto"/>
          <w:szCs w:val="24"/>
          <w:highlight w:val="none"/>
          <w:lang w:val="en-US" w:eastAsia="zh-CN"/>
        </w:rPr>
        <w:t>（13）</w:t>
      </w:r>
      <w:r>
        <w:rPr>
          <w:rFonts w:hint="eastAsia" w:ascii="宋体" w:hAnsi="宋体" w:eastAsia="宋体" w:cs="宋体"/>
          <w:color w:val="auto"/>
          <w:szCs w:val="24"/>
          <w:highlight w:val="none"/>
          <w:lang w:val="zh-CN" w:eastAsia="zh-CN"/>
        </w:rPr>
        <w:t>随机标准附件、备品备件、零配件、专用工具清单</w:t>
      </w:r>
      <w:r>
        <w:rPr>
          <w:rFonts w:hint="eastAsia" w:ascii="宋体" w:hAnsi="宋体" w:eastAsia="宋体" w:cs="宋体"/>
          <w:color w:val="auto"/>
          <w:szCs w:val="24"/>
          <w:highlight w:val="none"/>
          <w:lang w:val="en-US" w:eastAsia="zh-CN"/>
        </w:rPr>
        <w:t>；（格式见附件1</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lang w:val="en-US" w:eastAsia="zh-CN"/>
        </w:rPr>
        <w:t>）</w:t>
      </w:r>
    </w:p>
    <w:p w14:paraId="6478EC1C">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（14）售后服务方案；（格式自拟）</w:t>
      </w:r>
    </w:p>
    <w:p w14:paraId="5DD3F559">
      <w:pPr>
        <w:pStyle w:val="26"/>
        <w:shd w:val="clear"/>
        <w:spacing w:line="312" w:lineRule="auto"/>
        <w:ind w:firstLine="48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r>
        <w:rPr>
          <w:rFonts w:hint="eastAsia"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）其他内容</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根据第四章评标办法及评分标准3.综合评分明细表提供其余的相关评分所需资料。</w:t>
      </w:r>
    </w:p>
    <w:bookmarkEnd w:id="501"/>
    <w:bookmarkEnd w:id="502"/>
    <w:bookmarkEnd w:id="503"/>
    <w:bookmarkEnd w:id="504"/>
    <w:bookmarkEnd w:id="505"/>
    <w:p w14:paraId="5A1EE657">
      <w:pPr>
        <w:pStyle w:val="37"/>
        <w:numPr>
          <w:ilvl w:val="1"/>
          <w:numId w:val="8"/>
        </w:numPr>
        <w:shd w:val="clear"/>
        <w:tabs>
          <w:tab w:val="left" w:pos="171"/>
          <w:tab w:val="clear" w:pos="0"/>
        </w:tabs>
        <w:adjustRightInd w:val="0"/>
        <w:spacing w:line="240" w:lineRule="auto"/>
        <w:ind w:firstLine="482" w:firstLineChars="200"/>
        <w:jc w:val="both"/>
        <w:rPr>
          <w:rFonts w:hint="eastAsia" w:ascii="宋体" w:hAnsi="宋体" w:eastAsia="宋体" w:cs="宋体"/>
          <w:b/>
          <w:bCs/>
          <w:color w:val="auto"/>
          <w:highlight w:val="none"/>
          <w:lang w:eastAsia="en-US" w:bidi="ar"/>
        </w:rPr>
      </w:pPr>
      <w:bookmarkStart w:id="506" w:name="_Toc25916"/>
      <w:bookmarkStart w:id="507" w:name="_Toc10278"/>
      <w:bookmarkStart w:id="508" w:name="_Toc22013"/>
      <w:r>
        <w:rPr>
          <w:rFonts w:hint="eastAsia" w:ascii="宋体" w:hAnsi="宋体" w:eastAsia="宋体" w:cs="宋体"/>
          <w:b/>
          <w:bCs/>
          <w:color w:val="auto"/>
          <w:highlight w:val="none"/>
          <w:lang w:eastAsia="en-US" w:bidi="ar"/>
        </w:rPr>
        <w:t>商务报价文件</w:t>
      </w:r>
      <w:bookmarkEnd w:id="506"/>
      <w:bookmarkEnd w:id="507"/>
      <w:bookmarkEnd w:id="508"/>
    </w:p>
    <w:p w14:paraId="7A0A251A">
      <w:pPr>
        <w:pStyle w:val="26"/>
        <w:shd w:val="clear"/>
        <w:spacing w:line="312" w:lineRule="auto"/>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包括但不限于以下内容：</w:t>
      </w:r>
    </w:p>
    <w:p w14:paraId="15F10045">
      <w:pPr>
        <w:pStyle w:val="26"/>
        <w:shd w:val="clear"/>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▲（1）开标一览表；（格式见附件</w:t>
      </w: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4</w:t>
      </w:r>
      <w:r>
        <w:rPr>
          <w:rFonts w:hint="eastAsia" w:ascii="宋体" w:hAnsi="宋体" w:eastAsia="宋体" w:cs="宋体"/>
          <w:color w:val="auto"/>
          <w:highlight w:val="none"/>
        </w:rPr>
        <w:t>）</w:t>
      </w:r>
    </w:p>
    <w:p w14:paraId="45AFB4DE">
      <w:pPr>
        <w:pStyle w:val="26"/>
        <w:shd w:val="clear"/>
        <w:spacing w:line="312" w:lineRule="auto"/>
        <w:ind w:firstLine="48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hAnsi="宋体" w:cs="宋体"/>
          <w:color w:val="auto"/>
          <w:highlight w:val="none"/>
          <w:lang w:eastAsia="zh-CN"/>
        </w:rPr>
        <w:t>（</w:t>
      </w:r>
      <w:r>
        <w:rPr>
          <w:rFonts w:hint="eastAsia" w:hAnsi="宋体" w:cs="宋体"/>
          <w:color w:val="auto"/>
          <w:highlight w:val="none"/>
          <w:lang w:val="en-US" w:eastAsia="zh-CN"/>
        </w:rPr>
        <w:t>2</w:t>
      </w:r>
      <w:r>
        <w:rPr>
          <w:rFonts w:hint="eastAsia" w:hAnsi="宋体" w:cs="宋体"/>
          <w:color w:val="auto"/>
          <w:highlight w:val="none"/>
          <w:lang w:eastAsia="zh-CN"/>
        </w:rPr>
        <w:t>）</w:t>
      </w:r>
      <w:r>
        <w:rPr>
          <w:rFonts w:hint="eastAsia" w:hAnsi="宋体" w:cs="宋体"/>
          <w:color w:val="auto"/>
          <w:highlight w:val="none"/>
          <w:lang w:val="en-US" w:eastAsia="zh-CN"/>
        </w:rPr>
        <w:t>清单报价明细表</w:t>
      </w:r>
      <w:r>
        <w:rPr>
          <w:rFonts w:hint="eastAsia" w:ascii="宋体" w:hAnsi="宋体" w:eastAsia="宋体" w:cs="宋体"/>
          <w:color w:val="auto"/>
          <w:highlight w:val="none"/>
        </w:rPr>
        <w:t>；（格式见附件</w:t>
      </w: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w:t>
      </w:r>
      <w:r>
        <w:rPr>
          <w:rFonts w:hint="eastAsia" w:ascii="宋体" w:hAnsi="宋体" w:eastAsia="宋体" w:cs="宋体"/>
          <w:color w:val="auto"/>
          <w:highlight w:val="none"/>
        </w:rPr>
        <w:t>）</w:t>
      </w:r>
    </w:p>
    <w:p w14:paraId="54AD9251">
      <w:pPr>
        <w:pStyle w:val="26"/>
        <w:shd w:val="clear"/>
        <w:spacing w:line="312"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w:t>
      </w:r>
      <w:r>
        <w:rPr>
          <w:rFonts w:hint="eastAsia" w:hAnsi="宋体" w:cs="宋体"/>
          <w:color w:val="auto"/>
          <w:highlight w:val="none"/>
          <w:lang w:eastAsia="zh-CN"/>
        </w:rPr>
        <w:t>投标人</w:t>
      </w:r>
      <w:r>
        <w:rPr>
          <w:rFonts w:hint="eastAsia" w:ascii="宋体" w:hAnsi="宋体" w:eastAsia="宋体" w:cs="宋体"/>
          <w:color w:val="auto"/>
          <w:highlight w:val="none"/>
        </w:rPr>
        <w:t>需要说明的其他文件和说明。</w:t>
      </w:r>
    </w:p>
    <w:bookmarkEnd w:id="500"/>
    <w:p w14:paraId="42B82EA8">
      <w:pPr>
        <w:shd w:val="clear"/>
        <w:spacing w:line="312" w:lineRule="auto"/>
        <w:ind w:firstLine="482"/>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注：1.以上文件组成投标文件。</w:t>
      </w:r>
      <w:r>
        <w:rPr>
          <w:rFonts w:hint="eastAsia" w:ascii="宋体" w:hAnsi="宋体" w:cs="宋体"/>
          <w:b/>
          <w:bCs/>
          <w:color w:val="auto"/>
          <w:highlight w:val="none"/>
          <w:u w:val="single"/>
          <w:lang w:eastAsia="zh-CN"/>
        </w:rPr>
        <w:t>投标人</w:t>
      </w:r>
      <w:r>
        <w:rPr>
          <w:rFonts w:hint="eastAsia" w:ascii="宋体" w:hAnsi="宋体" w:eastAsia="宋体" w:cs="宋体"/>
          <w:b/>
          <w:bCs/>
          <w:color w:val="auto"/>
          <w:highlight w:val="none"/>
          <w:u w:val="single"/>
        </w:rPr>
        <w:t>应对招标文件</w:t>
      </w:r>
      <w:r>
        <w:rPr>
          <w:rFonts w:hint="eastAsia" w:ascii="宋体" w:hAnsi="宋体" w:eastAsia="宋体" w:cs="宋体"/>
          <w:b/>
          <w:bCs/>
          <w:color w:val="auto"/>
          <w:highlight w:val="none"/>
          <w:u w:val="single"/>
          <w:lang w:eastAsia="zh-CN"/>
        </w:rPr>
        <w:t>作出</w:t>
      </w:r>
      <w:r>
        <w:rPr>
          <w:rFonts w:hint="eastAsia" w:ascii="宋体" w:hAnsi="宋体" w:eastAsia="宋体" w:cs="宋体"/>
          <w:b/>
          <w:bCs/>
          <w:color w:val="auto"/>
          <w:highlight w:val="none"/>
          <w:u w:val="single"/>
        </w:rPr>
        <w:t>实质性响应，该项内容将作为投标的重要指标。一旦开标后，经审核确定投标资格和技术能力不能响应招标文件要求，则</w:t>
      </w:r>
      <w:r>
        <w:rPr>
          <w:rFonts w:hint="eastAsia" w:ascii="宋体" w:hAnsi="宋体" w:cs="宋体"/>
          <w:b/>
          <w:bCs/>
          <w:color w:val="auto"/>
          <w:highlight w:val="none"/>
          <w:u w:val="single"/>
          <w:lang w:eastAsia="zh-CN"/>
        </w:rPr>
        <w:t>投标人</w:t>
      </w:r>
      <w:r>
        <w:rPr>
          <w:rFonts w:hint="eastAsia" w:ascii="宋体" w:hAnsi="宋体" w:eastAsia="宋体" w:cs="宋体"/>
          <w:b/>
          <w:bCs/>
          <w:color w:val="auto"/>
          <w:highlight w:val="none"/>
          <w:u w:val="single"/>
        </w:rPr>
        <w:t>即刻被废标或被拒绝进入商务报价阶段。</w:t>
      </w:r>
    </w:p>
    <w:p w14:paraId="3FBE0F6C">
      <w:pPr>
        <w:shd w:val="clear"/>
        <w:spacing w:line="312" w:lineRule="auto"/>
        <w:ind w:firstLine="482"/>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2.以上所需的各种证书、证件、证明、执照等证明文件扫描件上应加盖</w:t>
      </w:r>
      <w:r>
        <w:rPr>
          <w:rFonts w:hint="eastAsia" w:ascii="宋体" w:hAnsi="宋体" w:cs="宋体"/>
          <w:b/>
          <w:bCs/>
          <w:color w:val="auto"/>
          <w:highlight w:val="none"/>
          <w:u w:val="single"/>
          <w:lang w:eastAsia="zh-CN"/>
        </w:rPr>
        <w:t>投标人</w:t>
      </w:r>
      <w:r>
        <w:rPr>
          <w:rFonts w:hint="eastAsia" w:ascii="宋体" w:hAnsi="宋体" w:eastAsia="宋体" w:cs="宋体"/>
          <w:b/>
          <w:bCs/>
          <w:color w:val="auto"/>
          <w:highlight w:val="none"/>
          <w:u w:val="single"/>
        </w:rPr>
        <w:t>的电子公章，否则相应部分不得分。</w:t>
      </w:r>
    </w:p>
    <w:p w14:paraId="01041191">
      <w:pPr>
        <w:pStyle w:val="37"/>
        <w:numPr>
          <w:ilvl w:val="0"/>
          <w:numId w:val="9"/>
        </w:numPr>
        <w:shd w:val="clear"/>
        <w:adjustRightInd w:val="0"/>
        <w:spacing w:line="312" w:lineRule="auto"/>
        <w:ind w:firstLine="480" w:firstLineChars="20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投标文件的编制</w:t>
      </w:r>
    </w:p>
    <w:p w14:paraId="671CD6B8">
      <w:pPr>
        <w:pStyle w:val="37"/>
        <w:numPr>
          <w:ilvl w:val="1"/>
          <w:numId w:val="10"/>
        </w:numPr>
        <w:shd w:val="clear"/>
        <w:tabs>
          <w:tab w:val="left" w:pos="171"/>
          <w:tab w:val="clear" w:pos="0"/>
        </w:tabs>
        <w:adjustRightInd w:val="0"/>
        <w:spacing w:line="312" w:lineRule="auto"/>
        <w:ind w:left="0" w:firstLine="48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投标文件应按第六章“投标文件格式”进行编写，如有必要，可以增加附页，作为投标文件的组成部分。其中，投标函在满足招标文件实质性要求的基础上，可以提出比招标文件要求更有利于采购人的承诺。</w:t>
      </w:r>
    </w:p>
    <w:p w14:paraId="628B4497">
      <w:pPr>
        <w:pStyle w:val="37"/>
        <w:numPr>
          <w:ilvl w:val="1"/>
          <w:numId w:val="10"/>
        </w:numPr>
        <w:shd w:val="clear"/>
        <w:tabs>
          <w:tab w:val="left" w:pos="171"/>
          <w:tab w:val="clear" w:pos="0"/>
        </w:tabs>
        <w:adjustRightInd w:val="0"/>
        <w:spacing w:line="312" w:lineRule="auto"/>
        <w:ind w:left="0" w:firstLine="48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投标文件的制作要求详见本章“电子投标说明”。</w:t>
      </w:r>
    </w:p>
    <w:p w14:paraId="403D0A22">
      <w:pPr>
        <w:pStyle w:val="37"/>
        <w:numPr>
          <w:ilvl w:val="1"/>
          <w:numId w:val="10"/>
        </w:numPr>
        <w:shd w:val="clear"/>
        <w:tabs>
          <w:tab w:val="left" w:pos="171"/>
          <w:tab w:val="clear" w:pos="0"/>
        </w:tabs>
        <w:adjustRightInd w:val="0"/>
        <w:spacing w:line="312" w:lineRule="auto"/>
        <w:ind w:left="0" w:firstLine="48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投标文件资格审查文件、资信技术文件和商务报价文件按投标文件格式文件要求</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盖章、法定代表人印章的地方，</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均应使用CA数字证书加盖</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的单位电子印章、法定代表人个人电子印章，上传至衢州市阳光交易服务平台，作为投标文件正本，其余详见</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须知前附表。</w:t>
      </w:r>
    </w:p>
    <w:p w14:paraId="061613F0">
      <w:pPr>
        <w:pStyle w:val="37"/>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投标内容填写说明</w:t>
      </w:r>
    </w:p>
    <w:p w14:paraId="235BF967">
      <w:pPr>
        <w:pStyle w:val="37"/>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无相应内容可填的项应填写“无</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未测试</w:t>
      </w:r>
      <w:r>
        <w:rPr>
          <w:rFonts w:hint="eastAsia" w:ascii="宋体" w:hAnsi="宋体" w:eastAsia="宋体" w:cs="宋体"/>
          <w:color w:val="auto"/>
          <w:highlight w:val="none"/>
          <w:lang w:eastAsia="zh-CN" w:bidi="ar"/>
        </w:rPr>
        <w:t>”“</w:t>
      </w:r>
      <w:r>
        <w:rPr>
          <w:rFonts w:hint="eastAsia" w:ascii="宋体" w:hAnsi="宋体" w:eastAsia="宋体" w:cs="宋体"/>
          <w:color w:val="auto"/>
          <w:highlight w:val="none"/>
          <w:lang w:bidi="ar"/>
        </w:rPr>
        <w:t>没有相应指标”等明确的回答文字。</w:t>
      </w:r>
    </w:p>
    <w:p w14:paraId="5FA881FF">
      <w:pPr>
        <w:pStyle w:val="37"/>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必须保证投标文件所提供的全部资料真实可靠，并接受采购人对任何资料进一步审查的要求。</w:t>
      </w:r>
    </w:p>
    <w:p w14:paraId="05D6D6DB">
      <w:pPr>
        <w:pStyle w:val="37"/>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《开标一览表》为在开标仪式上唱标的内容，要求按格式填写、统一规范，不得自行增减内容。</w:t>
      </w:r>
    </w:p>
    <w:p w14:paraId="0FF25C5A">
      <w:pPr>
        <w:pStyle w:val="37"/>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投标文件须对招标文件中的内容做出实质性、完整的响应，否则其投标将被拒绝。如果投标文件填报的内容资料不详，或没有提供招标文件中所要求的全部资料及数据，将会导致投标被拒绝。</w:t>
      </w:r>
    </w:p>
    <w:p w14:paraId="19F75B47">
      <w:pPr>
        <w:pStyle w:val="37"/>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已明知采购期间或之后企业将发生兼并改制，应当告知采购人可能影响采购服务项目实施或损害采购人利益的信息，必须在投标文件中予以特别说明，否则，采购人可以拒绝其投标文件。</w:t>
      </w:r>
    </w:p>
    <w:p w14:paraId="0EBD12AB">
      <w:pPr>
        <w:pStyle w:val="37"/>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投标文件不得涂改和增删，如有错漏必须修改，修改处须由法人或授权代表在旁边签字或盖章或加盖</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公章才有效。</w:t>
      </w:r>
    </w:p>
    <w:p w14:paraId="7CB22713">
      <w:pPr>
        <w:pStyle w:val="37"/>
        <w:numPr>
          <w:ilvl w:val="1"/>
          <w:numId w:val="11"/>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由于字迹模糊或表达不清引起的后果由</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负责。</w:t>
      </w:r>
    </w:p>
    <w:p w14:paraId="4D6A7644">
      <w:pPr>
        <w:pStyle w:val="37"/>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投标报价</w:t>
      </w:r>
    </w:p>
    <w:p w14:paraId="2FD729A2">
      <w:pPr>
        <w:pStyle w:val="37"/>
        <w:numPr>
          <w:ilvl w:val="1"/>
          <w:numId w:val="12"/>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zh-CN"/>
        </w:rPr>
        <w:t>投标报价是指</w:t>
      </w:r>
      <w:r>
        <w:rPr>
          <w:rFonts w:hint="eastAsia" w:ascii="宋体" w:hAnsi="宋体" w:cs="宋体"/>
          <w:color w:val="auto"/>
          <w:highlight w:val="none"/>
          <w:lang w:eastAsia="zh-CN"/>
        </w:rPr>
        <w:t>投标人</w:t>
      </w:r>
      <w:r>
        <w:rPr>
          <w:rFonts w:hint="eastAsia" w:ascii="宋体" w:hAnsi="宋体" w:eastAsia="宋体" w:cs="宋体"/>
          <w:color w:val="auto"/>
          <w:highlight w:val="none"/>
          <w:lang w:val="zh-CN"/>
        </w:rPr>
        <w:t>在正确地完全履行合同义务后采购人应支付给</w:t>
      </w:r>
      <w:r>
        <w:rPr>
          <w:rFonts w:hint="eastAsia" w:ascii="宋体" w:hAnsi="宋体" w:cs="宋体"/>
          <w:color w:val="auto"/>
          <w:highlight w:val="none"/>
          <w:lang w:eastAsia="zh-CN"/>
        </w:rPr>
        <w:t>中标人</w:t>
      </w:r>
      <w:r>
        <w:rPr>
          <w:rFonts w:hint="eastAsia" w:ascii="宋体" w:hAnsi="宋体" w:eastAsia="宋体" w:cs="宋体"/>
          <w:color w:val="auto"/>
          <w:highlight w:val="none"/>
          <w:lang w:val="zh-CN"/>
        </w:rPr>
        <w:t>所有的价款</w:t>
      </w:r>
      <w:r>
        <w:rPr>
          <w:rFonts w:hint="eastAsia" w:ascii="宋体" w:hAnsi="宋体" w:cs="宋体"/>
          <w:color w:val="auto"/>
          <w:highlight w:val="none"/>
          <w:lang w:val="zh-CN"/>
        </w:rPr>
        <w:t>，</w:t>
      </w:r>
      <w:r>
        <w:rPr>
          <w:rFonts w:hint="eastAsia" w:ascii="宋体" w:hAnsi="宋体" w:cs="宋体"/>
          <w:color w:val="auto"/>
          <w:highlight w:val="none"/>
          <w:lang w:val="en-US" w:eastAsia="zh-CN"/>
        </w:rPr>
        <w:t>本项目为总价合同。</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的投标报价不得高于采购人给定的最高限价，否则投标文件</w:t>
      </w:r>
      <w:r>
        <w:rPr>
          <w:rFonts w:hint="eastAsia" w:ascii="宋体" w:hAnsi="宋体" w:eastAsia="宋体" w:cs="宋体"/>
          <w:color w:val="auto"/>
          <w:highlight w:val="none"/>
          <w:lang w:eastAsia="zh-CN" w:bidi="ar"/>
        </w:rPr>
        <w:t>无效</w:t>
      </w:r>
      <w:r>
        <w:rPr>
          <w:rFonts w:hint="eastAsia" w:ascii="宋体" w:hAnsi="宋体" w:eastAsia="宋体" w:cs="宋体"/>
          <w:color w:val="auto"/>
          <w:highlight w:val="none"/>
          <w:lang w:bidi="ar"/>
        </w:rPr>
        <w:t>。</w:t>
      </w:r>
    </w:p>
    <w:p w14:paraId="4E6FE22E">
      <w:pPr>
        <w:pStyle w:val="37"/>
        <w:numPr>
          <w:ilvl w:val="1"/>
          <w:numId w:val="12"/>
        </w:numPr>
        <w:shd w:val="clear"/>
        <w:tabs>
          <w:tab w:val="left" w:pos="171"/>
          <w:tab w:val="clear" w:pos="0"/>
        </w:tabs>
        <w:adjustRightInd w:val="0"/>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任何算术性错误，采购人将按下述原则予以调整：</w:t>
      </w:r>
    </w:p>
    <w:p w14:paraId="250BCFC2">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（1）开标时，投标文件中开标一览表（报价表）内容与投标文件中明细表内容不一致的，以开标一览表（报价表）为准；</w:t>
      </w:r>
    </w:p>
    <w:p w14:paraId="2FD06B06">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14:paraId="3BA2C669">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（3）单价金额小数点或百分比有明显错位的，以开标一览表的总价为准，并修改单价；</w:t>
      </w:r>
    </w:p>
    <w:p w14:paraId="19ABD067">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（4）总价金额与按单价汇总金额不一致的，以单价金额计算结果为准；同时出现两种以上不一致的，按照前款规定的顺序修正，修正后的报价应经</w:t>
      </w:r>
      <w:r>
        <w:rPr>
          <w:rFonts w:hint="eastAsia" w:ascii="宋体" w:hAnsi="宋体" w:cs="宋体"/>
          <w:color w:val="auto"/>
          <w:highlight w:val="none"/>
          <w:lang w:eastAsia="zh-CN"/>
        </w:rPr>
        <w:t>投标人</w:t>
      </w:r>
      <w:r>
        <w:rPr>
          <w:rFonts w:hint="eastAsia" w:ascii="宋体" w:hAnsi="宋体" w:eastAsia="宋体" w:cs="宋体"/>
          <w:color w:val="auto"/>
          <w:highlight w:val="none"/>
        </w:rPr>
        <w:t>书面确认，</w:t>
      </w:r>
      <w:r>
        <w:rPr>
          <w:rFonts w:hint="eastAsia" w:ascii="宋体" w:hAnsi="宋体" w:cs="宋体"/>
          <w:color w:val="auto"/>
          <w:highlight w:val="none"/>
          <w:lang w:eastAsia="zh-CN"/>
        </w:rPr>
        <w:t>投标人</w:t>
      </w:r>
      <w:r>
        <w:rPr>
          <w:rFonts w:hint="eastAsia" w:ascii="宋体" w:hAnsi="宋体" w:eastAsia="宋体" w:cs="宋体"/>
          <w:color w:val="auto"/>
          <w:highlight w:val="none"/>
        </w:rPr>
        <w:t>不予确认的，其投标无效。</w:t>
      </w:r>
    </w:p>
    <w:p w14:paraId="5E9F328B">
      <w:pPr>
        <w:pStyle w:val="6"/>
        <w:numPr>
          <w:ilvl w:val="1"/>
          <w:numId w:val="0"/>
        </w:numPr>
        <w:shd w:val="clear"/>
        <w:spacing w:beforeLines="0" w:afterLines="0"/>
        <w:rPr>
          <w:rFonts w:hint="eastAsia" w:ascii="宋体" w:hAnsi="宋体" w:eastAsia="宋体" w:cs="宋体"/>
          <w:b/>
          <w:bCs w:val="0"/>
          <w:color w:val="auto"/>
          <w:highlight w:val="none"/>
          <w:lang w:bidi="ar"/>
        </w:rPr>
      </w:pPr>
      <w:bookmarkStart w:id="509" w:name="_Toc23535"/>
      <w:bookmarkStart w:id="510" w:name="_Toc17806"/>
      <w:bookmarkStart w:id="511" w:name="_Toc1082"/>
      <w:bookmarkStart w:id="512" w:name="_Toc13814"/>
      <w:r>
        <w:rPr>
          <w:rFonts w:hint="eastAsia" w:ascii="宋体" w:hAnsi="宋体" w:eastAsia="宋体" w:cs="宋体"/>
          <w:b/>
          <w:bCs w:val="0"/>
          <w:color w:val="auto"/>
          <w:highlight w:val="none"/>
          <w:lang w:bidi="ar"/>
        </w:rPr>
        <w:t>五、投标文件的递交</w:t>
      </w:r>
      <w:bookmarkEnd w:id="509"/>
      <w:bookmarkEnd w:id="510"/>
      <w:bookmarkEnd w:id="511"/>
      <w:bookmarkEnd w:id="512"/>
    </w:p>
    <w:p w14:paraId="6DEA42DA">
      <w:pPr>
        <w:pStyle w:val="37"/>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递交投标文件方式和</w:t>
      </w:r>
      <w:r>
        <w:rPr>
          <w:rFonts w:hint="eastAsia" w:ascii="宋体" w:hAnsi="宋体" w:eastAsia="宋体" w:cs="宋体"/>
          <w:color w:val="auto"/>
          <w:highlight w:val="none"/>
          <w:lang w:eastAsia="zh-CN" w:bidi="ar"/>
        </w:rPr>
        <w:t>地址</w:t>
      </w:r>
    </w:p>
    <w:p w14:paraId="46AFF9B3">
      <w:pPr>
        <w:pStyle w:val="32"/>
        <w:shd w:val="clear"/>
        <w:tabs>
          <w:tab w:val="right" w:leader="dot" w:pos="9060"/>
          <w:tab w:val="right" w:leader="dot" w:pos="9170"/>
          <w:tab w:val="clear" w:pos="9628"/>
        </w:tabs>
        <w:adjustRightInd w:val="0"/>
        <w:snapToGrid w:val="0"/>
        <w:spacing w:line="420" w:lineRule="exact"/>
        <w:ind w:firstLine="480"/>
        <w:jc w:val="both"/>
        <w:rPr>
          <w:rFonts w:hint="eastAsia" w:ascii="宋体" w:hAnsi="宋体" w:eastAsia="宋体" w:cs="宋体"/>
          <w:b w:val="0"/>
          <w:bCs w:val="0"/>
          <w:caps w:val="0"/>
          <w:color w:val="auto"/>
          <w:sz w:val="24"/>
          <w:szCs w:val="24"/>
          <w:highlight w:val="none"/>
        </w:rPr>
      </w:pPr>
      <w:r>
        <w:rPr>
          <w:rFonts w:hint="eastAsia" w:ascii="宋体" w:hAnsi="宋体" w:eastAsia="宋体" w:cs="宋体"/>
          <w:b w:val="0"/>
          <w:bCs w:val="0"/>
          <w:caps w:val="0"/>
          <w:color w:val="auto"/>
          <w:sz w:val="24"/>
          <w:szCs w:val="24"/>
          <w:highlight w:val="none"/>
        </w:rPr>
        <w:t>将由投标文件制作工具制作生成的加密投标文件（.QZCGTF）在投标截止时间前（以上传完成时间为准）上传至衢州市阳光交易服务平台（https://qzygjy.com/）。</w:t>
      </w:r>
    </w:p>
    <w:p w14:paraId="1F38D4FF">
      <w:pPr>
        <w:pStyle w:val="37"/>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递交投标文件截止期</w:t>
      </w:r>
    </w:p>
    <w:p w14:paraId="62454830">
      <w:pPr>
        <w:pStyle w:val="37"/>
        <w:numPr>
          <w:ilvl w:val="1"/>
          <w:numId w:val="13"/>
        </w:numPr>
        <w:shd w:val="clear"/>
        <w:tabs>
          <w:tab w:val="left" w:pos="171"/>
        </w:tabs>
        <w:adjustRightInd w:val="0"/>
        <w:spacing w:line="312" w:lineRule="auto"/>
        <w:ind w:firstLine="480"/>
        <w:rPr>
          <w:rFonts w:hint="eastAsia" w:ascii="宋体" w:hAnsi="宋体" w:eastAsia="宋体" w:cs="宋体"/>
          <w:color w:val="auto"/>
          <w:highlight w:val="none"/>
          <w:lang w:val="zh-CN" w:bidi="ar"/>
        </w:rPr>
      </w:pP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应在</w:t>
      </w: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须知前附表规定的投标截止时间前递交投标文件。</w:t>
      </w:r>
    </w:p>
    <w:p w14:paraId="79CDBB2E">
      <w:pPr>
        <w:pStyle w:val="37"/>
        <w:numPr>
          <w:ilvl w:val="1"/>
          <w:numId w:val="13"/>
        </w:numPr>
        <w:shd w:val="clear"/>
        <w:tabs>
          <w:tab w:val="left" w:pos="171"/>
        </w:tabs>
        <w:adjustRightInd w:val="0"/>
        <w:spacing w:line="312" w:lineRule="auto"/>
        <w:ind w:firstLine="480"/>
        <w:rPr>
          <w:rFonts w:hint="eastAsia" w:ascii="宋体" w:hAnsi="宋体" w:eastAsia="宋体" w:cs="宋体"/>
          <w:color w:val="auto"/>
          <w:highlight w:val="none"/>
          <w:lang w:val="zh-CN" w:bidi="ar"/>
        </w:rPr>
      </w:pP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递交投标文件的地址：见</w:t>
      </w: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须知前附表。</w:t>
      </w:r>
    </w:p>
    <w:p w14:paraId="6B19C974">
      <w:pPr>
        <w:pStyle w:val="37"/>
        <w:numPr>
          <w:ilvl w:val="0"/>
          <w:numId w:val="9"/>
        </w:numPr>
        <w:shd w:val="clear"/>
        <w:adjustRightInd w:val="0"/>
        <w:spacing w:line="312" w:lineRule="auto"/>
        <w:ind w:firstLine="480"/>
        <w:jc w:val="both"/>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投标文件的修改和撤销</w:t>
      </w:r>
    </w:p>
    <w:p w14:paraId="7F229975">
      <w:pPr>
        <w:pStyle w:val="37"/>
        <w:numPr>
          <w:ilvl w:val="255"/>
          <w:numId w:val="0"/>
        </w:numPr>
        <w:shd w:val="clear"/>
        <w:tabs>
          <w:tab w:val="left" w:pos="171"/>
        </w:tabs>
        <w:spacing w:line="312"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rPr>
        <w:t>在本章第25.1项规定的投标截止时间前，</w:t>
      </w:r>
      <w:r>
        <w:rPr>
          <w:rFonts w:hint="eastAsia" w:ascii="宋体" w:hAnsi="宋体" w:cs="宋体"/>
          <w:color w:val="auto"/>
          <w:highlight w:val="none"/>
          <w:lang w:eastAsia="zh-CN"/>
        </w:rPr>
        <w:t>投标人</w:t>
      </w:r>
      <w:r>
        <w:rPr>
          <w:rFonts w:hint="eastAsia" w:ascii="宋体" w:hAnsi="宋体" w:eastAsia="宋体" w:cs="宋体"/>
          <w:color w:val="auto"/>
          <w:highlight w:val="none"/>
        </w:rPr>
        <w:t>可以修改或撤回已递交的投标文件，但应以书面形式通知采购人。</w:t>
      </w:r>
    </w:p>
    <w:p w14:paraId="72915016">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13" w:name="_Toc8383"/>
      <w:bookmarkStart w:id="514" w:name="_Toc11534"/>
      <w:bookmarkStart w:id="515" w:name="_Toc1411"/>
      <w:bookmarkStart w:id="516" w:name="_Toc30998"/>
      <w:bookmarkStart w:id="517" w:name="_Toc20370"/>
      <w:r>
        <w:rPr>
          <w:rFonts w:hint="eastAsia" w:ascii="宋体" w:hAnsi="宋体" w:cs="宋体"/>
          <w:b/>
          <w:bCs w:val="0"/>
          <w:color w:val="auto"/>
          <w:highlight w:val="none"/>
          <w:lang w:bidi="ar"/>
        </w:rPr>
        <w:t>六、投标无效的情形</w:t>
      </w:r>
      <w:bookmarkEnd w:id="513"/>
      <w:bookmarkEnd w:id="514"/>
      <w:bookmarkEnd w:id="515"/>
      <w:bookmarkEnd w:id="516"/>
      <w:bookmarkEnd w:id="517"/>
    </w:p>
    <w:p w14:paraId="06D357D1">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实质上没有响应招标文件要求的投标将被视为无效投标。</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不得通过修正或撤销不合要求的偏离或保留从而使其投标成为实质上响应的投标。如发生下列情况之一的，其投标视为无效：</w:t>
      </w:r>
    </w:p>
    <w:p w14:paraId="2014456F">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投标文件逾期上传标书的；</w:t>
      </w:r>
    </w:p>
    <w:p w14:paraId="6C919263">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不具备招标文件规定的资格要求；</w:t>
      </w:r>
    </w:p>
    <w:p w14:paraId="1A75DEFD">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投标文件未按招标文件的要求加盖单位公章，或投标人的法定代表人未按招标文件要求签字或盖章的；</w:t>
      </w:r>
    </w:p>
    <w:p w14:paraId="70B5DE3A">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招标文件中有▲处条款或▲处参数投标人未做实质性响应的；</w:t>
      </w:r>
    </w:p>
    <w:p w14:paraId="7F306843">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投标文件的实质性内容未使用中文表述、意思表述不明确、前后矛盾或者使用计量单位不符合招标文件要求的（经评标委员会认定允许其当场更正的笔误除外）；</w:t>
      </w:r>
    </w:p>
    <w:p w14:paraId="6FCC67D0">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outlineLvl w:val="2"/>
        <w:rPr>
          <w:rFonts w:ascii="宋体" w:hAnsi="宋体" w:cs="宋体"/>
          <w:color w:val="auto"/>
          <w:highlight w:val="none"/>
          <w:lang w:val="zh-CN" w:bidi="ar"/>
        </w:rPr>
      </w:pPr>
      <w:r>
        <w:rPr>
          <w:rFonts w:hint="eastAsia" w:ascii="宋体" w:hAnsi="宋体" w:cs="宋体"/>
          <w:color w:val="auto"/>
          <w:highlight w:val="none"/>
          <w:lang w:val="zh-CN" w:bidi="ar"/>
        </w:rPr>
        <w:t>投标文件关键内容字迹模糊、无法辨认的；</w:t>
      </w:r>
    </w:p>
    <w:p w14:paraId="7425BDFE">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投标人案不明确，存在一个或一个以上备选（替代）投标人案的；</w:t>
      </w:r>
    </w:p>
    <w:p w14:paraId="0FA11C9A">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资信技术文件中包含本次报价的；</w:t>
      </w:r>
    </w:p>
    <w:p w14:paraId="44A0ABC8">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未按照招标文件标明的币种报价的；</w:t>
      </w:r>
    </w:p>
    <w:p w14:paraId="108A3B85">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投标报价具有选择性，或者开标价格与投标文件承诺的优惠（折扣）价格不一致的；</w:t>
      </w:r>
    </w:p>
    <w:p w14:paraId="60D31301">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投标报价明细表总额与开标一览表总价不一致，且高于总价5％的；</w:t>
      </w:r>
    </w:p>
    <w:p w14:paraId="64A0B154">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投标人的报价明显高于其市场价或低于成本价的，该投标人不能合理说明原因并提供证明材料的；</w:t>
      </w:r>
    </w:p>
    <w:p w14:paraId="13692E65">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投标报价漏项超过投标报价5%以上的或漏项超过2项及以上的，均属无效投标；</w:t>
      </w:r>
    </w:p>
    <w:p w14:paraId="74C55601">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报价超出采购招标控制价（最高限价）的；</w:t>
      </w:r>
    </w:p>
    <w:p w14:paraId="7A927D1C">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b/>
          <w:bCs/>
          <w:color w:val="auto"/>
          <w:highlight w:val="none"/>
          <w:lang w:val="zh-CN" w:bidi="ar"/>
        </w:rPr>
      </w:pPr>
      <w:r>
        <w:rPr>
          <w:rFonts w:hint="eastAsia" w:ascii="宋体" w:hAnsi="宋体" w:cs="宋体"/>
          <w:b/>
          <w:bCs/>
          <w:color w:val="auto"/>
          <w:highlight w:val="none"/>
          <w:lang w:val="en-US" w:eastAsia="zh-CN" w:bidi="ar"/>
        </w:rPr>
        <w:t>资信技术得分低于资信技术总分60%的；</w:t>
      </w:r>
    </w:p>
    <w:p w14:paraId="08E3AD67">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提供虚假材料谋取中标的；</w:t>
      </w:r>
    </w:p>
    <w:p w14:paraId="45D4472A">
      <w:pPr>
        <w:pStyle w:val="37"/>
        <w:pageBreakBefore w:val="0"/>
        <w:numPr>
          <w:ilvl w:val="1"/>
          <w:numId w:val="14"/>
        </w:numPr>
        <w:shd w:val="clear"/>
        <w:tabs>
          <w:tab w:val="left" w:pos="171"/>
        </w:tabs>
        <w:kinsoku/>
        <w:overflowPunct/>
        <w:topLinePunct w:val="0"/>
        <w:autoSpaceDE/>
        <w:autoSpaceDN/>
        <w:bidi w:val="0"/>
        <w:adjustRightInd w:val="0"/>
        <w:spacing w:line="308" w:lineRule="auto"/>
        <w:ind w:firstLine="480"/>
        <w:textAlignment w:val="auto"/>
        <w:rPr>
          <w:rFonts w:ascii="宋体" w:hAnsi="宋体" w:cs="宋体"/>
          <w:color w:val="auto"/>
          <w:highlight w:val="none"/>
          <w:lang w:val="zh-CN" w:bidi="ar"/>
        </w:rPr>
      </w:pPr>
      <w:r>
        <w:rPr>
          <w:rFonts w:hint="eastAsia" w:ascii="宋体" w:hAnsi="宋体" w:cs="宋体"/>
          <w:color w:val="auto"/>
          <w:highlight w:val="none"/>
          <w:lang w:val="zh-CN" w:bidi="ar"/>
        </w:rPr>
        <w:t>不符合法律法规和招标文件规定的其他实质性要求的。</w:t>
      </w:r>
    </w:p>
    <w:p w14:paraId="2F7D402D">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18" w:name="_Toc22816"/>
      <w:bookmarkStart w:id="519" w:name="_Toc10623"/>
      <w:bookmarkStart w:id="520" w:name="_Toc5200"/>
      <w:bookmarkStart w:id="521" w:name="_Toc31521"/>
      <w:bookmarkStart w:id="522" w:name="_Toc26252"/>
      <w:bookmarkStart w:id="523" w:name="_Toc9415"/>
      <w:r>
        <w:rPr>
          <w:rFonts w:hint="eastAsia" w:ascii="宋体" w:hAnsi="宋体" w:cs="宋体"/>
          <w:b/>
          <w:bCs w:val="0"/>
          <w:color w:val="auto"/>
          <w:highlight w:val="none"/>
          <w:lang w:val="en-US" w:eastAsia="zh-CN" w:bidi="ar"/>
        </w:rPr>
        <w:t>七</w:t>
      </w:r>
      <w:r>
        <w:rPr>
          <w:rFonts w:hint="eastAsia" w:ascii="宋体" w:hAnsi="宋体" w:cs="宋体"/>
          <w:b/>
          <w:bCs w:val="0"/>
          <w:color w:val="auto"/>
          <w:highlight w:val="none"/>
          <w:lang w:bidi="ar"/>
        </w:rPr>
        <w:t>、废标的情形</w:t>
      </w:r>
      <w:bookmarkEnd w:id="518"/>
      <w:bookmarkEnd w:id="519"/>
      <w:bookmarkEnd w:id="520"/>
      <w:bookmarkEnd w:id="521"/>
      <w:bookmarkEnd w:id="522"/>
    </w:p>
    <w:p w14:paraId="35D8B0ED">
      <w:pPr>
        <w:pStyle w:val="37"/>
        <w:pageBreakBefore w:val="0"/>
        <w:numPr>
          <w:ilvl w:val="0"/>
          <w:numId w:val="9"/>
        </w:numPr>
        <w:shd w:val="clear"/>
        <w:kinsoku/>
        <w:overflowPunct/>
        <w:topLinePunct w:val="0"/>
        <w:autoSpaceDE/>
        <w:autoSpaceDN/>
        <w:bidi w:val="0"/>
        <w:adjustRightInd w:val="0"/>
        <w:spacing w:line="308" w:lineRule="auto"/>
        <w:ind w:left="0" w:firstLine="480"/>
        <w:jc w:val="both"/>
        <w:textAlignment w:val="auto"/>
        <w:rPr>
          <w:rFonts w:ascii="宋体" w:hAnsi="宋体" w:cs="宋体"/>
          <w:color w:val="auto"/>
          <w:highlight w:val="none"/>
          <w:lang w:bidi="ar"/>
        </w:rPr>
      </w:pPr>
      <w:bookmarkStart w:id="524" w:name="_Toc11809"/>
      <w:r>
        <w:rPr>
          <w:rFonts w:hint="eastAsia" w:ascii="宋体" w:hAnsi="宋体" w:cs="宋体"/>
          <w:color w:val="auto"/>
          <w:highlight w:val="none"/>
          <w:lang w:bidi="ar"/>
        </w:rPr>
        <w:t>采购中，出现下列情形之一的，应予废标，废标后，采购人将废标理由通知所有</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w:t>
      </w:r>
    </w:p>
    <w:p w14:paraId="326BF6C1">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bookmarkStart w:id="525" w:name="OLE_LINK60"/>
      <w:r>
        <w:rPr>
          <w:rFonts w:hint="eastAsia" w:ascii="宋体" w:hAnsi="宋体" w:cs="宋体"/>
          <w:color w:val="auto"/>
          <w:highlight w:val="none"/>
          <w:lang w:bidi="ar"/>
        </w:rPr>
        <w:t>投标截止时间止提交投标文件的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不足3家或者对招标文件作实质性响应的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不足3家的；</w:t>
      </w:r>
    </w:p>
    <w:p w14:paraId="0D9C8993">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出现影响采购公正的违法、违规行为的；</w:t>
      </w:r>
    </w:p>
    <w:p w14:paraId="084193CA">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的报价均超过了采购预算，采购人不能支付的；</w:t>
      </w:r>
    </w:p>
    <w:p w14:paraId="6FA0034D">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因重大变故，采购任务取消的。</w:t>
      </w:r>
    </w:p>
    <w:p w14:paraId="1738EB69">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snapToGrid/>
        <w:spacing w:line="308" w:lineRule="auto"/>
        <w:ind w:left="0" w:leftChars="0" w:firstLine="480" w:firstLineChars="200"/>
        <w:jc w:val="both"/>
        <w:textAlignment w:val="auto"/>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法律法规以及招标文件规定的其他废标情形的。</w:t>
      </w:r>
    </w:p>
    <w:bookmarkEnd w:id="523"/>
    <w:bookmarkEnd w:id="524"/>
    <w:bookmarkEnd w:id="525"/>
    <w:p w14:paraId="16FC43A1">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26" w:name="_Toc2054"/>
      <w:bookmarkStart w:id="527" w:name="_Toc14371"/>
      <w:bookmarkStart w:id="528" w:name="_Toc8873"/>
      <w:r>
        <w:rPr>
          <w:rFonts w:hint="eastAsia" w:ascii="宋体" w:hAnsi="宋体" w:cs="宋体"/>
          <w:b/>
          <w:bCs w:val="0"/>
          <w:color w:val="auto"/>
          <w:highlight w:val="none"/>
          <w:lang w:val="en-US" w:eastAsia="zh-CN" w:bidi="ar"/>
        </w:rPr>
        <w:t>八</w:t>
      </w:r>
      <w:r>
        <w:rPr>
          <w:rFonts w:hint="eastAsia" w:ascii="宋体" w:hAnsi="宋体" w:cs="宋体"/>
          <w:b/>
          <w:bCs w:val="0"/>
          <w:color w:val="auto"/>
          <w:highlight w:val="none"/>
          <w:lang w:bidi="ar"/>
        </w:rPr>
        <w:t>、开标、评标和定标</w:t>
      </w:r>
      <w:bookmarkEnd w:id="526"/>
      <w:bookmarkEnd w:id="527"/>
      <w:bookmarkEnd w:id="528"/>
    </w:p>
    <w:p w14:paraId="4B09E698">
      <w:pPr>
        <w:pStyle w:val="37"/>
        <w:keepNext w:val="0"/>
        <w:keepLines w:val="0"/>
        <w:pageBreakBefore w:val="0"/>
        <w:widowControl/>
        <w:numPr>
          <w:ilvl w:val="0"/>
          <w:numId w:val="9"/>
        </w:numPr>
        <w:shd w:val="clear"/>
        <w:kinsoku/>
        <w:wordWrap/>
        <w:overflowPunct/>
        <w:topLinePunct w:val="0"/>
        <w:autoSpaceDE/>
        <w:autoSpaceDN/>
        <w:bidi w:val="0"/>
        <w:adjustRightInd w:val="0"/>
        <w:snapToGrid/>
        <w:spacing w:line="308" w:lineRule="auto"/>
        <w:ind w:left="0" w:firstLine="480" w:firstLineChars="20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开标时间、地点、参加开标会议的要求</w:t>
      </w:r>
    </w:p>
    <w:p w14:paraId="6F732A2B">
      <w:pPr>
        <w:pStyle w:val="37"/>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开标时间：同投标截止时间。</w:t>
      </w:r>
    </w:p>
    <w:p w14:paraId="07ECE04D">
      <w:pPr>
        <w:pStyle w:val="37"/>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开标大厅：（https://qzygjy.com/BidOpening/bidopeninghallaction/hall/login）</w:t>
      </w:r>
    </w:p>
    <w:p w14:paraId="4110D1CD">
      <w:pPr>
        <w:pStyle w:val="37"/>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参加开标会议的要求</w:t>
      </w:r>
    </w:p>
    <w:p w14:paraId="164C1C56">
      <w:pPr>
        <w:pStyle w:val="37"/>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开标过程中，</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参与远程音视频交互的</w:t>
      </w:r>
      <w:r>
        <w:rPr>
          <w:rFonts w:hint="eastAsia" w:ascii="宋体" w:hAnsi="宋体" w:cs="宋体"/>
          <w:color w:val="auto"/>
          <w:highlight w:val="none"/>
          <w:lang w:eastAsia="zh-CN" w:bidi="ar"/>
        </w:rPr>
        <w:t>法定代表人</w:t>
      </w:r>
      <w:r>
        <w:rPr>
          <w:rFonts w:hint="eastAsia" w:ascii="宋体" w:hAnsi="宋体" w:cs="宋体"/>
          <w:color w:val="auto"/>
          <w:highlight w:val="none"/>
          <w:lang w:bidi="ar"/>
        </w:rPr>
        <w:t>或授权委托人应始终为同一人，中途不得更换，并能及时响应开标要求。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终端操作人员均被视为</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法人代表或授权委托人，</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自行承担随意更换人员所导致的一切后果。</w:t>
      </w:r>
    </w:p>
    <w:p w14:paraId="31015BEC">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开标程序</w:t>
      </w:r>
    </w:p>
    <w:p w14:paraId="69A48909">
      <w:pPr>
        <w:pStyle w:val="37"/>
        <w:pageBreakBefore w:val="0"/>
        <w:numPr>
          <w:ilvl w:val="255"/>
          <w:numId w:val="0"/>
        </w:numPr>
        <w:shd w:val="clear"/>
        <w:tabs>
          <w:tab w:val="left" w:pos="171"/>
        </w:tabs>
        <w:kinsoku/>
        <w:overflowPunct/>
        <w:topLinePunct w:val="0"/>
        <w:autoSpaceDE/>
        <w:autoSpaceDN/>
        <w:bidi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须准备好加密投标文件的CA数字证书以供开标时远程解密投标文件。</w:t>
      </w:r>
    </w:p>
    <w:p w14:paraId="6D1BAD91">
      <w:pPr>
        <w:pStyle w:val="150"/>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投标截止时间</w:t>
      </w:r>
    </w:p>
    <w:p w14:paraId="2EB750F5">
      <w:pPr>
        <w:pStyle w:val="153"/>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采购人（或公证处工作人员）宣布开始开标，宣布开标项目名称、采购人代表等有关人员姓名，公布在投标截止时间前受理的投标文件的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w:t>
      </w:r>
    </w:p>
    <w:p w14:paraId="32671C4D">
      <w:pPr>
        <w:pStyle w:val="153"/>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w:t>
      </w:r>
    </w:p>
    <w:p w14:paraId="6A5EA554">
      <w:pPr>
        <w:pStyle w:val="153"/>
        <w:pageBreakBefore w:val="0"/>
        <w:widowControl w:val="0"/>
        <w:shd w:val="clear"/>
        <w:tabs>
          <w:tab w:val="right" w:leader="dot" w:pos="8295"/>
        </w:tabs>
        <w:kinsoku/>
        <w:overflowPunct/>
        <w:topLinePunct w:val="0"/>
        <w:autoSpaceDE/>
        <w:autoSpaceDN/>
        <w:bidi w:val="0"/>
        <w:snapToGrid w:val="0"/>
        <w:spacing w:line="308"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解密时间：采购人（公证人员）宣布开始解密后30分钟以内。</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解密方式：</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自行登录衢州市阳光交易服务平台不见面开标大厅（</w:t>
      </w:r>
      <w:r>
        <w:rPr>
          <w:rFonts w:hint="eastAsia" w:ascii="宋体" w:hAnsi="宋体" w:cs="宋体"/>
          <w:snapToGrid w:val="0"/>
          <w:color w:val="auto"/>
          <w:spacing w:val="-6"/>
          <w:sz w:val="24"/>
          <w:szCs w:val="24"/>
          <w:highlight w:val="none"/>
        </w:rPr>
        <w:t>https://qzygjy.com/BidOpening/bidopeninghallaction/hall/login</w:t>
      </w:r>
      <w:r>
        <w:rPr>
          <w:rFonts w:hint="eastAsia" w:ascii="宋体" w:hAnsi="宋体" w:cs="宋体"/>
          <w:snapToGrid w:val="0"/>
          <w:color w:val="auto"/>
          <w:spacing w:val="-6"/>
          <w:sz w:val="24"/>
          <w:szCs w:val="24"/>
          <w:highlight w:val="none"/>
          <w:lang w:eastAsia="zh-CN"/>
        </w:rPr>
        <w:t>）</w:t>
      </w:r>
      <w:r>
        <w:rPr>
          <w:rFonts w:hint="eastAsia" w:ascii="宋体" w:hAnsi="宋体" w:cs="宋体"/>
          <w:color w:val="auto"/>
          <w:sz w:val="24"/>
          <w:szCs w:val="24"/>
          <w:highlight w:val="none"/>
        </w:rPr>
        <w:t>——我的项目——选择标段——待招标代理开启解密后进行解密操作。</w:t>
      </w:r>
    </w:p>
    <w:p w14:paraId="4BB7DC58">
      <w:pPr>
        <w:pStyle w:val="153"/>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使用生成投标文件的CA数字证书解密投标文件。</w:t>
      </w:r>
    </w:p>
    <w:p w14:paraId="38D0D325">
      <w:pPr>
        <w:pStyle w:val="153"/>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（四）投标文件解密完成后，开标系统公布</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名称、投标报价、合同履行期限及其他内容。</w:t>
      </w:r>
    </w:p>
    <w:p w14:paraId="1CFE0E35">
      <w:pPr>
        <w:pStyle w:val="153"/>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确认</w:t>
      </w:r>
    </w:p>
    <w:p w14:paraId="3581F783">
      <w:pPr>
        <w:pStyle w:val="153"/>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唱标完成后，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可通过衢州市阳光交易服务平台不见面开标大厅系统对唱标结果进行确认，未在开标结束前完成在线确认的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，衢州市阳光交易服务平台不见面开标大厅系统将视作自动确认。</w:t>
      </w:r>
    </w:p>
    <w:p w14:paraId="18ED901A">
      <w:pPr>
        <w:pStyle w:val="153"/>
        <w:pageBreakBefore w:val="0"/>
        <w:widowControl w:val="0"/>
        <w:shd w:val="clear"/>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对开标过程有异议的，应通过衢州市阳光交易服务平台不见面开标大厅系统的“开标异议文字提问”按钮进行异议，采购人通过衢州市阳光交易服务平台不见面开标大厅系统文字答复，</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提出异议的时间截止至开标结果公布后5分钟；</w:t>
      </w:r>
    </w:p>
    <w:p w14:paraId="6815636C">
      <w:pPr>
        <w:pStyle w:val="153"/>
        <w:pageBreakBefore w:val="0"/>
        <w:shd w:val="clear"/>
        <w:tabs>
          <w:tab w:val="right" w:leader="dot" w:pos="8295"/>
        </w:tabs>
        <w:kinsoku/>
        <w:overflowPunct/>
        <w:topLinePunct w:val="0"/>
        <w:autoSpaceDE/>
        <w:autoSpaceDN/>
        <w:bidi w:val="0"/>
        <w:snapToGrid w:val="0"/>
        <w:spacing w:line="308"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（六）进入评标环节，首先对解密成功的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进行资格审查，然后对通过资格审查的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进行资信技术文件评审，最后进行报价评分；</w:t>
      </w:r>
    </w:p>
    <w:p w14:paraId="5A5D4B1B">
      <w:pPr>
        <w:pStyle w:val="153"/>
        <w:pageBreakBefore w:val="0"/>
        <w:shd w:val="clear"/>
        <w:tabs>
          <w:tab w:val="right" w:leader="dot" w:pos="8295"/>
        </w:tabs>
        <w:kinsoku/>
        <w:overflowPunct/>
        <w:topLinePunct w:val="0"/>
        <w:autoSpaceDE/>
        <w:autoSpaceDN/>
        <w:bidi w:val="0"/>
        <w:snapToGrid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（七）评标结束后，采购人宣布中标候选人。采购人宣布开标会议结束。</w:t>
      </w:r>
    </w:p>
    <w:p w14:paraId="65C1B2E3">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开标特别说明</w:t>
      </w:r>
    </w:p>
    <w:p w14:paraId="1E1B251D">
      <w:pPr>
        <w:pStyle w:val="150"/>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（一）开标解密使用</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 xml:space="preserve">上传的电子投标文件。 </w:t>
      </w:r>
    </w:p>
    <w:p w14:paraId="3C60E5D8">
      <w:pPr>
        <w:pStyle w:val="150"/>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（二）因</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原因（包括</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自主选择的CA证书、投标工具等），造成其电子投标文件未解密的，或投标文件解密了，但投标文件无法识别、读取的，视为撤销其投标文件。</w:t>
      </w:r>
    </w:p>
    <w:p w14:paraId="0369DB89">
      <w:pPr>
        <w:pStyle w:val="150"/>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（三）部分</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的电子投标文件无法解密（识别、读取）的，其他投标文件的开标可以继续进行，但最终解密（识别、读取）成功的应不少于3家。</w:t>
      </w:r>
    </w:p>
    <w:p w14:paraId="2D315D91">
      <w:pPr>
        <w:pStyle w:val="150"/>
        <w:pageBreakBefore w:val="0"/>
        <w:shd w:val="clear"/>
        <w:kinsoku/>
        <w:overflowPunct/>
        <w:topLinePunct w:val="0"/>
        <w:autoSpaceDE/>
        <w:autoSpaceDN/>
        <w:bidi w:val="0"/>
        <w:spacing w:line="308"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必须使用生成电子投标文件的CA数字证书解密电子投标文件。</w:t>
      </w:r>
    </w:p>
    <w:p w14:paraId="52718664">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评标委员会</w:t>
      </w:r>
    </w:p>
    <w:p w14:paraId="77FEBD4B">
      <w:pPr>
        <w:pStyle w:val="37"/>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评标由采购人依法组建的评标委员会负责。评标委员会成员人数以及技术、经济等方面专家的确定方式见</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须知前附表。</w:t>
      </w:r>
    </w:p>
    <w:p w14:paraId="799BB3BD">
      <w:pPr>
        <w:pStyle w:val="37"/>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提交的投标文件进行评审。</w:t>
      </w:r>
    </w:p>
    <w:p w14:paraId="357D6240">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评标的保密</w:t>
      </w:r>
    </w:p>
    <w:p w14:paraId="08D46C4B">
      <w:pPr>
        <w:pStyle w:val="37"/>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评标采用保密的方式进行。</w:t>
      </w:r>
    </w:p>
    <w:p w14:paraId="21E6BC97">
      <w:pPr>
        <w:pStyle w:val="37"/>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评标委员会成员和参与评标的有关工作人员不得透露对投标文件的评审和比较、中标候选人的推荐情况以及与评标有关的其他情况。</w:t>
      </w:r>
    </w:p>
    <w:p w14:paraId="2982B8B5">
      <w:pPr>
        <w:pStyle w:val="37"/>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在投标文件的评审和比较、中标候选人推荐以及授予合同的过程中，</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向采购人和评标委员会施加影响的任何行为，都将导致其投标被拒绝。</w:t>
      </w:r>
    </w:p>
    <w:p w14:paraId="10166C7D">
      <w:pPr>
        <w:pStyle w:val="37"/>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评标委员会对未</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就评标过程以及未能中标原因不作解释。</w:t>
      </w:r>
    </w:p>
    <w:p w14:paraId="0DAEAD86">
      <w:pPr>
        <w:pStyle w:val="37"/>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采购人不得在</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确定前，与</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就投标价格、</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案等实质性内容进行谈判。</w:t>
      </w:r>
    </w:p>
    <w:p w14:paraId="68046FD4">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评标程序</w:t>
      </w:r>
    </w:p>
    <w:p w14:paraId="030B0D3B">
      <w:pPr>
        <w:pStyle w:val="37"/>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资格审查文件的评审。</w:t>
      </w:r>
    </w:p>
    <w:p w14:paraId="63000636">
      <w:pPr>
        <w:pStyle w:val="37"/>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资信技术文件的评审。</w:t>
      </w:r>
    </w:p>
    <w:p w14:paraId="0AEEFA30">
      <w:pPr>
        <w:pStyle w:val="37"/>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val="en-US" w:eastAsia="zh-CN" w:bidi="ar"/>
        </w:rPr>
        <w:t>商务报价</w:t>
      </w:r>
      <w:r>
        <w:rPr>
          <w:rFonts w:hint="eastAsia" w:ascii="宋体" w:hAnsi="宋体" w:cs="宋体"/>
          <w:color w:val="auto"/>
          <w:highlight w:val="none"/>
          <w:lang w:bidi="ar"/>
        </w:rPr>
        <w:t>文件的</w:t>
      </w:r>
      <w:r>
        <w:rPr>
          <w:rFonts w:hint="eastAsia" w:ascii="宋体" w:hAnsi="宋体" w:cs="宋体"/>
          <w:color w:val="auto"/>
          <w:highlight w:val="none"/>
          <w:lang w:val="en-US" w:eastAsia="zh-CN" w:bidi="ar"/>
        </w:rPr>
        <w:t>评审。</w:t>
      </w:r>
    </w:p>
    <w:p w14:paraId="2398F2F8">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评标办法及评分标准（详见第四章）。</w:t>
      </w:r>
    </w:p>
    <w:p w14:paraId="6636C3E0">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澄清问题的形式</w:t>
      </w:r>
    </w:p>
    <w:p w14:paraId="62CFC7E9">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s="宋体"/>
          <w:color w:val="auto"/>
          <w:highlight w:val="none"/>
        </w:rPr>
      </w:pPr>
      <w:r>
        <w:rPr>
          <w:rFonts w:hint="eastAsia" w:ascii="宋体" w:hAnsi="宋体" w:cs="宋体"/>
          <w:color w:val="auto"/>
          <w:highlight w:val="none"/>
        </w:rPr>
        <w:t>对投标文件中含义不明确、同类问题表述不一致或者有明显文字和计算错误的内容，评标委员会可要求</w:t>
      </w:r>
      <w:r>
        <w:rPr>
          <w:rFonts w:hint="eastAsia" w:ascii="宋体" w:hAnsi="宋体" w:cs="宋体"/>
          <w:color w:val="auto"/>
          <w:highlight w:val="none"/>
          <w:lang w:eastAsia="zh-CN"/>
        </w:rPr>
        <w:t>投标人</w:t>
      </w:r>
      <w:r>
        <w:rPr>
          <w:rFonts w:hint="eastAsia" w:ascii="宋体" w:hAnsi="宋体" w:cs="宋体"/>
          <w:color w:val="auto"/>
          <w:highlight w:val="none"/>
        </w:rPr>
        <w:t>在评标委员会要求的时间内作出必要的澄清、说明或者补正。</w:t>
      </w:r>
      <w:r>
        <w:rPr>
          <w:rFonts w:hint="eastAsia" w:ascii="宋体" w:hAnsi="宋体" w:cs="宋体"/>
          <w:color w:val="auto"/>
          <w:highlight w:val="none"/>
          <w:lang w:eastAsia="zh-CN"/>
        </w:rPr>
        <w:t>投标人</w:t>
      </w:r>
      <w:r>
        <w:rPr>
          <w:rFonts w:hint="eastAsia" w:ascii="宋体" w:hAnsi="宋体" w:cs="宋体"/>
          <w:color w:val="auto"/>
          <w:highlight w:val="none"/>
        </w:rPr>
        <w:t>的澄清、说明或者补正应当采用书面形式，由法定代表人或委托代理人签字确认，并不得超出投标文件的范围或者改变投标文件的实质性内容。如</w:t>
      </w:r>
      <w:r>
        <w:rPr>
          <w:rFonts w:hint="eastAsia" w:ascii="宋体" w:hAnsi="宋体" w:cs="宋体"/>
          <w:color w:val="auto"/>
          <w:highlight w:val="none"/>
          <w:lang w:eastAsia="zh-CN"/>
        </w:rPr>
        <w:t>投标人</w:t>
      </w:r>
      <w:r>
        <w:rPr>
          <w:rFonts w:hint="eastAsia" w:ascii="宋体" w:hAnsi="宋体" w:cs="宋体"/>
          <w:color w:val="auto"/>
          <w:highlight w:val="none"/>
        </w:rPr>
        <w:t>未在规定时间内澄清、说明、补正或拒绝澄清、说明、补正的，其投标文件按无效标处理。</w:t>
      </w:r>
    </w:p>
    <w:p w14:paraId="6010B5FB">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投标文件的澄清</w:t>
      </w:r>
    </w:p>
    <w:p w14:paraId="3478B706">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为有助于投标文件的审查、评价和比较，评标委员会可以通过</w:t>
      </w:r>
      <w:r>
        <w:rPr>
          <w:rFonts w:hint="eastAsia" w:ascii="宋体" w:hAnsi="宋体" w:cs="宋体"/>
          <w:color w:val="auto"/>
          <w:highlight w:val="none"/>
        </w:rPr>
        <w:t>衢州市阳光交易服务平台</w:t>
      </w:r>
      <w:r>
        <w:rPr>
          <w:rFonts w:hint="eastAsia" w:ascii="宋体" w:hAnsi="宋体" w:cs="宋体"/>
          <w:color w:val="auto"/>
          <w:highlight w:val="none"/>
          <w:lang w:bidi="ar"/>
        </w:rPr>
        <w:t>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对投标文件含义不明确的内容</w:t>
      </w:r>
      <w:r>
        <w:rPr>
          <w:rFonts w:hint="eastAsia" w:ascii="宋体" w:hAnsi="宋体" w:cs="宋体"/>
          <w:color w:val="auto"/>
          <w:highlight w:val="none"/>
          <w:lang w:eastAsia="zh-CN" w:bidi="ar"/>
        </w:rPr>
        <w:t>做</w:t>
      </w:r>
      <w:r>
        <w:rPr>
          <w:rFonts w:hint="eastAsia" w:ascii="宋体" w:hAnsi="宋体" w:cs="宋体"/>
          <w:color w:val="auto"/>
          <w:highlight w:val="none"/>
          <w:lang w:bidi="ar"/>
        </w:rPr>
        <w:t>必要的澄清或者说明。</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通过该平台作出澄清回复，澄清回复时间不得超过在发出通知后15分钟</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具体以系统规定的时间为准</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逾期或未按要求澄清回复的，将视为不予回复或确认，评标委员会有权否决其投标。</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通讯不畅通，导致不能及时联系的，视</w:t>
      </w:r>
      <w:r>
        <w:rPr>
          <w:rFonts w:hint="eastAsia" w:ascii="宋体" w:hAnsi="宋体" w:cs="宋体"/>
          <w:color w:val="auto"/>
          <w:highlight w:val="none"/>
          <w:lang w:eastAsia="zh-CN" w:bidi="ar"/>
        </w:rPr>
        <w:t>为投标人</w:t>
      </w:r>
      <w:r>
        <w:rPr>
          <w:rFonts w:hint="eastAsia" w:ascii="宋体" w:hAnsi="宋体" w:cs="宋体"/>
          <w:color w:val="auto"/>
          <w:highlight w:val="none"/>
          <w:lang w:bidi="ar"/>
        </w:rPr>
        <w:t>不予回复或确认。评标委员会对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提交的澄清、说明或补正有疑问的，可以要求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进一步澄清、说明或补正，直至满足评标委员会的要求。</w:t>
      </w:r>
    </w:p>
    <w:p w14:paraId="28346999">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澄清将作为投标内容的一部分，</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对投标文件的澄清或说明不得超出投标文件的范围或改变投标文件的实质性的内容。凡属于评标委员会在评标中发现的计算错误并进行核实的修改不在此列。</w:t>
      </w:r>
    </w:p>
    <w:p w14:paraId="7C069490">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投标文件修正原则：用数字表示的数额与用文字表示的数额不一致时，以文字数额为准；单价与数量的乘积与总价之间不一致时，以单价为准，但单价有明显的小数点错位的，以总价为准，并修改单价。</w:t>
      </w:r>
    </w:p>
    <w:p w14:paraId="5D04AD32">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拒不按照要求对投标文件进行澄清、说明或者补正的，评标委员会可以否决其投标。</w:t>
      </w:r>
    </w:p>
    <w:p w14:paraId="3C9584B1">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确定中标候选人</w:t>
      </w:r>
    </w:p>
    <w:p w14:paraId="5E2D0C4C">
      <w:pPr>
        <w:pStyle w:val="37"/>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本次招标由评标委员会推荐中标候选人，采购人根据评标委员会的推荐结果进行最终确认。</w:t>
      </w:r>
    </w:p>
    <w:p w14:paraId="0CF39615">
      <w:pPr>
        <w:pStyle w:val="37"/>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法律法规</w:t>
      </w:r>
      <w:r>
        <w:rPr>
          <w:rFonts w:hint="eastAsia" w:ascii="宋体" w:hAnsi="宋体" w:cs="宋体"/>
          <w:color w:val="auto"/>
          <w:highlight w:val="none"/>
          <w:lang w:bidi="ar"/>
        </w:rPr>
        <w:t>及招标文件有关规定在有</w:t>
      </w:r>
      <w:r>
        <w:rPr>
          <w:rFonts w:hint="eastAsia" w:ascii="宋体" w:hAnsi="宋体" w:cs="宋体"/>
          <w:color w:val="auto"/>
          <w:highlight w:val="none"/>
          <w:lang w:eastAsia="zh-CN" w:bidi="ar"/>
        </w:rPr>
        <w:t>效投</w:t>
      </w:r>
      <w:r>
        <w:rPr>
          <w:rFonts w:hint="eastAsia" w:ascii="宋体" w:hAnsi="宋体" w:cs="宋体"/>
          <w:color w:val="auto"/>
          <w:highlight w:val="none"/>
          <w:lang w:bidi="ar"/>
        </w:rPr>
        <w:t>标中按</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的综合得分（即资信技术分与商务（价格）分之和）高低进行排序，得分前一名的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推荐为第一中标候选人（综合得分相同投标总报价低的排序第一；综合得分且投标总报价相同的，以技术指标优劣决定中标候选人）。</w:t>
      </w:r>
    </w:p>
    <w:p w14:paraId="535D8E86">
      <w:pPr>
        <w:pStyle w:val="37"/>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重新招标。</w:t>
      </w:r>
    </w:p>
    <w:p w14:paraId="3F685F5C">
      <w:pPr>
        <w:pStyle w:val="37"/>
        <w:keepNext w:val="0"/>
        <w:keepLines w:val="0"/>
        <w:pageBreakBefore w:val="0"/>
        <w:widowControl/>
        <w:numPr>
          <w:ilvl w:val="1"/>
          <w:numId w:val="21"/>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采购人对评标结果</w:t>
      </w:r>
      <w:r>
        <w:rPr>
          <w:rFonts w:hint="eastAsia" w:ascii="宋体" w:hAnsi="宋体" w:cs="宋体"/>
          <w:color w:val="auto"/>
          <w:highlight w:val="none"/>
          <w:lang w:eastAsia="zh-CN" w:bidi="ar"/>
        </w:rPr>
        <w:t>不作</w:t>
      </w:r>
      <w:r>
        <w:rPr>
          <w:rFonts w:hint="eastAsia" w:ascii="宋体" w:hAnsi="宋体" w:cs="宋体"/>
          <w:color w:val="auto"/>
          <w:highlight w:val="none"/>
          <w:lang w:bidi="ar"/>
        </w:rPr>
        <w:t>任何解释，也不保证最低价中标。</w:t>
      </w:r>
    </w:p>
    <w:p w14:paraId="582BA350">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29" w:name="_Toc11626"/>
      <w:bookmarkStart w:id="530" w:name="_Toc13797"/>
      <w:bookmarkStart w:id="531" w:name="_Toc2220"/>
      <w:bookmarkStart w:id="532" w:name="_Toc7936"/>
      <w:bookmarkStart w:id="533" w:name="_Toc6673"/>
      <w:r>
        <w:rPr>
          <w:rFonts w:hint="eastAsia" w:ascii="宋体" w:hAnsi="宋体" w:cs="宋体"/>
          <w:b/>
          <w:bCs w:val="0"/>
          <w:color w:val="auto"/>
          <w:highlight w:val="none"/>
          <w:lang w:val="en-US" w:eastAsia="zh-CN" w:bidi="ar"/>
        </w:rPr>
        <w:t>九、</w:t>
      </w:r>
      <w:r>
        <w:rPr>
          <w:rFonts w:hint="eastAsia" w:ascii="宋体" w:hAnsi="宋体" w:cs="宋体"/>
          <w:b/>
          <w:bCs w:val="0"/>
          <w:color w:val="auto"/>
          <w:highlight w:val="none"/>
          <w:lang w:bidi="ar"/>
        </w:rPr>
        <w:t>电子投标说明</w:t>
      </w:r>
      <w:bookmarkEnd w:id="529"/>
      <w:bookmarkEnd w:id="530"/>
      <w:bookmarkEnd w:id="531"/>
      <w:bookmarkEnd w:id="532"/>
      <w:bookmarkEnd w:id="533"/>
    </w:p>
    <w:p w14:paraId="253F9A54">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应检查标书完整性和有效性，确保电子投标文件能否正常打开解密。开标时，以电子交易平台上传规定格式的电子投标文件为正本。</w:t>
      </w:r>
    </w:p>
    <w:p w14:paraId="7FADBAAA">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投标文件相应要求盖章处应按要求使用CA加盖单位电子公章和法定代表人电子章。</w:t>
      </w:r>
    </w:p>
    <w:p w14:paraId="2516C412">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34" w:name="_Toc14457"/>
      <w:bookmarkStart w:id="535" w:name="_Toc20492"/>
      <w:bookmarkStart w:id="536" w:name="_Toc17151"/>
      <w:bookmarkStart w:id="537" w:name="_Toc15658"/>
      <w:bookmarkStart w:id="538" w:name="_Toc4862"/>
      <w:r>
        <w:rPr>
          <w:rFonts w:hint="eastAsia" w:ascii="宋体" w:hAnsi="宋体" w:cs="宋体"/>
          <w:b/>
          <w:bCs w:val="0"/>
          <w:color w:val="auto"/>
          <w:highlight w:val="none"/>
          <w:lang w:bidi="ar"/>
        </w:rPr>
        <w:t>十、纪律和监督</w:t>
      </w:r>
      <w:bookmarkEnd w:id="534"/>
      <w:bookmarkEnd w:id="535"/>
      <w:bookmarkEnd w:id="536"/>
      <w:bookmarkEnd w:id="537"/>
      <w:bookmarkEnd w:id="538"/>
    </w:p>
    <w:p w14:paraId="4C1432F5">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对采购人的纪律要求</w:t>
      </w:r>
    </w:p>
    <w:p w14:paraId="649BCDEB">
      <w:pPr>
        <w:pageBreakBefore w:val="0"/>
        <w:shd w:val="clear"/>
        <w:kinsoku/>
        <w:wordWrap w:val="0"/>
        <w:overflowPunct/>
        <w:topLinePunct w:val="0"/>
        <w:autoSpaceDE/>
        <w:autoSpaceDN/>
        <w:bidi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采购人不得</w:t>
      </w:r>
      <w:r>
        <w:rPr>
          <w:rFonts w:hint="eastAsia" w:ascii="宋体" w:hAnsi="宋体"/>
          <w:color w:val="auto"/>
          <w:highlight w:val="none"/>
          <w:lang w:eastAsia="zh-CN"/>
        </w:rPr>
        <w:t>泄露</w:t>
      </w:r>
      <w:r>
        <w:rPr>
          <w:rFonts w:hint="eastAsia" w:ascii="宋体" w:hAnsi="宋体"/>
          <w:color w:val="auto"/>
          <w:highlight w:val="none"/>
        </w:rPr>
        <w:t>招标投标活动中应当保密的情况和资料，不得与</w:t>
      </w:r>
      <w:r>
        <w:rPr>
          <w:rFonts w:hint="eastAsia" w:ascii="宋体" w:hAnsi="宋体"/>
          <w:color w:val="auto"/>
          <w:highlight w:val="none"/>
          <w:lang w:eastAsia="zh-CN"/>
        </w:rPr>
        <w:t>投标人</w:t>
      </w:r>
      <w:r>
        <w:rPr>
          <w:rFonts w:hint="eastAsia" w:ascii="宋体" w:hAnsi="宋体"/>
          <w:color w:val="auto"/>
          <w:highlight w:val="none"/>
        </w:rPr>
        <w:t>串通损害国家利益、社会公共利益或者他人合法权益。</w:t>
      </w:r>
    </w:p>
    <w:p w14:paraId="65CF000C">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的纪律要求</w:t>
      </w:r>
    </w:p>
    <w:p w14:paraId="533F8336">
      <w:pPr>
        <w:pageBreakBefore w:val="0"/>
        <w:shd w:val="clear"/>
        <w:kinsoku/>
        <w:wordWrap w:val="0"/>
        <w:overflowPunct/>
        <w:topLinePunct w:val="0"/>
        <w:autoSpaceDE/>
        <w:autoSpaceDN/>
        <w:bidi w:val="0"/>
        <w:snapToGrid w:val="0"/>
        <w:spacing w:line="308" w:lineRule="auto"/>
        <w:ind w:firstLine="480"/>
        <w:textAlignment w:val="auto"/>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color w:val="auto"/>
          <w:highlight w:val="none"/>
          <w:lang w:eastAsia="zh-CN"/>
        </w:rPr>
        <w:t>投标人</w:t>
      </w:r>
      <w:r>
        <w:rPr>
          <w:rFonts w:hint="eastAsia" w:ascii="宋体" w:hAnsi="宋体"/>
          <w:color w:val="auto"/>
          <w:highlight w:val="none"/>
        </w:rPr>
        <w:t>不得以任何方式干扰、影响评标工作。</w:t>
      </w:r>
    </w:p>
    <w:p w14:paraId="49D672FD">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对评标委员会成员的纪律要求</w:t>
      </w:r>
    </w:p>
    <w:p w14:paraId="2DF109F5">
      <w:pPr>
        <w:pStyle w:val="5"/>
        <w:pageBreakBefore w:val="0"/>
        <w:numPr>
          <w:ilvl w:val="0"/>
          <w:numId w:val="0"/>
        </w:numPr>
        <w:shd w:val="clear"/>
        <w:kinsoku/>
        <w:overflowPunct/>
        <w:topLinePunct w:val="0"/>
        <w:autoSpaceDE/>
        <w:autoSpaceDN/>
        <w:bidi w:val="0"/>
        <w:spacing w:beforeLines="0" w:afterLines="0" w:line="308" w:lineRule="auto"/>
        <w:ind w:firstLine="480" w:firstLineChars="200"/>
        <w:jc w:val="left"/>
        <w:textAlignment w:val="auto"/>
        <w:rPr>
          <w:rFonts w:ascii="宋体" w:hAnsi="宋体"/>
          <w:b w:val="0"/>
          <w:color w:val="auto"/>
          <w:sz w:val="24"/>
          <w:szCs w:val="24"/>
          <w:highlight w:val="none"/>
        </w:rPr>
      </w:pPr>
      <w:bookmarkStart w:id="539" w:name="_Toc30527"/>
      <w:bookmarkStart w:id="540" w:name="_Toc19838"/>
      <w:bookmarkStart w:id="541" w:name="_Toc21417"/>
      <w:bookmarkStart w:id="542" w:name="_Toc11952"/>
      <w:bookmarkStart w:id="543" w:name="_Toc998"/>
      <w:bookmarkStart w:id="544" w:name="_Toc3863"/>
      <w:bookmarkStart w:id="545" w:name="_Toc18245"/>
      <w:bookmarkStart w:id="546" w:name="_Toc23966"/>
      <w:r>
        <w:rPr>
          <w:rFonts w:hint="eastAsia" w:ascii="宋体" w:hAnsi="宋体"/>
          <w:b w:val="0"/>
          <w:color w:val="auto"/>
          <w:sz w:val="24"/>
          <w:szCs w:val="24"/>
          <w:highlight w:val="none"/>
        </w:rPr>
        <w:t>评标委员会成员不得收受他人的财物或者其他好处，不得向他人</w:t>
      </w:r>
      <w:r>
        <w:rPr>
          <w:rFonts w:hint="eastAsia" w:ascii="宋体" w:hAnsi="宋体"/>
          <w:b w:val="0"/>
          <w:color w:val="auto"/>
          <w:sz w:val="24"/>
          <w:szCs w:val="24"/>
          <w:highlight w:val="none"/>
          <w:lang w:eastAsia="zh-CN"/>
        </w:rPr>
        <w:t>透露</w:t>
      </w:r>
      <w:r>
        <w:rPr>
          <w:rFonts w:hint="eastAsia" w:ascii="宋体" w:hAnsi="宋体"/>
          <w:b w:val="0"/>
          <w:color w:val="auto"/>
          <w:sz w:val="24"/>
          <w:szCs w:val="24"/>
          <w:highlight w:val="none"/>
        </w:rPr>
        <w:t>对投标文件的评审和比较、中标候选人的推荐情况以及评标有关的其他情况。在评标活动中，评标委员会成员不得擅离职守，影响评标程序正常进行，不得使用第四章 评标办法及评分标准没有规定的评审因素和标准进行评标。</w:t>
      </w:r>
      <w:bookmarkEnd w:id="539"/>
      <w:bookmarkEnd w:id="540"/>
      <w:bookmarkEnd w:id="541"/>
      <w:bookmarkEnd w:id="542"/>
      <w:bookmarkEnd w:id="543"/>
      <w:bookmarkEnd w:id="544"/>
      <w:bookmarkEnd w:id="545"/>
      <w:bookmarkEnd w:id="546"/>
    </w:p>
    <w:p w14:paraId="511ACF1A">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47" w:name="_Toc22806"/>
      <w:r>
        <w:rPr>
          <w:rFonts w:hint="eastAsia" w:ascii="宋体" w:hAnsi="宋体" w:cs="宋体"/>
          <w:color w:val="auto"/>
          <w:highlight w:val="none"/>
          <w:lang w:bidi="ar"/>
        </w:rPr>
        <w:t>对与评标活动有关的工作人员的纪律要求</w:t>
      </w:r>
      <w:bookmarkEnd w:id="547"/>
    </w:p>
    <w:p w14:paraId="72F7CA59">
      <w:pPr>
        <w:pageBreakBefore w:val="0"/>
        <w:shd w:val="clear"/>
        <w:kinsoku/>
        <w:wordWrap w:val="0"/>
        <w:overflowPunct/>
        <w:topLinePunct w:val="0"/>
        <w:autoSpaceDE/>
        <w:autoSpaceDN/>
        <w:bidi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w:t>
      </w:r>
      <w:r>
        <w:rPr>
          <w:rFonts w:hint="eastAsia" w:ascii="宋体" w:hAnsi="宋体"/>
          <w:color w:val="auto"/>
          <w:highlight w:val="none"/>
          <w:lang w:eastAsia="zh-CN"/>
        </w:rPr>
        <w:t>透露</w:t>
      </w:r>
      <w:r>
        <w:rPr>
          <w:rFonts w:hint="eastAsia" w:ascii="宋体" w:hAnsi="宋体"/>
          <w:color w:val="auto"/>
          <w:highlight w:val="none"/>
        </w:rPr>
        <w:t>对投标文件的评审和比较、中标候选人的推荐情况以及评标有关的其他情况。在评标活动中，与评标活动有关的工作人员不得擅离职守，影响评标程序正常进行。</w:t>
      </w:r>
    </w:p>
    <w:p w14:paraId="2D63037C">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48" w:name="_Toc14537"/>
      <w:bookmarkStart w:id="549" w:name="_Toc26084"/>
      <w:bookmarkStart w:id="550" w:name="_Toc21011"/>
      <w:bookmarkStart w:id="551" w:name="_Toc9301"/>
      <w:bookmarkStart w:id="552" w:name="_Toc26110"/>
      <w:bookmarkStart w:id="553" w:name="_Toc10206"/>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一</w:t>
      </w:r>
      <w:r>
        <w:rPr>
          <w:rFonts w:hint="eastAsia" w:ascii="宋体" w:hAnsi="宋体" w:cs="宋体"/>
          <w:b/>
          <w:bCs w:val="0"/>
          <w:color w:val="auto"/>
          <w:highlight w:val="none"/>
          <w:lang w:bidi="ar"/>
        </w:rPr>
        <w:t>、质疑和投诉</w:t>
      </w:r>
      <w:bookmarkEnd w:id="548"/>
      <w:bookmarkEnd w:id="549"/>
      <w:bookmarkEnd w:id="550"/>
      <w:bookmarkEnd w:id="551"/>
      <w:bookmarkEnd w:id="552"/>
      <w:bookmarkEnd w:id="553"/>
    </w:p>
    <w:p w14:paraId="1FB5E8F3">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54" w:name="_Toc21882"/>
      <w:r>
        <w:rPr>
          <w:rFonts w:hint="eastAsia" w:ascii="宋体" w:hAnsi="宋体" w:cs="宋体"/>
          <w:color w:val="auto"/>
          <w:highlight w:val="none"/>
          <w:lang w:bidi="ar"/>
        </w:rPr>
        <w:t>质疑提出</w:t>
      </w:r>
      <w:bookmarkEnd w:id="554"/>
    </w:p>
    <w:p w14:paraId="45E16B32">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参照《中华人民共和国政府采购法》《中华人民共和国政府采购法实施条例》《政府采购质疑和投诉办法》（财政部令第94号）等有关法律法规规定。</w:t>
      </w:r>
    </w:p>
    <w:p w14:paraId="182AD6FF">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认为采购文件、采购过程和成交结果使自己的权益受到损害的，可以在知道或者应知其权益受到损害之日起7个工作日内，以书面形式向采购人、采购代理机构提出质疑。</w:t>
      </w:r>
    </w:p>
    <w:p w14:paraId="5B2F4854">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潜在</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已依法获取采购文件，可以对该文件提出质疑。采购人拒绝受理未提交投标文件的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对采购过程和中标结果</w:t>
      </w:r>
      <w:r>
        <w:rPr>
          <w:rFonts w:hint="eastAsia" w:ascii="宋体" w:hAnsi="宋体" w:cs="宋体"/>
          <w:color w:val="auto"/>
          <w:highlight w:val="none"/>
          <w:lang w:eastAsia="zh-CN" w:bidi="ar"/>
        </w:rPr>
        <w:t>质疑</w:t>
      </w:r>
      <w:r>
        <w:rPr>
          <w:rFonts w:hint="eastAsia" w:ascii="宋体" w:hAnsi="宋体" w:cs="宋体"/>
          <w:color w:val="auto"/>
          <w:highlight w:val="none"/>
          <w:lang w:bidi="ar"/>
        </w:rPr>
        <w:t>。</w:t>
      </w:r>
    </w:p>
    <w:p w14:paraId="392A9127">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质疑提出起算日期：</w:t>
      </w:r>
    </w:p>
    <w:p w14:paraId="178E8F5C">
      <w:pPr>
        <w:pStyle w:val="37"/>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对采购文件提出质疑的，自</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获取招标文件之日起或者公告届满之日起开始计算，且应当在投标文件提交截止前24小时前提出，否则，被质疑人可不予受理。</w:t>
      </w:r>
    </w:p>
    <w:p w14:paraId="3893117F">
      <w:pPr>
        <w:pStyle w:val="37"/>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对投标过程提出质疑的，质疑期限自各采购程序环节结束之日起计算。</w:t>
      </w:r>
    </w:p>
    <w:p w14:paraId="1DC47884">
      <w:pPr>
        <w:pStyle w:val="37"/>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对采购结果提出质疑的，质疑期限自采购结果公告之日起计算。</w:t>
      </w:r>
    </w:p>
    <w:p w14:paraId="02F9848B">
      <w:pPr>
        <w:pStyle w:val="37"/>
        <w:pageBreakBefore w:val="0"/>
        <w:numPr>
          <w:ilvl w:val="255"/>
          <w:numId w:val="0"/>
        </w:numPr>
        <w:shd w:val="clear"/>
        <w:tabs>
          <w:tab w:val="left" w:pos="171"/>
        </w:tabs>
        <w:kinsoku/>
        <w:overflowPunct/>
        <w:topLinePunct w:val="0"/>
        <w:autoSpaceDE/>
        <w:autoSpaceDN/>
        <w:bidi w:val="0"/>
        <w:adjustRightInd w:val="0"/>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提交的质疑函应符合财政部《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lang w:eastAsia="zh-CN"/>
        </w:rPr>
        <w:t>投标人</w:t>
      </w:r>
      <w:r>
        <w:rPr>
          <w:rFonts w:hint="eastAsia" w:ascii="宋体" w:hAnsi="宋体" w:cs="宋体"/>
          <w:color w:val="auto"/>
          <w:highlight w:val="none"/>
          <w:lang w:bidi="ar"/>
        </w:rPr>
        <w:t>质疑函范本》要求。</w:t>
      </w:r>
    </w:p>
    <w:p w14:paraId="44E7E902">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55" w:name="_Toc6349"/>
      <w:r>
        <w:rPr>
          <w:rFonts w:hint="eastAsia" w:ascii="宋体" w:hAnsi="宋体" w:cs="宋体"/>
          <w:color w:val="auto"/>
          <w:highlight w:val="none"/>
          <w:lang w:bidi="ar"/>
        </w:rPr>
        <w:t>质疑处理</w:t>
      </w:r>
      <w:bookmarkEnd w:id="555"/>
    </w:p>
    <w:p w14:paraId="0D06F110">
      <w:pPr>
        <w:pageBreakBefore w:val="0"/>
        <w:shd w:val="clear"/>
        <w:kinsoku/>
        <w:overflowPunct/>
        <w:topLinePunct w:val="0"/>
        <w:autoSpaceDE/>
        <w:autoSpaceDN/>
        <w:bidi w:val="0"/>
        <w:spacing w:line="308" w:lineRule="auto"/>
        <w:ind w:firstLine="480"/>
        <w:textAlignment w:val="auto"/>
        <w:rPr>
          <w:rFonts w:ascii="宋体" w:hAnsi="宋体" w:cs="宋体"/>
          <w:bCs/>
          <w:color w:val="auto"/>
          <w:highlight w:val="none"/>
        </w:rPr>
      </w:pPr>
      <w:r>
        <w:rPr>
          <w:rFonts w:ascii="宋体" w:hAnsi="宋体" w:cs="宋体"/>
          <w:bCs/>
          <w:color w:val="auto"/>
          <w:highlight w:val="none"/>
        </w:rPr>
        <w:t>采购人应当在收到</w:t>
      </w:r>
      <w:r>
        <w:rPr>
          <w:rFonts w:hint="eastAsia" w:ascii="宋体" w:hAnsi="宋体" w:cs="宋体"/>
          <w:bCs/>
          <w:color w:val="auto"/>
          <w:highlight w:val="none"/>
          <w:lang w:eastAsia="zh-CN"/>
        </w:rPr>
        <w:t>投标人</w:t>
      </w:r>
      <w:r>
        <w:rPr>
          <w:rFonts w:ascii="宋体" w:hAnsi="宋体" w:cs="宋体"/>
          <w:bCs/>
          <w:color w:val="auto"/>
          <w:highlight w:val="none"/>
        </w:rPr>
        <w:t>的书面质疑后7个工作日内作出答复，并以书面形式通知质疑</w:t>
      </w:r>
      <w:r>
        <w:rPr>
          <w:rFonts w:hint="eastAsia" w:ascii="宋体" w:hAnsi="宋体" w:cs="宋体"/>
          <w:bCs/>
          <w:color w:val="auto"/>
          <w:highlight w:val="none"/>
          <w:lang w:eastAsia="zh-CN"/>
        </w:rPr>
        <w:t>投标人</w:t>
      </w:r>
      <w:r>
        <w:rPr>
          <w:rFonts w:ascii="宋体" w:hAnsi="宋体" w:cs="宋体"/>
          <w:bCs/>
          <w:color w:val="auto"/>
          <w:highlight w:val="none"/>
        </w:rPr>
        <w:t>和其他与质疑处理结果有利害关系的政府采购当事人，但答复的内容不得涉及商业秘密。</w:t>
      </w:r>
    </w:p>
    <w:p w14:paraId="5B484F3E">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56" w:name="_Toc28506"/>
      <w:r>
        <w:rPr>
          <w:rFonts w:hint="eastAsia" w:ascii="宋体" w:hAnsi="宋体" w:cs="宋体"/>
          <w:color w:val="auto"/>
          <w:highlight w:val="none"/>
          <w:lang w:bidi="ar"/>
        </w:rPr>
        <w:t>投诉</w:t>
      </w:r>
      <w:bookmarkEnd w:id="556"/>
    </w:p>
    <w:p w14:paraId="159DDB48">
      <w:pPr>
        <w:keepNext w:val="0"/>
        <w:keepLines w:val="0"/>
        <w:pageBreakBefore w:val="0"/>
        <w:widowControl/>
        <w:shd w:val="clear"/>
        <w:kinsoku/>
        <w:wordWrap/>
        <w:overflowPunct/>
        <w:topLinePunct w:val="0"/>
        <w:autoSpaceDE/>
        <w:autoSpaceDN/>
        <w:bidi w:val="0"/>
        <w:adjustRightInd/>
        <w:spacing w:line="308" w:lineRule="auto"/>
        <w:ind w:firstLine="480"/>
        <w:jc w:val="left"/>
        <w:textAlignment w:val="auto"/>
        <w:outlineLvl w:val="9"/>
        <w:rPr>
          <w:rFonts w:ascii="宋体" w:hAnsi="宋体" w:cs="宋体"/>
          <w:bCs/>
          <w:color w:val="auto"/>
          <w:highlight w:val="none"/>
          <w:lang w:bidi="ar"/>
        </w:rPr>
      </w:pPr>
      <w:r>
        <w:rPr>
          <w:rFonts w:ascii="宋体" w:hAnsi="宋体" w:cs="宋体"/>
          <w:bCs/>
          <w:color w:val="auto"/>
          <w:highlight w:val="none"/>
          <w:lang w:bidi="ar"/>
        </w:rPr>
        <w:t>质疑</w:t>
      </w:r>
      <w:r>
        <w:rPr>
          <w:rFonts w:hint="eastAsia" w:ascii="宋体" w:hAnsi="宋体" w:cs="宋体"/>
          <w:bCs/>
          <w:color w:val="auto"/>
          <w:highlight w:val="none"/>
          <w:lang w:eastAsia="zh-CN" w:bidi="ar"/>
        </w:rPr>
        <w:t>投标人</w:t>
      </w:r>
      <w:r>
        <w:rPr>
          <w:rFonts w:ascii="宋体" w:hAnsi="宋体" w:cs="宋体"/>
          <w:bCs/>
          <w:color w:val="auto"/>
          <w:highlight w:val="none"/>
          <w:lang w:bidi="ar"/>
        </w:rPr>
        <w:t>对采购人未在规定时间内作出答复的，可以在答复期满后15个工作</w:t>
      </w:r>
      <w:r>
        <w:rPr>
          <w:rFonts w:hint="eastAsia" w:ascii="宋体" w:hAnsi="宋体" w:cs="宋体"/>
          <w:bCs/>
          <w:color w:val="auto"/>
          <w:highlight w:val="none"/>
          <w:lang w:eastAsia="zh-CN" w:bidi="ar"/>
        </w:rPr>
        <w:t>日向龙游县水务集团有限公司招投标分中心</w:t>
      </w:r>
      <w:r>
        <w:rPr>
          <w:rFonts w:ascii="宋体" w:hAnsi="宋体" w:cs="宋体"/>
          <w:bCs/>
          <w:color w:val="auto"/>
          <w:highlight w:val="none"/>
          <w:lang w:bidi="ar"/>
        </w:rPr>
        <w:t>投诉。若对质疑答复不满意的，应当自答复的次日起15个工作日</w:t>
      </w:r>
      <w:r>
        <w:rPr>
          <w:rFonts w:hint="eastAsia" w:ascii="宋体" w:hAnsi="宋体" w:cs="宋体"/>
          <w:bCs/>
          <w:color w:val="auto"/>
          <w:highlight w:val="none"/>
          <w:lang w:eastAsia="zh-CN" w:bidi="ar"/>
        </w:rPr>
        <w:t>内向龙游县水务集团有限公司招投标分中心</w:t>
      </w:r>
      <w:r>
        <w:rPr>
          <w:rFonts w:ascii="宋体" w:hAnsi="宋体" w:cs="宋体"/>
          <w:bCs/>
          <w:color w:val="auto"/>
          <w:highlight w:val="none"/>
          <w:lang w:bidi="ar"/>
        </w:rPr>
        <w:t>投诉。</w:t>
      </w:r>
      <w:r>
        <w:rPr>
          <w:rFonts w:hint="eastAsia" w:ascii="宋体" w:hAnsi="宋体" w:cs="宋体"/>
          <w:bCs/>
          <w:color w:val="auto"/>
          <w:highlight w:val="none"/>
          <w:lang w:eastAsia="zh-CN" w:bidi="ar"/>
        </w:rPr>
        <w:t>投标人</w:t>
      </w:r>
      <w:r>
        <w:rPr>
          <w:rFonts w:ascii="宋体" w:hAnsi="宋体" w:cs="宋体"/>
          <w:bCs/>
          <w:color w:val="auto"/>
          <w:highlight w:val="none"/>
          <w:lang w:bidi="ar"/>
        </w:rPr>
        <w:t>提交的投诉书应参照财政部《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ascii="宋体" w:hAnsi="宋体" w:cs="宋体"/>
          <w:bCs/>
          <w:color w:val="auto"/>
          <w:highlight w:val="none"/>
          <w:lang w:bidi="ar"/>
        </w:rPr>
        <w:t>政府采购</w:t>
      </w:r>
      <w:r>
        <w:rPr>
          <w:rFonts w:ascii="宋体" w:hAnsi="宋体" w:cs="宋体"/>
          <w:bCs/>
          <w:color w:val="auto"/>
          <w:highlight w:val="none"/>
          <w:lang w:bidi="ar"/>
        </w:rPr>
        <w:fldChar w:fldCharType="end"/>
      </w:r>
      <w:r>
        <w:rPr>
          <w:rFonts w:hint="eastAsia" w:ascii="宋体" w:hAnsi="宋体" w:cs="宋体"/>
          <w:bCs/>
          <w:color w:val="auto"/>
          <w:highlight w:val="none"/>
          <w:lang w:eastAsia="zh-CN"/>
        </w:rPr>
        <w:t>投标人</w:t>
      </w:r>
      <w:r>
        <w:rPr>
          <w:rFonts w:ascii="宋体" w:hAnsi="宋体" w:cs="宋体"/>
          <w:bCs/>
          <w:color w:val="auto"/>
          <w:highlight w:val="none"/>
          <w:lang w:bidi="ar"/>
        </w:rPr>
        <w:t>投诉书范本》要求。</w:t>
      </w:r>
    </w:p>
    <w:p w14:paraId="0CBBE6AF">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557" w:name="_Toc2389"/>
      <w:bookmarkStart w:id="558" w:name="_Toc5681"/>
      <w:bookmarkStart w:id="559" w:name="_Toc31426"/>
      <w:bookmarkStart w:id="560" w:name="_Toc9490"/>
      <w:bookmarkStart w:id="561" w:name="_Toc17780"/>
      <w:bookmarkStart w:id="562" w:name="_Toc22578"/>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二</w:t>
      </w:r>
      <w:r>
        <w:rPr>
          <w:rFonts w:hint="eastAsia" w:ascii="宋体" w:hAnsi="宋体" w:cs="宋体"/>
          <w:b/>
          <w:bCs w:val="0"/>
          <w:color w:val="auto"/>
          <w:highlight w:val="none"/>
          <w:lang w:bidi="ar"/>
        </w:rPr>
        <w:t>、授予合同</w:t>
      </w:r>
      <w:bookmarkEnd w:id="557"/>
      <w:bookmarkEnd w:id="558"/>
      <w:bookmarkEnd w:id="559"/>
      <w:bookmarkEnd w:id="560"/>
      <w:bookmarkEnd w:id="561"/>
      <w:bookmarkEnd w:id="562"/>
    </w:p>
    <w:p w14:paraId="44562A68">
      <w:pPr>
        <w:pStyle w:val="37"/>
        <w:pageBreakBefore w:val="0"/>
        <w:numPr>
          <w:ilvl w:val="0"/>
          <w:numId w:val="9"/>
        </w:numPr>
        <w:shd w:val="clear"/>
        <w:kinsoku/>
        <w:overflowPunct/>
        <w:topLinePunct w:val="0"/>
        <w:autoSpaceDE/>
        <w:autoSpaceDN/>
        <w:bidi w:val="0"/>
        <w:adjustRightInd w:val="0"/>
        <w:spacing w:line="308" w:lineRule="auto"/>
        <w:ind w:firstLine="480"/>
        <w:jc w:val="both"/>
        <w:textAlignment w:val="auto"/>
        <w:outlineLvl w:val="2"/>
        <w:rPr>
          <w:rFonts w:ascii="宋体" w:hAnsi="宋体" w:cs="宋体"/>
          <w:color w:val="auto"/>
          <w:highlight w:val="none"/>
          <w:lang w:bidi="ar"/>
        </w:rPr>
      </w:pPr>
      <w:bookmarkStart w:id="563" w:name="_Toc13873"/>
      <w:r>
        <w:rPr>
          <w:rFonts w:hint="eastAsia" w:ascii="宋体" w:hAnsi="宋体" w:cs="宋体"/>
          <w:color w:val="auto"/>
          <w:highlight w:val="none"/>
          <w:lang w:bidi="ar"/>
        </w:rPr>
        <w:t>合同授予标准</w:t>
      </w:r>
      <w:bookmarkEnd w:id="563"/>
    </w:p>
    <w:p w14:paraId="516ACA82">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中标候选人经查有违法违规现象的，取消其中标候选资格，采购人重新招标。</w:t>
      </w:r>
    </w:p>
    <w:p w14:paraId="06DC7DEA">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采购人确认且备案后，确定</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。中标结果在衢州市阳光交易服务平台、浙江政府采购网予以公布，</w:t>
      </w:r>
      <w:r>
        <w:rPr>
          <w:rFonts w:hint="eastAsia" w:ascii="宋体" w:hAnsi="宋体" w:cs="宋体"/>
          <w:color w:val="auto"/>
          <w:highlight w:val="none"/>
          <w:lang w:eastAsia="zh-CN" w:bidi="ar"/>
        </w:rPr>
        <w:t>衢州宇信工程咨询有限公司</w:t>
      </w:r>
      <w:r>
        <w:rPr>
          <w:rFonts w:hint="eastAsia" w:ascii="宋体" w:hAnsi="宋体" w:eastAsia="宋体" w:cs="宋体"/>
          <w:color w:val="auto"/>
          <w:highlight w:val="none"/>
          <w:lang w:bidi="ar"/>
        </w:rPr>
        <w:t>发出中标通知书。</w:t>
      </w:r>
    </w:p>
    <w:p w14:paraId="6A9D7528">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经采购人备案后，由采购人签发国企采购中标通知书。中标通知书对采购人和确认</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均具有法律效力。中标通知书发出后，采购人改变中标结果的，或者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放弃中标项目的，应当依法承担法律责任。</w:t>
      </w:r>
    </w:p>
    <w:p w14:paraId="77733D08">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在中标通知书发出后三十日内，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应按中标通知书指定的时间、地点与采购人签订合同。招标文件、</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的投标文件及澄清文件等，均为签订合同的依据。</w:t>
      </w:r>
    </w:p>
    <w:p w14:paraId="7C863979">
      <w:pPr>
        <w:pStyle w:val="37"/>
        <w:numPr>
          <w:ilvl w:val="1"/>
          <w:numId w:val="23"/>
        </w:numPr>
        <w:tabs>
          <w:tab w:val="left" w:pos="171"/>
        </w:tabs>
        <w:spacing w:line="308" w:lineRule="auto"/>
        <w:ind w:firstLine="480"/>
        <w:rPr>
          <w:rFonts w:ascii="宋体" w:hAnsi="宋体" w:cs="宋体"/>
          <w:color w:val="auto"/>
          <w:highlight w:val="none"/>
          <w:lang w:bidi="ar"/>
        </w:rPr>
      </w:pPr>
      <w:bookmarkStart w:id="564" w:name="_Toc1064"/>
      <w:r>
        <w:rPr>
          <w:rFonts w:hint="eastAsia" w:ascii="宋体" w:hAnsi="宋体" w:cs="宋体"/>
          <w:color w:val="auto"/>
          <w:highlight w:val="none"/>
          <w:lang w:bidi="ar"/>
        </w:rPr>
        <w:t>采购人与中标人签署合同协议，</w:t>
      </w:r>
      <w:r>
        <w:rPr>
          <w:rFonts w:hint="eastAsia" w:ascii="宋体" w:hAnsi="宋体" w:cs="宋体"/>
          <w:color w:val="auto"/>
          <w:highlight w:val="none"/>
          <w:lang w:eastAsia="zh-CN" w:bidi="ar"/>
        </w:rPr>
        <w:t>衢州宇信工程咨询有限公司</w:t>
      </w:r>
      <w:r>
        <w:rPr>
          <w:rFonts w:hint="eastAsia" w:ascii="宋体" w:hAnsi="宋体" w:cs="宋体"/>
          <w:color w:val="auto"/>
          <w:highlight w:val="none"/>
          <w:lang w:bidi="ar"/>
        </w:rPr>
        <w:t>作为鉴证人共同签订（合同上请标明采购编号）。</w:t>
      </w:r>
      <w:r>
        <w:rPr>
          <w:rFonts w:hint="eastAsia" w:ascii="宋体" w:hAnsi="宋体" w:cs="宋体"/>
          <w:color w:val="auto"/>
          <w:highlight w:val="none"/>
        </w:rPr>
        <w:t>本合同一式拾份，具有同等法律效力，采购人执叁份，中标人（牵头人及联合体成员各执叁份）执陆份，</w:t>
      </w:r>
      <w:r>
        <w:rPr>
          <w:rFonts w:hint="eastAsia" w:ascii="宋体" w:hAnsi="宋体" w:cs="宋体"/>
          <w:color w:val="auto"/>
          <w:highlight w:val="none"/>
          <w:lang w:eastAsia="zh-CN"/>
        </w:rPr>
        <w:t>衢州宇信工程咨询有限公司</w:t>
      </w:r>
      <w:r>
        <w:rPr>
          <w:rFonts w:hint="eastAsia" w:ascii="宋体" w:hAnsi="宋体" w:cs="宋体"/>
          <w:color w:val="auto"/>
          <w:highlight w:val="none"/>
        </w:rPr>
        <w:t>执壹份。</w:t>
      </w:r>
    </w:p>
    <w:p w14:paraId="3F04DF23">
      <w:pPr>
        <w:pStyle w:val="37"/>
        <w:pageBreakBefore w:val="0"/>
        <w:numPr>
          <w:ilvl w:val="0"/>
          <w:numId w:val="9"/>
        </w:numPr>
        <w:shd w:val="clear"/>
        <w:kinsoku/>
        <w:overflowPunct/>
        <w:topLinePunct w:val="0"/>
        <w:autoSpaceDE/>
        <w:autoSpaceDN/>
        <w:bidi w:val="0"/>
        <w:adjustRightInd w:val="0"/>
        <w:spacing w:line="308" w:lineRule="auto"/>
        <w:ind w:firstLine="480" w:firstLineChars="200"/>
        <w:jc w:val="both"/>
        <w:textAlignment w:val="auto"/>
        <w:outlineLvl w:val="2"/>
        <w:rPr>
          <w:rFonts w:ascii="宋体" w:hAnsi="宋体" w:cs="宋体"/>
          <w:color w:val="auto"/>
          <w:highlight w:val="none"/>
          <w:lang w:bidi="ar"/>
        </w:rPr>
      </w:pPr>
      <w:r>
        <w:rPr>
          <w:rFonts w:hint="eastAsia" w:ascii="宋体" w:hAnsi="宋体" w:cs="宋体"/>
          <w:color w:val="auto"/>
          <w:highlight w:val="none"/>
          <w:lang w:bidi="ar"/>
        </w:rPr>
        <w:t>授予合同时变更数量的权利</w:t>
      </w:r>
      <w:bookmarkEnd w:id="564"/>
    </w:p>
    <w:p w14:paraId="3828E6B5">
      <w:pPr>
        <w:pageBreakBefore w:val="0"/>
        <w:shd w:val="clear"/>
        <w:kinsoku/>
        <w:overflowPunct/>
        <w:topLinePunct w:val="0"/>
        <w:autoSpaceDE/>
        <w:autoSpaceDN/>
        <w:bidi w:val="0"/>
        <w:spacing w:line="308" w:lineRule="auto"/>
        <w:ind w:firstLine="480"/>
        <w:textAlignment w:val="auto"/>
        <w:rPr>
          <w:rFonts w:ascii="宋体" w:cs="宋体"/>
          <w:color w:val="auto"/>
          <w:highlight w:val="none"/>
        </w:rPr>
      </w:pPr>
      <w:r>
        <w:rPr>
          <w:rFonts w:hint="eastAsia" w:ascii="宋体" w:hAnsi="宋体" w:cs="宋体"/>
          <w:color w:val="auto"/>
          <w:highlight w:val="none"/>
        </w:rPr>
        <w:t>国企采购合同履行中，采购人需追加与合同标的相同的货物、工程或者服务的，在不改变合同其他条款的前提下，可以与</w:t>
      </w:r>
      <w:r>
        <w:rPr>
          <w:rFonts w:hint="eastAsia" w:ascii="宋体" w:hAnsi="宋体" w:cs="宋体"/>
          <w:color w:val="auto"/>
          <w:highlight w:val="none"/>
          <w:lang w:eastAsia="zh-CN"/>
        </w:rPr>
        <w:t>投标人</w:t>
      </w:r>
      <w:r>
        <w:rPr>
          <w:rFonts w:hint="eastAsia" w:ascii="宋体" w:hAnsi="宋体" w:cs="宋体"/>
          <w:color w:val="auto"/>
          <w:highlight w:val="none"/>
        </w:rPr>
        <w:t>签订补充合同，但所补充合同的采购金额不得超过原采购金额的</w:t>
      </w:r>
      <w:r>
        <w:rPr>
          <w:rFonts w:ascii="宋体" w:hAnsi="宋体" w:cs="宋体"/>
          <w:color w:val="auto"/>
          <w:highlight w:val="none"/>
        </w:rPr>
        <w:t>10%</w:t>
      </w:r>
      <w:r>
        <w:rPr>
          <w:rFonts w:hint="eastAsia" w:ascii="宋体" w:hAnsi="宋体" w:cs="宋体"/>
          <w:color w:val="auto"/>
          <w:highlight w:val="none"/>
        </w:rPr>
        <w:t>。</w:t>
      </w:r>
    </w:p>
    <w:p w14:paraId="2E0388A1">
      <w:pPr>
        <w:pStyle w:val="37"/>
        <w:pageBreakBefore w:val="0"/>
        <w:numPr>
          <w:ilvl w:val="0"/>
          <w:numId w:val="9"/>
        </w:numPr>
        <w:shd w:val="clear"/>
        <w:kinsoku/>
        <w:overflowPunct/>
        <w:topLinePunct w:val="0"/>
        <w:autoSpaceDE/>
        <w:autoSpaceDN/>
        <w:bidi w:val="0"/>
        <w:adjustRightInd w:val="0"/>
        <w:spacing w:line="308" w:lineRule="auto"/>
        <w:ind w:firstLine="480" w:firstLineChars="200"/>
        <w:jc w:val="both"/>
        <w:textAlignment w:val="auto"/>
        <w:outlineLvl w:val="2"/>
        <w:rPr>
          <w:rFonts w:ascii="宋体" w:hAnsi="宋体" w:cs="宋体"/>
          <w:color w:val="auto"/>
          <w:highlight w:val="none"/>
          <w:lang w:bidi="ar"/>
        </w:rPr>
      </w:pPr>
      <w:bookmarkStart w:id="565" w:name="_Toc3538"/>
      <w:r>
        <w:rPr>
          <w:rFonts w:hint="eastAsia" w:ascii="宋体" w:hAnsi="宋体" w:cs="宋体"/>
          <w:color w:val="auto"/>
          <w:highlight w:val="none"/>
          <w:lang w:bidi="ar"/>
        </w:rPr>
        <w:t>本次招标</w:t>
      </w:r>
      <w:r>
        <w:rPr>
          <w:rFonts w:hint="eastAsia" w:ascii="宋体" w:hAnsi="宋体" w:cs="宋体"/>
          <w:color w:val="auto"/>
          <w:highlight w:val="none"/>
          <w:lang w:val="en-US" w:eastAsia="zh-CN" w:bidi="ar"/>
        </w:rPr>
        <w:t>合同履行</w:t>
      </w:r>
      <w:r>
        <w:rPr>
          <w:rFonts w:hint="eastAsia" w:ascii="宋体" w:hAnsi="宋体" w:cs="宋体"/>
          <w:color w:val="auto"/>
          <w:highlight w:val="none"/>
          <w:lang w:bidi="ar"/>
        </w:rPr>
        <w:t>期限及付款方式</w:t>
      </w:r>
      <w:bookmarkEnd w:id="565"/>
    </w:p>
    <w:p w14:paraId="4158AFBB">
      <w:pPr>
        <w:pStyle w:val="37"/>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cs="宋体"/>
          <w:color w:val="auto"/>
          <w:highlight w:val="none"/>
          <w:lang w:val="en-US" w:eastAsia="zh-CN" w:bidi="ar"/>
        </w:rPr>
        <w:t>合同履行</w:t>
      </w:r>
      <w:r>
        <w:rPr>
          <w:rFonts w:hint="eastAsia" w:ascii="宋体" w:hAnsi="宋体" w:eastAsia="宋体" w:cs="宋体"/>
          <w:color w:val="auto"/>
          <w:highlight w:val="none"/>
          <w:lang w:bidi="ar"/>
        </w:rPr>
        <w:t>期限：详见合同条款；</w:t>
      </w:r>
    </w:p>
    <w:p w14:paraId="3872A29B">
      <w:pPr>
        <w:pStyle w:val="37"/>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付款方式：详见合同条款。</w:t>
      </w:r>
    </w:p>
    <w:p w14:paraId="5808A88E">
      <w:pPr>
        <w:pStyle w:val="37"/>
        <w:pageBreakBefore w:val="0"/>
        <w:numPr>
          <w:ilvl w:val="0"/>
          <w:numId w:val="9"/>
        </w:numPr>
        <w:shd w:val="clear"/>
        <w:kinsoku/>
        <w:wordWrap/>
        <w:overflowPunct/>
        <w:topLinePunct w:val="0"/>
        <w:autoSpaceDE/>
        <w:autoSpaceDN/>
        <w:bidi w:val="0"/>
        <w:adjustRightInd/>
        <w:snapToGrid/>
        <w:spacing w:line="312" w:lineRule="auto"/>
        <w:ind w:firstLine="480" w:firstLineChars="200"/>
        <w:jc w:val="both"/>
        <w:textAlignment w:val="auto"/>
        <w:outlineLvl w:val="2"/>
        <w:rPr>
          <w:rFonts w:ascii="宋体" w:hAnsi="宋体" w:cs="宋体"/>
          <w:color w:val="auto"/>
          <w:highlight w:val="none"/>
          <w:lang w:bidi="ar"/>
        </w:rPr>
      </w:pPr>
      <w:bookmarkStart w:id="566" w:name="_Toc660"/>
      <w:bookmarkStart w:id="567" w:name="_Toc27730"/>
      <w:bookmarkStart w:id="568" w:name="_Toc361437572"/>
      <w:bookmarkStart w:id="569" w:name="_Toc31349"/>
      <w:bookmarkStart w:id="570" w:name="_Toc101321796"/>
      <w:bookmarkStart w:id="571" w:name="_Toc361433601"/>
      <w:bookmarkStart w:id="572" w:name="_Toc361437173"/>
      <w:bookmarkStart w:id="573" w:name="_Toc361433768"/>
      <w:bookmarkStart w:id="574" w:name="_Toc361434250"/>
      <w:bookmarkStart w:id="575" w:name="_Toc361432660"/>
      <w:bookmarkStart w:id="576" w:name="_Toc81372777"/>
      <w:bookmarkStart w:id="577" w:name="_Toc361437247"/>
      <w:bookmarkStart w:id="578" w:name="_Toc361433090"/>
      <w:bookmarkStart w:id="579" w:name="_Toc361434052"/>
      <w:bookmarkStart w:id="580" w:name="_Toc361433420"/>
      <w:bookmarkStart w:id="581" w:name="_Toc327"/>
      <w:bookmarkStart w:id="582" w:name="_Toc19"/>
      <w:bookmarkStart w:id="583" w:name="_Toc84325930"/>
      <w:bookmarkStart w:id="584" w:name="_Toc363052661"/>
      <w:bookmarkStart w:id="585" w:name="_Toc81372954"/>
      <w:bookmarkStart w:id="586" w:name="_Toc361435893"/>
      <w:bookmarkStart w:id="587" w:name="_Toc361433873"/>
      <w:bookmarkStart w:id="588" w:name="_Toc361433695"/>
      <w:bookmarkStart w:id="589" w:name="_Toc361432200"/>
      <w:bookmarkStart w:id="590" w:name="_Toc361433283"/>
      <w:bookmarkStart w:id="591" w:name="_Toc361436980"/>
      <w:r>
        <w:rPr>
          <w:rFonts w:hint="eastAsia" w:ascii="宋体" w:hAnsi="宋体" w:cs="宋体"/>
          <w:color w:val="auto"/>
          <w:highlight w:val="none"/>
          <w:lang w:bidi="ar"/>
        </w:rPr>
        <w:t>招标代理费用</w:t>
      </w:r>
      <w:bookmarkEnd w:id="566"/>
    </w:p>
    <w:p w14:paraId="092A8E5F">
      <w:pPr>
        <w:pStyle w:val="37"/>
        <w:numPr>
          <w:ilvl w:val="1"/>
          <w:numId w:val="25"/>
        </w:numPr>
        <w:tabs>
          <w:tab w:val="left" w:pos="171"/>
        </w:tabs>
        <w:spacing w:line="312" w:lineRule="auto"/>
        <w:ind w:firstLine="480"/>
        <w:rPr>
          <w:rFonts w:ascii="宋体" w:hAnsi="宋体" w:cs="宋体"/>
          <w:color w:val="auto"/>
          <w:highlight w:val="none"/>
        </w:rPr>
      </w:pPr>
      <w:bookmarkStart w:id="592" w:name="OLE_LINK37"/>
      <w:bookmarkStart w:id="593" w:name="_Toc18932"/>
      <w:bookmarkStart w:id="594" w:name="_Toc27073"/>
      <w:bookmarkStart w:id="595" w:name="_Toc27865"/>
      <w:bookmarkStart w:id="596" w:name="_Toc829"/>
      <w:bookmarkStart w:id="597" w:name="_Toc18862"/>
      <w:bookmarkStart w:id="598" w:name="_Toc6640"/>
      <w:bookmarkStart w:id="599" w:name="_Toc21042"/>
      <w:bookmarkStart w:id="600" w:name="_Toc356371441"/>
      <w:bookmarkStart w:id="601" w:name="_Toc6658"/>
      <w:bookmarkStart w:id="602" w:name="_Toc31514"/>
      <w:bookmarkStart w:id="603" w:name="_Toc25070"/>
      <w:bookmarkStart w:id="604" w:name="_Toc6421"/>
      <w:bookmarkStart w:id="605" w:name="_Toc16372"/>
      <w:bookmarkStart w:id="606" w:name="_Toc4316"/>
      <w:bookmarkStart w:id="607" w:name="_Toc3233"/>
      <w:bookmarkStart w:id="608" w:name="_Toc30244"/>
      <w:bookmarkStart w:id="609" w:name="_Toc30867"/>
      <w:bookmarkStart w:id="610" w:name="_Toc5064"/>
      <w:bookmarkStart w:id="611" w:name="_Toc3972"/>
      <w:bookmarkStart w:id="612" w:name="_Toc27560"/>
      <w:bookmarkStart w:id="613" w:name="_Toc14430"/>
      <w:bookmarkStart w:id="614" w:name="_Toc25338"/>
      <w:bookmarkStart w:id="615" w:name="_Toc5554"/>
      <w:bookmarkStart w:id="616" w:name="_Toc759"/>
      <w:bookmarkStart w:id="617" w:name="_Toc26725"/>
      <w:bookmarkStart w:id="618" w:name="_Toc7384"/>
      <w:bookmarkStart w:id="619" w:name="_Toc787"/>
      <w:bookmarkStart w:id="620" w:name="_Toc30799"/>
      <w:bookmarkStart w:id="621" w:name="_Toc1992"/>
      <w:bookmarkStart w:id="622" w:name="_Toc31746"/>
      <w:bookmarkStart w:id="623" w:name="_Toc28218"/>
      <w:bookmarkStart w:id="624" w:name="_Toc32449"/>
      <w:bookmarkStart w:id="625" w:name="_Toc18934"/>
      <w:bookmarkStart w:id="626" w:name="_Toc17209"/>
      <w:bookmarkStart w:id="627" w:name="_Toc24668"/>
      <w:bookmarkStart w:id="628" w:name="_Toc11991"/>
      <w:bookmarkStart w:id="629" w:name="_Toc28293"/>
      <w:bookmarkStart w:id="630" w:name="_Toc16186"/>
      <w:bookmarkStart w:id="631" w:name="_Toc3872"/>
      <w:bookmarkStart w:id="632" w:name="_Toc10535"/>
      <w:bookmarkStart w:id="633" w:name="_Toc366144040"/>
      <w:bookmarkStart w:id="634" w:name="_Toc13809"/>
      <w:bookmarkStart w:id="635" w:name="_Toc194"/>
      <w:bookmarkStart w:id="636" w:name="_Toc28587"/>
      <w:bookmarkStart w:id="637" w:name="_Toc26256"/>
      <w:bookmarkStart w:id="638" w:name="_Toc30941"/>
      <w:bookmarkStart w:id="639" w:name="_Toc23772"/>
      <w:bookmarkStart w:id="640" w:name="_Toc1830"/>
      <w:r>
        <w:rPr>
          <w:rFonts w:hint="eastAsia" w:ascii="宋体" w:hAnsi="宋体" w:eastAsia="宋体" w:cs="宋体"/>
          <w:color w:val="auto"/>
          <w:highlight w:val="none"/>
        </w:rPr>
        <w:t>本项目招标代理费参照计价格</w:t>
      </w:r>
      <w:r>
        <w:rPr>
          <w:rFonts w:hint="eastAsia" w:ascii="宋体" w:hAnsi="宋体" w:eastAsia="宋体" w:cs="宋体"/>
          <w:color w:val="auto"/>
          <w:highlight w:val="none"/>
          <w:lang w:eastAsia="zh-CN"/>
        </w:rPr>
        <w:t>〔2002〕520号</w:t>
      </w:r>
      <w:r>
        <w:rPr>
          <w:rFonts w:hint="eastAsia" w:ascii="宋体" w:hAnsi="宋体" w:eastAsia="宋体" w:cs="宋体"/>
          <w:color w:val="auto"/>
          <w:highlight w:val="none"/>
        </w:rPr>
        <w:t>及发改价格</w:t>
      </w:r>
      <w:r>
        <w:rPr>
          <w:rFonts w:hint="eastAsia" w:ascii="宋体" w:hAnsi="宋体" w:eastAsia="宋体" w:cs="宋体"/>
          <w:color w:val="auto"/>
          <w:highlight w:val="none"/>
          <w:lang w:eastAsia="zh-CN"/>
        </w:rPr>
        <w:t>〔2011〕534号</w:t>
      </w:r>
      <w:r>
        <w:rPr>
          <w:rFonts w:hint="eastAsia" w:ascii="宋体" w:hAnsi="宋体" w:eastAsia="宋体" w:cs="宋体"/>
          <w:color w:val="auto"/>
          <w:highlight w:val="none"/>
        </w:rPr>
        <w:t>文的规定的收费标准（</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类）</w:t>
      </w:r>
      <w:r>
        <w:rPr>
          <w:rFonts w:hint="eastAsia" w:ascii="宋体" w:hAnsi="宋体" w:cs="宋体"/>
          <w:color w:val="auto"/>
          <w:highlight w:val="none"/>
          <w:lang w:val="en-US" w:eastAsia="zh-CN"/>
        </w:rPr>
        <w:t>的60%</w:t>
      </w:r>
      <w:r>
        <w:rPr>
          <w:rFonts w:hint="eastAsia" w:ascii="宋体" w:hAnsi="宋体" w:eastAsia="宋体" w:cs="宋体"/>
          <w:color w:val="auto"/>
          <w:highlight w:val="none"/>
        </w:rPr>
        <w:t>计取（以</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价为基数）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由中标人支付，在领取中标通知书时交于招标代理公司。</w:t>
      </w:r>
    </w:p>
    <w:p w14:paraId="3C667D67">
      <w:pPr>
        <w:pStyle w:val="37"/>
        <w:pageBreakBefore w:val="0"/>
        <w:numPr>
          <w:ilvl w:val="1"/>
          <w:numId w:val="25"/>
        </w:numPr>
        <w:shd w:val="clear"/>
        <w:tabs>
          <w:tab w:val="left" w:pos="171"/>
        </w:tabs>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highlight w:val="none"/>
        </w:rPr>
      </w:pPr>
      <w:r>
        <w:rPr>
          <w:rFonts w:hint="eastAsia" w:ascii="宋体" w:hAnsi="宋体" w:cs="宋体"/>
          <w:color w:val="auto"/>
          <w:highlight w:val="none"/>
        </w:rPr>
        <w:t>评委费最终按实由中标人支付。</w:t>
      </w:r>
    </w:p>
    <w:bookmarkEnd w:id="592"/>
    <w:p w14:paraId="4A91D74D">
      <w:pPr>
        <w:pStyle w:val="37"/>
        <w:pageBreakBefore w:val="0"/>
        <w:numPr>
          <w:ilvl w:val="1"/>
          <w:numId w:val="25"/>
        </w:numPr>
        <w:shd w:val="clear"/>
        <w:tabs>
          <w:tab w:val="left" w:pos="171"/>
        </w:tabs>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highlight w:val="none"/>
        </w:rPr>
      </w:pPr>
      <w:r>
        <w:rPr>
          <w:rFonts w:hint="eastAsia" w:ascii="宋体" w:hAnsi="宋体" w:cs="宋体"/>
          <w:color w:val="auto"/>
          <w:highlight w:val="none"/>
        </w:rPr>
        <w:t>若出现终止采购情形的，上述费用由采购人支付。</w:t>
      </w:r>
    </w:p>
    <w:p w14:paraId="643DFC4F">
      <w:pPr>
        <w:pStyle w:val="6"/>
        <w:pageBreakBefore w:val="0"/>
        <w:numPr>
          <w:ilvl w:val="1"/>
          <w:numId w:val="0"/>
        </w:numPr>
        <w:shd w:val="clear"/>
        <w:kinsoku/>
        <w:wordWrap/>
        <w:overflowPunct/>
        <w:topLinePunct w:val="0"/>
        <w:autoSpaceDE/>
        <w:autoSpaceDN/>
        <w:bidi w:val="0"/>
        <w:adjustRightInd/>
        <w:snapToGrid/>
        <w:spacing w:beforeLines="0" w:afterLines="0" w:line="312" w:lineRule="auto"/>
        <w:ind w:firstLine="602" w:firstLineChars="200"/>
        <w:textAlignment w:val="auto"/>
        <w:rPr>
          <w:rFonts w:ascii="宋体" w:hAnsi="宋体" w:cs="宋体"/>
          <w:b/>
          <w:bCs w:val="0"/>
          <w:color w:val="auto"/>
          <w:highlight w:val="none"/>
          <w:lang w:bidi="ar"/>
        </w:rPr>
      </w:pPr>
      <w:bookmarkStart w:id="641" w:name="_Toc18745"/>
      <w:bookmarkStart w:id="642" w:name="_Toc23556"/>
      <w:bookmarkStart w:id="643" w:name="_Toc15116"/>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三</w:t>
      </w:r>
      <w:r>
        <w:rPr>
          <w:rFonts w:hint="eastAsia" w:ascii="宋体" w:hAnsi="宋体" w:cs="宋体"/>
          <w:b/>
          <w:bCs w:val="0"/>
          <w:color w:val="auto"/>
          <w:highlight w:val="none"/>
          <w:lang w:bidi="ar"/>
        </w:rPr>
        <w:t>、法律责任</w:t>
      </w:r>
      <w:bookmarkEnd w:id="593"/>
      <w:bookmarkEnd w:id="594"/>
      <w:bookmarkEnd w:id="595"/>
      <w:bookmarkEnd w:id="641"/>
      <w:bookmarkEnd w:id="642"/>
      <w:bookmarkEnd w:id="643"/>
    </w:p>
    <w:p w14:paraId="5BA00585">
      <w:pPr>
        <w:pStyle w:val="37"/>
        <w:pageBreakBefore w:val="0"/>
        <w:numPr>
          <w:ilvl w:val="0"/>
          <w:numId w:val="9"/>
        </w:numPr>
        <w:shd w:val="clear"/>
        <w:kinsoku/>
        <w:wordWrap/>
        <w:overflowPunct/>
        <w:topLinePunct w:val="0"/>
        <w:autoSpaceDE/>
        <w:autoSpaceDN/>
        <w:bidi w:val="0"/>
        <w:adjustRightInd/>
        <w:snapToGrid/>
        <w:spacing w:line="312" w:lineRule="auto"/>
        <w:ind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w:t>
      </w:r>
      <w:r>
        <w:rPr>
          <w:rFonts w:hint="eastAsia" w:ascii="宋体" w:hAnsi="宋体" w:cs="宋体"/>
          <w:color w:val="auto"/>
          <w:highlight w:val="none"/>
          <w:lang w:eastAsia="zh-CN" w:bidi="ar"/>
        </w:rPr>
        <w:t>，</w:t>
      </w:r>
      <w:r>
        <w:rPr>
          <w:rFonts w:hint="eastAsia" w:ascii="宋体" w:hAnsi="宋体" w:cs="宋体"/>
          <w:color w:val="auto"/>
          <w:highlight w:val="none"/>
          <w:lang w:bidi="ar"/>
        </w:rPr>
        <w:t>处以政府采购项目中标金额千分之五以上千分之十以下的罚款</w:t>
      </w:r>
      <w:r>
        <w:rPr>
          <w:rFonts w:hint="eastAsia" w:ascii="宋体" w:hAnsi="宋体" w:cs="宋体"/>
          <w:color w:val="auto"/>
          <w:highlight w:val="none"/>
          <w:lang w:eastAsia="zh-CN" w:bidi="ar"/>
        </w:rPr>
        <w:t>，</w:t>
      </w:r>
      <w:r>
        <w:rPr>
          <w:rFonts w:hint="eastAsia" w:ascii="宋体" w:hAnsi="宋体" w:cs="宋体"/>
          <w:color w:val="auto"/>
          <w:highlight w:val="none"/>
          <w:lang w:bidi="ar"/>
        </w:rPr>
        <w:t>列入不良行为记录名单</w:t>
      </w:r>
      <w:r>
        <w:rPr>
          <w:rFonts w:hint="eastAsia" w:ascii="宋体" w:hAnsi="宋体" w:cs="宋体"/>
          <w:color w:val="auto"/>
          <w:highlight w:val="none"/>
          <w:lang w:eastAsia="zh-CN" w:bidi="ar"/>
        </w:rPr>
        <w:t>，</w:t>
      </w:r>
      <w:r>
        <w:rPr>
          <w:rFonts w:hint="eastAsia" w:ascii="宋体" w:hAnsi="宋体" w:cs="宋体"/>
          <w:color w:val="auto"/>
          <w:highlight w:val="none"/>
          <w:lang w:bidi="ar"/>
        </w:rPr>
        <w:t>在一至三年内禁止参加国企采购活动</w:t>
      </w:r>
      <w:r>
        <w:rPr>
          <w:rFonts w:hint="eastAsia" w:ascii="宋体" w:hAnsi="宋体" w:cs="宋体"/>
          <w:color w:val="auto"/>
          <w:highlight w:val="none"/>
          <w:lang w:eastAsia="zh-CN" w:bidi="ar"/>
        </w:rPr>
        <w:t>，</w:t>
      </w:r>
      <w:r>
        <w:rPr>
          <w:rFonts w:hint="eastAsia" w:ascii="宋体" w:hAnsi="宋体" w:cs="宋体"/>
          <w:color w:val="auto"/>
          <w:highlight w:val="none"/>
          <w:lang w:bidi="ar"/>
        </w:rPr>
        <w:t>并予以公告</w:t>
      </w:r>
      <w:r>
        <w:rPr>
          <w:rFonts w:hint="eastAsia" w:ascii="宋体" w:hAnsi="宋体" w:cs="宋体"/>
          <w:color w:val="auto"/>
          <w:highlight w:val="none"/>
          <w:lang w:eastAsia="zh-CN" w:bidi="ar"/>
        </w:rPr>
        <w:t>，</w:t>
      </w:r>
      <w:r>
        <w:rPr>
          <w:rFonts w:hint="eastAsia" w:ascii="宋体" w:hAnsi="宋体" w:cs="宋体"/>
          <w:color w:val="auto"/>
          <w:highlight w:val="none"/>
          <w:lang w:bidi="ar"/>
        </w:rPr>
        <w:t>有违法所得的</w:t>
      </w:r>
      <w:r>
        <w:rPr>
          <w:rFonts w:hint="eastAsia" w:ascii="宋体" w:hAnsi="宋体" w:cs="宋体"/>
          <w:color w:val="auto"/>
          <w:highlight w:val="none"/>
          <w:lang w:eastAsia="zh-CN" w:bidi="ar"/>
        </w:rPr>
        <w:t>，</w:t>
      </w:r>
      <w:r>
        <w:rPr>
          <w:rFonts w:hint="eastAsia" w:ascii="宋体" w:hAnsi="宋体" w:cs="宋体"/>
          <w:color w:val="auto"/>
          <w:highlight w:val="none"/>
          <w:lang w:bidi="ar"/>
        </w:rPr>
        <w:t>并处没收违法所得</w:t>
      </w:r>
      <w:r>
        <w:rPr>
          <w:rFonts w:hint="eastAsia" w:ascii="宋体" w:hAnsi="宋体" w:cs="宋体"/>
          <w:color w:val="auto"/>
          <w:highlight w:val="none"/>
          <w:lang w:eastAsia="zh-CN" w:bidi="ar"/>
        </w:rPr>
        <w:t>，</w:t>
      </w:r>
      <w:r>
        <w:rPr>
          <w:rFonts w:hint="eastAsia" w:ascii="宋体" w:hAnsi="宋体" w:cs="宋体"/>
          <w:color w:val="auto"/>
          <w:highlight w:val="none"/>
          <w:lang w:bidi="ar"/>
        </w:rPr>
        <w:t>情节严重的</w:t>
      </w:r>
      <w:r>
        <w:rPr>
          <w:rFonts w:hint="eastAsia" w:ascii="宋体" w:hAnsi="宋体" w:cs="宋体"/>
          <w:color w:val="auto"/>
          <w:highlight w:val="none"/>
          <w:lang w:eastAsia="zh-CN" w:bidi="ar"/>
        </w:rPr>
        <w:t>，</w:t>
      </w:r>
      <w:r>
        <w:rPr>
          <w:rFonts w:hint="eastAsia" w:ascii="宋体" w:hAnsi="宋体" w:cs="宋体"/>
          <w:color w:val="auto"/>
          <w:highlight w:val="none"/>
          <w:lang w:bidi="ar"/>
        </w:rPr>
        <w:t>由市场监督管理机关吊销营业执照</w:t>
      </w:r>
      <w:r>
        <w:rPr>
          <w:rFonts w:hint="eastAsia" w:ascii="宋体" w:hAnsi="宋体" w:cs="宋体"/>
          <w:color w:val="auto"/>
          <w:highlight w:val="none"/>
          <w:lang w:eastAsia="zh-CN" w:bidi="ar"/>
        </w:rPr>
        <w:t>；</w:t>
      </w:r>
      <w:r>
        <w:rPr>
          <w:rFonts w:hint="eastAsia" w:ascii="宋体" w:hAnsi="宋体" w:cs="宋体"/>
          <w:color w:val="auto"/>
          <w:highlight w:val="none"/>
          <w:lang w:bidi="ar"/>
        </w:rPr>
        <w:t>构成犯罪的</w:t>
      </w:r>
      <w:r>
        <w:rPr>
          <w:rFonts w:hint="eastAsia" w:ascii="宋体" w:hAnsi="宋体" w:cs="宋体"/>
          <w:color w:val="auto"/>
          <w:highlight w:val="none"/>
          <w:lang w:eastAsia="zh-CN" w:bidi="ar"/>
        </w:rPr>
        <w:t>，</w:t>
      </w:r>
      <w:r>
        <w:rPr>
          <w:rFonts w:hint="eastAsia" w:ascii="宋体" w:hAnsi="宋体" w:cs="宋体"/>
          <w:color w:val="auto"/>
          <w:highlight w:val="none"/>
          <w:lang w:bidi="ar"/>
        </w:rPr>
        <w:t>依法追究刑事责任</w:t>
      </w:r>
      <w:r>
        <w:rPr>
          <w:rFonts w:hint="eastAsia" w:ascii="宋体" w:hAnsi="宋体" w:cs="宋体"/>
          <w:color w:val="auto"/>
          <w:highlight w:val="none"/>
          <w:lang w:eastAsia="zh-CN" w:bidi="ar"/>
        </w:rPr>
        <w:t>：</w:t>
      </w:r>
    </w:p>
    <w:p w14:paraId="24106435">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提供虚假材料谋取中标的；</w:t>
      </w:r>
    </w:p>
    <w:p w14:paraId="11D339A8">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采取不正当手段诋毁、排挤其他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w:t>
      </w:r>
    </w:p>
    <w:p w14:paraId="3E8C8736">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与采购人、采购代理机构、其他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恶意串通的；</w:t>
      </w:r>
    </w:p>
    <w:p w14:paraId="6B3B0BE3">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向采购人、采购代理机构行贿或者提供其他不正当利益的；</w:t>
      </w:r>
    </w:p>
    <w:p w14:paraId="1162D039">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在招标过程中与采购人进行协商谈判、不按照招标文件和</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的投标文件订立合同</w:t>
      </w:r>
      <w:r>
        <w:rPr>
          <w:rFonts w:hint="eastAsia" w:ascii="宋体" w:hAnsi="宋体" w:cs="宋体"/>
          <w:color w:val="auto"/>
          <w:highlight w:val="none"/>
          <w:lang w:eastAsia="zh-CN" w:bidi="ar"/>
        </w:rPr>
        <w:t>，</w:t>
      </w:r>
      <w:r>
        <w:rPr>
          <w:rFonts w:hint="eastAsia" w:ascii="宋体" w:hAnsi="宋体" w:cs="宋体"/>
          <w:color w:val="auto"/>
          <w:highlight w:val="none"/>
          <w:lang w:bidi="ar"/>
        </w:rPr>
        <w:t>或者与采购人另行订立背离合同实质性内容的协议的；</w:t>
      </w:r>
    </w:p>
    <w:p w14:paraId="51C58A1A">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outlineLvl w:val="2"/>
        <w:rPr>
          <w:rFonts w:ascii="宋体" w:hAnsi="宋体" w:cs="宋体"/>
          <w:color w:val="auto"/>
          <w:highlight w:val="none"/>
          <w:lang w:bidi="ar"/>
        </w:rPr>
      </w:pPr>
      <w:bookmarkStart w:id="644" w:name="_Toc10003"/>
      <w:r>
        <w:rPr>
          <w:rFonts w:hint="eastAsia" w:ascii="宋体" w:hAnsi="宋体" w:cs="宋体"/>
          <w:color w:val="auto"/>
          <w:highlight w:val="none"/>
          <w:lang w:bidi="ar"/>
        </w:rPr>
        <w:t>拒绝有关部门监督检查或者提供虚假情况的。</w:t>
      </w:r>
      <w:bookmarkEnd w:id="644"/>
    </w:p>
    <w:p w14:paraId="754FFA36">
      <w:pPr>
        <w:pStyle w:val="6"/>
        <w:pageBreakBefore w:val="0"/>
        <w:numPr>
          <w:ilvl w:val="1"/>
          <w:numId w:val="0"/>
        </w:numPr>
        <w:shd w:val="clear"/>
        <w:kinsoku/>
        <w:overflowPunct/>
        <w:topLinePunct w:val="0"/>
        <w:autoSpaceDE/>
        <w:autoSpaceDN/>
        <w:bidi w:val="0"/>
        <w:spacing w:beforeLines="0" w:afterLines="0" w:line="308" w:lineRule="auto"/>
        <w:jc w:val="center"/>
        <w:textAlignment w:val="auto"/>
        <w:rPr>
          <w:rFonts w:ascii="宋体" w:hAnsi="宋体" w:cs="宋体"/>
          <w:b/>
          <w:bCs w:val="0"/>
          <w:color w:val="auto"/>
          <w:highlight w:val="none"/>
        </w:rPr>
      </w:pPr>
      <w:bookmarkStart w:id="645" w:name="_Toc5419"/>
      <w:bookmarkStart w:id="646" w:name="_Toc10353"/>
      <w:bookmarkStart w:id="647" w:name="_Toc19842"/>
      <w:bookmarkStart w:id="648" w:name="_Toc18174"/>
      <w:bookmarkStart w:id="649" w:name="_Toc19245"/>
      <w:bookmarkStart w:id="650" w:name="_Toc13704"/>
      <w:r>
        <w:rPr>
          <w:rFonts w:hint="eastAsia" w:ascii="宋体" w:hAnsi="宋体" w:cs="宋体"/>
          <w:b/>
          <w:bCs w:val="0"/>
          <w:color w:val="auto"/>
          <w:highlight w:val="none"/>
        </w:rPr>
        <w:t>十</w:t>
      </w:r>
      <w:r>
        <w:rPr>
          <w:rFonts w:hint="eastAsia" w:ascii="宋体" w:hAnsi="宋体" w:cs="宋体"/>
          <w:b/>
          <w:bCs w:val="0"/>
          <w:color w:val="auto"/>
          <w:highlight w:val="none"/>
          <w:lang w:val="en-US" w:eastAsia="zh-CN"/>
        </w:rPr>
        <w:t>四</w:t>
      </w:r>
      <w:r>
        <w:rPr>
          <w:rFonts w:hint="eastAsia" w:ascii="宋体" w:hAnsi="宋体" w:cs="宋体"/>
          <w:b/>
          <w:bCs w:val="0"/>
          <w:color w:val="auto"/>
          <w:highlight w:val="none"/>
        </w:rPr>
        <w:t>、诚信管理</w:t>
      </w:r>
      <w:bookmarkEnd w:id="645"/>
      <w:bookmarkEnd w:id="646"/>
      <w:bookmarkEnd w:id="647"/>
      <w:bookmarkEnd w:id="648"/>
      <w:bookmarkEnd w:id="649"/>
      <w:bookmarkEnd w:id="650"/>
    </w:p>
    <w:p w14:paraId="40E9C7F5">
      <w:pPr>
        <w:pStyle w:val="37"/>
        <w:keepNext w:val="0"/>
        <w:keepLines w:val="0"/>
        <w:pageBreakBefore w:val="0"/>
        <w:widowControl/>
        <w:numPr>
          <w:ilvl w:val="0"/>
          <w:numId w:val="26"/>
        </w:numPr>
        <w:shd w:val="clear"/>
        <w:kinsoku/>
        <w:wordWrap/>
        <w:overflowPunct/>
        <w:topLinePunct w:val="0"/>
        <w:autoSpaceDE/>
        <w:autoSpaceDN/>
        <w:bidi w:val="0"/>
        <w:adjustRightInd w:val="0"/>
        <w:snapToGrid/>
        <w:spacing w:line="308"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有下列情形之一的，依据《关于印发浙江省政府</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注册及诚信管理暂行办</w:t>
      </w:r>
      <w:r>
        <w:rPr>
          <w:rFonts w:hint="eastAsia" w:ascii="宋体" w:hAnsi="宋体" w:cs="宋体"/>
          <w:color w:val="auto"/>
          <w:highlight w:val="none"/>
          <w:lang w:eastAsia="zh-CN" w:bidi="ar"/>
        </w:rPr>
        <w:t>法的</w:t>
      </w:r>
      <w:r>
        <w:rPr>
          <w:rFonts w:hint="eastAsia" w:ascii="宋体" w:hAnsi="宋体" w:cs="宋体"/>
          <w:color w:val="auto"/>
          <w:highlight w:val="none"/>
          <w:lang w:bidi="ar"/>
        </w:rPr>
        <w:t>通知》[浙财采监字〔2009〕28号]文件第三十八条和第三十九条的规定记录不良行为、黑名单及处罚。</w:t>
      </w:r>
    </w:p>
    <w:p w14:paraId="14BE402A">
      <w:pPr>
        <w:pStyle w:val="37"/>
        <w:keepNext w:val="0"/>
        <w:keepLines w:val="0"/>
        <w:pageBreakBefore w:val="0"/>
        <w:widowControl/>
        <w:numPr>
          <w:ilvl w:val="1"/>
          <w:numId w:val="26"/>
        </w:numPr>
        <w:shd w:val="clear"/>
        <w:tabs>
          <w:tab w:val="left" w:pos="171"/>
        </w:tabs>
        <w:kinsoku/>
        <w:wordWrap/>
        <w:overflowPunct/>
        <w:topLinePunct w:val="0"/>
        <w:autoSpaceDE/>
        <w:autoSpaceDN/>
        <w:bidi w:val="0"/>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有下列情形之一的，采购人或采购代理机构应按不良行为记入该注册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诚信档案中：</w:t>
      </w:r>
    </w:p>
    <w:p w14:paraId="65E377DE">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1" w:name="_Toc25740"/>
      <w:r>
        <w:rPr>
          <w:rFonts w:hint="eastAsia" w:ascii="宋体" w:hAnsi="宋体"/>
          <w:color w:val="auto"/>
          <w:highlight w:val="none"/>
        </w:rPr>
        <w:t>（一）开标后擅自撤回采购投标文件，影响采购活动继续进行的；</w:t>
      </w:r>
      <w:bookmarkEnd w:id="651"/>
    </w:p>
    <w:p w14:paraId="1BF01009">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（二）中标、成交后无正当理由拒绝签订国企采购合同，或者与采购人另行订立背离合同实质内容的协议的；</w:t>
      </w:r>
    </w:p>
    <w:p w14:paraId="5DB4A68E">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（三）无正当理由拒绝履行合同和有关承诺，或擅自变更、中止（终止）国企采购合同的；</w:t>
      </w:r>
    </w:p>
    <w:p w14:paraId="0BC7F4A4">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2" w:name="_Toc14984"/>
      <w:r>
        <w:rPr>
          <w:rFonts w:hint="eastAsia" w:ascii="宋体" w:hAnsi="宋体"/>
          <w:color w:val="auto"/>
          <w:highlight w:val="none"/>
        </w:rPr>
        <w:t>（四）超过合同约定的供货（或服务）时间达10日以上的；</w:t>
      </w:r>
      <w:bookmarkEnd w:id="652"/>
    </w:p>
    <w:p w14:paraId="177E2EFC">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r>
        <w:rPr>
          <w:rFonts w:hint="eastAsia" w:ascii="宋体" w:hAnsi="宋体"/>
          <w:color w:val="auto"/>
          <w:highlight w:val="none"/>
        </w:rPr>
        <w:t>（五）中标、成交后，将国企采购合同转包或擅自分包给其他</w:t>
      </w:r>
      <w:r>
        <w:rPr>
          <w:rFonts w:hint="eastAsia" w:ascii="宋体" w:hAnsi="宋体"/>
          <w:color w:val="auto"/>
          <w:highlight w:val="none"/>
          <w:lang w:eastAsia="zh-CN"/>
        </w:rPr>
        <w:t>投标人</w:t>
      </w:r>
      <w:r>
        <w:rPr>
          <w:rFonts w:hint="eastAsia" w:ascii="宋体" w:hAnsi="宋体"/>
          <w:color w:val="auto"/>
          <w:highlight w:val="none"/>
        </w:rPr>
        <w:t>的；</w:t>
      </w:r>
    </w:p>
    <w:p w14:paraId="01ADDB54">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bookmarkStart w:id="653" w:name="_Toc30937"/>
      <w:r>
        <w:rPr>
          <w:rFonts w:hint="eastAsia" w:ascii="宋体" w:hAnsi="宋体"/>
          <w:color w:val="auto"/>
          <w:highlight w:val="none"/>
        </w:rPr>
        <w:t>（六）提供假冒伪劣产品或走私物品的；</w:t>
      </w:r>
      <w:bookmarkEnd w:id="653"/>
    </w:p>
    <w:p w14:paraId="2F25717C">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r>
        <w:rPr>
          <w:rFonts w:hint="eastAsia" w:ascii="宋体" w:hAnsi="宋体"/>
          <w:color w:val="auto"/>
          <w:highlight w:val="none"/>
        </w:rPr>
        <w:t>（七）擅自降低产品质量等次和售后服务，或以次充好、偷工减料的；</w:t>
      </w:r>
    </w:p>
    <w:p w14:paraId="641A0584">
      <w:pPr>
        <w:pageBreakBefore w:val="0"/>
        <w:shd w:val="clear"/>
        <w:kinsoku/>
        <w:overflowPunct/>
        <w:topLinePunct w:val="0"/>
        <w:autoSpaceDE/>
        <w:autoSpaceDN/>
        <w:bidi w:val="0"/>
        <w:adjustRightInd w:val="0"/>
        <w:snapToGrid w:val="0"/>
        <w:spacing w:line="308" w:lineRule="auto"/>
        <w:ind w:firstLine="480"/>
        <w:textAlignment w:val="auto"/>
        <w:rPr>
          <w:rFonts w:hint="eastAsia" w:ascii="宋体" w:hAnsi="宋体"/>
          <w:color w:val="auto"/>
          <w:highlight w:val="none"/>
        </w:rPr>
      </w:pPr>
      <w:r>
        <w:rPr>
          <w:rFonts w:hint="eastAsia" w:ascii="宋体" w:hAnsi="宋体"/>
          <w:color w:val="auto"/>
          <w:highlight w:val="none"/>
        </w:rPr>
        <w:t>（八）实际提供的有关产品性能指标和技术服务能力明显低于采购投标文件或询标、谈判时的承诺；</w:t>
      </w:r>
    </w:p>
    <w:p w14:paraId="3392575F">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（九）在</w:t>
      </w:r>
      <w:r>
        <w:rPr>
          <w:rFonts w:hint="eastAsia" w:ascii="宋体" w:hAnsi="宋体"/>
          <w:color w:val="auto"/>
          <w:highlight w:val="none"/>
          <w:lang w:eastAsia="zh-CN"/>
        </w:rPr>
        <w:t>投标人</w:t>
      </w:r>
      <w:r>
        <w:rPr>
          <w:rFonts w:hint="eastAsia" w:ascii="宋体" w:hAnsi="宋体"/>
          <w:color w:val="auto"/>
          <w:highlight w:val="none"/>
        </w:rPr>
        <w:t>库中发布的产品服务信息或在政府采购网上宣传的信息与实际明显不符，或故意误导采购人的；</w:t>
      </w:r>
    </w:p>
    <w:p w14:paraId="63AA2758">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4" w:name="_Toc8068"/>
      <w:r>
        <w:rPr>
          <w:rFonts w:hint="eastAsia" w:ascii="宋体" w:hAnsi="宋体"/>
          <w:color w:val="auto"/>
          <w:highlight w:val="none"/>
        </w:rPr>
        <w:t>（十）不按规定或不及时变更</w:t>
      </w:r>
      <w:r>
        <w:rPr>
          <w:rFonts w:hint="eastAsia" w:ascii="宋体" w:hAnsi="宋体"/>
          <w:color w:val="auto"/>
          <w:highlight w:val="none"/>
          <w:lang w:eastAsia="zh-CN"/>
        </w:rPr>
        <w:t>投标人</w:t>
      </w:r>
      <w:r>
        <w:rPr>
          <w:rFonts w:hint="eastAsia" w:ascii="宋体" w:hAnsi="宋体"/>
          <w:color w:val="auto"/>
          <w:highlight w:val="none"/>
        </w:rPr>
        <w:t>库中的有关信息的；</w:t>
      </w:r>
      <w:bookmarkEnd w:id="654"/>
    </w:p>
    <w:p w14:paraId="7FD0DD78">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（十一）1年内在全省被质疑或投诉累计分别在20和10次以上且60%以上被驳回的，或恶意举报给采购人或采购代理机构造成损害的；</w:t>
      </w:r>
    </w:p>
    <w:p w14:paraId="24D4EC32">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5" w:name="_Toc24408"/>
      <w:r>
        <w:rPr>
          <w:rFonts w:hint="eastAsia" w:ascii="宋体" w:hAnsi="宋体"/>
          <w:color w:val="auto"/>
          <w:highlight w:val="none"/>
        </w:rPr>
        <w:t>（十二）各级财政部门认定</w:t>
      </w:r>
      <w:r>
        <w:rPr>
          <w:rFonts w:hint="eastAsia" w:ascii="宋体" w:hAnsi="宋体"/>
          <w:color w:val="auto"/>
          <w:highlight w:val="none"/>
          <w:lang w:eastAsia="zh-CN"/>
        </w:rPr>
        <w:t>的其他</w:t>
      </w:r>
      <w:r>
        <w:rPr>
          <w:rFonts w:hint="eastAsia" w:ascii="宋体" w:hAnsi="宋体"/>
          <w:color w:val="auto"/>
          <w:highlight w:val="none"/>
        </w:rPr>
        <w:t>有违诚实信用的行为。</w:t>
      </w:r>
      <w:bookmarkEnd w:id="655"/>
    </w:p>
    <w:p w14:paraId="51095E7C">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08"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有下列情形之一的，采购人或采购代理机构应向同级主管部门书面报告，并提请主管部门将其列入“黑名单”或者依法作出处罚；各级主管部门在依法处罚的同时，应将该情况按不良行为记入该</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诚信档案中，同时将该</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列入“黑名单”公开曝光：</w:t>
      </w:r>
    </w:p>
    <w:p w14:paraId="5AFF112F">
      <w:pPr>
        <w:pStyle w:val="37"/>
        <w:keepNext w:val="0"/>
        <w:keepLines w:val="0"/>
        <w:pageBreakBefore w:val="0"/>
        <w:widowControl/>
        <w:numPr>
          <w:ilvl w:val="255"/>
          <w:numId w:val="0"/>
        </w:numPr>
        <w:shd w:val="clear"/>
        <w:tabs>
          <w:tab w:val="left" w:pos="0"/>
          <w:tab w:val="left" w:pos="171"/>
        </w:tabs>
        <w:kinsoku/>
        <w:wordWrap/>
        <w:overflowPunct/>
        <w:topLinePunct w:val="0"/>
        <w:autoSpaceDE/>
        <w:autoSpaceDN/>
        <w:bidi w:val="0"/>
        <w:adjustRightInd/>
        <w:snapToGrid/>
        <w:spacing w:line="308" w:lineRule="auto"/>
        <w:ind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（一）提供虚假材料谋取中标、成交的；</w:t>
      </w:r>
    </w:p>
    <w:p w14:paraId="55B3FCBA">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（二）采取不正当手段诋毁、排挤其他</w:t>
      </w:r>
      <w:r>
        <w:rPr>
          <w:rFonts w:hint="eastAsia" w:ascii="宋体" w:hAnsi="宋体"/>
          <w:color w:val="auto"/>
          <w:highlight w:val="none"/>
          <w:lang w:eastAsia="zh-CN"/>
        </w:rPr>
        <w:t>投标人</w:t>
      </w:r>
      <w:r>
        <w:rPr>
          <w:rFonts w:hint="eastAsia" w:ascii="宋体" w:hAnsi="宋体"/>
          <w:color w:val="auto"/>
          <w:highlight w:val="none"/>
        </w:rPr>
        <w:t>的；</w:t>
      </w:r>
    </w:p>
    <w:p w14:paraId="503E9105">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（三）与采购人、其他</w:t>
      </w:r>
      <w:r>
        <w:rPr>
          <w:rFonts w:hint="eastAsia" w:ascii="宋体" w:hAnsi="宋体"/>
          <w:color w:val="auto"/>
          <w:highlight w:val="none"/>
          <w:lang w:eastAsia="zh-CN"/>
        </w:rPr>
        <w:t>投标人</w:t>
      </w:r>
      <w:r>
        <w:rPr>
          <w:rFonts w:hint="eastAsia" w:ascii="宋体" w:hAnsi="宋体"/>
          <w:color w:val="auto"/>
          <w:highlight w:val="none"/>
        </w:rPr>
        <w:t>或者采购代理机构恶意串通的；</w:t>
      </w:r>
    </w:p>
    <w:p w14:paraId="1795AC97">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（四）向采购人、采购代理机构行贿或提供其他不正当利益，或因此被其他国家机关立案</w:t>
      </w:r>
      <w:r>
        <w:rPr>
          <w:rFonts w:hint="eastAsia" w:ascii="宋体" w:hAnsi="宋体"/>
          <w:color w:val="auto"/>
          <w:highlight w:val="none"/>
          <w:lang w:eastAsia="zh-CN"/>
        </w:rPr>
        <w:t>查处</w:t>
      </w:r>
      <w:r>
        <w:rPr>
          <w:rFonts w:hint="eastAsia" w:ascii="宋体" w:hAnsi="宋体"/>
          <w:color w:val="auto"/>
          <w:highlight w:val="none"/>
        </w:rPr>
        <w:t>的；</w:t>
      </w:r>
    </w:p>
    <w:p w14:paraId="06609C02">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6" w:name="_Toc14927"/>
      <w:r>
        <w:rPr>
          <w:rFonts w:hint="eastAsia" w:ascii="宋体" w:hAnsi="宋体"/>
          <w:color w:val="auto"/>
          <w:highlight w:val="none"/>
        </w:rPr>
        <w:t>（五）在招标采购过程中与采购人进行协商谈判的；</w:t>
      </w:r>
      <w:bookmarkEnd w:id="656"/>
    </w:p>
    <w:p w14:paraId="6A9686BC">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（六）哄抬、操纵国企采购报价，或国企采购价格（包括产品及其配件、试剂、耗材等价格）明显高于市场平均价的；</w:t>
      </w:r>
    </w:p>
    <w:p w14:paraId="2D1DC5DE">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（七）提供虚假材料骗取注册</w:t>
      </w:r>
      <w:r>
        <w:rPr>
          <w:rFonts w:hint="eastAsia" w:ascii="宋体" w:hAnsi="宋体"/>
          <w:color w:val="auto"/>
          <w:highlight w:val="none"/>
          <w:lang w:eastAsia="zh-CN"/>
        </w:rPr>
        <w:t>投标人</w:t>
      </w:r>
      <w:r>
        <w:rPr>
          <w:rFonts w:hint="eastAsia" w:ascii="宋体" w:hAnsi="宋体"/>
          <w:color w:val="auto"/>
          <w:highlight w:val="none"/>
        </w:rPr>
        <w:t>资格的；</w:t>
      </w:r>
    </w:p>
    <w:p w14:paraId="7E1789E7">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（八）伪造《浙江省政府采购注册</w:t>
      </w:r>
      <w:r>
        <w:rPr>
          <w:rFonts w:hint="eastAsia" w:ascii="宋体" w:hAnsi="宋体"/>
          <w:color w:val="auto"/>
          <w:highlight w:val="none"/>
          <w:lang w:eastAsia="zh-CN"/>
        </w:rPr>
        <w:t>投标人</w:t>
      </w:r>
      <w:r>
        <w:rPr>
          <w:rFonts w:hint="eastAsia" w:ascii="宋体" w:hAnsi="宋体"/>
          <w:color w:val="auto"/>
          <w:highlight w:val="none"/>
        </w:rPr>
        <w:t>信息登记表》的；</w:t>
      </w:r>
    </w:p>
    <w:p w14:paraId="2F073A30">
      <w:pPr>
        <w:pageBreakBefore w:val="0"/>
        <w:shd w:val="clear"/>
        <w:kinsoku/>
        <w:overflowPunct/>
        <w:topLinePunct w:val="0"/>
        <w:autoSpaceDE/>
        <w:autoSpaceDN/>
        <w:bidi w:val="0"/>
        <w:adjustRightInd w:val="0"/>
        <w:snapToGrid w:val="0"/>
        <w:spacing w:line="308" w:lineRule="auto"/>
        <w:ind w:firstLine="480"/>
        <w:textAlignment w:val="auto"/>
        <w:rPr>
          <w:rFonts w:ascii="宋体" w:hAnsi="宋体"/>
          <w:color w:val="auto"/>
          <w:highlight w:val="none"/>
        </w:rPr>
      </w:pPr>
      <w:r>
        <w:rPr>
          <w:rFonts w:hint="eastAsia" w:ascii="宋体" w:hAnsi="宋体"/>
          <w:color w:val="auto"/>
          <w:highlight w:val="none"/>
        </w:rPr>
        <w:t>（九）销售或发布</w:t>
      </w:r>
      <w:r>
        <w:rPr>
          <w:rFonts w:hint="eastAsia" w:ascii="宋体" w:hAnsi="宋体"/>
          <w:color w:val="auto"/>
          <w:highlight w:val="none"/>
          <w:lang w:eastAsia="zh-CN"/>
        </w:rPr>
        <w:t>法律法规</w:t>
      </w:r>
      <w:r>
        <w:rPr>
          <w:rFonts w:hint="eastAsia" w:ascii="宋体" w:hAnsi="宋体"/>
          <w:color w:val="auto"/>
          <w:highlight w:val="none"/>
        </w:rPr>
        <w:t>禁止销售的商品、服务和其他违法信息的；</w:t>
      </w:r>
    </w:p>
    <w:p w14:paraId="54BBBE8E">
      <w:pPr>
        <w:pageBreakBefore w:val="0"/>
        <w:shd w:val="clear"/>
        <w:kinsoku/>
        <w:overflowPunct/>
        <w:topLinePunct w:val="0"/>
        <w:autoSpaceDE/>
        <w:autoSpaceDN/>
        <w:bidi w:val="0"/>
        <w:adjustRightInd w:val="0"/>
        <w:snapToGrid w:val="0"/>
        <w:spacing w:line="308" w:lineRule="auto"/>
        <w:ind w:firstLine="480"/>
        <w:textAlignment w:val="auto"/>
        <w:outlineLvl w:val="2"/>
        <w:rPr>
          <w:rFonts w:ascii="宋体" w:hAnsi="宋体"/>
          <w:color w:val="auto"/>
          <w:highlight w:val="none"/>
        </w:rPr>
      </w:pPr>
      <w:bookmarkStart w:id="657" w:name="_Toc30788"/>
      <w:r>
        <w:rPr>
          <w:rFonts w:hint="eastAsia" w:ascii="宋体" w:hAnsi="宋体"/>
          <w:color w:val="auto"/>
          <w:highlight w:val="none"/>
        </w:rPr>
        <w:t>（十）</w:t>
      </w:r>
      <w:r>
        <w:rPr>
          <w:rFonts w:hint="eastAsia" w:ascii="宋体" w:hAnsi="宋体"/>
          <w:color w:val="auto"/>
          <w:highlight w:val="none"/>
          <w:lang w:eastAsia="zh-CN"/>
        </w:rPr>
        <w:t>其他违反法律法规</w:t>
      </w:r>
      <w:r>
        <w:rPr>
          <w:rFonts w:hint="eastAsia" w:ascii="宋体" w:hAnsi="宋体"/>
          <w:color w:val="auto"/>
          <w:highlight w:val="none"/>
        </w:rPr>
        <w:t>和政府采购管理有关规定的行为的。</w:t>
      </w:r>
      <w:bookmarkEnd w:id="657"/>
    </w:p>
    <w:p w14:paraId="6CE6F5DF">
      <w:pPr>
        <w:pStyle w:val="6"/>
        <w:pageBreakBefore w:val="0"/>
        <w:numPr>
          <w:ilvl w:val="1"/>
          <w:numId w:val="0"/>
        </w:numPr>
        <w:shd w:val="clear"/>
        <w:kinsoku/>
        <w:overflowPunct/>
        <w:topLinePunct w:val="0"/>
        <w:autoSpaceDE/>
        <w:autoSpaceDN/>
        <w:bidi w:val="0"/>
        <w:spacing w:beforeLines="0" w:afterLines="0" w:line="308" w:lineRule="auto"/>
        <w:textAlignment w:val="auto"/>
        <w:rPr>
          <w:rFonts w:ascii="宋体" w:hAnsi="宋体" w:cs="宋体"/>
          <w:b/>
          <w:bCs w:val="0"/>
          <w:color w:val="auto"/>
          <w:highlight w:val="none"/>
          <w:lang w:bidi="ar"/>
        </w:rPr>
      </w:pPr>
      <w:bookmarkStart w:id="658" w:name="_Toc8521"/>
      <w:bookmarkStart w:id="659" w:name="_Toc8468"/>
      <w:bookmarkStart w:id="660" w:name="_Toc14150"/>
      <w:bookmarkStart w:id="661" w:name="_Toc24611"/>
      <w:bookmarkStart w:id="662" w:name="_Toc5209"/>
      <w:bookmarkStart w:id="663" w:name="_Toc18631"/>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五</w:t>
      </w:r>
      <w:r>
        <w:rPr>
          <w:rFonts w:hint="eastAsia" w:ascii="宋体" w:hAnsi="宋体" w:cs="宋体"/>
          <w:b/>
          <w:bCs w:val="0"/>
          <w:color w:val="auto"/>
          <w:highlight w:val="none"/>
          <w:lang w:bidi="ar"/>
        </w:rPr>
        <w:t>、其他</w:t>
      </w:r>
      <w:bookmarkEnd w:id="658"/>
      <w:bookmarkEnd w:id="659"/>
      <w:bookmarkEnd w:id="660"/>
      <w:bookmarkEnd w:id="661"/>
      <w:bookmarkEnd w:id="662"/>
      <w:bookmarkEnd w:id="663"/>
    </w:p>
    <w:p w14:paraId="399AA1BD">
      <w:pPr>
        <w:pStyle w:val="37"/>
        <w:keepNext w:val="0"/>
        <w:keepLines w:val="0"/>
        <w:pageBreakBefore w:val="0"/>
        <w:widowControl/>
        <w:numPr>
          <w:ilvl w:val="0"/>
          <w:numId w:val="26"/>
        </w:numPr>
        <w:shd w:val="clear"/>
        <w:kinsoku/>
        <w:wordWrap/>
        <w:overflowPunct/>
        <w:topLinePunct w:val="0"/>
        <w:autoSpaceDE/>
        <w:autoSpaceDN/>
        <w:bidi w:val="0"/>
        <w:adjustRightInd w:val="0"/>
        <w:snapToGrid/>
        <w:spacing w:line="308"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解释权：本招标文件是</w:t>
      </w:r>
      <w:r>
        <w:rPr>
          <w:rFonts w:hint="eastAsia" w:ascii="宋体" w:hAnsi="宋体" w:cs="宋体"/>
          <w:color w:val="auto"/>
          <w:highlight w:val="none"/>
          <w:lang w:val="en-US" w:eastAsia="zh-CN" w:bidi="ar"/>
        </w:rPr>
        <w:t>参照</w:t>
      </w:r>
      <w:r>
        <w:rPr>
          <w:rFonts w:hint="eastAsia" w:ascii="宋体" w:hAnsi="宋体" w:eastAsia="宋体" w:cs="宋体"/>
          <w:color w:val="auto"/>
          <w:highlight w:val="none"/>
          <w:lang w:bidi="ar"/>
        </w:rPr>
        <w:t>《</w:t>
      </w:r>
      <w:r>
        <w:rPr>
          <w:rFonts w:hint="eastAsia" w:ascii="宋体" w:hAnsi="宋体" w:cs="宋体"/>
          <w:color w:val="auto"/>
          <w:highlight w:val="none"/>
          <w:lang w:eastAsia="zh-CN" w:bidi="ar"/>
        </w:rPr>
        <w:t>中华人民共和国政府采购法</w:t>
      </w:r>
      <w:r>
        <w:rPr>
          <w:rFonts w:hint="eastAsia" w:ascii="宋体" w:hAnsi="宋体" w:eastAsia="宋体" w:cs="宋体"/>
          <w:color w:val="auto"/>
          <w:highlight w:val="none"/>
          <w:lang w:bidi="ar"/>
        </w:rPr>
        <w:t>》及有关规定编制的，解释权属采购人。</w:t>
      </w:r>
    </w:p>
    <w:p w14:paraId="62AA09AB">
      <w:pPr>
        <w:pStyle w:val="37"/>
        <w:keepNext w:val="0"/>
        <w:keepLines w:val="0"/>
        <w:pageBreakBefore w:val="0"/>
        <w:widowControl/>
        <w:numPr>
          <w:ilvl w:val="0"/>
          <w:numId w:val="26"/>
        </w:numPr>
        <w:shd w:val="clear"/>
        <w:kinsoku/>
        <w:wordWrap/>
        <w:overflowPunct/>
        <w:topLinePunct w:val="0"/>
        <w:autoSpaceDE/>
        <w:autoSpaceDN/>
        <w:bidi w:val="0"/>
        <w:adjustRightInd w:val="0"/>
        <w:snapToGrid/>
        <w:spacing w:line="308"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联系方式：所有与招标有关的函电请按下面联系，其他任何方式或信息来源均无效。</w:t>
      </w:r>
    </w:p>
    <w:p w14:paraId="5341CCAE">
      <w:pPr>
        <w:pStyle w:val="37"/>
        <w:keepNext w:val="0"/>
        <w:keepLines w:val="0"/>
        <w:pageBreakBefore w:val="0"/>
        <w:widowControl/>
        <w:shd w:val="clear"/>
        <w:tabs>
          <w:tab w:val="left" w:pos="0"/>
        </w:tabs>
        <w:kinsoku/>
        <w:wordWrap/>
        <w:overflowPunct/>
        <w:topLinePunct w:val="0"/>
        <w:autoSpaceDE/>
        <w:autoSpaceDN/>
        <w:bidi w:val="0"/>
        <w:adjustRightInd w:val="0"/>
        <w:snapToGrid/>
        <w:spacing w:line="308"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highlight w:val="none"/>
          <w:lang w:bidi="ar"/>
        </w:rPr>
        <w:t>通讯</w:t>
      </w:r>
      <w:r>
        <w:rPr>
          <w:rFonts w:hint="eastAsia" w:ascii="宋体" w:hAnsi="宋体" w:cs="宋体"/>
          <w:color w:val="auto"/>
          <w:szCs w:val="21"/>
          <w:highlight w:val="none"/>
        </w:rPr>
        <w:t>地址：</w:t>
      </w:r>
      <w:r>
        <w:rPr>
          <w:rFonts w:hint="eastAsia" w:ascii="宋体" w:hAnsi="宋体" w:cs="宋体"/>
          <w:color w:val="auto"/>
          <w:szCs w:val="21"/>
          <w:highlight w:val="none"/>
          <w:lang w:eastAsia="zh-CN"/>
        </w:rPr>
        <w:t>衢州宇信工程咨询有限公司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龙游县广和商务楼306室</w:t>
      </w:r>
      <w:r>
        <w:rPr>
          <w:rFonts w:hint="eastAsia" w:ascii="宋体" w:hAnsi="宋体" w:cs="宋体"/>
          <w:color w:val="auto"/>
          <w:szCs w:val="21"/>
          <w:highlight w:val="none"/>
        </w:rPr>
        <w:t>）</w:t>
      </w:r>
    </w:p>
    <w:p w14:paraId="3CEF8A96">
      <w:pPr>
        <w:pStyle w:val="37"/>
        <w:keepNext w:val="0"/>
        <w:keepLines w:val="0"/>
        <w:pageBreakBefore w:val="0"/>
        <w:widowControl/>
        <w:shd w:val="clear"/>
        <w:tabs>
          <w:tab w:val="left" w:pos="0"/>
        </w:tabs>
        <w:kinsoku/>
        <w:wordWrap/>
        <w:overflowPunct/>
        <w:topLinePunct w:val="0"/>
        <w:autoSpaceDE/>
        <w:autoSpaceDN/>
        <w:bidi w:val="0"/>
        <w:adjustRightInd w:val="0"/>
        <w:snapToGrid/>
        <w:spacing w:line="308" w:lineRule="auto"/>
        <w:ind w:firstLine="48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祝女士</w:t>
      </w:r>
      <w:r>
        <w:rPr>
          <w:rFonts w:hint="eastAsia" w:ascii="宋体" w:hAnsi="宋体" w:cs="宋体"/>
          <w:color w:val="auto"/>
          <w:szCs w:val="21"/>
          <w:highlight w:val="none"/>
        </w:rPr>
        <w:t xml:space="preserve">   联系方式：</w:t>
      </w:r>
      <w:r>
        <w:rPr>
          <w:rFonts w:hint="eastAsia" w:ascii="宋体" w:hAnsi="宋体" w:cs="宋体"/>
          <w:color w:val="auto"/>
          <w:szCs w:val="21"/>
          <w:highlight w:val="none"/>
          <w:lang w:eastAsia="zh-CN"/>
        </w:rPr>
        <w:t>18367068335</w:t>
      </w:r>
    </w:p>
    <w:p w14:paraId="2E91AAD4">
      <w:pPr>
        <w:pStyle w:val="37"/>
        <w:keepNext w:val="0"/>
        <w:keepLines w:val="0"/>
        <w:pageBreakBefore w:val="0"/>
        <w:widowControl/>
        <w:shd w:val="clear"/>
        <w:tabs>
          <w:tab w:val="left" w:pos="0"/>
        </w:tabs>
        <w:kinsoku/>
        <w:wordWrap/>
        <w:overflowPunct/>
        <w:topLinePunct w:val="0"/>
        <w:autoSpaceDE/>
        <w:autoSpaceDN/>
        <w:bidi w:val="0"/>
        <w:adjustRightInd w:val="0"/>
        <w:snapToGrid/>
        <w:spacing w:line="308" w:lineRule="auto"/>
        <w:ind w:firstLine="48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公告网址：</w:t>
      </w:r>
      <w:r>
        <w:rPr>
          <w:rFonts w:hint="eastAsia" w:ascii="宋体" w:hAnsi="宋体" w:cs="宋体"/>
          <w:color w:val="auto"/>
          <w:szCs w:val="21"/>
          <w:highlight w:val="none"/>
          <w:lang w:eastAsia="zh-CN"/>
        </w:rPr>
        <w:t>“</w:t>
      </w:r>
      <w:r>
        <w:rPr>
          <w:rFonts w:hint="eastAsia" w:ascii="宋体" w:hAnsi="宋体" w:cs="宋体"/>
          <w:color w:val="auto"/>
          <w:szCs w:val="21"/>
          <w:highlight w:val="none"/>
        </w:rPr>
        <w:t>衢州市阳光交易服务平台https://qzygjy.com/”</w:t>
      </w:r>
      <w:r>
        <w:rPr>
          <w:rFonts w:hint="eastAsia" w:ascii="宋体" w:hAnsi="宋体" w:cs="宋体"/>
          <w:color w:val="auto"/>
          <w:szCs w:val="21"/>
          <w:highlight w:val="none"/>
          <w:lang w:eastAsia="zh-CN"/>
        </w:rPr>
        <w:t>“</w:t>
      </w:r>
      <w:r>
        <w:rPr>
          <w:rFonts w:hint="eastAsia" w:ascii="宋体" w:hAnsi="宋体" w:cs="宋体"/>
          <w:color w:val="auto"/>
          <w:szCs w:val="21"/>
          <w:highlight w:val="none"/>
        </w:rPr>
        <w:t>浙江政府采购网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"https://zfcg.czt.zj.gov.cn/\”。"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https://zfcg.czt.zj.gov.cn/”。</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宋体" w:hAnsi="宋体" w:cs="宋体"/>
          <w:color w:val="auto"/>
          <w:szCs w:val="21"/>
          <w:highlight w:val="none"/>
        </w:rPr>
        <w:fldChar w:fldCharType="end"/>
      </w:r>
    </w:p>
    <w:p w14:paraId="0CE81024">
      <w:pPr>
        <w:pStyle w:val="37"/>
        <w:shd w:val="clear"/>
        <w:tabs>
          <w:tab w:val="left" w:pos="0"/>
        </w:tabs>
        <w:adjustRightInd w:val="0"/>
        <w:spacing w:line="312" w:lineRule="auto"/>
        <w:ind w:firstLine="480"/>
        <w:rPr>
          <w:rFonts w:hint="eastAsia" w:ascii="宋体" w:hAnsi="宋体" w:eastAsia="宋体" w:cs="宋体"/>
          <w:color w:val="auto"/>
          <w:szCs w:val="21"/>
          <w:highlight w:val="none"/>
        </w:rPr>
      </w:pPr>
    </w:p>
    <w:p w14:paraId="14541825">
      <w:pPr>
        <w:pStyle w:val="37"/>
        <w:shd w:val="clear"/>
        <w:tabs>
          <w:tab w:val="left" w:pos="0"/>
        </w:tabs>
        <w:adjustRightInd w:val="0"/>
        <w:spacing w:line="312" w:lineRule="auto"/>
        <w:ind w:firstLine="480"/>
        <w:rPr>
          <w:rFonts w:hint="eastAsia" w:ascii="宋体" w:hAnsi="宋体" w:eastAsia="宋体" w:cs="宋体"/>
          <w:color w:val="auto"/>
          <w:szCs w:val="21"/>
          <w:highlight w:val="none"/>
        </w:rPr>
      </w:pPr>
    </w:p>
    <w:p w14:paraId="0970814B">
      <w:pPr>
        <w:pStyle w:val="37"/>
        <w:shd w:val="clear"/>
        <w:tabs>
          <w:tab w:val="left" w:pos="0"/>
        </w:tabs>
        <w:adjustRightInd w:val="0"/>
        <w:spacing w:line="312" w:lineRule="auto"/>
        <w:ind w:firstLine="480"/>
        <w:rPr>
          <w:rFonts w:hint="eastAsia" w:ascii="宋体" w:hAnsi="宋体" w:eastAsia="宋体" w:cs="宋体"/>
          <w:color w:val="auto"/>
          <w:szCs w:val="21"/>
          <w:highlight w:val="none"/>
        </w:rPr>
      </w:pPr>
    </w:p>
    <w:p w14:paraId="22B00D21">
      <w:pPr>
        <w:pStyle w:val="37"/>
        <w:shd w:val="clear"/>
        <w:tabs>
          <w:tab w:val="left" w:pos="0"/>
        </w:tabs>
        <w:adjustRightInd w:val="0"/>
        <w:spacing w:line="312" w:lineRule="auto"/>
        <w:ind w:firstLine="480"/>
        <w:rPr>
          <w:rFonts w:hint="eastAsia" w:ascii="宋体" w:hAnsi="宋体" w:eastAsia="宋体" w:cs="宋体"/>
          <w:color w:val="auto"/>
          <w:szCs w:val="21"/>
          <w:highlight w:val="none"/>
        </w:rPr>
      </w:pPr>
    </w:p>
    <w:p w14:paraId="281B9B1F">
      <w:pPr>
        <w:pStyle w:val="37"/>
        <w:shd w:val="clear"/>
        <w:tabs>
          <w:tab w:val="left" w:pos="0"/>
        </w:tabs>
        <w:adjustRightInd w:val="0"/>
        <w:spacing w:line="312" w:lineRule="auto"/>
        <w:ind w:firstLine="480"/>
        <w:rPr>
          <w:rFonts w:hint="eastAsia" w:ascii="宋体" w:hAnsi="宋体" w:eastAsia="宋体" w:cs="宋体"/>
          <w:color w:val="auto"/>
          <w:szCs w:val="21"/>
          <w:highlight w:val="none"/>
        </w:rPr>
      </w:pPr>
    </w:p>
    <w:p w14:paraId="68A57C05">
      <w:pPr>
        <w:pStyle w:val="37"/>
        <w:shd w:val="clear"/>
        <w:tabs>
          <w:tab w:val="left" w:pos="0"/>
        </w:tabs>
        <w:adjustRightInd w:val="0"/>
        <w:spacing w:line="312" w:lineRule="auto"/>
        <w:ind w:firstLine="480"/>
        <w:rPr>
          <w:rFonts w:hint="eastAsia" w:ascii="宋体" w:hAnsi="宋体" w:eastAsia="宋体" w:cs="宋体"/>
          <w:color w:val="auto"/>
          <w:szCs w:val="21"/>
          <w:highlight w:val="none"/>
        </w:rPr>
      </w:pPr>
    </w:p>
    <w:p w14:paraId="380EA485">
      <w:pPr>
        <w:pStyle w:val="37"/>
        <w:shd w:val="clear"/>
        <w:tabs>
          <w:tab w:val="left" w:pos="0"/>
        </w:tabs>
        <w:adjustRightInd w:val="0"/>
        <w:spacing w:line="312" w:lineRule="auto"/>
        <w:ind w:left="0" w:leftChars="0" w:firstLine="0" w:firstLineChars="0"/>
        <w:rPr>
          <w:rFonts w:hint="eastAsia" w:ascii="宋体" w:hAnsi="宋体" w:eastAsia="宋体" w:cs="宋体"/>
          <w:color w:val="auto"/>
          <w:szCs w:val="21"/>
          <w:highlight w:val="none"/>
        </w:rPr>
      </w:pPr>
    </w:p>
    <w:p w14:paraId="4BAF4A54">
      <w:pPr>
        <w:pStyle w:val="37"/>
        <w:shd w:val="clear"/>
        <w:tabs>
          <w:tab w:val="left" w:pos="0"/>
        </w:tabs>
        <w:adjustRightInd w:val="0"/>
        <w:spacing w:line="312" w:lineRule="auto"/>
        <w:ind w:firstLine="480"/>
        <w:rPr>
          <w:rFonts w:hint="eastAsia" w:ascii="宋体" w:hAnsi="宋体" w:eastAsia="宋体" w:cs="宋体"/>
          <w:color w:val="auto"/>
          <w:szCs w:val="21"/>
          <w:highlight w:val="none"/>
        </w:rPr>
      </w:pPr>
    </w:p>
    <w:p w14:paraId="72CF3335">
      <w:pPr>
        <w:pStyle w:val="5"/>
        <w:numPr>
          <w:ilvl w:val="0"/>
          <w:numId w:val="27"/>
        </w:numPr>
        <w:shd w:val="clear"/>
        <w:spacing w:beforeLines="0" w:afterLines="0"/>
        <w:jc w:val="center"/>
        <w:rPr>
          <w:rFonts w:hint="eastAsia" w:ascii="宋体" w:hAnsi="宋体" w:eastAsia="宋体" w:cs="宋体"/>
          <w:color w:val="auto"/>
          <w:szCs w:val="21"/>
          <w:highlight w:val="none"/>
          <w:lang w:eastAsia="zh-CN"/>
        </w:rPr>
      </w:pPr>
      <w:bookmarkStart w:id="664" w:name="_Toc1744"/>
      <w:bookmarkStart w:id="665" w:name="_Toc23321"/>
      <w:bookmarkStart w:id="666" w:name="_Toc5412"/>
      <w:bookmarkStart w:id="667" w:name="_Toc18060"/>
      <w:r>
        <w:rPr>
          <w:rFonts w:hint="eastAsia" w:ascii="宋体" w:hAnsi="宋体" w:eastAsia="宋体" w:cs="宋体"/>
          <w:color w:val="auto"/>
          <w:highlight w:val="none"/>
        </w:rPr>
        <w:t>采购内容及要求</w:t>
      </w:r>
      <w:bookmarkEnd w:id="664"/>
      <w:bookmarkEnd w:id="665"/>
      <w:bookmarkEnd w:id="666"/>
      <w:bookmarkEnd w:id="667"/>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0C4D23A2">
      <w:pPr>
        <w:keepNext w:val="0"/>
        <w:keepLines w:val="0"/>
        <w:pageBreakBefore w:val="0"/>
        <w:widowControl/>
        <w:shd w:val="clear"/>
        <w:kinsoku/>
        <w:wordWrap/>
        <w:overflowPunct/>
        <w:topLinePunct w:val="0"/>
        <w:autoSpaceDE/>
        <w:autoSpaceDN/>
        <w:bidi w:val="0"/>
        <w:adjustRightInd w:val="0"/>
        <w:snapToGrid w:val="0"/>
        <w:spacing w:line="312" w:lineRule="auto"/>
        <w:ind w:firstLine="482" w:firstLineChars="200"/>
        <w:textAlignment w:val="auto"/>
        <w:outlineLvl w:val="1"/>
        <w:rPr>
          <w:rFonts w:hint="default" w:ascii="宋体" w:hAnsi="宋体" w:eastAsia="宋体" w:cs="宋体"/>
          <w:b/>
          <w:bCs w:val="0"/>
          <w:color w:val="auto"/>
          <w:sz w:val="24"/>
          <w:highlight w:val="none"/>
          <w:u w:val="none"/>
          <w:lang w:val="en-US" w:eastAsia="zh-CN"/>
        </w:rPr>
      </w:pPr>
      <w:bookmarkStart w:id="668" w:name="_Toc19036"/>
      <w:bookmarkStart w:id="669" w:name="_Toc28433"/>
      <w:bookmarkStart w:id="670" w:name="_Toc433376916"/>
      <w:bookmarkStart w:id="671" w:name="_Toc402964037"/>
      <w:bookmarkStart w:id="672" w:name="_Toc417029591"/>
      <w:bookmarkStart w:id="673" w:name="_Toc4268"/>
      <w:bookmarkStart w:id="674" w:name="_Toc10333"/>
      <w:bookmarkStart w:id="675" w:name="_Toc17090"/>
      <w:bookmarkStart w:id="676" w:name="_Toc2726"/>
      <w:bookmarkStart w:id="677" w:name="_Toc16142"/>
      <w:bookmarkStart w:id="678" w:name="_Toc22954"/>
      <w:bookmarkStart w:id="679" w:name="_Toc21569"/>
      <w:bookmarkStart w:id="680" w:name="_Toc25941"/>
      <w:bookmarkStart w:id="681" w:name="_Toc31750"/>
      <w:bookmarkStart w:id="682" w:name="_Toc7305"/>
      <w:bookmarkStart w:id="683" w:name="_Toc7285"/>
      <w:bookmarkStart w:id="684" w:name="_Toc10546"/>
      <w:bookmarkStart w:id="685" w:name="_Toc13539"/>
      <w:bookmarkStart w:id="686" w:name="_Toc32545"/>
      <w:bookmarkStart w:id="687" w:name="_Toc9028"/>
      <w:bookmarkStart w:id="688" w:name="_Toc848"/>
      <w:bookmarkStart w:id="689" w:name="_Toc11926"/>
      <w:bookmarkStart w:id="690" w:name="_Toc6334"/>
      <w:bookmarkStart w:id="691" w:name="_Toc25661"/>
      <w:bookmarkStart w:id="692" w:name="_Toc19025"/>
      <w:bookmarkStart w:id="693" w:name="_Toc295"/>
      <w:bookmarkStart w:id="694" w:name="_Toc30205"/>
      <w:bookmarkStart w:id="695" w:name="_Toc27793"/>
      <w:bookmarkStart w:id="696" w:name="_Toc2165"/>
      <w:bookmarkStart w:id="697" w:name="_Toc13753"/>
      <w:bookmarkStart w:id="698" w:name="_Toc13464"/>
      <w:bookmarkStart w:id="699" w:name="_Toc10430"/>
      <w:bookmarkStart w:id="700" w:name="_Toc12676"/>
      <w:bookmarkStart w:id="701" w:name="_Toc25560"/>
      <w:bookmarkStart w:id="702" w:name="_Toc18254"/>
      <w:bookmarkStart w:id="703" w:name="_Toc24682"/>
      <w:bookmarkStart w:id="704" w:name="_Toc391298963"/>
      <w:bookmarkStart w:id="705" w:name="_Toc19613"/>
      <w:bookmarkStart w:id="706" w:name="_Toc10724"/>
      <w:bookmarkStart w:id="707" w:name="_Toc24232"/>
      <w:bookmarkStart w:id="708" w:name="_Toc3828"/>
      <w:bookmarkStart w:id="709" w:name="_Toc10368"/>
      <w:bookmarkStart w:id="710" w:name="_Toc5985"/>
      <w:bookmarkStart w:id="711" w:name="_Toc27295"/>
      <w:bookmarkStart w:id="712" w:name="_Toc2124"/>
      <w:bookmarkStart w:id="713" w:name="_Toc19099"/>
      <w:r>
        <w:rPr>
          <w:rFonts w:hint="eastAsia" w:ascii="宋体" w:hAnsi="宋体" w:eastAsia="宋体" w:cs="宋体"/>
          <w:b/>
          <w:bCs w:val="0"/>
          <w:color w:val="auto"/>
          <w:sz w:val="24"/>
          <w:highlight w:val="none"/>
          <w:u w:val="none"/>
          <w:lang w:val="en-US" w:eastAsia="zh-CN"/>
        </w:rPr>
        <w:t>一、项目概况</w:t>
      </w:r>
      <w:bookmarkEnd w:id="668"/>
      <w:bookmarkEnd w:id="669"/>
    </w:p>
    <w:p w14:paraId="625FC7D4">
      <w:pPr>
        <w:pStyle w:val="56"/>
        <w:keepNext w:val="0"/>
        <w:keepLines w:val="0"/>
        <w:pageBreakBefore w:val="0"/>
        <w:kinsoku/>
        <w:wordWrap/>
        <w:overflowPunct/>
        <w:topLinePunct w:val="0"/>
        <w:bidi w:val="0"/>
        <w:spacing w:line="312" w:lineRule="auto"/>
        <w:ind w:firstLine="444" w:firstLineChars="200"/>
        <w:textAlignment w:val="auto"/>
        <w:rPr>
          <w:rFonts w:hint="default" w:ascii="宋体" w:hAnsi="宋体" w:eastAsia="宋体" w:cs="宋体"/>
          <w:b w:val="0"/>
          <w:bCs w:val="0"/>
          <w:color w:val="auto"/>
          <w:spacing w:val="1"/>
          <w:sz w:val="22"/>
          <w:szCs w:val="22"/>
          <w:highlight w:val="none"/>
          <w:u w:val="none"/>
          <w:lang w:val="en-US" w:eastAsia="zh-CN"/>
        </w:rPr>
      </w:pPr>
      <w:bookmarkStart w:id="714" w:name="_Toc13040"/>
      <w:r>
        <w:rPr>
          <w:rFonts w:hint="eastAsia" w:ascii="宋体" w:hAnsi="宋体" w:eastAsia="宋体" w:cs="宋体"/>
          <w:b w:val="0"/>
          <w:bCs w:val="0"/>
          <w:color w:val="auto"/>
          <w:spacing w:val="1"/>
          <w:sz w:val="22"/>
          <w:szCs w:val="22"/>
          <w:highlight w:val="none"/>
          <w:u w:val="none"/>
          <w:lang w:val="en-US" w:eastAsia="zh-CN"/>
        </w:rPr>
        <w:t>1.</w:t>
      </w:r>
      <w:r>
        <w:rPr>
          <w:rFonts w:hint="default" w:ascii="宋体" w:hAnsi="宋体" w:eastAsia="宋体" w:cs="宋体"/>
          <w:b w:val="0"/>
          <w:bCs w:val="0"/>
          <w:color w:val="auto"/>
          <w:spacing w:val="1"/>
          <w:sz w:val="22"/>
          <w:szCs w:val="22"/>
          <w:highlight w:val="none"/>
          <w:u w:val="none"/>
          <w:lang w:val="en-US" w:eastAsia="zh-CN"/>
        </w:rPr>
        <w:t xml:space="preserve">龙游县龙南污水厂建设工程投资估算 </w:t>
      </w:r>
      <w:r>
        <w:rPr>
          <w:rFonts w:hint="eastAsia" w:ascii="宋体" w:hAnsi="宋体" w:eastAsia="宋体" w:cs="宋体"/>
          <w:b w:val="0"/>
          <w:bCs w:val="0"/>
          <w:color w:val="auto"/>
          <w:spacing w:val="1"/>
          <w:sz w:val="22"/>
          <w:szCs w:val="22"/>
          <w:highlight w:val="none"/>
          <w:u w:val="none"/>
          <w:lang w:val="en-US" w:eastAsia="zh-CN"/>
        </w:rPr>
        <w:t>19581.62</w:t>
      </w:r>
      <w:r>
        <w:rPr>
          <w:rFonts w:hint="default" w:ascii="宋体" w:hAnsi="宋体" w:eastAsia="宋体" w:cs="宋体"/>
          <w:b w:val="0"/>
          <w:bCs w:val="0"/>
          <w:color w:val="auto"/>
          <w:spacing w:val="1"/>
          <w:sz w:val="22"/>
          <w:szCs w:val="22"/>
          <w:highlight w:val="none"/>
          <w:u w:val="none"/>
          <w:lang w:val="en-US" w:eastAsia="zh-CN"/>
        </w:rPr>
        <w:t xml:space="preserve"> 万元，工程概算 </w:t>
      </w:r>
      <w:r>
        <w:rPr>
          <w:rFonts w:hint="eastAsia" w:ascii="宋体" w:hAnsi="宋体" w:eastAsia="宋体" w:cs="宋体"/>
          <w:b w:val="0"/>
          <w:bCs w:val="0"/>
          <w:color w:val="auto"/>
          <w:spacing w:val="1"/>
          <w:sz w:val="22"/>
          <w:szCs w:val="22"/>
          <w:highlight w:val="none"/>
          <w:u w:val="none"/>
          <w:lang w:val="en-US" w:eastAsia="zh-CN"/>
        </w:rPr>
        <w:t>17326.4698</w:t>
      </w:r>
      <w:r>
        <w:rPr>
          <w:rFonts w:hint="default" w:ascii="宋体" w:hAnsi="宋体" w:eastAsia="宋体" w:cs="宋体"/>
          <w:b w:val="0"/>
          <w:bCs w:val="0"/>
          <w:color w:val="auto"/>
          <w:spacing w:val="1"/>
          <w:sz w:val="22"/>
          <w:szCs w:val="22"/>
          <w:highlight w:val="none"/>
          <w:u w:val="none"/>
          <w:lang w:val="en-US" w:eastAsia="zh-CN"/>
        </w:rPr>
        <w:t xml:space="preserve"> 万元，其中建安工程造价 </w:t>
      </w:r>
      <w:r>
        <w:rPr>
          <w:rFonts w:hint="eastAsia" w:ascii="宋体" w:hAnsi="宋体" w:eastAsia="宋体" w:cs="宋体"/>
          <w:b w:val="0"/>
          <w:bCs w:val="0"/>
          <w:color w:val="auto"/>
          <w:spacing w:val="1"/>
          <w:sz w:val="22"/>
          <w:szCs w:val="22"/>
          <w:highlight w:val="none"/>
          <w:u w:val="none"/>
          <w:lang w:val="en-US" w:eastAsia="zh-CN"/>
        </w:rPr>
        <w:t>14121.91</w:t>
      </w:r>
      <w:r>
        <w:rPr>
          <w:rFonts w:hint="default" w:ascii="宋体" w:hAnsi="宋体" w:eastAsia="宋体" w:cs="宋体"/>
          <w:b w:val="0"/>
          <w:bCs w:val="0"/>
          <w:color w:val="auto"/>
          <w:spacing w:val="1"/>
          <w:sz w:val="22"/>
          <w:szCs w:val="22"/>
          <w:highlight w:val="none"/>
          <w:u w:val="none"/>
          <w:lang w:val="en-US" w:eastAsia="zh-CN"/>
        </w:rPr>
        <w:t>万元，建设规模：</w:t>
      </w:r>
      <w:r>
        <w:rPr>
          <w:rFonts w:hint="eastAsia" w:ascii="宋体" w:hAnsi="宋体" w:eastAsia="宋体" w:cs="宋体"/>
          <w:b w:val="0"/>
          <w:bCs w:val="0"/>
          <w:color w:val="auto"/>
          <w:spacing w:val="1"/>
          <w:sz w:val="22"/>
          <w:szCs w:val="22"/>
          <w:highlight w:val="none"/>
          <w:u w:val="none"/>
          <w:lang w:val="en-US" w:eastAsia="zh-CN"/>
        </w:rPr>
        <w:t>新建污水厂一座，设计规模1.2万吨/天</w:t>
      </w:r>
      <w:r>
        <w:rPr>
          <w:rFonts w:hint="eastAsia" w:hAnsi="宋体" w:cs="宋体"/>
          <w:b w:val="0"/>
          <w:bCs w:val="0"/>
          <w:color w:val="auto"/>
          <w:spacing w:val="1"/>
          <w:sz w:val="22"/>
          <w:szCs w:val="22"/>
          <w:highlight w:val="none"/>
          <w:u w:val="none"/>
          <w:lang w:val="en-US" w:eastAsia="zh-CN"/>
        </w:rPr>
        <w:t>（变化系数1.25）。</w:t>
      </w:r>
      <w:r>
        <w:rPr>
          <w:rFonts w:hint="eastAsia" w:ascii="宋体" w:hAnsi="宋体" w:eastAsia="宋体" w:cs="宋体"/>
          <w:b w:val="0"/>
          <w:bCs w:val="0"/>
          <w:color w:val="auto"/>
          <w:spacing w:val="1"/>
          <w:sz w:val="22"/>
          <w:szCs w:val="22"/>
          <w:highlight w:val="none"/>
          <w:u w:val="none"/>
          <w:lang w:val="en-US" w:eastAsia="zh-CN"/>
        </w:rPr>
        <w:t>配套管网约20.6km，管径DN400～DN600，主要服务范围为溪口镇集镇和部分周边农村污水</w:t>
      </w:r>
      <w:r>
        <w:rPr>
          <w:rFonts w:hint="eastAsia" w:hAnsi="宋体" w:cs="宋体"/>
          <w:b w:val="0"/>
          <w:bCs w:val="0"/>
          <w:color w:val="auto"/>
          <w:spacing w:val="1"/>
          <w:sz w:val="22"/>
          <w:szCs w:val="22"/>
          <w:highlight w:val="none"/>
          <w:u w:val="none"/>
          <w:lang w:val="en-US" w:eastAsia="zh-CN"/>
        </w:rPr>
        <w:t>、</w:t>
      </w:r>
      <w:r>
        <w:rPr>
          <w:rFonts w:hint="eastAsia" w:ascii="宋体" w:hAnsi="宋体" w:eastAsia="宋体" w:cs="宋体"/>
          <w:b w:val="0"/>
          <w:bCs w:val="0"/>
          <w:color w:val="auto"/>
          <w:spacing w:val="1"/>
          <w:sz w:val="22"/>
          <w:szCs w:val="22"/>
          <w:highlight w:val="none"/>
          <w:u w:val="none"/>
          <w:lang w:val="en-US" w:eastAsia="zh-CN"/>
        </w:rPr>
        <w:t>庙下乡所有农村</w:t>
      </w:r>
      <w:r>
        <w:rPr>
          <w:rFonts w:hint="eastAsia" w:hAnsi="宋体" w:cs="宋体"/>
          <w:b w:val="0"/>
          <w:bCs w:val="0"/>
          <w:color w:val="auto"/>
          <w:spacing w:val="1"/>
          <w:sz w:val="22"/>
          <w:szCs w:val="22"/>
          <w:highlight w:val="none"/>
          <w:u w:val="none"/>
          <w:lang w:val="en-US" w:eastAsia="zh-CN"/>
        </w:rPr>
        <w:t>及</w:t>
      </w:r>
      <w:r>
        <w:rPr>
          <w:rFonts w:hint="eastAsia" w:ascii="宋体" w:hAnsi="宋体" w:eastAsia="宋体" w:cs="宋体"/>
          <w:b w:val="0"/>
          <w:bCs w:val="0"/>
          <w:color w:val="auto"/>
          <w:spacing w:val="1"/>
          <w:sz w:val="22"/>
          <w:szCs w:val="22"/>
          <w:highlight w:val="none"/>
          <w:u w:val="none"/>
          <w:lang w:val="en-US" w:eastAsia="zh-CN"/>
        </w:rPr>
        <w:t>龙之梦山下主题娱乐片区污水。</w:t>
      </w:r>
      <w:r>
        <w:rPr>
          <w:rFonts w:hint="default" w:ascii="宋体" w:hAnsi="宋体" w:eastAsia="宋体" w:cs="宋体"/>
          <w:b w:val="0"/>
          <w:bCs w:val="0"/>
          <w:color w:val="auto"/>
          <w:spacing w:val="1"/>
          <w:sz w:val="22"/>
          <w:szCs w:val="22"/>
          <w:highlight w:val="none"/>
          <w:u w:val="none"/>
          <w:lang w:val="en-US" w:eastAsia="zh-CN"/>
        </w:rPr>
        <w:t>建设地点：</w:t>
      </w:r>
      <w:r>
        <w:rPr>
          <w:rFonts w:hint="eastAsia" w:ascii="宋体" w:hAnsi="宋体" w:eastAsia="宋体" w:cs="宋体"/>
          <w:b w:val="0"/>
          <w:bCs w:val="0"/>
          <w:color w:val="auto"/>
          <w:spacing w:val="1"/>
          <w:sz w:val="22"/>
          <w:szCs w:val="22"/>
          <w:highlight w:val="none"/>
          <w:u w:val="none"/>
          <w:lang w:val="en-US" w:eastAsia="zh-CN"/>
        </w:rPr>
        <w:t>龙游县溪口镇</w:t>
      </w:r>
      <w:r>
        <w:rPr>
          <w:rFonts w:hint="default" w:ascii="宋体" w:hAnsi="宋体" w:eastAsia="宋体" w:cs="宋体"/>
          <w:b w:val="0"/>
          <w:bCs w:val="0"/>
          <w:color w:val="auto"/>
          <w:spacing w:val="1"/>
          <w:sz w:val="22"/>
          <w:szCs w:val="22"/>
          <w:highlight w:val="none"/>
          <w:u w:val="none"/>
          <w:lang w:val="en-US" w:eastAsia="zh-CN"/>
        </w:rPr>
        <w:t>。</w:t>
      </w:r>
    </w:p>
    <w:p w14:paraId="449BE860">
      <w:pPr>
        <w:pStyle w:val="56"/>
        <w:keepNext w:val="0"/>
        <w:keepLines w:val="0"/>
        <w:pageBreakBefore w:val="0"/>
        <w:kinsoku/>
        <w:wordWrap/>
        <w:overflowPunct/>
        <w:topLinePunct w:val="0"/>
        <w:bidi w:val="0"/>
        <w:spacing w:line="312" w:lineRule="auto"/>
        <w:ind w:firstLine="444" w:firstLineChars="200"/>
        <w:textAlignment w:val="auto"/>
        <w:rPr>
          <w:rFonts w:hint="eastAsia" w:ascii="宋体" w:hAnsi="宋体" w:eastAsia="宋体" w:cs="宋体"/>
          <w:b w:val="0"/>
          <w:bCs w:val="0"/>
          <w:color w:val="auto"/>
          <w:spacing w:val="1"/>
          <w:sz w:val="22"/>
          <w:szCs w:val="22"/>
          <w:highlight w:val="none"/>
          <w:u w:val="none"/>
          <w:lang w:val="en-US" w:eastAsia="zh-CN"/>
        </w:rPr>
      </w:pPr>
      <w:bookmarkStart w:id="715" w:name="_Toc18849"/>
      <w:r>
        <w:rPr>
          <w:rFonts w:hint="eastAsia" w:ascii="宋体" w:hAnsi="宋体" w:eastAsia="宋体" w:cs="宋体"/>
          <w:b w:val="0"/>
          <w:bCs w:val="0"/>
          <w:color w:val="auto"/>
          <w:spacing w:val="1"/>
          <w:sz w:val="22"/>
          <w:szCs w:val="22"/>
          <w:highlight w:val="none"/>
          <w:u w:val="none"/>
          <w:lang w:val="en-US" w:eastAsia="zh-CN"/>
        </w:rPr>
        <w:t>2.采购范围：包含本项目设计范围内的构成建安工程的建筑材料设备及相应的配件备品等（其中包括工艺设备、电气自控设备、在线仪器仪表、给排水、暖通等设施设备及材料），内容涵盖采购、运输、保管、安装及调试试运行、</w:t>
      </w:r>
      <w:r>
        <w:rPr>
          <w:rFonts w:hint="eastAsia" w:hAnsi="宋体" w:cs="宋体"/>
          <w:b w:val="0"/>
          <w:bCs w:val="0"/>
          <w:color w:val="auto"/>
          <w:spacing w:val="1"/>
          <w:sz w:val="22"/>
          <w:szCs w:val="22"/>
          <w:highlight w:val="none"/>
          <w:u w:val="none"/>
          <w:lang w:val="en-US" w:eastAsia="zh-CN"/>
        </w:rPr>
        <w:t>环保验收，</w:t>
      </w:r>
      <w:r>
        <w:rPr>
          <w:rFonts w:hint="eastAsia" w:ascii="宋体" w:hAnsi="宋体" w:eastAsia="宋体" w:cs="宋体"/>
          <w:b w:val="0"/>
          <w:bCs w:val="0"/>
          <w:color w:val="auto"/>
          <w:spacing w:val="1"/>
          <w:sz w:val="22"/>
          <w:szCs w:val="22"/>
          <w:highlight w:val="none"/>
          <w:u w:val="none"/>
          <w:lang w:val="en-US" w:eastAsia="zh-CN"/>
        </w:rPr>
        <w:t>移交以及使用培训服务、质保期内的保修服务等。</w:t>
      </w:r>
    </w:p>
    <w:p w14:paraId="55E83B6B">
      <w:pPr>
        <w:keepNext w:val="0"/>
        <w:keepLines w:val="0"/>
        <w:pageBreakBefore w:val="0"/>
        <w:widowControl/>
        <w:shd w:val="clear"/>
        <w:kinsoku/>
        <w:wordWrap/>
        <w:overflowPunct/>
        <w:topLinePunct w:val="0"/>
        <w:autoSpaceDE/>
        <w:autoSpaceDN/>
        <w:bidi w:val="0"/>
        <w:adjustRightInd w:val="0"/>
        <w:snapToGrid w:val="0"/>
        <w:spacing w:line="312" w:lineRule="auto"/>
        <w:ind w:firstLine="482" w:firstLineChars="200"/>
        <w:textAlignment w:val="auto"/>
        <w:outlineLvl w:val="1"/>
        <w:rPr>
          <w:rFonts w:hint="eastAsia" w:ascii="宋体" w:hAnsi="宋体" w:eastAsia="宋体" w:cs="宋体"/>
          <w:b/>
          <w:bCs w:val="0"/>
          <w:color w:val="auto"/>
          <w:sz w:val="24"/>
          <w:highlight w:val="none"/>
          <w:u w:val="none"/>
          <w:lang w:val="en-US" w:eastAsia="zh-CN"/>
        </w:rPr>
      </w:pPr>
      <w:r>
        <w:rPr>
          <w:rFonts w:hint="eastAsia" w:ascii="宋体" w:hAnsi="宋体" w:eastAsia="宋体" w:cs="宋体"/>
          <w:b/>
          <w:bCs w:val="0"/>
          <w:color w:val="auto"/>
          <w:sz w:val="24"/>
          <w:highlight w:val="none"/>
          <w:u w:val="none"/>
          <w:lang w:val="en-US" w:eastAsia="zh-CN"/>
        </w:rPr>
        <w:t>二、总述</w:t>
      </w:r>
      <w:bookmarkEnd w:id="715"/>
    </w:p>
    <w:p w14:paraId="3DF8032B">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1.本次招标采购设备</w:t>
      </w:r>
      <w:r>
        <w:rPr>
          <w:rFonts w:hint="eastAsia" w:ascii="宋体" w:hAnsi="宋体" w:cs="宋体"/>
          <w:b w:val="0"/>
          <w:bCs w:val="0"/>
          <w:color w:val="auto"/>
          <w:spacing w:val="1"/>
          <w:sz w:val="22"/>
          <w:szCs w:val="22"/>
          <w:highlight w:val="none"/>
          <w:u w:val="none"/>
          <w:lang w:val="en-US" w:eastAsia="zh-CN" w:bidi="ar-SA"/>
        </w:rPr>
        <w:t>包括但不限于</w:t>
      </w:r>
      <w:r>
        <w:rPr>
          <w:rFonts w:hint="eastAsia" w:ascii="宋体" w:hAnsi="宋体" w:eastAsia="宋体" w:cs="宋体"/>
          <w:b w:val="0"/>
          <w:bCs w:val="0"/>
          <w:color w:val="auto"/>
          <w:spacing w:val="1"/>
          <w:sz w:val="22"/>
          <w:szCs w:val="22"/>
          <w:highlight w:val="none"/>
          <w:u w:val="none"/>
          <w:lang w:val="en-US" w:eastAsia="zh-CN" w:bidi="ar-SA"/>
        </w:rPr>
        <w:t>工艺、自控设备、电气设备、材料及安装，投标人应根据招标文件所提出的设备技术规格和服务要求，综合考虑设备的适应性，选择具有最佳性能价格比的设备前来投标。</w:t>
      </w:r>
    </w:p>
    <w:p w14:paraId="7B7A0D10">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2.投标人提供的设备应能保证在使用地的自然环境、气候条件、公用设施等情况下全天候正常运行。</w:t>
      </w:r>
    </w:p>
    <w:p w14:paraId="06DAC188">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3.投标人提供的设备各组成部分必须是完整的、全新的、功能全的单元，并且必须是制造商最好的设计，同时应是全新的、高质量和工艺精良的产品，所用的原材料必须无任何缺陷。</w:t>
      </w:r>
    </w:p>
    <w:p w14:paraId="400200A8">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4.投标人提供的设备既要体现技术先进、经济合理，又要成熟、安全可靠，并具有操作简单管理方便的特点。</w:t>
      </w:r>
    </w:p>
    <w:p w14:paraId="01C444B2">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5.本招标项目技术规格书以采购人的技术要求及配置来编制。</w:t>
      </w:r>
    </w:p>
    <w:p w14:paraId="74A48B0B">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6.所有提供的设备包括独立配套附件，每台设备及独立配套的附件具备该产品的标志及铭牌并满足其属性，其产品编号可追溯该产品生产厂家的生产时间、出厂地点。本项目拒绝假冒、贴牌等非企业生产直接管理下产品，并实施生产企业监造，一旦发现，采购人有权要求投标人进行更换并无条件服从。</w:t>
      </w:r>
    </w:p>
    <w:p w14:paraId="33401486">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7.所有提供的户内外设备在满足规范规定的防护等级以外，必须满足安装所在地最恶劣环境的要求（台风、曝晒、酸雨等）。全部设备在满足规定的防护等级以外，尚须满足系统性设备安装所在地环境的要求。投标人应通过踏勘现场，做好并提供应对环境对设备侵蚀的防护设施、并与美化环境的要求一致。</w:t>
      </w:r>
    </w:p>
    <w:p w14:paraId="53851B4E">
      <w:pPr>
        <w:pStyle w:val="3"/>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jc w:val="both"/>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8.本工程设备合同后供货设置：资料移交设计进行技术确认、订单落实确认、监造、木箱包装交货、开箱验收、资料报建、安装、通电单机空运行试验、单机负载运行试验、作业及养护培训、通水工艺运行调试验收，期间供货商须全程负责、专人落实。本项目不预留现场库房，请中标人自行落实负责项目期间的暂储及保管，满足供货进度。</w:t>
      </w:r>
    </w:p>
    <w:p w14:paraId="704DB34B">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default"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▲9.本项目实施供货至工艺调试全程负责制（须提供全程负责制承诺函，格式自拟），即：安装后其保管、保护责任仍有供货人负责至项目竣工，包括安装精度的确认，开机所需的润滑添加等等。</w:t>
      </w:r>
    </w:p>
    <w:p w14:paraId="30008EF6">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10.供货设备应满足工艺最大负载及负荷，若无法满足的投标人应在调试期间负责处理或更换，在调试期后采购人有权另觅他人对不符合要求的设施进行更换，其费用将在留款中扣除。</w:t>
      </w:r>
    </w:p>
    <w:p w14:paraId="62E8440B">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11.质量保证期若备品备件不足由供货商负责处理并免费。正常运行状态下出现故障由供货商负责处理并免费配件及人工，并在规定的时间内响应并处理完毕。对有异议的故障处理供货商必须无条件优先处理完毕、启用设备后再分析原因，确认配件价格，不计往来等人工服务费。拖延不处理者业主有权另觅他人代为处理，费用将在留款中扣除。</w:t>
      </w:r>
    </w:p>
    <w:p w14:paraId="2B4DA639">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12.中标后30天内，根据设计图纸提供设备技术文件，电气图表、基础及设备轮廓等自行符合工程确认，交送设计确认并协同将设计确认的资料移交业主4份，供土建调整、监理协调、业主监督、存档使用。各方确认后移交完毕。</w:t>
      </w:r>
    </w:p>
    <w:p w14:paraId="3B081E88">
      <w:pPr>
        <w:pStyle w:val="170"/>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444" w:firstLineChars="200"/>
        <w:jc w:val="left"/>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13.设备单机负载试车后，提供符合本工艺的设备产品使用说明书、设备编号的零件图表、电气图表、软件（含系统恢复软件）的清册含易损件清单等；提交随机备件、二年备品备件清单并实物移交，编制作业指导书、明确服务单位及联系及服务时限。4套双方确认后移交。</w:t>
      </w:r>
    </w:p>
    <w:p w14:paraId="620E26BA">
      <w:pPr>
        <w:pStyle w:val="170"/>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444" w:firstLineChars="200"/>
        <w:jc w:val="left"/>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14.以上内容中涉及服务项，列入投标人投标总价内，并在工程建设过程中执行。若无法满足工程建设时，将扣除相应由</w:t>
      </w:r>
      <w:r>
        <w:rPr>
          <w:rFonts w:hint="eastAsia" w:ascii="宋体" w:hAnsi="宋体" w:cs="宋体"/>
          <w:b w:val="0"/>
          <w:bCs w:val="0"/>
          <w:color w:val="auto"/>
          <w:spacing w:val="1"/>
          <w:sz w:val="22"/>
          <w:szCs w:val="22"/>
          <w:highlight w:val="none"/>
          <w:u w:val="none"/>
          <w:lang w:val="en-US" w:eastAsia="zh-CN" w:bidi="ar-SA"/>
        </w:rPr>
        <w:t>采购人</w:t>
      </w:r>
      <w:r>
        <w:rPr>
          <w:rFonts w:hint="eastAsia" w:ascii="宋体" w:hAnsi="宋体" w:eastAsia="宋体" w:cs="宋体"/>
          <w:b w:val="0"/>
          <w:bCs w:val="0"/>
          <w:color w:val="auto"/>
          <w:spacing w:val="1"/>
          <w:sz w:val="22"/>
          <w:szCs w:val="22"/>
          <w:highlight w:val="none"/>
          <w:u w:val="none"/>
          <w:lang w:val="en-US" w:eastAsia="zh-CN" w:bidi="ar-SA"/>
        </w:rPr>
        <w:t>代为执行购买设备</w:t>
      </w:r>
      <w:r>
        <w:rPr>
          <w:rFonts w:hint="eastAsia" w:ascii="宋体" w:hAnsi="宋体" w:cs="宋体"/>
          <w:b w:val="0"/>
          <w:bCs w:val="0"/>
          <w:color w:val="auto"/>
          <w:spacing w:val="1"/>
          <w:sz w:val="22"/>
          <w:szCs w:val="22"/>
          <w:highlight w:val="none"/>
          <w:u w:val="none"/>
          <w:lang w:val="en-US" w:eastAsia="zh-CN" w:bidi="ar-SA"/>
        </w:rPr>
        <w:t>的</w:t>
      </w:r>
      <w:r>
        <w:rPr>
          <w:rFonts w:hint="eastAsia" w:ascii="宋体" w:hAnsi="宋体" w:eastAsia="宋体" w:cs="宋体"/>
          <w:b w:val="0"/>
          <w:bCs w:val="0"/>
          <w:color w:val="auto"/>
          <w:spacing w:val="1"/>
          <w:sz w:val="22"/>
          <w:szCs w:val="22"/>
          <w:highlight w:val="none"/>
          <w:u w:val="none"/>
          <w:lang w:val="en-US" w:eastAsia="zh-CN" w:bidi="ar-SA"/>
        </w:rPr>
        <w:t>全部金额。</w:t>
      </w:r>
    </w:p>
    <w:p w14:paraId="72425397">
      <w:pPr>
        <w:keepNext w:val="0"/>
        <w:keepLines w:val="0"/>
        <w:pageBreakBefore w:val="0"/>
        <w:widowControl/>
        <w:shd w:val="clear"/>
        <w:kinsoku/>
        <w:wordWrap/>
        <w:overflowPunct/>
        <w:topLinePunct w:val="0"/>
        <w:autoSpaceDE/>
        <w:autoSpaceDN/>
        <w:bidi w:val="0"/>
        <w:adjustRightInd w:val="0"/>
        <w:snapToGrid w:val="0"/>
        <w:spacing w:line="312" w:lineRule="auto"/>
        <w:ind w:firstLine="482" w:firstLineChars="200"/>
        <w:textAlignment w:val="auto"/>
        <w:outlineLvl w:val="1"/>
        <w:rPr>
          <w:rFonts w:hint="eastAsia" w:ascii="宋体" w:hAnsi="宋体" w:eastAsia="宋体" w:cs="宋体"/>
          <w:b/>
          <w:bCs w:val="0"/>
          <w:color w:val="auto"/>
          <w:sz w:val="24"/>
          <w:highlight w:val="none"/>
          <w:u w:val="none"/>
          <w:lang w:val="en-US" w:eastAsia="zh-CN"/>
        </w:rPr>
      </w:pPr>
      <w:bookmarkStart w:id="716" w:name="_Toc8424"/>
      <w:r>
        <w:rPr>
          <w:rFonts w:hint="eastAsia" w:ascii="宋体" w:hAnsi="宋体" w:eastAsia="宋体" w:cs="宋体"/>
          <w:b/>
          <w:bCs w:val="0"/>
          <w:color w:val="auto"/>
          <w:sz w:val="24"/>
          <w:highlight w:val="none"/>
          <w:u w:val="none"/>
          <w:lang w:val="en-US" w:eastAsia="zh-CN"/>
        </w:rPr>
        <w:t>三、</w:t>
      </w:r>
      <w:bookmarkEnd w:id="670"/>
      <w:bookmarkEnd w:id="671"/>
      <w:bookmarkEnd w:id="672"/>
      <w:bookmarkEnd w:id="673"/>
      <w:bookmarkEnd w:id="714"/>
      <w:bookmarkEnd w:id="716"/>
      <w:bookmarkStart w:id="717" w:name="_Toc25442"/>
      <w:bookmarkStart w:id="718" w:name="_Toc17476"/>
      <w:r>
        <w:rPr>
          <w:rFonts w:hint="eastAsia" w:ascii="宋体" w:hAnsi="宋体" w:eastAsia="宋体" w:cs="宋体"/>
          <w:b/>
          <w:bCs w:val="0"/>
          <w:color w:val="auto"/>
          <w:sz w:val="24"/>
          <w:highlight w:val="none"/>
          <w:u w:val="none"/>
          <w:lang w:val="en-US" w:eastAsia="zh-CN"/>
        </w:rPr>
        <w:t>设备工程安装界面划分</w:t>
      </w:r>
    </w:p>
    <w:p w14:paraId="4B6041C6">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1、总图、精确曝气系统、智慧水务系统：全部货物由</w:t>
      </w:r>
      <w:r>
        <w:rPr>
          <w:rFonts w:hint="eastAsia" w:ascii="宋体" w:hAnsi="宋体" w:cs="宋体"/>
          <w:b w:val="0"/>
          <w:bCs w:val="0"/>
          <w:color w:val="auto"/>
          <w:spacing w:val="1"/>
          <w:sz w:val="22"/>
          <w:szCs w:val="22"/>
          <w:highlight w:val="none"/>
          <w:u w:val="none"/>
          <w:lang w:val="en-US" w:eastAsia="zh-CN" w:bidi="ar-SA"/>
        </w:rPr>
        <w:t>投标人</w:t>
      </w:r>
      <w:r>
        <w:rPr>
          <w:rFonts w:hint="eastAsia" w:ascii="宋体" w:hAnsi="宋体" w:eastAsia="宋体" w:cs="宋体"/>
          <w:b w:val="0"/>
          <w:bCs w:val="0"/>
          <w:color w:val="auto"/>
          <w:spacing w:val="1"/>
          <w:sz w:val="22"/>
          <w:szCs w:val="22"/>
          <w:highlight w:val="none"/>
          <w:u w:val="none"/>
          <w:lang w:val="en-US" w:eastAsia="zh-CN" w:bidi="ar-SA"/>
        </w:rPr>
        <w:t>负责供货安装调试。</w:t>
      </w:r>
    </w:p>
    <w:p w14:paraId="154F304C">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eastAsia="宋体" w:cs="宋体"/>
          <w:b w:val="0"/>
          <w:bCs w:val="0"/>
          <w:color w:val="auto"/>
          <w:spacing w:val="1"/>
          <w:sz w:val="22"/>
          <w:szCs w:val="22"/>
          <w:highlight w:val="none"/>
          <w:u w:val="none"/>
          <w:lang w:val="en-US" w:eastAsia="zh-CN" w:bidi="ar-SA"/>
        </w:rPr>
        <w:t>2、粗格栅进水泵房及调节池、一体化固液分离装置、一体化AAO生化池、磁混凝高效沉淀池及滤布滤池、紫外消毒渠及巴氏计量槽、污泥均质池、污泥脱水机房、综合车间、除臭系统1、除臭系统2</w:t>
      </w:r>
      <w:r>
        <w:rPr>
          <w:rFonts w:hint="eastAsia" w:ascii="宋体" w:hAnsi="宋体" w:cs="宋体"/>
          <w:b w:val="0"/>
          <w:bCs w:val="0"/>
          <w:color w:val="auto"/>
          <w:spacing w:val="1"/>
          <w:sz w:val="22"/>
          <w:szCs w:val="22"/>
          <w:highlight w:val="none"/>
          <w:u w:val="none"/>
          <w:lang w:val="en-US" w:eastAsia="zh-CN" w:bidi="ar-SA"/>
        </w:rPr>
        <w:t>等</w:t>
      </w:r>
      <w:r>
        <w:rPr>
          <w:rFonts w:hint="eastAsia" w:ascii="宋体" w:hAnsi="宋体" w:eastAsia="宋体" w:cs="宋体"/>
          <w:b w:val="0"/>
          <w:bCs w:val="0"/>
          <w:color w:val="auto"/>
          <w:spacing w:val="1"/>
          <w:sz w:val="22"/>
          <w:szCs w:val="22"/>
          <w:highlight w:val="none"/>
          <w:u w:val="none"/>
          <w:lang w:val="en-US" w:eastAsia="zh-CN" w:bidi="ar-SA"/>
        </w:rPr>
        <w:t>全部货物由</w:t>
      </w:r>
      <w:r>
        <w:rPr>
          <w:rFonts w:hint="eastAsia" w:ascii="宋体" w:hAnsi="宋体" w:cs="宋体"/>
          <w:b w:val="0"/>
          <w:bCs w:val="0"/>
          <w:color w:val="auto"/>
          <w:spacing w:val="1"/>
          <w:sz w:val="22"/>
          <w:szCs w:val="22"/>
          <w:highlight w:val="none"/>
          <w:u w:val="none"/>
          <w:lang w:val="en-US" w:eastAsia="zh-CN" w:bidi="ar-SA"/>
        </w:rPr>
        <w:t>投标人</w:t>
      </w:r>
      <w:r>
        <w:rPr>
          <w:rFonts w:hint="eastAsia" w:ascii="宋体" w:hAnsi="宋体" w:eastAsia="宋体" w:cs="宋体"/>
          <w:b w:val="0"/>
          <w:bCs w:val="0"/>
          <w:color w:val="auto"/>
          <w:spacing w:val="1"/>
          <w:sz w:val="22"/>
          <w:szCs w:val="22"/>
          <w:highlight w:val="none"/>
          <w:u w:val="none"/>
          <w:lang w:val="en-US" w:eastAsia="zh-CN" w:bidi="ar-SA"/>
        </w:rPr>
        <w:t>负责供货及安装，粗格栅进水</w:t>
      </w:r>
      <w:r>
        <w:rPr>
          <w:rFonts w:hint="eastAsia" w:ascii="宋体" w:hAnsi="宋体" w:cs="宋体"/>
          <w:b w:val="0"/>
          <w:bCs w:val="0"/>
          <w:color w:val="auto"/>
          <w:spacing w:val="1"/>
          <w:sz w:val="22"/>
          <w:szCs w:val="22"/>
          <w:highlight w:val="none"/>
          <w:u w:val="none"/>
          <w:lang w:val="en-US" w:eastAsia="zh-CN" w:bidi="ar-SA"/>
        </w:rPr>
        <w:t>泵房进口至</w:t>
      </w:r>
      <w:r>
        <w:rPr>
          <w:rFonts w:hint="eastAsia" w:ascii="宋体" w:hAnsi="宋体" w:eastAsia="宋体" w:cs="宋体"/>
          <w:b w:val="0"/>
          <w:bCs w:val="0"/>
          <w:color w:val="auto"/>
          <w:spacing w:val="1"/>
          <w:sz w:val="22"/>
          <w:szCs w:val="22"/>
          <w:highlight w:val="none"/>
          <w:u w:val="none"/>
          <w:lang w:val="en-US" w:eastAsia="zh-CN" w:bidi="ar-SA"/>
        </w:rPr>
        <w:t>巴氏计量槽</w:t>
      </w:r>
      <w:r>
        <w:rPr>
          <w:rFonts w:hint="eastAsia" w:ascii="宋体" w:hAnsi="宋体" w:cs="宋体"/>
          <w:b w:val="0"/>
          <w:bCs w:val="0"/>
          <w:color w:val="auto"/>
          <w:spacing w:val="1"/>
          <w:sz w:val="22"/>
          <w:szCs w:val="22"/>
          <w:highlight w:val="none"/>
          <w:u w:val="none"/>
          <w:lang w:val="en-US" w:eastAsia="zh-CN" w:bidi="ar-SA"/>
        </w:rPr>
        <w:t>出水口的</w:t>
      </w:r>
      <w:r>
        <w:rPr>
          <w:rFonts w:hint="eastAsia" w:ascii="宋体" w:hAnsi="宋体" w:eastAsia="宋体" w:cs="宋体"/>
          <w:b w:val="0"/>
          <w:bCs w:val="0"/>
          <w:color w:val="auto"/>
          <w:spacing w:val="1"/>
          <w:sz w:val="22"/>
          <w:szCs w:val="22"/>
          <w:highlight w:val="none"/>
          <w:u w:val="none"/>
          <w:lang w:val="en-US" w:eastAsia="zh-CN" w:bidi="ar-SA"/>
        </w:rPr>
        <w:t>各单体成套设备</w:t>
      </w:r>
      <w:r>
        <w:rPr>
          <w:rFonts w:hint="eastAsia" w:ascii="宋体" w:hAnsi="宋体" w:cs="宋体"/>
          <w:b w:val="0"/>
          <w:bCs w:val="0"/>
          <w:color w:val="auto"/>
          <w:spacing w:val="1"/>
          <w:sz w:val="22"/>
          <w:szCs w:val="22"/>
          <w:highlight w:val="none"/>
          <w:u w:val="none"/>
          <w:lang w:val="en-US" w:eastAsia="zh-CN" w:bidi="ar-SA"/>
        </w:rPr>
        <w:t>之间的所有连接工艺管道均由中标人负责</w:t>
      </w:r>
      <w:r>
        <w:rPr>
          <w:rFonts w:hint="eastAsia" w:ascii="宋体" w:hAnsi="宋体" w:eastAsia="宋体" w:cs="宋体"/>
          <w:b w:val="0"/>
          <w:bCs w:val="0"/>
          <w:color w:val="auto"/>
          <w:spacing w:val="1"/>
          <w:sz w:val="22"/>
          <w:szCs w:val="22"/>
          <w:highlight w:val="none"/>
          <w:u w:val="none"/>
          <w:lang w:val="en-US" w:eastAsia="zh-CN" w:bidi="ar-SA"/>
        </w:rPr>
        <w:t>。</w:t>
      </w:r>
    </w:p>
    <w:p w14:paraId="603B6F03">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cs="宋体"/>
          <w:b w:val="0"/>
          <w:bCs w:val="0"/>
          <w:color w:val="auto"/>
          <w:spacing w:val="1"/>
          <w:sz w:val="22"/>
          <w:szCs w:val="22"/>
          <w:highlight w:val="none"/>
          <w:u w:val="none"/>
          <w:lang w:val="en-US" w:eastAsia="zh-CN" w:bidi="ar-SA"/>
        </w:rPr>
        <w:t>3、</w:t>
      </w:r>
      <w:r>
        <w:rPr>
          <w:rFonts w:hint="eastAsia" w:ascii="宋体" w:hAnsi="宋体" w:eastAsia="宋体" w:cs="宋体"/>
          <w:b w:val="0"/>
          <w:bCs w:val="0"/>
          <w:color w:val="auto"/>
          <w:spacing w:val="1"/>
          <w:sz w:val="22"/>
          <w:szCs w:val="22"/>
          <w:highlight w:val="none"/>
          <w:u w:val="none"/>
          <w:lang w:val="en-US" w:eastAsia="zh-CN" w:bidi="ar-SA"/>
        </w:rPr>
        <w:t>变压器</w:t>
      </w:r>
      <w:r>
        <w:rPr>
          <w:rFonts w:hint="eastAsia" w:ascii="宋体" w:hAnsi="宋体" w:cs="宋体"/>
          <w:b w:val="0"/>
          <w:bCs w:val="0"/>
          <w:color w:val="auto"/>
          <w:spacing w:val="1"/>
          <w:sz w:val="22"/>
          <w:szCs w:val="22"/>
          <w:highlight w:val="none"/>
          <w:u w:val="none"/>
          <w:lang w:val="en-US" w:eastAsia="zh-CN" w:bidi="ar-SA"/>
        </w:rPr>
        <w:t>前的</w:t>
      </w:r>
      <w:r>
        <w:rPr>
          <w:rFonts w:hint="eastAsia" w:ascii="宋体" w:hAnsi="宋体" w:eastAsia="宋体" w:cs="宋体"/>
          <w:b w:val="0"/>
          <w:bCs w:val="0"/>
          <w:color w:val="auto"/>
          <w:spacing w:val="1"/>
          <w:sz w:val="22"/>
          <w:szCs w:val="22"/>
          <w:highlight w:val="none"/>
          <w:u w:val="none"/>
          <w:lang w:val="en-US" w:eastAsia="zh-CN" w:bidi="ar-SA"/>
        </w:rPr>
        <w:t>电缆由</w:t>
      </w:r>
      <w:r>
        <w:rPr>
          <w:rFonts w:hint="eastAsia" w:ascii="宋体" w:hAnsi="宋体" w:cs="宋体"/>
          <w:b w:val="0"/>
          <w:bCs w:val="0"/>
          <w:color w:val="auto"/>
          <w:spacing w:val="1"/>
          <w:sz w:val="22"/>
          <w:szCs w:val="22"/>
          <w:highlight w:val="none"/>
          <w:u w:val="none"/>
          <w:lang w:val="en-US" w:eastAsia="zh-CN" w:bidi="ar-SA"/>
        </w:rPr>
        <w:t>业主</w:t>
      </w:r>
      <w:r>
        <w:rPr>
          <w:rFonts w:hint="eastAsia" w:ascii="宋体" w:hAnsi="宋体" w:eastAsia="宋体" w:cs="宋体"/>
          <w:b w:val="0"/>
          <w:bCs w:val="0"/>
          <w:color w:val="auto"/>
          <w:spacing w:val="1"/>
          <w:sz w:val="22"/>
          <w:szCs w:val="22"/>
          <w:highlight w:val="none"/>
          <w:u w:val="none"/>
          <w:lang w:val="en-US" w:eastAsia="zh-CN" w:bidi="ar-SA"/>
        </w:rPr>
        <w:t>负责采购及安装，</w:t>
      </w:r>
      <w:r>
        <w:rPr>
          <w:rFonts w:hint="eastAsia" w:ascii="宋体" w:hAnsi="宋体" w:cs="宋体"/>
          <w:b w:val="0"/>
          <w:bCs w:val="0"/>
          <w:color w:val="auto"/>
          <w:spacing w:val="1"/>
          <w:sz w:val="22"/>
          <w:szCs w:val="22"/>
          <w:highlight w:val="none"/>
          <w:u w:val="none"/>
          <w:lang w:val="en-US" w:eastAsia="zh-CN" w:bidi="ar-SA"/>
        </w:rPr>
        <w:t>变压器后的动力电缆（包括电缆沟及桥架）及配电箱、控制柜</w:t>
      </w:r>
      <w:r>
        <w:rPr>
          <w:rFonts w:hint="eastAsia" w:ascii="宋体" w:hAnsi="宋体" w:eastAsia="宋体" w:cs="宋体"/>
          <w:b w:val="0"/>
          <w:bCs w:val="0"/>
          <w:color w:val="auto"/>
          <w:spacing w:val="1"/>
          <w:sz w:val="22"/>
          <w:szCs w:val="22"/>
          <w:highlight w:val="none"/>
          <w:u w:val="none"/>
          <w:lang w:val="en-US" w:eastAsia="zh-CN" w:bidi="ar-SA"/>
        </w:rPr>
        <w:t>均</w:t>
      </w:r>
      <w:r>
        <w:rPr>
          <w:rFonts w:hint="eastAsia" w:ascii="宋体" w:hAnsi="宋体" w:cs="宋体"/>
          <w:b w:val="0"/>
          <w:bCs w:val="0"/>
          <w:color w:val="auto"/>
          <w:spacing w:val="1"/>
          <w:sz w:val="22"/>
          <w:szCs w:val="22"/>
          <w:highlight w:val="none"/>
          <w:u w:val="none"/>
          <w:lang w:val="en-US" w:eastAsia="zh-CN" w:bidi="ar-SA"/>
        </w:rPr>
        <w:t>由中标人</w:t>
      </w:r>
      <w:r>
        <w:rPr>
          <w:rFonts w:hint="eastAsia" w:ascii="宋体" w:hAnsi="宋体" w:eastAsia="宋体" w:cs="宋体"/>
          <w:b w:val="0"/>
          <w:bCs w:val="0"/>
          <w:color w:val="auto"/>
          <w:spacing w:val="1"/>
          <w:sz w:val="22"/>
          <w:szCs w:val="22"/>
          <w:highlight w:val="none"/>
          <w:u w:val="none"/>
          <w:lang w:val="en-US" w:eastAsia="zh-CN" w:bidi="ar-SA"/>
        </w:rPr>
        <w:t>安装提供</w:t>
      </w:r>
      <w:r>
        <w:rPr>
          <w:rFonts w:hint="eastAsia" w:ascii="宋体" w:hAnsi="宋体" w:cs="宋体"/>
          <w:b w:val="0"/>
          <w:bCs w:val="0"/>
          <w:color w:val="auto"/>
          <w:spacing w:val="1"/>
          <w:sz w:val="22"/>
          <w:szCs w:val="22"/>
          <w:highlight w:val="none"/>
          <w:u w:val="none"/>
          <w:lang w:val="en-US" w:eastAsia="zh-CN" w:bidi="ar-SA"/>
        </w:rPr>
        <w:t>（不含建筑物及构筑物照明及生活用电部分）</w:t>
      </w:r>
      <w:r>
        <w:rPr>
          <w:rFonts w:hint="eastAsia" w:ascii="宋体" w:hAnsi="宋体" w:eastAsia="宋体" w:cs="宋体"/>
          <w:b w:val="0"/>
          <w:bCs w:val="0"/>
          <w:color w:val="auto"/>
          <w:spacing w:val="1"/>
          <w:sz w:val="22"/>
          <w:szCs w:val="22"/>
          <w:highlight w:val="none"/>
          <w:u w:val="none"/>
          <w:lang w:val="en-US" w:eastAsia="zh-CN" w:bidi="ar-SA"/>
        </w:rPr>
        <w:t>；</w:t>
      </w:r>
    </w:p>
    <w:p w14:paraId="3087E55D">
      <w:pPr>
        <w:keepNext w:val="0"/>
        <w:keepLines w:val="0"/>
        <w:pageBreakBefore w:val="0"/>
        <w:kinsoku/>
        <w:wordWrap/>
        <w:overflowPunct/>
        <w:topLinePunct w:val="0"/>
        <w:bidi w:val="0"/>
        <w:adjustRightInd w:val="0"/>
        <w:snapToGrid w:val="0"/>
        <w:spacing w:line="312" w:lineRule="auto"/>
        <w:ind w:firstLine="444" w:firstLineChars="200"/>
        <w:textAlignment w:val="auto"/>
        <w:rPr>
          <w:rFonts w:hint="default" w:ascii="Times New Roman" w:hAnsi="Times New Roman" w:eastAsiaTheme="minorEastAsia"/>
          <w:color w:val="auto"/>
          <w:sz w:val="28"/>
          <w:szCs w:val="28"/>
          <w:highlight w:val="none"/>
          <w:lang w:val="en-US" w:eastAsia="zh-CN"/>
        </w:rPr>
      </w:pPr>
      <w:r>
        <w:rPr>
          <w:rFonts w:hint="eastAsia" w:ascii="宋体" w:hAnsi="宋体" w:cs="宋体"/>
          <w:b w:val="0"/>
          <w:bCs w:val="0"/>
          <w:color w:val="auto"/>
          <w:spacing w:val="1"/>
          <w:sz w:val="22"/>
          <w:szCs w:val="22"/>
          <w:highlight w:val="none"/>
          <w:u w:val="none"/>
          <w:lang w:val="en-US" w:eastAsia="zh-CN" w:bidi="ar-SA"/>
        </w:rPr>
        <w:t>4、涉及钢筋混凝土部分及设备基础部分等必要的土建部分均</w:t>
      </w:r>
      <w:r>
        <w:rPr>
          <w:rFonts w:hint="eastAsia" w:ascii="宋体" w:hAnsi="宋体" w:eastAsia="宋体" w:cs="宋体"/>
          <w:b w:val="0"/>
          <w:bCs w:val="0"/>
          <w:color w:val="auto"/>
          <w:spacing w:val="1"/>
          <w:sz w:val="22"/>
          <w:szCs w:val="22"/>
          <w:highlight w:val="none"/>
          <w:u w:val="none"/>
          <w:lang w:val="en-US" w:eastAsia="zh-CN" w:bidi="ar-SA"/>
        </w:rPr>
        <w:t>由</w:t>
      </w:r>
      <w:r>
        <w:rPr>
          <w:rFonts w:hint="eastAsia" w:ascii="宋体" w:hAnsi="宋体" w:cs="宋体"/>
          <w:b w:val="0"/>
          <w:bCs w:val="0"/>
          <w:color w:val="auto"/>
          <w:spacing w:val="1"/>
          <w:sz w:val="22"/>
          <w:szCs w:val="22"/>
          <w:highlight w:val="none"/>
          <w:u w:val="none"/>
          <w:lang w:val="en-US" w:eastAsia="zh-CN" w:bidi="ar-SA"/>
        </w:rPr>
        <w:t>采购人</w:t>
      </w:r>
      <w:r>
        <w:rPr>
          <w:rFonts w:hint="eastAsia" w:ascii="宋体" w:hAnsi="宋体" w:eastAsia="宋体" w:cs="宋体"/>
          <w:b w:val="0"/>
          <w:bCs w:val="0"/>
          <w:color w:val="auto"/>
          <w:spacing w:val="1"/>
          <w:sz w:val="22"/>
          <w:szCs w:val="22"/>
          <w:highlight w:val="none"/>
          <w:u w:val="none"/>
          <w:lang w:val="en-US" w:eastAsia="zh-CN" w:bidi="ar-SA"/>
        </w:rPr>
        <w:t>完成。</w:t>
      </w:r>
    </w:p>
    <w:p w14:paraId="364BB920">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cs="宋体"/>
          <w:b w:val="0"/>
          <w:bCs w:val="0"/>
          <w:color w:val="auto"/>
          <w:spacing w:val="1"/>
          <w:sz w:val="22"/>
          <w:szCs w:val="22"/>
          <w:highlight w:val="none"/>
          <w:u w:val="none"/>
          <w:lang w:val="en-US" w:eastAsia="zh-CN" w:bidi="ar-SA"/>
        </w:rPr>
        <w:t>5、</w:t>
      </w:r>
      <w:r>
        <w:rPr>
          <w:rFonts w:hint="eastAsia" w:ascii="宋体" w:hAnsi="宋体" w:eastAsia="宋体" w:cs="宋体"/>
          <w:b w:val="0"/>
          <w:bCs w:val="0"/>
          <w:color w:val="auto"/>
          <w:spacing w:val="1"/>
          <w:sz w:val="22"/>
          <w:szCs w:val="22"/>
          <w:highlight w:val="none"/>
          <w:u w:val="none"/>
          <w:lang w:val="en-US" w:eastAsia="zh-CN" w:bidi="ar-SA"/>
        </w:rPr>
        <w:t>电动机采用高效节能产品，其能效应符合《电动机能效限定值及能效等级》GB18613节能评价值的规定，其中电力变压器、电动机、交流接触器和照明产品的能效水平应高于能效等级2级及以上的要求（除特殊约定除外）。</w:t>
      </w:r>
    </w:p>
    <w:p w14:paraId="4D11550E">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cs="宋体"/>
          <w:b w:val="0"/>
          <w:bCs w:val="0"/>
          <w:color w:val="auto"/>
          <w:spacing w:val="1"/>
          <w:sz w:val="22"/>
          <w:szCs w:val="22"/>
          <w:highlight w:val="none"/>
          <w:u w:val="none"/>
          <w:lang w:val="en-US" w:eastAsia="zh-CN" w:bidi="ar-SA"/>
        </w:rPr>
        <w:t>6、</w:t>
      </w:r>
      <w:r>
        <w:rPr>
          <w:rFonts w:hint="eastAsia" w:ascii="宋体" w:hAnsi="宋体" w:eastAsia="宋体" w:cs="宋体"/>
          <w:b w:val="0"/>
          <w:bCs w:val="0"/>
          <w:color w:val="auto"/>
          <w:spacing w:val="1"/>
          <w:sz w:val="22"/>
          <w:szCs w:val="22"/>
          <w:highlight w:val="none"/>
          <w:u w:val="none"/>
          <w:lang w:val="en-US" w:eastAsia="zh-CN" w:bidi="ar-SA"/>
        </w:rPr>
        <w:t>未尽事宜</w:t>
      </w:r>
      <w:r>
        <w:rPr>
          <w:rFonts w:hint="eastAsia" w:ascii="宋体" w:hAnsi="宋体" w:cs="宋体"/>
          <w:b w:val="0"/>
          <w:bCs w:val="0"/>
          <w:color w:val="auto"/>
          <w:spacing w:val="1"/>
          <w:sz w:val="22"/>
          <w:szCs w:val="22"/>
          <w:highlight w:val="none"/>
          <w:u w:val="none"/>
          <w:lang w:val="en-US" w:eastAsia="zh-CN" w:bidi="ar-SA"/>
        </w:rPr>
        <w:t>由采购人</w:t>
      </w:r>
      <w:r>
        <w:rPr>
          <w:rFonts w:hint="eastAsia" w:ascii="宋体" w:hAnsi="宋体" w:eastAsia="宋体" w:cs="宋体"/>
          <w:b w:val="0"/>
          <w:bCs w:val="0"/>
          <w:color w:val="auto"/>
          <w:spacing w:val="1"/>
          <w:sz w:val="22"/>
          <w:szCs w:val="22"/>
          <w:highlight w:val="none"/>
          <w:u w:val="none"/>
          <w:lang w:val="en-US" w:eastAsia="zh-CN" w:bidi="ar-SA"/>
        </w:rPr>
        <w:t>协同设备</w:t>
      </w:r>
      <w:r>
        <w:rPr>
          <w:rFonts w:hint="eastAsia" w:ascii="宋体" w:hAnsi="宋体" w:cs="宋体"/>
          <w:b w:val="0"/>
          <w:bCs w:val="0"/>
          <w:color w:val="auto"/>
          <w:spacing w:val="1"/>
          <w:sz w:val="22"/>
          <w:szCs w:val="22"/>
          <w:highlight w:val="none"/>
          <w:u w:val="none"/>
          <w:lang w:val="en-US" w:eastAsia="zh-CN" w:bidi="ar-SA"/>
        </w:rPr>
        <w:t>方</w:t>
      </w:r>
      <w:r>
        <w:rPr>
          <w:rFonts w:hint="eastAsia" w:ascii="宋体" w:hAnsi="宋体" w:eastAsia="宋体" w:cs="宋体"/>
          <w:b w:val="0"/>
          <w:bCs w:val="0"/>
          <w:color w:val="auto"/>
          <w:spacing w:val="1"/>
          <w:sz w:val="22"/>
          <w:szCs w:val="22"/>
          <w:highlight w:val="none"/>
          <w:u w:val="none"/>
          <w:lang w:val="en-US" w:eastAsia="zh-CN" w:bidi="ar-SA"/>
        </w:rPr>
        <w:t>及土建</w:t>
      </w:r>
      <w:r>
        <w:rPr>
          <w:rFonts w:hint="eastAsia" w:ascii="宋体" w:hAnsi="宋体" w:cs="宋体"/>
          <w:b w:val="0"/>
          <w:bCs w:val="0"/>
          <w:color w:val="auto"/>
          <w:spacing w:val="1"/>
          <w:sz w:val="22"/>
          <w:szCs w:val="22"/>
          <w:highlight w:val="none"/>
          <w:u w:val="none"/>
          <w:lang w:val="en-US" w:eastAsia="zh-CN" w:bidi="ar-SA"/>
        </w:rPr>
        <w:t>施工方</w:t>
      </w:r>
      <w:r>
        <w:rPr>
          <w:rFonts w:hint="eastAsia" w:ascii="宋体" w:hAnsi="宋体" w:eastAsia="宋体" w:cs="宋体"/>
          <w:b w:val="0"/>
          <w:bCs w:val="0"/>
          <w:color w:val="auto"/>
          <w:spacing w:val="1"/>
          <w:sz w:val="22"/>
          <w:szCs w:val="22"/>
          <w:highlight w:val="none"/>
          <w:u w:val="none"/>
          <w:lang w:val="en-US" w:eastAsia="zh-CN" w:bidi="ar-SA"/>
        </w:rPr>
        <w:t>协商解决。</w:t>
      </w:r>
    </w:p>
    <w:p w14:paraId="0177DA27">
      <w:pPr>
        <w:keepNext w:val="0"/>
        <w:keepLines w:val="0"/>
        <w:pageBreakBefore w:val="0"/>
        <w:widowControl w:val="0"/>
        <w:kinsoku/>
        <w:wordWrap/>
        <w:overflowPunct/>
        <w:topLinePunct w:val="0"/>
        <w:autoSpaceDE/>
        <w:autoSpaceDN/>
        <w:bidi w:val="0"/>
        <w:adjustRightInd/>
        <w:snapToGrid/>
        <w:spacing w:line="312" w:lineRule="auto"/>
        <w:ind w:left="0" w:leftChars="0" w:firstLine="446" w:firstLineChars="200"/>
        <w:textAlignment w:val="auto"/>
        <w:rPr>
          <w:rFonts w:hint="default" w:ascii="宋体" w:hAnsi="宋体" w:cs="宋体"/>
          <w:b/>
          <w:bCs/>
          <w:color w:val="auto"/>
          <w:spacing w:val="1"/>
          <w:sz w:val="22"/>
          <w:szCs w:val="22"/>
          <w:highlight w:val="none"/>
          <w:u w:val="none"/>
          <w:lang w:val="en-US" w:eastAsia="zh-CN" w:bidi="ar-SA"/>
        </w:rPr>
      </w:pPr>
      <w:r>
        <w:rPr>
          <w:rFonts w:hint="eastAsia" w:ascii="宋体" w:hAnsi="宋体" w:cs="宋体"/>
          <w:b/>
          <w:bCs/>
          <w:color w:val="auto"/>
          <w:spacing w:val="1"/>
          <w:sz w:val="22"/>
          <w:szCs w:val="22"/>
          <w:highlight w:val="none"/>
          <w:u w:val="none"/>
          <w:lang w:val="en-US" w:eastAsia="zh-CN" w:bidi="ar-SA"/>
        </w:rPr>
        <w:t>四、技术要求</w:t>
      </w:r>
    </w:p>
    <w:p w14:paraId="43AA095C">
      <w:pPr>
        <w:keepNext w:val="0"/>
        <w:keepLines w:val="0"/>
        <w:pageBreakBefore w:val="0"/>
        <w:widowControl w:val="0"/>
        <w:kinsoku/>
        <w:wordWrap/>
        <w:overflowPunct/>
        <w:topLinePunct w:val="0"/>
        <w:autoSpaceDE/>
        <w:autoSpaceDN/>
        <w:bidi w:val="0"/>
        <w:adjustRightInd/>
        <w:snapToGrid/>
        <w:spacing w:line="312" w:lineRule="auto"/>
        <w:ind w:left="0" w:leftChars="0" w:firstLine="444" w:firstLineChars="200"/>
        <w:textAlignment w:val="auto"/>
        <w:rPr>
          <w:rFonts w:hint="eastAsia" w:ascii="宋体" w:hAnsi="宋体" w:eastAsia="宋体" w:cs="宋体"/>
          <w:b w:val="0"/>
          <w:bCs w:val="0"/>
          <w:color w:val="auto"/>
          <w:spacing w:val="1"/>
          <w:sz w:val="22"/>
          <w:szCs w:val="22"/>
          <w:highlight w:val="none"/>
          <w:u w:val="none"/>
          <w:lang w:val="en-US" w:eastAsia="zh-CN" w:bidi="ar-SA"/>
        </w:rPr>
      </w:pPr>
      <w:r>
        <w:rPr>
          <w:rFonts w:hint="eastAsia" w:ascii="宋体" w:hAnsi="宋体" w:cs="宋体"/>
          <w:b w:val="0"/>
          <w:bCs w:val="0"/>
          <w:color w:val="auto"/>
          <w:spacing w:val="1"/>
          <w:sz w:val="22"/>
          <w:szCs w:val="22"/>
          <w:highlight w:val="none"/>
          <w:u w:val="none"/>
          <w:lang w:val="en-US" w:eastAsia="zh-CN" w:bidi="ar-SA"/>
        </w:rPr>
        <w:t>1.</w:t>
      </w:r>
      <w:r>
        <w:rPr>
          <w:rFonts w:hint="eastAsia" w:ascii="宋体" w:hAnsi="宋体" w:eastAsia="宋体" w:cs="宋体"/>
          <w:b w:val="0"/>
          <w:bCs w:val="0"/>
          <w:color w:val="auto"/>
          <w:spacing w:val="1"/>
          <w:sz w:val="22"/>
          <w:szCs w:val="22"/>
          <w:highlight w:val="none"/>
          <w:u w:val="none"/>
          <w:lang w:val="en-US" w:eastAsia="zh-CN" w:bidi="ar-SA"/>
        </w:rPr>
        <w:t>主要设备清单一览表</w:t>
      </w:r>
    </w:p>
    <w:p w14:paraId="7FA6BE95">
      <w:pPr>
        <w:keepNext w:val="0"/>
        <w:keepLines w:val="0"/>
        <w:pageBreakBefore w:val="0"/>
        <w:widowControl w:val="0"/>
        <w:kinsoku/>
        <w:wordWrap/>
        <w:overflowPunct/>
        <w:topLinePunct w:val="0"/>
        <w:autoSpaceDE/>
        <w:autoSpaceDN/>
        <w:bidi w:val="0"/>
        <w:adjustRightInd/>
        <w:snapToGrid/>
        <w:spacing w:line="312" w:lineRule="auto"/>
        <w:ind w:left="0" w:leftChars="0" w:firstLine="446" w:firstLineChars="200"/>
        <w:textAlignment w:val="auto"/>
        <w:rPr>
          <w:rFonts w:hint="eastAsia" w:ascii="宋体" w:hAnsi="宋体" w:eastAsia="宋体" w:cs="宋体"/>
          <w:b/>
          <w:bCs/>
          <w:color w:val="auto"/>
          <w:spacing w:val="1"/>
          <w:sz w:val="22"/>
          <w:szCs w:val="22"/>
          <w:highlight w:val="none"/>
          <w:u w:val="none"/>
          <w:lang w:val="en-US" w:eastAsia="zh-CN" w:bidi="ar-SA"/>
        </w:rPr>
      </w:pPr>
      <w:r>
        <w:rPr>
          <w:rFonts w:hint="eastAsia" w:ascii="宋体" w:hAnsi="宋体" w:cs="宋体"/>
          <w:b/>
          <w:bCs/>
          <w:color w:val="auto"/>
          <w:spacing w:val="1"/>
          <w:sz w:val="22"/>
          <w:szCs w:val="22"/>
          <w:highlight w:val="none"/>
          <w:u w:val="none"/>
          <w:lang w:val="en-US" w:eastAsia="zh-CN" w:bidi="ar-SA"/>
        </w:rPr>
        <w:t>（一）</w:t>
      </w:r>
      <w:r>
        <w:rPr>
          <w:rFonts w:hint="eastAsia" w:ascii="宋体" w:hAnsi="宋体" w:eastAsia="宋体" w:cs="宋体"/>
          <w:b/>
          <w:bCs/>
          <w:color w:val="auto"/>
          <w:spacing w:val="1"/>
          <w:sz w:val="22"/>
          <w:szCs w:val="22"/>
          <w:highlight w:val="none"/>
          <w:u w:val="none"/>
          <w:lang w:val="en-US" w:eastAsia="zh-CN" w:bidi="ar-SA"/>
        </w:rPr>
        <w:t>工艺设备与材料</w:t>
      </w:r>
    </w:p>
    <w:tbl>
      <w:tblPr>
        <w:tblStyle w:val="43"/>
        <w:tblW w:w="5000" w:type="pct"/>
        <w:jc w:val="center"/>
        <w:tblLayout w:type="autofit"/>
        <w:tblCellMar>
          <w:top w:w="0" w:type="dxa"/>
          <w:left w:w="108" w:type="dxa"/>
          <w:bottom w:w="0" w:type="dxa"/>
          <w:right w:w="108" w:type="dxa"/>
        </w:tblCellMar>
      </w:tblPr>
      <w:tblGrid>
        <w:gridCol w:w="980"/>
        <w:gridCol w:w="7082"/>
        <w:gridCol w:w="891"/>
        <w:gridCol w:w="1009"/>
      </w:tblGrid>
      <w:tr w14:paraId="76BEAC43">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3B1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D2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A51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数量</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57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单位</w:t>
            </w:r>
          </w:p>
        </w:tc>
      </w:tr>
      <w:tr w14:paraId="34F93C17">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AC9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19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0C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9A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55058C16">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09C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B8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粗格栅进水泵房及调节池</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D8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0DF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53B7E94F">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93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4F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一体化固液分离装置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F9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CE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37A3210D">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C56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1F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一体化AAO生化池</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05C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00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05963EBF">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D8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08B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磁混凝高效沉淀池及滤布滤池</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0C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B8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3A91C9BC">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E8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84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紫外消毒渠及巴氏计量槽</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09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D40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20D77D33">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FD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44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污泥均质池</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23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5F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7EDBF2AD">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F7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E7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污泥脱水机房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19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25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176114E5">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5ED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20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综合车间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AD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48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3531FC4C">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15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FA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除臭系统1、除臭系统2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CD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290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290C2679">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FAF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8B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精确曝气控制系统</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EF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78C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r w14:paraId="16DE3088">
        <w:tblPrEx>
          <w:tblCellMar>
            <w:top w:w="0" w:type="dxa"/>
            <w:left w:w="108" w:type="dxa"/>
            <w:bottom w:w="0" w:type="dxa"/>
            <w:right w:w="108" w:type="dxa"/>
          </w:tblCellMar>
        </w:tblPrEx>
        <w:trPr>
          <w:trHeight w:val="454" w:hRule="atLeast"/>
          <w:jc w:val="center"/>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DC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3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F7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智慧水务系统</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81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73A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r>
    </w:tbl>
    <w:p w14:paraId="21CBFBD6">
      <w:pPr>
        <w:numPr>
          <w:ilvl w:val="0"/>
          <w:numId w:val="28"/>
        </w:num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主要设备功能</w:t>
      </w:r>
    </w:p>
    <w:p w14:paraId="1BAFBFEA">
      <w:pPr>
        <w:pStyle w:val="23"/>
        <w:keepNext w:val="0"/>
        <w:keepLines w:val="0"/>
        <w:pageBreakBefore w:val="0"/>
        <w:widowControl w:val="0"/>
        <w:kinsoku/>
        <w:wordWrap/>
        <w:overflowPunct/>
        <w:topLinePunct w:val="0"/>
        <w:autoSpaceDE/>
        <w:autoSpaceDN/>
        <w:bidi w:val="0"/>
        <w:adjustRightInd/>
        <w:snapToGrid/>
        <w:spacing w:line="312" w:lineRule="auto"/>
        <w:ind w:left="0" w:leftChars="0" w:firstLine="442" w:firstLineChars="200"/>
        <w:jc w:val="both"/>
        <w:textAlignment w:val="auto"/>
        <w:rPr>
          <w:rFonts w:hint="eastAsia" w:ascii="宋体" w:hAnsi="宋体" w:eastAsia="宋体" w:cs="宋体"/>
          <w:b/>
          <w:bCs/>
          <w:color w:val="auto"/>
          <w:sz w:val="22"/>
          <w:szCs w:val="22"/>
          <w:highlight w:val="none"/>
        </w:rPr>
      </w:pPr>
      <w:bookmarkStart w:id="719" w:name="_Toc128395262"/>
      <w:bookmarkStart w:id="720" w:name="_Toc124803111"/>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无轴螺旋输送机</w:t>
      </w:r>
      <w:bookmarkEnd w:id="719"/>
      <w:bookmarkEnd w:id="720"/>
    </w:p>
    <w:p w14:paraId="6BEB92FE">
      <w:pPr>
        <w:keepNext w:val="0"/>
        <w:keepLines w:val="0"/>
        <w:pageBreakBefore w:val="0"/>
        <w:widowControl w:val="0"/>
        <w:kinsoku/>
        <w:wordWrap/>
        <w:overflowPunct/>
        <w:topLinePunct w:val="0"/>
        <w:autoSpaceDE/>
        <w:autoSpaceDN/>
        <w:bidi w:val="0"/>
        <w:adjustRightInd/>
        <w:snapToGrid/>
        <w:spacing w:line="312" w:lineRule="auto"/>
        <w:ind w:lef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1）</w:t>
      </w:r>
      <w:r>
        <w:rPr>
          <w:rFonts w:hint="eastAsia" w:ascii="宋体" w:hAnsi="宋体" w:eastAsia="宋体" w:cs="宋体"/>
          <w:color w:val="auto"/>
          <w:sz w:val="22"/>
          <w:szCs w:val="22"/>
          <w:highlight w:val="none"/>
        </w:rPr>
        <w:t>技术要求</w:t>
      </w:r>
    </w:p>
    <w:p w14:paraId="47731634">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螺旋输送机叶片具有合适的旋转速度，既能达到输送栅渣的目的又不造成阻塞。</w:t>
      </w:r>
    </w:p>
    <w:p w14:paraId="2527B384">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传动形式采用轴装式齿轮减速电机与螺旋体驱动轴直连。</w:t>
      </w:r>
    </w:p>
    <w:p w14:paraId="7F1E94A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齿轮减速电机其工作寿命不低于100000小时。减速机的齿轮设计符合ISO或等同标准，服务系数不小于2.0。齿轮为合金钢，渗碳处理，齿面硬度不低于HRC58~62。</w:t>
      </w:r>
    </w:p>
    <w:p w14:paraId="53390835">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螺旋片具有足够的强度和刚度，厚度不小于16mm。</w:t>
      </w:r>
    </w:p>
    <w:p w14:paraId="4DFCAEBF">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螺旋输送机采用型钢支架固定在混凝土的土建基础上，支架应可作上下调节，调节余量为设计高度±50mm。</w:t>
      </w:r>
    </w:p>
    <w:p w14:paraId="71C8B8E4">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输送机槽厚度大于3.0mm，制成U型断面，除进料口敞开外，其余部分沿螺旋槽加平盖封闭。</w:t>
      </w:r>
    </w:p>
    <w:p w14:paraId="3C69E50F">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输送机能每日24小时连续运行。</w:t>
      </w:r>
    </w:p>
    <w:p w14:paraId="45854F62">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输送机的出口设置卸料漏斗及连接管，与相邻设备的进料口相衔接。</w:t>
      </w:r>
    </w:p>
    <w:p w14:paraId="264341C3">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输送机应设置过载的保护和报警。驱动装置应适用于户外使用，其防护等级为IP55。</w:t>
      </w:r>
    </w:p>
    <w:p w14:paraId="7D3EA389">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输送机槽内的耐磨衬板或耐磨衬条能方便地更换，使用寿命保证2年以上。衬板高度要高于输送机槽的中心。</w:t>
      </w:r>
    </w:p>
    <w:p w14:paraId="6714CCD5">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整机无故障工作时间应不低于8000小时。</w:t>
      </w:r>
    </w:p>
    <w:p w14:paraId="2402F035">
      <w:pPr>
        <w:keepNext w:val="0"/>
        <w:keepLines w:val="0"/>
        <w:pageBreakBefore w:val="0"/>
        <w:widowControl w:val="0"/>
        <w:numPr>
          <w:ilvl w:val="0"/>
          <w:numId w:val="29"/>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控制系统</w:t>
      </w:r>
    </w:p>
    <w:p w14:paraId="1FC5D92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与配套设备联动。</w:t>
      </w:r>
    </w:p>
    <w:p w14:paraId="042873F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l.防腐蚀</w:t>
      </w:r>
    </w:p>
    <w:p w14:paraId="4B87F3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制造输送机的全部材料适用于污水的腐蚀环境，未经保护或非防腐性材料按JB/T5000.12-1998涂装通用技术条件的规定进行除锈和涂装处理，不允许有漏涂、气泡等不良缺陷。</w:t>
      </w:r>
      <w:bookmarkStart w:id="721" w:name="_Toc10357303"/>
    </w:p>
    <w:p w14:paraId="0448392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kern w:val="2"/>
          <w:sz w:val="22"/>
          <w:szCs w:val="22"/>
          <w:highlight w:val="none"/>
          <w:lang w:val="en-US" w:eastAsia="zh-CN" w:bidi="ar-SA"/>
        </w:rPr>
        <w:t>曝气系统</w:t>
      </w:r>
      <w:bookmarkEnd w:id="721"/>
    </w:p>
    <w:p w14:paraId="61C5DB3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曝气系统由管式橡胶膜微孔曝气器、独立连接件、空气分配管、池底固定支架、曝气管尾端支架及冷凝水排放系统等构成。</w:t>
      </w:r>
    </w:p>
    <w:p w14:paraId="7E77E0CF">
      <w:pPr>
        <w:keepNext w:val="0"/>
        <w:keepLines w:val="0"/>
        <w:pageBreakBefore w:val="0"/>
        <w:widowControl w:val="0"/>
        <w:numPr>
          <w:ilvl w:val="0"/>
          <w:numId w:val="30"/>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橡胶膜材质为聚氨酯TPU膜片，膜片厚度不小于0.7mm且具备自动清洗功能。采用先进的高精度数控机床开孔技术，开孔大小均匀，使曝气器排出的气泡直径维持在1～2mm之间，并且膜片使用寿命长，气流在其整个膜表面均匀分布。</w:t>
      </w:r>
    </w:p>
    <w:p w14:paraId="57F873DD">
      <w:pPr>
        <w:keepNext w:val="0"/>
        <w:keepLines w:val="0"/>
        <w:pageBreakBefore w:val="0"/>
        <w:widowControl w:val="0"/>
        <w:numPr>
          <w:ilvl w:val="0"/>
          <w:numId w:val="30"/>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橡胶膜必须采用挤出成型工艺加工制成，以保证膜片厚度更均匀，布气效果更佳，且使用寿命更长。</w:t>
      </w:r>
    </w:p>
    <w:p w14:paraId="7181B921">
      <w:pPr>
        <w:keepNext w:val="0"/>
        <w:keepLines w:val="0"/>
        <w:pageBreakBefore w:val="0"/>
        <w:widowControl w:val="0"/>
        <w:numPr>
          <w:ilvl w:val="0"/>
          <w:numId w:val="30"/>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支撑体要有足够的强度，支撑管采用增强聚丙烯（PP）、ABS、UPVC或更高等级材料制成，薄膜覆盖其上。</w:t>
      </w:r>
    </w:p>
    <w:p w14:paraId="18A80AA5">
      <w:pPr>
        <w:keepNext w:val="0"/>
        <w:keepLines w:val="0"/>
        <w:pageBreakBefore w:val="0"/>
        <w:widowControl w:val="0"/>
        <w:numPr>
          <w:ilvl w:val="0"/>
          <w:numId w:val="30"/>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曝气器支撑体材料应有积极的防老化措施，曝气器应抗市政污水的腐蚀，防酸碱，管道应防紫外线。</w:t>
      </w:r>
    </w:p>
    <w:p w14:paraId="01AD25E6">
      <w:pPr>
        <w:keepNext w:val="0"/>
        <w:keepLines w:val="0"/>
        <w:pageBreakBefore w:val="0"/>
        <w:widowControl w:val="0"/>
        <w:numPr>
          <w:ilvl w:val="0"/>
          <w:numId w:val="30"/>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为确保曝气系统运行稳定性，曝气管尾端必须加装固定支架。</w:t>
      </w:r>
    </w:p>
    <w:p w14:paraId="3DC2E482">
      <w:pPr>
        <w:keepNext w:val="0"/>
        <w:keepLines w:val="0"/>
        <w:pageBreakBefore w:val="0"/>
        <w:widowControl w:val="0"/>
        <w:numPr>
          <w:ilvl w:val="0"/>
          <w:numId w:val="30"/>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整个曝气器应无气隙、裂缝、气泡、皱折及其它的结构损伤。</w:t>
      </w:r>
    </w:p>
    <w:p w14:paraId="17BF72A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442" w:firstLineChars="200"/>
        <w:textAlignment w:val="auto"/>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lang w:eastAsia="zh-CN"/>
        </w:rPr>
        <w:t>）一体化AAO生化池</w:t>
      </w:r>
    </w:p>
    <w:p w14:paraId="269F2453">
      <w:pPr>
        <w:spacing w:line="360" w:lineRule="auto"/>
        <w:outlineLvl w:val="2"/>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lang w:val="en-US" w:eastAsia="zh-CN"/>
        </w:rPr>
        <w:t>1）</w:t>
      </w:r>
      <w:r>
        <w:rPr>
          <w:rFonts w:hint="eastAsia" w:ascii="宋体" w:hAnsi="宋体" w:eastAsia="宋体" w:cs="宋体"/>
          <w:b/>
          <w:bCs/>
          <w:color w:val="auto"/>
          <w:spacing w:val="8"/>
          <w:sz w:val="22"/>
          <w:szCs w:val="22"/>
          <w:highlight w:val="none"/>
        </w:rPr>
        <w:t>基本要求</w:t>
      </w:r>
    </w:p>
    <w:p w14:paraId="424156F3">
      <w:pPr>
        <w:pStyle w:val="170"/>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一体化AAO生化池采用装配集成式的公建化建筑形式：</w:t>
      </w:r>
    </w:p>
    <w:p w14:paraId="5FB1771A">
      <w:pPr>
        <w:pStyle w:val="170"/>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a、装配集成式一体化AAO生化池是一种节地型集约化污水处理系统，通过将厌氧、缺氧、好氧及二沉池单元集成于一座池体构筑物，减少单体数量及之间道路，大幅减少占地面积。</w:t>
      </w:r>
    </w:p>
    <w:p w14:paraId="3632FD95">
      <w:pPr>
        <w:pStyle w:val="170"/>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b、装配集成式一体化AAO生化池是一种模块化装配式污水处理系统，在工厂加工制作预制构件，经现场组装连接设备、管线等污水处理配套及附属系统而建成，安装工期不大于3个月。</w:t>
      </w:r>
    </w:p>
    <w:p w14:paraId="5D370E80">
      <w:pPr>
        <w:pStyle w:val="170"/>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c、装配集成式一体化AAO生化池是一种公共建筑化的污水处理系统，外形简洁美观，地面无裸露管线，对人和环境友好。</w:t>
      </w:r>
    </w:p>
    <w:p w14:paraId="24342862">
      <w:pPr>
        <w:pStyle w:val="170"/>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一体化AAO生化池的工艺设计及性能要求</w:t>
      </w:r>
    </w:p>
    <w:p w14:paraId="0E60955A">
      <w:pPr>
        <w:pStyle w:val="170"/>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一体化AAO生化池前段连接预处理系统，后端连接深度处理系统，经适当工艺处理后，应满足以下进出水水质要求：</w:t>
      </w:r>
    </w:p>
    <w:tbl>
      <w:tblPr>
        <w:tblStyle w:val="43"/>
        <w:tblW w:w="9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223"/>
        <w:gridCol w:w="1225"/>
        <w:gridCol w:w="1223"/>
        <w:gridCol w:w="1223"/>
        <w:gridCol w:w="1329"/>
        <w:gridCol w:w="1240"/>
        <w:gridCol w:w="1090"/>
      </w:tblGrid>
      <w:tr w14:paraId="5A9D6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610" w:type="dxa"/>
            <w:tcBorders>
              <w:top w:val="single" w:color="000000" w:sz="10" w:space="0"/>
              <w:left w:val="single" w:color="000000" w:sz="10" w:space="0"/>
            </w:tcBorders>
            <w:shd w:val="clear" w:color="auto" w:fill="auto"/>
            <w:vAlign w:val="center"/>
          </w:tcPr>
          <w:p w14:paraId="04ADE2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p>
        </w:tc>
        <w:tc>
          <w:tcPr>
            <w:tcW w:w="1223" w:type="dxa"/>
            <w:tcBorders>
              <w:top w:val="single" w:color="000000" w:sz="10" w:space="0"/>
            </w:tcBorders>
            <w:shd w:val="clear" w:color="auto" w:fill="auto"/>
            <w:vAlign w:val="center"/>
          </w:tcPr>
          <w:p w14:paraId="1DCD4B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COD</w:t>
            </w:r>
            <w:r>
              <w:rPr>
                <w:rFonts w:hint="eastAsia" w:ascii="宋体" w:hAnsi="宋体" w:eastAsia="宋体" w:cs="宋体"/>
                <w:color w:val="auto"/>
                <w:sz w:val="22"/>
                <w:szCs w:val="22"/>
                <w:highlight w:val="none"/>
                <w:vertAlign w:val="subscript"/>
              </w:rPr>
              <w:t>Cr</w:t>
            </w:r>
            <w:r>
              <w:rPr>
                <w:rFonts w:hint="eastAsia" w:ascii="宋体" w:hAnsi="宋体" w:eastAsia="宋体" w:cs="宋体"/>
                <w:color w:val="auto"/>
                <w:sz w:val="22"/>
                <w:szCs w:val="22"/>
                <w:highlight w:val="none"/>
              </w:rPr>
              <w:t>（mg/L）</w:t>
            </w:r>
          </w:p>
        </w:tc>
        <w:tc>
          <w:tcPr>
            <w:tcW w:w="1225" w:type="dxa"/>
            <w:tcBorders>
              <w:top w:val="single" w:color="000000" w:sz="10" w:space="0"/>
            </w:tcBorders>
            <w:shd w:val="clear" w:color="auto" w:fill="auto"/>
            <w:vAlign w:val="center"/>
          </w:tcPr>
          <w:p w14:paraId="24EAA1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BOD</w:t>
            </w:r>
            <w:r>
              <w:rPr>
                <w:rFonts w:hint="eastAsia" w:ascii="宋体" w:hAnsi="宋体" w:eastAsia="宋体" w:cs="宋体"/>
                <w:color w:val="auto"/>
                <w:sz w:val="22"/>
                <w:szCs w:val="22"/>
                <w:highlight w:val="none"/>
                <w:vertAlign w:val="subscript"/>
              </w:rPr>
              <w:t>5</w:t>
            </w:r>
            <w:r>
              <w:rPr>
                <w:rFonts w:hint="eastAsia" w:ascii="宋体" w:hAnsi="宋体" w:eastAsia="宋体" w:cs="宋体"/>
                <w:color w:val="auto"/>
                <w:sz w:val="22"/>
                <w:szCs w:val="22"/>
                <w:highlight w:val="none"/>
              </w:rPr>
              <w:t>（mg/L）</w:t>
            </w:r>
          </w:p>
        </w:tc>
        <w:tc>
          <w:tcPr>
            <w:tcW w:w="1223" w:type="dxa"/>
            <w:tcBorders>
              <w:top w:val="single" w:color="000000" w:sz="10" w:space="0"/>
            </w:tcBorders>
            <w:shd w:val="clear" w:color="auto" w:fill="auto"/>
            <w:vAlign w:val="center"/>
          </w:tcPr>
          <w:p w14:paraId="643312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SS（mg/L）</w:t>
            </w:r>
          </w:p>
        </w:tc>
        <w:tc>
          <w:tcPr>
            <w:tcW w:w="1223" w:type="dxa"/>
            <w:tcBorders>
              <w:top w:val="single" w:color="000000" w:sz="10" w:space="0"/>
            </w:tcBorders>
            <w:shd w:val="clear" w:color="auto" w:fill="auto"/>
            <w:vAlign w:val="center"/>
          </w:tcPr>
          <w:p w14:paraId="164808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NH</w:t>
            </w:r>
            <w:r>
              <w:rPr>
                <w:rFonts w:hint="eastAsia" w:ascii="宋体" w:hAnsi="宋体" w:eastAsia="宋体" w:cs="宋体"/>
                <w:color w:val="auto"/>
                <w:sz w:val="22"/>
                <w:szCs w:val="22"/>
                <w:highlight w:val="none"/>
                <w:vertAlign w:val="subscript"/>
              </w:rPr>
              <w:t>3</w:t>
            </w:r>
            <w:r>
              <w:rPr>
                <w:rFonts w:hint="eastAsia" w:ascii="宋体" w:hAnsi="宋体" w:eastAsia="宋体" w:cs="宋体"/>
                <w:color w:val="auto"/>
                <w:sz w:val="22"/>
                <w:szCs w:val="22"/>
                <w:highlight w:val="none"/>
              </w:rPr>
              <w:t>-N（mg/L）</w:t>
            </w:r>
          </w:p>
        </w:tc>
        <w:tc>
          <w:tcPr>
            <w:tcW w:w="1329" w:type="dxa"/>
            <w:tcBorders>
              <w:top w:val="single" w:color="000000" w:sz="10" w:space="0"/>
            </w:tcBorders>
            <w:shd w:val="clear" w:color="auto" w:fill="auto"/>
            <w:vAlign w:val="center"/>
          </w:tcPr>
          <w:p w14:paraId="7C8A94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TN（mg/L）</w:t>
            </w:r>
          </w:p>
        </w:tc>
        <w:tc>
          <w:tcPr>
            <w:tcW w:w="1240" w:type="dxa"/>
            <w:tcBorders>
              <w:top w:val="single" w:color="000000" w:sz="10" w:space="0"/>
            </w:tcBorders>
            <w:shd w:val="clear" w:color="auto" w:fill="auto"/>
            <w:vAlign w:val="center"/>
          </w:tcPr>
          <w:p w14:paraId="77A7C5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TP（mg/L）</w:t>
            </w:r>
          </w:p>
        </w:tc>
        <w:tc>
          <w:tcPr>
            <w:tcW w:w="1090" w:type="dxa"/>
            <w:tcBorders>
              <w:top w:val="single" w:color="000000" w:sz="10" w:space="0"/>
              <w:right w:val="single" w:color="000000" w:sz="10" w:space="0"/>
            </w:tcBorders>
            <w:shd w:val="clear" w:color="auto" w:fill="auto"/>
            <w:vAlign w:val="center"/>
          </w:tcPr>
          <w:p w14:paraId="7A599B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pH</w:t>
            </w:r>
          </w:p>
        </w:tc>
      </w:tr>
      <w:tr w14:paraId="0A47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10" w:type="dxa"/>
            <w:tcBorders>
              <w:left w:val="single" w:color="000000" w:sz="10" w:space="0"/>
            </w:tcBorders>
            <w:shd w:val="clear" w:color="auto" w:fill="auto"/>
            <w:vAlign w:val="center"/>
          </w:tcPr>
          <w:p w14:paraId="632E70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进水指标</w:t>
            </w:r>
          </w:p>
        </w:tc>
        <w:tc>
          <w:tcPr>
            <w:tcW w:w="1223" w:type="dxa"/>
            <w:shd w:val="clear" w:color="auto" w:fill="auto"/>
            <w:vAlign w:val="center"/>
          </w:tcPr>
          <w:p w14:paraId="07A31B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350.0</w:t>
            </w:r>
          </w:p>
        </w:tc>
        <w:tc>
          <w:tcPr>
            <w:tcW w:w="1225" w:type="dxa"/>
            <w:shd w:val="clear" w:color="auto" w:fill="auto"/>
            <w:vAlign w:val="center"/>
          </w:tcPr>
          <w:p w14:paraId="176640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160.0</w:t>
            </w:r>
          </w:p>
        </w:tc>
        <w:tc>
          <w:tcPr>
            <w:tcW w:w="1223" w:type="dxa"/>
            <w:shd w:val="clear" w:color="auto" w:fill="auto"/>
            <w:vAlign w:val="center"/>
          </w:tcPr>
          <w:p w14:paraId="48C753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200.0</w:t>
            </w:r>
          </w:p>
        </w:tc>
        <w:tc>
          <w:tcPr>
            <w:tcW w:w="1223" w:type="dxa"/>
            <w:shd w:val="clear" w:color="auto" w:fill="auto"/>
            <w:vAlign w:val="center"/>
          </w:tcPr>
          <w:p w14:paraId="21CC5C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40.0</w:t>
            </w:r>
          </w:p>
        </w:tc>
        <w:tc>
          <w:tcPr>
            <w:tcW w:w="1329" w:type="dxa"/>
            <w:shd w:val="clear" w:color="auto" w:fill="auto"/>
            <w:vAlign w:val="center"/>
          </w:tcPr>
          <w:p w14:paraId="381783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45.0</w:t>
            </w:r>
          </w:p>
        </w:tc>
        <w:tc>
          <w:tcPr>
            <w:tcW w:w="1240" w:type="dxa"/>
            <w:shd w:val="clear" w:color="auto" w:fill="auto"/>
            <w:vAlign w:val="center"/>
          </w:tcPr>
          <w:p w14:paraId="791673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w:t>
            </w:r>
          </w:p>
        </w:tc>
        <w:tc>
          <w:tcPr>
            <w:tcW w:w="1090" w:type="dxa"/>
            <w:tcBorders>
              <w:right w:val="single" w:color="000000" w:sz="10" w:space="0"/>
            </w:tcBorders>
            <w:shd w:val="clear" w:color="auto" w:fill="auto"/>
            <w:vAlign w:val="center"/>
          </w:tcPr>
          <w:p w14:paraId="6D6D04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6~9</w:t>
            </w:r>
          </w:p>
        </w:tc>
      </w:tr>
      <w:tr w14:paraId="2E857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10" w:type="dxa"/>
            <w:tcBorders>
              <w:left w:val="single" w:color="000000" w:sz="10" w:space="0"/>
            </w:tcBorders>
            <w:shd w:val="clear" w:color="auto" w:fill="auto"/>
            <w:vAlign w:val="center"/>
          </w:tcPr>
          <w:p w14:paraId="6B99BE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出水指标</w:t>
            </w:r>
          </w:p>
        </w:tc>
        <w:tc>
          <w:tcPr>
            <w:tcW w:w="1223" w:type="dxa"/>
            <w:shd w:val="clear" w:color="auto" w:fill="auto"/>
            <w:vAlign w:val="center"/>
          </w:tcPr>
          <w:p w14:paraId="042CA9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w:t>
            </w:r>
          </w:p>
        </w:tc>
        <w:tc>
          <w:tcPr>
            <w:tcW w:w="1225" w:type="dxa"/>
            <w:shd w:val="clear" w:color="auto" w:fill="auto"/>
            <w:vAlign w:val="center"/>
          </w:tcPr>
          <w:p w14:paraId="407EF8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w:t>
            </w:r>
          </w:p>
        </w:tc>
        <w:tc>
          <w:tcPr>
            <w:tcW w:w="1223" w:type="dxa"/>
            <w:shd w:val="clear" w:color="auto" w:fill="auto"/>
            <w:vAlign w:val="center"/>
          </w:tcPr>
          <w:p w14:paraId="621520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w:t>
            </w:r>
          </w:p>
        </w:tc>
        <w:tc>
          <w:tcPr>
            <w:tcW w:w="1223" w:type="dxa"/>
            <w:shd w:val="clear" w:color="auto" w:fill="auto"/>
            <w:vAlign w:val="center"/>
          </w:tcPr>
          <w:p w14:paraId="5F7AFA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≤1.5（3.0）</w:t>
            </w:r>
          </w:p>
        </w:tc>
        <w:tc>
          <w:tcPr>
            <w:tcW w:w="1329" w:type="dxa"/>
            <w:shd w:val="clear" w:color="auto" w:fill="auto"/>
            <w:vAlign w:val="center"/>
          </w:tcPr>
          <w:p w14:paraId="0BE9A6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≤10.0（12.0）</w:t>
            </w:r>
          </w:p>
        </w:tc>
        <w:tc>
          <w:tcPr>
            <w:tcW w:w="1240" w:type="dxa"/>
            <w:shd w:val="clear" w:color="auto" w:fill="auto"/>
            <w:vAlign w:val="center"/>
          </w:tcPr>
          <w:p w14:paraId="1DB18C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w:t>
            </w:r>
          </w:p>
        </w:tc>
        <w:tc>
          <w:tcPr>
            <w:tcW w:w="1090" w:type="dxa"/>
            <w:tcBorders>
              <w:right w:val="single" w:color="000000" w:sz="10" w:space="0"/>
            </w:tcBorders>
            <w:shd w:val="clear" w:color="auto" w:fill="auto"/>
            <w:vAlign w:val="center"/>
          </w:tcPr>
          <w:p w14:paraId="3F6205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6~9</w:t>
            </w:r>
          </w:p>
        </w:tc>
      </w:tr>
      <w:tr w14:paraId="2C873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163" w:type="dxa"/>
            <w:gridSpan w:val="8"/>
            <w:tcBorders>
              <w:left w:val="single" w:color="000000" w:sz="10" w:space="0"/>
              <w:bottom w:val="single" w:color="000000" w:sz="10" w:space="0"/>
              <w:right w:val="single" w:color="000000" w:sz="10" w:space="0"/>
            </w:tcBorders>
            <w:shd w:val="clear" w:color="auto" w:fill="auto"/>
            <w:vAlign w:val="center"/>
          </w:tcPr>
          <w:p w14:paraId="503F6E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注1：括号内数值为每年11月1日至次年3月31日执行。</w:t>
            </w:r>
          </w:p>
        </w:tc>
      </w:tr>
    </w:tbl>
    <w:p w14:paraId="4BEB0788">
      <w:pPr>
        <w:spacing w:line="89" w:lineRule="exact"/>
        <w:ind w:left="0" w:leftChars="0" w:firstLine="0" w:firstLineChars="0"/>
        <w:rPr>
          <w:rFonts w:hint="eastAsia" w:ascii="宋体" w:hAnsi="宋体" w:eastAsia="宋体" w:cs="宋体"/>
          <w:color w:val="auto"/>
          <w:sz w:val="22"/>
          <w:szCs w:val="22"/>
          <w:highlight w:val="none"/>
        </w:rPr>
      </w:pPr>
    </w:p>
    <w:p w14:paraId="39C500B5">
      <w:pPr>
        <w:spacing w:line="89" w:lineRule="exact"/>
        <w:rPr>
          <w:rFonts w:hint="eastAsia" w:ascii="宋体" w:hAnsi="宋体" w:eastAsia="宋体" w:cs="宋体"/>
          <w:color w:val="auto"/>
          <w:sz w:val="22"/>
          <w:szCs w:val="22"/>
          <w:highlight w:val="none"/>
        </w:rPr>
      </w:pPr>
    </w:p>
    <w:p w14:paraId="55B8E057">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rPr>
        <w:t>工艺设计参数应满足以下要求：</w:t>
      </w:r>
    </w:p>
    <w:p w14:paraId="3083597A">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设计水量：1.2万m3/d，总变化系数1.25</w:t>
      </w:r>
    </w:p>
    <w:p w14:paraId="21CB988E">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外回流比：50%~100%</w:t>
      </w:r>
    </w:p>
    <w:p w14:paraId="1AA83696">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内回流比：200-300%</w:t>
      </w:r>
    </w:p>
    <w:p w14:paraId="34BE7BF8">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气水比不低于7：1</w:t>
      </w:r>
    </w:p>
    <w:p w14:paraId="5A14C71C">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一体化AAO生化池的结构设计及性能要求</w:t>
      </w:r>
    </w:p>
    <w:p w14:paraId="6A276266">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装配集成式一体化AAO生化池是一种永久污水污水处理设施，应满足50年设计使用年限要求，符合当地抗震抗风设计标准。</w:t>
      </w:r>
    </w:p>
    <w:p w14:paraId="03F6CC1C">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结构设计主要参数应符合以下要求：</w:t>
      </w:r>
    </w:p>
    <w:p w14:paraId="37D46D3C">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池壁材质：铝合金或304不锈钢</w:t>
      </w:r>
    </w:p>
    <w:p w14:paraId="6B6F70A2">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防腐年限：50年</w:t>
      </w:r>
    </w:p>
    <w:p w14:paraId="2D40EEE3">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防渗年限：50年</w:t>
      </w:r>
    </w:p>
    <w:p w14:paraId="2F195401">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保温要求：池体应有适宜的保温措施</w:t>
      </w:r>
    </w:p>
    <w:p w14:paraId="79B88686">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防雷要求：池体应有适宜的防雷措施</w:t>
      </w:r>
    </w:p>
    <w:p w14:paraId="370DAC8E">
      <w:pPr>
        <w:keepNext w:val="0"/>
        <w:keepLines w:val="0"/>
        <w:pageBreakBefore w:val="0"/>
        <w:widowControl w:val="0"/>
        <w:kinsoku/>
        <w:wordWrap/>
        <w:overflowPunct/>
        <w:topLinePunct w:val="0"/>
        <w:autoSpaceDE/>
        <w:autoSpaceDN/>
        <w:bidi w:val="0"/>
        <w:adjustRightInd/>
        <w:spacing w:line="312" w:lineRule="auto"/>
        <w:textAlignment w:val="auto"/>
        <w:outlineLvl w:val="3"/>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lang w:val="en-US" w:eastAsia="zh-CN"/>
        </w:rPr>
        <w:t>2.1</w:t>
      </w:r>
      <w:r>
        <w:rPr>
          <w:rFonts w:hint="eastAsia" w:ascii="宋体" w:hAnsi="宋体" w:eastAsia="宋体" w:cs="宋体"/>
          <w:b/>
          <w:bCs/>
          <w:color w:val="auto"/>
          <w:spacing w:val="8"/>
          <w:sz w:val="22"/>
          <w:szCs w:val="22"/>
          <w:highlight w:val="none"/>
        </w:rPr>
        <w:t>主要材料</w:t>
      </w:r>
    </w:p>
    <w:p w14:paraId="22A19064">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▲装配式池体（</w:t>
      </w:r>
      <w:r>
        <w:rPr>
          <w:rFonts w:hint="eastAsia" w:ascii="宋体" w:hAnsi="宋体" w:eastAsia="宋体" w:cs="宋体"/>
          <w:color w:val="auto"/>
          <w:sz w:val="22"/>
          <w:szCs w:val="22"/>
          <w:highlight w:val="none"/>
          <w:lang w:bidi="ar"/>
        </w:rPr>
        <w:t>含走道、爬梯等</w:t>
      </w:r>
      <w:r>
        <w:rPr>
          <w:rFonts w:hint="eastAsia" w:ascii="宋体" w:hAnsi="宋体" w:eastAsia="宋体" w:cs="宋体"/>
          <w:color w:val="auto"/>
          <w:sz w:val="22"/>
          <w:szCs w:val="22"/>
          <w:highlight w:val="none"/>
        </w:rPr>
        <w:t>）：池壁材质为铝合金或不锈钢304</w:t>
      </w:r>
    </w:p>
    <w:p w14:paraId="2B2D06C6">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设备应包含但不限于：潜水搅拌机（含起吊装置），材质：不锈钢304</w:t>
      </w:r>
    </w:p>
    <w:p w14:paraId="7969A77A">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硝化液回流泵（含变频和起吊装置、），</w:t>
      </w:r>
      <w:r>
        <w:rPr>
          <w:rFonts w:hint="eastAsia" w:ascii="宋体" w:hAnsi="宋体" w:eastAsia="宋体" w:cs="宋体"/>
          <w:color w:val="auto"/>
          <w:sz w:val="22"/>
          <w:szCs w:val="22"/>
          <w:highlight w:val="none"/>
          <w:lang w:bidi="ar"/>
        </w:rPr>
        <w:t>材质：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 xml:space="preserve">不锈钢304 </w:t>
      </w:r>
    </w:p>
    <w:p w14:paraId="3C503550">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曝气器</w:t>
      </w:r>
      <w:r>
        <w:rPr>
          <w:rFonts w:hint="eastAsia" w:ascii="宋体" w:hAnsi="宋体" w:eastAsia="宋体" w:cs="宋体"/>
          <w:color w:val="auto"/>
          <w:sz w:val="22"/>
          <w:szCs w:val="22"/>
          <w:highlight w:val="none"/>
          <w:lang w:bidi="ar"/>
        </w:rPr>
        <w:t>，材料：聚氨酯，</w:t>
      </w:r>
    </w:p>
    <w:p w14:paraId="654AF372">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空气管路：材质：不锈钢304</w:t>
      </w:r>
    </w:p>
    <w:p w14:paraId="076A4DA2">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污水管路：</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材质：碳钢防腐</w:t>
      </w:r>
    </w:p>
    <w:p w14:paraId="143104F0">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二沉池系统:含泥斗、出水槽、污泥回流系统、斜板填料等  主体材质：不锈钢304， </w:t>
      </w:r>
    </w:p>
    <w:p w14:paraId="66161F3F">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ORP检测仪、</w:t>
      </w:r>
      <w:r>
        <w:rPr>
          <w:rFonts w:hint="eastAsia" w:ascii="宋体" w:hAnsi="宋体" w:eastAsia="宋体" w:cs="宋体"/>
          <w:color w:val="auto"/>
          <w:sz w:val="22"/>
          <w:szCs w:val="22"/>
          <w:highlight w:val="none"/>
          <w:lang w:bidi="ar"/>
        </w:rPr>
        <w:t>DO检测仪</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bidi="ar"/>
        </w:rPr>
        <w:t>MLSS检测仪等</w:t>
      </w:r>
    </w:p>
    <w:p w14:paraId="2E5654EF">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b/>
          <w:bCs/>
          <w:color w:val="auto"/>
          <w:sz w:val="22"/>
          <w:szCs w:val="22"/>
          <w:highlight w:val="none"/>
          <w:lang w:bidi="ar"/>
        </w:rPr>
      </w:pPr>
      <w:r>
        <w:rPr>
          <w:rFonts w:hint="eastAsia" w:ascii="宋体" w:hAnsi="宋体" w:eastAsia="宋体" w:cs="宋体"/>
          <w:color w:val="auto"/>
          <w:sz w:val="22"/>
          <w:szCs w:val="22"/>
          <w:highlight w:val="none"/>
          <w:lang w:bidi="ar"/>
        </w:rPr>
        <w:t>低压开关柜、PLC控制柜，材质：不锈钢304</w:t>
      </w:r>
    </w:p>
    <w:p w14:paraId="16363F27">
      <w:pPr>
        <w:keepNext w:val="0"/>
        <w:keepLines w:val="0"/>
        <w:pageBreakBefore w:val="0"/>
        <w:widowControl w:val="0"/>
        <w:kinsoku/>
        <w:wordWrap/>
        <w:overflowPunct/>
        <w:topLinePunct w:val="0"/>
        <w:autoSpaceDE/>
        <w:autoSpaceDN/>
        <w:bidi w:val="0"/>
        <w:adjustRightInd/>
        <w:spacing w:line="312" w:lineRule="auto"/>
        <w:textAlignment w:val="auto"/>
        <w:outlineLvl w:val="3"/>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lang w:val="en-US" w:eastAsia="zh-CN"/>
        </w:rPr>
        <w:t>2.2</w:t>
      </w:r>
      <w:r>
        <w:rPr>
          <w:rFonts w:hint="eastAsia" w:ascii="宋体" w:hAnsi="宋体" w:eastAsia="宋体" w:cs="宋体"/>
          <w:b/>
          <w:bCs/>
          <w:color w:val="auto"/>
          <w:spacing w:val="8"/>
          <w:sz w:val="22"/>
          <w:szCs w:val="22"/>
          <w:highlight w:val="none"/>
        </w:rPr>
        <w:t>工作原理</w:t>
      </w:r>
    </w:p>
    <w:p w14:paraId="3A216727">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体化AAO生化池由厌氧池、缺氧池、好氧池、二沉池组成。厌氧池、缺氧池设置搅拌机，低速搅拌防止沉积。之后污水再进入好氧池，好氧池设微孔曝气装置，由鼓风机房内的风机供气，保证好氧池的处理效果。对原水中可生物降解的污染物进行处理，去除污水中的BOD</w:t>
      </w:r>
      <w:r>
        <w:rPr>
          <w:rFonts w:hint="eastAsia" w:ascii="宋体" w:hAnsi="宋体" w:eastAsia="宋体" w:cs="宋体"/>
          <w:color w:val="auto"/>
          <w:sz w:val="22"/>
          <w:szCs w:val="22"/>
          <w:highlight w:val="none"/>
          <w:vertAlign w:val="subscript"/>
        </w:rPr>
        <w:t>5</w:t>
      </w:r>
      <w:r>
        <w:rPr>
          <w:rFonts w:hint="eastAsia" w:ascii="宋体" w:hAnsi="宋体" w:eastAsia="宋体" w:cs="宋体"/>
          <w:color w:val="auto"/>
          <w:sz w:val="22"/>
          <w:szCs w:val="22"/>
          <w:highlight w:val="none"/>
        </w:rPr>
        <w:t>、NH</w:t>
      </w:r>
      <w:r>
        <w:rPr>
          <w:rFonts w:hint="eastAsia" w:ascii="宋体" w:hAnsi="宋体" w:eastAsia="宋体" w:cs="宋体"/>
          <w:color w:val="auto"/>
          <w:sz w:val="22"/>
          <w:szCs w:val="22"/>
          <w:highlight w:val="none"/>
          <w:vertAlign w:val="subscript"/>
        </w:rPr>
        <w:t>3</w:t>
      </w:r>
      <w:r>
        <w:rPr>
          <w:rFonts w:hint="eastAsia" w:ascii="宋体" w:hAnsi="宋体" w:eastAsia="宋体" w:cs="宋体"/>
          <w:color w:val="auto"/>
          <w:sz w:val="22"/>
          <w:szCs w:val="22"/>
          <w:highlight w:val="none"/>
        </w:rPr>
        <w:t xml:space="preserve">-N、TP、SS等污染物，系统剩余污泥抽至污泥池中。 </w:t>
      </w:r>
    </w:p>
    <w:p w14:paraId="2E7F0E8C">
      <w:pPr>
        <w:keepNext w:val="0"/>
        <w:keepLines w:val="0"/>
        <w:pageBreakBefore w:val="0"/>
        <w:widowControl w:val="0"/>
        <w:kinsoku/>
        <w:wordWrap/>
        <w:overflowPunct/>
        <w:topLinePunct w:val="0"/>
        <w:autoSpaceDE/>
        <w:autoSpaceDN/>
        <w:bidi w:val="0"/>
        <w:adjustRightInd/>
        <w:spacing w:line="312" w:lineRule="auto"/>
        <w:textAlignment w:val="auto"/>
        <w:outlineLvl w:val="3"/>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lang w:val="en-US" w:eastAsia="zh-CN"/>
        </w:rPr>
        <w:t>2.3</w:t>
      </w:r>
      <w:r>
        <w:rPr>
          <w:rFonts w:hint="eastAsia" w:ascii="宋体" w:hAnsi="宋体" w:eastAsia="宋体" w:cs="宋体"/>
          <w:b/>
          <w:bCs/>
          <w:color w:val="auto"/>
          <w:spacing w:val="8"/>
          <w:sz w:val="22"/>
          <w:szCs w:val="22"/>
          <w:highlight w:val="none"/>
        </w:rPr>
        <w:t xml:space="preserve"> 制造、检验、试验和验收</w:t>
      </w:r>
    </w:p>
    <w:p w14:paraId="5B5DE05B">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制造厂应建立一套完整的质量检查制度，以保证所有影响产品的安全性、可靠性、操作性能以及长期运转性能的各种因素都已经过考虑，并对加工、检验及测试设备进行必要的试验、检验和标定。</w:t>
      </w:r>
    </w:p>
    <w:p w14:paraId="3B74F88C">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一体化AAO生化池制造、安装、检验、试验和验收时，应按相关的标准、规范、规定进行。</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应将所要求的检验、试验结果和记录提交买方认可。</w:t>
      </w:r>
    </w:p>
    <w:p w14:paraId="116FE582">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应对一体化AAO生化池所使用的材料进行检验，并出具材料出厂合格证、材料检验和试验记录。</w:t>
      </w:r>
    </w:p>
    <w:p w14:paraId="0CC46D1E">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按相关标准、规范、规定中的要求，对一体化AAO生化池的池体进行满水试验，对管道进行压力测试，对机电设备进行单机测试和联机调试，对整个生化系统进行工艺调试使其最终完成相关环保验收，并委托第三方检测单位按要求出具相关检验报告。</w:t>
      </w:r>
    </w:p>
    <w:p w14:paraId="669AD6E9">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试验应按相关标准中的规定进行，各项指标的允差应符合相关标准中的规定。</w:t>
      </w:r>
    </w:p>
    <w:p w14:paraId="5D339FA1">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对买方规定需到场目睹或观察的检查或试验项目，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确定试验日期后应至少提前二十天通知买方，以便买方能及时参加。非目睹、观察试验的结果应记录并送交买方认可。</w:t>
      </w:r>
    </w:p>
    <w:p w14:paraId="207FCE6A">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除了买方规定要进行的见证试验项目外，在整个制造、安装过程中的任何时候，买方（包括用户或其指定的代表）可以到制造厂对所订购的设备材料、制造和包装进行检查。</w:t>
      </w:r>
    </w:p>
    <w:p w14:paraId="621E73B3">
      <w:pPr>
        <w:pStyle w:val="170"/>
        <w:keepNext w:val="0"/>
        <w:keepLines w:val="0"/>
        <w:pageBreakBefore w:val="0"/>
        <w:widowControl w:val="0"/>
        <w:kinsoku/>
        <w:wordWrap/>
        <w:overflowPunct/>
        <w:topLinePunct w:val="0"/>
        <w:autoSpaceDE/>
        <w:autoSpaceDN/>
        <w:bidi w:val="0"/>
        <w:adjustRightInd/>
        <w:spacing w:line="312" w:lineRule="auto"/>
        <w:ind w:firstLine="0"/>
        <w:textAlignment w:val="auto"/>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lang w:val="en-US" w:eastAsia="zh-CN"/>
        </w:rPr>
        <w:t>2.4</w:t>
      </w:r>
      <w:r>
        <w:rPr>
          <w:rFonts w:hint="eastAsia" w:ascii="宋体" w:hAnsi="宋体" w:eastAsia="宋体" w:cs="宋体"/>
          <w:b/>
          <w:bCs/>
          <w:color w:val="auto"/>
          <w:spacing w:val="8"/>
          <w:sz w:val="22"/>
          <w:szCs w:val="22"/>
          <w:highlight w:val="none"/>
        </w:rPr>
        <w:t xml:space="preserve">  </w:t>
      </w:r>
      <w:r>
        <w:rPr>
          <w:rFonts w:hint="eastAsia" w:ascii="宋体" w:hAnsi="宋体" w:eastAsia="宋体" w:cs="宋体"/>
          <w:b/>
          <w:bCs/>
          <w:color w:val="auto"/>
          <w:sz w:val="22"/>
          <w:szCs w:val="22"/>
          <w:highlight w:val="none"/>
        </w:rPr>
        <w:t>设备各部件简介：</w:t>
      </w:r>
    </w:p>
    <w:p w14:paraId="454986E6">
      <w:pPr>
        <w:keepNext w:val="0"/>
        <w:keepLines w:val="0"/>
        <w:pageBreakBefore w:val="0"/>
        <w:widowControl w:val="0"/>
        <w:numPr>
          <w:ilvl w:val="0"/>
          <w:numId w:val="32"/>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装配式集成式池体：</w:t>
      </w:r>
    </w:p>
    <w:p w14:paraId="30C8FC79">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装配式池体包含厌氧池、缺氧池、好氧池、二沉池等部分，是AAO污水处理工艺实现的物理载体，其池壁、顶部桁架及附属构建为工厂预制，在现场浇筑好的混凝土底板上进行安装。池壁与底板通过二次浇筑形成整体结构。附属配件包括走道板、钢格栅、护栏等。</w:t>
      </w:r>
    </w:p>
    <w:p w14:paraId="298A7C69">
      <w:pPr>
        <w:keepNext w:val="0"/>
        <w:keepLines w:val="0"/>
        <w:pageBreakBefore w:val="0"/>
        <w:widowControl w:val="0"/>
        <w:numPr>
          <w:ilvl w:val="0"/>
          <w:numId w:val="32"/>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潜水搅拌机：</w:t>
      </w:r>
    </w:p>
    <w:p w14:paraId="40D38270">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机械搅动，便于微生物与污水中的污染物重发接触，使生化反应充分完成，减少池内死角。</w:t>
      </w:r>
    </w:p>
    <w:p w14:paraId="0D3FE8AB">
      <w:pPr>
        <w:keepNext w:val="0"/>
        <w:keepLines w:val="0"/>
        <w:pageBreakBefore w:val="0"/>
        <w:widowControl w:val="0"/>
        <w:numPr>
          <w:ilvl w:val="0"/>
          <w:numId w:val="32"/>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硝化液回流泵：</w:t>
      </w:r>
    </w:p>
    <w:p w14:paraId="67CDA3C3">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将含有硝态氮的生化污泥回流至缺氧区，微生物在缺氧区发生反硝化反应，将硝态氮反应为氮气，实现生物脱氮的目的</w:t>
      </w:r>
    </w:p>
    <w:p w14:paraId="57106028">
      <w:pPr>
        <w:keepNext w:val="0"/>
        <w:keepLines w:val="0"/>
        <w:pageBreakBefore w:val="0"/>
        <w:widowControl w:val="0"/>
        <w:numPr>
          <w:ilvl w:val="0"/>
          <w:numId w:val="32"/>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曝气器：</w:t>
      </w:r>
    </w:p>
    <w:p w14:paraId="2A45C316">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将空气中氧最大效率转移至污水中，使的好氧区的好氧菌与污染物发生反应，去除污水中的BOD和氨氮。</w:t>
      </w:r>
    </w:p>
    <w:p w14:paraId="5159F3B0">
      <w:pPr>
        <w:keepNext w:val="0"/>
        <w:keepLines w:val="0"/>
        <w:pageBreakBefore w:val="0"/>
        <w:widowControl w:val="0"/>
        <w:numPr>
          <w:ilvl w:val="0"/>
          <w:numId w:val="32"/>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空气管路：</w:t>
      </w:r>
    </w:p>
    <w:p w14:paraId="02E698D5">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连接风机与曝气器，将空气输送至曝气器</w:t>
      </w:r>
    </w:p>
    <w:p w14:paraId="6381DA73">
      <w:pPr>
        <w:keepNext w:val="0"/>
        <w:keepLines w:val="0"/>
        <w:pageBreakBefore w:val="0"/>
        <w:widowControl w:val="0"/>
        <w:numPr>
          <w:ilvl w:val="0"/>
          <w:numId w:val="32"/>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污水管路：</w:t>
      </w:r>
    </w:p>
    <w:p w14:paraId="07A65B07">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连接预处理单元与厌氧区、缺氧区、好氧区、二沉池处理单元，使污水流畅，实现污水净化的目的</w:t>
      </w:r>
    </w:p>
    <w:p w14:paraId="13FEDF95">
      <w:pPr>
        <w:keepNext w:val="0"/>
        <w:keepLines w:val="0"/>
        <w:pageBreakBefore w:val="0"/>
        <w:widowControl w:val="0"/>
        <w:numPr>
          <w:ilvl w:val="0"/>
          <w:numId w:val="32"/>
        </w:numPr>
        <w:kinsoku/>
        <w:wordWrap/>
        <w:overflowPunct/>
        <w:topLinePunct w:val="0"/>
        <w:autoSpaceDE/>
        <w:autoSpaceDN/>
        <w:bidi w:val="0"/>
        <w:adjustRightInd/>
        <w:snapToGri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二沉池系统：</w:t>
      </w:r>
    </w:p>
    <w:p w14:paraId="33D407E9">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二沉池采用一体化模块，置于缺氧池上方，便于污泥污泥回流，污泥斗下面三角区域得到充分利用，减小生化池占地。</w:t>
      </w:r>
    </w:p>
    <w:p w14:paraId="684032A2">
      <w:pPr>
        <w:pStyle w:val="170"/>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设备的设计、制造、安装和材料符合下列标准、规范，但不限于此：</w:t>
      </w:r>
    </w:p>
    <w:tbl>
      <w:tblPr>
        <w:tblStyle w:val="43"/>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5"/>
        <w:gridCol w:w="3425"/>
      </w:tblGrid>
      <w:tr w14:paraId="7AF7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1E36B83">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水处理设备制造技术条件</w:t>
            </w:r>
          </w:p>
        </w:tc>
        <w:tc>
          <w:tcPr>
            <w:tcW w:w="3425" w:type="dxa"/>
          </w:tcPr>
          <w:p w14:paraId="0CA04155">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GB/T 30063-2013</w:t>
            </w:r>
          </w:p>
        </w:tc>
      </w:tr>
      <w:tr w14:paraId="4C90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26C48DC">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工程机械焊接件通用技术条件</w:t>
            </w:r>
          </w:p>
        </w:tc>
        <w:tc>
          <w:tcPr>
            <w:tcW w:w="3425" w:type="dxa"/>
          </w:tcPr>
          <w:p w14:paraId="3F34182F">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JB/T 5943-1991</w:t>
            </w:r>
          </w:p>
        </w:tc>
      </w:tr>
      <w:tr w14:paraId="0B82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0346D75">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bookmarkStart w:id="722" w:name="_Hlk186717128"/>
            <w:r>
              <w:rPr>
                <w:rFonts w:hint="eastAsia" w:ascii="宋体" w:hAnsi="宋体" w:eastAsia="宋体" w:cs="宋体"/>
                <w:color w:val="auto"/>
                <w:sz w:val="22"/>
                <w:szCs w:val="22"/>
                <w:highlight w:val="none"/>
              </w:rPr>
              <w:t>不锈钢热轧钢板</w:t>
            </w:r>
          </w:p>
        </w:tc>
        <w:tc>
          <w:tcPr>
            <w:tcW w:w="3425" w:type="dxa"/>
          </w:tcPr>
          <w:p w14:paraId="5658109F">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GB/T4237-2015</w:t>
            </w:r>
          </w:p>
        </w:tc>
      </w:tr>
      <w:bookmarkEnd w:id="722"/>
      <w:tr w14:paraId="35B7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A3E55EB">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bookmarkStart w:id="723" w:name="OLE_LINK7"/>
            <w:r>
              <w:rPr>
                <w:rFonts w:hint="eastAsia" w:ascii="宋体" w:hAnsi="宋体" w:eastAsia="宋体" w:cs="宋体"/>
                <w:color w:val="auto"/>
                <w:sz w:val="22"/>
                <w:szCs w:val="22"/>
                <w:highlight w:val="none"/>
              </w:rPr>
              <w:t>不锈钢焊条</w:t>
            </w:r>
            <w:bookmarkEnd w:id="723"/>
          </w:p>
        </w:tc>
        <w:tc>
          <w:tcPr>
            <w:tcW w:w="3425" w:type="dxa"/>
          </w:tcPr>
          <w:p w14:paraId="3472DDE8">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GB/T983-2012</w:t>
            </w:r>
          </w:p>
        </w:tc>
      </w:tr>
      <w:tr w14:paraId="1F1B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8A67EE7">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不锈钢结构技术规范</w:t>
            </w:r>
          </w:p>
        </w:tc>
        <w:tc>
          <w:tcPr>
            <w:tcW w:w="3425" w:type="dxa"/>
          </w:tcPr>
          <w:p w14:paraId="565F3FB4">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CECS 410</w:t>
            </w:r>
          </w:p>
        </w:tc>
      </w:tr>
      <w:tr w14:paraId="6B84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819055B">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焊接件通用技术要求</w:t>
            </w:r>
          </w:p>
        </w:tc>
        <w:tc>
          <w:tcPr>
            <w:tcW w:w="3425" w:type="dxa"/>
          </w:tcPr>
          <w:p w14:paraId="42EF25A9">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bookmarkStart w:id="724" w:name="OLE_LINK8"/>
            <w:r>
              <w:rPr>
                <w:rFonts w:hint="eastAsia" w:ascii="宋体" w:hAnsi="宋体" w:eastAsia="宋体" w:cs="宋体"/>
                <w:color w:val="auto"/>
                <w:sz w:val="22"/>
                <w:szCs w:val="22"/>
                <w:highlight w:val="none"/>
              </w:rPr>
              <w:t>JB/ZQ4000·3-86</w:t>
            </w:r>
            <w:bookmarkEnd w:id="724"/>
          </w:p>
        </w:tc>
      </w:tr>
      <w:tr w14:paraId="6666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5B21652C">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bookmarkStart w:id="725" w:name="OLE_LINK10"/>
            <w:r>
              <w:rPr>
                <w:rFonts w:hint="eastAsia" w:ascii="宋体" w:hAnsi="宋体" w:eastAsia="宋体" w:cs="宋体"/>
                <w:color w:val="auto"/>
                <w:sz w:val="22"/>
                <w:szCs w:val="22"/>
                <w:highlight w:val="none"/>
              </w:rPr>
              <w:t>低压电器电控箱</w:t>
            </w:r>
            <w:bookmarkEnd w:id="725"/>
          </w:p>
        </w:tc>
        <w:tc>
          <w:tcPr>
            <w:tcW w:w="3425" w:type="dxa"/>
          </w:tcPr>
          <w:p w14:paraId="2B333435">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GB/T14048.1-2023</w:t>
            </w:r>
          </w:p>
        </w:tc>
      </w:tr>
      <w:tr w14:paraId="05B9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BEDA22E">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铝合金结构设计规范</w:t>
            </w:r>
          </w:p>
        </w:tc>
        <w:tc>
          <w:tcPr>
            <w:tcW w:w="3425" w:type="dxa"/>
          </w:tcPr>
          <w:p w14:paraId="367370C4">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 50429-2007</w:t>
            </w:r>
          </w:p>
        </w:tc>
      </w:tr>
      <w:tr w14:paraId="6795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45CC8A4">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钢结构设计标准</w:t>
            </w:r>
          </w:p>
        </w:tc>
        <w:tc>
          <w:tcPr>
            <w:tcW w:w="3425" w:type="dxa"/>
          </w:tcPr>
          <w:p w14:paraId="368A02B0">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 50017-2017</w:t>
            </w:r>
          </w:p>
        </w:tc>
      </w:tr>
      <w:tr w14:paraId="277B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7B20F437">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给水排水工程构筑物结构设计规范</w:t>
            </w:r>
          </w:p>
        </w:tc>
        <w:tc>
          <w:tcPr>
            <w:tcW w:w="3425" w:type="dxa"/>
          </w:tcPr>
          <w:p w14:paraId="3A45EC00">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 50069-2002</w:t>
            </w:r>
          </w:p>
        </w:tc>
      </w:tr>
      <w:tr w14:paraId="01A9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8CEC632">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工程结构可靠性设计统一标准</w:t>
            </w:r>
          </w:p>
        </w:tc>
        <w:tc>
          <w:tcPr>
            <w:tcW w:w="3425" w:type="dxa"/>
          </w:tcPr>
          <w:p w14:paraId="3F963CDD">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 50153</w:t>
            </w:r>
          </w:p>
        </w:tc>
      </w:tr>
      <w:tr w14:paraId="3027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6B0C9FF">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建筑与市政工程抗震通用规范</w:t>
            </w:r>
          </w:p>
        </w:tc>
        <w:tc>
          <w:tcPr>
            <w:tcW w:w="3425" w:type="dxa"/>
          </w:tcPr>
          <w:p w14:paraId="274228E3">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 55002、</w:t>
            </w:r>
          </w:p>
        </w:tc>
      </w:tr>
      <w:tr w14:paraId="4D81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6D8D698E">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钢结构高强度螺栓连接技术规程</w:t>
            </w:r>
          </w:p>
        </w:tc>
        <w:tc>
          <w:tcPr>
            <w:tcW w:w="3425" w:type="dxa"/>
          </w:tcPr>
          <w:p w14:paraId="651764C5">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JGJ 82</w:t>
            </w:r>
          </w:p>
        </w:tc>
      </w:tr>
      <w:tr w14:paraId="3E3F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5D1D72E">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钢结构用高强度大六角头螺栓</w:t>
            </w:r>
          </w:p>
        </w:tc>
        <w:tc>
          <w:tcPr>
            <w:tcW w:w="3425" w:type="dxa"/>
          </w:tcPr>
          <w:p w14:paraId="5E38A5D9">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GB/T 1228</w:t>
            </w:r>
          </w:p>
        </w:tc>
      </w:tr>
      <w:tr w14:paraId="3EE1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07E0D07">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钢结构用高强度大六角头螺母</w:t>
            </w:r>
          </w:p>
        </w:tc>
        <w:tc>
          <w:tcPr>
            <w:tcW w:w="3425" w:type="dxa"/>
          </w:tcPr>
          <w:p w14:paraId="1EC67773">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GB/T 1229</w:t>
            </w:r>
          </w:p>
        </w:tc>
      </w:tr>
      <w:tr w14:paraId="2AFC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5EF69318">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钢结构用高强度垫圈</w:t>
            </w:r>
          </w:p>
        </w:tc>
        <w:tc>
          <w:tcPr>
            <w:tcW w:w="3425" w:type="dxa"/>
          </w:tcPr>
          <w:p w14:paraId="3475EC71">
            <w:pPr>
              <w:pStyle w:val="170"/>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GB/T 1230 </w:t>
            </w:r>
          </w:p>
        </w:tc>
      </w:tr>
    </w:tbl>
    <w:p w14:paraId="31FC2D99">
      <w:pPr>
        <w:spacing w:line="360" w:lineRule="auto"/>
        <w:outlineLvl w:val="3"/>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lang w:val="en-US" w:eastAsia="zh-CN"/>
        </w:rPr>
        <w:t>2.5</w:t>
      </w:r>
      <w:r>
        <w:rPr>
          <w:rFonts w:hint="eastAsia" w:ascii="宋体" w:hAnsi="宋体" w:eastAsia="宋体" w:cs="宋体"/>
          <w:b/>
          <w:bCs/>
          <w:color w:val="auto"/>
          <w:spacing w:val="8"/>
          <w:sz w:val="22"/>
          <w:szCs w:val="22"/>
          <w:highlight w:val="none"/>
        </w:rPr>
        <w:t xml:space="preserve">  资料提交</w:t>
      </w:r>
    </w:p>
    <w:p w14:paraId="326E267E">
      <w:pPr>
        <w:pStyle w:val="170"/>
        <w:keepNext w:val="0"/>
        <w:keepLines w:val="0"/>
        <w:pageBreakBefore w:val="0"/>
        <w:widowControl w:val="0"/>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投标阶段需提交的文件（包括但不限于以下文件）：</w:t>
      </w:r>
    </w:p>
    <w:p w14:paraId="46C7766E">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设备产地、国别及厂家名称（品牌）</w:t>
      </w:r>
    </w:p>
    <w:p w14:paraId="6D173ED0">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设备的型号、规格、转速、电机功率等</w:t>
      </w:r>
    </w:p>
    <w:p w14:paraId="2FD19E23">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随机备件清单</w:t>
      </w:r>
    </w:p>
    <w:p w14:paraId="17AC5FD6">
      <w:pPr>
        <w:pStyle w:val="170"/>
        <w:keepNext w:val="0"/>
        <w:keepLines w:val="0"/>
        <w:pageBreakBefore w:val="0"/>
        <w:widowControl w:val="0"/>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中标签订合同后需提交的文件（包括但不限于以下文件）：</w:t>
      </w:r>
    </w:p>
    <w:p w14:paraId="4AE55448">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基础螺栓布置详图和土建荷载</w:t>
      </w:r>
    </w:p>
    <w:p w14:paraId="5ADF2931">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一体化AAO生化池的工艺设计图</w:t>
      </w:r>
    </w:p>
    <w:p w14:paraId="3E3C313D">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一体化AAO生化池的总体布置图</w:t>
      </w:r>
    </w:p>
    <w:p w14:paraId="2639D557">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一体化AAO生化池的工艺计算书</w:t>
      </w:r>
    </w:p>
    <w:p w14:paraId="13BA3ED4">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详细的技术规格</w:t>
      </w:r>
    </w:p>
    <w:p w14:paraId="6B0904C8">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零件材料和防护涂层说明</w:t>
      </w:r>
    </w:p>
    <w:p w14:paraId="54096E95">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设备的外形尺寸和安装、维修运行所需的空间要求；</w:t>
      </w:r>
    </w:p>
    <w:p w14:paraId="08E422C6">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电气原理图及端子接线图</w:t>
      </w:r>
    </w:p>
    <w:p w14:paraId="3316B4D6">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控制原理图</w:t>
      </w:r>
    </w:p>
    <w:p w14:paraId="274FB637">
      <w:pPr>
        <w:pStyle w:val="170"/>
        <w:keepNext w:val="0"/>
        <w:keepLines w:val="0"/>
        <w:pageBreakBefore w:val="0"/>
        <w:widowControl w:val="0"/>
        <w:numPr>
          <w:ilvl w:val="0"/>
          <w:numId w:val="33"/>
        </w:numPr>
        <w:kinsoku/>
        <w:wordWrap/>
        <w:overflowPunct/>
        <w:topLinePunct w:val="0"/>
        <w:autoSpaceDE/>
        <w:autoSpaceDN/>
        <w:bidi w:val="0"/>
        <w:adjustRightInd/>
        <w:snapToGrid w:val="0"/>
        <w:ind w:left="0"/>
        <w:textAlignment w:val="auto"/>
        <w:rPr>
          <w:color w:val="auto"/>
          <w:sz w:val="22"/>
          <w:szCs w:val="22"/>
          <w:highlight w:val="none"/>
        </w:rPr>
      </w:pPr>
      <w:r>
        <w:rPr>
          <w:rFonts w:hint="eastAsia" w:ascii="宋体" w:hAnsi="宋体" w:eastAsia="宋体" w:cs="宋体"/>
          <w:color w:val="auto"/>
          <w:sz w:val="22"/>
          <w:szCs w:val="22"/>
          <w:highlight w:val="none"/>
        </w:rPr>
        <w:t>说明书或设备一览表</w:t>
      </w:r>
    </w:p>
    <w:p w14:paraId="7144DAF1">
      <w:pPr>
        <w:pageBreakBefore w:val="0"/>
        <w:widowControl/>
        <w:kinsoku/>
        <w:wordWrap/>
        <w:overflowPunct/>
        <w:topLinePunct w:val="0"/>
        <w:autoSpaceDE/>
        <w:autoSpaceDN/>
        <w:bidi w:val="0"/>
        <w:adjustRightInd/>
        <w:spacing w:line="312" w:lineRule="auto"/>
        <w:ind w:left="0" w:leftChars="0" w:firstLine="442" w:firstLineChars="20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磁混凝沉淀</w:t>
      </w:r>
    </w:p>
    <w:p w14:paraId="41BCEFC0">
      <w:pPr>
        <w:pStyle w:val="174"/>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磁混凝沉淀池的去除对象是污水中的悬浮物和磷酸盐等，同时对水体中的部分胶体物质以及有机物质进行同步削减，它由混凝反应区，加载反应区，絮凝反应区、和高效沉淀区及污泥回流、磁粉回收、污泥外排等系统组成。整个系统应高度集成化于一个装置（箱体）内，装置应充分考虑其结构强度，保证在满载运行时不得出现变形，所有板材、型材厚度应≥5mm，承水部件应采用满焊连接，焊脚高度应至少大于板材厚度，保证设备运行时不得出现滴漏、渗漏等现象。</w:t>
      </w:r>
    </w:p>
    <w:p w14:paraId="6B91DDFA">
      <w:pPr>
        <w:pStyle w:val="174"/>
        <w:pageBreakBefore w:val="0"/>
        <w:numPr>
          <w:ilvl w:val="3"/>
          <w:numId w:val="34"/>
        </w:numPr>
        <w:tabs>
          <w:tab w:val="clear" w:pos="2100"/>
        </w:tabs>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它的</w:t>
      </w:r>
      <w:r>
        <w:rPr>
          <w:rFonts w:hint="eastAsia" w:ascii="宋体" w:hAnsi="宋体" w:eastAsia="宋体" w:cs="宋体"/>
          <w:b/>
          <w:bCs/>
          <w:color w:val="auto"/>
          <w:sz w:val="22"/>
          <w:szCs w:val="22"/>
          <w:highlight w:val="none"/>
        </w:rPr>
        <w:t>工艺设备主要包括：</w:t>
      </w:r>
    </w:p>
    <w:p w14:paraId="55FDA725">
      <w:pPr>
        <w:pStyle w:val="175"/>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1）混凝池搅拌机、加载池搅拌机、絮凝池搅拌机：应为成套装置；</w:t>
      </w:r>
    </w:p>
    <w:p w14:paraId="7F0222DC">
      <w:pPr>
        <w:pStyle w:val="175"/>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2）链板刮泥机：</w:t>
      </w:r>
      <w:r>
        <w:rPr>
          <w:rFonts w:hint="eastAsia" w:ascii="宋体" w:hAnsi="宋体" w:eastAsia="宋体" w:cs="宋体"/>
          <w:bCs/>
          <w:color w:val="auto"/>
          <w:spacing w:val="-4"/>
          <w:sz w:val="22"/>
          <w:szCs w:val="22"/>
          <w:highlight w:val="none"/>
        </w:rPr>
        <w:t>工艺包厂家</w:t>
      </w:r>
      <w:r>
        <w:rPr>
          <w:rFonts w:hint="eastAsia" w:ascii="宋体" w:hAnsi="宋体" w:eastAsia="宋体" w:cs="宋体"/>
          <w:bCs/>
          <w:color w:val="auto"/>
          <w:sz w:val="22"/>
          <w:szCs w:val="22"/>
          <w:highlight w:val="none"/>
        </w:rPr>
        <w:t>提供的刮泥机及配套设备应为成套装置；</w:t>
      </w:r>
    </w:p>
    <w:p w14:paraId="10004BC2">
      <w:pPr>
        <w:pStyle w:val="175"/>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3）污泥泵；</w:t>
      </w:r>
    </w:p>
    <w:p w14:paraId="76671270">
      <w:pPr>
        <w:pStyle w:val="175"/>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4）剪切比例分配器、磁分离器；</w:t>
      </w:r>
    </w:p>
    <w:p w14:paraId="7CD508ED">
      <w:pPr>
        <w:pStyle w:val="174"/>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磁分离器有效磁场强度≥5000高斯，能够将绝大部分磁粉从污泥中吸出回收，未吸出的磁粉即损耗，为极小的部分，回收率99.5%以上，吨水流失率≤4mg/L。磁分离器的核心部件是永久磁铁，需采用稀土永磁材质。在-10℃～40℃、无外部剧烈撞击和震动破坏条件下，能够保证磁场强度10年衰减＜5%。</w:t>
      </w:r>
    </w:p>
    <w:p w14:paraId="15576D7F">
      <w:pPr>
        <w:pStyle w:val="174"/>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磁分离器能够在连续、间隙运行和长期停止状态后恢复运行，在整个运行过程中须运行平稳、无振动，无故障运行时间至少10000小时。</w:t>
      </w:r>
    </w:p>
    <w:p w14:paraId="56106DDD">
      <w:pPr>
        <w:pStyle w:val="174"/>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应能每日24小时连续运行,使用寿命不小于10年。</w:t>
      </w:r>
    </w:p>
    <w:p w14:paraId="1E3D854C">
      <w:pPr>
        <w:pStyle w:val="175"/>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电机减速机固定在设备上，电机设计应符合IEC标准，F级绝缘，电源380V，3相，50Hz，防护等级IP55，每小时可启动至少12次，</w:t>
      </w:r>
    </w:p>
    <w:p w14:paraId="4E4C719B">
      <w:pPr>
        <w:pStyle w:val="175"/>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5）电气自控系统，详见电气自控要求；</w:t>
      </w:r>
    </w:p>
    <w:p w14:paraId="0E5C0916">
      <w:pPr>
        <w:pageBreakBefore w:val="0"/>
        <w:widowControl/>
        <w:kinsoku/>
        <w:wordWrap/>
        <w:overflowPunct/>
        <w:topLinePunct w:val="0"/>
        <w:autoSpaceDE/>
        <w:autoSpaceDN/>
        <w:bidi w:val="0"/>
        <w:adjustRightInd/>
        <w:spacing w:line="312" w:lineRule="auto"/>
        <w:ind w:left="0" w:leftChars="0" w:firstLine="442" w:firstLineChars="200"/>
        <w:jc w:val="both"/>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紫外线消毒系统</w:t>
      </w:r>
    </w:p>
    <w:p w14:paraId="31971D98">
      <w:pPr>
        <w:pageBreakBefore w:val="0"/>
        <w:numPr>
          <w:ilvl w:val="0"/>
          <w:numId w:val="35"/>
        </w:numPr>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紫外模块采用灯管顺水流方式安装于明渠中，为防止镇流器置于水下容易引起水气侵蚀，造成镇流器漏电等情况，镇流器柜应单独放置于水渠上方的镇流器柜中。</w:t>
      </w:r>
    </w:p>
    <w:p w14:paraId="0D572843">
      <w:pPr>
        <w:pStyle w:val="23"/>
        <w:pageBreakBefore w:val="0"/>
        <w:kinsoku/>
        <w:wordWrap/>
        <w:overflowPunct/>
        <w:topLinePunct w:val="0"/>
        <w:autoSpaceDE/>
        <w:autoSpaceDN/>
        <w:bidi w:val="0"/>
        <w:adjustRightInd/>
        <w:spacing w:line="312" w:lineRule="auto"/>
        <w:ind w:left="0" w:leftChars="0" w:firstLine="442" w:firstLineChars="200"/>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lang w:val="en-US" w:eastAsia="zh-CN"/>
        </w:rPr>
        <w:t>1</w:t>
      </w:r>
      <w:r>
        <w:rPr>
          <w:rFonts w:hint="eastAsia" w:ascii="宋体" w:hAnsi="宋体" w:eastAsia="宋体" w:cs="宋体"/>
          <w:b/>
          <w:bCs/>
          <w:snapToGrid w:val="0"/>
          <w:color w:val="auto"/>
          <w:kern w:val="0"/>
          <w:sz w:val="22"/>
          <w:szCs w:val="22"/>
          <w:highlight w:val="none"/>
          <w:lang w:eastAsia="zh-CN"/>
        </w:rPr>
        <w:t>）</w:t>
      </w:r>
      <w:r>
        <w:rPr>
          <w:rFonts w:hint="eastAsia" w:ascii="宋体" w:hAnsi="宋体" w:eastAsia="宋体" w:cs="宋体"/>
          <w:b/>
          <w:bCs/>
          <w:snapToGrid w:val="0"/>
          <w:color w:val="auto"/>
          <w:kern w:val="0"/>
          <w:sz w:val="22"/>
          <w:szCs w:val="22"/>
          <w:highlight w:val="none"/>
        </w:rPr>
        <w:t>总体技术要求</w:t>
      </w:r>
    </w:p>
    <w:p w14:paraId="7EE8B846">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消毒处理后的污水粪大肠菌群数不得超过</w:t>
      </w:r>
      <w:r>
        <w:rPr>
          <w:rFonts w:hint="eastAsia" w:ascii="宋体" w:hAnsi="宋体" w:eastAsia="宋体" w:cs="宋体"/>
          <w:bCs/>
          <w:snapToGrid w:val="0"/>
          <w:color w:val="auto"/>
          <w:kern w:val="0"/>
          <w:sz w:val="22"/>
          <w:szCs w:val="22"/>
          <w:highlight w:val="none"/>
        </w:rPr>
        <w:t>1 ×10</w:t>
      </w:r>
      <w:r>
        <w:rPr>
          <w:rFonts w:hint="eastAsia" w:ascii="宋体" w:hAnsi="宋体" w:eastAsia="宋体" w:cs="宋体"/>
          <w:bCs/>
          <w:snapToGrid w:val="0"/>
          <w:color w:val="auto"/>
          <w:kern w:val="0"/>
          <w:sz w:val="22"/>
          <w:szCs w:val="22"/>
          <w:highlight w:val="none"/>
          <w:vertAlign w:val="superscript"/>
        </w:rPr>
        <w:t xml:space="preserve">3 </w:t>
      </w:r>
      <w:r>
        <w:rPr>
          <w:rFonts w:hint="eastAsia" w:ascii="宋体" w:hAnsi="宋体" w:eastAsia="宋体" w:cs="宋体"/>
          <w:bCs/>
          <w:snapToGrid w:val="0"/>
          <w:color w:val="auto"/>
          <w:kern w:val="0"/>
          <w:sz w:val="22"/>
          <w:szCs w:val="22"/>
          <w:highlight w:val="none"/>
        </w:rPr>
        <w:t>MPN</w:t>
      </w:r>
      <w:r>
        <w:rPr>
          <w:rFonts w:hint="eastAsia" w:ascii="宋体" w:hAnsi="宋体" w:eastAsia="宋体" w:cs="宋体"/>
          <w:color w:val="auto"/>
          <w:sz w:val="22"/>
          <w:szCs w:val="22"/>
          <w:highlight w:val="none"/>
        </w:rPr>
        <w:t xml:space="preserve"> /L。</w:t>
      </w:r>
    </w:p>
    <w:p w14:paraId="40F24107">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紫外消毒系统包括满足技术规范要求的紫外灯模块组、模块支架、系统控制中心、镇流器柜、机械自动清洗、清洗驱动系统及水位控制系统等全套设备。制造商所报紫外消毒系统必须完整配套，能完成所有正常消毒运行及监测及控制功能。</w:t>
      </w:r>
    </w:p>
    <w:p w14:paraId="0D45EA57">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紫外消毒系统的灯管质保寿命要求连续运行时间不低于12,000小时、灯管额定功率320w。额定总功率不小于20.48Kw。</w:t>
      </w:r>
    </w:p>
    <w:p w14:paraId="6E31BB3D">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在峰值流量和紫外透光率为65%时，系统在灯管寿命终点所能实现的有效紫外剂量，即消毒器生物验定剂量不小于30mJ/ cm²。</w:t>
      </w:r>
    </w:p>
    <w:p w14:paraId="558CA323">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系统电控设备可室外安装设计，柜体材质可采304不锈钢。</w:t>
      </w:r>
    </w:p>
    <w:p w14:paraId="0F5B5002">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镇流器柜采用空调冷却对电气元器件进行冷却，提高电气元器件使用寿命。</w:t>
      </w:r>
    </w:p>
    <w:p w14:paraId="3D190B7B">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镇流器必须有通过CE认证。</w:t>
      </w:r>
    </w:p>
    <w:p w14:paraId="04DA54B7">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所有连接紫外灯与镇流器的线缆不得暴露在污水和紫外光中，。</w:t>
      </w:r>
    </w:p>
    <w:p w14:paraId="46F09A97">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紫外消毒系统具有远程监测及控制功能。</w:t>
      </w:r>
    </w:p>
    <w:p w14:paraId="17676FD8">
      <w:pPr>
        <w:pageBreakBefore w:val="0"/>
        <w:numPr>
          <w:ilvl w:val="0"/>
          <w:numId w:val="36"/>
        </w:numPr>
        <w:kinsoku/>
        <w:wordWrap/>
        <w:overflowPunct/>
        <w:topLinePunct w:val="0"/>
        <w:autoSpaceDE/>
        <w:autoSpaceDN/>
        <w:bidi w:val="0"/>
        <w:adjustRightInd/>
        <w:spacing w:line="312" w:lineRule="auto"/>
        <w:ind w:left="-2" w:leftChars="0" w:firstLine="482"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紫外消毒系统必须具有在线机械自动清洗机构，清洗系统应采用气压驱动，以避免因油压驱动造成漏油，避免引发二次污染。</w:t>
      </w:r>
    </w:p>
    <w:p w14:paraId="212B422C">
      <w:pPr>
        <w:pStyle w:val="20"/>
        <w:pageBreakBefore w:val="0"/>
        <w:widowControl/>
        <w:kinsoku/>
        <w:wordWrap/>
        <w:overflowPunct/>
        <w:topLinePunct w:val="0"/>
        <w:autoSpaceDE/>
        <w:autoSpaceDN/>
        <w:bidi w:val="0"/>
        <w:adjustRightInd/>
        <w:spacing w:line="312" w:lineRule="auto"/>
        <w:ind w:left="0" w:leftChars="0" w:firstLine="442" w:firstLineChars="20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6</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生物除臭系统</w:t>
      </w:r>
    </w:p>
    <w:p w14:paraId="6D507AE8">
      <w:pPr>
        <w:pStyle w:val="23"/>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b/>
          <w:snapToGrid w:val="0"/>
          <w:color w:val="auto"/>
          <w:kern w:val="0"/>
          <w:sz w:val="22"/>
          <w:szCs w:val="22"/>
          <w:highlight w:val="none"/>
        </w:rPr>
      </w:pPr>
      <w:r>
        <w:rPr>
          <w:rFonts w:hint="eastAsia" w:ascii="宋体" w:hAnsi="宋体" w:eastAsia="宋体" w:cs="宋体"/>
          <w:color w:val="auto"/>
          <w:sz w:val="22"/>
          <w:szCs w:val="22"/>
          <w:highlight w:val="none"/>
        </w:rPr>
        <w:t>本工程采用生物滤池法进行除臭，除臭滤池内装有含专性菌种的复合生物填料，底部设有排水系统。除臭收集范围为粗格栅及提升泵房，细格栅渠及曝气沉砂池，污泥浓缩池及储泥池，搅拌池，污泥脱水车间，AAO生化池，污泥回流泵房、初沉池（原水解池），曝气池，曝气池配水井，初沉池配集水井，终沉池集水泥井，惰性污泥井等。</w:t>
      </w:r>
    </w:p>
    <w:p w14:paraId="4F224128">
      <w:pPr>
        <w:pStyle w:val="7"/>
        <w:pageBreakBefore w:val="0"/>
        <w:numPr>
          <w:ilvl w:val="2"/>
          <w:numId w:val="0"/>
        </w:numPr>
        <w:tabs>
          <w:tab w:val="left" w:pos="425"/>
          <w:tab w:val="left" w:pos="5852"/>
          <w:tab w:val="clear" w:pos="2651"/>
        </w:tabs>
        <w:kinsoku/>
        <w:wordWrap/>
        <w:overflowPunct/>
        <w:topLinePunct w:val="0"/>
        <w:autoSpaceDE/>
        <w:autoSpaceDN/>
        <w:bidi w:val="0"/>
        <w:adjustRightInd/>
        <w:spacing w:line="312" w:lineRule="auto"/>
        <w:ind w:leftChars="200"/>
        <w:textAlignment w:val="auto"/>
        <w:rPr>
          <w:rFonts w:hint="eastAsia" w:ascii="宋体" w:hAnsi="宋体" w:eastAsia="宋体" w:cs="宋体"/>
          <w:color w:val="auto"/>
          <w:sz w:val="22"/>
          <w:szCs w:val="22"/>
          <w:highlight w:val="none"/>
        </w:rPr>
      </w:pPr>
      <w:r>
        <w:rPr>
          <w:rFonts w:hint="eastAsia" w:ascii="宋体" w:hAnsi="宋体" w:eastAsia="宋体" w:cs="宋体"/>
          <w:b/>
          <w:bCs/>
          <w:snapToGrid w:val="0"/>
          <w:color w:val="auto"/>
          <w:kern w:val="0"/>
          <w:sz w:val="22"/>
          <w:szCs w:val="22"/>
          <w:highlight w:val="none"/>
          <w:lang w:val="en-US" w:eastAsia="zh-CN"/>
        </w:rPr>
        <w:t>1</w:t>
      </w:r>
      <w:r>
        <w:rPr>
          <w:rFonts w:hint="eastAsia" w:ascii="宋体" w:hAnsi="宋体" w:eastAsia="宋体" w:cs="宋体"/>
          <w:b/>
          <w:bCs/>
          <w:snapToGrid w:val="0"/>
          <w:color w:val="auto"/>
          <w:kern w:val="0"/>
          <w:sz w:val="22"/>
          <w:szCs w:val="22"/>
          <w:highlight w:val="none"/>
          <w:lang w:eastAsia="zh-CN"/>
        </w:rPr>
        <w:t>）</w:t>
      </w:r>
      <w:r>
        <w:rPr>
          <w:rFonts w:hint="eastAsia" w:ascii="宋体" w:hAnsi="宋体" w:eastAsia="宋体" w:cs="宋体"/>
          <w:color w:val="auto"/>
          <w:sz w:val="22"/>
          <w:szCs w:val="22"/>
          <w:highlight w:val="none"/>
        </w:rPr>
        <w:t>工艺描述</w:t>
      </w:r>
    </w:p>
    <w:p w14:paraId="702A7D03">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物除臭工艺是一种安全可靠的臭气处理方法。其原理是污水处理过程中所产生的臭气经收集系统收集后集中送至生物滤池除臭装置处理，臭气通过湿润、多孔和充满活性微生物的滤层，利用微生物细胞对恶臭物质的吸附、吸收和降解功能，微生物的细胞个体小、表面积大、吸附性强、代谢类型多样的特点，将恶臭物质吸附后分解成CO</w:t>
      </w:r>
      <w:r>
        <w:rPr>
          <w:rFonts w:hint="eastAsia" w:ascii="宋体" w:hAnsi="宋体" w:eastAsia="宋体" w:cs="宋体"/>
          <w:color w:val="auto"/>
          <w:sz w:val="22"/>
          <w:szCs w:val="22"/>
          <w:highlight w:val="none"/>
          <w:vertAlign w:val="subscript"/>
        </w:rPr>
        <w:t>2</w:t>
      </w:r>
      <w:r>
        <w:rPr>
          <w:rFonts w:hint="eastAsia" w:ascii="宋体" w:hAnsi="宋体" w:eastAsia="宋体" w:cs="宋体"/>
          <w:color w:val="auto"/>
          <w:sz w:val="22"/>
          <w:szCs w:val="22"/>
          <w:highlight w:val="none"/>
        </w:rPr>
        <w:t>、H</w:t>
      </w:r>
      <w:r>
        <w:rPr>
          <w:rFonts w:hint="eastAsia" w:ascii="宋体" w:hAnsi="宋体" w:eastAsia="宋体" w:cs="宋体"/>
          <w:color w:val="auto"/>
          <w:sz w:val="22"/>
          <w:szCs w:val="22"/>
          <w:highlight w:val="none"/>
          <w:vertAlign w:val="subscript"/>
        </w:rPr>
        <w:t>2</w:t>
      </w:r>
      <w:r>
        <w:rPr>
          <w:rFonts w:hint="eastAsia" w:ascii="宋体" w:hAnsi="宋体" w:eastAsia="宋体" w:cs="宋体"/>
          <w:color w:val="auto"/>
          <w:sz w:val="22"/>
          <w:szCs w:val="22"/>
          <w:highlight w:val="none"/>
        </w:rPr>
        <w:t>O、H</w:t>
      </w:r>
      <w:r>
        <w:rPr>
          <w:rFonts w:hint="eastAsia" w:ascii="宋体" w:hAnsi="宋体" w:eastAsia="宋体" w:cs="宋体"/>
          <w:color w:val="auto"/>
          <w:sz w:val="22"/>
          <w:szCs w:val="22"/>
          <w:highlight w:val="none"/>
          <w:vertAlign w:val="subscript"/>
        </w:rPr>
        <w:t>2</w:t>
      </w:r>
      <w:r>
        <w:rPr>
          <w:rFonts w:hint="eastAsia" w:ascii="宋体" w:hAnsi="宋体" w:eastAsia="宋体" w:cs="宋体"/>
          <w:color w:val="auto"/>
          <w:sz w:val="22"/>
          <w:szCs w:val="22"/>
          <w:highlight w:val="none"/>
        </w:rPr>
        <w:t>SO</w:t>
      </w:r>
      <w:r>
        <w:rPr>
          <w:rFonts w:hint="eastAsia" w:ascii="宋体" w:hAnsi="宋体" w:eastAsia="宋体" w:cs="宋体"/>
          <w:color w:val="auto"/>
          <w:sz w:val="22"/>
          <w:szCs w:val="22"/>
          <w:highlight w:val="none"/>
          <w:vertAlign w:val="subscript"/>
        </w:rPr>
        <w:t>4</w:t>
      </w:r>
      <w:r>
        <w:rPr>
          <w:rFonts w:hint="eastAsia" w:ascii="宋体" w:hAnsi="宋体" w:eastAsia="宋体" w:cs="宋体"/>
          <w:color w:val="auto"/>
          <w:sz w:val="22"/>
          <w:szCs w:val="22"/>
          <w:highlight w:val="none"/>
        </w:rPr>
        <w:t>、HNO</w:t>
      </w:r>
      <w:r>
        <w:rPr>
          <w:rFonts w:hint="eastAsia" w:ascii="宋体" w:hAnsi="宋体" w:eastAsia="宋体" w:cs="宋体"/>
          <w:color w:val="auto"/>
          <w:sz w:val="22"/>
          <w:szCs w:val="22"/>
          <w:highlight w:val="none"/>
          <w:vertAlign w:val="subscript"/>
        </w:rPr>
        <w:t>3</w:t>
      </w:r>
      <w:r>
        <w:rPr>
          <w:rFonts w:hint="eastAsia" w:ascii="宋体" w:hAnsi="宋体" w:eastAsia="宋体" w:cs="宋体"/>
          <w:color w:val="auto"/>
          <w:sz w:val="22"/>
          <w:szCs w:val="22"/>
          <w:highlight w:val="none"/>
        </w:rPr>
        <w:t>等简单无机物。</w:t>
      </w:r>
    </w:p>
    <w:p w14:paraId="4FD14C8C">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微生物除臭是利用微生物细胞对恶臭物质的吸附、吸收和降解功能，对臭气进行处理的一种工艺。主要过程如下：通过收集管道，抽风机将臭气收集到生物滤池除臭装置；经过填料微生物的吸附、吸收和降解，将臭气成分去除。</w:t>
      </w:r>
    </w:p>
    <w:p w14:paraId="2B7284A2">
      <w:pPr>
        <w:pStyle w:val="7"/>
        <w:pageBreakBefore w:val="0"/>
        <w:numPr>
          <w:ilvl w:val="2"/>
          <w:numId w:val="0"/>
        </w:numPr>
        <w:tabs>
          <w:tab w:val="left" w:pos="425"/>
          <w:tab w:val="left" w:pos="5852"/>
          <w:tab w:val="clear" w:pos="2651"/>
        </w:tabs>
        <w:kinsoku/>
        <w:wordWrap/>
        <w:overflowPunct/>
        <w:topLinePunct w:val="0"/>
        <w:autoSpaceDE/>
        <w:autoSpaceDN/>
        <w:bidi w:val="0"/>
        <w:adjustRightInd/>
        <w:spacing w:line="312" w:lineRule="auto"/>
        <w:ind w:leftChars="200"/>
        <w:textAlignment w:val="auto"/>
        <w:rPr>
          <w:rFonts w:hint="eastAsia" w:ascii="宋体" w:hAnsi="宋体" w:eastAsia="宋体" w:cs="宋体"/>
          <w:color w:val="auto"/>
          <w:sz w:val="22"/>
          <w:szCs w:val="22"/>
          <w:highlight w:val="none"/>
        </w:rPr>
      </w:pPr>
      <w:r>
        <w:rPr>
          <w:rFonts w:hint="eastAsia" w:ascii="宋体" w:hAnsi="宋体" w:cs="宋体"/>
          <w:b/>
          <w:bCs/>
          <w:snapToGrid w:val="0"/>
          <w:color w:val="auto"/>
          <w:kern w:val="0"/>
          <w:sz w:val="22"/>
          <w:szCs w:val="22"/>
          <w:highlight w:val="none"/>
          <w:lang w:val="en-US" w:eastAsia="zh-CN"/>
        </w:rPr>
        <w:t>2</w:t>
      </w:r>
      <w:r>
        <w:rPr>
          <w:rFonts w:hint="eastAsia" w:ascii="宋体" w:hAnsi="宋体" w:eastAsia="宋体" w:cs="宋体"/>
          <w:b/>
          <w:bCs/>
          <w:snapToGrid w:val="0"/>
          <w:color w:val="auto"/>
          <w:kern w:val="0"/>
          <w:sz w:val="22"/>
          <w:szCs w:val="22"/>
          <w:highlight w:val="none"/>
          <w:lang w:eastAsia="zh-CN"/>
        </w:rPr>
        <w:t>）</w:t>
      </w:r>
      <w:r>
        <w:rPr>
          <w:rFonts w:hint="eastAsia" w:ascii="宋体" w:hAnsi="宋体" w:eastAsia="宋体" w:cs="宋体"/>
          <w:color w:val="auto"/>
          <w:sz w:val="22"/>
          <w:szCs w:val="22"/>
          <w:highlight w:val="none"/>
        </w:rPr>
        <w:t>主要设备性能和结构要求</w:t>
      </w:r>
    </w:p>
    <w:p w14:paraId="6356F24C">
      <w:pPr>
        <w:pStyle w:val="8"/>
        <w:pageBreakBefore w:val="0"/>
        <w:numPr>
          <w:ilvl w:val="3"/>
          <w:numId w:val="0"/>
        </w:numPr>
        <w:kinsoku/>
        <w:wordWrap/>
        <w:overflowPunct/>
        <w:topLinePunct w:val="0"/>
        <w:autoSpaceDE/>
        <w:autoSpaceDN/>
        <w:bidi w:val="0"/>
        <w:adjustRightInd/>
        <w:spacing w:line="312" w:lineRule="auto"/>
        <w:ind w:leftChars="200"/>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2.1</w:t>
      </w:r>
      <w:r>
        <w:rPr>
          <w:rFonts w:hint="eastAsia" w:ascii="宋体" w:hAnsi="宋体" w:eastAsia="宋体" w:cs="宋体"/>
          <w:bCs w:val="0"/>
          <w:color w:val="auto"/>
          <w:sz w:val="22"/>
          <w:szCs w:val="22"/>
          <w:highlight w:val="none"/>
        </w:rPr>
        <w:t>生物滤池</w:t>
      </w:r>
    </w:p>
    <w:p w14:paraId="199A3756">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生物滤池池体</w:t>
      </w:r>
    </w:p>
    <w:p w14:paraId="4C499D08">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除臭滤池的池体材质应保证塔体足够的强度和刚度；滤池必须配置风管接口、管道接口、填料收纳架、填料、检修门、喷淋加湿装置等完善的附件。滤池应带有顶盖，并设有合理的检修孔。</w:t>
      </w:r>
    </w:p>
    <w:p w14:paraId="3F1A1DFD">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池体内部的填料支撑板应保证足够的刚度、强度及耐腐蚀性。</w:t>
      </w:r>
    </w:p>
    <w:p w14:paraId="67FD43D5">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滤池底部应设排水系统。滤池顶部应设有喷淋系统，根据需要适时对填料进行喷淋，以保证微生物有适宜的工作环境。</w:t>
      </w:r>
    </w:p>
    <w:p w14:paraId="7BDC735E">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生物填料</w:t>
      </w:r>
    </w:p>
    <w:p w14:paraId="5342DA47">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填料比表面积应大于400m</w:t>
      </w:r>
      <w:r>
        <w:rPr>
          <w:rFonts w:hint="eastAsia" w:ascii="宋体" w:hAnsi="宋体" w:eastAsia="宋体" w:cs="宋体"/>
          <w:color w:val="auto"/>
          <w:sz w:val="22"/>
          <w:szCs w:val="22"/>
          <w:highlight w:val="none"/>
          <w:vertAlign w:val="superscript"/>
        </w:rPr>
        <w:t>2</w:t>
      </w:r>
      <w:r>
        <w:rPr>
          <w:rFonts w:hint="eastAsia" w:ascii="宋体" w:hAnsi="宋体" w:eastAsia="宋体" w:cs="宋体"/>
          <w:color w:val="auto"/>
          <w:sz w:val="22"/>
          <w:szCs w:val="22"/>
          <w:highlight w:val="none"/>
        </w:rPr>
        <w:t>/g。且具有调节PH的措施和功能，防止填料酸化，其通透性和结构稳定性良好，具有吸附污染物和利于微生物生长的最佳环境，填料应适宜于处理5℃～40℃的废气。填料应是不易腐烂的，且有良好的吸附功能，确保微生物的生长。</w:t>
      </w:r>
    </w:p>
    <w:p w14:paraId="51A494C3">
      <w:pPr>
        <w:pStyle w:val="8"/>
        <w:pageBreakBefore w:val="0"/>
        <w:numPr>
          <w:ilvl w:val="3"/>
          <w:numId w:val="0"/>
        </w:numPr>
        <w:kinsoku/>
        <w:wordWrap/>
        <w:overflowPunct/>
        <w:topLinePunct w:val="0"/>
        <w:autoSpaceDE/>
        <w:autoSpaceDN/>
        <w:bidi w:val="0"/>
        <w:adjustRightInd/>
        <w:spacing w:line="312" w:lineRule="auto"/>
        <w:ind w:leftChars="200"/>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 xml:space="preserve">2.2 </w:t>
      </w:r>
      <w:r>
        <w:rPr>
          <w:rFonts w:hint="eastAsia" w:ascii="宋体" w:hAnsi="宋体" w:eastAsia="宋体" w:cs="宋体"/>
          <w:bCs w:val="0"/>
          <w:color w:val="auto"/>
          <w:sz w:val="22"/>
          <w:szCs w:val="22"/>
          <w:highlight w:val="none"/>
        </w:rPr>
        <w:t>预洗池</w:t>
      </w:r>
    </w:p>
    <w:p w14:paraId="40105D74">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生物滤池的前端设置预洗池，预洗池应与生物滤池合建，结构与材质与生物滤池一致。</w:t>
      </w:r>
    </w:p>
    <w:p w14:paraId="4EDDF0E6">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预洗池配有循环喷淋系统和循环水泵，循环喷淋系统包括所有循环管道、喷嘴、接头、支撑件等。</w:t>
      </w:r>
    </w:p>
    <w:p w14:paraId="336F8584">
      <w:pPr>
        <w:pStyle w:val="8"/>
        <w:pageBreakBefore w:val="0"/>
        <w:numPr>
          <w:ilvl w:val="3"/>
          <w:numId w:val="0"/>
        </w:numPr>
        <w:kinsoku/>
        <w:wordWrap/>
        <w:overflowPunct/>
        <w:topLinePunct w:val="0"/>
        <w:autoSpaceDE/>
        <w:autoSpaceDN/>
        <w:bidi w:val="0"/>
        <w:adjustRightInd/>
        <w:spacing w:line="312" w:lineRule="auto"/>
        <w:ind w:leftChars="200"/>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 xml:space="preserve">2.3 </w:t>
      </w:r>
      <w:r>
        <w:rPr>
          <w:rFonts w:hint="eastAsia" w:ascii="宋体" w:hAnsi="宋体" w:eastAsia="宋体" w:cs="宋体"/>
          <w:bCs w:val="0"/>
          <w:color w:val="auto"/>
          <w:sz w:val="22"/>
          <w:szCs w:val="22"/>
          <w:highlight w:val="none"/>
        </w:rPr>
        <w:t>离心风机</w:t>
      </w:r>
    </w:p>
    <w:p w14:paraId="5861EA40">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额定风量以20℃、湿度为65%为准，总绝对效率应不低于80%。风机的风量必须满足处理臭气量的要求。</w:t>
      </w:r>
    </w:p>
    <w:p w14:paraId="3F647629">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风机压力应满足以下方面的压力损失:考虑臭气收集风管的管道风压损失，除臭设备的自身风阻，整体除臭设备自身之压损不超过1000Pa，臭气排放管的风压损失。</w:t>
      </w:r>
    </w:p>
    <w:p w14:paraId="4CB74916">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机在最大抽气量的工况下应具有高于系统压力10-15%的安全余量。并提供风量/压力曲线，确定适当的电机功率及压力数值。风机主要材料为玻璃钢制造，配有隔音罩，1米处噪音不得高于75分贝。风机应采用侧吸式离心风机，与电机置于同一机座。与壳体贯通处，不得泄漏气体。风机须有配套的风机隔音箱，叶轮的动平衡精度不低于G2.5级，且应能24小时连续运转。必须设置防振垫，隔振效率应≥80%。防护等级IP55，电流380V、3相、50HZ，F级绝缘，B级温升。</w:t>
      </w:r>
    </w:p>
    <w:p w14:paraId="4DE3BD18">
      <w:pPr>
        <w:pStyle w:val="8"/>
        <w:pageBreakBefore w:val="0"/>
        <w:numPr>
          <w:ilvl w:val="3"/>
          <w:numId w:val="0"/>
        </w:numPr>
        <w:kinsoku/>
        <w:wordWrap/>
        <w:overflowPunct/>
        <w:topLinePunct w:val="0"/>
        <w:autoSpaceDE/>
        <w:autoSpaceDN/>
        <w:bidi w:val="0"/>
        <w:adjustRightInd/>
        <w:spacing w:line="312" w:lineRule="auto"/>
        <w:ind w:leftChars="200"/>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 xml:space="preserve">2.4 </w:t>
      </w:r>
      <w:r>
        <w:rPr>
          <w:rFonts w:hint="eastAsia" w:ascii="宋体" w:hAnsi="宋体" w:eastAsia="宋体" w:cs="宋体"/>
          <w:bCs w:val="0"/>
          <w:color w:val="auto"/>
          <w:sz w:val="22"/>
          <w:szCs w:val="22"/>
          <w:highlight w:val="none"/>
        </w:rPr>
        <w:t>循环水泵</w:t>
      </w:r>
    </w:p>
    <w:p w14:paraId="2E490FA8">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臭装置系统所用水泵过流部件全部采用304不锈钢泵，设足够的流量和扬程，能24小时连续运转。电机防护等级为IP55，绝缘等级为F。水泵的流量、扬程与除臭系统设备相匹配，带液位开关、控制隔离阀、滤网、接头、法兰管、喷嘴组件等。</w:t>
      </w:r>
    </w:p>
    <w:p w14:paraId="43EA7407">
      <w:pPr>
        <w:pStyle w:val="8"/>
        <w:pageBreakBefore w:val="0"/>
        <w:numPr>
          <w:ilvl w:val="3"/>
          <w:numId w:val="0"/>
        </w:numPr>
        <w:kinsoku/>
        <w:wordWrap/>
        <w:overflowPunct/>
        <w:topLinePunct w:val="0"/>
        <w:autoSpaceDE/>
        <w:autoSpaceDN/>
        <w:bidi w:val="0"/>
        <w:adjustRightInd/>
        <w:spacing w:line="312" w:lineRule="auto"/>
        <w:ind w:leftChars="200"/>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lang w:val="en-US" w:eastAsia="zh-CN"/>
        </w:rPr>
        <w:t>（二）</w:t>
      </w:r>
      <w:r>
        <w:rPr>
          <w:rFonts w:hint="eastAsia" w:ascii="宋体" w:hAnsi="宋体" w:eastAsia="宋体" w:cs="宋体"/>
          <w:bCs w:val="0"/>
          <w:color w:val="auto"/>
          <w:sz w:val="22"/>
          <w:szCs w:val="22"/>
          <w:highlight w:val="none"/>
        </w:rPr>
        <w:t>电气及自控系统</w:t>
      </w:r>
    </w:p>
    <w:p w14:paraId="3E846524">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控柜与设备配套提供，具有对整个系统用电设备的供电、电气保护、控制及显示功能，操作面板设有“手动/停止/自动”、“本地自动/远程自动”选择开关，满足手自动控制和上级控制系统的监控。电控柜供电电源：AC380V/50Hz。电控柜采用PLC控制，所有设备的运行状态、系统各检测仪表数据均进入PLC；电控柜配备人机交互界面，操作人员可实时监控系统运行状况、修改控制参数。PLC按全厂自控子站要求配置，配置工业以太网方式接入全厂自控系统传输设备手动自动状态、开停情况以及故障等常规工况状态信号，并且在自动控制方式下可通过该以太网接口或现场总线接口接受厂区自动控制系统信号控制各系统设备的开停。所选用的现场总线通讯协议与厂区系统相一致，保证与厂区自控系统不经任何转换即可正常通讯端口。</w:t>
      </w:r>
    </w:p>
    <w:p w14:paraId="7828E81F">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电控柜置于现场，以方便现场操作。电控柜为防雨室外型，不锈钢304，防护等级IP65。</w:t>
      </w:r>
    </w:p>
    <w:p w14:paraId="585D0FF5">
      <w:pPr>
        <w:pStyle w:val="6"/>
        <w:pageBreakBefore w:val="0"/>
        <w:numPr>
          <w:ilvl w:val="1"/>
          <w:numId w:val="0"/>
        </w:numPr>
        <w:kinsoku/>
        <w:wordWrap/>
        <w:overflowPunct/>
        <w:topLinePunct w:val="0"/>
        <w:autoSpaceDE/>
        <w:autoSpaceDN/>
        <w:bidi w:val="0"/>
        <w:adjustRightInd/>
        <w:spacing w:beforeLines="0" w:afterLines="0" w:line="312" w:lineRule="auto"/>
        <w:ind w:leftChars="200"/>
        <w:jc w:val="both"/>
        <w:textAlignment w:val="auto"/>
        <w:rPr>
          <w:rFonts w:hint="eastAsia" w:ascii="宋体" w:hAnsi="宋体" w:eastAsia="宋体" w:cs="宋体"/>
          <w:b/>
          <w:bCs w:val="0"/>
          <w:color w:val="auto"/>
          <w:kern w:val="2"/>
          <w:sz w:val="22"/>
          <w:szCs w:val="22"/>
          <w:highlight w:val="none"/>
          <w:lang w:val="en-US" w:eastAsia="zh-CN" w:bidi="ar-SA"/>
        </w:rPr>
      </w:pPr>
      <w:r>
        <w:rPr>
          <w:rFonts w:hint="eastAsia" w:ascii="宋体" w:hAnsi="宋体" w:cs="宋体"/>
          <w:b/>
          <w:bCs w:val="0"/>
          <w:color w:val="auto"/>
          <w:kern w:val="2"/>
          <w:sz w:val="22"/>
          <w:szCs w:val="22"/>
          <w:highlight w:val="none"/>
          <w:lang w:val="en-US" w:eastAsia="zh-CN" w:bidi="ar-SA"/>
        </w:rPr>
        <w:t>（三）</w:t>
      </w:r>
      <w:r>
        <w:rPr>
          <w:rFonts w:hint="eastAsia" w:ascii="宋体" w:hAnsi="宋体" w:eastAsia="宋体" w:cs="宋体"/>
          <w:b/>
          <w:bCs w:val="0"/>
          <w:color w:val="auto"/>
          <w:kern w:val="2"/>
          <w:sz w:val="22"/>
          <w:szCs w:val="22"/>
          <w:highlight w:val="none"/>
          <w:lang w:val="en-US" w:eastAsia="zh-CN" w:bidi="ar-SA"/>
        </w:rPr>
        <w:t>收集系统技术要求</w:t>
      </w:r>
    </w:p>
    <w:p w14:paraId="053A17B4">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玻璃钢管道制作及安装要求：</w:t>
      </w:r>
    </w:p>
    <w:p w14:paraId="0243A67F">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集风管采用不锈钢304或玻璃钢，地埋风管采用夹砂玻璃钢材质，满足实际安装强度要求，并符合《通风与空调工程施工质量验收规范》GB50243-2016的要求。所供风管管件应符合国家或行业的相关标准，管道管件符合国家相关标准；适用介质：生活污水、废气；适用温度：常温；适用压力：常压；具备出厂合格证和材质检测报告。</w:t>
      </w:r>
    </w:p>
    <w:p w14:paraId="60DDD6A1">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埋地风管为夹砂玻璃钢风管，采用定长缠绕工艺，管刚度等级为10000N/m2，管道压力等级0.6Mpa，满足《玻璃纤维增强塑料夹砂管》GBT21238相关要求。合成树脂中填充料的含量应符合有关技术文件要求，风管及配件内表面应平整光滑，外表面应整齐美观，厚度均匀，边缘无毛刺，不得有气泡，分层现象。夹砂玻璃钢风管埋深最浅处相对顶标高为0.7m，地面以上通行车辆，</w:t>
      </w:r>
    </w:p>
    <w:p w14:paraId="397FDB52">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风管制作与安装的质量验收符合设计要求，并符合现行国家标准GB50243《通风与空调工程施工质量验收规范》规定。</w:t>
      </w:r>
    </w:p>
    <w:p w14:paraId="790DA3CA">
      <w:pPr>
        <w:pageBreakBefore w:val="0"/>
        <w:kinsoku/>
        <w:wordWrap/>
        <w:overflowPunct/>
        <w:topLinePunct w:val="0"/>
        <w:autoSpaceDE/>
        <w:autoSpaceDN/>
        <w:bidi w:val="0"/>
        <w:adjustRightInd/>
        <w:spacing w:line="312"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臭气收集管道系统数量和管径需经过设计使各收集管路流速合理，吸气均匀，并让各构筑物内形成合理负压。</w:t>
      </w:r>
    </w:p>
    <w:p w14:paraId="6552FB5C">
      <w:pPr>
        <w:pageBreakBefore w:val="0"/>
        <w:numPr>
          <w:ilvl w:val="0"/>
          <w:numId w:val="0"/>
        </w:numPr>
        <w:kinsoku/>
        <w:wordWrap/>
        <w:overflowPunct/>
        <w:topLinePunct w:val="0"/>
        <w:autoSpaceDE/>
        <w:autoSpaceDN/>
        <w:bidi w:val="0"/>
        <w:adjustRightInd/>
        <w:snapToGrid w:val="0"/>
        <w:spacing w:line="312" w:lineRule="auto"/>
        <w:ind w:left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主要设备清单如下（应包含并不限于此）：</w:t>
      </w:r>
    </w:p>
    <w:p w14:paraId="36381FFB">
      <w:pPr>
        <w:keepNext w:val="0"/>
        <w:keepLines w:val="0"/>
        <w:pageBreakBefore w:val="0"/>
        <w:widowControl w:val="0"/>
        <w:numPr>
          <w:ilvl w:val="0"/>
          <w:numId w:val="37"/>
        </w:numPr>
        <w:kinsoku/>
        <w:wordWrap/>
        <w:overflowPunct/>
        <w:topLinePunct w:val="0"/>
        <w:autoSpaceDE/>
        <w:autoSpaceDN/>
        <w:bidi w:val="0"/>
        <w:adjustRightInd/>
        <w:snapToGrid/>
        <w:spacing w:line="312" w:lineRule="auto"/>
        <w:ind w:left="0" w:leftChars="0" w:firstLine="486" w:firstLineChars="200"/>
        <w:textAlignment w:val="auto"/>
        <w:rPr>
          <w:rFonts w:hint="eastAsia" w:ascii="宋体" w:hAnsi="宋体" w:cs="宋体"/>
          <w:b/>
          <w:bCs/>
          <w:color w:val="auto"/>
          <w:spacing w:val="1"/>
          <w:sz w:val="24"/>
          <w:szCs w:val="24"/>
          <w:highlight w:val="none"/>
          <w:u w:val="none"/>
          <w:lang w:val="en-US" w:eastAsia="zh-CN" w:bidi="ar-SA"/>
        </w:rPr>
      </w:pPr>
      <w:r>
        <w:rPr>
          <w:rFonts w:hint="eastAsia" w:ascii="宋体" w:hAnsi="宋体" w:cs="宋体"/>
          <w:b/>
          <w:bCs/>
          <w:color w:val="auto"/>
          <w:spacing w:val="1"/>
          <w:sz w:val="24"/>
          <w:szCs w:val="24"/>
          <w:highlight w:val="none"/>
          <w:u w:val="none"/>
          <w:lang w:val="en-US" w:eastAsia="zh-CN" w:bidi="ar-SA"/>
        </w:rPr>
        <w:t>工艺设备采购清单</w:t>
      </w:r>
    </w:p>
    <w:p w14:paraId="78AB540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textAlignment w:val="auto"/>
        <w:rPr>
          <w:rFonts w:hint="eastAsia"/>
          <w:color w:val="auto"/>
          <w:sz w:val="24"/>
          <w:szCs w:val="24"/>
          <w:highlight w:val="none"/>
        </w:rPr>
      </w:pPr>
      <w:r>
        <w:rPr>
          <w:rFonts w:hint="eastAsia" w:ascii="宋体" w:hAnsi="宋体" w:cs="宋体"/>
          <w:b/>
          <w:bCs/>
          <w:color w:val="auto"/>
          <w:spacing w:val="1"/>
          <w:sz w:val="24"/>
          <w:szCs w:val="24"/>
          <w:highlight w:val="none"/>
          <w:u w:val="none"/>
          <w:lang w:val="en-US" w:eastAsia="zh-CN" w:bidi="ar-SA"/>
        </w:rPr>
        <w:t>1.1</w:t>
      </w:r>
      <w:r>
        <w:rPr>
          <w:rFonts w:hint="eastAsia" w:ascii="宋体" w:hAnsi="宋体" w:eastAsia="宋体" w:cs="宋体"/>
          <w:b/>
          <w:bCs/>
          <w:color w:val="auto"/>
          <w:spacing w:val="1"/>
          <w:sz w:val="24"/>
          <w:szCs w:val="24"/>
          <w:highlight w:val="none"/>
          <w:u w:val="none"/>
          <w:lang w:val="en-US" w:eastAsia="zh-CN" w:bidi="ar-SA"/>
        </w:rPr>
        <w:t>总图</w:t>
      </w:r>
    </w:p>
    <w:tbl>
      <w:tblPr>
        <w:tblStyle w:val="43"/>
        <w:tblW w:w="5000" w:type="pct"/>
        <w:tblInd w:w="0" w:type="dxa"/>
        <w:tblLayout w:type="fixed"/>
        <w:tblCellMar>
          <w:top w:w="0" w:type="dxa"/>
          <w:left w:w="108" w:type="dxa"/>
          <w:bottom w:w="0" w:type="dxa"/>
          <w:right w:w="108" w:type="dxa"/>
        </w:tblCellMar>
      </w:tblPr>
      <w:tblGrid>
        <w:gridCol w:w="749"/>
        <w:gridCol w:w="1406"/>
        <w:gridCol w:w="2768"/>
        <w:gridCol w:w="1659"/>
        <w:gridCol w:w="823"/>
        <w:gridCol w:w="857"/>
        <w:gridCol w:w="1700"/>
      </w:tblGrid>
      <w:tr w14:paraId="3697C090">
        <w:tblPrEx>
          <w:tblCellMar>
            <w:top w:w="0" w:type="dxa"/>
            <w:left w:w="108" w:type="dxa"/>
            <w:bottom w:w="0" w:type="dxa"/>
            <w:right w:w="108" w:type="dxa"/>
          </w:tblCellMar>
        </w:tblPrEx>
        <w:trPr>
          <w:trHeight w:val="45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6A4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编号</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D6B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名 称</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7ED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规格及型号</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6F0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 料</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3D8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单 位</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F6B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数 量</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428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 注</w:t>
            </w:r>
          </w:p>
        </w:tc>
      </w:tr>
      <w:tr w14:paraId="18483897">
        <w:tblPrEx>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313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6DFEF8E8">
        <w:tblPrEx>
          <w:tblCellMar>
            <w:top w:w="0" w:type="dxa"/>
            <w:left w:w="108" w:type="dxa"/>
            <w:bottom w:w="0" w:type="dxa"/>
            <w:right w:w="108" w:type="dxa"/>
          </w:tblCellMar>
        </w:tblPrEx>
        <w:trPr>
          <w:trHeight w:val="45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9C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809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2B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DN400，P=1.0MPa</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03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AAF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A7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92B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工艺管流量计</w:t>
            </w:r>
          </w:p>
        </w:tc>
      </w:tr>
      <w:tr w14:paraId="3888C9D1">
        <w:tblPrEx>
          <w:tblCellMar>
            <w:top w:w="0" w:type="dxa"/>
            <w:left w:w="108" w:type="dxa"/>
            <w:bottom w:w="0" w:type="dxa"/>
            <w:right w:w="108" w:type="dxa"/>
          </w:tblCellMar>
        </w:tblPrEx>
        <w:trPr>
          <w:trHeight w:val="45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B9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65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65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DN400，P=1.0MPa</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AE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2D2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DD3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36F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p>
        </w:tc>
      </w:tr>
      <w:tr w14:paraId="58DA0D0E">
        <w:tblPrEx>
          <w:tblCellMar>
            <w:top w:w="0" w:type="dxa"/>
            <w:left w:w="108" w:type="dxa"/>
            <w:bottom w:w="0" w:type="dxa"/>
            <w:right w:w="108" w:type="dxa"/>
          </w:tblCellMar>
        </w:tblPrEx>
        <w:trPr>
          <w:trHeight w:val="45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50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81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0D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DN250，P=1.0MPa</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8E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83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5F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E4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空气管流量计</w:t>
            </w:r>
          </w:p>
        </w:tc>
      </w:tr>
      <w:tr w14:paraId="602D823C">
        <w:tblPrEx>
          <w:tblCellMar>
            <w:top w:w="0" w:type="dxa"/>
            <w:left w:w="108" w:type="dxa"/>
            <w:bottom w:w="0" w:type="dxa"/>
            <w:right w:w="108" w:type="dxa"/>
          </w:tblCellMar>
        </w:tblPrEx>
        <w:trPr>
          <w:trHeight w:val="45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10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1F1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1D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DN250，P=1.0MPa</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54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EBB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E7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90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p>
        </w:tc>
      </w:tr>
      <w:tr w14:paraId="118A7DCF">
        <w:tblPrEx>
          <w:tblCellMar>
            <w:top w:w="0" w:type="dxa"/>
            <w:left w:w="108" w:type="dxa"/>
            <w:bottom w:w="0" w:type="dxa"/>
            <w:right w:w="108" w:type="dxa"/>
          </w:tblCellMar>
        </w:tblPrEx>
        <w:trPr>
          <w:trHeight w:val="45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1F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93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闸阀</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FF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DN100，P=1.0MPa</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54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299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825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947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中水及给水管</w:t>
            </w:r>
          </w:p>
        </w:tc>
      </w:tr>
      <w:tr w14:paraId="31C7EBD0">
        <w:tblPrEx>
          <w:tblCellMar>
            <w:top w:w="0" w:type="dxa"/>
            <w:left w:w="108" w:type="dxa"/>
            <w:bottom w:w="0" w:type="dxa"/>
            <w:right w:w="108" w:type="dxa"/>
          </w:tblCellMar>
        </w:tblPrEx>
        <w:trPr>
          <w:trHeight w:val="45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4E0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71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B6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DN100，P=1.0MPa</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240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1B6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AC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B6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p>
        </w:tc>
      </w:tr>
      <w:tr w14:paraId="596D6C12">
        <w:tblPrEx>
          <w:tblCellMar>
            <w:top w:w="0" w:type="dxa"/>
            <w:left w:w="108" w:type="dxa"/>
            <w:bottom w:w="0" w:type="dxa"/>
            <w:right w:w="108" w:type="dxa"/>
          </w:tblCellMar>
        </w:tblPrEx>
        <w:trPr>
          <w:trHeight w:val="464" w:hRule="atLeast"/>
        </w:trPr>
        <w:tc>
          <w:tcPr>
            <w:tcW w:w="37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AE60B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70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E30B6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138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DDFCE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DN250，P=1.0MPa</w:t>
            </w:r>
          </w:p>
        </w:tc>
        <w:tc>
          <w:tcPr>
            <w:tcW w:w="83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1AE19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1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3A45C5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3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14616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85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E6AED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p>
        </w:tc>
      </w:tr>
    </w:tbl>
    <w:p w14:paraId="6073D738">
      <w:pPr>
        <w:rPr>
          <w:vanish/>
          <w:color w:val="auto"/>
          <w:sz w:val="22"/>
          <w:szCs w:val="22"/>
          <w:highlight w:val="none"/>
        </w:rPr>
      </w:pPr>
    </w:p>
    <w:p w14:paraId="0139407E">
      <w:pPr>
        <w:rPr>
          <w:vanish/>
          <w:color w:val="auto"/>
          <w:sz w:val="22"/>
          <w:szCs w:val="22"/>
          <w:highlight w:val="none"/>
        </w:rPr>
      </w:pPr>
      <w:r>
        <w:rPr>
          <w:rFonts w:hint="eastAsia"/>
          <w:vanish/>
          <w:color w:val="auto"/>
          <w:sz w:val="22"/>
          <w:szCs w:val="22"/>
          <w:highlight w:val="none"/>
        </w:rPr>
        <w:t>（</w:t>
      </w:r>
      <w:r>
        <w:rPr>
          <w:vanish/>
          <w:color w:val="auto"/>
          <w:sz w:val="22"/>
          <w:szCs w:val="22"/>
          <w:highlight w:val="none"/>
        </w:rPr>
        <w:t>2</w:t>
      </w:r>
      <w:r>
        <w:rPr>
          <w:rFonts w:hint="eastAsia"/>
          <w:vanish/>
          <w:color w:val="auto"/>
          <w:sz w:val="22"/>
          <w:szCs w:val="22"/>
          <w:highlight w:val="none"/>
        </w:rPr>
        <w:t>）粗格栅进水泵房及调节池</w:t>
      </w:r>
    </w:p>
    <w:p w14:paraId="72518C6A">
      <w:pPr>
        <w:rPr>
          <w:vanish/>
          <w:color w:val="auto"/>
          <w:sz w:val="22"/>
          <w:szCs w:val="22"/>
          <w:highlight w:val="none"/>
        </w:rPr>
      </w:pPr>
    </w:p>
    <w:p w14:paraId="53277257">
      <w:pPr>
        <w:widowControl/>
        <w:ind w:left="0" w:leftChars="0" w:firstLine="0" w:firstLineChars="0"/>
        <w:jc w:val="left"/>
        <w:textAlignment w:val="center"/>
        <w:rPr>
          <w:rFonts w:hint="eastAsia" w:ascii="宋体" w:hAnsi="宋体" w:eastAsia="宋体" w:cs="宋体"/>
          <w:b/>
          <w:bCs/>
          <w:color w:val="auto"/>
          <w:spacing w:val="1"/>
          <w:sz w:val="24"/>
          <w:szCs w:val="24"/>
          <w:highlight w:val="none"/>
          <w:u w:val="none"/>
          <w:lang w:val="en-US" w:eastAsia="zh-CN" w:bidi="ar-SA"/>
        </w:rPr>
      </w:pPr>
      <w:r>
        <w:rPr>
          <w:rFonts w:hint="eastAsia" w:ascii="宋体" w:hAnsi="宋体" w:cs="宋体"/>
          <w:b/>
          <w:bCs/>
          <w:color w:val="auto"/>
          <w:spacing w:val="1"/>
          <w:sz w:val="24"/>
          <w:szCs w:val="24"/>
          <w:highlight w:val="none"/>
          <w:u w:val="none"/>
          <w:lang w:val="en-US" w:eastAsia="zh-CN" w:bidi="ar-SA"/>
        </w:rPr>
        <w:t>1.2</w:t>
      </w:r>
      <w:r>
        <w:rPr>
          <w:rFonts w:hint="eastAsia" w:ascii="宋体" w:hAnsi="宋体" w:eastAsia="宋体" w:cs="宋体"/>
          <w:b/>
          <w:bCs/>
          <w:color w:val="auto"/>
          <w:spacing w:val="1"/>
          <w:sz w:val="24"/>
          <w:szCs w:val="24"/>
          <w:highlight w:val="none"/>
          <w:u w:val="none"/>
          <w:lang w:val="en-US" w:eastAsia="zh-CN" w:bidi="ar-SA"/>
        </w:rPr>
        <w:t>粗格栅进水泵房及调节池</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62"/>
        <w:gridCol w:w="3740"/>
        <w:gridCol w:w="871"/>
        <w:gridCol w:w="575"/>
        <w:gridCol w:w="706"/>
        <w:gridCol w:w="2146"/>
      </w:tblGrid>
      <w:tr w14:paraId="4CFD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2" w:type="pct"/>
            <w:shd w:val="clear" w:color="auto" w:fill="auto"/>
            <w:noWrap/>
            <w:vAlign w:val="center"/>
          </w:tcPr>
          <w:p w14:paraId="691D7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583" w:type="pct"/>
            <w:shd w:val="clear" w:color="auto" w:fill="auto"/>
            <w:noWrap/>
            <w:vAlign w:val="center"/>
          </w:tcPr>
          <w:p w14:paraId="7D5B5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1877" w:type="pct"/>
            <w:shd w:val="clear" w:color="auto" w:fill="auto"/>
            <w:noWrap/>
            <w:vAlign w:val="center"/>
          </w:tcPr>
          <w:p w14:paraId="4F35C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  格  及  型  号</w:t>
            </w:r>
          </w:p>
        </w:tc>
        <w:tc>
          <w:tcPr>
            <w:tcW w:w="437" w:type="pct"/>
            <w:shd w:val="clear" w:color="auto" w:fill="auto"/>
            <w:noWrap/>
            <w:vAlign w:val="center"/>
          </w:tcPr>
          <w:p w14:paraId="4289D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质</w:t>
            </w:r>
          </w:p>
        </w:tc>
        <w:tc>
          <w:tcPr>
            <w:tcW w:w="288" w:type="pct"/>
            <w:shd w:val="clear" w:color="auto" w:fill="auto"/>
            <w:noWrap/>
            <w:vAlign w:val="center"/>
          </w:tcPr>
          <w:p w14:paraId="22028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354" w:type="pct"/>
            <w:shd w:val="clear" w:color="auto" w:fill="auto"/>
            <w:noWrap/>
            <w:vAlign w:val="center"/>
          </w:tcPr>
          <w:p w14:paraId="301E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1077" w:type="pct"/>
            <w:shd w:val="clear" w:color="auto" w:fill="auto"/>
            <w:noWrap/>
            <w:vAlign w:val="center"/>
          </w:tcPr>
          <w:p w14:paraId="3F245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211B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6A1AF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4B85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6F40C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83" w:type="pct"/>
            <w:shd w:val="clear" w:color="auto" w:fill="auto"/>
            <w:noWrap/>
            <w:vAlign w:val="center"/>
          </w:tcPr>
          <w:p w14:paraId="49808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1#、2#粗格栅</w:t>
            </w:r>
          </w:p>
        </w:tc>
        <w:tc>
          <w:tcPr>
            <w:tcW w:w="1877" w:type="pct"/>
            <w:shd w:val="clear" w:color="auto" w:fill="auto"/>
            <w:noWrap/>
            <w:vAlign w:val="center"/>
          </w:tcPr>
          <w:p w14:paraId="24EDC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处理量：≥650.0m3/h,栅细10.0mm,N=1.5kW</w:t>
            </w:r>
          </w:p>
        </w:tc>
        <w:tc>
          <w:tcPr>
            <w:tcW w:w="437" w:type="pct"/>
            <w:shd w:val="clear" w:color="auto" w:fill="auto"/>
            <w:noWrap/>
            <w:vAlign w:val="center"/>
          </w:tcPr>
          <w:p w14:paraId="27C20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288" w:type="pct"/>
            <w:shd w:val="clear" w:color="auto" w:fill="auto"/>
            <w:noWrap/>
            <w:vAlign w:val="center"/>
          </w:tcPr>
          <w:p w14:paraId="14187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54" w:type="pct"/>
            <w:shd w:val="clear" w:color="auto" w:fill="auto"/>
            <w:noWrap/>
            <w:vAlign w:val="center"/>
          </w:tcPr>
          <w:p w14:paraId="40DCF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077" w:type="pct"/>
            <w:shd w:val="clear" w:color="auto" w:fill="auto"/>
            <w:noWrap/>
            <w:vAlign w:val="center"/>
          </w:tcPr>
          <w:p w14:paraId="503AC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渠宽1.05m,渠深6.6m,带除臭罩</w:t>
            </w:r>
          </w:p>
        </w:tc>
      </w:tr>
      <w:tr w14:paraId="7FFF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7351B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83" w:type="pct"/>
            <w:shd w:val="clear" w:color="auto" w:fill="auto"/>
            <w:noWrap/>
            <w:vAlign w:val="center"/>
          </w:tcPr>
          <w:p w14:paraId="19864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电动圆闸门</w:t>
            </w:r>
          </w:p>
        </w:tc>
        <w:tc>
          <w:tcPr>
            <w:tcW w:w="1877" w:type="pct"/>
            <w:shd w:val="clear" w:color="auto" w:fill="auto"/>
            <w:noWrap/>
            <w:vAlign w:val="center"/>
          </w:tcPr>
          <w:p w14:paraId="2E558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Φ500,配手电两用启闭机,N=0.37kW</w:t>
            </w:r>
          </w:p>
        </w:tc>
        <w:tc>
          <w:tcPr>
            <w:tcW w:w="437" w:type="pct"/>
            <w:shd w:val="clear" w:color="auto" w:fill="auto"/>
            <w:noWrap/>
            <w:vAlign w:val="center"/>
          </w:tcPr>
          <w:p w14:paraId="3D7B5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铸铁镶铜</w:t>
            </w:r>
          </w:p>
        </w:tc>
        <w:tc>
          <w:tcPr>
            <w:tcW w:w="288" w:type="pct"/>
            <w:shd w:val="clear" w:color="auto" w:fill="auto"/>
            <w:noWrap/>
            <w:vAlign w:val="center"/>
          </w:tcPr>
          <w:p w14:paraId="37D6D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54" w:type="pct"/>
            <w:shd w:val="clear" w:color="auto" w:fill="auto"/>
            <w:noWrap/>
            <w:vAlign w:val="center"/>
          </w:tcPr>
          <w:p w14:paraId="643D0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077" w:type="pct"/>
            <w:shd w:val="clear" w:color="auto" w:fill="auto"/>
            <w:noWrap/>
            <w:vAlign w:val="center"/>
          </w:tcPr>
          <w:p w14:paraId="0DA48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中心到池顶5700mm</w:t>
            </w:r>
          </w:p>
        </w:tc>
      </w:tr>
      <w:tr w14:paraId="2EBE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5CC3D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83" w:type="pct"/>
            <w:shd w:val="clear" w:color="auto" w:fill="auto"/>
            <w:noWrap/>
            <w:vAlign w:val="center"/>
          </w:tcPr>
          <w:p w14:paraId="18B5D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螺旋输送压榨机</w:t>
            </w:r>
          </w:p>
        </w:tc>
        <w:tc>
          <w:tcPr>
            <w:tcW w:w="1877" w:type="pct"/>
            <w:shd w:val="clear" w:color="auto" w:fill="auto"/>
            <w:noWrap/>
            <w:vAlign w:val="center"/>
          </w:tcPr>
          <w:p w14:paraId="015D3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N=3.0kW,直径D350mm,L=4.0m,压榨能力2.5m3/h</w:t>
            </w:r>
          </w:p>
        </w:tc>
        <w:tc>
          <w:tcPr>
            <w:tcW w:w="437" w:type="pct"/>
            <w:shd w:val="clear" w:color="auto" w:fill="auto"/>
            <w:noWrap/>
            <w:vAlign w:val="center"/>
          </w:tcPr>
          <w:p w14:paraId="3D381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288" w:type="pct"/>
            <w:shd w:val="clear" w:color="auto" w:fill="auto"/>
            <w:noWrap/>
            <w:vAlign w:val="center"/>
          </w:tcPr>
          <w:p w14:paraId="25325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54" w:type="pct"/>
            <w:shd w:val="clear" w:color="auto" w:fill="auto"/>
            <w:noWrap/>
            <w:vAlign w:val="center"/>
          </w:tcPr>
          <w:p w14:paraId="7DD79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077" w:type="pct"/>
            <w:shd w:val="clear" w:color="auto" w:fill="auto"/>
            <w:noWrap/>
            <w:vAlign w:val="center"/>
          </w:tcPr>
          <w:p w14:paraId="5E558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与粗格栅联动配套</w:t>
            </w:r>
          </w:p>
        </w:tc>
      </w:tr>
      <w:tr w14:paraId="16ED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4C31F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83" w:type="pct"/>
            <w:shd w:val="clear" w:color="auto" w:fill="auto"/>
            <w:noWrap/>
            <w:vAlign w:val="center"/>
          </w:tcPr>
          <w:p w14:paraId="6779F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1~2#潜水搅拌器</w:t>
            </w:r>
          </w:p>
        </w:tc>
        <w:tc>
          <w:tcPr>
            <w:tcW w:w="1877" w:type="pct"/>
            <w:shd w:val="clear" w:color="auto" w:fill="auto"/>
            <w:noWrap/>
            <w:vAlign w:val="center"/>
          </w:tcPr>
          <w:p w14:paraId="25717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N=3.0kW,叶轮直径D300mm,480rpm,液下L=4.5m，电机能耗等级二级</w:t>
            </w:r>
          </w:p>
        </w:tc>
        <w:tc>
          <w:tcPr>
            <w:tcW w:w="437" w:type="pct"/>
            <w:shd w:val="clear" w:color="auto" w:fill="auto"/>
            <w:noWrap/>
            <w:vAlign w:val="center"/>
          </w:tcPr>
          <w:p w14:paraId="7EB68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288" w:type="pct"/>
            <w:shd w:val="clear" w:color="auto" w:fill="auto"/>
            <w:noWrap/>
            <w:vAlign w:val="center"/>
          </w:tcPr>
          <w:p w14:paraId="30FF8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54" w:type="pct"/>
            <w:shd w:val="clear" w:color="auto" w:fill="auto"/>
            <w:noWrap/>
            <w:vAlign w:val="center"/>
          </w:tcPr>
          <w:p w14:paraId="3126A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077" w:type="pct"/>
            <w:shd w:val="clear" w:color="auto" w:fill="auto"/>
            <w:noWrap/>
            <w:vAlign w:val="center"/>
          </w:tcPr>
          <w:p w14:paraId="0D55D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配手动起吊摇轮和导轨</w:t>
            </w:r>
          </w:p>
        </w:tc>
      </w:tr>
      <w:tr w14:paraId="43F3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350B3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83" w:type="pct"/>
            <w:shd w:val="clear" w:color="auto" w:fill="auto"/>
            <w:noWrap/>
            <w:vAlign w:val="center"/>
          </w:tcPr>
          <w:p w14:paraId="0252F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1#~3#潜水泵</w:t>
            </w:r>
          </w:p>
        </w:tc>
        <w:tc>
          <w:tcPr>
            <w:tcW w:w="1877" w:type="pct"/>
            <w:shd w:val="clear" w:color="auto" w:fill="auto"/>
            <w:noWrap/>
            <w:vAlign w:val="center"/>
          </w:tcPr>
          <w:p w14:paraId="629DD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Q=320.0m3/h,H=20.0m,N=22.0kW，电机能耗等级二级</w:t>
            </w:r>
          </w:p>
        </w:tc>
        <w:tc>
          <w:tcPr>
            <w:tcW w:w="437" w:type="pct"/>
            <w:shd w:val="clear" w:color="auto" w:fill="auto"/>
            <w:noWrap/>
            <w:vAlign w:val="center"/>
          </w:tcPr>
          <w:p w14:paraId="2AD0E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88" w:type="pct"/>
            <w:shd w:val="clear" w:color="auto" w:fill="auto"/>
            <w:noWrap/>
            <w:vAlign w:val="center"/>
          </w:tcPr>
          <w:p w14:paraId="09201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54" w:type="pct"/>
            <w:shd w:val="clear" w:color="auto" w:fill="auto"/>
            <w:noWrap/>
            <w:vAlign w:val="center"/>
          </w:tcPr>
          <w:p w14:paraId="5047B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077" w:type="pct"/>
            <w:shd w:val="clear" w:color="auto" w:fill="auto"/>
            <w:noWrap/>
            <w:vAlign w:val="center"/>
          </w:tcPr>
          <w:p w14:paraId="055CA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2用1备,变频</w:t>
            </w:r>
          </w:p>
        </w:tc>
      </w:tr>
      <w:tr w14:paraId="5F15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4FD4A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83" w:type="pct"/>
            <w:shd w:val="clear" w:color="auto" w:fill="auto"/>
            <w:noWrap/>
            <w:vAlign w:val="center"/>
          </w:tcPr>
          <w:p w14:paraId="23B84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4#~6#潜水泵</w:t>
            </w:r>
          </w:p>
        </w:tc>
        <w:tc>
          <w:tcPr>
            <w:tcW w:w="1877" w:type="pct"/>
            <w:shd w:val="clear" w:color="auto" w:fill="auto"/>
            <w:noWrap/>
            <w:vAlign w:val="center"/>
          </w:tcPr>
          <w:p w14:paraId="52298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Q=320.0m3/h,H=14.0m,N=18.5kW，电机能耗等级二级</w:t>
            </w:r>
          </w:p>
        </w:tc>
        <w:tc>
          <w:tcPr>
            <w:tcW w:w="437" w:type="pct"/>
            <w:shd w:val="clear" w:color="auto" w:fill="auto"/>
            <w:noWrap/>
            <w:vAlign w:val="center"/>
          </w:tcPr>
          <w:p w14:paraId="36B6E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88" w:type="pct"/>
            <w:shd w:val="clear" w:color="auto" w:fill="auto"/>
            <w:noWrap/>
            <w:vAlign w:val="center"/>
          </w:tcPr>
          <w:p w14:paraId="17E48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54" w:type="pct"/>
            <w:shd w:val="clear" w:color="auto" w:fill="auto"/>
            <w:noWrap/>
            <w:vAlign w:val="center"/>
          </w:tcPr>
          <w:p w14:paraId="7A4CE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077" w:type="pct"/>
            <w:shd w:val="clear" w:color="auto" w:fill="auto"/>
            <w:noWrap/>
            <w:vAlign w:val="center"/>
          </w:tcPr>
          <w:p w14:paraId="1DCF0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2用1备,变频</w:t>
            </w:r>
          </w:p>
        </w:tc>
      </w:tr>
      <w:tr w14:paraId="1B2C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5F4CB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83" w:type="pct"/>
            <w:shd w:val="clear" w:color="auto" w:fill="auto"/>
            <w:noWrap/>
            <w:vAlign w:val="center"/>
          </w:tcPr>
          <w:p w14:paraId="7123F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电动葫芦</w:t>
            </w:r>
          </w:p>
        </w:tc>
        <w:tc>
          <w:tcPr>
            <w:tcW w:w="1877" w:type="pct"/>
            <w:shd w:val="clear" w:color="auto" w:fill="auto"/>
            <w:noWrap/>
            <w:vAlign w:val="center"/>
          </w:tcPr>
          <w:p w14:paraId="3EB11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起重量1.0t,长度8.7m,起吊高度4.0m,N=2.2kW</w:t>
            </w:r>
          </w:p>
        </w:tc>
        <w:tc>
          <w:tcPr>
            <w:tcW w:w="437" w:type="pct"/>
            <w:shd w:val="clear" w:color="auto" w:fill="auto"/>
            <w:noWrap/>
            <w:vAlign w:val="center"/>
          </w:tcPr>
          <w:p w14:paraId="73EE9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88" w:type="pct"/>
            <w:shd w:val="clear" w:color="auto" w:fill="auto"/>
            <w:noWrap/>
            <w:vAlign w:val="center"/>
          </w:tcPr>
          <w:p w14:paraId="39148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54" w:type="pct"/>
            <w:shd w:val="clear" w:color="auto" w:fill="auto"/>
            <w:noWrap/>
            <w:vAlign w:val="center"/>
          </w:tcPr>
          <w:p w14:paraId="13638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077" w:type="pct"/>
            <w:shd w:val="clear" w:color="auto" w:fill="auto"/>
            <w:noWrap/>
            <w:vAlign w:val="center"/>
          </w:tcPr>
          <w:p w14:paraId="426EA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F5E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34D95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83" w:type="pct"/>
            <w:shd w:val="clear" w:color="auto" w:fill="auto"/>
            <w:noWrap/>
            <w:vAlign w:val="center"/>
          </w:tcPr>
          <w:p w14:paraId="21572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电动葫芦</w:t>
            </w:r>
          </w:p>
        </w:tc>
        <w:tc>
          <w:tcPr>
            <w:tcW w:w="1877" w:type="pct"/>
            <w:shd w:val="clear" w:color="auto" w:fill="auto"/>
            <w:noWrap/>
            <w:vAlign w:val="center"/>
          </w:tcPr>
          <w:p w14:paraId="50637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起重量1.0t,长度5.8m,起吊高度4.0m,N=2.2kW</w:t>
            </w:r>
          </w:p>
        </w:tc>
        <w:tc>
          <w:tcPr>
            <w:tcW w:w="437" w:type="pct"/>
            <w:shd w:val="clear" w:color="auto" w:fill="auto"/>
            <w:noWrap/>
            <w:vAlign w:val="center"/>
          </w:tcPr>
          <w:p w14:paraId="7DFC6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88" w:type="pct"/>
            <w:shd w:val="clear" w:color="auto" w:fill="auto"/>
            <w:noWrap/>
            <w:vAlign w:val="center"/>
          </w:tcPr>
          <w:p w14:paraId="225FA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54" w:type="pct"/>
            <w:shd w:val="clear" w:color="auto" w:fill="auto"/>
            <w:noWrap/>
            <w:vAlign w:val="center"/>
          </w:tcPr>
          <w:p w14:paraId="0F4E9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077" w:type="pct"/>
            <w:shd w:val="clear" w:color="auto" w:fill="auto"/>
            <w:noWrap/>
            <w:vAlign w:val="center"/>
          </w:tcPr>
          <w:p w14:paraId="664BD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EBB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448B4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83" w:type="pct"/>
            <w:shd w:val="clear" w:color="auto" w:fill="auto"/>
            <w:noWrap/>
            <w:vAlign w:val="center"/>
          </w:tcPr>
          <w:p w14:paraId="40918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手动蝶阀</w:t>
            </w:r>
          </w:p>
        </w:tc>
        <w:tc>
          <w:tcPr>
            <w:tcW w:w="1877" w:type="pct"/>
            <w:shd w:val="clear" w:color="auto" w:fill="auto"/>
            <w:noWrap/>
            <w:vAlign w:val="center"/>
          </w:tcPr>
          <w:p w14:paraId="1C132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437" w:type="pct"/>
            <w:shd w:val="clear" w:color="auto" w:fill="auto"/>
            <w:noWrap/>
            <w:vAlign w:val="center"/>
          </w:tcPr>
          <w:p w14:paraId="21AFA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88" w:type="pct"/>
            <w:shd w:val="clear" w:color="auto" w:fill="auto"/>
            <w:noWrap/>
            <w:vAlign w:val="center"/>
          </w:tcPr>
          <w:p w14:paraId="3216E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3255E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077" w:type="pct"/>
            <w:shd w:val="clear" w:color="auto" w:fill="auto"/>
            <w:noWrap/>
            <w:vAlign w:val="center"/>
          </w:tcPr>
          <w:p w14:paraId="0EF66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阀瓣材质不锈钢</w:t>
            </w:r>
          </w:p>
        </w:tc>
      </w:tr>
      <w:tr w14:paraId="554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5C0E6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83" w:type="pct"/>
            <w:shd w:val="clear" w:color="auto" w:fill="auto"/>
            <w:noWrap/>
            <w:vAlign w:val="center"/>
          </w:tcPr>
          <w:p w14:paraId="61DD6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手动伸缩蝶阀</w:t>
            </w:r>
          </w:p>
        </w:tc>
        <w:tc>
          <w:tcPr>
            <w:tcW w:w="1877" w:type="pct"/>
            <w:shd w:val="clear" w:color="auto" w:fill="auto"/>
            <w:noWrap/>
            <w:vAlign w:val="center"/>
          </w:tcPr>
          <w:p w14:paraId="6E906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437" w:type="pct"/>
            <w:shd w:val="clear" w:color="auto" w:fill="auto"/>
            <w:noWrap/>
            <w:vAlign w:val="center"/>
          </w:tcPr>
          <w:p w14:paraId="1DCA5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88" w:type="pct"/>
            <w:shd w:val="clear" w:color="auto" w:fill="auto"/>
            <w:noWrap/>
            <w:vAlign w:val="center"/>
          </w:tcPr>
          <w:p w14:paraId="0FFAE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55084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077" w:type="pct"/>
            <w:shd w:val="clear" w:color="auto" w:fill="auto"/>
            <w:noWrap/>
            <w:vAlign w:val="center"/>
          </w:tcPr>
          <w:p w14:paraId="5EF25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00B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4FF0A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83" w:type="pct"/>
            <w:shd w:val="clear" w:color="auto" w:fill="auto"/>
            <w:noWrap/>
            <w:vAlign w:val="center"/>
          </w:tcPr>
          <w:p w14:paraId="0BE4D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旋启式止回阀</w:t>
            </w:r>
          </w:p>
        </w:tc>
        <w:tc>
          <w:tcPr>
            <w:tcW w:w="1877" w:type="pct"/>
            <w:shd w:val="clear" w:color="auto" w:fill="auto"/>
            <w:noWrap/>
            <w:vAlign w:val="center"/>
          </w:tcPr>
          <w:p w14:paraId="1C1B4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437" w:type="pct"/>
            <w:shd w:val="clear" w:color="auto" w:fill="auto"/>
            <w:noWrap/>
            <w:vAlign w:val="center"/>
          </w:tcPr>
          <w:p w14:paraId="0C81B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88" w:type="pct"/>
            <w:shd w:val="clear" w:color="auto" w:fill="auto"/>
            <w:noWrap/>
            <w:vAlign w:val="center"/>
          </w:tcPr>
          <w:p w14:paraId="3C525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2F122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077" w:type="pct"/>
            <w:shd w:val="clear" w:color="auto" w:fill="auto"/>
            <w:noWrap/>
            <w:vAlign w:val="center"/>
          </w:tcPr>
          <w:p w14:paraId="65CB3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778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79CA2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主要材料表</w:t>
            </w:r>
          </w:p>
        </w:tc>
      </w:tr>
      <w:tr w14:paraId="5546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6BE2F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583" w:type="pct"/>
            <w:shd w:val="clear" w:color="auto" w:fill="auto"/>
            <w:noWrap/>
            <w:vAlign w:val="center"/>
          </w:tcPr>
          <w:p w14:paraId="4B8B3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w:t>
            </w:r>
          </w:p>
        </w:tc>
        <w:tc>
          <w:tcPr>
            <w:tcW w:w="1877" w:type="pct"/>
            <w:shd w:val="clear" w:color="auto" w:fill="auto"/>
            <w:noWrap/>
            <w:vAlign w:val="center"/>
          </w:tcPr>
          <w:p w14:paraId="45865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D530x10,PN=1.0MPa</w:t>
            </w:r>
          </w:p>
        </w:tc>
        <w:tc>
          <w:tcPr>
            <w:tcW w:w="437" w:type="pct"/>
            <w:shd w:val="clear" w:color="auto" w:fill="auto"/>
            <w:noWrap/>
            <w:vAlign w:val="center"/>
          </w:tcPr>
          <w:p w14:paraId="6EEC4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4BC10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54" w:type="pct"/>
            <w:shd w:val="clear" w:color="auto" w:fill="auto"/>
            <w:noWrap/>
            <w:vAlign w:val="center"/>
          </w:tcPr>
          <w:p w14:paraId="24F10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w:t>
            </w:r>
          </w:p>
        </w:tc>
        <w:tc>
          <w:tcPr>
            <w:tcW w:w="1077" w:type="pct"/>
            <w:shd w:val="clear" w:color="auto" w:fill="auto"/>
            <w:noWrap/>
            <w:vAlign w:val="center"/>
          </w:tcPr>
          <w:p w14:paraId="47E15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33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05D7C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583" w:type="pct"/>
            <w:shd w:val="clear" w:color="auto" w:fill="auto"/>
            <w:noWrap/>
            <w:vAlign w:val="center"/>
          </w:tcPr>
          <w:p w14:paraId="42027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w:t>
            </w:r>
          </w:p>
        </w:tc>
        <w:tc>
          <w:tcPr>
            <w:tcW w:w="1877" w:type="pct"/>
            <w:shd w:val="clear" w:color="auto" w:fill="auto"/>
            <w:noWrap/>
            <w:vAlign w:val="center"/>
          </w:tcPr>
          <w:p w14:paraId="654A4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D377x8,PN=1.0MPa</w:t>
            </w:r>
          </w:p>
        </w:tc>
        <w:tc>
          <w:tcPr>
            <w:tcW w:w="437" w:type="pct"/>
            <w:shd w:val="clear" w:color="auto" w:fill="auto"/>
            <w:noWrap/>
            <w:vAlign w:val="center"/>
          </w:tcPr>
          <w:p w14:paraId="6497A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4A677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54D1A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077" w:type="pct"/>
            <w:shd w:val="clear" w:color="auto" w:fill="auto"/>
            <w:noWrap/>
            <w:vAlign w:val="center"/>
          </w:tcPr>
          <w:p w14:paraId="35CCB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228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5669E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583" w:type="pct"/>
            <w:shd w:val="clear" w:color="auto" w:fill="auto"/>
            <w:noWrap/>
            <w:vAlign w:val="center"/>
          </w:tcPr>
          <w:p w14:paraId="6EC42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1877" w:type="pct"/>
            <w:shd w:val="clear" w:color="auto" w:fill="auto"/>
            <w:noWrap/>
            <w:vAlign w:val="center"/>
          </w:tcPr>
          <w:p w14:paraId="569DD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437" w:type="pct"/>
            <w:shd w:val="clear" w:color="auto" w:fill="auto"/>
            <w:noWrap/>
            <w:vAlign w:val="center"/>
          </w:tcPr>
          <w:p w14:paraId="1CB4B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1E3DC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1D063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077" w:type="pct"/>
            <w:shd w:val="clear" w:color="auto" w:fill="auto"/>
            <w:noWrap/>
            <w:vAlign w:val="center"/>
          </w:tcPr>
          <w:p w14:paraId="3B3B2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DC1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7A742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583" w:type="pct"/>
            <w:shd w:val="clear" w:color="auto" w:fill="auto"/>
            <w:noWrap/>
            <w:vAlign w:val="center"/>
          </w:tcPr>
          <w:p w14:paraId="1DB89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1877" w:type="pct"/>
            <w:shd w:val="clear" w:color="auto" w:fill="auto"/>
            <w:noWrap/>
            <w:vAlign w:val="center"/>
          </w:tcPr>
          <w:p w14:paraId="26337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437" w:type="pct"/>
            <w:shd w:val="clear" w:color="auto" w:fill="auto"/>
            <w:noWrap/>
            <w:vAlign w:val="center"/>
          </w:tcPr>
          <w:p w14:paraId="11F03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3C8D4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7216E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077" w:type="pct"/>
            <w:shd w:val="clear" w:color="auto" w:fill="auto"/>
            <w:noWrap/>
            <w:vAlign w:val="center"/>
          </w:tcPr>
          <w:p w14:paraId="797F9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3A6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4D9EA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583" w:type="pct"/>
            <w:shd w:val="clear" w:color="auto" w:fill="auto"/>
            <w:noWrap/>
            <w:vAlign w:val="center"/>
          </w:tcPr>
          <w:p w14:paraId="207AA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等径三通</w:t>
            </w:r>
          </w:p>
        </w:tc>
        <w:tc>
          <w:tcPr>
            <w:tcW w:w="1877" w:type="pct"/>
            <w:shd w:val="clear" w:color="auto" w:fill="auto"/>
            <w:noWrap/>
            <w:vAlign w:val="center"/>
          </w:tcPr>
          <w:p w14:paraId="21770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DN500x500,PN=1.0MPa</w:t>
            </w:r>
          </w:p>
        </w:tc>
        <w:tc>
          <w:tcPr>
            <w:tcW w:w="437" w:type="pct"/>
            <w:shd w:val="clear" w:color="auto" w:fill="auto"/>
            <w:noWrap/>
            <w:vAlign w:val="center"/>
          </w:tcPr>
          <w:p w14:paraId="05221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3F60E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0715E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077" w:type="pct"/>
            <w:shd w:val="clear" w:color="auto" w:fill="auto"/>
            <w:noWrap/>
            <w:vAlign w:val="center"/>
          </w:tcPr>
          <w:p w14:paraId="52EC7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2A0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30438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583" w:type="pct"/>
            <w:shd w:val="clear" w:color="auto" w:fill="auto"/>
            <w:noWrap/>
            <w:vAlign w:val="center"/>
          </w:tcPr>
          <w:p w14:paraId="3246D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1877" w:type="pct"/>
            <w:shd w:val="clear" w:color="auto" w:fill="auto"/>
            <w:noWrap/>
            <w:vAlign w:val="center"/>
          </w:tcPr>
          <w:p w14:paraId="2F149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DN500x350,PN=1.0MPa</w:t>
            </w:r>
          </w:p>
        </w:tc>
        <w:tc>
          <w:tcPr>
            <w:tcW w:w="437" w:type="pct"/>
            <w:shd w:val="clear" w:color="auto" w:fill="auto"/>
            <w:noWrap/>
            <w:vAlign w:val="center"/>
          </w:tcPr>
          <w:p w14:paraId="72161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51B61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34EEA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077" w:type="pct"/>
            <w:shd w:val="clear" w:color="auto" w:fill="auto"/>
            <w:noWrap/>
            <w:vAlign w:val="center"/>
          </w:tcPr>
          <w:p w14:paraId="7D542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CB9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7E04D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583" w:type="pct"/>
            <w:shd w:val="clear" w:color="auto" w:fill="auto"/>
            <w:noWrap/>
            <w:vAlign w:val="center"/>
          </w:tcPr>
          <w:p w14:paraId="07787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偏心异径大小头</w:t>
            </w:r>
          </w:p>
        </w:tc>
        <w:tc>
          <w:tcPr>
            <w:tcW w:w="1877" w:type="pct"/>
            <w:shd w:val="clear" w:color="auto" w:fill="auto"/>
            <w:noWrap/>
            <w:vAlign w:val="center"/>
          </w:tcPr>
          <w:p w14:paraId="49D40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DN350x200,PN=1.0MPa</w:t>
            </w:r>
          </w:p>
        </w:tc>
        <w:tc>
          <w:tcPr>
            <w:tcW w:w="437" w:type="pct"/>
            <w:shd w:val="clear" w:color="auto" w:fill="auto"/>
            <w:noWrap/>
            <w:vAlign w:val="center"/>
          </w:tcPr>
          <w:p w14:paraId="7ECD4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3A873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30062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077" w:type="pct"/>
            <w:shd w:val="clear" w:color="auto" w:fill="auto"/>
            <w:noWrap/>
            <w:vAlign w:val="center"/>
          </w:tcPr>
          <w:p w14:paraId="3E5A1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999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01410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583" w:type="pct"/>
            <w:shd w:val="clear" w:color="auto" w:fill="auto"/>
            <w:noWrap/>
            <w:vAlign w:val="center"/>
          </w:tcPr>
          <w:p w14:paraId="0E97D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盲板</w:t>
            </w:r>
          </w:p>
        </w:tc>
        <w:tc>
          <w:tcPr>
            <w:tcW w:w="1877" w:type="pct"/>
            <w:shd w:val="clear" w:color="auto" w:fill="auto"/>
            <w:noWrap/>
            <w:vAlign w:val="center"/>
          </w:tcPr>
          <w:p w14:paraId="24683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437" w:type="pct"/>
            <w:shd w:val="clear" w:color="auto" w:fill="auto"/>
            <w:noWrap/>
            <w:vAlign w:val="center"/>
          </w:tcPr>
          <w:p w14:paraId="58678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24F42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0B3A1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077" w:type="pct"/>
            <w:shd w:val="clear" w:color="auto" w:fill="auto"/>
            <w:noWrap/>
            <w:vAlign w:val="center"/>
          </w:tcPr>
          <w:p w14:paraId="67A9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24C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28AC8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583" w:type="pct"/>
            <w:shd w:val="clear" w:color="auto" w:fill="auto"/>
            <w:noWrap/>
            <w:vAlign w:val="center"/>
          </w:tcPr>
          <w:p w14:paraId="212A7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w:t>
            </w:r>
          </w:p>
        </w:tc>
        <w:tc>
          <w:tcPr>
            <w:tcW w:w="1877" w:type="pct"/>
            <w:shd w:val="clear" w:color="auto" w:fill="auto"/>
            <w:noWrap/>
            <w:vAlign w:val="center"/>
          </w:tcPr>
          <w:p w14:paraId="5259C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437" w:type="pct"/>
            <w:shd w:val="clear" w:color="auto" w:fill="auto"/>
            <w:noWrap/>
            <w:vAlign w:val="center"/>
          </w:tcPr>
          <w:p w14:paraId="167A1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2B252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57ABD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077" w:type="pct"/>
            <w:shd w:val="clear" w:color="auto" w:fill="auto"/>
            <w:noWrap/>
            <w:vAlign w:val="center"/>
          </w:tcPr>
          <w:p w14:paraId="7FA06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728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49705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583" w:type="pct"/>
            <w:shd w:val="clear" w:color="auto" w:fill="auto"/>
            <w:noWrap/>
            <w:vAlign w:val="center"/>
          </w:tcPr>
          <w:p w14:paraId="42B7C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w:t>
            </w:r>
          </w:p>
        </w:tc>
        <w:tc>
          <w:tcPr>
            <w:tcW w:w="1877" w:type="pct"/>
            <w:shd w:val="clear" w:color="auto" w:fill="auto"/>
            <w:noWrap/>
            <w:vAlign w:val="center"/>
          </w:tcPr>
          <w:p w14:paraId="08879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437" w:type="pct"/>
            <w:shd w:val="clear" w:color="auto" w:fill="auto"/>
            <w:noWrap/>
            <w:vAlign w:val="center"/>
          </w:tcPr>
          <w:p w14:paraId="4E7AB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47900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6AC18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077" w:type="pct"/>
            <w:shd w:val="clear" w:color="auto" w:fill="auto"/>
            <w:noWrap/>
            <w:vAlign w:val="center"/>
          </w:tcPr>
          <w:p w14:paraId="06333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CAF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67183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583" w:type="pct"/>
            <w:shd w:val="clear" w:color="auto" w:fill="auto"/>
            <w:noWrap/>
            <w:vAlign w:val="center"/>
          </w:tcPr>
          <w:p w14:paraId="1DEC7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玻璃钢密封盖板</w:t>
            </w:r>
          </w:p>
        </w:tc>
        <w:tc>
          <w:tcPr>
            <w:tcW w:w="1877" w:type="pct"/>
            <w:shd w:val="clear" w:color="auto" w:fill="auto"/>
            <w:noWrap/>
            <w:vAlign w:val="center"/>
          </w:tcPr>
          <w:p w14:paraId="348F8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厚度不低于4cm</w:t>
            </w:r>
          </w:p>
        </w:tc>
        <w:tc>
          <w:tcPr>
            <w:tcW w:w="437" w:type="pct"/>
            <w:shd w:val="clear" w:color="auto" w:fill="auto"/>
            <w:noWrap/>
            <w:vAlign w:val="center"/>
          </w:tcPr>
          <w:p w14:paraId="298B2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FRP</w:t>
            </w:r>
          </w:p>
        </w:tc>
        <w:tc>
          <w:tcPr>
            <w:tcW w:w="288" w:type="pct"/>
            <w:shd w:val="clear" w:color="auto" w:fill="auto"/>
            <w:noWrap/>
            <w:vAlign w:val="center"/>
          </w:tcPr>
          <w:p w14:paraId="4CB5A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平方</w:t>
            </w:r>
          </w:p>
        </w:tc>
        <w:tc>
          <w:tcPr>
            <w:tcW w:w="354" w:type="pct"/>
            <w:shd w:val="clear" w:color="auto" w:fill="auto"/>
            <w:noWrap/>
            <w:vAlign w:val="center"/>
          </w:tcPr>
          <w:p w14:paraId="6B23F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w:t>
            </w:r>
          </w:p>
        </w:tc>
        <w:tc>
          <w:tcPr>
            <w:tcW w:w="1077" w:type="pct"/>
            <w:shd w:val="clear" w:color="auto" w:fill="auto"/>
            <w:noWrap/>
            <w:vAlign w:val="center"/>
          </w:tcPr>
          <w:p w14:paraId="22B2D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按照需要规格加工</w:t>
            </w:r>
          </w:p>
        </w:tc>
      </w:tr>
      <w:tr w14:paraId="64BA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36450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583" w:type="pct"/>
            <w:shd w:val="clear" w:color="auto" w:fill="auto"/>
            <w:noWrap/>
            <w:vAlign w:val="center"/>
          </w:tcPr>
          <w:p w14:paraId="56F61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管道支吊架</w:t>
            </w:r>
          </w:p>
        </w:tc>
        <w:tc>
          <w:tcPr>
            <w:tcW w:w="1877" w:type="pct"/>
            <w:shd w:val="clear" w:color="auto" w:fill="auto"/>
            <w:noWrap/>
            <w:vAlign w:val="center"/>
          </w:tcPr>
          <w:p w14:paraId="722FB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碳钢防腐</w:t>
            </w:r>
          </w:p>
        </w:tc>
        <w:tc>
          <w:tcPr>
            <w:tcW w:w="437" w:type="pct"/>
            <w:shd w:val="clear" w:color="auto" w:fill="auto"/>
            <w:noWrap/>
            <w:vAlign w:val="center"/>
          </w:tcPr>
          <w:p w14:paraId="1A813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0DDEA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354" w:type="pct"/>
            <w:shd w:val="clear" w:color="auto" w:fill="auto"/>
            <w:noWrap/>
            <w:vAlign w:val="center"/>
          </w:tcPr>
          <w:p w14:paraId="39042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077" w:type="pct"/>
            <w:shd w:val="clear" w:color="auto" w:fill="auto"/>
            <w:noWrap/>
            <w:vAlign w:val="center"/>
          </w:tcPr>
          <w:p w14:paraId="15CDF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64F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shd w:val="clear" w:color="auto" w:fill="auto"/>
            <w:noWrap/>
            <w:vAlign w:val="center"/>
          </w:tcPr>
          <w:p w14:paraId="6A72C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583" w:type="pct"/>
            <w:shd w:val="clear" w:color="auto" w:fill="auto"/>
            <w:noWrap/>
            <w:vAlign w:val="center"/>
          </w:tcPr>
          <w:p w14:paraId="01BC7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柔性防水套管</w:t>
            </w:r>
          </w:p>
        </w:tc>
        <w:tc>
          <w:tcPr>
            <w:tcW w:w="1877" w:type="pct"/>
            <w:shd w:val="clear" w:color="auto" w:fill="auto"/>
            <w:noWrap/>
            <w:vAlign w:val="center"/>
          </w:tcPr>
          <w:p w14:paraId="178C8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437" w:type="pct"/>
            <w:shd w:val="clear" w:color="auto" w:fill="auto"/>
            <w:noWrap/>
            <w:vAlign w:val="center"/>
          </w:tcPr>
          <w:p w14:paraId="45A41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288" w:type="pct"/>
            <w:shd w:val="clear" w:color="auto" w:fill="auto"/>
            <w:noWrap/>
            <w:vAlign w:val="center"/>
          </w:tcPr>
          <w:p w14:paraId="5B93A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54" w:type="pct"/>
            <w:shd w:val="clear" w:color="auto" w:fill="auto"/>
            <w:noWrap/>
            <w:vAlign w:val="center"/>
          </w:tcPr>
          <w:p w14:paraId="24340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077" w:type="pct"/>
            <w:shd w:val="clear" w:color="auto" w:fill="auto"/>
            <w:noWrap/>
            <w:vAlign w:val="center"/>
          </w:tcPr>
          <w:p w14:paraId="4EF96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608AF5EB">
      <w:pPr>
        <w:widowControl/>
        <w:ind w:left="0" w:leftChars="0" w:firstLine="0" w:firstLineChars="0"/>
        <w:jc w:val="left"/>
        <w:textAlignment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1.3</w:t>
      </w:r>
      <w:r>
        <w:rPr>
          <w:rFonts w:hint="eastAsia" w:ascii="宋体" w:hAnsi="宋体" w:cs="宋体"/>
          <w:b/>
          <w:bCs/>
          <w:color w:val="auto"/>
          <w:kern w:val="0"/>
          <w:sz w:val="24"/>
          <w:szCs w:val="24"/>
          <w:highlight w:val="none"/>
        </w:rPr>
        <w:t>一体化固液分离设备</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78"/>
        <w:gridCol w:w="4384"/>
        <w:gridCol w:w="777"/>
        <w:gridCol w:w="643"/>
        <w:gridCol w:w="683"/>
        <w:gridCol w:w="1405"/>
      </w:tblGrid>
      <w:tr w14:paraId="6D73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29BD0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691" w:type="pct"/>
            <w:shd w:val="clear" w:color="auto" w:fill="auto"/>
            <w:noWrap/>
            <w:vAlign w:val="center"/>
          </w:tcPr>
          <w:p w14:paraId="04CAB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2200" w:type="pct"/>
            <w:shd w:val="clear" w:color="auto" w:fill="auto"/>
            <w:noWrap/>
            <w:vAlign w:val="center"/>
          </w:tcPr>
          <w:p w14:paraId="71058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389" w:type="pct"/>
            <w:shd w:val="clear" w:color="auto" w:fill="auto"/>
            <w:noWrap/>
            <w:vAlign w:val="center"/>
          </w:tcPr>
          <w:p w14:paraId="5C7B7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322" w:type="pct"/>
            <w:shd w:val="clear" w:color="auto" w:fill="auto"/>
            <w:noWrap/>
            <w:vAlign w:val="center"/>
          </w:tcPr>
          <w:p w14:paraId="4D1FC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342" w:type="pct"/>
            <w:shd w:val="clear" w:color="auto" w:fill="auto"/>
            <w:noWrap/>
            <w:vAlign w:val="center"/>
          </w:tcPr>
          <w:p w14:paraId="34495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705" w:type="pct"/>
            <w:shd w:val="clear" w:color="auto" w:fill="auto"/>
            <w:noWrap/>
            <w:vAlign w:val="center"/>
          </w:tcPr>
          <w:p w14:paraId="20289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2AD3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4979F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699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3B69F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91" w:type="pct"/>
            <w:shd w:val="clear" w:color="auto" w:fill="auto"/>
            <w:noWrap/>
            <w:vAlign w:val="center"/>
          </w:tcPr>
          <w:p w14:paraId="207CF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一体化固液分离装置</w:t>
            </w:r>
          </w:p>
        </w:tc>
        <w:tc>
          <w:tcPr>
            <w:tcW w:w="2200" w:type="pct"/>
            <w:shd w:val="clear" w:color="auto" w:fill="auto"/>
            <w:noWrap/>
            <w:vAlign w:val="center"/>
          </w:tcPr>
          <w:p w14:paraId="4C27D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处理规模：1.2万m3/d，N=7.6kW，材质为304不锈钢，含设备内自控柜、设备内部线路</w:t>
            </w:r>
          </w:p>
        </w:tc>
        <w:tc>
          <w:tcPr>
            <w:tcW w:w="389" w:type="pct"/>
            <w:shd w:val="clear" w:color="auto" w:fill="auto"/>
            <w:noWrap/>
            <w:vAlign w:val="center"/>
          </w:tcPr>
          <w:p w14:paraId="09270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22" w:type="pct"/>
            <w:shd w:val="clear" w:color="auto" w:fill="auto"/>
            <w:noWrap/>
            <w:vAlign w:val="center"/>
          </w:tcPr>
          <w:p w14:paraId="2CC70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42" w:type="pct"/>
            <w:shd w:val="clear" w:color="auto" w:fill="auto"/>
            <w:noWrap/>
            <w:vAlign w:val="center"/>
          </w:tcPr>
          <w:p w14:paraId="44445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7CEAA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C1E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71DA6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91" w:type="pct"/>
            <w:shd w:val="clear" w:color="auto" w:fill="auto"/>
            <w:noWrap/>
            <w:vAlign w:val="center"/>
          </w:tcPr>
          <w:p w14:paraId="2BE5E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微孔渣砂一体化压榨机</w:t>
            </w:r>
          </w:p>
        </w:tc>
        <w:tc>
          <w:tcPr>
            <w:tcW w:w="2200" w:type="pct"/>
            <w:shd w:val="clear" w:color="auto" w:fill="auto"/>
            <w:noWrap/>
            <w:vAlign w:val="center"/>
          </w:tcPr>
          <w:p w14:paraId="2E193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Q=3m³/h，N=3kW，主体304不锈钢，配套就地控制柜</w:t>
            </w:r>
          </w:p>
        </w:tc>
        <w:tc>
          <w:tcPr>
            <w:tcW w:w="389" w:type="pct"/>
            <w:shd w:val="clear" w:color="auto" w:fill="auto"/>
            <w:noWrap/>
            <w:vAlign w:val="center"/>
          </w:tcPr>
          <w:p w14:paraId="3FEA3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22" w:type="pct"/>
            <w:shd w:val="clear" w:color="auto" w:fill="auto"/>
            <w:noWrap/>
            <w:vAlign w:val="center"/>
          </w:tcPr>
          <w:p w14:paraId="6E2B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42" w:type="pct"/>
            <w:shd w:val="clear" w:color="auto" w:fill="auto"/>
            <w:noWrap/>
            <w:vAlign w:val="center"/>
          </w:tcPr>
          <w:p w14:paraId="3E778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shd w:val="clear" w:color="auto" w:fill="auto"/>
            <w:noWrap/>
            <w:vAlign w:val="center"/>
          </w:tcPr>
          <w:p w14:paraId="5D8B1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4C2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0320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91" w:type="pct"/>
            <w:shd w:val="clear" w:color="auto" w:fill="auto"/>
            <w:noWrap/>
            <w:vAlign w:val="center"/>
          </w:tcPr>
          <w:p w14:paraId="0B7DE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螺旋输送机</w:t>
            </w:r>
          </w:p>
        </w:tc>
        <w:tc>
          <w:tcPr>
            <w:tcW w:w="2200" w:type="pct"/>
            <w:shd w:val="clear" w:color="auto" w:fill="auto"/>
            <w:noWrap/>
            <w:vAlign w:val="center"/>
          </w:tcPr>
          <w:p w14:paraId="0450C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Q=3m³/h，N=2.2kW，L=8m，螺旋直径Φ300mm，主体304不锈钢，配套就地控制柜</w:t>
            </w:r>
          </w:p>
        </w:tc>
        <w:tc>
          <w:tcPr>
            <w:tcW w:w="389" w:type="pct"/>
            <w:shd w:val="clear" w:color="auto" w:fill="auto"/>
            <w:noWrap/>
            <w:vAlign w:val="center"/>
          </w:tcPr>
          <w:p w14:paraId="20CCE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22" w:type="pct"/>
            <w:shd w:val="clear" w:color="auto" w:fill="auto"/>
            <w:noWrap/>
            <w:vAlign w:val="center"/>
          </w:tcPr>
          <w:p w14:paraId="4C3D0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42" w:type="pct"/>
            <w:shd w:val="clear" w:color="auto" w:fill="auto"/>
            <w:noWrap/>
            <w:vAlign w:val="center"/>
          </w:tcPr>
          <w:p w14:paraId="43561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shd w:val="clear" w:color="auto" w:fill="auto"/>
            <w:noWrap/>
            <w:vAlign w:val="center"/>
          </w:tcPr>
          <w:p w14:paraId="2A06F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57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0FBA4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91" w:type="pct"/>
            <w:shd w:val="clear" w:color="auto" w:fill="auto"/>
            <w:noWrap/>
            <w:vAlign w:val="center"/>
          </w:tcPr>
          <w:p w14:paraId="31F20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联动控制柜</w:t>
            </w:r>
          </w:p>
        </w:tc>
        <w:tc>
          <w:tcPr>
            <w:tcW w:w="2200" w:type="pct"/>
            <w:shd w:val="clear" w:color="auto" w:fill="auto"/>
            <w:noWrap/>
            <w:vAlign w:val="center"/>
          </w:tcPr>
          <w:p w14:paraId="7CE3D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304不锈钢柜体，与设备配套使用，落地式，IP54；规格尺寸：宽×高×深=800×2100×600mm（含10公分底座）</w:t>
            </w:r>
          </w:p>
        </w:tc>
        <w:tc>
          <w:tcPr>
            <w:tcW w:w="389" w:type="pct"/>
            <w:shd w:val="clear" w:color="auto" w:fill="auto"/>
            <w:noWrap/>
            <w:vAlign w:val="center"/>
          </w:tcPr>
          <w:p w14:paraId="0AD98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22" w:type="pct"/>
            <w:shd w:val="clear" w:color="auto" w:fill="auto"/>
            <w:noWrap/>
            <w:vAlign w:val="center"/>
          </w:tcPr>
          <w:p w14:paraId="4FA79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42" w:type="pct"/>
            <w:shd w:val="clear" w:color="auto" w:fill="auto"/>
            <w:noWrap/>
            <w:vAlign w:val="center"/>
          </w:tcPr>
          <w:p w14:paraId="21FB7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05" w:type="pct"/>
            <w:shd w:val="clear" w:color="auto" w:fill="auto"/>
            <w:noWrap/>
            <w:vAlign w:val="center"/>
          </w:tcPr>
          <w:p w14:paraId="20DD2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联动控制柜</w:t>
            </w:r>
          </w:p>
        </w:tc>
      </w:tr>
      <w:tr w14:paraId="7CB0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4C235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91" w:type="pct"/>
            <w:shd w:val="clear" w:color="auto" w:fill="auto"/>
            <w:noWrap/>
            <w:vAlign w:val="center"/>
          </w:tcPr>
          <w:p w14:paraId="7DE66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电动蝶阀</w:t>
            </w:r>
          </w:p>
        </w:tc>
        <w:tc>
          <w:tcPr>
            <w:tcW w:w="2200" w:type="pct"/>
            <w:shd w:val="clear" w:color="auto" w:fill="auto"/>
            <w:noWrap/>
            <w:vAlign w:val="center"/>
          </w:tcPr>
          <w:p w14:paraId="5ABB4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DN400，PN=1.0MPa</w:t>
            </w:r>
          </w:p>
        </w:tc>
        <w:tc>
          <w:tcPr>
            <w:tcW w:w="389" w:type="pct"/>
            <w:shd w:val="clear" w:color="auto" w:fill="auto"/>
            <w:noWrap/>
            <w:vAlign w:val="center"/>
          </w:tcPr>
          <w:p w14:paraId="5F1F6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22" w:type="pct"/>
            <w:shd w:val="clear" w:color="auto" w:fill="auto"/>
            <w:noWrap/>
            <w:vAlign w:val="center"/>
          </w:tcPr>
          <w:p w14:paraId="00B17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020B8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254D5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C0D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438A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91" w:type="pct"/>
            <w:shd w:val="clear" w:color="auto" w:fill="auto"/>
            <w:noWrap/>
            <w:vAlign w:val="center"/>
          </w:tcPr>
          <w:p w14:paraId="0FBE3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双法兰橡胶软接头</w:t>
            </w:r>
          </w:p>
        </w:tc>
        <w:tc>
          <w:tcPr>
            <w:tcW w:w="2200" w:type="pct"/>
            <w:shd w:val="clear" w:color="auto" w:fill="auto"/>
            <w:noWrap/>
            <w:vAlign w:val="center"/>
          </w:tcPr>
          <w:p w14:paraId="6511F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DN400，PN=1.0MPa</w:t>
            </w:r>
          </w:p>
        </w:tc>
        <w:tc>
          <w:tcPr>
            <w:tcW w:w="389" w:type="pct"/>
            <w:shd w:val="clear" w:color="auto" w:fill="auto"/>
            <w:noWrap/>
            <w:vAlign w:val="center"/>
          </w:tcPr>
          <w:p w14:paraId="130B4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22" w:type="pct"/>
            <w:shd w:val="clear" w:color="auto" w:fill="auto"/>
            <w:noWrap/>
            <w:vAlign w:val="center"/>
          </w:tcPr>
          <w:p w14:paraId="6361F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63B78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575D7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固液秒分离机进水</w:t>
            </w:r>
          </w:p>
        </w:tc>
      </w:tr>
      <w:tr w14:paraId="31F8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4B0D3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91" w:type="pct"/>
            <w:shd w:val="clear" w:color="auto" w:fill="auto"/>
            <w:noWrap/>
            <w:vAlign w:val="center"/>
          </w:tcPr>
          <w:p w14:paraId="54C55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控制系统</w:t>
            </w:r>
          </w:p>
        </w:tc>
        <w:tc>
          <w:tcPr>
            <w:tcW w:w="2200" w:type="pct"/>
            <w:shd w:val="clear" w:color="auto" w:fill="auto"/>
            <w:noWrap/>
            <w:vAlign w:val="center"/>
          </w:tcPr>
          <w:p w14:paraId="054FB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含远程监视模块1套，自适应控制组件及系统1套，远程控制模块1套，配套手机控制系统</w:t>
            </w:r>
          </w:p>
        </w:tc>
        <w:tc>
          <w:tcPr>
            <w:tcW w:w="389" w:type="pct"/>
            <w:shd w:val="clear" w:color="auto" w:fill="auto"/>
            <w:noWrap/>
            <w:vAlign w:val="center"/>
          </w:tcPr>
          <w:p w14:paraId="26CC5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22" w:type="pct"/>
            <w:shd w:val="clear" w:color="auto" w:fill="auto"/>
            <w:noWrap/>
            <w:vAlign w:val="center"/>
          </w:tcPr>
          <w:p w14:paraId="76155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42" w:type="pct"/>
            <w:shd w:val="clear" w:color="auto" w:fill="auto"/>
            <w:noWrap/>
            <w:vAlign w:val="center"/>
          </w:tcPr>
          <w:p w14:paraId="5F22D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705" w:type="pct"/>
            <w:shd w:val="clear" w:color="auto" w:fill="auto"/>
            <w:noWrap/>
            <w:vAlign w:val="center"/>
          </w:tcPr>
          <w:p w14:paraId="1E923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C8E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56861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91" w:type="pct"/>
            <w:shd w:val="clear" w:color="auto" w:fill="auto"/>
            <w:noWrap/>
            <w:vAlign w:val="center"/>
          </w:tcPr>
          <w:p w14:paraId="3DC51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2200" w:type="pct"/>
            <w:shd w:val="clear" w:color="auto" w:fill="auto"/>
            <w:noWrap/>
            <w:vAlign w:val="center"/>
          </w:tcPr>
          <w:p w14:paraId="6E950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DN400，PN=1.0MPa</w:t>
            </w:r>
          </w:p>
        </w:tc>
        <w:tc>
          <w:tcPr>
            <w:tcW w:w="389" w:type="pct"/>
            <w:shd w:val="clear" w:color="auto" w:fill="auto"/>
            <w:noWrap/>
            <w:vAlign w:val="center"/>
          </w:tcPr>
          <w:p w14:paraId="38664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22" w:type="pct"/>
            <w:shd w:val="clear" w:color="auto" w:fill="auto"/>
            <w:noWrap/>
            <w:vAlign w:val="center"/>
          </w:tcPr>
          <w:p w14:paraId="434A9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5B193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283CA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714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23681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主要材料表</w:t>
            </w:r>
          </w:p>
        </w:tc>
      </w:tr>
      <w:tr w14:paraId="6D53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346F9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691" w:type="pct"/>
            <w:shd w:val="clear" w:color="auto" w:fill="auto"/>
            <w:noWrap/>
            <w:vAlign w:val="center"/>
          </w:tcPr>
          <w:p w14:paraId="20FA9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00" w:type="pct"/>
            <w:shd w:val="clear" w:color="auto" w:fill="auto"/>
            <w:noWrap/>
            <w:vAlign w:val="center"/>
          </w:tcPr>
          <w:p w14:paraId="4E153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D530X10，PN=1.0MPa</w:t>
            </w:r>
          </w:p>
        </w:tc>
        <w:tc>
          <w:tcPr>
            <w:tcW w:w="389" w:type="pct"/>
            <w:shd w:val="clear" w:color="auto" w:fill="auto"/>
            <w:noWrap/>
            <w:vAlign w:val="center"/>
          </w:tcPr>
          <w:p w14:paraId="69F90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4B1DF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1D108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705" w:type="pct"/>
            <w:shd w:val="clear" w:color="auto" w:fill="auto"/>
            <w:noWrap/>
            <w:vAlign w:val="center"/>
          </w:tcPr>
          <w:p w14:paraId="72AF1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进水总管</w:t>
            </w:r>
          </w:p>
        </w:tc>
      </w:tr>
      <w:tr w14:paraId="4217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0FCA7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91" w:type="pct"/>
            <w:shd w:val="clear" w:color="auto" w:fill="auto"/>
            <w:noWrap/>
            <w:vAlign w:val="center"/>
          </w:tcPr>
          <w:p w14:paraId="530ED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00" w:type="pct"/>
            <w:shd w:val="clear" w:color="auto" w:fill="auto"/>
            <w:noWrap/>
            <w:vAlign w:val="center"/>
          </w:tcPr>
          <w:p w14:paraId="2BC91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D480X10，PN=1.0MPa</w:t>
            </w:r>
          </w:p>
        </w:tc>
        <w:tc>
          <w:tcPr>
            <w:tcW w:w="389" w:type="pct"/>
            <w:shd w:val="clear" w:color="auto" w:fill="auto"/>
            <w:noWrap/>
            <w:vAlign w:val="center"/>
          </w:tcPr>
          <w:p w14:paraId="2F8F7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06FA9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4E2FA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705" w:type="pct"/>
            <w:shd w:val="clear" w:color="auto" w:fill="auto"/>
            <w:noWrap/>
            <w:vAlign w:val="center"/>
          </w:tcPr>
          <w:p w14:paraId="37300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出水管</w:t>
            </w:r>
          </w:p>
        </w:tc>
      </w:tr>
      <w:tr w14:paraId="3742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5DE5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691" w:type="pct"/>
            <w:shd w:val="clear" w:color="auto" w:fill="auto"/>
            <w:noWrap/>
            <w:vAlign w:val="center"/>
          </w:tcPr>
          <w:p w14:paraId="2E2CD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00" w:type="pct"/>
            <w:shd w:val="clear" w:color="auto" w:fill="auto"/>
            <w:noWrap/>
            <w:vAlign w:val="center"/>
          </w:tcPr>
          <w:p w14:paraId="00339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D426X8，PN=1.0MPa</w:t>
            </w:r>
          </w:p>
        </w:tc>
        <w:tc>
          <w:tcPr>
            <w:tcW w:w="389" w:type="pct"/>
            <w:shd w:val="clear" w:color="auto" w:fill="auto"/>
            <w:noWrap/>
            <w:vAlign w:val="center"/>
          </w:tcPr>
          <w:p w14:paraId="19CAD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18F4F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149E9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705" w:type="pct"/>
            <w:shd w:val="clear" w:color="auto" w:fill="auto"/>
            <w:noWrap/>
            <w:vAlign w:val="center"/>
          </w:tcPr>
          <w:p w14:paraId="367CF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进水支管</w:t>
            </w:r>
          </w:p>
        </w:tc>
      </w:tr>
      <w:tr w14:paraId="2D98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3BCA1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691" w:type="pct"/>
            <w:shd w:val="clear" w:color="auto" w:fill="auto"/>
            <w:noWrap/>
            <w:vAlign w:val="center"/>
          </w:tcPr>
          <w:p w14:paraId="0A862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00" w:type="pct"/>
            <w:shd w:val="clear" w:color="auto" w:fill="auto"/>
            <w:noWrap/>
            <w:vAlign w:val="center"/>
          </w:tcPr>
          <w:p w14:paraId="5424A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D325X8，PN=1.0MPa</w:t>
            </w:r>
          </w:p>
        </w:tc>
        <w:tc>
          <w:tcPr>
            <w:tcW w:w="389" w:type="pct"/>
            <w:shd w:val="clear" w:color="auto" w:fill="auto"/>
            <w:noWrap/>
            <w:vAlign w:val="center"/>
          </w:tcPr>
          <w:p w14:paraId="4E4C8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7C757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60BE5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705" w:type="pct"/>
            <w:shd w:val="clear" w:color="auto" w:fill="auto"/>
            <w:noWrap/>
            <w:vAlign w:val="center"/>
          </w:tcPr>
          <w:p w14:paraId="33E9A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反洗废水总管及排渣管</w:t>
            </w:r>
          </w:p>
        </w:tc>
      </w:tr>
      <w:tr w14:paraId="608F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862E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691" w:type="pct"/>
            <w:shd w:val="clear" w:color="auto" w:fill="auto"/>
            <w:noWrap/>
            <w:vAlign w:val="center"/>
          </w:tcPr>
          <w:p w14:paraId="095C0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00" w:type="pct"/>
            <w:shd w:val="clear" w:color="auto" w:fill="auto"/>
            <w:noWrap/>
            <w:vAlign w:val="center"/>
          </w:tcPr>
          <w:p w14:paraId="1EBCB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D219X6，PN=1.0MPa</w:t>
            </w:r>
          </w:p>
        </w:tc>
        <w:tc>
          <w:tcPr>
            <w:tcW w:w="389" w:type="pct"/>
            <w:shd w:val="clear" w:color="auto" w:fill="auto"/>
            <w:noWrap/>
            <w:vAlign w:val="center"/>
          </w:tcPr>
          <w:p w14:paraId="364DF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5539C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46962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705" w:type="pct"/>
            <w:shd w:val="clear" w:color="auto" w:fill="auto"/>
            <w:noWrap/>
            <w:vAlign w:val="center"/>
          </w:tcPr>
          <w:p w14:paraId="48D08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反洗废水支管</w:t>
            </w:r>
          </w:p>
        </w:tc>
      </w:tr>
      <w:tr w14:paraId="33E3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01EF0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691" w:type="pct"/>
            <w:shd w:val="clear" w:color="auto" w:fill="auto"/>
            <w:noWrap/>
            <w:vAlign w:val="center"/>
          </w:tcPr>
          <w:p w14:paraId="25C50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PE实壁管</w:t>
            </w:r>
          </w:p>
        </w:tc>
        <w:tc>
          <w:tcPr>
            <w:tcW w:w="2200" w:type="pct"/>
            <w:shd w:val="clear" w:color="auto" w:fill="auto"/>
            <w:noWrap/>
            <w:vAlign w:val="center"/>
          </w:tcPr>
          <w:p w14:paraId="1CF34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dn50，PN=1.0MPa</w:t>
            </w:r>
          </w:p>
        </w:tc>
        <w:tc>
          <w:tcPr>
            <w:tcW w:w="389" w:type="pct"/>
            <w:shd w:val="clear" w:color="auto" w:fill="auto"/>
            <w:noWrap/>
            <w:vAlign w:val="center"/>
          </w:tcPr>
          <w:p w14:paraId="6F25C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322" w:type="pct"/>
            <w:shd w:val="clear" w:color="auto" w:fill="auto"/>
            <w:noWrap/>
            <w:vAlign w:val="center"/>
          </w:tcPr>
          <w:p w14:paraId="61124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6A62E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705" w:type="pct"/>
            <w:shd w:val="clear" w:color="auto" w:fill="auto"/>
            <w:noWrap/>
            <w:vAlign w:val="center"/>
          </w:tcPr>
          <w:p w14:paraId="0D688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反洗水管</w:t>
            </w:r>
          </w:p>
        </w:tc>
      </w:tr>
      <w:tr w14:paraId="2EF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2018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691" w:type="pct"/>
            <w:shd w:val="clear" w:color="auto" w:fill="auto"/>
            <w:noWrap/>
            <w:vAlign w:val="center"/>
          </w:tcPr>
          <w:p w14:paraId="2EFF9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PE实壁管</w:t>
            </w:r>
          </w:p>
        </w:tc>
        <w:tc>
          <w:tcPr>
            <w:tcW w:w="2200" w:type="pct"/>
            <w:shd w:val="clear" w:color="auto" w:fill="auto"/>
            <w:noWrap/>
            <w:vAlign w:val="center"/>
          </w:tcPr>
          <w:p w14:paraId="7101C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dn110，PN=1.0MPa</w:t>
            </w:r>
          </w:p>
        </w:tc>
        <w:tc>
          <w:tcPr>
            <w:tcW w:w="389" w:type="pct"/>
            <w:shd w:val="clear" w:color="auto" w:fill="auto"/>
            <w:noWrap/>
            <w:vAlign w:val="center"/>
          </w:tcPr>
          <w:p w14:paraId="6E8DA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322" w:type="pct"/>
            <w:shd w:val="clear" w:color="auto" w:fill="auto"/>
            <w:noWrap/>
            <w:vAlign w:val="center"/>
          </w:tcPr>
          <w:p w14:paraId="5662E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5DF09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705" w:type="pct"/>
            <w:shd w:val="clear" w:color="auto" w:fill="auto"/>
            <w:noWrap/>
            <w:vAlign w:val="center"/>
          </w:tcPr>
          <w:p w14:paraId="73322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反洗水总管</w:t>
            </w:r>
          </w:p>
        </w:tc>
      </w:tr>
      <w:tr w14:paraId="3F7B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7A090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691" w:type="pct"/>
            <w:shd w:val="clear" w:color="auto" w:fill="auto"/>
            <w:noWrap/>
            <w:vAlign w:val="center"/>
          </w:tcPr>
          <w:p w14:paraId="0906F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PE实壁管</w:t>
            </w:r>
          </w:p>
        </w:tc>
        <w:tc>
          <w:tcPr>
            <w:tcW w:w="2200" w:type="pct"/>
            <w:shd w:val="clear" w:color="auto" w:fill="auto"/>
            <w:noWrap/>
            <w:vAlign w:val="center"/>
          </w:tcPr>
          <w:p w14:paraId="0E128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dn160，PN=1.0MPa</w:t>
            </w:r>
          </w:p>
        </w:tc>
        <w:tc>
          <w:tcPr>
            <w:tcW w:w="389" w:type="pct"/>
            <w:shd w:val="clear" w:color="auto" w:fill="auto"/>
            <w:noWrap/>
            <w:vAlign w:val="center"/>
          </w:tcPr>
          <w:p w14:paraId="5C0A6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322" w:type="pct"/>
            <w:shd w:val="clear" w:color="auto" w:fill="auto"/>
            <w:noWrap/>
            <w:vAlign w:val="center"/>
          </w:tcPr>
          <w:p w14:paraId="484AE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3F2E5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05" w:type="pct"/>
            <w:shd w:val="clear" w:color="auto" w:fill="auto"/>
            <w:noWrap/>
            <w:vAlign w:val="center"/>
          </w:tcPr>
          <w:p w14:paraId="13A2C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压榨机排水管，接入污水检查井</w:t>
            </w:r>
          </w:p>
        </w:tc>
      </w:tr>
      <w:tr w14:paraId="349C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0B369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691" w:type="pct"/>
            <w:shd w:val="clear" w:color="auto" w:fill="auto"/>
            <w:noWrap/>
            <w:vAlign w:val="center"/>
          </w:tcPr>
          <w:p w14:paraId="1248F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除臭风管</w:t>
            </w:r>
          </w:p>
        </w:tc>
        <w:tc>
          <w:tcPr>
            <w:tcW w:w="2200" w:type="pct"/>
            <w:shd w:val="clear" w:color="auto" w:fill="auto"/>
            <w:noWrap/>
            <w:vAlign w:val="center"/>
          </w:tcPr>
          <w:p w14:paraId="713D2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w:t>
            </w:r>
          </w:p>
        </w:tc>
        <w:tc>
          <w:tcPr>
            <w:tcW w:w="389" w:type="pct"/>
            <w:shd w:val="clear" w:color="auto" w:fill="auto"/>
            <w:noWrap/>
            <w:vAlign w:val="center"/>
          </w:tcPr>
          <w:p w14:paraId="32978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322" w:type="pct"/>
            <w:shd w:val="clear" w:color="auto" w:fill="auto"/>
            <w:noWrap/>
            <w:vAlign w:val="center"/>
          </w:tcPr>
          <w:p w14:paraId="57DD4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1C500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705" w:type="pct"/>
            <w:shd w:val="clear" w:color="auto" w:fill="auto"/>
            <w:noWrap/>
            <w:vAlign w:val="center"/>
          </w:tcPr>
          <w:p w14:paraId="6879A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除臭风管</w:t>
            </w:r>
          </w:p>
        </w:tc>
      </w:tr>
      <w:tr w14:paraId="4327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BC10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691" w:type="pct"/>
            <w:shd w:val="clear" w:color="auto" w:fill="auto"/>
            <w:noWrap/>
            <w:vAlign w:val="center"/>
          </w:tcPr>
          <w:p w14:paraId="432C0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除臭风管</w:t>
            </w:r>
          </w:p>
        </w:tc>
        <w:tc>
          <w:tcPr>
            <w:tcW w:w="2200" w:type="pct"/>
            <w:shd w:val="clear" w:color="auto" w:fill="auto"/>
            <w:noWrap/>
            <w:vAlign w:val="center"/>
          </w:tcPr>
          <w:p w14:paraId="49AB8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w:t>
            </w:r>
          </w:p>
        </w:tc>
        <w:tc>
          <w:tcPr>
            <w:tcW w:w="389" w:type="pct"/>
            <w:shd w:val="clear" w:color="auto" w:fill="auto"/>
            <w:noWrap/>
            <w:vAlign w:val="center"/>
          </w:tcPr>
          <w:p w14:paraId="57155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322" w:type="pct"/>
            <w:shd w:val="clear" w:color="auto" w:fill="auto"/>
            <w:noWrap/>
            <w:vAlign w:val="center"/>
          </w:tcPr>
          <w:p w14:paraId="5EF50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38165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705" w:type="pct"/>
            <w:shd w:val="clear" w:color="auto" w:fill="auto"/>
            <w:noWrap/>
            <w:vAlign w:val="center"/>
          </w:tcPr>
          <w:p w14:paraId="58D61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除臭风管，配套风阀</w:t>
            </w:r>
          </w:p>
        </w:tc>
      </w:tr>
      <w:tr w14:paraId="23CC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593FD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691" w:type="pct"/>
            <w:shd w:val="clear" w:color="auto" w:fill="auto"/>
            <w:noWrap/>
            <w:vAlign w:val="center"/>
          </w:tcPr>
          <w:p w14:paraId="1A696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00" w:type="pct"/>
            <w:shd w:val="clear" w:color="auto" w:fill="auto"/>
            <w:noWrap/>
            <w:vAlign w:val="center"/>
          </w:tcPr>
          <w:p w14:paraId="04306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389" w:type="pct"/>
            <w:shd w:val="clear" w:color="auto" w:fill="auto"/>
            <w:noWrap/>
            <w:vAlign w:val="center"/>
          </w:tcPr>
          <w:p w14:paraId="6C986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265EB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055BE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05" w:type="pct"/>
            <w:shd w:val="clear" w:color="auto" w:fill="auto"/>
            <w:noWrap/>
            <w:vAlign w:val="center"/>
          </w:tcPr>
          <w:p w14:paraId="2AE33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进水总管</w:t>
            </w:r>
          </w:p>
        </w:tc>
      </w:tr>
      <w:tr w14:paraId="7174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23DA1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691" w:type="pct"/>
            <w:shd w:val="clear" w:color="auto" w:fill="auto"/>
            <w:noWrap/>
            <w:vAlign w:val="center"/>
          </w:tcPr>
          <w:p w14:paraId="05E17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00" w:type="pct"/>
            <w:shd w:val="clear" w:color="auto" w:fill="auto"/>
            <w:noWrap/>
            <w:vAlign w:val="center"/>
          </w:tcPr>
          <w:p w14:paraId="492CD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DN450，PN=1.0MPa</w:t>
            </w:r>
          </w:p>
        </w:tc>
        <w:tc>
          <w:tcPr>
            <w:tcW w:w="389" w:type="pct"/>
            <w:shd w:val="clear" w:color="auto" w:fill="auto"/>
            <w:noWrap/>
            <w:vAlign w:val="center"/>
          </w:tcPr>
          <w:p w14:paraId="39AAA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65FDB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42083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680C7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出水管</w:t>
            </w:r>
          </w:p>
        </w:tc>
      </w:tr>
      <w:tr w14:paraId="0168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1E18E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691" w:type="pct"/>
            <w:shd w:val="clear" w:color="auto" w:fill="auto"/>
            <w:noWrap/>
            <w:vAlign w:val="center"/>
          </w:tcPr>
          <w:p w14:paraId="060F7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00" w:type="pct"/>
            <w:shd w:val="clear" w:color="auto" w:fill="auto"/>
            <w:noWrap/>
            <w:vAlign w:val="center"/>
          </w:tcPr>
          <w:p w14:paraId="49209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DN400，PN=1.0MPa</w:t>
            </w:r>
          </w:p>
        </w:tc>
        <w:tc>
          <w:tcPr>
            <w:tcW w:w="389" w:type="pct"/>
            <w:shd w:val="clear" w:color="auto" w:fill="auto"/>
            <w:noWrap/>
            <w:vAlign w:val="center"/>
          </w:tcPr>
          <w:p w14:paraId="4429D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063E2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26603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21865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进水支管</w:t>
            </w:r>
          </w:p>
        </w:tc>
      </w:tr>
      <w:tr w14:paraId="327F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7FDD4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691" w:type="pct"/>
            <w:shd w:val="clear" w:color="auto" w:fill="auto"/>
            <w:noWrap/>
            <w:vAlign w:val="center"/>
          </w:tcPr>
          <w:p w14:paraId="2C376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00" w:type="pct"/>
            <w:shd w:val="clear" w:color="auto" w:fill="auto"/>
            <w:noWrap/>
            <w:vAlign w:val="center"/>
          </w:tcPr>
          <w:p w14:paraId="16412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DN300，PN=1.0MPa</w:t>
            </w:r>
          </w:p>
        </w:tc>
        <w:tc>
          <w:tcPr>
            <w:tcW w:w="389" w:type="pct"/>
            <w:shd w:val="clear" w:color="auto" w:fill="auto"/>
            <w:noWrap/>
            <w:vAlign w:val="center"/>
          </w:tcPr>
          <w:p w14:paraId="122A2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6C7E3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6545F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05" w:type="pct"/>
            <w:shd w:val="clear" w:color="auto" w:fill="auto"/>
            <w:noWrap/>
            <w:vAlign w:val="center"/>
          </w:tcPr>
          <w:p w14:paraId="5E146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排渣管</w:t>
            </w:r>
          </w:p>
        </w:tc>
      </w:tr>
      <w:tr w14:paraId="4B73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4CCD7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691" w:type="pct"/>
            <w:shd w:val="clear" w:color="auto" w:fill="auto"/>
            <w:noWrap/>
            <w:vAlign w:val="center"/>
          </w:tcPr>
          <w:p w14:paraId="25929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00" w:type="pct"/>
            <w:shd w:val="clear" w:color="auto" w:fill="auto"/>
            <w:noWrap/>
            <w:vAlign w:val="center"/>
          </w:tcPr>
          <w:p w14:paraId="5E254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w:t>
            </w:r>
          </w:p>
        </w:tc>
        <w:tc>
          <w:tcPr>
            <w:tcW w:w="389" w:type="pct"/>
            <w:shd w:val="clear" w:color="auto" w:fill="auto"/>
            <w:noWrap/>
            <w:vAlign w:val="center"/>
          </w:tcPr>
          <w:p w14:paraId="5678E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322" w:type="pct"/>
            <w:shd w:val="clear" w:color="auto" w:fill="auto"/>
            <w:noWrap/>
            <w:vAlign w:val="center"/>
          </w:tcPr>
          <w:p w14:paraId="7D0A5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47CC7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05" w:type="pct"/>
            <w:shd w:val="clear" w:color="auto" w:fill="auto"/>
            <w:noWrap/>
            <w:vAlign w:val="center"/>
          </w:tcPr>
          <w:p w14:paraId="51990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除臭风管</w:t>
            </w:r>
          </w:p>
        </w:tc>
      </w:tr>
      <w:tr w14:paraId="4926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3D140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691" w:type="pct"/>
            <w:shd w:val="clear" w:color="auto" w:fill="auto"/>
            <w:noWrap/>
            <w:vAlign w:val="center"/>
          </w:tcPr>
          <w:p w14:paraId="22CA0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00" w:type="pct"/>
            <w:shd w:val="clear" w:color="auto" w:fill="auto"/>
            <w:noWrap/>
            <w:vAlign w:val="center"/>
          </w:tcPr>
          <w:p w14:paraId="25EB3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DN200，PN=1.0MPa</w:t>
            </w:r>
          </w:p>
        </w:tc>
        <w:tc>
          <w:tcPr>
            <w:tcW w:w="389" w:type="pct"/>
            <w:shd w:val="clear" w:color="auto" w:fill="auto"/>
            <w:noWrap/>
            <w:vAlign w:val="center"/>
          </w:tcPr>
          <w:p w14:paraId="4F24F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000DD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16637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05" w:type="pct"/>
            <w:shd w:val="clear" w:color="auto" w:fill="auto"/>
            <w:noWrap/>
            <w:vAlign w:val="center"/>
          </w:tcPr>
          <w:p w14:paraId="5E94A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反洗废水管</w:t>
            </w:r>
          </w:p>
        </w:tc>
      </w:tr>
      <w:tr w14:paraId="5554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132D0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691" w:type="pct"/>
            <w:shd w:val="clear" w:color="auto" w:fill="auto"/>
            <w:noWrap/>
            <w:vAlign w:val="center"/>
          </w:tcPr>
          <w:p w14:paraId="54173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00" w:type="pct"/>
            <w:shd w:val="clear" w:color="auto" w:fill="auto"/>
            <w:noWrap/>
            <w:vAlign w:val="center"/>
          </w:tcPr>
          <w:p w14:paraId="03D37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DN40，PN=1.0MPa</w:t>
            </w:r>
          </w:p>
        </w:tc>
        <w:tc>
          <w:tcPr>
            <w:tcW w:w="389" w:type="pct"/>
            <w:shd w:val="clear" w:color="auto" w:fill="auto"/>
            <w:noWrap/>
            <w:vAlign w:val="center"/>
          </w:tcPr>
          <w:p w14:paraId="16649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322" w:type="pct"/>
            <w:shd w:val="clear" w:color="auto" w:fill="auto"/>
            <w:noWrap/>
            <w:vAlign w:val="center"/>
          </w:tcPr>
          <w:p w14:paraId="5517C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1E8C7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60648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反洗水管</w:t>
            </w:r>
          </w:p>
        </w:tc>
      </w:tr>
      <w:tr w14:paraId="0F4D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1F75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691" w:type="pct"/>
            <w:shd w:val="clear" w:color="auto" w:fill="auto"/>
            <w:noWrap/>
            <w:vAlign w:val="center"/>
          </w:tcPr>
          <w:p w14:paraId="30788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45°弯头</w:t>
            </w:r>
          </w:p>
        </w:tc>
        <w:tc>
          <w:tcPr>
            <w:tcW w:w="2200" w:type="pct"/>
            <w:shd w:val="clear" w:color="auto" w:fill="auto"/>
            <w:noWrap/>
            <w:vAlign w:val="center"/>
          </w:tcPr>
          <w:p w14:paraId="59C2F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DN200，PN=1.0MPa</w:t>
            </w:r>
          </w:p>
        </w:tc>
        <w:tc>
          <w:tcPr>
            <w:tcW w:w="389" w:type="pct"/>
            <w:shd w:val="clear" w:color="auto" w:fill="auto"/>
            <w:noWrap/>
            <w:vAlign w:val="center"/>
          </w:tcPr>
          <w:p w14:paraId="2129D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43224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4CF97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41FAA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反洗废水管</w:t>
            </w:r>
          </w:p>
        </w:tc>
      </w:tr>
      <w:tr w14:paraId="21C5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2D004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691" w:type="pct"/>
            <w:shd w:val="clear" w:color="auto" w:fill="auto"/>
            <w:noWrap/>
            <w:vAlign w:val="center"/>
          </w:tcPr>
          <w:p w14:paraId="7B443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2200" w:type="pct"/>
            <w:shd w:val="clear" w:color="auto" w:fill="auto"/>
            <w:noWrap/>
            <w:vAlign w:val="center"/>
          </w:tcPr>
          <w:p w14:paraId="00906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DN100X40，PN=1.0MPa</w:t>
            </w:r>
          </w:p>
        </w:tc>
        <w:tc>
          <w:tcPr>
            <w:tcW w:w="389" w:type="pct"/>
            <w:shd w:val="clear" w:color="auto" w:fill="auto"/>
            <w:noWrap/>
            <w:vAlign w:val="center"/>
          </w:tcPr>
          <w:p w14:paraId="7C701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322" w:type="pct"/>
            <w:shd w:val="clear" w:color="auto" w:fill="auto"/>
            <w:noWrap/>
            <w:vAlign w:val="center"/>
          </w:tcPr>
          <w:p w14:paraId="36810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627B1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05" w:type="pct"/>
            <w:shd w:val="clear" w:color="auto" w:fill="auto"/>
            <w:noWrap/>
            <w:vAlign w:val="center"/>
          </w:tcPr>
          <w:p w14:paraId="5A912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反洗水管</w:t>
            </w:r>
          </w:p>
        </w:tc>
      </w:tr>
      <w:tr w14:paraId="2605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76318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691" w:type="pct"/>
            <w:shd w:val="clear" w:color="auto" w:fill="auto"/>
            <w:noWrap/>
            <w:vAlign w:val="center"/>
          </w:tcPr>
          <w:p w14:paraId="51524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2200" w:type="pct"/>
            <w:shd w:val="clear" w:color="auto" w:fill="auto"/>
            <w:noWrap/>
            <w:vAlign w:val="center"/>
          </w:tcPr>
          <w:p w14:paraId="65B9C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DN500X400，PN=1.0MPa</w:t>
            </w:r>
          </w:p>
        </w:tc>
        <w:tc>
          <w:tcPr>
            <w:tcW w:w="389" w:type="pct"/>
            <w:shd w:val="clear" w:color="auto" w:fill="auto"/>
            <w:noWrap/>
            <w:vAlign w:val="center"/>
          </w:tcPr>
          <w:p w14:paraId="296B3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5E413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092B3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72038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进水管</w:t>
            </w:r>
          </w:p>
        </w:tc>
      </w:tr>
      <w:tr w14:paraId="03D1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06E20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691" w:type="pct"/>
            <w:shd w:val="clear" w:color="auto" w:fill="auto"/>
            <w:noWrap/>
            <w:vAlign w:val="center"/>
          </w:tcPr>
          <w:p w14:paraId="0AEF1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2200" w:type="pct"/>
            <w:shd w:val="clear" w:color="auto" w:fill="auto"/>
            <w:noWrap/>
            <w:vAlign w:val="center"/>
          </w:tcPr>
          <w:p w14:paraId="5556F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DN300X200，PN=1.0MPa</w:t>
            </w:r>
          </w:p>
        </w:tc>
        <w:tc>
          <w:tcPr>
            <w:tcW w:w="389" w:type="pct"/>
            <w:shd w:val="clear" w:color="auto" w:fill="auto"/>
            <w:noWrap/>
            <w:vAlign w:val="center"/>
          </w:tcPr>
          <w:p w14:paraId="4FCB0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23E5E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77D54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03D20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反洗废水管</w:t>
            </w:r>
          </w:p>
        </w:tc>
      </w:tr>
      <w:tr w14:paraId="59C2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5F1DF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691" w:type="pct"/>
            <w:shd w:val="clear" w:color="auto" w:fill="auto"/>
            <w:noWrap/>
            <w:vAlign w:val="center"/>
          </w:tcPr>
          <w:p w14:paraId="23CC4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2200" w:type="pct"/>
            <w:shd w:val="clear" w:color="auto" w:fill="auto"/>
            <w:noWrap/>
            <w:vAlign w:val="center"/>
          </w:tcPr>
          <w:p w14:paraId="08682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DN300X200，PN=1.0MPa</w:t>
            </w:r>
          </w:p>
        </w:tc>
        <w:tc>
          <w:tcPr>
            <w:tcW w:w="389" w:type="pct"/>
            <w:shd w:val="clear" w:color="auto" w:fill="auto"/>
            <w:noWrap/>
            <w:vAlign w:val="center"/>
          </w:tcPr>
          <w:p w14:paraId="24E21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322" w:type="pct"/>
            <w:shd w:val="clear" w:color="auto" w:fill="auto"/>
            <w:noWrap/>
            <w:vAlign w:val="center"/>
          </w:tcPr>
          <w:p w14:paraId="4A1C8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49AA7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05" w:type="pct"/>
            <w:shd w:val="clear" w:color="auto" w:fill="auto"/>
            <w:noWrap/>
            <w:vAlign w:val="center"/>
          </w:tcPr>
          <w:p w14:paraId="1FA9B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除臭风管</w:t>
            </w:r>
          </w:p>
        </w:tc>
      </w:tr>
      <w:tr w14:paraId="72A7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1009C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691" w:type="pct"/>
            <w:shd w:val="clear" w:color="auto" w:fill="auto"/>
            <w:noWrap/>
            <w:vAlign w:val="center"/>
          </w:tcPr>
          <w:p w14:paraId="0BBB8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法兰盲板</w:t>
            </w:r>
          </w:p>
        </w:tc>
        <w:tc>
          <w:tcPr>
            <w:tcW w:w="2200" w:type="pct"/>
            <w:shd w:val="clear" w:color="auto" w:fill="auto"/>
            <w:noWrap/>
            <w:vAlign w:val="center"/>
          </w:tcPr>
          <w:p w14:paraId="67BBB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389" w:type="pct"/>
            <w:shd w:val="clear" w:color="auto" w:fill="auto"/>
            <w:noWrap/>
            <w:vAlign w:val="center"/>
          </w:tcPr>
          <w:p w14:paraId="6B1EA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01305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691B9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shd w:val="clear" w:color="auto" w:fill="auto"/>
            <w:noWrap/>
            <w:vAlign w:val="center"/>
          </w:tcPr>
          <w:p w14:paraId="40857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进水总管</w:t>
            </w:r>
          </w:p>
        </w:tc>
      </w:tr>
      <w:tr w14:paraId="6899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00DF1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w:t>
            </w:r>
          </w:p>
        </w:tc>
        <w:tc>
          <w:tcPr>
            <w:tcW w:w="691" w:type="pct"/>
            <w:shd w:val="clear" w:color="auto" w:fill="auto"/>
            <w:noWrap/>
            <w:vAlign w:val="center"/>
          </w:tcPr>
          <w:p w14:paraId="2FAB3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法兰盲板</w:t>
            </w:r>
          </w:p>
        </w:tc>
        <w:tc>
          <w:tcPr>
            <w:tcW w:w="2200" w:type="pct"/>
            <w:shd w:val="clear" w:color="auto" w:fill="auto"/>
            <w:noWrap/>
            <w:vAlign w:val="center"/>
          </w:tcPr>
          <w:p w14:paraId="7F227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DN300，PN=1.0MPa</w:t>
            </w:r>
          </w:p>
        </w:tc>
        <w:tc>
          <w:tcPr>
            <w:tcW w:w="389" w:type="pct"/>
            <w:shd w:val="clear" w:color="auto" w:fill="auto"/>
            <w:noWrap/>
            <w:vAlign w:val="center"/>
          </w:tcPr>
          <w:p w14:paraId="15C74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322" w:type="pct"/>
            <w:shd w:val="clear" w:color="auto" w:fill="auto"/>
            <w:noWrap/>
            <w:vAlign w:val="center"/>
          </w:tcPr>
          <w:p w14:paraId="13133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5EC53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shd w:val="clear" w:color="auto" w:fill="auto"/>
            <w:noWrap/>
            <w:vAlign w:val="center"/>
          </w:tcPr>
          <w:p w14:paraId="65B33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除臭风管</w:t>
            </w:r>
          </w:p>
        </w:tc>
      </w:tr>
      <w:tr w14:paraId="584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7BC7A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w:t>
            </w:r>
          </w:p>
        </w:tc>
        <w:tc>
          <w:tcPr>
            <w:tcW w:w="691" w:type="pct"/>
            <w:shd w:val="clear" w:color="auto" w:fill="auto"/>
            <w:noWrap/>
            <w:vAlign w:val="center"/>
          </w:tcPr>
          <w:p w14:paraId="6F10C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法兰盲板</w:t>
            </w:r>
          </w:p>
        </w:tc>
        <w:tc>
          <w:tcPr>
            <w:tcW w:w="2200" w:type="pct"/>
            <w:shd w:val="clear" w:color="auto" w:fill="auto"/>
            <w:noWrap/>
            <w:vAlign w:val="center"/>
          </w:tcPr>
          <w:p w14:paraId="693AD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DN300，PN=1.0MPa</w:t>
            </w:r>
          </w:p>
        </w:tc>
        <w:tc>
          <w:tcPr>
            <w:tcW w:w="389" w:type="pct"/>
            <w:shd w:val="clear" w:color="auto" w:fill="auto"/>
            <w:noWrap/>
            <w:vAlign w:val="center"/>
          </w:tcPr>
          <w:p w14:paraId="65AAF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405C9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2029B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shd w:val="clear" w:color="auto" w:fill="auto"/>
            <w:noWrap/>
            <w:vAlign w:val="center"/>
          </w:tcPr>
          <w:p w14:paraId="32821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反洗废水总管</w:t>
            </w:r>
          </w:p>
        </w:tc>
      </w:tr>
      <w:tr w14:paraId="72AF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66304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691" w:type="pct"/>
            <w:shd w:val="clear" w:color="auto" w:fill="auto"/>
            <w:noWrap/>
            <w:vAlign w:val="center"/>
          </w:tcPr>
          <w:p w14:paraId="6D857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法兰盲板</w:t>
            </w:r>
          </w:p>
        </w:tc>
        <w:tc>
          <w:tcPr>
            <w:tcW w:w="2200" w:type="pct"/>
            <w:shd w:val="clear" w:color="auto" w:fill="auto"/>
            <w:noWrap/>
            <w:vAlign w:val="center"/>
          </w:tcPr>
          <w:p w14:paraId="55398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389" w:type="pct"/>
            <w:shd w:val="clear" w:color="auto" w:fill="auto"/>
            <w:noWrap/>
            <w:vAlign w:val="center"/>
          </w:tcPr>
          <w:p w14:paraId="3FE67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322" w:type="pct"/>
            <w:shd w:val="clear" w:color="auto" w:fill="auto"/>
            <w:noWrap/>
            <w:vAlign w:val="center"/>
          </w:tcPr>
          <w:p w14:paraId="0615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42" w:type="pct"/>
            <w:shd w:val="clear" w:color="auto" w:fill="auto"/>
            <w:noWrap/>
            <w:vAlign w:val="center"/>
          </w:tcPr>
          <w:p w14:paraId="071E2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shd w:val="clear" w:color="auto" w:fill="auto"/>
            <w:noWrap/>
            <w:vAlign w:val="center"/>
          </w:tcPr>
          <w:p w14:paraId="7CF74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反洗水管</w:t>
            </w:r>
          </w:p>
        </w:tc>
      </w:tr>
      <w:tr w14:paraId="623F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57778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691" w:type="pct"/>
            <w:shd w:val="clear" w:color="auto" w:fill="auto"/>
            <w:noWrap/>
            <w:vAlign w:val="center"/>
          </w:tcPr>
          <w:p w14:paraId="7E463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管道支架</w:t>
            </w:r>
          </w:p>
        </w:tc>
        <w:tc>
          <w:tcPr>
            <w:tcW w:w="2200" w:type="pct"/>
            <w:shd w:val="clear" w:color="auto" w:fill="auto"/>
            <w:noWrap/>
            <w:vAlign w:val="center"/>
          </w:tcPr>
          <w:p w14:paraId="6E96A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89" w:type="pct"/>
            <w:shd w:val="clear" w:color="auto" w:fill="auto"/>
            <w:noWrap/>
            <w:vAlign w:val="center"/>
          </w:tcPr>
          <w:p w14:paraId="0643B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22" w:type="pct"/>
            <w:shd w:val="clear" w:color="auto" w:fill="auto"/>
            <w:noWrap/>
            <w:vAlign w:val="center"/>
          </w:tcPr>
          <w:p w14:paraId="5E513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342" w:type="pct"/>
            <w:shd w:val="clear" w:color="auto" w:fill="auto"/>
            <w:noWrap/>
            <w:vAlign w:val="center"/>
          </w:tcPr>
          <w:p w14:paraId="3E42F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05" w:type="pct"/>
            <w:shd w:val="clear" w:color="auto" w:fill="auto"/>
            <w:noWrap/>
            <w:vAlign w:val="center"/>
          </w:tcPr>
          <w:p w14:paraId="25DBE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565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5F1A3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691" w:type="pct"/>
            <w:shd w:val="clear" w:color="auto" w:fill="auto"/>
            <w:noWrap/>
            <w:vAlign w:val="center"/>
          </w:tcPr>
          <w:p w14:paraId="39DF1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不锈钢栏杆</w:t>
            </w:r>
          </w:p>
        </w:tc>
        <w:tc>
          <w:tcPr>
            <w:tcW w:w="2200" w:type="pct"/>
            <w:shd w:val="clear" w:color="auto" w:fill="auto"/>
            <w:noWrap/>
            <w:vAlign w:val="center"/>
          </w:tcPr>
          <w:p w14:paraId="04C84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89" w:type="pct"/>
            <w:shd w:val="clear" w:color="auto" w:fill="auto"/>
            <w:noWrap/>
            <w:vAlign w:val="center"/>
          </w:tcPr>
          <w:p w14:paraId="358D0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322" w:type="pct"/>
            <w:shd w:val="clear" w:color="auto" w:fill="auto"/>
            <w:noWrap/>
            <w:vAlign w:val="center"/>
          </w:tcPr>
          <w:p w14:paraId="38464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42" w:type="pct"/>
            <w:shd w:val="clear" w:color="auto" w:fill="auto"/>
            <w:noWrap/>
            <w:vAlign w:val="center"/>
          </w:tcPr>
          <w:p w14:paraId="3695D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w:t>
            </w:r>
          </w:p>
        </w:tc>
        <w:tc>
          <w:tcPr>
            <w:tcW w:w="705" w:type="pct"/>
            <w:shd w:val="clear" w:color="auto" w:fill="auto"/>
            <w:noWrap/>
            <w:vAlign w:val="center"/>
          </w:tcPr>
          <w:p w14:paraId="218DF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做法详见建筑结构图纸</w:t>
            </w:r>
          </w:p>
        </w:tc>
      </w:tr>
      <w:tr w14:paraId="4656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shd w:val="clear" w:color="auto" w:fill="auto"/>
            <w:noWrap/>
            <w:vAlign w:val="center"/>
          </w:tcPr>
          <w:p w14:paraId="409FC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37</w:t>
            </w:r>
          </w:p>
        </w:tc>
        <w:tc>
          <w:tcPr>
            <w:tcW w:w="691" w:type="pct"/>
            <w:shd w:val="clear" w:color="auto" w:fill="auto"/>
            <w:noWrap/>
            <w:vAlign w:val="center"/>
          </w:tcPr>
          <w:p w14:paraId="46C4A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钢梯</w:t>
            </w:r>
          </w:p>
        </w:tc>
        <w:tc>
          <w:tcPr>
            <w:tcW w:w="2200" w:type="pct"/>
            <w:shd w:val="clear" w:color="auto" w:fill="auto"/>
            <w:noWrap/>
            <w:vAlign w:val="center"/>
          </w:tcPr>
          <w:p w14:paraId="35D08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89" w:type="pct"/>
            <w:shd w:val="clear" w:color="auto" w:fill="auto"/>
            <w:noWrap/>
            <w:vAlign w:val="center"/>
          </w:tcPr>
          <w:p w14:paraId="1DEA9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22" w:type="pct"/>
            <w:shd w:val="clear" w:color="auto" w:fill="auto"/>
            <w:noWrap/>
            <w:vAlign w:val="center"/>
          </w:tcPr>
          <w:p w14:paraId="3930B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42" w:type="pct"/>
            <w:shd w:val="clear" w:color="auto" w:fill="auto"/>
            <w:noWrap/>
            <w:vAlign w:val="center"/>
          </w:tcPr>
          <w:p w14:paraId="41CD5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05" w:type="pct"/>
            <w:shd w:val="clear" w:color="auto" w:fill="auto"/>
            <w:noWrap/>
            <w:vAlign w:val="center"/>
          </w:tcPr>
          <w:p w14:paraId="62241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做法详见建筑结构图纸</w:t>
            </w:r>
          </w:p>
        </w:tc>
      </w:tr>
    </w:tbl>
    <w:p w14:paraId="08A0460F">
      <w:pPr>
        <w:keepNext w:val="0"/>
        <w:keepLines w:val="0"/>
        <w:pageBreakBefore w:val="0"/>
        <w:widowControl/>
        <w:kinsoku/>
        <w:wordWrap/>
        <w:overflowPunct/>
        <w:topLinePunct w:val="0"/>
        <w:autoSpaceDE/>
        <w:autoSpaceDN/>
        <w:bidi w:val="0"/>
        <w:adjustRightInd/>
        <w:snapToGrid/>
        <w:ind w:left="0" w:leftChars="0" w:firstLine="482" w:firstLineChars="20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1.4一体化（装配式）AAO生化池（2组）：一体化（装配式）AAO生化池</w:t>
      </w:r>
      <w:r>
        <w:rPr>
          <w:rFonts w:hint="eastAsia" w:ascii="宋体" w:hAnsi="宋体" w:cs="宋体"/>
          <w:b/>
          <w:bCs/>
          <w:color w:val="auto"/>
          <w:sz w:val="24"/>
          <w:szCs w:val="24"/>
          <w:highlight w:val="none"/>
          <w:lang w:val="en-US" w:eastAsia="zh-CN"/>
        </w:rPr>
        <w:t>以满足工艺设备要求为准，由投标人根据清单及自身工艺可进行优化设计及清单报价。</w:t>
      </w:r>
    </w:p>
    <w:tbl>
      <w:tblPr>
        <w:tblStyle w:val="43"/>
        <w:tblW w:w="5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14"/>
        <w:gridCol w:w="4929"/>
        <w:gridCol w:w="884"/>
        <w:gridCol w:w="656"/>
        <w:gridCol w:w="683"/>
        <w:gridCol w:w="1435"/>
      </w:tblGrid>
      <w:tr w14:paraId="5178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9" w:type="pct"/>
            <w:shd w:val="clear" w:color="auto" w:fill="auto"/>
            <w:noWrap/>
            <w:vAlign w:val="center"/>
          </w:tcPr>
          <w:p w14:paraId="61486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编号</w:t>
            </w:r>
          </w:p>
        </w:tc>
        <w:tc>
          <w:tcPr>
            <w:tcW w:w="783" w:type="pct"/>
            <w:shd w:val="clear" w:color="auto" w:fill="auto"/>
            <w:noWrap/>
            <w:vAlign w:val="center"/>
          </w:tcPr>
          <w:p w14:paraId="33154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2254" w:type="pct"/>
            <w:shd w:val="clear" w:color="auto" w:fill="auto"/>
            <w:noWrap/>
            <w:vAlign w:val="center"/>
          </w:tcPr>
          <w:p w14:paraId="488D8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404" w:type="pct"/>
            <w:shd w:val="clear" w:color="auto" w:fill="auto"/>
            <w:noWrap/>
            <w:vAlign w:val="center"/>
          </w:tcPr>
          <w:p w14:paraId="34C98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300" w:type="pct"/>
            <w:shd w:val="clear" w:color="auto" w:fill="auto"/>
            <w:noWrap/>
            <w:vAlign w:val="center"/>
          </w:tcPr>
          <w:p w14:paraId="20AC2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312" w:type="pct"/>
            <w:shd w:val="clear" w:color="auto" w:fill="auto"/>
            <w:noWrap/>
            <w:vAlign w:val="center"/>
          </w:tcPr>
          <w:p w14:paraId="3CB63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656" w:type="pct"/>
            <w:shd w:val="clear" w:color="auto" w:fill="auto"/>
            <w:noWrap/>
            <w:vAlign w:val="center"/>
          </w:tcPr>
          <w:p w14:paraId="00250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082C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4B599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5EBC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5EB5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83" w:type="pct"/>
            <w:shd w:val="clear" w:color="auto" w:fill="auto"/>
            <w:noWrap/>
            <w:vAlign w:val="center"/>
          </w:tcPr>
          <w:p w14:paraId="3A507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池体</w:t>
            </w:r>
          </w:p>
        </w:tc>
        <w:tc>
          <w:tcPr>
            <w:tcW w:w="2254" w:type="pct"/>
            <w:shd w:val="clear" w:color="auto" w:fill="auto"/>
            <w:noWrap/>
            <w:vAlign w:val="center"/>
          </w:tcPr>
          <w:p w14:paraId="7D48A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池体为装配集成式生化池，具有公共建筑化的污水处理系统，外形简洁美观，地面无裸露管线，对人和环境友好，且满足50年设计使用年限要求，符合当地抗震抗风设计标准。池壁材质：铝合金或304不锈钢，防腐年限：50年，防渗年限：50年</w:t>
            </w:r>
          </w:p>
        </w:tc>
        <w:tc>
          <w:tcPr>
            <w:tcW w:w="404" w:type="pct"/>
            <w:shd w:val="clear" w:color="auto" w:fill="auto"/>
            <w:noWrap/>
            <w:vAlign w:val="center"/>
          </w:tcPr>
          <w:p w14:paraId="15E16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0522B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座</w:t>
            </w:r>
          </w:p>
        </w:tc>
        <w:tc>
          <w:tcPr>
            <w:tcW w:w="312" w:type="pct"/>
            <w:shd w:val="clear" w:color="auto" w:fill="auto"/>
            <w:noWrap/>
            <w:vAlign w:val="center"/>
          </w:tcPr>
          <w:p w14:paraId="28F8D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56" w:type="pct"/>
            <w:shd w:val="clear" w:color="auto" w:fill="auto"/>
            <w:noWrap/>
            <w:vAlign w:val="center"/>
          </w:tcPr>
          <w:p w14:paraId="2CD19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含走道、爬梯等</w:t>
            </w:r>
          </w:p>
        </w:tc>
      </w:tr>
      <w:tr w14:paraId="2D11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C528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83" w:type="pct"/>
            <w:shd w:val="clear" w:color="auto" w:fill="auto"/>
            <w:noWrap/>
            <w:vAlign w:val="center"/>
          </w:tcPr>
          <w:p w14:paraId="02A9F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管式曝气器</w:t>
            </w:r>
          </w:p>
        </w:tc>
        <w:tc>
          <w:tcPr>
            <w:tcW w:w="2254" w:type="pct"/>
            <w:shd w:val="clear" w:color="auto" w:fill="auto"/>
            <w:noWrap/>
            <w:vAlign w:val="center"/>
          </w:tcPr>
          <w:p w14:paraId="1BE78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φ92±3；有效长度l=1000mm，含安装座</w:t>
            </w:r>
          </w:p>
        </w:tc>
        <w:tc>
          <w:tcPr>
            <w:tcW w:w="404" w:type="pct"/>
            <w:shd w:val="clear" w:color="auto" w:fill="auto"/>
            <w:noWrap/>
            <w:vAlign w:val="center"/>
          </w:tcPr>
          <w:p w14:paraId="0CE13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4BEB3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12" w:type="pct"/>
            <w:shd w:val="clear" w:color="auto" w:fill="auto"/>
            <w:noWrap/>
            <w:vAlign w:val="center"/>
          </w:tcPr>
          <w:p w14:paraId="4D4B0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520</w:t>
            </w:r>
          </w:p>
        </w:tc>
        <w:tc>
          <w:tcPr>
            <w:tcW w:w="656" w:type="pct"/>
            <w:shd w:val="clear" w:color="auto" w:fill="auto"/>
            <w:noWrap/>
            <w:vAlign w:val="center"/>
          </w:tcPr>
          <w:p w14:paraId="2CFFA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材质TPU或硅橡胶</w:t>
            </w:r>
          </w:p>
        </w:tc>
      </w:tr>
      <w:tr w14:paraId="06DD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751E3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83" w:type="pct"/>
            <w:shd w:val="clear" w:color="auto" w:fill="auto"/>
            <w:noWrap/>
            <w:vAlign w:val="center"/>
          </w:tcPr>
          <w:p w14:paraId="38F79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潜水搅拌机1</w:t>
            </w:r>
          </w:p>
        </w:tc>
        <w:tc>
          <w:tcPr>
            <w:tcW w:w="2254" w:type="pct"/>
            <w:shd w:val="clear" w:color="auto" w:fill="auto"/>
            <w:noWrap/>
            <w:vAlign w:val="center"/>
          </w:tcPr>
          <w:p w14:paraId="78E13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N=5.0kW，电机能耗等级二级,不锈钢</w:t>
            </w:r>
          </w:p>
        </w:tc>
        <w:tc>
          <w:tcPr>
            <w:tcW w:w="404" w:type="pct"/>
            <w:shd w:val="clear" w:color="auto" w:fill="auto"/>
            <w:noWrap/>
            <w:vAlign w:val="center"/>
          </w:tcPr>
          <w:p w14:paraId="70D31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0CE34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12" w:type="pct"/>
            <w:shd w:val="clear" w:color="auto" w:fill="auto"/>
            <w:noWrap/>
            <w:vAlign w:val="center"/>
          </w:tcPr>
          <w:p w14:paraId="55985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56" w:type="pct"/>
            <w:shd w:val="clear" w:color="auto" w:fill="auto"/>
            <w:noWrap/>
            <w:vAlign w:val="center"/>
          </w:tcPr>
          <w:p w14:paraId="1849D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H=6.5m，配起吊装置</w:t>
            </w:r>
          </w:p>
        </w:tc>
      </w:tr>
      <w:tr w14:paraId="4CC8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FC04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83" w:type="pct"/>
            <w:shd w:val="clear" w:color="auto" w:fill="auto"/>
            <w:noWrap/>
            <w:vAlign w:val="center"/>
          </w:tcPr>
          <w:p w14:paraId="6BC1E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潜水搅拌机2</w:t>
            </w:r>
          </w:p>
        </w:tc>
        <w:tc>
          <w:tcPr>
            <w:tcW w:w="2254" w:type="pct"/>
            <w:shd w:val="clear" w:color="auto" w:fill="auto"/>
            <w:noWrap/>
            <w:vAlign w:val="center"/>
          </w:tcPr>
          <w:p w14:paraId="3C591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N=5.0kW，电机能耗等级二级，不锈钢</w:t>
            </w:r>
          </w:p>
        </w:tc>
        <w:tc>
          <w:tcPr>
            <w:tcW w:w="404" w:type="pct"/>
            <w:shd w:val="clear" w:color="auto" w:fill="auto"/>
            <w:noWrap/>
            <w:vAlign w:val="center"/>
          </w:tcPr>
          <w:p w14:paraId="3E791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7505D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12" w:type="pct"/>
            <w:shd w:val="clear" w:color="auto" w:fill="auto"/>
            <w:noWrap/>
            <w:vAlign w:val="center"/>
          </w:tcPr>
          <w:p w14:paraId="04710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6669F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H=6.5m，配起吊装置</w:t>
            </w:r>
          </w:p>
        </w:tc>
      </w:tr>
      <w:tr w14:paraId="3CA5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0D9F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783" w:type="pct"/>
            <w:shd w:val="clear" w:color="auto" w:fill="auto"/>
            <w:noWrap/>
            <w:vAlign w:val="center"/>
          </w:tcPr>
          <w:p w14:paraId="0DB92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潜水搅拌机3</w:t>
            </w:r>
          </w:p>
        </w:tc>
        <w:tc>
          <w:tcPr>
            <w:tcW w:w="2254" w:type="pct"/>
            <w:shd w:val="clear" w:color="auto" w:fill="auto"/>
            <w:noWrap/>
            <w:vAlign w:val="center"/>
          </w:tcPr>
          <w:p w14:paraId="518A1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N=5.0kW，电机能耗等级二级，不锈钢</w:t>
            </w:r>
          </w:p>
        </w:tc>
        <w:tc>
          <w:tcPr>
            <w:tcW w:w="404" w:type="pct"/>
            <w:shd w:val="clear" w:color="auto" w:fill="auto"/>
            <w:noWrap/>
            <w:vAlign w:val="center"/>
          </w:tcPr>
          <w:p w14:paraId="331D1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21A77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12" w:type="pct"/>
            <w:shd w:val="clear" w:color="auto" w:fill="auto"/>
            <w:noWrap/>
            <w:vAlign w:val="center"/>
          </w:tcPr>
          <w:p w14:paraId="65A29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56" w:type="pct"/>
            <w:shd w:val="clear" w:color="auto" w:fill="auto"/>
            <w:noWrap/>
            <w:vAlign w:val="center"/>
          </w:tcPr>
          <w:p w14:paraId="50504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H=6.5m，配起吊装置</w:t>
            </w:r>
          </w:p>
        </w:tc>
      </w:tr>
      <w:tr w14:paraId="1B73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FB84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783" w:type="pct"/>
            <w:shd w:val="clear" w:color="auto" w:fill="auto"/>
            <w:noWrap/>
            <w:vAlign w:val="center"/>
          </w:tcPr>
          <w:p w14:paraId="6EAC5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硝化液回流泵</w:t>
            </w:r>
          </w:p>
        </w:tc>
        <w:tc>
          <w:tcPr>
            <w:tcW w:w="2254" w:type="pct"/>
            <w:shd w:val="clear" w:color="auto" w:fill="auto"/>
            <w:noWrap/>
            <w:vAlign w:val="center"/>
          </w:tcPr>
          <w:p w14:paraId="75E2C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Q=900m3/h，H=1m，N=7.5kw，电机能耗等级二级</w:t>
            </w:r>
          </w:p>
        </w:tc>
        <w:tc>
          <w:tcPr>
            <w:tcW w:w="404" w:type="pct"/>
            <w:shd w:val="clear" w:color="auto" w:fill="auto"/>
            <w:noWrap/>
            <w:vAlign w:val="center"/>
          </w:tcPr>
          <w:p w14:paraId="3114B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15C57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12" w:type="pct"/>
            <w:shd w:val="clear" w:color="auto" w:fill="auto"/>
            <w:noWrap/>
            <w:vAlign w:val="center"/>
          </w:tcPr>
          <w:p w14:paraId="42500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1A34A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2用2备，轴流泵，配穿墙管、拍门、耦合及起吊装置，变频控制</w:t>
            </w:r>
          </w:p>
        </w:tc>
      </w:tr>
      <w:tr w14:paraId="1B68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5095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783" w:type="pct"/>
            <w:shd w:val="clear" w:color="auto" w:fill="auto"/>
            <w:noWrap/>
            <w:vAlign w:val="center"/>
          </w:tcPr>
          <w:p w14:paraId="5C58A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自吸污泥回流泵</w:t>
            </w:r>
          </w:p>
        </w:tc>
        <w:tc>
          <w:tcPr>
            <w:tcW w:w="2254" w:type="pct"/>
            <w:shd w:val="clear" w:color="auto" w:fill="auto"/>
            <w:noWrap/>
            <w:vAlign w:val="center"/>
          </w:tcPr>
          <w:p w14:paraId="5D930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Q=250m3/h，H=9m，N=11kw，电机能耗等级二级</w:t>
            </w:r>
          </w:p>
        </w:tc>
        <w:tc>
          <w:tcPr>
            <w:tcW w:w="404" w:type="pct"/>
            <w:shd w:val="clear" w:color="auto" w:fill="auto"/>
            <w:noWrap/>
            <w:vAlign w:val="center"/>
          </w:tcPr>
          <w:p w14:paraId="03791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49CA1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12" w:type="pct"/>
            <w:shd w:val="clear" w:color="auto" w:fill="auto"/>
            <w:noWrap/>
            <w:vAlign w:val="center"/>
          </w:tcPr>
          <w:p w14:paraId="132B5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0282F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2用2备，管道排污泵，变频控制</w:t>
            </w:r>
          </w:p>
        </w:tc>
      </w:tr>
      <w:tr w14:paraId="7257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259D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783" w:type="pct"/>
            <w:shd w:val="clear" w:color="auto" w:fill="auto"/>
            <w:noWrap/>
            <w:vAlign w:val="center"/>
          </w:tcPr>
          <w:p w14:paraId="1B0E8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手动对夹蝶阀</w:t>
            </w:r>
          </w:p>
        </w:tc>
        <w:tc>
          <w:tcPr>
            <w:tcW w:w="2254" w:type="pct"/>
            <w:shd w:val="clear" w:color="auto" w:fill="auto"/>
            <w:noWrap/>
            <w:vAlign w:val="center"/>
          </w:tcPr>
          <w:p w14:paraId="0D215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5CF17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2DB01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7EB17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656" w:type="pct"/>
            <w:shd w:val="clear" w:color="auto" w:fill="auto"/>
            <w:noWrap/>
            <w:vAlign w:val="center"/>
          </w:tcPr>
          <w:p w14:paraId="34DC1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污泥管、曝气管</w:t>
            </w:r>
          </w:p>
        </w:tc>
      </w:tr>
      <w:tr w14:paraId="09EF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4C90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783" w:type="pct"/>
            <w:shd w:val="clear" w:color="auto" w:fill="auto"/>
            <w:noWrap/>
            <w:vAlign w:val="center"/>
          </w:tcPr>
          <w:p w14:paraId="3ACF1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手动对夹蝶阀</w:t>
            </w:r>
          </w:p>
        </w:tc>
        <w:tc>
          <w:tcPr>
            <w:tcW w:w="2254" w:type="pct"/>
            <w:shd w:val="clear" w:color="auto" w:fill="auto"/>
            <w:noWrap/>
            <w:vAlign w:val="center"/>
          </w:tcPr>
          <w:p w14:paraId="3D993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789BA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74FAE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4FDF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656" w:type="pct"/>
            <w:shd w:val="clear" w:color="auto" w:fill="auto"/>
            <w:noWrap/>
            <w:vAlign w:val="center"/>
          </w:tcPr>
          <w:p w14:paraId="14D9C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6FA2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7BB30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783" w:type="pct"/>
            <w:shd w:val="clear" w:color="auto" w:fill="auto"/>
            <w:noWrap/>
            <w:vAlign w:val="center"/>
          </w:tcPr>
          <w:p w14:paraId="712F3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手动对夹蝶阀</w:t>
            </w:r>
          </w:p>
        </w:tc>
        <w:tc>
          <w:tcPr>
            <w:tcW w:w="2254" w:type="pct"/>
            <w:shd w:val="clear" w:color="auto" w:fill="auto"/>
            <w:noWrap/>
            <w:vAlign w:val="center"/>
          </w:tcPr>
          <w:p w14:paraId="3E502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404" w:type="pct"/>
            <w:shd w:val="clear" w:color="auto" w:fill="auto"/>
            <w:noWrap/>
            <w:vAlign w:val="center"/>
          </w:tcPr>
          <w:p w14:paraId="37B96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7EBC8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3F73C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72B16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0C7C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185A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783" w:type="pct"/>
            <w:shd w:val="clear" w:color="auto" w:fill="auto"/>
            <w:noWrap/>
            <w:vAlign w:val="center"/>
          </w:tcPr>
          <w:p w14:paraId="0817B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手动闸阀</w:t>
            </w:r>
          </w:p>
        </w:tc>
        <w:tc>
          <w:tcPr>
            <w:tcW w:w="2254" w:type="pct"/>
            <w:shd w:val="clear" w:color="auto" w:fill="auto"/>
            <w:noWrap/>
            <w:vAlign w:val="center"/>
          </w:tcPr>
          <w:p w14:paraId="47DCF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DN200，PN=1.0MPa</w:t>
            </w:r>
          </w:p>
        </w:tc>
        <w:tc>
          <w:tcPr>
            <w:tcW w:w="404" w:type="pct"/>
            <w:shd w:val="clear" w:color="auto" w:fill="auto"/>
            <w:noWrap/>
            <w:vAlign w:val="center"/>
          </w:tcPr>
          <w:p w14:paraId="70D09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71196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3FDC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49B87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污泥回流管</w:t>
            </w:r>
          </w:p>
        </w:tc>
      </w:tr>
      <w:tr w14:paraId="3443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27EA8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783" w:type="pct"/>
            <w:shd w:val="clear" w:color="auto" w:fill="auto"/>
            <w:noWrap/>
            <w:vAlign w:val="center"/>
          </w:tcPr>
          <w:p w14:paraId="742A7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手动闸阀</w:t>
            </w:r>
          </w:p>
        </w:tc>
        <w:tc>
          <w:tcPr>
            <w:tcW w:w="2254" w:type="pct"/>
            <w:shd w:val="clear" w:color="auto" w:fill="auto"/>
            <w:noWrap/>
            <w:vAlign w:val="center"/>
          </w:tcPr>
          <w:p w14:paraId="1EF35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404" w:type="pct"/>
            <w:shd w:val="clear" w:color="auto" w:fill="auto"/>
            <w:noWrap/>
            <w:vAlign w:val="center"/>
          </w:tcPr>
          <w:p w14:paraId="167DC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36F99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4904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0E2C2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2017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5794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783" w:type="pct"/>
            <w:shd w:val="clear" w:color="auto" w:fill="auto"/>
            <w:noWrap/>
            <w:vAlign w:val="center"/>
          </w:tcPr>
          <w:p w14:paraId="22E36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2254" w:type="pct"/>
            <w:shd w:val="clear" w:color="auto" w:fill="auto"/>
            <w:noWrap/>
            <w:vAlign w:val="center"/>
          </w:tcPr>
          <w:p w14:paraId="16A69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404" w:type="pct"/>
            <w:shd w:val="clear" w:color="auto" w:fill="auto"/>
            <w:noWrap/>
            <w:vAlign w:val="center"/>
          </w:tcPr>
          <w:p w14:paraId="596F6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2DE91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07073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560FC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2F8B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65976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783" w:type="pct"/>
            <w:shd w:val="clear" w:color="auto" w:fill="auto"/>
            <w:noWrap/>
            <w:vAlign w:val="center"/>
          </w:tcPr>
          <w:p w14:paraId="2BF63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可曲挠橡胶接头</w:t>
            </w:r>
          </w:p>
        </w:tc>
        <w:tc>
          <w:tcPr>
            <w:tcW w:w="2254" w:type="pct"/>
            <w:shd w:val="clear" w:color="auto" w:fill="auto"/>
            <w:noWrap/>
            <w:vAlign w:val="center"/>
          </w:tcPr>
          <w:p w14:paraId="54BAF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DN200，PN=1.0MPa</w:t>
            </w:r>
          </w:p>
        </w:tc>
        <w:tc>
          <w:tcPr>
            <w:tcW w:w="404" w:type="pct"/>
            <w:shd w:val="clear" w:color="auto" w:fill="auto"/>
            <w:noWrap/>
            <w:vAlign w:val="center"/>
          </w:tcPr>
          <w:p w14:paraId="64F74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00" w:type="pct"/>
            <w:shd w:val="clear" w:color="auto" w:fill="auto"/>
            <w:noWrap/>
            <w:vAlign w:val="center"/>
          </w:tcPr>
          <w:p w14:paraId="6C015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6E3D7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6B733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622E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71492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主要材料表</w:t>
            </w:r>
          </w:p>
        </w:tc>
      </w:tr>
      <w:tr w14:paraId="73A1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623B0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783" w:type="pct"/>
            <w:shd w:val="clear" w:color="auto" w:fill="auto"/>
            <w:noWrap/>
            <w:vAlign w:val="center"/>
          </w:tcPr>
          <w:p w14:paraId="3F96A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斜管填料</w:t>
            </w:r>
          </w:p>
        </w:tc>
        <w:tc>
          <w:tcPr>
            <w:tcW w:w="2254" w:type="pct"/>
            <w:shd w:val="clear" w:color="auto" w:fill="auto"/>
            <w:noWrap/>
            <w:vAlign w:val="center"/>
          </w:tcPr>
          <w:p w14:paraId="101F1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Φ50×1000mm</w:t>
            </w:r>
          </w:p>
        </w:tc>
        <w:tc>
          <w:tcPr>
            <w:tcW w:w="404" w:type="pct"/>
            <w:shd w:val="clear" w:color="auto" w:fill="auto"/>
            <w:noWrap/>
            <w:vAlign w:val="center"/>
          </w:tcPr>
          <w:p w14:paraId="09CCA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PP</w:t>
            </w:r>
          </w:p>
        </w:tc>
        <w:tc>
          <w:tcPr>
            <w:tcW w:w="300" w:type="pct"/>
            <w:shd w:val="clear" w:color="auto" w:fill="auto"/>
            <w:noWrap/>
            <w:vAlign w:val="center"/>
          </w:tcPr>
          <w:p w14:paraId="3CF8F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m3</w:t>
            </w:r>
          </w:p>
        </w:tc>
        <w:tc>
          <w:tcPr>
            <w:tcW w:w="312" w:type="pct"/>
            <w:shd w:val="clear" w:color="auto" w:fill="auto"/>
            <w:noWrap/>
            <w:vAlign w:val="center"/>
          </w:tcPr>
          <w:p w14:paraId="6F407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400</w:t>
            </w:r>
          </w:p>
        </w:tc>
        <w:tc>
          <w:tcPr>
            <w:tcW w:w="656" w:type="pct"/>
            <w:shd w:val="clear" w:color="auto" w:fill="auto"/>
            <w:noWrap/>
            <w:vAlign w:val="center"/>
          </w:tcPr>
          <w:p w14:paraId="59D79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沉淀池</w:t>
            </w:r>
          </w:p>
        </w:tc>
      </w:tr>
      <w:tr w14:paraId="2CA7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7EF35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783" w:type="pct"/>
            <w:shd w:val="clear" w:color="auto" w:fill="auto"/>
            <w:noWrap/>
            <w:vAlign w:val="center"/>
          </w:tcPr>
          <w:p w14:paraId="7E496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w:t>
            </w:r>
          </w:p>
        </w:tc>
        <w:tc>
          <w:tcPr>
            <w:tcW w:w="2254" w:type="pct"/>
            <w:shd w:val="clear" w:color="auto" w:fill="auto"/>
            <w:noWrap/>
            <w:vAlign w:val="center"/>
          </w:tcPr>
          <w:p w14:paraId="5E766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DN150，PN10，PN=1.0MPa</w:t>
            </w:r>
          </w:p>
        </w:tc>
        <w:tc>
          <w:tcPr>
            <w:tcW w:w="404" w:type="pct"/>
            <w:shd w:val="clear" w:color="auto" w:fill="auto"/>
            <w:noWrap/>
            <w:vAlign w:val="center"/>
          </w:tcPr>
          <w:p w14:paraId="674A9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652D3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353B5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656" w:type="pct"/>
            <w:shd w:val="clear" w:color="auto" w:fill="auto"/>
            <w:noWrap/>
            <w:vAlign w:val="center"/>
          </w:tcPr>
          <w:p w14:paraId="7FC44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3854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D454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783" w:type="pct"/>
            <w:shd w:val="clear" w:color="auto" w:fill="auto"/>
            <w:noWrap/>
            <w:vAlign w:val="center"/>
          </w:tcPr>
          <w:p w14:paraId="24296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w:t>
            </w:r>
          </w:p>
        </w:tc>
        <w:tc>
          <w:tcPr>
            <w:tcW w:w="2254" w:type="pct"/>
            <w:shd w:val="clear" w:color="auto" w:fill="auto"/>
            <w:noWrap/>
            <w:vAlign w:val="center"/>
          </w:tcPr>
          <w:p w14:paraId="33BE7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DN100，PN10，PN=1.0MPa</w:t>
            </w:r>
          </w:p>
        </w:tc>
        <w:tc>
          <w:tcPr>
            <w:tcW w:w="404" w:type="pct"/>
            <w:shd w:val="clear" w:color="auto" w:fill="auto"/>
            <w:noWrap/>
            <w:vAlign w:val="center"/>
          </w:tcPr>
          <w:p w14:paraId="60F0D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0AD79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682DE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305</w:t>
            </w:r>
          </w:p>
        </w:tc>
        <w:tc>
          <w:tcPr>
            <w:tcW w:w="656" w:type="pct"/>
            <w:shd w:val="clear" w:color="auto" w:fill="auto"/>
            <w:noWrap/>
            <w:vAlign w:val="center"/>
          </w:tcPr>
          <w:p w14:paraId="6A8AA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5206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35E81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783" w:type="pct"/>
            <w:shd w:val="clear" w:color="auto" w:fill="auto"/>
            <w:noWrap/>
            <w:vAlign w:val="center"/>
          </w:tcPr>
          <w:p w14:paraId="08B37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w:t>
            </w:r>
          </w:p>
        </w:tc>
        <w:tc>
          <w:tcPr>
            <w:tcW w:w="2254" w:type="pct"/>
            <w:shd w:val="clear" w:color="auto" w:fill="auto"/>
            <w:noWrap/>
            <w:vAlign w:val="center"/>
          </w:tcPr>
          <w:p w14:paraId="1DBA7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DN80，PN10，PN=1.0MPa</w:t>
            </w:r>
          </w:p>
        </w:tc>
        <w:tc>
          <w:tcPr>
            <w:tcW w:w="404" w:type="pct"/>
            <w:shd w:val="clear" w:color="auto" w:fill="auto"/>
            <w:noWrap/>
            <w:vAlign w:val="center"/>
          </w:tcPr>
          <w:p w14:paraId="64D7A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7F3A0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48706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297</w:t>
            </w:r>
          </w:p>
        </w:tc>
        <w:tc>
          <w:tcPr>
            <w:tcW w:w="656" w:type="pct"/>
            <w:shd w:val="clear" w:color="auto" w:fill="auto"/>
            <w:noWrap/>
            <w:vAlign w:val="center"/>
          </w:tcPr>
          <w:p w14:paraId="5D229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748A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5065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783" w:type="pct"/>
            <w:shd w:val="clear" w:color="auto" w:fill="auto"/>
            <w:noWrap/>
            <w:vAlign w:val="center"/>
          </w:tcPr>
          <w:p w14:paraId="119A9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18492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4ABF3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4F861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33068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0B609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306F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71E89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783" w:type="pct"/>
            <w:shd w:val="clear" w:color="auto" w:fill="auto"/>
            <w:noWrap/>
            <w:vAlign w:val="center"/>
          </w:tcPr>
          <w:p w14:paraId="4BD34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41D95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051F3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1CB48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00A62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w:t>
            </w:r>
          </w:p>
        </w:tc>
        <w:tc>
          <w:tcPr>
            <w:tcW w:w="656" w:type="pct"/>
            <w:shd w:val="clear" w:color="auto" w:fill="auto"/>
            <w:noWrap/>
            <w:vAlign w:val="center"/>
          </w:tcPr>
          <w:p w14:paraId="5BCB4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662F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2BE29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783" w:type="pct"/>
            <w:shd w:val="clear" w:color="auto" w:fill="auto"/>
            <w:noWrap/>
            <w:vAlign w:val="center"/>
          </w:tcPr>
          <w:p w14:paraId="311DA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45036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404" w:type="pct"/>
            <w:shd w:val="clear" w:color="auto" w:fill="auto"/>
            <w:noWrap/>
            <w:vAlign w:val="center"/>
          </w:tcPr>
          <w:p w14:paraId="24E1F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1F336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0A31D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w:t>
            </w:r>
          </w:p>
        </w:tc>
        <w:tc>
          <w:tcPr>
            <w:tcW w:w="656" w:type="pct"/>
            <w:shd w:val="clear" w:color="auto" w:fill="auto"/>
            <w:noWrap/>
            <w:vAlign w:val="center"/>
          </w:tcPr>
          <w:p w14:paraId="6FD7E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22E8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64888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783" w:type="pct"/>
            <w:shd w:val="clear" w:color="auto" w:fill="auto"/>
            <w:noWrap/>
            <w:vAlign w:val="center"/>
          </w:tcPr>
          <w:p w14:paraId="0BD0A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45°弯头</w:t>
            </w:r>
          </w:p>
        </w:tc>
        <w:tc>
          <w:tcPr>
            <w:tcW w:w="2254" w:type="pct"/>
            <w:shd w:val="clear" w:color="auto" w:fill="auto"/>
            <w:noWrap/>
            <w:vAlign w:val="center"/>
          </w:tcPr>
          <w:p w14:paraId="1764C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427C7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0024D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30E5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32BDD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77AB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F976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83" w:type="pct"/>
            <w:shd w:val="clear" w:color="auto" w:fill="auto"/>
            <w:noWrap/>
            <w:vAlign w:val="center"/>
          </w:tcPr>
          <w:p w14:paraId="1A39C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45°弯头</w:t>
            </w:r>
          </w:p>
        </w:tc>
        <w:tc>
          <w:tcPr>
            <w:tcW w:w="2254" w:type="pct"/>
            <w:shd w:val="clear" w:color="auto" w:fill="auto"/>
            <w:noWrap/>
            <w:vAlign w:val="center"/>
          </w:tcPr>
          <w:p w14:paraId="0519E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7404D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37CF7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C926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52</w:t>
            </w:r>
          </w:p>
        </w:tc>
        <w:tc>
          <w:tcPr>
            <w:tcW w:w="656" w:type="pct"/>
            <w:shd w:val="clear" w:color="auto" w:fill="auto"/>
            <w:noWrap/>
            <w:vAlign w:val="center"/>
          </w:tcPr>
          <w:p w14:paraId="4EF6C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3BE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9A82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783" w:type="pct"/>
            <w:shd w:val="clear" w:color="auto" w:fill="auto"/>
            <w:noWrap/>
            <w:vAlign w:val="center"/>
          </w:tcPr>
          <w:p w14:paraId="6387E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45°弯头</w:t>
            </w:r>
          </w:p>
        </w:tc>
        <w:tc>
          <w:tcPr>
            <w:tcW w:w="2254" w:type="pct"/>
            <w:shd w:val="clear" w:color="auto" w:fill="auto"/>
            <w:noWrap/>
            <w:vAlign w:val="center"/>
          </w:tcPr>
          <w:p w14:paraId="1D574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404" w:type="pct"/>
            <w:shd w:val="clear" w:color="auto" w:fill="auto"/>
            <w:noWrap/>
            <w:vAlign w:val="center"/>
          </w:tcPr>
          <w:p w14:paraId="5FE0E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2E2A3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0EEA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656" w:type="pct"/>
            <w:shd w:val="clear" w:color="auto" w:fill="auto"/>
            <w:noWrap/>
            <w:vAlign w:val="center"/>
          </w:tcPr>
          <w:p w14:paraId="33979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7DF1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3005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783" w:type="pct"/>
            <w:shd w:val="clear" w:color="auto" w:fill="auto"/>
            <w:noWrap/>
            <w:vAlign w:val="center"/>
          </w:tcPr>
          <w:p w14:paraId="4F633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活套法兰</w:t>
            </w:r>
          </w:p>
        </w:tc>
        <w:tc>
          <w:tcPr>
            <w:tcW w:w="2254" w:type="pct"/>
            <w:shd w:val="clear" w:color="auto" w:fill="auto"/>
            <w:noWrap/>
            <w:vAlign w:val="center"/>
          </w:tcPr>
          <w:p w14:paraId="08E4B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69A01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45DF3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40524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5C4E5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3CB3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A1FB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783" w:type="pct"/>
            <w:shd w:val="clear" w:color="auto" w:fill="auto"/>
            <w:noWrap/>
            <w:vAlign w:val="center"/>
          </w:tcPr>
          <w:p w14:paraId="429C2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活套法兰</w:t>
            </w:r>
          </w:p>
        </w:tc>
        <w:tc>
          <w:tcPr>
            <w:tcW w:w="2254" w:type="pct"/>
            <w:shd w:val="clear" w:color="auto" w:fill="auto"/>
            <w:noWrap/>
            <w:vAlign w:val="center"/>
          </w:tcPr>
          <w:p w14:paraId="76512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01CDD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242E1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4513E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656" w:type="pct"/>
            <w:shd w:val="clear" w:color="auto" w:fill="auto"/>
            <w:noWrap/>
            <w:vAlign w:val="center"/>
          </w:tcPr>
          <w:p w14:paraId="7BBA5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6DF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0C81F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783" w:type="pct"/>
            <w:shd w:val="clear" w:color="auto" w:fill="auto"/>
            <w:noWrap/>
            <w:vAlign w:val="center"/>
          </w:tcPr>
          <w:p w14:paraId="5B4D1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活套法兰</w:t>
            </w:r>
          </w:p>
        </w:tc>
        <w:tc>
          <w:tcPr>
            <w:tcW w:w="2254" w:type="pct"/>
            <w:shd w:val="clear" w:color="auto" w:fill="auto"/>
            <w:noWrap/>
            <w:vAlign w:val="center"/>
          </w:tcPr>
          <w:p w14:paraId="32E021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404" w:type="pct"/>
            <w:shd w:val="clear" w:color="auto" w:fill="auto"/>
            <w:noWrap/>
            <w:vAlign w:val="center"/>
          </w:tcPr>
          <w:p w14:paraId="583E5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12617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79FF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56AF3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040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82B6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783" w:type="pct"/>
            <w:shd w:val="clear" w:color="auto" w:fill="auto"/>
            <w:noWrap/>
            <w:vAlign w:val="center"/>
          </w:tcPr>
          <w:p w14:paraId="19C6C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正三通</w:t>
            </w:r>
          </w:p>
        </w:tc>
        <w:tc>
          <w:tcPr>
            <w:tcW w:w="2254" w:type="pct"/>
            <w:shd w:val="clear" w:color="auto" w:fill="auto"/>
            <w:noWrap/>
            <w:vAlign w:val="center"/>
          </w:tcPr>
          <w:p w14:paraId="213AF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5ED16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08E5B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4086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17B8A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1F76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09CB8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783" w:type="pct"/>
            <w:shd w:val="clear" w:color="auto" w:fill="auto"/>
            <w:noWrap/>
            <w:vAlign w:val="center"/>
          </w:tcPr>
          <w:p w14:paraId="2EBC0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正三通</w:t>
            </w:r>
          </w:p>
        </w:tc>
        <w:tc>
          <w:tcPr>
            <w:tcW w:w="2254" w:type="pct"/>
            <w:shd w:val="clear" w:color="auto" w:fill="auto"/>
            <w:noWrap/>
            <w:vAlign w:val="center"/>
          </w:tcPr>
          <w:p w14:paraId="15606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4C5E2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01511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18C4B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656" w:type="pct"/>
            <w:shd w:val="clear" w:color="auto" w:fill="auto"/>
            <w:noWrap/>
            <w:vAlign w:val="center"/>
          </w:tcPr>
          <w:p w14:paraId="42C08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568E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F17E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783" w:type="pct"/>
            <w:shd w:val="clear" w:color="auto" w:fill="auto"/>
            <w:noWrap/>
            <w:vAlign w:val="center"/>
          </w:tcPr>
          <w:p w14:paraId="76D97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补芯</w:t>
            </w:r>
          </w:p>
        </w:tc>
        <w:tc>
          <w:tcPr>
            <w:tcW w:w="2254" w:type="pct"/>
            <w:shd w:val="clear" w:color="auto" w:fill="auto"/>
            <w:noWrap/>
            <w:vAlign w:val="center"/>
          </w:tcPr>
          <w:p w14:paraId="7130A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DN150-100，PN=1.0MPa</w:t>
            </w:r>
          </w:p>
        </w:tc>
        <w:tc>
          <w:tcPr>
            <w:tcW w:w="404" w:type="pct"/>
            <w:shd w:val="clear" w:color="auto" w:fill="auto"/>
            <w:noWrap/>
            <w:vAlign w:val="center"/>
          </w:tcPr>
          <w:p w14:paraId="559A0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7A6B5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4A98B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4E293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217D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77CF1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783" w:type="pct"/>
            <w:shd w:val="clear" w:color="auto" w:fill="auto"/>
            <w:noWrap/>
            <w:vAlign w:val="center"/>
          </w:tcPr>
          <w:p w14:paraId="17529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补芯</w:t>
            </w:r>
          </w:p>
        </w:tc>
        <w:tc>
          <w:tcPr>
            <w:tcW w:w="2254" w:type="pct"/>
            <w:shd w:val="clear" w:color="auto" w:fill="auto"/>
            <w:noWrap/>
            <w:vAlign w:val="center"/>
          </w:tcPr>
          <w:p w14:paraId="227D5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DN100-80，PN=1.0MPa</w:t>
            </w:r>
          </w:p>
        </w:tc>
        <w:tc>
          <w:tcPr>
            <w:tcW w:w="404" w:type="pct"/>
            <w:shd w:val="clear" w:color="auto" w:fill="auto"/>
            <w:noWrap/>
            <w:vAlign w:val="center"/>
          </w:tcPr>
          <w:p w14:paraId="054FC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UPVC</w:t>
            </w:r>
          </w:p>
        </w:tc>
        <w:tc>
          <w:tcPr>
            <w:tcW w:w="300" w:type="pct"/>
            <w:shd w:val="clear" w:color="auto" w:fill="auto"/>
            <w:noWrap/>
            <w:vAlign w:val="center"/>
          </w:tcPr>
          <w:p w14:paraId="33689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4D2D8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52</w:t>
            </w:r>
          </w:p>
        </w:tc>
        <w:tc>
          <w:tcPr>
            <w:tcW w:w="656" w:type="pct"/>
            <w:shd w:val="clear" w:color="auto" w:fill="auto"/>
            <w:noWrap/>
            <w:vAlign w:val="center"/>
          </w:tcPr>
          <w:p w14:paraId="4FCAB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3C8D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67025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w:t>
            </w:r>
          </w:p>
        </w:tc>
        <w:tc>
          <w:tcPr>
            <w:tcW w:w="783" w:type="pct"/>
            <w:shd w:val="clear" w:color="auto" w:fill="auto"/>
            <w:noWrap/>
            <w:vAlign w:val="center"/>
          </w:tcPr>
          <w:p w14:paraId="55F2C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54" w:type="pct"/>
            <w:shd w:val="clear" w:color="auto" w:fill="auto"/>
            <w:noWrap/>
            <w:vAlign w:val="center"/>
          </w:tcPr>
          <w:p w14:paraId="16EB3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D273×8.0，PN=1.0MPa</w:t>
            </w:r>
          </w:p>
        </w:tc>
        <w:tc>
          <w:tcPr>
            <w:tcW w:w="404" w:type="pct"/>
            <w:shd w:val="clear" w:color="auto" w:fill="auto"/>
            <w:noWrap/>
            <w:vAlign w:val="center"/>
          </w:tcPr>
          <w:p w14:paraId="341BD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3A190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525DD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140</w:t>
            </w:r>
          </w:p>
        </w:tc>
        <w:tc>
          <w:tcPr>
            <w:tcW w:w="656" w:type="pct"/>
            <w:shd w:val="clear" w:color="auto" w:fill="auto"/>
            <w:noWrap/>
            <w:vAlign w:val="center"/>
          </w:tcPr>
          <w:p w14:paraId="1A8F6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2EFE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2C3E4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w:t>
            </w:r>
          </w:p>
        </w:tc>
        <w:tc>
          <w:tcPr>
            <w:tcW w:w="783" w:type="pct"/>
            <w:shd w:val="clear" w:color="auto" w:fill="auto"/>
            <w:noWrap/>
            <w:vAlign w:val="center"/>
          </w:tcPr>
          <w:p w14:paraId="4E178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54" w:type="pct"/>
            <w:shd w:val="clear" w:color="auto" w:fill="auto"/>
            <w:noWrap/>
            <w:vAlign w:val="center"/>
          </w:tcPr>
          <w:p w14:paraId="70769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D219×6.0，PN=1.0MPa</w:t>
            </w:r>
          </w:p>
        </w:tc>
        <w:tc>
          <w:tcPr>
            <w:tcW w:w="404" w:type="pct"/>
            <w:shd w:val="clear" w:color="auto" w:fill="auto"/>
            <w:noWrap/>
            <w:vAlign w:val="center"/>
          </w:tcPr>
          <w:p w14:paraId="25BC1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0D4A9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37D21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15CE8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18BB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64256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783" w:type="pct"/>
            <w:shd w:val="clear" w:color="auto" w:fill="auto"/>
            <w:noWrap/>
            <w:vAlign w:val="center"/>
          </w:tcPr>
          <w:p w14:paraId="7D08F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54" w:type="pct"/>
            <w:shd w:val="clear" w:color="auto" w:fill="auto"/>
            <w:noWrap/>
            <w:vAlign w:val="center"/>
          </w:tcPr>
          <w:p w14:paraId="0D2BA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D159×4.5，PN=1.0MPa</w:t>
            </w:r>
          </w:p>
        </w:tc>
        <w:tc>
          <w:tcPr>
            <w:tcW w:w="404" w:type="pct"/>
            <w:shd w:val="clear" w:color="auto" w:fill="auto"/>
            <w:noWrap/>
            <w:vAlign w:val="center"/>
          </w:tcPr>
          <w:p w14:paraId="2EFD0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79277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2EA94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96</w:t>
            </w:r>
          </w:p>
        </w:tc>
        <w:tc>
          <w:tcPr>
            <w:tcW w:w="656" w:type="pct"/>
            <w:shd w:val="clear" w:color="auto" w:fill="auto"/>
            <w:noWrap/>
            <w:vAlign w:val="center"/>
          </w:tcPr>
          <w:p w14:paraId="1B3C0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38DE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09804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783" w:type="pct"/>
            <w:shd w:val="clear" w:color="auto" w:fill="auto"/>
            <w:noWrap/>
            <w:vAlign w:val="center"/>
          </w:tcPr>
          <w:p w14:paraId="708C6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1B06D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D250，PN=1.0MPa</w:t>
            </w:r>
          </w:p>
        </w:tc>
        <w:tc>
          <w:tcPr>
            <w:tcW w:w="404" w:type="pct"/>
            <w:shd w:val="clear" w:color="auto" w:fill="auto"/>
            <w:noWrap/>
            <w:vAlign w:val="center"/>
          </w:tcPr>
          <w:p w14:paraId="270CA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308ED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61C9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33AD7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1B34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8A2F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783" w:type="pct"/>
            <w:shd w:val="clear" w:color="auto" w:fill="auto"/>
            <w:noWrap/>
            <w:vAlign w:val="center"/>
          </w:tcPr>
          <w:p w14:paraId="63E99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1C40D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D250，PN=1.0MPa</w:t>
            </w:r>
          </w:p>
        </w:tc>
        <w:tc>
          <w:tcPr>
            <w:tcW w:w="404" w:type="pct"/>
            <w:shd w:val="clear" w:color="auto" w:fill="auto"/>
            <w:noWrap/>
            <w:vAlign w:val="center"/>
          </w:tcPr>
          <w:p w14:paraId="04C98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10B9B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7F40B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656" w:type="pct"/>
            <w:shd w:val="clear" w:color="auto" w:fill="auto"/>
            <w:noWrap/>
            <w:vAlign w:val="center"/>
          </w:tcPr>
          <w:p w14:paraId="55991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7BE4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0BBA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37</w:t>
            </w:r>
          </w:p>
        </w:tc>
        <w:tc>
          <w:tcPr>
            <w:tcW w:w="783" w:type="pct"/>
            <w:shd w:val="clear" w:color="auto" w:fill="auto"/>
            <w:noWrap/>
            <w:vAlign w:val="center"/>
          </w:tcPr>
          <w:p w14:paraId="4A7ED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561FE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D200，PN=1.0MPa</w:t>
            </w:r>
          </w:p>
        </w:tc>
        <w:tc>
          <w:tcPr>
            <w:tcW w:w="404" w:type="pct"/>
            <w:shd w:val="clear" w:color="auto" w:fill="auto"/>
            <w:noWrap/>
            <w:vAlign w:val="center"/>
          </w:tcPr>
          <w:p w14:paraId="1B86F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26D68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D7E5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656" w:type="pct"/>
            <w:shd w:val="clear" w:color="auto" w:fill="auto"/>
            <w:noWrap/>
            <w:vAlign w:val="center"/>
          </w:tcPr>
          <w:p w14:paraId="771B8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7F60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00026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38</w:t>
            </w:r>
          </w:p>
        </w:tc>
        <w:tc>
          <w:tcPr>
            <w:tcW w:w="783" w:type="pct"/>
            <w:shd w:val="clear" w:color="auto" w:fill="auto"/>
            <w:noWrap/>
            <w:vAlign w:val="center"/>
          </w:tcPr>
          <w:p w14:paraId="00B57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77FB0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D150，PN=1.0MPa</w:t>
            </w:r>
          </w:p>
        </w:tc>
        <w:tc>
          <w:tcPr>
            <w:tcW w:w="404" w:type="pct"/>
            <w:shd w:val="clear" w:color="auto" w:fill="auto"/>
            <w:noWrap/>
            <w:vAlign w:val="center"/>
          </w:tcPr>
          <w:p w14:paraId="4EB95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278E9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571D0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80</w:t>
            </w:r>
          </w:p>
        </w:tc>
        <w:tc>
          <w:tcPr>
            <w:tcW w:w="656" w:type="pct"/>
            <w:shd w:val="clear" w:color="auto" w:fill="auto"/>
            <w:noWrap/>
            <w:vAlign w:val="center"/>
          </w:tcPr>
          <w:p w14:paraId="039D0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033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2F9E0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39</w:t>
            </w:r>
          </w:p>
        </w:tc>
        <w:tc>
          <w:tcPr>
            <w:tcW w:w="783" w:type="pct"/>
            <w:shd w:val="clear" w:color="auto" w:fill="auto"/>
            <w:noWrap/>
            <w:vAlign w:val="center"/>
          </w:tcPr>
          <w:p w14:paraId="2D221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钢制法兰盲板</w:t>
            </w:r>
          </w:p>
        </w:tc>
        <w:tc>
          <w:tcPr>
            <w:tcW w:w="2254" w:type="pct"/>
            <w:shd w:val="clear" w:color="auto" w:fill="auto"/>
            <w:noWrap/>
            <w:vAlign w:val="center"/>
          </w:tcPr>
          <w:p w14:paraId="15F33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404" w:type="pct"/>
            <w:shd w:val="clear" w:color="auto" w:fill="auto"/>
            <w:noWrap/>
            <w:vAlign w:val="center"/>
          </w:tcPr>
          <w:p w14:paraId="00587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58200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62A3E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56" w:type="pct"/>
            <w:shd w:val="clear" w:color="auto" w:fill="auto"/>
            <w:noWrap/>
            <w:vAlign w:val="center"/>
          </w:tcPr>
          <w:p w14:paraId="43F0E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593D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620D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783" w:type="pct"/>
            <w:shd w:val="clear" w:color="auto" w:fill="auto"/>
            <w:noWrap/>
            <w:vAlign w:val="center"/>
          </w:tcPr>
          <w:p w14:paraId="3709E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同心异径管</w:t>
            </w:r>
          </w:p>
        </w:tc>
        <w:tc>
          <w:tcPr>
            <w:tcW w:w="2254" w:type="pct"/>
            <w:shd w:val="clear" w:color="auto" w:fill="auto"/>
            <w:noWrap/>
            <w:vAlign w:val="center"/>
          </w:tcPr>
          <w:p w14:paraId="15AC8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DN250-200，PN=1.0MPa</w:t>
            </w:r>
          </w:p>
        </w:tc>
        <w:tc>
          <w:tcPr>
            <w:tcW w:w="404" w:type="pct"/>
            <w:shd w:val="clear" w:color="auto" w:fill="auto"/>
            <w:noWrap/>
            <w:vAlign w:val="center"/>
          </w:tcPr>
          <w:p w14:paraId="33723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69072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02D92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60CB6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污泥管</w:t>
            </w:r>
          </w:p>
        </w:tc>
      </w:tr>
      <w:tr w14:paraId="495C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3ABF6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w:t>
            </w:r>
          </w:p>
        </w:tc>
        <w:tc>
          <w:tcPr>
            <w:tcW w:w="783" w:type="pct"/>
            <w:shd w:val="clear" w:color="auto" w:fill="auto"/>
            <w:noWrap/>
            <w:vAlign w:val="center"/>
          </w:tcPr>
          <w:p w14:paraId="67D29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54" w:type="pct"/>
            <w:shd w:val="clear" w:color="auto" w:fill="auto"/>
            <w:noWrap/>
            <w:vAlign w:val="center"/>
          </w:tcPr>
          <w:p w14:paraId="2FE7F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D273×6.0，PN=1.0MPa</w:t>
            </w:r>
          </w:p>
        </w:tc>
        <w:tc>
          <w:tcPr>
            <w:tcW w:w="404" w:type="pct"/>
            <w:shd w:val="clear" w:color="auto" w:fill="auto"/>
            <w:noWrap/>
            <w:vAlign w:val="center"/>
          </w:tcPr>
          <w:p w14:paraId="0F6A2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237335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57AB5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61</w:t>
            </w:r>
          </w:p>
        </w:tc>
        <w:tc>
          <w:tcPr>
            <w:tcW w:w="656" w:type="pct"/>
            <w:shd w:val="clear" w:color="auto" w:fill="auto"/>
            <w:noWrap/>
            <w:vAlign w:val="center"/>
          </w:tcPr>
          <w:p w14:paraId="21282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6D26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2CB0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w:t>
            </w:r>
          </w:p>
        </w:tc>
        <w:tc>
          <w:tcPr>
            <w:tcW w:w="783" w:type="pct"/>
            <w:shd w:val="clear" w:color="auto" w:fill="auto"/>
            <w:noWrap/>
            <w:vAlign w:val="center"/>
          </w:tcPr>
          <w:p w14:paraId="1970F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54" w:type="pct"/>
            <w:shd w:val="clear" w:color="auto" w:fill="auto"/>
            <w:noWrap/>
            <w:vAlign w:val="center"/>
          </w:tcPr>
          <w:p w14:paraId="5123B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D159×3.0，PN=1.0MPa</w:t>
            </w:r>
          </w:p>
        </w:tc>
        <w:tc>
          <w:tcPr>
            <w:tcW w:w="404" w:type="pct"/>
            <w:shd w:val="clear" w:color="auto" w:fill="auto"/>
            <w:noWrap/>
            <w:vAlign w:val="center"/>
          </w:tcPr>
          <w:p w14:paraId="5FD68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32CAD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254BD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170</w:t>
            </w:r>
          </w:p>
        </w:tc>
        <w:tc>
          <w:tcPr>
            <w:tcW w:w="656" w:type="pct"/>
            <w:shd w:val="clear" w:color="auto" w:fill="auto"/>
            <w:noWrap/>
            <w:vAlign w:val="center"/>
          </w:tcPr>
          <w:p w14:paraId="5C35E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2E60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D116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w:t>
            </w:r>
          </w:p>
        </w:tc>
        <w:tc>
          <w:tcPr>
            <w:tcW w:w="783" w:type="pct"/>
            <w:shd w:val="clear" w:color="auto" w:fill="auto"/>
            <w:noWrap/>
            <w:vAlign w:val="center"/>
          </w:tcPr>
          <w:p w14:paraId="57084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54" w:type="pct"/>
            <w:shd w:val="clear" w:color="auto" w:fill="auto"/>
            <w:noWrap/>
            <w:vAlign w:val="center"/>
          </w:tcPr>
          <w:p w14:paraId="454E1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D108×3.5，PN=1.0MPa</w:t>
            </w:r>
          </w:p>
        </w:tc>
        <w:tc>
          <w:tcPr>
            <w:tcW w:w="404" w:type="pct"/>
            <w:shd w:val="clear" w:color="auto" w:fill="auto"/>
            <w:noWrap/>
            <w:vAlign w:val="center"/>
          </w:tcPr>
          <w:p w14:paraId="53FE5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099D9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6DA75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656" w:type="pct"/>
            <w:shd w:val="clear" w:color="auto" w:fill="auto"/>
            <w:noWrap/>
            <w:vAlign w:val="center"/>
          </w:tcPr>
          <w:p w14:paraId="4A6DD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2FC9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C215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w:t>
            </w:r>
          </w:p>
        </w:tc>
        <w:tc>
          <w:tcPr>
            <w:tcW w:w="783" w:type="pct"/>
            <w:shd w:val="clear" w:color="auto" w:fill="auto"/>
            <w:noWrap/>
            <w:vAlign w:val="center"/>
          </w:tcPr>
          <w:p w14:paraId="2D130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2254" w:type="pct"/>
            <w:shd w:val="clear" w:color="auto" w:fill="auto"/>
            <w:noWrap/>
            <w:vAlign w:val="center"/>
          </w:tcPr>
          <w:p w14:paraId="0F397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D89×3.5，PN=1.0MPa</w:t>
            </w:r>
          </w:p>
        </w:tc>
        <w:tc>
          <w:tcPr>
            <w:tcW w:w="404" w:type="pct"/>
            <w:shd w:val="clear" w:color="auto" w:fill="auto"/>
            <w:noWrap/>
            <w:vAlign w:val="center"/>
          </w:tcPr>
          <w:p w14:paraId="05928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5E901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312" w:type="pct"/>
            <w:shd w:val="clear" w:color="auto" w:fill="auto"/>
            <w:noWrap/>
            <w:vAlign w:val="center"/>
          </w:tcPr>
          <w:p w14:paraId="39BFC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56" w:type="pct"/>
            <w:shd w:val="clear" w:color="auto" w:fill="auto"/>
            <w:noWrap/>
            <w:vAlign w:val="center"/>
          </w:tcPr>
          <w:p w14:paraId="25D24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0311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0EB9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w:t>
            </w:r>
          </w:p>
        </w:tc>
        <w:tc>
          <w:tcPr>
            <w:tcW w:w="783" w:type="pct"/>
            <w:shd w:val="clear" w:color="auto" w:fill="auto"/>
            <w:noWrap/>
            <w:vAlign w:val="center"/>
          </w:tcPr>
          <w:p w14:paraId="0F892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31091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404" w:type="pct"/>
            <w:shd w:val="clear" w:color="auto" w:fill="auto"/>
            <w:noWrap/>
            <w:vAlign w:val="center"/>
          </w:tcPr>
          <w:p w14:paraId="2C600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3D7EA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43B93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0F96E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2450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37E5C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46</w:t>
            </w:r>
          </w:p>
        </w:tc>
        <w:tc>
          <w:tcPr>
            <w:tcW w:w="783" w:type="pct"/>
            <w:shd w:val="clear" w:color="auto" w:fill="auto"/>
            <w:noWrap/>
            <w:vAlign w:val="center"/>
          </w:tcPr>
          <w:p w14:paraId="34862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69E3D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46D6A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12DC2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6FEBE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56" w:type="pct"/>
            <w:shd w:val="clear" w:color="auto" w:fill="auto"/>
            <w:noWrap/>
            <w:vAlign w:val="center"/>
          </w:tcPr>
          <w:p w14:paraId="017F9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514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7AE01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47</w:t>
            </w:r>
          </w:p>
        </w:tc>
        <w:tc>
          <w:tcPr>
            <w:tcW w:w="783" w:type="pct"/>
            <w:shd w:val="clear" w:color="auto" w:fill="auto"/>
            <w:noWrap/>
            <w:vAlign w:val="center"/>
          </w:tcPr>
          <w:p w14:paraId="5FD38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22631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394AE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6F8ED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21E4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656" w:type="pct"/>
            <w:shd w:val="clear" w:color="auto" w:fill="auto"/>
            <w:noWrap/>
            <w:vAlign w:val="center"/>
          </w:tcPr>
          <w:p w14:paraId="770E0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004D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33CD6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48</w:t>
            </w:r>
          </w:p>
        </w:tc>
        <w:tc>
          <w:tcPr>
            <w:tcW w:w="783" w:type="pct"/>
            <w:shd w:val="clear" w:color="auto" w:fill="auto"/>
            <w:noWrap/>
            <w:vAlign w:val="center"/>
          </w:tcPr>
          <w:p w14:paraId="6FF82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2254" w:type="pct"/>
            <w:shd w:val="clear" w:color="auto" w:fill="auto"/>
            <w:noWrap/>
            <w:vAlign w:val="center"/>
          </w:tcPr>
          <w:p w14:paraId="6C15B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D80，PN=1.0MPa</w:t>
            </w:r>
          </w:p>
        </w:tc>
        <w:tc>
          <w:tcPr>
            <w:tcW w:w="404" w:type="pct"/>
            <w:shd w:val="clear" w:color="auto" w:fill="auto"/>
            <w:noWrap/>
            <w:vAlign w:val="center"/>
          </w:tcPr>
          <w:p w14:paraId="19BB0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0D400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098C4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56" w:type="pct"/>
            <w:shd w:val="clear" w:color="auto" w:fill="auto"/>
            <w:noWrap/>
            <w:vAlign w:val="center"/>
          </w:tcPr>
          <w:p w14:paraId="18A9A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5ED0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3E97C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49</w:t>
            </w:r>
          </w:p>
        </w:tc>
        <w:tc>
          <w:tcPr>
            <w:tcW w:w="783" w:type="pct"/>
            <w:shd w:val="clear" w:color="auto" w:fill="auto"/>
            <w:noWrap/>
            <w:vAlign w:val="center"/>
          </w:tcPr>
          <w:p w14:paraId="110F6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29F69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404" w:type="pct"/>
            <w:shd w:val="clear" w:color="auto" w:fill="auto"/>
            <w:noWrap/>
            <w:vAlign w:val="center"/>
          </w:tcPr>
          <w:p w14:paraId="302AF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79E23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41894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56" w:type="pct"/>
            <w:shd w:val="clear" w:color="auto" w:fill="auto"/>
            <w:noWrap/>
            <w:vAlign w:val="center"/>
          </w:tcPr>
          <w:p w14:paraId="48E1A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154E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3963E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w:t>
            </w:r>
          </w:p>
        </w:tc>
        <w:tc>
          <w:tcPr>
            <w:tcW w:w="783" w:type="pct"/>
            <w:shd w:val="clear" w:color="auto" w:fill="auto"/>
            <w:noWrap/>
            <w:vAlign w:val="center"/>
          </w:tcPr>
          <w:p w14:paraId="385E0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71B10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DN200，PN=1.0MPa</w:t>
            </w:r>
          </w:p>
        </w:tc>
        <w:tc>
          <w:tcPr>
            <w:tcW w:w="404" w:type="pct"/>
            <w:shd w:val="clear" w:color="auto" w:fill="auto"/>
            <w:noWrap/>
            <w:vAlign w:val="center"/>
          </w:tcPr>
          <w:p w14:paraId="15AE6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79EF8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35825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56" w:type="pct"/>
            <w:shd w:val="clear" w:color="auto" w:fill="auto"/>
            <w:noWrap/>
            <w:vAlign w:val="center"/>
          </w:tcPr>
          <w:p w14:paraId="3181E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69C2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24347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51</w:t>
            </w:r>
          </w:p>
        </w:tc>
        <w:tc>
          <w:tcPr>
            <w:tcW w:w="783" w:type="pct"/>
            <w:shd w:val="clear" w:color="auto" w:fill="auto"/>
            <w:noWrap/>
            <w:vAlign w:val="center"/>
          </w:tcPr>
          <w:p w14:paraId="2C8D7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17F1B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5C068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67984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24BB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656" w:type="pct"/>
            <w:shd w:val="clear" w:color="auto" w:fill="auto"/>
            <w:noWrap/>
            <w:vAlign w:val="center"/>
          </w:tcPr>
          <w:p w14:paraId="5C999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4299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7C46A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52</w:t>
            </w:r>
          </w:p>
        </w:tc>
        <w:tc>
          <w:tcPr>
            <w:tcW w:w="783" w:type="pct"/>
            <w:shd w:val="clear" w:color="auto" w:fill="auto"/>
            <w:noWrap/>
            <w:vAlign w:val="center"/>
          </w:tcPr>
          <w:p w14:paraId="10846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4377D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0C283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7E2A1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416D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78</w:t>
            </w:r>
          </w:p>
        </w:tc>
        <w:tc>
          <w:tcPr>
            <w:tcW w:w="656" w:type="pct"/>
            <w:shd w:val="clear" w:color="auto" w:fill="auto"/>
            <w:noWrap/>
            <w:vAlign w:val="center"/>
          </w:tcPr>
          <w:p w14:paraId="190C6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58F7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47925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53</w:t>
            </w:r>
          </w:p>
        </w:tc>
        <w:tc>
          <w:tcPr>
            <w:tcW w:w="783" w:type="pct"/>
            <w:shd w:val="clear" w:color="auto" w:fill="auto"/>
            <w:noWrap/>
            <w:vAlign w:val="center"/>
          </w:tcPr>
          <w:p w14:paraId="44684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钢制法兰片</w:t>
            </w:r>
          </w:p>
        </w:tc>
        <w:tc>
          <w:tcPr>
            <w:tcW w:w="2254" w:type="pct"/>
            <w:shd w:val="clear" w:color="auto" w:fill="auto"/>
            <w:noWrap/>
            <w:vAlign w:val="center"/>
          </w:tcPr>
          <w:p w14:paraId="3FA88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404" w:type="pct"/>
            <w:shd w:val="clear" w:color="auto" w:fill="auto"/>
            <w:noWrap/>
            <w:vAlign w:val="center"/>
          </w:tcPr>
          <w:p w14:paraId="7F53A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3BFD3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7B1D9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656" w:type="pct"/>
            <w:shd w:val="clear" w:color="auto" w:fill="auto"/>
            <w:noWrap/>
            <w:vAlign w:val="center"/>
          </w:tcPr>
          <w:p w14:paraId="01CFA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4EFF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FC96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54</w:t>
            </w:r>
          </w:p>
        </w:tc>
        <w:tc>
          <w:tcPr>
            <w:tcW w:w="783" w:type="pct"/>
            <w:shd w:val="clear" w:color="auto" w:fill="auto"/>
            <w:noWrap/>
            <w:vAlign w:val="center"/>
          </w:tcPr>
          <w:p w14:paraId="64D43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钢制法兰盲板</w:t>
            </w:r>
          </w:p>
        </w:tc>
        <w:tc>
          <w:tcPr>
            <w:tcW w:w="2254" w:type="pct"/>
            <w:shd w:val="clear" w:color="auto" w:fill="auto"/>
            <w:noWrap/>
            <w:vAlign w:val="center"/>
          </w:tcPr>
          <w:p w14:paraId="7A60D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404" w:type="pct"/>
            <w:shd w:val="clear" w:color="auto" w:fill="auto"/>
            <w:noWrap/>
            <w:vAlign w:val="center"/>
          </w:tcPr>
          <w:p w14:paraId="51360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6DF98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200B1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56" w:type="pct"/>
            <w:shd w:val="clear" w:color="auto" w:fill="auto"/>
            <w:noWrap/>
            <w:vAlign w:val="center"/>
          </w:tcPr>
          <w:p w14:paraId="4CB97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3AA9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0101E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55</w:t>
            </w:r>
          </w:p>
        </w:tc>
        <w:tc>
          <w:tcPr>
            <w:tcW w:w="783" w:type="pct"/>
            <w:shd w:val="clear" w:color="auto" w:fill="auto"/>
            <w:noWrap/>
            <w:vAlign w:val="center"/>
          </w:tcPr>
          <w:p w14:paraId="443F0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钢制法兰盲板</w:t>
            </w:r>
          </w:p>
        </w:tc>
        <w:tc>
          <w:tcPr>
            <w:tcW w:w="2254" w:type="pct"/>
            <w:shd w:val="clear" w:color="auto" w:fill="auto"/>
            <w:noWrap/>
            <w:vAlign w:val="center"/>
          </w:tcPr>
          <w:p w14:paraId="158C5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04" w:type="pct"/>
            <w:shd w:val="clear" w:color="auto" w:fill="auto"/>
            <w:noWrap/>
            <w:vAlign w:val="center"/>
          </w:tcPr>
          <w:p w14:paraId="23973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02EC8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6E0C7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56" w:type="pct"/>
            <w:shd w:val="clear" w:color="auto" w:fill="auto"/>
            <w:noWrap/>
            <w:vAlign w:val="center"/>
          </w:tcPr>
          <w:p w14:paraId="16032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3B60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69D14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56</w:t>
            </w:r>
          </w:p>
        </w:tc>
        <w:tc>
          <w:tcPr>
            <w:tcW w:w="783" w:type="pct"/>
            <w:shd w:val="clear" w:color="auto" w:fill="auto"/>
            <w:noWrap/>
            <w:vAlign w:val="center"/>
          </w:tcPr>
          <w:p w14:paraId="20048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钢制法兰盲板</w:t>
            </w:r>
          </w:p>
        </w:tc>
        <w:tc>
          <w:tcPr>
            <w:tcW w:w="2254" w:type="pct"/>
            <w:shd w:val="clear" w:color="auto" w:fill="auto"/>
            <w:noWrap/>
            <w:vAlign w:val="center"/>
          </w:tcPr>
          <w:p w14:paraId="2D0BC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04" w:type="pct"/>
            <w:shd w:val="clear" w:color="auto" w:fill="auto"/>
            <w:noWrap/>
            <w:vAlign w:val="center"/>
          </w:tcPr>
          <w:p w14:paraId="1E02E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2C50D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12" w:type="pct"/>
            <w:shd w:val="clear" w:color="auto" w:fill="auto"/>
            <w:noWrap/>
            <w:vAlign w:val="center"/>
          </w:tcPr>
          <w:p w14:paraId="0F5AC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56" w:type="pct"/>
            <w:shd w:val="clear" w:color="auto" w:fill="auto"/>
            <w:noWrap/>
            <w:vAlign w:val="center"/>
          </w:tcPr>
          <w:p w14:paraId="7FA9A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5780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3B2E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57</w:t>
            </w:r>
          </w:p>
        </w:tc>
        <w:tc>
          <w:tcPr>
            <w:tcW w:w="783" w:type="pct"/>
            <w:shd w:val="clear" w:color="auto" w:fill="auto"/>
            <w:noWrap/>
            <w:vAlign w:val="center"/>
          </w:tcPr>
          <w:p w14:paraId="2BBE1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U型管卡</w:t>
            </w:r>
          </w:p>
        </w:tc>
        <w:tc>
          <w:tcPr>
            <w:tcW w:w="2254" w:type="pct"/>
            <w:shd w:val="clear" w:color="auto" w:fill="auto"/>
            <w:noWrap/>
            <w:vAlign w:val="center"/>
          </w:tcPr>
          <w:p w14:paraId="48994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Φ89，Φ108，Φ159，Φ219，Φ273</w:t>
            </w:r>
          </w:p>
        </w:tc>
        <w:tc>
          <w:tcPr>
            <w:tcW w:w="404" w:type="pct"/>
            <w:shd w:val="clear" w:color="auto" w:fill="auto"/>
            <w:noWrap/>
            <w:vAlign w:val="center"/>
          </w:tcPr>
          <w:p w14:paraId="3ECF1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SUS304</w:t>
            </w:r>
          </w:p>
        </w:tc>
        <w:tc>
          <w:tcPr>
            <w:tcW w:w="300" w:type="pct"/>
            <w:shd w:val="clear" w:color="auto" w:fill="auto"/>
            <w:noWrap/>
            <w:vAlign w:val="center"/>
          </w:tcPr>
          <w:p w14:paraId="6128C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312" w:type="pct"/>
            <w:shd w:val="clear" w:color="auto" w:fill="auto"/>
            <w:noWrap/>
            <w:vAlign w:val="center"/>
          </w:tcPr>
          <w:p w14:paraId="0E3B1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56" w:type="pct"/>
            <w:shd w:val="clear" w:color="auto" w:fill="auto"/>
            <w:noWrap/>
            <w:vAlign w:val="center"/>
          </w:tcPr>
          <w:p w14:paraId="4948E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曝气管、污泥管</w:t>
            </w:r>
          </w:p>
        </w:tc>
      </w:tr>
      <w:tr w14:paraId="5D21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5996B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58</w:t>
            </w:r>
          </w:p>
        </w:tc>
        <w:tc>
          <w:tcPr>
            <w:tcW w:w="783" w:type="pct"/>
            <w:shd w:val="clear" w:color="auto" w:fill="auto"/>
            <w:noWrap/>
            <w:vAlign w:val="center"/>
          </w:tcPr>
          <w:p w14:paraId="4FB3D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角钢</w:t>
            </w:r>
          </w:p>
        </w:tc>
        <w:tc>
          <w:tcPr>
            <w:tcW w:w="2254" w:type="pct"/>
            <w:shd w:val="clear" w:color="auto" w:fill="auto"/>
            <w:noWrap/>
            <w:vAlign w:val="center"/>
          </w:tcPr>
          <w:p w14:paraId="48A12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404" w:type="pct"/>
            <w:shd w:val="clear" w:color="auto" w:fill="auto"/>
            <w:noWrap/>
            <w:vAlign w:val="center"/>
          </w:tcPr>
          <w:p w14:paraId="6DB02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67310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312" w:type="pct"/>
            <w:shd w:val="clear" w:color="auto" w:fill="auto"/>
            <w:noWrap/>
            <w:vAlign w:val="center"/>
          </w:tcPr>
          <w:p w14:paraId="3457B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56" w:type="pct"/>
            <w:shd w:val="clear" w:color="auto" w:fill="auto"/>
            <w:noWrap/>
            <w:vAlign w:val="center"/>
          </w:tcPr>
          <w:p w14:paraId="3ED54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r w14:paraId="2F6A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 w:type="pct"/>
            <w:shd w:val="clear" w:color="auto" w:fill="auto"/>
            <w:noWrap/>
            <w:vAlign w:val="center"/>
          </w:tcPr>
          <w:p w14:paraId="14FD8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59</w:t>
            </w:r>
          </w:p>
        </w:tc>
        <w:tc>
          <w:tcPr>
            <w:tcW w:w="783" w:type="pct"/>
            <w:shd w:val="clear" w:color="auto" w:fill="auto"/>
            <w:noWrap/>
            <w:vAlign w:val="center"/>
          </w:tcPr>
          <w:p w14:paraId="36920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槽钢</w:t>
            </w:r>
          </w:p>
        </w:tc>
        <w:tc>
          <w:tcPr>
            <w:tcW w:w="2254" w:type="pct"/>
            <w:shd w:val="clear" w:color="auto" w:fill="auto"/>
            <w:noWrap/>
            <w:vAlign w:val="center"/>
          </w:tcPr>
          <w:p w14:paraId="12B54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404" w:type="pct"/>
            <w:shd w:val="clear" w:color="auto" w:fill="auto"/>
            <w:noWrap/>
            <w:vAlign w:val="center"/>
          </w:tcPr>
          <w:p w14:paraId="04B43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00" w:type="pct"/>
            <w:shd w:val="clear" w:color="auto" w:fill="auto"/>
            <w:noWrap/>
            <w:vAlign w:val="center"/>
          </w:tcPr>
          <w:p w14:paraId="0A6CC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312" w:type="pct"/>
            <w:shd w:val="clear" w:color="auto" w:fill="auto"/>
            <w:noWrap/>
            <w:vAlign w:val="center"/>
          </w:tcPr>
          <w:p w14:paraId="0BBDF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56" w:type="pct"/>
            <w:shd w:val="clear" w:color="auto" w:fill="auto"/>
            <w:noWrap/>
            <w:vAlign w:val="center"/>
          </w:tcPr>
          <w:p w14:paraId="17F8D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曝气管</w:t>
            </w:r>
          </w:p>
        </w:tc>
      </w:tr>
    </w:tbl>
    <w:p w14:paraId="537A049A">
      <w:pPr>
        <w:rPr>
          <w:vanish/>
          <w:color w:val="auto"/>
          <w:highlight w:val="none"/>
        </w:rPr>
      </w:pPr>
      <w:r>
        <w:rPr>
          <w:rFonts w:hint="eastAsia"/>
          <w:vanish/>
          <w:color w:val="auto"/>
          <w:highlight w:val="none"/>
        </w:rPr>
        <w:t>（5）磁混凝高效沉淀池及滤布滤池</w:t>
      </w:r>
    </w:p>
    <w:p w14:paraId="26A35706">
      <w:pPr>
        <w:rPr>
          <w:vanish/>
          <w:color w:val="auto"/>
          <w:highlight w:val="none"/>
        </w:rPr>
      </w:pPr>
    </w:p>
    <w:p w14:paraId="62716600">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1.5</w:t>
      </w:r>
      <w:r>
        <w:rPr>
          <w:rFonts w:hint="eastAsia" w:ascii="宋体" w:hAnsi="宋体" w:eastAsia="宋体" w:cs="宋体"/>
          <w:b/>
          <w:bCs/>
          <w:color w:val="auto"/>
          <w:highlight w:val="none"/>
          <w:lang w:val="en-US" w:eastAsia="zh-CN"/>
        </w:rPr>
        <w:t>磁混凝高效沉底池及滤布滤池</w:t>
      </w:r>
    </w:p>
    <w:tbl>
      <w:tblPr>
        <w:tblStyle w:val="43"/>
        <w:tblW w:w="10971" w:type="dxa"/>
        <w:jc w:val="center"/>
        <w:tblLayout w:type="fixed"/>
        <w:tblCellMar>
          <w:top w:w="0" w:type="dxa"/>
          <w:left w:w="108" w:type="dxa"/>
          <w:bottom w:w="0" w:type="dxa"/>
          <w:right w:w="108" w:type="dxa"/>
        </w:tblCellMar>
      </w:tblPr>
      <w:tblGrid>
        <w:gridCol w:w="598"/>
        <w:gridCol w:w="1637"/>
        <w:gridCol w:w="3447"/>
        <w:gridCol w:w="1080"/>
        <w:gridCol w:w="746"/>
        <w:gridCol w:w="933"/>
        <w:gridCol w:w="2530"/>
      </w:tblGrid>
      <w:tr w14:paraId="0C319A0D">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F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6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B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C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D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2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8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7C7596B6">
        <w:tblPrEx>
          <w:tblCellMar>
            <w:top w:w="0" w:type="dxa"/>
            <w:left w:w="108" w:type="dxa"/>
            <w:bottom w:w="0" w:type="dxa"/>
            <w:right w:w="108" w:type="dxa"/>
          </w:tblCellMar>
        </w:tblPrEx>
        <w:trPr>
          <w:trHeight w:val="454" w:hRule="atLeast"/>
          <w:jc w:val="center"/>
        </w:trPr>
        <w:tc>
          <w:tcPr>
            <w:tcW w:w="109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D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0ED06E82">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F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w:t>
            </w:r>
          </w:p>
        </w:tc>
        <w:tc>
          <w:tcPr>
            <w:tcW w:w="1037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8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磁混凝高效沉淀池（2组）</w:t>
            </w:r>
          </w:p>
        </w:tc>
      </w:tr>
      <w:tr w14:paraId="4D17B7F5">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6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8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混凝池搅拌机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C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N=0.55kW，电机能耗等级二级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D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9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5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E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磁混凝专用搅拌机，工频</w:t>
            </w:r>
          </w:p>
        </w:tc>
      </w:tr>
      <w:tr w14:paraId="2EF8458B">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A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C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磁加载池搅拌机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A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N=0.75kW，电机能耗等级二级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F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D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7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C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磁混凝专用搅拌机，变频</w:t>
            </w:r>
          </w:p>
        </w:tc>
      </w:tr>
      <w:tr w14:paraId="5DCF6176">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B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4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磁絮凝搅拌机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D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N=1.1kW，电机能耗等级二级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7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C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B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B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磁混凝专用搅拌机，变频</w:t>
            </w:r>
          </w:p>
        </w:tc>
      </w:tr>
      <w:tr w14:paraId="28002F1F">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2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8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中心传动刮泥机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8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四臂重型，直径4m，N=0.55kW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碳钢</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A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C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0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带扭矩保护与扭矩报警</w:t>
            </w:r>
          </w:p>
        </w:tc>
      </w:tr>
      <w:tr w14:paraId="4DE60DDC">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9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4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解絮机(高剪切机)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3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处理量5m3/h，N=1.1kW</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1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3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D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3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381334B">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3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3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磁分离机</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4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处理量5m3/h，N=1.5kW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8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7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3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A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核心稀土永磁，场强≥5000Gs</w:t>
            </w:r>
          </w:p>
        </w:tc>
      </w:tr>
      <w:tr w14:paraId="48383090">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F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7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C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斜管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0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直径80mm，斜长1m，厚1mm，安装角度60°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7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PP</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9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8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00AD4E8">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6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6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集水槽（含三角堰）</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0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L=3.3m，B=0.2m，H=0.2m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3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碳钢</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8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E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4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槽板厚度≮4.0mm</w:t>
            </w:r>
          </w:p>
        </w:tc>
      </w:tr>
      <w:tr w14:paraId="76791DEE">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3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9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8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污泥泵（渣浆泵）</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E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Q=20m3/h，H=15m，N=2.2kW，变频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A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橡胶</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6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5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6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4用2备，污泥回流及剩余污泥排放，配阀门及管路</w:t>
            </w:r>
          </w:p>
        </w:tc>
      </w:tr>
      <w:tr w14:paraId="744A18D8">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C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4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斜管冲洗系统</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E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含鼓风机及水下冲洗模块，N=1.5kW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A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C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B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1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含阀门及管路系统</w:t>
            </w:r>
          </w:p>
        </w:tc>
      </w:tr>
      <w:tr w14:paraId="2F6EB3CE">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PAM自动制备装置</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5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制备量300L/h，浓度0.1%，带干粉料斗和给料机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0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6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F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0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4EED3D8">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8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12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C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计量泵</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300L/h，H=20m，N=0.55kW，2用2备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D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泵头材质PVC</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A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7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3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配Y型过滤器、脉冲阻尼器、浮子流量计等</w:t>
            </w:r>
          </w:p>
        </w:tc>
      </w:tr>
      <w:tr w14:paraId="4CCF052F">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6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13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4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污泥流量计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0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6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E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8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剩余污泥与污泥回流</w:t>
            </w:r>
          </w:p>
        </w:tc>
      </w:tr>
      <w:tr w14:paraId="299AEAA9">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14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2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手动蝶阀</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F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6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C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1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7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进水管</w:t>
            </w:r>
          </w:p>
        </w:tc>
      </w:tr>
      <w:tr w14:paraId="6A0B559B">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E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15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4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6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0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1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8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4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进水管</w:t>
            </w:r>
          </w:p>
        </w:tc>
      </w:tr>
      <w:tr w14:paraId="2057BFAC">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B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16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8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手动蝶阀</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5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5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3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2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F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出水管</w:t>
            </w:r>
          </w:p>
        </w:tc>
      </w:tr>
      <w:tr w14:paraId="00AE7959">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4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17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7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A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2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D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B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3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出水管</w:t>
            </w:r>
          </w:p>
        </w:tc>
      </w:tr>
      <w:tr w14:paraId="1601CAE0">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C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18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F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阀门、管道及管道支撑</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5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7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3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1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0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E537AFD">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C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8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C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E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0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B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1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进出水总管</w:t>
            </w:r>
          </w:p>
        </w:tc>
      </w:tr>
      <w:tr w14:paraId="7449BE01">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B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9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0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5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9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C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F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进水支管</w:t>
            </w:r>
          </w:p>
        </w:tc>
      </w:tr>
      <w:tr w14:paraId="2D233D44">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B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B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D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0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F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E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C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出水支管</w:t>
            </w:r>
          </w:p>
        </w:tc>
      </w:tr>
      <w:tr w14:paraId="5D1C72F4">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6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C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5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A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8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1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4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出水支管</w:t>
            </w:r>
          </w:p>
        </w:tc>
      </w:tr>
      <w:tr w14:paraId="0CD2567B">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4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C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5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78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B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D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9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进水支管</w:t>
            </w:r>
          </w:p>
        </w:tc>
      </w:tr>
      <w:tr w14:paraId="2B02D807">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6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4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等径三通</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D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8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1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4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5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进水总管</w:t>
            </w:r>
          </w:p>
        </w:tc>
      </w:tr>
      <w:tr w14:paraId="2265E594">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3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2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0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DN500x300,PN=1.0MPa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C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5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4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B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进水支管</w:t>
            </w:r>
          </w:p>
        </w:tc>
      </w:tr>
      <w:tr w14:paraId="4F61383E">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3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4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E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DN500x350,PN=1.0MPa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7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C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7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出水支管</w:t>
            </w:r>
          </w:p>
        </w:tc>
      </w:tr>
      <w:tr w14:paraId="3134EE00">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8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w:t>
            </w:r>
          </w:p>
        </w:tc>
        <w:tc>
          <w:tcPr>
            <w:tcW w:w="1037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B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滤布滤池（2组）</w:t>
            </w:r>
          </w:p>
        </w:tc>
      </w:tr>
      <w:tr w14:paraId="524AA37A">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2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5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滤布滤池本体</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7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5.5X3.1X3.6m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A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7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D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7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B1615EC">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9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1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转盘过滤器</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1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直径2500，N=1.1kW</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8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0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8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7A0339A">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5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B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反洗泵</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5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Q=40m3/h，H=10m，N=2.2kW</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E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2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C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90D7BC2">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9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7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手动蝶阀</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6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6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7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A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D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进出水管</w:t>
            </w:r>
          </w:p>
        </w:tc>
      </w:tr>
      <w:tr w14:paraId="5019400C">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1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8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C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F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E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9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9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进出水管</w:t>
            </w:r>
          </w:p>
        </w:tc>
      </w:tr>
      <w:tr w14:paraId="61079064">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1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5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电动球阀</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F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A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A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D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16.00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E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反洗管</w:t>
            </w:r>
          </w:p>
        </w:tc>
      </w:tr>
      <w:tr w14:paraId="691E662E">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1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7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0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橡胶软软接头</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B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0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6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3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16.00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D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反洗管</w:t>
            </w:r>
          </w:p>
        </w:tc>
      </w:tr>
      <w:tr w14:paraId="403E107F">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9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D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手动球阀</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8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DN80,PN=1.0MPa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F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3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9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E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放空管</w:t>
            </w:r>
          </w:p>
        </w:tc>
      </w:tr>
      <w:tr w14:paraId="7D215AA2">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1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9 </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0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阀门及管道</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B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2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A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F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 </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3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4330529">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6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Pr>
          <w:p w14:paraId="44632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tcPr>
          <w:p w14:paraId="2C39C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6E1E0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Pr>
          <w:p w14:paraId="3EA0D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Pr>
          <w:p w14:paraId="387A2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tcPr>
          <w:p w14:paraId="11672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出水总管</w:t>
            </w:r>
          </w:p>
        </w:tc>
      </w:tr>
      <w:tr w14:paraId="76A2D1F3">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C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Pr>
          <w:p w14:paraId="543B6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tcPr>
          <w:p w14:paraId="6419A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4C834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Pr>
          <w:p w14:paraId="0C336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Pr>
          <w:p w14:paraId="6B15E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tcPr>
          <w:p w14:paraId="74A56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进水管</w:t>
            </w:r>
          </w:p>
        </w:tc>
      </w:tr>
      <w:tr w14:paraId="5FEBFE34">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D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Pr>
          <w:p w14:paraId="5F252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tcPr>
          <w:p w14:paraId="485FF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DN500x350,PN=1.0MPa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28081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Pr>
          <w:p w14:paraId="4EBFD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Pr>
          <w:p w14:paraId="3D37B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tcPr>
          <w:p w14:paraId="6C498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进出水管</w:t>
            </w:r>
          </w:p>
        </w:tc>
      </w:tr>
      <w:tr w14:paraId="61E6BAC4">
        <w:tblPrEx>
          <w:tblCellMar>
            <w:top w:w="0" w:type="dxa"/>
            <w:left w:w="108" w:type="dxa"/>
            <w:bottom w:w="0" w:type="dxa"/>
            <w:right w:w="108" w:type="dxa"/>
          </w:tblCellMar>
        </w:tblPrEx>
        <w:trPr>
          <w:trHeight w:val="45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0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Pr>
          <w:p w14:paraId="6E631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tcPr>
          <w:p w14:paraId="63CC9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DN350,PN=1.0MPa</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7A497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tcPr>
          <w:p w14:paraId="057BA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Pr>
          <w:p w14:paraId="5E6DE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noWrap/>
          </w:tcPr>
          <w:p w14:paraId="3666A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出水支管</w:t>
            </w:r>
          </w:p>
        </w:tc>
      </w:tr>
    </w:tbl>
    <w:p w14:paraId="33F9C6A0">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1.6紫外消毒渠及巴氏计量槽</w:t>
      </w:r>
    </w:p>
    <w:tbl>
      <w:tblPr>
        <w:tblStyle w:val="43"/>
        <w:tblpPr w:leftFromText="180" w:rightFromText="180" w:vertAnchor="text" w:tblpX="10214" w:tblpY="29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6"/>
      </w:tblGrid>
      <w:tr w14:paraId="61D6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866" w:type="dxa"/>
            <w:shd w:val="clear" w:color="auto" w:fill="auto"/>
            <w:noWrap/>
          </w:tcPr>
          <w:p w14:paraId="62D57B6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color w:val="auto"/>
                <w:kern w:val="0"/>
                <w:sz w:val="22"/>
                <w:szCs w:val="22"/>
                <w:highlight w:val="none"/>
              </w:rPr>
            </w:pPr>
          </w:p>
        </w:tc>
      </w:tr>
    </w:tbl>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440"/>
        <w:gridCol w:w="3275"/>
        <w:gridCol w:w="675"/>
        <w:gridCol w:w="675"/>
        <w:gridCol w:w="598"/>
        <w:gridCol w:w="2778"/>
      </w:tblGrid>
      <w:tr w14:paraId="6BD7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0" w:type="pct"/>
            <w:shd w:val="clear" w:color="auto" w:fill="auto"/>
            <w:noWrap/>
            <w:vAlign w:val="center"/>
          </w:tcPr>
          <w:p w14:paraId="73435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编号</w:t>
            </w:r>
          </w:p>
        </w:tc>
        <w:tc>
          <w:tcPr>
            <w:tcW w:w="1114" w:type="pct"/>
            <w:shd w:val="clear" w:color="auto" w:fill="auto"/>
            <w:noWrap/>
            <w:vAlign w:val="center"/>
          </w:tcPr>
          <w:p w14:paraId="00C9B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1351" w:type="pct"/>
            <w:shd w:val="clear" w:color="auto" w:fill="auto"/>
            <w:noWrap/>
            <w:vAlign w:val="center"/>
          </w:tcPr>
          <w:p w14:paraId="254CD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580" w:type="pct"/>
            <w:shd w:val="clear" w:color="auto" w:fill="auto"/>
            <w:noWrap/>
            <w:vAlign w:val="center"/>
          </w:tcPr>
          <w:p w14:paraId="48064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494" w:type="pct"/>
            <w:shd w:val="clear" w:color="auto" w:fill="auto"/>
            <w:noWrap/>
            <w:vAlign w:val="center"/>
          </w:tcPr>
          <w:p w14:paraId="6F450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446" w:type="pct"/>
            <w:shd w:val="clear" w:color="auto" w:fill="auto"/>
            <w:noWrap/>
            <w:vAlign w:val="center"/>
          </w:tcPr>
          <w:p w14:paraId="697A0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645" w:type="pct"/>
            <w:shd w:val="clear" w:color="auto" w:fill="auto"/>
            <w:noWrap/>
            <w:vAlign w:val="center"/>
          </w:tcPr>
          <w:p w14:paraId="436DE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54C9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6869B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252C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0CA40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14" w:type="pct"/>
            <w:shd w:val="clear" w:color="auto" w:fill="auto"/>
            <w:noWrap/>
            <w:vAlign w:val="center"/>
          </w:tcPr>
          <w:p w14:paraId="13B12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手电一体闸门</w:t>
            </w:r>
          </w:p>
        </w:tc>
        <w:tc>
          <w:tcPr>
            <w:tcW w:w="1351" w:type="pct"/>
            <w:shd w:val="clear" w:color="auto" w:fill="auto"/>
            <w:noWrap/>
            <w:vAlign w:val="center"/>
          </w:tcPr>
          <w:p w14:paraId="45B3A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BXH=500X500，N=0.37kW</w:t>
            </w:r>
          </w:p>
        </w:tc>
        <w:tc>
          <w:tcPr>
            <w:tcW w:w="580" w:type="pct"/>
            <w:shd w:val="clear" w:color="auto" w:fill="auto"/>
            <w:noWrap/>
            <w:vAlign w:val="center"/>
          </w:tcPr>
          <w:p w14:paraId="6CECB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5162A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46" w:type="pct"/>
            <w:shd w:val="clear" w:color="auto" w:fill="auto"/>
            <w:noWrap/>
            <w:vAlign w:val="center"/>
          </w:tcPr>
          <w:p w14:paraId="0C15B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45" w:type="pct"/>
            <w:shd w:val="clear" w:color="auto" w:fill="auto"/>
            <w:noWrap/>
            <w:vAlign w:val="center"/>
          </w:tcPr>
          <w:p w14:paraId="28185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1F3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28857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14" w:type="pct"/>
            <w:shd w:val="clear" w:color="auto" w:fill="auto"/>
            <w:noWrap/>
            <w:vAlign w:val="center"/>
          </w:tcPr>
          <w:p w14:paraId="456BD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紫外线模块组</w:t>
            </w:r>
          </w:p>
        </w:tc>
        <w:tc>
          <w:tcPr>
            <w:tcW w:w="1351" w:type="pct"/>
            <w:shd w:val="clear" w:color="auto" w:fill="auto"/>
            <w:noWrap/>
            <w:vAlign w:val="center"/>
          </w:tcPr>
          <w:p w14:paraId="2A873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低压高强型,每组4个紫外线消毒模块，N=8kW</w:t>
            </w:r>
          </w:p>
        </w:tc>
        <w:tc>
          <w:tcPr>
            <w:tcW w:w="580" w:type="pct"/>
            <w:shd w:val="clear" w:color="auto" w:fill="auto"/>
            <w:noWrap/>
            <w:vAlign w:val="center"/>
          </w:tcPr>
          <w:p w14:paraId="09305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306D9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446" w:type="pct"/>
            <w:shd w:val="clear" w:color="auto" w:fill="auto"/>
            <w:noWrap/>
            <w:vAlign w:val="center"/>
          </w:tcPr>
          <w:p w14:paraId="68589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45" w:type="pct"/>
            <w:shd w:val="clear" w:color="auto" w:fill="auto"/>
            <w:noWrap/>
            <w:vAlign w:val="center"/>
          </w:tcPr>
          <w:p w14:paraId="624DB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9F6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2AF4C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114" w:type="pct"/>
            <w:shd w:val="clear" w:color="auto" w:fill="auto"/>
            <w:noWrap/>
            <w:vAlign w:val="center"/>
          </w:tcPr>
          <w:p w14:paraId="6E926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溢流堰</w:t>
            </w:r>
          </w:p>
        </w:tc>
        <w:tc>
          <w:tcPr>
            <w:tcW w:w="1351" w:type="pct"/>
            <w:shd w:val="clear" w:color="auto" w:fill="auto"/>
            <w:noWrap/>
            <w:vAlign w:val="center"/>
          </w:tcPr>
          <w:p w14:paraId="30557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与紫外线模块配套</w:t>
            </w:r>
          </w:p>
        </w:tc>
        <w:tc>
          <w:tcPr>
            <w:tcW w:w="580" w:type="pct"/>
            <w:shd w:val="clear" w:color="auto" w:fill="auto"/>
            <w:noWrap/>
            <w:vAlign w:val="center"/>
          </w:tcPr>
          <w:p w14:paraId="2F6BD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4AA0D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46" w:type="pct"/>
            <w:shd w:val="clear" w:color="auto" w:fill="auto"/>
            <w:noWrap/>
            <w:vAlign w:val="center"/>
          </w:tcPr>
          <w:p w14:paraId="4A536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45" w:type="pct"/>
            <w:shd w:val="clear" w:color="auto" w:fill="auto"/>
            <w:noWrap/>
            <w:vAlign w:val="center"/>
          </w:tcPr>
          <w:p w14:paraId="3E263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每套6个，L=1500mm</w:t>
            </w:r>
          </w:p>
        </w:tc>
      </w:tr>
      <w:tr w14:paraId="17AB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74F17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114" w:type="pct"/>
            <w:shd w:val="clear" w:color="auto" w:fill="auto"/>
            <w:noWrap/>
            <w:vAlign w:val="center"/>
          </w:tcPr>
          <w:p w14:paraId="058A2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镇流器中控一体柜</w:t>
            </w:r>
          </w:p>
        </w:tc>
        <w:tc>
          <w:tcPr>
            <w:tcW w:w="1351" w:type="pct"/>
            <w:shd w:val="clear" w:color="auto" w:fill="auto"/>
            <w:noWrap/>
            <w:vAlign w:val="center"/>
          </w:tcPr>
          <w:p w14:paraId="6B41F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580" w:type="pct"/>
            <w:shd w:val="clear" w:color="auto" w:fill="auto"/>
            <w:noWrap/>
            <w:vAlign w:val="center"/>
          </w:tcPr>
          <w:p w14:paraId="1257C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7284D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446" w:type="pct"/>
            <w:shd w:val="clear" w:color="auto" w:fill="auto"/>
            <w:noWrap/>
            <w:vAlign w:val="center"/>
          </w:tcPr>
          <w:p w14:paraId="043DD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45" w:type="pct"/>
            <w:shd w:val="clear" w:color="auto" w:fill="auto"/>
            <w:noWrap/>
            <w:vAlign w:val="center"/>
          </w:tcPr>
          <w:p w14:paraId="03892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A05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3687B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114" w:type="pct"/>
            <w:shd w:val="clear" w:color="auto" w:fill="auto"/>
            <w:noWrap/>
            <w:vAlign w:val="center"/>
          </w:tcPr>
          <w:p w14:paraId="682CD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空压机</w:t>
            </w:r>
          </w:p>
        </w:tc>
        <w:tc>
          <w:tcPr>
            <w:tcW w:w="1351" w:type="pct"/>
            <w:shd w:val="clear" w:color="auto" w:fill="auto"/>
            <w:noWrap/>
            <w:vAlign w:val="center"/>
          </w:tcPr>
          <w:p w14:paraId="34567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N=1.5kW</w:t>
            </w:r>
          </w:p>
        </w:tc>
        <w:tc>
          <w:tcPr>
            <w:tcW w:w="580" w:type="pct"/>
            <w:shd w:val="clear" w:color="auto" w:fill="auto"/>
            <w:noWrap/>
            <w:vAlign w:val="center"/>
          </w:tcPr>
          <w:p w14:paraId="74BB1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2753E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446" w:type="pct"/>
            <w:shd w:val="clear" w:color="auto" w:fill="auto"/>
            <w:noWrap/>
            <w:vAlign w:val="center"/>
          </w:tcPr>
          <w:p w14:paraId="02B28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45" w:type="pct"/>
            <w:shd w:val="clear" w:color="auto" w:fill="auto"/>
            <w:noWrap/>
            <w:vAlign w:val="center"/>
          </w:tcPr>
          <w:p w14:paraId="0FD38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48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59528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14" w:type="pct"/>
            <w:shd w:val="clear" w:color="auto" w:fill="auto"/>
            <w:noWrap/>
            <w:vAlign w:val="center"/>
          </w:tcPr>
          <w:p w14:paraId="36B3F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巴氏计量槽</w:t>
            </w:r>
          </w:p>
        </w:tc>
        <w:tc>
          <w:tcPr>
            <w:tcW w:w="1351" w:type="pct"/>
            <w:shd w:val="clear" w:color="auto" w:fill="auto"/>
            <w:noWrap/>
            <w:vAlign w:val="center"/>
          </w:tcPr>
          <w:p w14:paraId="42E82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配套超声波明渠流量计，L=3020mm</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等级要求</w:t>
            </w:r>
          </w:p>
        </w:tc>
        <w:tc>
          <w:tcPr>
            <w:tcW w:w="580" w:type="pct"/>
            <w:shd w:val="clear" w:color="auto" w:fill="auto"/>
            <w:noWrap/>
            <w:vAlign w:val="center"/>
          </w:tcPr>
          <w:p w14:paraId="0F77F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28395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446" w:type="pct"/>
            <w:shd w:val="clear" w:color="auto" w:fill="auto"/>
            <w:noWrap/>
            <w:vAlign w:val="center"/>
          </w:tcPr>
          <w:p w14:paraId="0B7A2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45" w:type="pct"/>
            <w:shd w:val="clear" w:color="auto" w:fill="auto"/>
            <w:noWrap/>
            <w:vAlign w:val="center"/>
          </w:tcPr>
          <w:p w14:paraId="49E32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异形</w:t>
            </w:r>
          </w:p>
        </w:tc>
      </w:tr>
      <w:tr w14:paraId="6D5F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7187E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114" w:type="pct"/>
            <w:shd w:val="clear" w:color="auto" w:fill="auto"/>
            <w:noWrap/>
            <w:vAlign w:val="center"/>
          </w:tcPr>
          <w:p w14:paraId="5AF40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恒压供水泵</w:t>
            </w:r>
          </w:p>
        </w:tc>
        <w:tc>
          <w:tcPr>
            <w:tcW w:w="1351" w:type="pct"/>
            <w:shd w:val="clear" w:color="auto" w:fill="auto"/>
            <w:noWrap/>
            <w:vAlign w:val="center"/>
          </w:tcPr>
          <w:p w14:paraId="505E3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Q=60m3/h，H=40m，N=11kW</w:t>
            </w:r>
          </w:p>
        </w:tc>
        <w:tc>
          <w:tcPr>
            <w:tcW w:w="580" w:type="pct"/>
            <w:shd w:val="clear" w:color="auto" w:fill="auto"/>
            <w:noWrap/>
            <w:vAlign w:val="center"/>
          </w:tcPr>
          <w:p w14:paraId="675942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0014E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446" w:type="pct"/>
            <w:shd w:val="clear" w:color="auto" w:fill="auto"/>
            <w:noWrap/>
            <w:vAlign w:val="center"/>
          </w:tcPr>
          <w:p w14:paraId="70265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45" w:type="pct"/>
            <w:shd w:val="clear" w:color="auto" w:fill="auto"/>
            <w:noWrap/>
            <w:vAlign w:val="center"/>
          </w:tcPr>
          <w:p w14:paraId="7377C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2用1备，配套阀门、管路、遮雨棚等</w:t>
            </w:r>
          </w:p>
        </w:tc>
      </w:tr>
      <w:tr w14:paraId="3B0F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393E7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114" w:type="pct"/>
            <w:shd w:val="clear" w:color="auto" w:fill="auto"/>
            <w:noWrap/>
            <w:vAlign w:val="center"/>
          </w:tcPr>
          <w:p w14:paraId="5192C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恒压供水罐</w:t>
            </w:r>
          </w:p>
        </w:tc>
        <w:tc>
          <w:tcPr>
            <w:tcW w:w="1351" w:type="pct"/>
            <w:shd w:val="clear" w:color="auto" w:fill="auto"/>
            <w:noWrap/>
            <w:vAlign w:val="center"/>
          </w:tcPr>
          <w:p w14:paraId="7D89D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ΦXL=1000mmX2000mm</w:t>
            </w:r>
          </w:p>
        </w:tc>
        <w:tc>
          <w:tcPr>
            <w:tcW w:w="580" w:type="pct"/>
            <w:shd w:val="clear" w:color="auto" w:fill="auto"/>
            <w:noWrap/>
            <w:vAlign w:val="center"/>
          </w:tcPr>
          <w:p w14:paraId="2A7BE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494" w:type="pct"/>
            <w:shd w:val="clear" w:color="auto" w:fill="auto"/>
            <w:noWrap/>
            <w:vAlign w:val="center"/>
          </w:tcPr>
          <w:p w14:paraId="219F4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446" w:type="pct"/>
            <w:shd w:val="clear" w:color="auto" w:fill="auto"/>
            <w:noWrap/>
            <w:vAlign w:val="center"/>
          </w:tcPr>
          <w:p w14:paraId="364E1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45" w:type="pct"/>
            <w:shd w:val="clear" w:color="auto" w:fill="auto"/>
            <w:noWrap/>
            <w:vAlign w:val="center"/>
          </w:tcPr>
          <w:p w14:paraId="6F749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厂家配套相应仪表、阀门、管路</w:t>
            </w:r>
          </w:p>
        </w:tc>
      </w:tr>
      <w:tr w14:paraId="347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auto"/>
            <w:noWrap/>
            <w:vAlign w:val="center"/>
          </w:tcPr>
          <w:p w14:paraId="53C43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主要材料表</w:t>
            </w:r>
          </w:p>
        </w:tc>
      </w:tr>
      <w:tr w14:paraId="6BD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49E1C4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114" w:type="pct"/>
            <w:shd w:val="clear" w:color="auto" w:fill="auto"/>
            <w:noWrap/>
            <w:vAlign w:val="center"/>
          </w:tcPr>
          <w:p w14:paraId="336E2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1351" w:type="pct"/>
            <w:shd w:val="clear" w:color="auto" w:fill="auto"/>
            <w:noWrap/>
            <w:vAlign w:val="center"/>
          </w:tcPr>
          <w:p w14:paraId="7577A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D530X10，PN=1.0MPa</w:t>
            </w:r>
          </w:p>
        </w:tc>
        <w:tc>
          <w:tcPr>
            <w:tcW w:w="580" w:type="pct"/>
            <w:shd w:val="clear" w:color="auto" w:fill="auto"/>
            <w:noWrap/>
            <w:vAlign w:val="center"/>
          </w:tcPr>
          <w:p w14:paraId="769E4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34CC1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46" w:type="pct"/>
            <w:shd w:val="clear" w:color="auto" w:fill="auto"/>
            <w:noWrap/>
            <w:vAlign w:val="center"/>
          </w:tcPr>
          <w:p w14:paraId="7BD38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45" w:type="pct"/>
            <w:shd w:val="clear" w:color="auto" w:fill="auto"/>
            <w:noWrap/>
            <w:vAlign w:val="center"/>
          </w:tcPr>
          <w:p w14:paraId="380A9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667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298B3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114" w:type="pct"/>
            <w:shd w:val="clear" w:color="auto" w:fill="auto"/>
            <w:noWrap/>
            <w:vAlign w:val="center"/>
          </w:tcPr>
          <w:p w14:paraId="0E697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1351" w:type="pct"/>
            <w:shd w:val="clear" w:color="auto" w:fill="auto"/>
            <w:noWrap/>
            <w:vAlign w:val="center"/>
          </w:tcPr>
          <w:p w14:paraId="48E71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D273X8，PN=1.0MPa</w:t>
            </w:r>
          </w:p>
        </w:tc>
        <w:tc>
          <w:tcPr>
            <w:tcW w:w="580" w:type="pct"/>
            <w:shd w:val="clear" w:color="auto" w:fill="auto"/>
            <w:noWrap/>
            <w:vAlign w:val="center"/>
          </w:tcPr>
          <w:p w14:paraId="0CB74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6C1F5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46" w:type="pct"/>
            <w:shd w:val="clear" w:color="auto" w:fill="auto"/>
            <w:noWrap/>
            <w:vAlign w:val="center"/>
          </w:tcPr>
          <w:p w14:paraId="0D061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645" w:type="pct"/>
            <w:shd w:val="clear" w:color="auto" w:fill="auto"/>
            <w:noWrap/>
            <w:vAlign w:val="center"/>
          </w:tcPr>
          <w:p w14:paraId="5D239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54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2DAA8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114" w:type="pct"/>
            <w:shd w:val="clear" w:color="auto" w:fill="auto"/>
            <w:noWrap/>
            <w:vAlign w:val="center"/>
          </w:tcPr>
          <w:p w14:paraId="642AF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1351" w:type="pct"/>
            <w:shd w:val="clear" w:color="auto" w:fill="auto"/>
            <w:noWrap/>
            <w:vAlign w:val="center"/>
          </w:tcPr>
          <w:p w14:paraId="7F43F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D108X4，PN=1.0MPa</w:t>
            </w:r>
          </w:p>
        </w:tc>
        <w:tc>
          <w:tcPr>
            <w:tcW w:w="580" w:type="pct"/>
            <w:shd w:val="clear" w:color="auto" w:fill="auto"/>
            <w:noWrap/>
            <w:vAlign w:val="center"/>
          </w:tcPr>
          <w:p w14:paraId="793A5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4B0B0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46" w:type="pct"/>
            <w:shd w:val="clear" w:color="auto" w:fill="auto"/>
            <w:noWrap/>
            <w:vAlign w:val="center"/>
          </w:tcPr>
          <w:p w14:paraId="1B042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45" w:type="pct"/>
            <w:shd w:val="clear" w:color="auto" w:fill="auto"/>
            <w:noWrap/>
            <w:vAlign w:val="center"/>
          </w:tcPr>
          <w:p w14:paraId="10525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523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27F04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114" w:type="pct"/>
            <w:shd w:val="clear" w:color="auto" w:fill="auto"/>
            <w:noWrap/>
            <w:vAlign w:val="center"/>
          </w:tcPr>
          <w:p w14:paraId="363F0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1351" w:type="pct"/>
            <w:shd w:val="clear" w:color="auto" w:fill="auto"/>
            <w:noWrap/>
            <w:vAlign w:val="center"/>
          </w:tcPr>
          <w:p w14:paraId="20657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D250X100，PN=1.0MPa</w:t>
            </w:r>
          </w:p>
        </w:tc>
        <w:tc>
          <w:tcPr>
            <w:tcW w:w="580" w:type="pct"/>
            <w:shd w:val="clear" w:color="auto" w:fill="auto"/>
            <w:noWrap/>
            <w:vAlign w:val="center"/>
          </w:tcPr>
          <w:p w14:paraId="7DB53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33DA4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46" w:type="pct"/>
            <w:shd w:val="clear" w:color="auto" w:fill="auto"/>
            <w:noWrap/>
            <w:vAlign w:val="center"/>
          </w:tcPr>
          <w:p w14:paraId="4A006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45" w:type="pct"/>
            <w:shd w:val="clear" w:color="auto" w:fill="auto"/>
            <w:noWrap/>
            <w:vAlign w:val="center"/>
          </w:tcPr>
          <w:p w14:paraId="6AEEB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1F2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1FDCD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114" w:type="pct"/>
            <w:shd w:val="clear" w:color="auto" w:fill="auto"/>
            <w:noWrap/>
            <w:vAlign w:val="center"/>
          </w:tcPr>
          <w:p w14:paraId="53FC6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1351" w:type="pct"/>
            <w:shd w:val="clear" w:color="auto" w:fill="auto"/>
            <w:noWrap/>
            <w:vAlign w:val="center"/>
          </w:tcPr>
          <w:p w14:paraId="7ADA8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580" w:type="pct"/>
            <w:shd w:val="clear" w:color="auto" w:fill="auto"/>
            <w:noWrap/>
            <w:vAlign w:val="center"/>
          </w:tcPr>
          <w:p w14:paraId="3417B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2B912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46" w:type="pct"/>
            <w:shd w:val="clear" w:color="auto" w:fill="auto"/>
            <w:noWrap/>
            <w:vAlign w:val="center"/>
          </w:tcPr>
          <w:p w14:paraId="243F3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45" w:type="pct"/>
            <w:shd w:val="clear" w:color="auto" w:fill="auto"/>
            <w:noWrap/>
            <w:vAlign w:val="center"/>
          </w:tcPr>
          <w:p w14:paraId="0D436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7BE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12544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114" w:type="pct"/>
            <w:shd w:val="clear" w:color="auto" w:fill="auto"/>
            <w:noWrap/>
            <w:vAlign w:val="center"/>
          </w:tcPr>
          <w:p w14:paraId="1D07C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1351" w:type="pct"/>
            <w:shd w:val="clear" w:color="auto" w:fill="auto"/>
            <w:noWrap/>
            <w:vAlign w:val="center"/>
          </w:tcPr>
          <w:p w14:paraId="2E50D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580" w:type="pct"/>
            <w:shd w:val="clear" w:color="auto" w:fill="auto"/>
            <w:noWrap/>
            <w:vAlign w:val="center"/>
          </w:tcPr>
          <w:p w14:paraId="24D79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03DE8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46" w:type="pct"/>
            <w:shd w:val="clear" w:color="auto" w:fill="auto"/>
            <w:noWrap/>
            <w:vAlign w:val="center"/>
          </w:tcPr>
          <w:p w14:paraId="70097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45" w:type="pct"/>
            <w:shd w:val="clear" w:color="auto" w:fill="auto"/>
            <w:noWrap/>
            <w:vAlign w:val="center"/>
          </w:tcPr>
          <w:p w14:paraId="66880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8C1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7FB43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114" w:type="pct"/>
            <w:shd w:val="clear" w:color="auto" w:fill="auto"/>
            <w:noWrap/>
            <w:vAlign w:val="center"/>
          </w:tcPr>
          <w:p w14:paraId="0C315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柔性防水套管</w:t>
            </w:r>
          </w:p>
        </w:tc>
        <w:tc>
          <w:tcPr>
            <w:tcW w:w="1351" w:type="pct"/>
            <w:shd w:val="clear" w:color="auto" w:fill="auto"/>
            <w:noWrap/>
            <w:vAlign w:val="center"/>
          </w:tcPr>
          <w:p w14:paraId="3041D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DN500，PN=1.0MPa</w:t>
            </w:r>
          </w:p>
        </w:tc>
        <w:tc>
          <w:tcPr>
            <w:tcW w:w="580" w:type="pct"/>
            <w:shd w:val="clear" w:color="auto" w:fill="auto"/>
            <w:noWrap/>
            <w:vAlign w:val="center"/>
          </w:tcPr>
          <w:p w14:paraId="59692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3AB49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46" w:type="pct"/>
            <w:shd w:val="clear" w:color="auto" w:fill="auto"/>
            <w:noWrap/>
            <w:vAlign w:val="center"/>
          </w:tcPr>
          <w:p w14:paraId="2D260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45" w:type="pct"/>
            <w:shd w:val="clear" w:color="auto" w:fill="auto"/>
            <w:noWrap/>
            <w:vAlign w:val="center"/>
          </w:tcPr>
          <w:p w14:paraId="0F73A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BEF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15D47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114" w:type="pct"/>
            <w:shd w:val="clear" w:color="auto" w:fill="auto"/>
            <w:noWrap/>
            <w:vAlign w:val="center"/>
          </w:tcPr>
          <w:p w14:paraId="10157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柔性防水套管</w:t>
            </w:r>
          </w:p>
        </w:tc>
        <w:tc>
          <w:tcPr>
            <w:tcW w:w="1351" w:type="pct"/>
            <w:shd w:val="clear" w:color="auto" w:fill="auto"/>
            <w:noWrap/>
            <w:vAlign w:val="center"/>
          </w:tcPr>
          <w:p w14:paraId="0A550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580" w:type="pct"/>
            <w:shd w:val="clear" w:color="auto" w:fill="auto"/>
            <w:noWrap/>
            <w:vAlign w:val="center"/>
          </w:tcPr>
          <w:p w14:paraId="4DFEF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494" w:type="pct"/>
            <w:shd w:val="clear" w:color="auto" w:fill="auto"/>
            <w:noWrap/>
            <w:vAlign w:val="center"/>
          </w:tcPr>
          <w:p w14:paraId="1F7C5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446" w:type="pct"/>
            <w:shd w:val="clear" w:color="auto" w:fill="auto"/>
            <w:noWrap/>
            <w:vAlign w:val="center"/>
          </w:tcPr>
          <w:p w14:paraId="69876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45" w:type="pct"/>
            <w:shd w:val="clear" w:color="auto" w:fill="auto"/>
            <w:noWrap/>
            <w:vAlign w:val="center"/>
          </w:tcPr>
          <w:p w14:paraId="755DE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FA3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43C23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114" w:type="pct"/>
            <w:shd w:val="clear" w:color="auto" w:fill="auto"/>
            <w:noWrap/>
            <w:vAlign w:val="center"/>
          </w:tcPr>
          <w:p w14:paraId="41175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玻璃钢盖板</w:t>
            </w:r>
          </w:p>
        </w:tc>
        <w:tc>
          <w:tcPr>
            <w:tcW w:w="1351" w:type="pct"/>
            <w:shd w:val="clear" w:color="auto" w:fill="auto"/>
            <w:noWrap/>
            <w:vAlign w:val="center"/>
          </w:tcPr>
          <w:p w14:paraId="0463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80" w:type="pct"/>
            <w:shd w:val="clear" w:color="auto" w:fill="auto"/>
            <w:noWrap/>
            <w:vAlign w:val="center"/>
          </w:tcPr>
          <w:p w14:paraId="31C5E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494" w:type="pct"/>
            <w:shd w:val="clear" w:color="auto" w:fill="auto"/>
            <w:noWrap/>
            <w:vAlign w:val="center"/>
          </w:tcPr>
          <w:p w14:paraId="6E89C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平方米</w:t>
            </w:r>
          </w:p>
        </w:tc>
        <w:tc>
          <w:tcPr>
            <w:tcW w:w="446" w:type="pct"/>
            <w:shd w:val="clear" w:color="auto" w:fill="auto"/>
            <w:noWrap/>
            <w:vAlign w:val="center"/>
          </w:tcPr>
          <w:p w14:paraId="1F92E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45" w:type="pct"/>
            <w:shd w:val="clear" w:color="auto" w:fill="auto"/>
            <w:noWrap/>
            <w:vAlign w:val="center"/>
          </w:tcPr>
          <w:p w14:paraId="7B796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853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shd w:val="clear" w:color="auto" w:fill="auto"/>
            <w:noWrap/>
            <w:vAlign w:val="center"/>
          </w:tcPr>
          <w:p w14:paraId="53CC2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114" w:type="pct"/>
            <w:shd w:val="clear" w:color="auto" w:fill="auto"/>
            <w:noWrap/>
            <w:vAlign w:val="center"/>
          </w:tcPr>
          <w:p w14:paraId="49571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栏杆</w:t>
            </w:r>
          </w:p>
        </w:tc>
        <w:tc>
          <w:tcPr>
            <w:tcW w:w="1351" w:type="pct"/>
            <w:shd w:val="clear" w:color="auto" w:fill="auto"/>
            <w:noWrap/>
            <w:vAlign w:val="center"/>
          </w:tcPr>
          <w:p w14:paraId="58F9F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80" w:type="pct"/>
            <w:shd w:val="clear" w:color="auto" w:fill="auto"/>
            <w:noWrap/>
            <w:vAlign w:val="center"/>
          </w:tcPr>
          <w:p w14:paraId="39BC0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494" w:type="pct"/>
            <w:shd w:val="clear" w:color="auto" w:fill="auto"/>
            <w:noWrap/>
            <w:vAlign w:val="center"/>
          </w:tcPr>
          <w:p w14:paraId="6CF5C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446" w:type="pct"/>
            <w:shd w:val="clear" w:color="auto" w:fill="auto"/>
            <w:noWrap/>
            <w:vAlign w:val="center"/>
          </w:tcPr>
          <w:p w14:paraId="7B38F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104</w:t>
            </w:r>
          </w:p>
        </w:tc>
        <w:tc>
          <w:tcPr>
            <w:tcW w:w="645" w:type="pct"/>
            <w:shd w:val="clear" w:color="auto" w:fill="auto"/>
            <w:noWrap/>
            <w:vAlign w:val="center"/>
          </w:tcPr>
          <w:p w14:paraId="289C4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做法详见建筑结构图纸</w:t>
            </w:r>
          </w:p>
        </w:tc>
      </w:tr>
    </w:tbl>
    <w:p w14:paraId="0B6E1C6D">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1.7污泥均质池</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23"/>
        <w:gridCol w:w="2389"/>
        <w:gridCol w:w="924"/>
        <w:gridCol w:w="777"/>
        <w:gridCol w:w="760"/>
        <w:gridCol w:w="3297"/>
      </w:tblGrid>
      <w:tr w14:paraId="00D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246" w:type="pct"/>
            <w:shd w:val="clear" w:color="auto" w:fill="auto"/>
            <w:noWrap/>
            <w:vAlign w:val="center"/>
          </w:tcPr>
          <w:p w14:paraId="579A5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664" w:type="pct"/>
            <w:shd w:val="clear" w:color="auto" w:fill="auto"/>
            <w:noWrap/>
            <w:vAlign w:val="center"/>
          </w:tcPr>
          <w:p w14:paraId="5CEBF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1199" w:type="pct"/>
            <w:shd w:val="clear" w:color="auto" w:fill="auto"/>
            <w:noWrap/>
            <w:vAlign w:val="center"/>
          </w:tcPr>
          <w:p w14:paraId="39D82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463" w:type="pct"/>
            <w:shd w:val="clear" w:color="auto" w:fill="auto"/>
            <w:noWrap/>
            <w:vAlign w:val="center"/>
          </w:tcPr>
          <w:p w14:paraId="55486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389" w:type="pct"/>
            <w:shd w:val="clear" w:color="auto" w:fill="auto"/>
            <w:noWrap/>
            <w:vAlign w:val="center"/>
          </w:tcPr>
          <w:p w14:paraId="71F06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381" w:type="pct"/>
            <w:shd w:val="clear" w:color="auto" w:fill="auto"/>
            <w:noWrap/>
            <w:vAlign w:val="center"/>
          </w:tcPr>
          <w:p w14:paraId="6C45B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1654" w:type="pct"/>
            <w:shd w:val="clear" w:color="auto" w:fill="auto"/>
            <w:noWrap/>
            <w:vAlign w:val="center"/>
          </w:tcPr>
          <w:p w14:paraId="2A8B1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63BD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7"/>
            <w:shd w:val="clear" w:color="auto" w:fill="auto"/>
            <w:noWrap/>
            <w:vAlign w:val="center"/>
          </w:tcPr>
          <w:p w14:paraId="40AC6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0EC2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6" w:type="pct"/>
            <w:shd w:val="clear" w:color="auto" w:fill="auto"/>
            <w:noWrap/>
            <w:vAlign w:val="center"/>
          </w:tcPr>
          <w:p w14:paraId="457E8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664" w:type="pct"/>
            <w:shd w:val="clear" w:color="auto" w:fill="auto"/>
            <w:noWrap/>
            <w:vAlign w:val="center"/>
          </w:tcPr>
          <w:p w14:paraId="2DB8D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污泥均质池</w:t>
            </w:r>
          </w:p>
        </w:tc>
        <w:tc>
          <w:tcPr>
            <w:tcW w:w="1199" w:type="pct"/>
            <w:shd w:val="clear" w:color="auto" w:fill="auto"/>
            <w:noWrap/>
            <w:vAlign w:val="center"/>
          </w:tcPr>
          <w:p w14:paraId="6CC46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拼装罐，尺寸：∅5.35m×5.0m </w:t>
            </w:r>
          </w:p>
        </w:tc>
        <w:tc>
          <w:tcPr>
            <w:tcW w:w="463" w:type="pct"/>
            <w:shd w:val="clear" w:color="auto" w:fill="auto"/>
            <w:noWrap/>
            <w:vAlign w:val="center"/>
          </w:tcPr>
          <w:p w14:paraId="2BA0D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0BD4B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81" w:type="pct"/>
            <w:shd w:val="clear" w:color="auto" w:fill="auto"/>
            <w:noWrap/>
            <w:vAlign w:val="center"/>
          </w:tcPr>
          <w:p w14:paraId="42F24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54" w:type="pct"/>
            <w:shd w:val="clear" w:color="auto" w:fill="auto"/>
            <w:noWrap/>
            <w:vAlign w:val="center"/>
          </w:tcPr>
          <w:p w14:paraId="37DA9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配套：爬梯，人孔，过水孔，罐顶走道平台、栏杆、管口、避雷针等</w:t>
            </w:r>
          </w:p>
        </w:tc>
      </w:tr>
      <w:tr w14:paraId="61AD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1DF2F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664" w:type="pct"/>
            <w:shd w:val="clear" w:color="auto" w:fill="auto"/>
            <w:noWrap/>
            <w:vAlign w:val="center"/>
          </w:tcPr>
          <w:p w14:paraId="250AE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污泥均质池搅拌机</w:t>
            </w:r>
          </w:p>
        </w:tc>
        <w:tc>
          <w:tcPr>
            <w:tcW w:w="1199" w:type="pct"/>
            <w:shd w:val="clear" w:color="auto" w:fill="auto"/>
            <w:noWrap/>
            <w:vAlign w:val="center"/>
          </w:tcPr>
          <w:p w14:paraId="3D14A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浆式搅拌机，N=11kw，H=5.0m</w:t>
            </w:r>
          </w:p>
        </w:tc>
        <w:tc>
          <w:tcPr>
            <w:tcW w:w="463" w:type="pct"/>
            <w:shd w:val="clear" w:color="auto" w:fill="auto"/>
            <w:noWrap/>
            <w:vAlign w:val="center"/>
          </w:tcPr>
          <w:p w14:paraId="0124C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755FA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81" w:type="pct"/>
            <w:shd w:val="clear" w:color="auto" w:fill="auto"/>
            <w:noWrap/>
            <w:vAlign w:val="center"/>
          </w:tcPr>
          <w:p w14:paraId="7F026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54" w:type="pct"/>
            <w:shd w:val="clear" w:color="auto" w:fill="auto"/>
            <w:noWrap/>
            <w:vAlign w:val="center"/>
          </w:tcPr>
          <w:p w14:paraId="037A7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有效水深4.2m</w:t>
            </w:r>
          </w:p>
        </w:tc>
      </w:tr>
      <w:tr w14:paraId="0C7A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501FF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664" w:type="pct"/>
            <w:shd w:val="clear" w:color="auto" w:fill="auto"/>
            <w:noWrap/>
            <w:vAlign w:val="center"/>
          </w:tcPr>
          <w:p w14:paraId="5B5B0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进泥泵</w:t>
            </w:r>
          </w:p>
        </w:tc>
        <w:tc>
          <w:tcPr>
            <w:tcW w:w="1199" w:type="pct"/>
            <w:shd w:val="clear" w:color="auto" w:fill="auto"/>
            <w:noWrap/>
            <w:vAlign w:val="center"/>
          </w:tcPr>
          <w:p w14:paraId="54779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Q=20m3/h, H=15m, N=5.5kW</w:t>
            </w:r>
          </w:p>
        </w:tc>
        <w:tc>
          <w:tcPr>
            <w:tcW w:w="463" w:type="pct"/>
            <w:shd w:val="clear" w:color="auto" w:fill="auto"/>
            <w:noWrap/>
            <w:vAlign w:val="center"/>
          </w:tcPr>
          <w:p w14:paraId="475A4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3E665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81" w:type="pct"/>
            <w:shd w:val="clear" w:color="auto" w:fill="auto"/>
            <w:noWrap/>
            <w:vAlign w:val="center"/>
          </w:tcPr>
          <w:p w14:paraId="2366E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54" w:type="pct"/>
            <w:shd w:val="clear" w:color="auto" w:fill="auto"/>
            <w:noWrap/>
            <w:vAlign w:val="center"/>
          </w:tcPr>
          <w:p w14:paraId="63F9A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C59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42D3D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664" w:type="pct"/>
            <w:shd w:val="clear" w:color="auto" w:fill="auto"/>
            <w:noWrap/>
            <w:vAlign w:val="center"/>
          </w:tcPr>
          <w:p w14:paraId="4633D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手动闸阀</w:t>
            </w:r>
          </w:p>
        </w:tc>
        <w:tc>
          <w:tcPr>
            <w:tcW w:w="1199" w:type="pct"/>
            <w:shd w:val="clear" w:color="auto" w:fill="auto"/>
            <w:noWrap/>
            <w:vAlign w:val="center"/>
          </w:tcPr>
          <w:p w14:paraId="0A646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w:t>
            </w:r>
          </w:p>
        </w:tc>
        <w:tc>
          <w:tcPr>
            <w:tcW w:w="463" w:type="pct"/>
            <w:shd w:val="clear" w:color="auto" w:fill="auto"/>
            <w:noWrap/>
            <w:vAlign w:val="center"/>
          </w:tcPr>
          <w:p w14:paraId="69A14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2ECCE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2307A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54" w:type="pct"/>
            <w:shd w:val="clear" w:color="auto" w:fill="auto"/>
            <w:noWrap/>
            <w:vAlign w:val="center"/>
          </w:tcPr>
          <w:p w14:paraId="48733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7EB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773B2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664" w:type="pct"/>
            <w:shd w:val="clear" w:color="auto" w:fill="auto"/>
            <w:noWrap/>
            <w:vAlign w:val="center"/>
          </w:tcPr>
          <w:p w14:paraId="66D18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手动闸阀</w:t>
            </w:r>
          </w:p>
        </w:tc>
        <w:tc>
          <w:tcPr>
            <w:tcW w:w="1199" w:type="pct"/>
            <w:shd w:val="clear" w:color="auto" w:fill="auto"/>
            <w:noWrap/>
            <w:vAlign w:val="center"/>
          </w:tcPr>
          <w:p w14:paraId="1A27F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w:t>
            </w:r>
          </w:p>
        </w:tc>
        <w:tc>
          <w:tcPr>
            <w:tcW w:w="463" w:type="pct"/>
            <w:shd w:val="clear" w:color="auto" w:fill="auto"/>
            <w:noWrap/>
            <w:vAlign w:val="center"/>
          </w:tcPr>
          <w:p w14:paraId="5127A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469CC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2E1B4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54" w:type="pct"/>
            <w:shd w:val="clear" w:color="auto" w:fill="auto"/>
            <w:noWrap/>
            <w:vAlign w:val="center"/>
          </w:tcPr>
          <w:p w14:paraId="41888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B8A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426A3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664" w:type="pct"/>
            <w:shd w:val="clear" w:color="auto" w:fill="auto"/>
            <w:noWrap/>
            <w:vAlign w:val="center"/>
          </w:tcPr>
          <w:p w14:paraId="7325C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旋启式止回阀</w:t>
            </w:r>
          </w:p>
        </w:tc>
        <w:tc>
          <w:tcPr>
            <w:tcW w:w="1199" w:type="pct"/>
            <w:shd w:val="clear" w:color="auto" w:fill="auto"/>
            <w:noWrap/>
            <w:vAlign w:val="center"/>
          </w:tcPr>
          <w:p w14:paraId="71627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w:t>
            </w:r>
          </w:p>
        </w:tc>
        <w:tc>
          <w:tcPr>
            <w:tcW w:w="463" w:type="pct"/>
            <w:shd w:val="clear" w:color="auto" w:fill="auto"/>
            <w:noWrap/>
            <w:vAlign w:val="center"/>
          </w:tcPr>
          <w:p w14:paraId="1F6D8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472D8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13A33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54" w:type="pct"/>
            <w:shd w:val="clear" w:color="auto" w:fill="auto"/>
            <w:noWrap/>
            <w:vAlign w:val="center"/>
          </w:tcPr>
          <w:p w14:paraId="3949F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57B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000" w:type="pct"/>
            <w:gridSpan w:val="7"/>
            <w:shd w:val="clear" w:color="auto" w:fill="auto"/>
            <w:noWrap/>
            <w:vAlign w:val="center"/>
          </w:tcPr>
          <w:p w14:paraId="56AA2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主要材料表</w:t>
            </w:r>
          </w:p>
        </w:tc>
      </w:tr>
      <w:tr w14:paraId="3C2D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68F48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664" w:type="pct"/>
            <w:shd w:val="clear" w:color="auto" w:fill="auto"/>
            <w:noWrap/>
            <w:vAlign w:val="center"/>
          </w:tcPr>
          <w:p w14:paraId="16F47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1199" w:type="pct"/>
            <w:shd w:val="clear" w:color="auto" w:fill="auto"/>
            <w:noWrap/>
            <w:vAlign w:val="center"/>
          </w:tcPr>
          <w:p w14:paraId="12608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D159X4，PN=1.0MPa</w:t>
            </w:r>
          </w:p>
        </w:tc>
        <w:tc>
          <w:tcPr>
            <w:tcW w:w="463" w:type="pct"/>
            <w:shd w:val="clear" w:color="auto" w:fill="auto"/>
            <w:noWrap/>
            <w:vAlign w:val="center"/>
          </w:tcPr>
          <w:p w14:paraId="3ADFE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737DD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81" w:type="pct"/>
            <w:shd w:val="clear" w:color="auto" w:fill="auto"/>
            <w:noWrap/>
            <w:vAlign w:val="center"/>
          </w:tcPr>
          <w:p w14:paraId="38BD3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 </w:t>
            </w:r>
          </w:p>
        </w:tc>
        <w:tc>
          <w:tcPr>
            <w:tcW w:w="1654" w:type="pct"/>
            <w:shd w:val="clear" w:color="auto" w:fill="auto"/>
            <w:noWrap/>
            <w:vAlign w:val="center"/>
          </w:tcPr>
          <w:p w14:paraId="23C22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3C8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41054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664" w:type="pct"/>
            <w:shd w:val="clear" w:color="auto" w:fill="auto"/>
            <w:noWrap/>
            <w:vAlign w:val="center"/>
          </w:tcPr>
          <w:p w14:paraId="52200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1199" w:type="pct"/>
            <w:shd w:val="clear" w:color="auto" w:fill="auto"/>
            <w:noWrap/>
            <w:vAlign w:val="center"/>
          </w:tcPr>
          <w:p w14:paraId="7B02F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D108X4，PN=1.0MPa</w:t>
            </w:r>
          </w:p>
        </w:tc>
        <w:tc>
          <w:tcPr>
            <w:tcW w:w="463" w:type="pct"/>
            <w:shd w:val="clear" w:color="auto" w:fill="auto"/>
            <w:noWrap/>
            <w:vAlign w:val="center"/>
          </w:tcPr>
          <w:p w14:paraId="3B146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11E5C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81" w:type="pct"/>
            <w:shd w:val="clear" w:color="auto" w:fill="auto"/>
            <w:noWrap/>
            <w:vAlign w:val="center"/>
          </w:tcPr>
          <w:p w14:paraId="7AFF9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1654" w:type="pct"/>
            <w:shd w:val="clear" w:color="auto" w:fill="auto"/>
            <w:noWrap/>
            <w:vAlign w:val="center"/>
          </w:tcPr>
          <w:p w14:paraId="2EC8B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153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4EB66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664" w:type="pct"/>
            <w:shd w:val="clear" w:color="auto" w:fill="auto"/>
            <w:noWrap/>
            <w:vAlign w:val="center"/>
          </w:tcPr>
          <w:p w14:paraId="303B4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橡胶软接头</w:t>
            </w:r>
          </w:p>
        </w:tc>
        <w:tc>
          <w:tcPr>
            <w:tcW w:w="1199" w:type="pct"/>
            <w:shd w:val="clear" w:color="auto" w:fill="auto"/>
            <w:noWrap/>
            <w:vAlign w:val="center"/>
          </w:tcPr>
          <w:p w14:paraId="41B74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63" w:type="pct"/>
            <w:shd w:val="clear" w:color="auto" w:fill="auto"/>
            <w:noWrap/>
            <w:vAlign w:val="center"/>
          </w:tcPr>
          <w:p w14:paraId="3B12F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09A08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087D0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54" w:type="pct"/>
            <w:shd w:val="clear" w:color="auto" w:fill="auto"/>
            <w:noWrap/>
            <w:vAlign w:val="center"/>
          </w:tcPr>
          <w:p w14:paraId="1FD93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1E1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5AC2B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664" w:type="pct"/>
            <w:shd w:val="clear" w:color="auto" w:fill="auto"/>
            <w:noWrap/>
            <w:vAlign w:val="center"/>
          </w:tcPr>
          <w:p w14:paraId="64DEB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橡胶软接头</w:t>
            </w:r>
          </w:p>
        </w:tc>
        <w:tc>
          <w:tcPr>
            <w:tcW w:w="1199" w:type="pct"/>
            <w:shd w:val="clear" w:color="auto" w:fill="auto"/>
            <w:noWrap/>
            <w:vAlign w:val="center"/>
          </w:tcPr>
          <w:p w14:paraId="7F9AB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63" w:type="pct"/>
            <w:shd w:val="clear" w:color="auto" w:fill="auto"/>
            <w:noWrap/>
            <w:vAlign w:val="center"/>
          </w:tcPr>
          <w:p w14:paraId="51343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389" w:type="pct"/>
            <w:shd w:val="clear" w:color="auto" w:fill="auto"/>
            <w:noWrap/>
            <w:vAlign w:val="center"/>
          </w:tcPr>
          <w:p w14:paraId="53EAA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81" w:type="pct"/>
            <w:shd w:val="clear" w:color="auto" w:fill="auto"/>
            <w:noWrap/>
            <w:vAlign w:val="center"/>
          </w:tcPr>
          <w:p w14:paraId="03637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54" w:type="pct"/>
            <w:shd w:val="clear" w:color="auto" w:fill="auto"/>
            <w:noWrap/>
            <w:vAlign w:val="center"/>
          </w:tcPr>
          <w:p w14:paraId="5852E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7F4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1762F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664" w:type="pct"/>
            <w:shd w:val="clear" w:color="auto" w:fill="auto"/>
            <w:noWrap/>
            <w:vAlign w:val="center"/>
          </w:tcPr>
          <w:p w14:paraId="13E76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异径三通</w:t>
            </w:r>
          </w:p>
        </w:tc>
        <w:tc>
          <w:tcPr>
            <w:tcW w:w="1199" w:type="pct"/>
            <w:shd w:val="clear" w:color="auto" w:fill="auto"/>
            <w:noWrap/>
            <w:vAlign w:val="center"/>
          </w:tcPr>
          <w:p w14:paraId="7A20D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D150X100，PN=1.0MPa</w:t>
            </w:r>
          </w:p>
        </w:tc>
        <w:tc>
          <w:tcPr>
            <w:tcW w:w="463" w:type="pct"/>
            <w:shd w:val="clear" w:color="auto" w:fill="auto"/>
            <w:noWrap/>
            <w:vAlign w:val="center"/>
          </w:tcPr>
          <w:p w14:paraId="795A0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7A53A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02D69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54" w:type="pct"/>
            <w:shd w:val="clear" w:color="auto" w:fill="auto"/>
            <w:noWrap/>
            <w:vAlign w:val="center"/>
          </w:tcPr>
          <w:p w14:paraId="7C603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A28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6E4C1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664" w:type="pct"/>
            <w:shd w:val="clear" w:color="auto" w:fill="auto"/>
            <w:noWrap/>
            <w:vAlign w:val="center"/>
          </w:tcPr>
          <w:p w14:paraId="0E54B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1199" w:type="pct"/>
            <w:shd w:val="clear" w:color="auto" w:fill="auto"/>
            <w:noWrap/>
            <w:vAlign w:val="center"/>
          </w:tcPr>
          <w:p w14:paraId="752AE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63" w:type="pct"/>
            <w:shd w:val="clear" w:color="auto" w:fill="auto"/>
            <w:noWrap/>
            <w:vAlign w:val="center"/>
          </w:tcPr>
          <w:p w14:paraId="6A9BC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64616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51C57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54" w:type="pct"/>
            <w:shd w:val="clear" w:color="auto" w:fill="auto"/>
            <w:noWrap/>
            <w:vAlign w:val="center"/>
          </w:tcPr>
          <w:p w14:paraId="5F5C7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4B5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3502E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7 </w:t>
            </w:r>
          </w:p>
        </w:tc>
        <w:tc>
          <w:tcPr>
            <w:tcW w:w="664" w:type="pct"/>
            <w:shd w:val="clear" w:color="auto" w:fill="auto"/>
            <w:noWrap/>
            <w:vAlign w:val="center"/>
          </w:tcPr>
          <w:p w14:paraId="0CEDB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法兰盲板</w:t>
            </w:r>
          </w:p>
        </w:tc>
        <w:tc>
          <w:tcPr>
            <w:tcW w:w="1199" w:type="pct"/>
            <w:shd w:val="clear" w:color="auto" w:fill="auto"/>
            <w:noWrap/>
            <w:vAlign w:val="center"/>
          </w:tcPr>
          <w:p w14:paraId="5AD73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63" w:type="pct"/>
            <w:shd w:val="clear" w:color="auto" w:fill="auto"/>
            <w:noWrap/>
            <w:vAlign w:val="center"/>
          </w:tcPr>
          <w:p w14:paraId="0A46E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68C1F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1C3C7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1654" w:type="pct"/>
            <w:shd w:val="clear" w:color="auto" w:fill="auto"/>
            <w:noWrap/>
            <w:vAlign w:val="center"/>
          </w:tcPr>
          <w:p w14:paraId="7EBFD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D9C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6A4C5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664" w:type="pct"/>
            <w:shd w:val="clear" w:color="auto" w:fill="auto"/>
            <w:noWrap/>
            <w:vAlign w:val="center"/>
          </w:tcPr>
          <w:p w14:paraId="6027F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1199" w:type="pct"/>
            <w:shd w:val="clear" w:color="auto" w:fill="auto"/>
            <w:noWrap/>
            <w:vAlign w:val="center"/>
          </w:tcPr>
          <w:p w14:paraId="7A0CB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463" w:type="pct"/>
            <w:shd w:val="clear" w:color="auto" w:fill="auto"/>
            <w:noWrap/>
            <w:vAlign w:val="center"/>
          </w:tcPr>
          <w:p w14:paraId="694D3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3CBC5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71694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54" w:type="pct"/>
            <w:shd w:val="clear" w:color="auto" w:fill="auto"/>
            <w:noWrap/>
            <w:vAlign w:val="center"/>
          </w:tcPr>
          <w:p w14:paraId="674DA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0F4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24098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9 </w:t>
            </w:r>
          </w:p>
        </w:tc>
        <w:tc>
          <w:tcPr>
            <w:tcW w:w="664" w:type="pct"/>
            <w:shd w:val="clear" w:color="auto" w:fill="auto"/>
            <w:noWrap/>
            <w:vAlign w:val="center"/>
          </w:tcPr>
          <w:p w14:paraId="25521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1199" w:type="pct"/>
            <w:shd w:val="clear" w:color="auto" w:fill="auto"/>
            <w:noWrap/>
            <w:vAlign w:val="center"/>
          </w:tcPr>
          <w:p w14:paraId="62E48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DN100，PN=1.0MPa</w:t>
            </w:r>
          </w:p>
        </w:tc>
        <w:tc>
          <w:tcPr>
            <w:tcW w:w="463" w:type="pct"/>
            <w:shd w:val="clear" w:color="auto" w:fill="auto"/>
            <w:noWrap/>
            <w:vAlign w:val="center"/>
          </w:tcPr>
          <w:p w14:paraId="67CFF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179DE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shd w:val="clear" w:color="auto" w:fill="auto"/>
            <w:noWrap/>
            <w:vAlign w:val="center"/>
          </w:tcPr>
          <w:p w14:paraId="568E2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12 </w:t>
            </w:r>
          </w:p>
        </w:tc>
        <w:tc>
          <w:tcPr>
            <w:tcW w:w="1654" w:type="pct"/>
            <w:shd w:val="clear" w:color="auto" w:fill="auto"/>
            <w:noWrap/>
            <w:vAlign w:val="center"/>
          </w:tcPr>
          <w:p w14:paraId="62943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116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75DE0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 </w:t>
            </w:r>
          </w:p>
        </w:tc>
        <w:tc>
          <w:tcPr>
            <w:tcW w:w="664" w:type="pct"/>
            <w:shd w:val="clear" w:color="auto" w:fill="auto"/>
            <w:noWrap/>
            <w:vAlign w:val="center"/>
          </w:tcPr>
          <w:p w14:paraId="4A149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16#槽钢</w:t>
            </w:r>
          </w:p>
        </w:tc>
        <w:tc>
          <w:tcPr>
            <w:tcW w:w="1199" w:type="pct"/>
            <w:shd w:val="clear" w:color="auto" w:fill="auto"/>
            <w:noWrap/>
            <w:vAlign w:val="center"/>
          </w:tcPr>
          <w:p w14:paraId="2059D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463" w:type="pct"/>
            <w:shd w:val="clear" w:color="auto" w:fill="auto"/>
            <w:noWrap/>
            <w:vAlign w:val="center"/>
          </w:tcPr>
          <w:p w14:paraId="48CF7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389" w:type="pct"/>
            <w:shd w:val="clear" w:color="auto" w:fill="auto"/>
            <w:noWrap/>
            <w:vAlign w:val="center"/>
          </w:tcPr>
          <w:p w14:paraId="4E189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81" w:type="pct"/>
            <w:shd w:val="clear" w:color="auto" w:fill="auto"/>
            <w:noWrap/>
            <w:vAlign w:val="center"/>
          </w:tcPr>
          <w:p w14:paraId="3157B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12 </w:t>
            </w:r>
          </w:p>
        </w:tc>
        <w:tc>
          <w:tcPr>
            <w:tcW w:w="1654" w:type="pct"/>
            <w:shd w:val="clear" w:color="auto" w:fill="auto"/>
            <w:noWrap/>
            <w:vAlign w:val="center"/>
          </w:tcPr>
          <w:p w14:paraId="64C7C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E99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6" w:type="pct"/>
            <w:shd w:val="clear" w:color="auto" w:fill="auto"/>
            <w:noWrap/>
            <w:vAlign w:val="center"/>
          </w:tcPr>
          <w:p w14:paraId="5A63D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 </w:t>
            </w:r>
          </w:p>
        </w:tc>
        <w:tc>
          <w:tcPr>
            <w:tcW w:w="664" w:type="pct"/>
            <w:shd w:val="clear" w:color="auto" w:fill="auto"/>
            <w:noWrap/>
            <w:vAlign w:val="center"/>
          </w:tcPr>
          <w:p w14:paraId="0E7D1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辅材</w:t>
            </w:r>
          </w:p>
        </w:tc>
        <w:tc>
          <w:tcPr>
            <w:tcW w:w="1199" w:type="pct"/>
            <w:shd w:val="clear" w:color="auto" w:fill="auto"/>
            <w:noWrap/>
            <w:vAlign w:val="center"/>
          </w:tcPr>
          <w:p w14:paraId="7FA0D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463" w:type="pct"/>
            <w:shd w:val="clear" w:color="auto" w:fill="auto"/>
            <w:noWrap/>
            <w:vAlign w:val="center"/>
          </w:tcPr>
          <w:p w14:paraId="72191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9" w:type="pct"/>
            <w:shd w:val="clear" w:color="auto" w:fill="auto"/>
            <w:noWrap/>
            <w:vAlign w:val="center"/>
          </w:tcPr>
          <w:p w14:paraId="1E3BE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381" w:type="pct"/>
            <w:shd w:val="clear" w:color="auto" w:fill="auto"/>
            <w:noWrap/>
            <w:vAlign w:val="center"/>
          </w:tcPr>
          <w:p w14:paraId="5B16B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54" w:type="pct"/>
            <w:shd w:val="clear" w:color="auto" w:fill="auto"/>
            <w:noWrap/>
            <w:vAlign w:val="center"/>
          </w:tcPr>
          <w:p w14:paraId="6D4B0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68A556CB">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1.8污泥脱水机房</w:t>
      </w:r>
    </w:p>
    <w:tbl>
      <w:tblPr>
        <w:tblStyle w:val="43"/>
        <w:tblW w:w="5000" w:type="pct"/>
        <w:tblInd w:w="0" w:type="dxa"/>
        <w:tblLayout w:type="fixed"/>
        <w:tblCellMar>
          <w:top w:w="0" w:type="dxa"/>
          <w:left w:w="108" w:type="dxa"/>
          <w:bottom w:w="0" w:type="dxa"/>
          <w:right w:w="108" w:type="dxa"/>
        </w:tblCellMar>
      </w:tblPr>
      <w:tblGrid>
        <w:gridCol w:w="464"/>
        <w:gridCol w:w="1717"/>
        <w:gridCol w:w="4389"/>
        <w:gridCol w:w="797"/>
        <w:gridCol w:w="528"/>
        <w:gridCol w:w="528"/>
        <w:gridCol w:w="1539"/>
      </w:tblGrid>
      <w:tr w14:paraId="32A43DE2">
        <w:tblPrEx>
          <w:tblCellMar>
            <w:top w:w="0" w:type="dxa"/>
            <w:left w:w="108" w:type="dxa"/>
            <w:bottom w:w="0" w:type="dxa"/>
            <w:right w:w="108" w:type="dxa"/>
          </w:tblCellMar>
        </w:tblPrEx>
        <w:trPr>
          <w:trHeight w:val="454" w:hRule="atLeast"/>
          <w:tblHeader/>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E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C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7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3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A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5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3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51A317D9">
        <w:tblPrEx>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E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7E0F9DC8">
        <w:tblPrEx>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5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一、污泥调理系统</w:t>
            </w:r>
          </w:p>
        </w:tc>
      </w:tr>
      <w:tr w14:paraId="4642A5F2">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D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2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污泥切割机</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5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处理量Q=50m3/h，N=1.5KW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4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5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1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C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F974D69">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F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F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浓缩机进泥泵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0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干式螺旋离心泵：Q=40m3/h，H=20m,变频控制流量，N=7.5KW，电机能耗等级二级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3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B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C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4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266EDD1">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E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PAM泡药机</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6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制备能力1000L/h,制备浓度：0.1%~0.3%，N=1.32KW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2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3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2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D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648CF3D">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D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1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PAM药剂投加泵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E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Q=1.0m3/h,H=20m，变频控制流量，N=0.75KW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5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C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7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6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一用一备</w:t>
            </w:r>
          </w:p>
        </w:tc>
      </w:tr>
      <w:tr w14:paraId="259BFD7D">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C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5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浓缩机冲洗泵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E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Q=6m3/h,H=60m，N=2.2KW，电机能耗等级二级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C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4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6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F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494CC43">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6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污泥浓缩机</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5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处理量0.30tDS/h，含进泥调理槽,N=0.75KW+0.37KW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4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1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3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B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4E095B7">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D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7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铁盐卸料泵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6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Q=30m3/h,H=10m，N=2.2KW，电机能耗等级二级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B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6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8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4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0386583">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D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0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铁盐存储罐</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B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V=5m3，材质PE</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D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3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D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F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CA3D06A">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8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9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2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铁盐投加泵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4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Q=200L/h,H=20m，N=0.37KW，电机能耗等级二级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D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4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4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一用一备</w:t>
            </w:r>
          </w:p>
        </w:tc>
      </w:tr>
      <w:tr w14:paraId="1A01BBB2">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2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8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调理池搅拌器</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2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有效容积：10m3，桨叶搅拌器，配液位计,N=4KW，电机能耗等级二级</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C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2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1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B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0572E06">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C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C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阀门及管道</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7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F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9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2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B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3B91579">
        <w:tblPrEx>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0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二、污泥脱水系统</w:t>
            </w:r>
          </w:p>
        </w:tc>
      </w:tr>
      <w:tr w14:paraId="2D86A68D">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8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E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全自动高压隔膜板框脱水机</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7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滤板尺寸≥1.0X1.0m,单台过滤面积≥40.0m2，腔室数量40，N=11KW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C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8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0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E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64CB676">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9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12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8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板框机进泥泵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4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Q=25m3/h，H=80m，变频螺杆泵，N=11KW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9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2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2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05E20EC">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4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13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2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储水罐</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E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5立方，PE，带自动进水装置</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0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9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7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C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CA65322">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6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14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1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板框机清洗泵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8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扬程H=200m，Q=20m3/h,N=22KW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B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C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7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E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F9C888B">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F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15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3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板框机压榨泵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扬程H=200m，Q=8m3/h,N=11KW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F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4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3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D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10411E9">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B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16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真空泵</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E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水环式真空泵，Q=1.5m3/min，H=700mmHg,N=4KW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9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9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5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1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13BB4AD">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D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17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7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空压机</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7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Q=1.0m3/min，P=8bar，带冷干机及过滤器，N=7.5KW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0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9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A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CFB8417">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B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18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C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储气罐</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7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3立方  8公斤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E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3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D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4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AA701C9">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4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19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0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导料斗</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B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与板框机落料口配套，材质碳钢防腐</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1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9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1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F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AF93B29">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9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6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双螺旋输送机</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B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输送量2m3/h,N=2x3.0KW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0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7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7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7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CC6F4D1">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A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21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0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检修行车</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9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起重量2.0t，板框机检修用，N=6.1KW</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A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5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0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B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9249B2D">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8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22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1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管路与阀门、仪器和仪表</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4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B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E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A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8F79BCA">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B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23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B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配电自控系统</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0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配套所有相关配电柜（箱）、控制柜（箱）及相关配电、控制电缆及线槽、穿管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B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6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6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1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31B1249">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4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24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7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板框机操作平台</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6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与板框机配套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3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F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D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B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575FCC2">
        <w:tblPrEx>
          <w:tblCellMar>
            <w:top w:w="0" w:type="dxa"/>
            <w:left w:w="108" w:type="dxa"/>
            <w:bottom w:w="0" w:type="dxa"/>
            <w:right w:w="108" w:type="dxa"/>
          </w:tblCellMar>
        </w:tblPrEx>
        <w:trPr>
          <w:trHeight w:val="454"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25 </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7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阀门及管道</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2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2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4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B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E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04BB9177">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1.9综合车间</w:t>
      </w:r>
    </w:p>
    <w:tbl>
      <w:tblPr>
        <w:tblStyle w:val="43"/>
        <w:tblW w:w="0" w:type="auto"/>
        <w:tblInd w:w="0" w:type="dxa"/>
        <w:tblLayout w:type="fixed"/>
        <w:tblCellMar>
          <w:top w:w="0" w:type="dxa"/>
          <w:left w:w="108" w:type="dxa"/>
          <w:bottom w:w="0" w:type="dxa"/>
          <w:right w:w="108" w:type="dxa"/>
        </w:tblCellMar>
      </w:tblPr>
      <w:tblGrid>
        <w:gridCol w:w="722"/>
        <w:gridCol w:w="1607"/>
        <w:gridCol w:w="3027"/>
        <w:gridCol w:w="991"/>
        <w:gridCol w:w="697"/>
        <w:gridCol w:w="669"/>
        <w:gridCol w:w="2206"/>
      </w:tblGrid>
      <w:tr w14:paraId="6BFF2A25">
        <w:tblPrEx>
          <w:tblCellMar>
            <w:top w:w="0" w:type="dxa"/>
            <w:left w:w="108" w:type="dxa"/>
            <w:bottom w:w="0" w:type="dxa"/>
            <w:right w:w="108" w:type="dxa"/>
          </w:tblCellMar>
        </w:tblPrEx>
        <w:trPr>
          <w:trHeight w:val="454" w:hRule="atLeast"/>
          <w:tblHead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D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0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1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8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C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F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7EFCA0E6">
        <w:tblPrEx>
          <w:tblCellMar>
            <w:top w:w="0" w:type="dxa"/>
            <w:left w:w="108" w:type="dxa"/>
            <w:bottom w:w="0" w:type="dxa"/>
            <w:right w:w="108" w:type="dxa"/>
          </w:tblCellMar>
        </w:tblPrEx>
        <w:trPr>
          <w:trHeight w:val="454" w:hRule="atLeast"/>
        </w:trPr>
        <w:tc>
          <w:tcPr>
            <w:tcW w:w="991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2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433DBB44">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3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B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鼓风机房</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6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0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3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4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C9DA2F3">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1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7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磁悬浮风机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9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Q=20m3/min，P=85.0kPa，N=37kW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D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8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D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5C1A20D">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5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C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磁悬浮风机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B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Q=40m3/min，P=85.0kPa，N=55kW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6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6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0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2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EAC4FF5">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0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2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出口柔性接头</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E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A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E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2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9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77515F74">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D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F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3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6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D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7B946D8E">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0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4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手动碟阀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3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5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E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5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4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421AFA05">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3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7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4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4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F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62730429">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4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7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E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出口柔性接头</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F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1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F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8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8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45B73917">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F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F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止回阀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D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D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D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2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1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4FDD7C61">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6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9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1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手动碟阀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5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0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C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4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3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4F55AF17">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A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1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阀门伸缩器</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3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C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7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D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风机配套供应</w:t>
            </w:r>
          </w:p>
        </w:tc>
      </w:tr>
      <w:tr w14:paraId="4A060760">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C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4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电动单梁悬挂起重机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1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Gn=2.0t，N=4.0+2X0.4kW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7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8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D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8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跨度6.4m，起吊高度6m，配套电动葫芦</w:t>
            </w:r>
          </w:p>
        </w:tc>
      </w:tr>
      <w:tr w14:paraId="09FD2288">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E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12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4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潜污泵</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B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Q=10m3/h，H=5.0m，N=2.2kW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C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E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B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配套止回阀、阀门等，移动式安装</w:t>
            </w:r>
          </w:p>
        </w:tc>
      </w:tr>
      <w:tr w14:paraId="7AE4BA63">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4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加药间</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1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2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3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5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8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BB8FCE8">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F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5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PAC储罐</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E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V=15m3，材质PE</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A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4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D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A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CC65DB0">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C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2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碳源储罐</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1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V=15m3，材质PE</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1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4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B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3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B964B14">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0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8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次氯酸钠储罐</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8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V=15m3，材质PE</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F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9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9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1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1809CFC">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C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PAC加药隔膜计量泵</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0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Q=0-500L/h,H=40m,N=0.55kW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9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1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2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F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2用1备，变频，撬装供货，配套管路阀门</w:t>
            </w:r>
          </w:p>
        </w:tc>
      </w:tr>
      <w:tr w14:paraId="79E43040">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0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2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碳源加药隔膜计量泵</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8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Q=0-500L/h,H=40m,N=0.55kW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5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4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F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C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2用1备，变频，撬装供货，配套管路阀门</w:t>
            </w:r>
          </w:p>
        </w:tc>
      </w:tr>
      <w:tr w14:paraId="142EEA25">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A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4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次氯酸钠加药隔膜计量泵</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8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Q=0-300L/h,H=40m,N=0.55kW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9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B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F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F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2用1备，变频，撬装供货，配套管路阀门</w:t>
            </w:r>
          </w:p>
        </w:tc>
      </w:tr>
      <w:tr w14:paraId="21C7BD4F">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1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7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A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PAC卸料泵</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7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Q=20m3/h,H=10m,N=1.5kW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4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4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2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E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耐腐蚀塑料离心泵</w:t>
            </w:r>
          </w:p>
        </w:tc>
      </w:tr>
      <w:tr w14:paraId="32E2CCF1">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1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1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碳源卸料泵</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A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Q=20m3/h,H=10m,N=1.5kW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E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5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F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1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耐腐蚀塑料离心泵</w:t>
            </w:r>
          </w:p>
        </w:tc>
      </w:tr>
      <w:tr w14:paraId="0BF86B91">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4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9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A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次氯酸钠卸料泵</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C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Q=20m3/h,H=10m,N=1.5kW</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7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F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7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A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耐腐蚀塑料离心泵</w:t>
            </w:r>
          </w:p>
        </w:tc>
      </w:tr>
      <w:tr w14:paraId="7862C486">
        <w:tblPrEx>
          <w:tblCellMar>
            <w:top w:w="0" w:type="dxa"/>
            <w:left w:w="108" w:type="dxa"/>
            <w:bottom w:w="0" w:type="dxa"/>
            <w:right w:w="108" w:type="dxa"/>
          </w:tblCellMar>
        </w:tblPrEx>
        <w:trPr>
          <w:trHeight w:val="454" w:hRule="atLeast"/>
        </w:trPr>
        <w:tc>
          <w:tcPr>
            <w:tcW w:w="991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C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30FA2085">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1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7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B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8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2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2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15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1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7AF8DD7">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4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1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2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7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1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30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8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3A93EE6">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2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3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2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异径管</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1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DN150X200,PN10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D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A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2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68E3EDC">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4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3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异径管</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8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DN200X250,PN10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6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0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A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B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89101B1">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9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5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A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等径三通</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2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6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5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0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1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2C75916">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9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6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7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等径三通</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5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E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5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E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2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24A1C94">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1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7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1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7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5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9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9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7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F65ACFF">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0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8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9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90°弯头</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9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D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B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A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5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627E1A0">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5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9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8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法兰盲板</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3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A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4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B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4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0E3FB80">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A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F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管道支架</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0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3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2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3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D64E52A">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B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 </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1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管道支架</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3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2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A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A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4 </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5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184E89F">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D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F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F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5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3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B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3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AB16D99">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D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2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F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DN200,PN10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B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7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8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8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CDDAB9D">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E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9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法兰片</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B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A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Q235B</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B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0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1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A9ADDFC">
        <w:tblPrEx>
          <w:tblCellMar>
            <w:top w:w="0" w:type="dxa"/>
            <w:left w:w="108" w:type="dxa"/>
            <w:bottom w:w="0" w:type="dxa"/>
            <w:right w:w="108" w:type="dxa"/>
          </w:tblCellMar>
        </w:tblPrEx>
        <w:trPr>
          <w:trHeight w:val="45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1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A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玻璃钢盖板</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C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1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7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平方米</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C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F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6FBFDC3E">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1.10除臭系统</w:t>
      </w:r>
    </w:p>
    <w:tbl>
      <w:tblPr>
        <w:tblStyle w:val="43"/>
        <w:tblW w:w="5258" w:type="pct"/>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22"/>
        <w:gridCol w:w="5486"/>
        <w:gridCol w:w="1150"/>
        <w:gridCol w:w="550"/>
        <w:gridCol w:w="565"/>
        <w:gridCol w:w="975"/>
      </w:tblGrid>
      <w:tr w14:paraId="659D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51" w:type="pct"/>
            <w:shd w:val="clear" w:color="auto" w:fill="auto"/>
            <w:noWrap/>
            <w:vAlign w:val="center"/>
          </w:tcPr>
          <w:p w14:paraId="5A869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583" w:type="pct"/>
            <w:shd w:val="clear" w:color="auto" w:fill="auto"/>
            <w:noWrap/>
            <w:vAlign w:val="center"/>
          </w:tcPr>
          <w:p w14:paraId="63883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2618" w:type="pct"/>
            <w:shd w:val="clear" w:color="auto" w:fill="auto"/>
            <w:noWrap/>
            <w:vAlign w:val="center"/>
          </w:tcPr>
          <w:p w14:paraId="3ED57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规格型号</w:t>
            </w:r>
          </w:p>
        </w:tc>
        <w:tc>
          <w:tcPr>
            <w:tcW w:w="548" w:type="pct"/>
            <w:shd w:val="clear" w:color="auto" w:fill="auto"/>
            <w:noWrap/>
            <w:vAlign w:val="center"/>
          </w:tcPr>
          <w:p w14:paraId="49E86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w:t>
            </w:r>
          </w:p>
        </w:tc>
        <w:tc>
          <w:tcPr>
            <w:tcW w:w="262" w:type="pct"/>
            <w:shd w:val="clear" w:color="auto" w:fill="auto"/>
            <w:noWrap/>
            <w:vAlign w:val="center"/>
          </w:tcPr>
          <w:p w14:paraId="08C64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269" w:type="pct"/>
            <w:shd w:val="clear" w:color="auto" w:fill="auto"/>
            <w:noWrap/>
            <w:vAlign w:val="center"/>
          </w:tcPr>
          <w:p w14:paraId="21AD6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465" w:type="pct"/>
            <w:shd w:val="clear" w:color="auto" w:fill="auto"/>
            <w:noWrap/>
            <w:vAlign w:val="center"/>
          </w:tcPr>
          <w:p w14:paraId="4FAD7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2EA7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7"/>
            <w:shd w:val="clear" w:color="auto" w:fill="auto"/>
            <w:noWrap/>
            <w:vAlign w:val="center"/>
          </w:tcPr>
          <w:p w14:paraId="21CEE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1#除臭系统（10000m3/h）</w:t>
            </w:r>
          </w:p>
        </w:tc>
      </w:tr>
      <w:tr w14:paraId="27C3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51" w:type="pct"/>
            <w:shd w:val="clear" w:color="auto" w:fill="auto"/>
            <w:noWrap/>
            <w:vAlign w:val="center"/>
          </w:tcPr>
          <w:p w14:paraId="05EE0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83" w:type="pct"/>
            <w:shd w:val="clear" w:color="auto" w:fill="auto"/>
            <w:noWrap/>
            <w:vAlign w:val="center"/>
          </w:tcPr>
          <w:p w14:paraId="54D26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预洗池及生物滤池</w:t>
            </w:r>
          </w:p>
        </w:tc>
        <w:tc>
          <w:tcPr>
            <w:tcW w:w="2618" w:type="pct"/>
            <w:shd w:val="clear" w:color="auto" w:fill="auto"/>
            <w:noWrap/>
            <w:vAlign w:val="center"/>
          </w:tcPr>
          <w:p w14:paraId="57567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生物滤池的池体材质为内板6mm玻璃钢板+50×2.5mm碳钢防腐骨架，应保证塔体足够的强度和刚度；滤池必须配置风管接口、管道接口、填料收纳架、填料、检修门、喷淋加湿装置等完善的附件。滤池应带有顶盖，并设有合理的检修孔。</w:t>
            </w:r>
          </w:p>
          <w:p w14:paraId="724E8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池体内部的填料支撑板采用尺寸适宜的玻璃钢格栅板或更优材质，填料支撑板应保证足够的刚度、强度及耐腐蚀性。</w:t>
            </w:r>
          </w:p>
          <w:p w14:paraId="1BFE3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滤池底部应设排水系统。滤池顶部应设有喷淋系统，根据需要适时对填料进行喷淋，以保证微生物有适宜的工作环境。</w:t>
            </w:r>
          </w:p>
        </w:tc>
        <w:tc>
          <w:tcPr>
            <w:tcW w:w="548" w:type="pct"/>
            <w:shd w:val="clear" w:color="auto" w:fill="auto"/>
            <w:noWrap/>
            <w:vAlign w:val="center"/>
          </w:tcPr>
          <w:p w14:paraId="5686C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6mm玻璃钢+碳钢骨架</w:t>
            </w:r>
          </w:p>
        </w:tc>
        <w:tc>
          <w:tcPr>
            <w:tcW w:w="262" w:type="pct"/>
            <w:shd w:val="clear" w:color="auto" w:fill="auto"/>
            <w:noWrap/>
            <w:vAlign w:val="center"/>
          </w:tcPr>
          <w:p w14:paraId="3456E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269" w:type="pct"/>
            <w:shd w:val="clear" w:color="auto" w:fill="auto"/>
            <w:noWrap/>
            <w:vAlign w:val="center"/>
          </w:tcPr>
          <w:p w14:paraId="68595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29566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高度不含0.5m围水堰</w:t>
            </w:r>
          </w:p>
        </w:tc>
      </w:tr>
      <w:tr w14:paraId="58D2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04D6A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83" w:type="pct"/>
            <w:shd w:val="clear" w:color="auto" w:fill="auto"/>
            <w:noWrap/>
            <w:vAlign w:val="center"/>
          </w:tcPr>
          <w:p w14:paraId="7D31A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离心风机</w:t>
            </w:r>
          </w:p>
        </w:tc>
        <w:tc>
          <w:tcPr>
            <w:tcW w:w="2618" w:type="pct"/>
            <w:shd w:val="clear" w:color="auto" w:fill="auto"/>
            <w:noWrap/>
            <w:vAlign w:val="center"/>
          </w:tcPr>
          <w:p w14:paraId="600E1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Q=10000m3/h，P=2200Pa,IP55,含隔音罩，N=11kW</w:t>
            </w:r>
          </w:p>
        </w:tc>
        <w:tc>
          <w:tcPr>
            <w:tcW w:w="548" w:type="pct"/>
            <w:shd w:val="clear" w:color="auto" w:fill="auto"/>
            <w:noWrap/>
            <w:vAlign w:val="center"/>
          </w:tcPr>
          <w:p w14:paraId="54666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叶轮及壳体用玻璃钢</w:t>
            </w:r>
          </w:p>
        </w:tc>
        <w:tc>
          <w:tcPr>
            <w:tcW w:w="262" w:type="pct"/>
            <w:shd w:val="clear" w:color="auto" w:fill="auto"/>
            <w:noWrap/>
            <w:vAlign w:val="center"/>
          </w:tcPr>
          <w:p w14:paraId="47932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269" w:type="pct"/>
            <w:shd w:val="clear" w:color="auto" w:fill="auto"/>
            <w:noWrap/>
            <w:vAlign w:val="center"/>
          </w:tcPr>
          <w:p w14:paraId="0EBE9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65" w:type="pct"/>
            <w:shd w:val="clear" w:color="auto" w:fill="auto"/>
            <w:noWrap/>
            <w:vAlign w:val="center"/>
          </w:tcPr>
          <w:p w14:paraId="349CB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1用1备</w:t>
            </w:r>
          </w:p>
        </w:tc>
      </w:tr>
      <w:tr w14:paraId="53D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60D77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83" w:type="pct"/>
            <w:shd w:val="clear" w:color="auto" w:fill="auto"/>
            <w:noWrap/>
            <w:vAlign w:val="center"/>
          </w:tcPr>
          <w:p w14:paraId="07C27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循环水泵</w:t>
            </w:r>
          </w:p>
        </w:tc>
        <w:tc>
          <w:tcPr>
            <w:tcW w:w="2618" w:type="pct"/>
            <w:shd w:val="clear" w:color="auto" w:fill="auto"/>
            <w:noWrap/>
            <w:vAlign w:val="center"/>
          </w:tcPr>
          <w:p w14:paraId="78554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Q=8m3/h，H=30~40m，IP55，N=1.5kW</w:t>
            </w:r>
          </w:p>
        </w:tc>
        <w:tc>
          <w:tcPr>
            <w:tcW w:w="548" w:type="pct"/>
            <w:shd w:val="clear" w:color="auto" w:fill="auto"/>
            <w:noWrap/>
            <w:vAlign w:val="center"/>
          </w:tcPr>
          <w:p w14:paraId="3844C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过流不锈钢304</w:t>
            </w:r>
          </w:p>
        </w:tc>
        <w:tc>
          <w:tcPr>
            <w:tcW w:w="262" w:type="pct"/>
            <w:shd w:val="clear" w:color="auto" w:fill="auto"/>
            <w:noWrap/>
            <w:vAlign w:val="center"/>
          </w:tcPr>
          <w:p w14:paraId="6E35C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269" w:type="pct"/>
            <w:shd w:val="clear" w:color="auto" w:fill="auto"/>
            <w:noWrap/>
            <w:vAlign w:val="center"/>
          </w:tcPr>
          <w:p w14:paraId="74539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65" w:type="pct"/>
            <w:shd w:val="clear" w:color="auto" w:fill="auto"/>
            <w:noWrap/>
            <w:vAlign w:val="center"/>
          </w:tcPr>
          <w:p w14:paraId="40559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带雨帽，1用1备</w:t>
            </w:r>
          </w:p>
        </w:tc>
      </w:tr>
      <w:tr w14:paraId="42A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51" w:type="pct"/>
            <w:shd w:val="clear" w:color="auto" w:fill="auto"/>
            <w:noWrap/>
            <w:vAlign w:val="center"/>
          </w:tcPr>
          <w:p w14:paraId="69AF4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83" w:type="pct"/>
            <w:shd w:val="clear" w:color="auto" w:fill="auto"/>
            <w:noWrap/>
            <w:vAlign w:val="center"/>
          </w:tcPr>
          <w:p w14:paraId="603C1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控制柜</w:t>
            </w:r>
          </w:p>
        </w:tc>
        <w:tc>
          <w:tcPr>
            <w:tcW w:w="2618" w:type="pct"/>
            <w:shd w:val="clear" w:color="auto" w:fill="auto"/>
            <w:noWrap/>
            <w:vAlign w:val="center"/>
          </w:tcPr>
          <w:p w14:paraId="717B6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含PLC、7寸触摸屏、变频器和以太网通讯协议，柜体IP55</w:t>
            </w:r>
          </w:p>
        </w:tc>
        <w:tc>
          <w:tcPr>
            <w:tcW w:w="548" w:type="pct"/>
            <w:shd w:val="clear" w:color="auto" w:fill="auto"/>
            <w:noWrap/>
            <w:vAlign w:val="center"/>
          </w:tcPr>
          <w:p w14:paraId="323CD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SS304，t=1.5mm</w:t>
            </w:r>
          </w:p>
        </w:tc>
        <w:tc>
          <w:tcPr>
            <w:tcW w:w="262" w:type="pct"/>
            <w:shd w:val="clear" w:color="auto" w:fill="auto"/>
            <w:noWrap/>
            <w:vAlign w:val="center"/>
          </w:tcPr>
          <w:p w14:paraId="07E0F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4FC7D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1B50E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CBD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4ED11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83" w:type="pct"/>
            <w:shd w:val="clear" w:color="auto" w:fill="auto"/>
            <w:noWrap/>
            <w:vAlign w:val="center"/>
          </w:tcPr>
          <w:p w14:paraId="56BBD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水箱</w:t>
            </w:r>
          </w:p>
        </w:tc>
        <w:tc>
          <w:tcPr>
            <w:tcW w:w="2618" w:type="pct"/>
            <w:shd w:val="clear" w:color="auto" w:fill="auto"/>
            <w:noWrap/>
            <w:vAlign w:val="center"/>
          </w:tcPr>
          <w:p w14:paraId="22DC94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1000mm×1000mm×800mm</w:t>
            </w:r>
          </w:p>
        </w:tc>
        <w:tc>
          <w:tcPr>
            <w:tcW w:w="548" w:type="pct"/>
            <w:shd w:val="clear" w:color="auto" w:fill="auto"/>
            <w:noWrap/>
            <w:vAlign w:val="center"/>
          </w:tcPr>
          <w:p w14:paraId="4877B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262" w:type="pct"/>
            <w:shd w:val="clear" w:color="auto" w:fill="auto"/>
            <w:noWrap/>
            <w:vAlign w:val="center"/>
          </w:tcPr>
          <w:p w14:paraId="37175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2758E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3F13D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BB5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51" w:type="pct"/>
            <w:shd w:val="clear" w:color="auto" w:fill="auto"/>
            <w:noWrap/>
            <w:vAlign w:val="center"/>
          </w:tcPr>
          <w:p w14:paraId="6DB40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83" w:type="pct"/>
            <w:shd w:val="clear" w:color="auto" w:fill="auto"/>
            <w:noWrap/>
            <w:vAlign w:val="center"/>
          </w:tcPr>
          <w:p w14:paraId="64A79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干簧管高、低液位开关</w:t>
            </w:r>
          </w:p>
        </w:tc>
        <w:tc>
          <w:tcPr>
            <w:tcW w:w="2618" w:type="pct"/>
            <w:shd w:val="clear" w:color="auto" w:fill="auto"/>
            <w:noWrap/>
            <w:vAlign w:val="center"/>
          </w:tcPr>
          <w:p w14:paraId="3B186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548" w:type="pct"/>
            <w:shd w:val="clear" w:color="auto" w:fill="auto"/>
            <w:noWrap/>
            <w:vAlign w:val="center"/>
          </w:tcPr>
          <w:p w14:paraId="201B9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不锈钢SS316</w:t>
            </w:r>
          </w:p>
        </w:tc>
        <w:tc>
          <w:tcPr>
            <w:tcW w:w="262" w:type="pct"/>
            <w:shd w:val="clear" w:color="auto" w:fill="auto"/>
            <w:noWrap/>
            <w:vAlign w:val="center"/>
          </w:tcPr>
          <w:p w14:paraId="0E1E6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22AE1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68E99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F8D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784F2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83" w:type="pct"/>
            <w:shd w:val="clear" w:color="auto" w:fill="auto"/>
            <w:noWrap/>
            <w:vAlign w:val="center"/>
          </w:tcPr>
          <w:p w14:paraId="7A553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水压压力表</w:t>
            </w:r>
          </w:p>
        </w:tc>
        <w:tc>
          <w:tcPr>
            <w:tcW w:w="2618" w:type="pct"/>
            <w:shd w:val="clear" w:color="auto" w:fill="auto"/>
            <w:noWrap/>
            <w:vAlign w:val="center"/>
          </w:tcPr>
          <w:p w14:paraId="22374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0~0.6MPa,数字显示，带4~20mA信号输出,外螺纹，螺牙常规R1/4"</w:t>
            </w:r>
          </w:p>
        </w:tc>
        <w:tc>
          <w:tcPr>
            <w:tcW w:w="548" w:type="pct"/>
            <w:shd w:val="clear" w:color="auto" w:fill="auto"/>
            <w:noWrap/>
            <w:vAlign w:val="center"/>
          </w:tcPr>
          <w:p w14:paraId="1C633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螺纹接口不锈钢，外壳塑料</w:t>
            </w:r>
          </w:p>
        </w:tc>
        <w:tc>
          <w:tcPr>
            <w:tcW w:w="262" w:type="pct"/>
            <w:shd w:val="clear" w:color="auto" w:fill="auto"/>
            <w:noWrap/>
            <w:vAlign w:val="center"/>
          </w:tcPr>
          <w:p w14:paraId="40B60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5B240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5E679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装于喷淋管道</w:t>
            </w:r>
          </w:p>
        </w:tc>
      </w:tr>
      <w:tr w14:paraId="4B3E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7420E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83" w:type="pct"/>
            <w:shd w:val="clear" w:color="auto" w:fill="auto"/>
            <w:noWrap/>
            <w:vAlign w:val="center"/>
          </w:tcPr>
          <w:p w14:paraId="6FB41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烟囱</w:t>
            </w:r>
          </w:p>
        </w:tc>
        <w:tc>
          <w:tcPr>
            <w:tcW w:w="2618" w:type="pct"/>
            <w:shd w:val="clear" w:color="auto" w:fill="auto"/>
            <w:noWrap/>
            <w:vAlign w:val="center"/>
          </w:tcPr>
          <w:p w14:paraId="5C321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DN600,含塔架、取样平台、取样口及防雷接地</w:t>
            </w:r>
          </w:p>
        </w:tc>
        <w:tc>
          <w:tcPr>
            <w:tcW w:w="548" w:type="pct"/>
            <w:shd w:val="clear" w:color="auto" w:fill="auto"/>
            <w:noWrap/>
            <w:vAlign w:val="center"/>
          </w:tcPr>
          <w:p w14:paraId="26A08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玻璃钢筒体+碳钢防腐塔架</w:t>
            </w:r>
          </w:p>
        </w:tc>
        <w:tc>
          <w:tcPr>
            <w:tcW w:w="262" w:type="pct"/>
            <w:shd w:val="clear" w:color="auto" w:fill="auto"/>
            <w:noWrap/>
            <w:vAlign w:val="center"/>
          </w:tcPr>
          <w:p w14:paraId="5CE03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11C12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0B8AA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配笼式竖直梯</w:t>
            </w:r>
          </w:p>
        </w:tc>
      </w:tr>
      <w:tr w14:paraId="5278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6BB7E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83" w:type="pct"/>
            <w:shd w:val="clear" w:color="auto" w:fill="auto"/>
            <w:noWrap/>
            <w:vAlign w:val="center"/>
          </w:tcPr>
          <w:p w14:paraId="3B6DB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内部连接风管</w:t>
            </w:r>
          </w:p>
        </w:tc>
        <w:tc>
          <w:tcPr>
            <w:tcW w:w="2618" w:type="pct"/>
            <w:shd w:val="clear" w:color="auto" w:fill="auto"/>
            <w:noWrap/>
            <w:vAlign w:val="center"/>
          </w:tcPr>
          <w:p w14:paraId="3F5B6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DN600,含直管及管件, ,PN=1.0Mpa</w:t>
            </w:r>
          </w:p>
        </w:tc>
        <w:tc>
          <w:tcPr>
            <w:tcW w:w="548" w:type="pct"/>
            <w:shd w:val="clear" w:color="auto" w:fill="auto"/>
            <w:noWrap/>
            <w:vAlign w:val="center"/>
          </w:tcPr>
          <w:p w14:paraId="22B33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262" w:type="pct"/>
            <w:shd w:val="clear" w:color="auto" w:fill="auto"/>
            <w:noWrap/>
            <w:vAlign w:val="center"/>
          </w:tcPr>
          <w:p w14:paraId="0C1EB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69" w:type="pct"/>
            <w:shd w:val="clear" w:color="auto" w:fill="auto"/>
            <w:noWrap/>
            <w:vAlign w:val="center"/>
          </w:tcPr>
          <w:p w14:paraId="075A6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790BA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0CA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2FFB7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83" w:type="pct"/>
            <w:shd w:val="clear" w:color="auto" w:fill="auto"/>
            <w:noWrap/>
            <w:vAlign w:val="center"/>
          </w:tcPr>
          <w:p w14:paraId="5F4AE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加热系统</w:t>
            </w:r>
          </w:p>
        </w:tc>
        <w:tc>
          <w:tcPr>
            <w:tcW w:w="2618" w:type="pct"/>
            <w:shd w:val="clear" w:color="auto" w:fill="auto"/>
            <w:noWrap/>
            <w:vAlign w:val="center"/>
          </w:tcPr>
          <w:p w14:paraId="3EEF8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N=12kW，380V/3P，配套温控系统，I型，N=12kW</w:t>
            </w:r>
          </w:p>
        </w:tc>
        <w:tc>
          <w:tcPr>
            <w:tcW w:w="548" w:type="pct"/>
            <w:shd w:val="clear" w:color="auto" w:fill="auto"/>
            <w:noWrap/>
            <w:vAlign w:val="center"/>
          </w:tcPr>
          <w:p w14:paraId="3EF8E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不锈钢SS316</w:t>
            </w:r>
          </w:p>
        </w:tc>
        <w:tc>
          <w:tcPr>
            <w:tcW w:w="262" w:type="pct"/>
            <w:shd w:val="clear" w:color="auto" w:fill="auto"/>
            <w:noWrap/>
            <w:vAlign w:val="center"/>
          </w:tcPr>
          <w:p w14:paraId="6223C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7EA10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13317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装于水箱</w:t>
            </w:r>
          </w:p>
        </w:tc>
      </w:tr>
      <w:tr w14:paraId="3E05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5260C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83" w:type="pct"/>
            <w:shd w:val="clear" w:color="auto" w:fill="auto"/>
            <w:noWrap/>
            <w:vAlign w:val="center"/>
          </w:tcPr>
          <w:p w14:paraId="08B1B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收集风管</w:t>
            </w:r>
          </w:p>
        </w:tc>
        <w:tc>
          <w:tcPr>
            <w:tcW w:w="2618" w:type="pct"/>
            <w:shd w:val="clear" w:color="auto" w:fill="auto"/>
            <w:noWrap/>
            <w:vAlign w:val="center"/>
          </w:tcPr>
          <w:p w14:paraId="0A7FC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除臭系统配套, ,PN=1.0Mpa</w:t>
            </w:r>
          </w:p>
        </w:tc>
        <w:tc>
          <w:tcPr>
            <w:tcW w:w="548" w:type="pct"/>
            <w:shd w:val="clear" w:color="auto" w:fill="auto"/>
            <w:noWrap/>
            <w:vAlign w:val="center"/>
          </w:tcPr>
          <w:p w14:paraId="64312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详见施工图</w:t>
            </w:r>
          </w:p>
        </w:tc>
        <w:tc>
          <w:tcPr>
            <w:tcW w:w="262" w:type="pct"/>
            <w:shd w:val="clear" w:color="auto" w:fill="auto"/>
            <w:noWrap/>
            <w:vAlign w:val="center"/>
          </w:tcPr>
          <w:p w14:paraId="42D50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2D415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2C778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93C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38B75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583" w:type="pct"/>
            <w:shd w:val="clear" w:color="auto" w:fill="auto"/>
            <w:noWrap/>
            <w:vAlign w:val="center"/>
          </w:tcPr>
          <w:p w14:paraId="15A22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密封加罩</w:t>
            </w:r>
          </w:p>
        </w:tc>
        <w:tc>
          <w:tcPr>
            <w:tcW w:w="2618" w:type="pct"/>
            <w:shd w:val="clear" w:color="auto" w:fill="auto"/>
            <w:noWrap/>
            <w:vAlign w:val="center"/>
          </w:tcPr>
          <w:p w14:paraId="3018B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除臭系统配套</w:t>
            </w:r>
          </w:p>
        </w:tc>
        <w:tc>
          <w:tcPr>
            <w:tcW w:w="548" w:type="pct"/>
            <w:shd w:val="clear" w:color="auto" w:fill="auto"/>
            <w:noWrap/>
            <w:vAlign w:val="center"/>
          </w:tcPr>
          <w:p w14:paraId="2B74E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详见施工图</w:t>
            </w:r>
          </w:p>
        </w:tc>
        <w:tc>
          <w:tcPr>
            <w:tcW w:w="262" w:type="pct"/>
            <w:shd w:val="clear" w:color="auto" w:fill="auto"/>
            <w:noWrap/>
            <w:vAlign w:val="center"/>
          </w:tcPr>
          <w:p w14:paraId="57BD4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11343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48A3C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7B4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7"/>
            <w:shd w:val="clear" w:color="auto" w:fill="auto"/>
            <w:noWrap/>
            <w:vAlign w:val="center"/>
          </w:tcPr>
          <w:p w14:paraId="762DF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2#除臭系统（6000m3/h）</w:t>
            </w:r>
          </w:p>
        </w:tc>
      </w:tr>
      <w:tr w14:paraId="15E9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251" w:type="pct"/>
            <w:shd w:val="clear" w:color="auto" w:fill="auto"/>
            <w:noWrap/>
            <w:vAlign w:val="center"/>
          </w:tcPr>
          <w:p w14:paraId="1C3A2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83" w:type="pct"/>
            <w:shd w:val="clear" w:color="auto" w:fill="auto"/>
            <w:noWrap/>
            <w:vAlign w:val="center"/>
          </w:tcPr>
          <w:p w14:paraId="134CC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预洗池及生物滤池</w:t>
            </w:r>
          </w:p>
        </w:tc>
        <w:tc>
          <w:tcPr>
            <w:tcW w:w="2618" w:type="pct"/>
            <w:shd w:val="clear" w:color="auto" w:fill="auto"/>
            <w:noWrap/>
            <w:vAlign w:val="center"/>
          </w:tcPr>
          <w:p w14:paraId="18DF7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生物滤池应保证塔体足够的强度和刚度；滤池必须配置风管接口、管道接口、填料收纳架、填料、检修门、喷淋加湿装置等完善的附件。滤池应带有顶盖，并设有合理的检修孔。</w:t>
            </w:r>
          </w:p>
          <w:p w14:paraId="5259E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池体内部的填料支撑板采用尺寸适宜的玻璃钢格栅板或更优材质，填料支撑板应保证足够的刚度、强度及耐腐蚀性。</w:t>
            </w:r>
          </w:p>
          <w:p w14:paraId="346EC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滤池底部应设排水系统。滤池顶部应设有喷淋系统，根据需要适时对填料进行喷淋，以保证微生物有适宜的工作环境。</w:t>
            </w:r>
          </w:p>
        </w:tc>
        <w:tc>
          <w:tcPr>
            <w:tcW w:w="548" w:type="pct"/>
            <w:shd w:val="clear" w:color="auto" w:fill="auto"/>
            <w:noWrap/>
            <w:vAlign w:val="center"/>
          </w:tcPr>
          <w:p w14:paraId="5DB1E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6mm玻璃钢+碳钢骨架</w:t>
            </w:r>
          </w:p>
        </w:tc>
        <w:tc>
          <w:tcPr>
            <w:tcW w:w="262" w:type="pct"/>
            <w:shd w:val="clear" w:color="auto" w:fill="auto"/>
            <w:noWrap/>
            <w:vAlign w:val="center"/>
          </w:tcPr>
          <w:p w14:paraId="7C4D9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269" w:type="pct"/>
            <w:shd w:val="clear" w:color="auto" w:fill="auto"/>
            <w:noWrap/>
            <w:vAlign w:val="center"/>
          </w:tcPr>
          <w:p w14:paraId="3BAFB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4AF29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高度不含0.5m围水堰</w:t>
            </w:r>
          </w:p>
        </w:tc>
      </w:tr>
      <w:tr w14:paraId="0DFA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26267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83" w:type="pct"/>
            <w:shd w:val="clear" w:color="auto" w:fill="auto"/>
            <w:noWrap/>
            <w:vAlign w:val="center"/>
          </w:tcPr>
          <w:p w14:paraId="54807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离心风机</w:t>
            </w:r>
          </w:p>
        </w:tc>
        <w:tc>
          <w:tcPr>
            <w:tcW w:w="2618" w:type="pct"/>
            <w:shd w:val="clear" w:color="auto" w:fill="auto"/>
            <w:noWrap/>
            <w:vAlign w:val="center"/>
          </w:tcPr>
          <w:p w14:paraId="1DC41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Q=6000m3/h，P=2200Pa,IP55,含隔音罩，N=5.5kW</w:t>
            </w:r>
          </w:p>
        </w:tc>
        <w:tc>
          <w:tcPr>
            <w:tcW w:w="548" w:type="pct"/>
            <w:shd w:val="clear" w:color="auto" w:fill="auto"/>
            <w:noWrap/>
            <w:vAlign w:val="center"/>
          </w:tcPr>
          <w:p w14:paraId="25DFE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叶轮及壳体用玻璃钢</w:t>
            </w:r>
          </w:p>
        </w:tc>
        <w:tc>
          <w:tcPr>
            <w:tcW w:w="262" w:type="pct"/>
            <w:shd w:val="clear" w:color="auto" w:fill="auto"/>
            <w:noWrap/>
            <w:vAlign w:val="center"/>
          </w:tcPr>
          <w:p w14:paraId="6E592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269" w:type="pct"/>
            <w:shd w:val="clear" w:color="auto" w:fill="auto"/>
            <w:noWrap/>
            <w:vAlign w:val="center"/>
          </w:tcPr>
          <w:p w14:paraId="1C52D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65" w:type="pct"/>
            <w:shd w:val="clear" w:color="auto" w:fill="auto"/>
            <w:noWrap/>
            <w:vAlign w:val="center"/>
          </w:tcPr>
          <w:p w14:paraId="03690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1用1备</w:t>
            </w:r>
          </w:p>
        </w:tc>
      </w:tr>
      <w:tr w14:paraId="384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262C6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83" w:type="pct"/>
            <w:shd w:val="clear" w:color="auto" w:fill="auto"/>
            <w:noWrap/>
            <w:vAlign w:val="center"/>
          </w:tcPr>
          <w:p w14:paraId="6C795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循环水泵</w:t>
            </w:r>
          </w:p>
        </w:tc>
        <w:tc>
          <w:tcPr>
            <w:tcW w:w="2618" w:type="pct"/>
            <w:shd w:val="clear" w:color="auto" w:fill="auto"/>
            <w:noWrap/>
            <w:vAlign w:val="center"/>
          </w:tcPr>
          <w:p w14:paraId="1EDEE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Q=2.4m3/h，H=30-40m，IP55，N=0.55kW</w:t>
            </w:r>
          </w:p>
        </w:tc>
        <w:tc>
          <w:tcPr>
            <w:tcW w:w="548" w:type="pct"/>
            <w:shd w:val="clear" w:color="auto" w:fill="auto"/>
            <w:noWrap/>
            <w:vAlign w:val="center"/>
          </w:tcPr>
          <w:p w14:paraId="4D6BF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过流不锈钢304</w:t>
            </w:r>
          </w:p>
        </w:tc>
        <w:tc>
          <w:tcPr>
            <w:tcW w:w="262" w:type="pct"/>
            <w:shd w:val="clear" w:color="auto" w:fill="auto"/>
            <w:noWrap/>
            <w:vAlign w:val="center"/>
          </w:tcPr>
          <w:p w14:paraId="56A24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269" w:type="pct"/>
            <w:shd w:val="clear" w:color="auto" w:fill="auto"/>
            <w:noWrap/>
            <w:vAlign w:val="center"/>
          </w:tcPr>
          <w:p w14:paraId="30E3C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65" w:type="pct"/>
            <w:shd w:val="clear" w:color="auto" w:fill="auto"/>
            <w:noWrap/>
            <w:vAlign w:val="center"/>
          </w:tcPr>
          <w:p w14:paraId="4B8E1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带雨帽，1用1备</w:t>
            </w:r>
          </w:p>
        </w:tc>
      </w:tr>
      <w:tr w14:paraId="1B4D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32CBF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83" w:type="pct"/>
            <w:shd w:val="clear" w:color="auto" w:fill="auto"/>
            <w:noWrap/>
            <w:vAlign w:val="center"/>
          </w:tcPr>
          <w:p w14:paraId="61F70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控制柜</w:t>
            </w:r>
          </w:p>
        </w:tc>
        <w:tc>
          <w:tcPr>
            <w:tcW w:w="2618" w:type="pct"/>
            <w:shd w:val="clear" w:color="auto" w:fill="auto"/>
            <w:noWrap/>
            <w:vAlign w:val="center"/>
          </w:tcPr>
          <w:p w14:paraId="12750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含PLC、7寸触摸屏、变频器和以太网通讯协议，柜体IP55</w:t>
            </w:r>
          </w:p>
        </w:tc>
        <w:tc>
          <w:tcPr>
            <w:tcW w:w="548" w:type="pct"/>
            <w:shd w:val="clear" w:color="auto" w:fill="auto"/>
            <w:noWrap/>
            <w:vAlign w:val="center"/>
          </w:tcPr>
          <w:p w14:paraId="680EE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SS304，t=1.5mm</w:t>
            </w:r>
          </w:p>
        </w:tc>
        <w:tc>
          <w:tcPr>
            <w:tcW w:w="262" w:type="pct"/>
            <w:shd w:val="clear" w:color="auto" w:fill="auto"/>
            <w:noWrap/>
            <w:vAlign w:val="center"/>
          </w:tcPr>
          <w:p w14:paraId="4E6F3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4C962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269B9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9B4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30453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83" w:type="pct"/>
            <w:shd w:val="clear" w:color="auto" w:fill="auto"/>
            <w:noWrap/>
            <w:vAlign w:val="center"/>
          </w:tcPr>
          <w:p w14:paraId="07336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水箱</w:t>
            </w:r>
          </w:p>
        </w:tc>
        <w:tc>
          <w:tcPr>
            <w:tcW w:w="2618" w:type="pct"/>
            <w:shd w:val="clear" w:color="auto" w:fill="auto"/>
            <w:noWrap/>
            <w:vAlign w:val="center"/>
          </w:tcPr>
          <w:p w14:paraId="483ED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1000mm×1000mm×800mm</w:t>
            </w:r>
          </w:p>
        </w:tc>
        <w:tc>
          <w:tcPr>
            <w:tcW w:w="548" w:type="pct"/>
            <w:shd w:val="clear" w:color="auto" w:fill="auto"/>
            <w:noWrap/>
            <w:vAlign w:val="center"/>
          </w:tcPr>
          <w:p w14:paraId="6F8F1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262" w:type="pct"/>
            <w:shd w:val="clear" w:color="auto" w:fill="auto"/>
            <w:noWrap/>
            <w:vAlign w:val="center"/>
          </w:tcPr>
          <w:p w14:paraId="641FE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09349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2205F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84E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314AE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83" w:type="pct"/>
            <w:shd w:val="clear" w:color="auto" w:fill="auto"/>
            <w:noWrap/>
            <w:vAlign w:val="center"/>
          </w:tcPr>
          <w:p w14:paraId="70018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干簧管高、低液位开关</w:t>
            </w:r>
          </w:p>
        </w:tc>
        <w:tc>
          <w:tcPr>
            <w:tcW w:w="2618" w:type="pct"/>
            <w:shd w:val="clear" w:color="auto" w:fill="auto"/>
            <w:noWrap/>
            <w:vAlign w:val="center"/>
          </w:tcPr>
          <w:p w14:paraId="2B620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548" w:type="pct"/>
            <w:shd w:val="clear" w:color="auto" w:fill="auto"/>
            <w:noWrap/>
            <w:vAlign w:val="center"/>
          </w:tcPr>
          <w:p w14:paraId="77CBC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不锈钢SS316</w:t>
            </w:r>
          </w:p>
        </w:tc>
        <w:tc>
          <w:tcPr>
            <w:tcW w:w="262" w:type="pct"/>
            <w:shd w:val="clear" w:color="auto" w:fill="auto"/>
            <w:noWrap/>
            <w:vAlign w:val="center"/>
          </w:tcPr>
          <w:p w14:paraId="39E9D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55692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3C47B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DA2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05BEA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83" w:type="pct"/>
            <w:shd w:val="clear" w:color="auto" w:fill="auto"/>
            <w:noWrap/>
            <w:vAlign w:val="center"/>
          </w:tcPr>
          <w:p w14:paraId="7F0F1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水压压力表</w:t>
            </w:r>
          </w:p>
        </w:tc>
        <w:tc>
          <w:tcPr>
            <w:tcW w:w="2618" w:type="pct"/>
            <w:shd w:val="clear" w:color="auto" w:fill="auto"/>
            <w:noWrap/>
            <w:vAlign w:val="center"/>
          </w:tcPr>
          <w:p w14:paraId="2AD40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0~0.6MPa,数字显示，带4~20mA信号输出,外螺纹，螺牙常规R1/2"</w:t>
            </w:r>
          </w:p>
        </w:tc>
        <w:tc>
          <w:tcPr>
            <w:tcW w:w="548" w:type="pct"/>
            <w:shd w:val="clear" w:color="auto" w:fill="auto"/>
            <w:noWrap/>
            <w:vAlign w:val="center"/>
          </w:tcPr>
          <w:p w14:paraId="6AD78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螺纹接口不锈钢，外壳塑料</w:t>
            </w:r>
          </w:p>
        </w:tc>
        <w:tc>
          <w:tcPr>
            <w:tcW w:w="262" w:type="pct"/>
            <w:shd w:val="clear" w:color="auto" w:fill="auto"/>
            <w:noWrap/>
            <w:vAlign w:val="center"/>
          </w:tcPr>
          <w:p w14:paraId="732F3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16DE3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09627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装于喷淋管道</w:t>
            </w:r>
          </w:p>
        </w:tc>
      </w:tr>
      <w:tr w14:paraId="6B4A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0AF27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83" w:type="pct"/>
            <w:shd w:val="clear" w:color="auto" w:fill="auto"/>
            <w:noWrap/>
            <w:vAlign w:val="center"/>
          </w:tcPr>
          <w:p w14:paraId="0A201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烟囱</w:t>
            </w:r>
          </w:p>
        </w:tc>
        <w:tc>
          <w:tcPr>
            <w:tcW w:w="2618" w:type="pct"/>
            <w:shd w:val="clear" w:color="auto" w:fill="auto"/>
            <w:noWrap/>
            <w:vAlign w:val="center"/>
          </w:tcPr>
          <w:p w14:paraId="1B92E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DN400,含塔架、取样平台、取样口及防雷接地</w:t>
            </w:r>
          </w:p>
        </w:tc>
        <w:tc>
          <w:tcPr>
            <w:tcW w:w="548" w:type="pct"/>
            <w:shd w:val="clear" w:color="auto" w:fill="auto"/>
            <w:noWrap/>
            <w:vAlign w:val="center"/>
          </w:tcPr>
          <w:p w14:paraId="11C68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玻璃钢筒体+碳钢防腐塔架</w:t>
            </w:r>
          </w:p>
        </w:tc>
        <w:tc>
          <w:tcPr>
            <w:tcW w:w="262" w:type="pct"/>
            <w:shd w:val="clear" w:color="auto" w:fill="auto"/>
            <w:noWrap/>
            <w:vAlign w:val="center"/>
          </w:tcPr>
          <w:p w14:paraId="0E47E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0214A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708EB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配笼式竖直梯</w:t>
            </w:r>
          </w:p>
        </w:tc>
      </w:tr>
      <w:tr w14:paraId="6492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748F0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83" w:type="pct"/>
            <w:shd w:val="clear" w:color="auto" w:fill="auto"/>
            <w:noWrap/>
            <w:vAlign w:val="center"/>
          </w:tcPr>
          <w:p w14:paraId="24C12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内部连接风管</w:t>
            </w:r>
          </w:p>
        </w:tc>
        <w:tc>
          <w:tcPr>
            <w:tcW w:w="2618" w:type="pct"/>
            <w:shd w:val="clear" w:color="auto" w:fill="auto"/>
            <w:noWrap/>
            <w:vAlign w:val="center"/>
          </w:tcPr>
          <w:p w14:paraId="1436D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DN400，含直管及管件, ,PN=1.0Mpa</w:t>
            </w:r>
          </w:p>
        </w:tc>
        <w:tc>
          <w:tcPr>
            <w:tcW w:w="548" w:type="pct"/>
            <w:shd w:val="clear" w:color="auto" w:fill="auto"/>
            <w:noWrap/>
            <w:vAlign w:val="center"/>
          </w:tcPr>
          <w:p w14:paraId="2D812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玻璃钢</w:t>
            </w:r>
          </w:p>
        </w:tc>
        <w:tc>
          <w:tcPr>
            <w:tcW w:w="262" w:type="pct"/>
            <w:shd w:val="clear" w:color="auto" w:fill="auto"/>
            <w:noWrap/>
            <w:vAlign w:val="center"/>
          </w:tcPr>
          <w:p w14:paraId="260B8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69" w:type="pct"/>
            <w:shd w:val="clear" w:color="auto" w:fill="auto"/>
            <w:noWrap/>
            <w:vAlign w:val="center"/>
          </w:tcPr>
          <w:p w14:paraId="17CF2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5F17B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172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51C5D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83" w:type="pct"/>
            <w:shd w:val="clear" w:color="auto" w:fill="auto"/>
            <w:noWrap/>
            <w:vAlign w:val="center"/>
          </w:tcPr>
          <w:p w14:paraId="6B99D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加热系统</w:t>
            </w:r>
          </w:p>
        </w:tc>
        <w:tc>
          <w:tcPr>
            <w:tcW w:w="2618" w:type="pct"/>
            <w:shd w:val="clear" w:color="auto" w:fill="auto"/>
            <w:noWrap/>
            <w:vAlign w:val="center"/>
          </w:tcPr>
          <w:p w14:paraId="596EB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N=12kW，380V/3P，配套温控系统，I型，N=12kW</w:t>
            </w:r>
          </w:p>
        </w:tc>
        <w:tc>
          <w:tcPr>
            <w:tcW w:w="548" w:type="pct"/>
            <w:shd w:val="clear" w:color="auto" w:fill="auto"/>
            <w:noWrap/>
            <w:vAlign w:val="center"/>
          </w:tcPr>
          <w:p w14:paraId="4CE7B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不锈钢SS316</w:t>
            </w:r>
          </w:p>
        </w:tc>
        <w:tc>
          <w:tcPr>
            <w:tcW w:w="262" w:type="pct"/>
            <w:shd w:val="clear" w:color="auto" w:fill="auto"/>
            <w:noWrap/>
            <w:vAlign w:val="center"/>
          </w:tcPr>
          <w:p w14:paraId="487B4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271F0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36378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装于水箱</w:t>
            </w:r>
          </w:p>
        </w:tc>
      </w:tr>
      <w:tr w14:paraId="7C2C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1D45B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83" w:type="pct"/>
            <w:shd w:val="clear" w:color="auto" w:fill="auto"/>
            <w:noWrap/>
            <w:vAlign w:val="center"/>
          </w:tcPr>
          <w:p w14:paraId="759E5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收集风管</w:t>
            </w:r>
          </w:p>
        </w:tc>
        <w:tc>
          <w:tcPr>
            <w:tcW w:w="2618" w:type="pct"/>
            <w:shd w:val="clear" w:color="auto" w:fill="auto"/>
            <w:noWrap/>
            <w:vAlign w:val="center"/>
          </w:tcPr>
          <w:p w14:paraId="27EE9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除臭系统配套 ,PN=1.0Mpa</w:t>
            </w:r>
          </w:p>
        </w:tc>
        <w:tc>
          <w:tcPr>
            <w:tcW w:w="548" w:type="pct"/>
            <w:shd w:val="clear" w:color="auto" w:fill="auto"/>
            <w:noWrap/>
            <w:vAlign w:val="center"/>
          </w:tcPr>
          <w:p w14:paraId="3E38C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详见施工图</w:t>
            </w:r>
          </w:p>
        </w:tc>
        <w:tc>
          <w:tcPr>
            <w:tcW w:w="262" w:type="pct"/>
            <w:shd w:val="clear" w:color="auto" w:fill="auto"/>
            <w:noWrap/>
            <w:vAlign w:val="center"/>
          </w:tcPr>
          <w:p w14:paraId="33006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72A4E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02C21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3B4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 w:type="pct"/>
            <w:shd w:val="clear" w:color="auto" w:fill="auto"/>
            <w:noWrap/>
            <w:vAlign w:val="center"/>
          </w:tcPr>
          <w:p w14:paraId="48A26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583" w:type="pct"/>
            <w:shd w:val="clear" w:color="auto" w:fill="auto"/>
            <w:noWrap/>
            <w:vAlign w:val="center"/>
          </w:tcPr>
          <w:p w14:paraId="536B1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密封加罩</w:t>
            </w:r>
          </w:p>
        </w:tc>
        <w:tc>
          <w:tcPr>
            <w:tcW w:w="2618" w:type="pct"/>
            <w:shd w:val="clear" w:color="auto" w:fill="auto"/>
            <w:noWrap/>
            <w:vAlign w:val="center"/>
          </w:tcPr>
          <w:p w14:paraId="043A4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除臭系统配套</w:t>
            </w:r>
          </w:p>
        </w:tc>
        <w:tc>
          <w:tcPr>
            <w:tcW w:w="548" w:type="pct"/>
            <w:shd w:val="clear" w:color="auto" w:fill="auto"/>
            <w:noWrap/>
            <w:vAlign w:val="center"/>
          </w:tcPr>
          <w:p w14:paraId="3AE39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详见施工图</w:t>
            </w:r>
          </w:p>
        </w:tc>
        <w:tc>
          <w:tcPr>
            <w:tcW w:w="262" w:type="pct"/>
            <w:shd w:val="clear" w:color="auto" w:fill="auto"/>
            <w:noWrap/>
            <w:vAlign w:val="center"/>
          </w:tcPr>
          <w:p w14:paraId="74BFC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269" w:type="pct"/>
            <w:shd w:val="clear" w:color="auto" w:fill="auto"/>
            <w:noWrap/>
            <w:vAlign w:val="center"/>
          </w:tcPr>
          <w:p w14:paraId="46B33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5" w:type="pct"/>
            <w:shd w:val="clear" w:color="auto" w:fill="auto"/>
            <w:noWrap/>
            <w:vAlign w:val="center"/>
          </w:tcPr>
          <w:p w14:paraId="17A0D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6F35A9E6">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1.11精确曝气系统</w:t>
      </w:r>
    </w:p>
    <w:tbl>
      <w:tblPr>
        <w:tblStyle w:val="43"/>
        <w:tblW w:w="10810" w:type="dxa"/>
        <w:tblInd w:w="-358" w:type="dxa"/>
        <w:tblLayout w:type="fixed"/>
        <w:tblCellMar>
          <w:top w:w="0" w:type="dxa"/>
          <w:left w:w="108" w:type="dxa"/>
          <w:bottom w:w="0" w:type="dxa"/>
          <w:right w:w="108" w:type="dxa"/>
        </w:tblCellMar>
      </w:tblPr>
      <w:tblGrid>
        <w:gridCol w:w="600"/>
        <w:gridCol w:w="1470"/>
        <w:gridCol w:w="5182"/>
        <w:gridCol w:w="748"/>
        <w:gridCol w:w="860"/>
        <w:gridCol w:w="804"/>
        <w:gridCol w:w="1146"/>
      </w:tblGrid>
      <w:tr w14:paraId="062AD640">
        <w:tblPrEx>
          <w:tblCellMar>
            <w:top w:w="0" w:type="dxa"/>
            <w:left w:w="108" w:type="dxa"/>
            <w:bottom w:w="0" w:type="dxa"/>
            <w:right w:w="108" w:type="dxa"/>
          </w:tblCellMar>
        </w:tblPrEx>
        <w:trPr>
          <w:trHeight w:val="454" w:hRule="atLeast"/>
          <w:tblHeader/>
        </w:trPr>
        <w:tc>
          <w:tcPr>
            <w:tcW w:w="600" w:type="dxa"/>
            <w:tcBorders>
              <w:top w:val="single" w:color="auto" w:sz="6" w:space="0"/>
              <w:left w:val="single" w:color="auto" w:sz="6" w:space="0"/>
              <w:bottom w:val="single" w:color="auto" w:sz="6" w:space="0"/>
              <w:right w:val="single" w:color="auto" w:sz="6" w:space="0"/>
            </w:tcBorders>
            <w:noWrap/>
            <w:vAlign w:val="center"/>
          </w:tcPr>
          <w:p w14:paraId="37F7B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470" w:type="dxa"/>
            <w:tcBorders>
              <w:top w:val="single" w:color="auto" w:sz="6" w:space="0"/>
              <w:left w:val="single" w:color="auto" w:sz="6" w:space="0"/>
              <w:bottom w:val="single" w:color="auto" w:sz="6" w:space="0"/>
              <w:right w:val="single" w:color="auto" w:sz="6" w:space="0"/>
            </w:tcBorders>
            <w:noWrap/>
            <w:vAlign w:val="center"/>
          </w:tcPr>
          <w:p w14:paraId="13896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p>
        </w:tc>
        <w:tc>
          <w:tcPr>
            <w:tcW w:w="5182" w:type="dxa"/>
            <w:tcBorders>
              <w:top w:val="single" w:color="auto" w:sz="6" w:space="0"/>
              <w:left w:val="single" w:color="auto" w:sz="6" w:space="0"/>
              <w:bottom w:val="single" w:color="auto" w:sz="6" w:space="0"/>
              <w:right w:val="single" w:color="auto" w:sz="6" w:space="0"/>
            </w:tcBorders>
            <w:noWrap/>
            <w:vAlign w:val="center"/>
          </w:tcPr>
          <w:p w14:paraId="66169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规格及型号</w:t>
            </w:r>
          </w:p>
        </w:tc>
        <w:tc>
          <w:tcPr>
            <w:tcW w:w="748" w:type="dxa"/>
            <w:tcBorders>
              <w:top w:val="single" w:color="auto" w:sz="6" w:space="0"/>
              <w:left w:val="single" w:color="auto" w:sz="6" w:space="0"/>
              <w:bottom w:val="single" w:color="auto" w:sz="6" w:space="0"/>
              <w:right w:val="single" w:color="auto" w:sz="6" w:space="0"/>
            </w:tcBorders>
            <w:noWrap/>
            <w:vAlign w:val="center"/>
          </w:tcPr>
          <w:p w14:paraId="4FD69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 料</w:t>
            </w:r>
          </w:p>
        </w:tc>
        <w:tc>
          <w:tcPr>
            <w:tcW w:w="860" w:type="dxa"/>
            <w:tcBorders>
              <w:top w:val="single" w:color="auto" w:sz="6" w:space="0"/>
              <w:left w:val="single" w:color="auto" w:sz="6" w:space="0"/>
              <w:bottom w:val="single" w:color="auto" w:sz="6" w:space="0"/>
              <w:right w:val="single" w:color="auto" w:sz="6" w:space="0"/>
            </w:tcBorders>
            <w:noWrap/>
            <w:vAlign w:val="center"/>
          </w:tcPr>
          <w:p w14:paraId="66500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 位</w:t>
            </w:r>
          </w:p>
        </w:tc>
        <w:tc>
          <w:tcPr>
            <w:tcW w:w="804" w:type="dxa"/>
            <w:tcBorders>
              <w:top w:val="single" w:color="auto" w:sz="6" w:space="0"/>
              <w:left w:val="single" w:color="auto" w:sz="6" w:space="0"/>
              <w:bottom w:val="single" w:color="auto" w:sz="6" w:space="0"/>
              <w:right w:val="single" w:color="auto" w:sz="6" w:space="0"/>
            </w:tcBorders>
            <w:noWrap/>
            <w:vAlign w:val="center"/>
          </w:tcPr>
          <w:p w14:paraId="507F8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 量</w:t>
            </w:r>
          </w:p>
        </w:tc>
        <w:tc>
          <w:tcPr>
            <w:tcW w:w="1146" w:type="dxa"/>
            <w:tcBorders>
              <w:top w:val="single" w:color="auto" w:sz="6" w:space="0"/>
              <w:left w:val="single" w:color="auto" w:sz="6" w:space="0"/>
              <w:bottom w:val="single" w:color="auto" w:sz="6" w:space="0"/>
              <w:right w:val="single" w:color="auto" w:sz="6" w:space="0"/>
            </w:tcBorders>
            <w:noWrap/>
            <w:vAlign w:val="center"/>
          </w:tcPr>
          <w:p w14:paraId="45AB2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 注</w:t>
            </w:r>
          </w:p>
        </w:tc>
      </w:tr>
      <w:tr w14:paraId="44CD55F3">
        <w:tblPrEx>
          <w:tblCellMar>
            <w:top w:w="0" w:type="dxa"/>
            <w:left w:w="108" w:type="dxa"/>
            <w:bottom w:w="0" w:type="dxa"/>
            <w:right w:w="108" w:type="dxa"/>
          </w:tblCellMar>
        </w:tblPrEx>
        <w:trPr>
          <w:trHeight w:val="454" w:hRule="atLeast"/>
        </w:trPr>
        <w:tc>
          <w:tcPr>
            <w:tcW w:w="10810" w:type="dxa"/>
            <w:gridSpan w:val="7"/>
            <w:tcBorders>
              <w:top w:val="single" w:color="auto" w:sz="6" w:space="0"/>
              <w:left w:val="single" w:color="auto" w:sz="6" w:space="0"/>
              <w:bottom w:val="single" w:color="auto" w:sz="6" w:space="0"/>
              <w:right w:val="single" w:color="auto" w:sz="6" w:space="0"/>
            </w:tcBorders>
            <w:noWrap/>
            <w:vAlign w:val="center"/>
          </w:tcPr>
          <w:p w14:paraId="6E214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主要设备表</w:t>
            </w:r>
          </w:p>
        </w:tc>
      </w:tr>
      <w:tr w14:paraId="1731FBC4">
        <w:tblPrEx>
          <w:tblCellMar>
            <w:top w:w="0" w:type="dxa"/>
            <w:left w:w="108" w:type="dxa"/>
            <w:bottom w:w="0" w:type="dxa"/>
            <w:right w:w="108" w:type="dxa"/>
          </w:tblCellMar>
        </w:tblPrEx>
        <w:trPr>
          <w:trHeight w:val="454" w:hRule="atLeast"/>
        </w:trPr>
        <w:tc>
          <w:tcPr>
            <w:tcW w:w="600" w:type="dxa"/>
            <w:tcBorders>
              <w:top w:val="single" w:color="auto" w:sz="6" w:space="0"/>
              <w:left w:val="single" w:color="auto" w:sz="6" w:space="0"/>
              <w:bottom w:val="single" w:color="auto" w:sz="6" w:space="0"/>
              <w:right w:val="single" w:color="auto" w:sz="6" w:space="0"/>
            </w:tcBorders>
            <w:noWrap/>
            <w:vAlign w:val="center"/>
          </w:tcPr>
          <w:p w14:paraId="47D74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470" w:type="dxa"/>
            <w:tcBorders>
              <w:top w:val="single" w:color="auto" w:sz="6" w:space="0"/>
              <w:left w:val="single" w:color="auto" w:sz="6" w:space="0"/>
              <w:bottom w:val="single" w:color="auto" w:sz="6" w:space="0"/>
              <w:right w:val="single" w:color="auto" w:sz="6" w:space="0"/>
            </w:tcBorders>
            <w:noWrap/>
            <w:vAlign w:val="center"/>
          </w:tcPr>
          <w:p w14:paraId="12C58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精确曝气控制系统</w:t>
            </w:r>
          </w:p>
        </w:tc>
        <w:tc>
          <w:tcPr>
            <w:tcW w:w="5182" w:type="dxa"/>
            <w:tcBorders>
              <w:top w:val="single" w:color="auto" w:sz="6" w:space="0"/>
              <w:left w:val="single" w:color="auto" w:sz="6" w:space="0"/>
              <w:bottom w:val="single" w:color="auto" w:sz="6" w:space="0"/>
              <w:right w:val="single" w:color="auto" w:sz="6" w:space="0"/>
            </w:tcBorders>
            <w:noWrap/>
            <w:vAlign w:val="center"/>
          </w:tcPr>
          <w:p w14:paraId="57748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系统硬件，包括:控制柜、PLC、HMI、交换机等（含IO模块）；</w:t>
            </w:r>
          </w:p>
          <w:p w14:paraId="5A588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系统功能软件，包括：提供各组DO控制区的曝气量设定控制软件的编程及调试；提供根据总曝气量设定控制模块的编程及调试；提供各组空气调节阀控制软件的编程及调试；后备逻辑控制模块等。</w:t>
            </w:r>
          </w:p>
        </w:tc>
        <w:tc>
          <w:tcPr>
            <w:tcW w:w="748" w:type="dxa"/>
            <w:tcBorders>
              <w:top w:val="single" w:color="auto" w:sz="6" w:space="0"/>
              <w:left w:val="single" w:color="auto" w:sz="6" w:space="0"/>
              <w:bottom w:val="single" w:color="auto" w:sz="6" w:space="0"/>
              <w:right w:val="single" w:color="auto" w:sz="6" w:space="0"/>
            </w:tcBorders>
            <w:noWrap/>
            <w:vAlign w:val="center"/>
          </w:tcPr>
          <w:p w14:paraId="4034A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860" w:type="dxa"/>
            <w:tcBorders>
              <w:top w:val="single" w:color="auto" w:sz="6" w:space="0"/>
              <w:left w:val="single" w:color="auto" w:sz="6" w:space="0"/>
              <w:bottom w:val="single" w:color="auto" w:sz="6" w:space="0"/>
              <w:right w:val="single" w:color="auto" w:sz="6" w:space="0"/>
            </w:tcBorders>
            <w:noWrap/>
            <w:vAlign w:val="center"/>
          </w:tcPr>
          <w:p w14:paraId="1EC9D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04" w:type="dxa"/>
            <w:tcBorders>
              <w:top w:val="single" w:color="auto" w:sz="6" w:space="0"/>
              <w:left w:val="single" w:color="auto" w:sz="6" w:space="0"/>
              <w:bottom w:val="single" w:color="auto" w:sz="6" w:space="0"/>
              <w:right w:val="single" w:color="auto" w:sz="6" w:space="0"/>
            </w:tcBorders>
            <w:noWrap/>
            <w:vAlign w:val="center"/>
          </w:tcPr>
          <w:p w14:paraId="1F868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46" w:type="dxa"/>
            <w:tcBorders>
              <w:top w:val="single" w:color="auto" w:sz="6" w:space="0"/>
              <w:left w:val="single" w:color="auto" w:sz="6" w:space="0"/>
              <w:bottom w:val="single" w:color="auto" w:sz="6" w:space="0"/>
              <w:right w:val="single" w:color="auto" w:sz="6" w:space="0"/>
            </w:tcBorders>
            <w:noWrap/>
            <w:vAlign w:val="center"/>
          </w:tcPr>
          <w:p w14:paraId="5D5E1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控制室</w:t>
            </w:r>
          </w:p>
        </w:tc>
      </w:tr>
      <w:tr w14:paraId="05CDF5EA">
        <w:tblPrEx>
          <w:tblCellMar>
            <w:top w:w="0" w:type="dxa"/>
            <w:left w:w="108" w:type="dxa"/>
            <w:bottom w:w="0" w:type="dxa"/>
            <w:right w:w="108" w:type="dxa"/>
          </w:tblCellMar>
        </w:tblPrEx>
        <w:trPr>
          <w:trHeight w:val="454" w:hRule="atLeast"/>
        </w:trPr>
        <w:tc>
          <w:tcPr>
            <w:tcW w:w="600" w:type="dxa"/>
            <w:tcBorders>
              <w:top w:val="single" w:color="auto" w:sz="6" w:space="0"/>
              <w:left w:val="single" w:color="auto" w:sz="6" w:space="0"/>
              <w:bottom w:val="single" w:color="auto" w:sz="6" w:space="0"/>
              <w:right w:val="single" w:color="auto" w:sz="6" w:space="0"/>
            </w:tcBorders>
            <w:noWrap/>
            <w:vAlign w:val="center"/>
          </w:tcPr>
          <w:p w14:paraId="12668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470" w:type="dxa"/>
            <w:tcBorders>
              <w:top w:val="single" w:color="auto" w:sz="6" w:space="0"/>
              <w:left w:val="single" w:color="auto" w:sz="6" w:space="0"/>
              <w:bottom w:val="single" w:color="auto" w:sz="6" w:space="0"/>
              <w:right w:val="single" w:color="auto" w:sz="6" w:space="0"/>
            </w:tcBorders>
            <w:noWrap/>
            <w:vAlign w:val="center"/>
          </w:tcPr>
          <w:p w14:paraId="26746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电动空气调节阀</w:t>
            </w:r>
          </w:p>
        </w:tc>
        <w:tc>
          <w:tcPr>
            <w:tcW w:w="5182" w:type="dxa"/>
            <w:tcBorders>
              <w:top w:val="single" w:color="auto" w:sz="6" w:space="0"/>
              <w:left w:val="single" w:color="auto" w:sz="6" w:space="0"/>
              <w:bottom w:val="single" w:color="auto" w:sz="6" w:space="0"/>
              <w:right w:val="single" w:color="auto" w:sz="6" w:space="0"/>
            </w:tcBorders>
            <w:noWrap/>
            <w:vAlign w:val="center"/>
          </w:tcPr>
          <w:p w14:paraId="1C71A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748" w:type="dxa"/>
            <w:tcBorders>
              <w:top w:val="single" w:color="auto" w:sz="6" w:space="0"/>
              <w:left w:val="single" w:color="auto" w:sz="6" w:space="0"/>
              <w:bottom w:val="single" w:color="auto" w:sz="6" w:space="0"/>
              <w:right w:val="single" w:color="auto" w:sz="6" w:space="0"/>
            </w:tcBorders>
            <w:noWrap/>
            <w:vAlign w:val="center"/>
          </w:tcPr>
          <w:p w14:paraId="08609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860" w:type="dxa"/>
            <w:tcBorders>
              <w:top w:val="single" w:color="auto" w:sz="6" w:space="0"/>
              <w:left w:val="single" w:color="auto" w:sz="6" w:space="0"/>
              <w:bottom w:val="single" w:color="auto" w:sz="6" w:space="0"/>
              <w:right w:val="single" w:color="auto" w:sz="6" w:space="0"/>
            </w:tcBorders>
            <w:noWrap/>
            <w:vAlign w:val="center"/>
          </w:tcPr>
          <w:p w14:paraId="2B04E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04" w:type="dxa"/>
            <w:tcBorders>
              <w:top w:val="single" w:color="auto" w:sz="6" w:space="0"/>
              <w:left w:val="single" w:color="auto" w:sz="6" w:space="0"/>
              <w:bottom w:val="single" w:color="auto" w:sz="6" w:space="0"/>
              <w:right w:val="single" w:color="auto" w:sz="6" w:space="0"/>
            </w:tcBorders>
            <w:noWrap/>
            <w:vAlign w:val="center"/>
          </w:tcPr>
          <w:p w14:paraId="4EA38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46" w:type="dxa"/>
            <w:tcBorders>
              <w:top w:val="single" w:color="auto" w:sz="6" w:space="0"/>
              <w:left w:val="single" w:color="auto" w:sz="6" w:space="0"/>
              <w:bottom w:val="single" w:color="auto" w:sz="6" w:space="0"/>
              <w:right w:val="single" w:color="auto" w:sz="6" w:space="0"/>
            </w:tcBorders>
            <w:noWrap/>
            <w:vAlign w:val="center"/>
          </w:tcPr>
          <w:p w14:paraId="3ACC2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空气管</w:t>
            </w:r>
          </w:p>
        </w:tc>
      </w:tr>
      <w:tr w14:paraId="715A9590">
        <w:tblPrEx>
          <w:tblCellMar>
            <w:top w:w="0" w:type="dxa"/>
            <w:left w:w="108" w:type="dxa"/>
            <w:bottom w:w="0" w:type="dxa"/>
            <w:right w:w="108" w:type="dxa"/>
          </w:tblCellMar>
        </w:tblPrEx>
        <w:trPr>
          <w:trHeight w:val="454" w:hRule="atLeast"/>
        </w:trPr>
        <w:tc>
          <w:tcPr>
            <w:tcW w:w="600" w:type="dxa"/>
            <w:tcBorders>
              <w:top w:val="single" w:color="auto" w:sz="6" w:space="0"/>
              <w:left w:val="single" w:color="auto" w:sz="6" w:space="0"/>
              <w:bottom w:val="single" w:color="auto" w:sz="6" w:space="0"/>
              <w:right w:val="single" w:color="auto" w:sz="6" w:space="0"/>
            </w:tcBorders>
            <w:noWrap/>
            <w:vAlign w:val="center"/>
          </w:tcPr>
          <w:p w14:paraId="34010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470" w:type="dxa"/>
            <w:tcBorders>
              <w:top w:val="single" w:color="auto" w:sz="6" w:space="0"/>
              <w:left w:val="single" w:color="auto" w:sz="6" w:space="0"/>
              <w:bottom w:val="single" w:color="auto" w:sz="6" w:space="0"/>
              <w:right w:val="single" w:color="auto" w:sz="6" w:space="0"/>
            </w:tcBorders>
            <w:noWrap/>
            <w:vAlign w:val="center"/>
          </w:tcPr>
          <w:p w14:paraId="11A31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热式气体流量计</w:t>
            </w:r>
          </w:p>
        </w:tc>
        <w:tc>
          <w:tcPr>
            <w:tcW w:w="5182" w:type="dxa"/>
            <w:tcBorders>
              <w:top w:val="single" w:color="auto" w:sz="6" w:space="0"/>
              <w:left w:val="single" w:color="auto" w:sz="6" w:space="0"/>
              <w:bottom w:val="single" w:color="auto" w:sz="6" w:space="0"/>
              <w:right w:val="single" w:color="auto" w:sz="6" w:space="0"/>
            </w:tcBorders>
            <w:noWrap/>
            <w:vAlign w:val="center"/>
          </w:tcPr>
          <w:p w14:paraId="136EF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DN250,PN=1.0Mpa</w:t>
            </w:r>
          </w:p>
        </w:tc>
        <w:tc>
          <w:tcPr>
            <w:tcW w:w="748" w:type="dxa"/>
            <w:tcBorders>
              <w:top w:val="single" w:color="auto" w:sz="6" w:space="0"/>
              <w:left w:val="single" w:color="auto" w:sz="6" w:space="0"/>
              <w:bottom w:val="single" w:color="auto" w:sz="6" w:space="0"/>
              <w:right w:val="single" w:color="auto" w:sz="6" w:space="0"/>
            </w:tcBorders>
            <w:noWrap/>
            <w:vAlign w:val="center"/>
          </w:tcPr>
          <w:p w14:paraId="180D2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860" w:type="dxa"/>
            <w:tcBorders>
              <w:top w:val="single" w:color="auto" w:sz="6" w:space="0"/>
              <w:left w:val="single" w:color="auto" w:sz="6" w:space="0"/>
              <w:bottom w:val="single" w:color="auto" w:sz="6" w:space="0"/>
              <w:right w:val="single" w:color="auto" w:sz="6" w:space="0"/>
            </w:tcBorders>
            <w:noWrap/>
            <w:vAlign w:val="center"/>
          </w:tcPr>
          <w:p w14:paraId="2ABE9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04" w:type="dxa"/>
            <w:tcBorders>
              <w:top w:val="single" w:color="auto" w:sz="6" w:space="0"/>
              <w:left w:val="single" w:color="auto" w:sz="6" w:space="0"/>
              <w:bottom w:val="single" w:color="auto" w:sz="6" w:space="0"/>
              <w:right w:val="single" w:color="auto" w:sz="6" w:space="0"/>
            </w:tcBorders>
            <w:noWrap/>
            <w:vAlign w:val="center"/>
          </w:tcPr>
          <w:p w14:paraId="78EB0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46" w:type="dxa"/>
            <w:tcBorders>
              <w:top w:val="single" w:color="auto" w:sz="6" w:space="0"/>
              <w:left w:val="single" w:color="auto" w:sz="6" w:space="0"/>
              <w:bottom w:val="single" w:color="auto" w:sz="6" w:space="0"/>
              <w:right w:val="single" w:color="auto" w:sz="6" w:space="0"/>
            </w:tcBorders>
            <w:noWrap/>
            <w:vAlign w:val="center"/>
          </w:tcPr>
          <w:p w14:paraId="0B993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空气管</w:t>
            </w:r>
          </w:p>
        </w:tc>
      </w:tr>
      <w:tr w14:paraId="53E1B6A6">
        <w:tblPrEx>
          <w:tblCellMar>
            <w:top w:w="0" w:type="dxa"/>
            <w:left w:w="108" w:type="dxa"/>
            <w:bottom w:w="0" w:type="dxa"/>
            <w:right w:w="108" w:type="dxa"/>
          </w:tblCellMar>
        </w:tblPrEx>
        <w:trPr>
          <w:trHeight w:val="454" w:hRule="atLeast"/>
        </w:trPr>
        <w:tc>
          <w:tcPr>
            <w:tcW w:w="600" w:type="dxa"/>
            <w:tcBorders>
              <w:top w:val="single" w:color="auto" w:sz="6" w:space="0"/>
              <w:left w:val="single" w:color="auto" w:sz="6" w:space="0"/>
              <w:bottom w:val="single" w:color="auto" w:sz="6" w:space="0"/>
              <w:right w:val="single" w:color="auto" w:sz="6" w:space="0"/>
            </w:tcBorders>
            <w:noWrap/>
            <w:vAlign w:val="center"/>
          </w:tcPr>
          <w:p w14:paraId="663D3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470" w:type="dxa"/>
            <w:tcBorders>
              <w:top w:val="single" w:color="auto" w:sz="6" w:space="0"/>
              <w:left w:val="single" w:color="auto" w:sz="6" w:space="0"/>
              <w:bottom w:val="single" w:color="auto" w:sz="6" w:space="0"/>
              <w:right w:val="single" w:color="auto" w:sz="6" w:space="0"/>
            </w:tcBorders>
            <w:noWrap/>
            <w:vAlign w:val="center"/>
          </w:tcPr>
          <w:p w14:paraId="2AD9A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热式气体流量计</w:t>
            </w:r>
          </w:p>
        </w:tc>
        <w:tc>
          <w:tcPr>
            <w:tcW w:w="5182" w:type="dxa"/>
            <w:tcBorders>
              <w:top w:val="single" w:color="auto" w:sz="6" w:space="0"/>
              <w:left w:val="single" w:color="auto" w:sz="6" w:space="0"/>
              <w:bottom w:val="single" w:color="auto" w:sz="6" w:space="0"/>
              <w:right w:val="single" w:color="auto" w:sz="6" w:space="0"/>
            </w:tcBorders>
            <w:noWrap/>
            <w:vAlign w:val="center"/>
          </w:tcPr>
          <w:p w14:paraId="069BC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DN150,PN=1.0Mpa</w:t>
            </w:r>
          </w:p>
        </w:tc>
        <w:tc>
          <w:tcPr>
            <w:tcW w:w="748" w:type="dxa"/>
            <w:tcBorders>
              <w:top w:val="single" w:color="auto" w:sz="6" w:space="0"/>
              <w:left w:val="single" w:color="auto" w:sz="6" w:space="0"/>
              <w:bottom w:val="single" w:color="auto" w:sz="6" w:space="0"/>
              <w:right w:val="single" w:color="auto" w:sz="6" w:space="0"/>
            </w:tcBorders>
            <w:noWrap/>
            <w:vAlign w:val="center"/>
          </w:tcPr>
          <w:p w14:paraId="55B3F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860" w:type="dxa"/>
            <w:tcBorders>
              <w:top w:val="single" w:color="auto" w:sz="6" w:space="0"/>
              <w:left w:val="single" w:color="auto" w:sz="6" w:space="0"/>
              <w:bottom w:val="single" w:color="auto" w:sz="6" w:space="0"/>
              <w:right w:val="single" w:color="auto" w:sz="6" w:space="0"/>
            </w:tcBorders>
            <w:noWrap/>
            <w:vAlign w:val="center"/>
          </w:tcPr>
          <w:p w14:paraId="41C09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04" w:type="dxa"/>
            <w:tcBorders>
              <w:top w:val="single" w:color="auto" w:sz="6" w:space="0"/>
              <w:left w:val="single" w:color="auto" w:sz="6" w:space="0"/>
              <w:bottom w:val="single" w:color="auto" w:sz="6" w:space="0"/>
              <w:right w:val="single" w:color="auto" w:sz="6" w:space="0"/>
            </w:tcBorders>
            <w:noWrap/>
            <w:vAlign w:val="center"/>
          </w:tcPr>
          <w:p w14:paraId="79D45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46" w:type="dxa"/>
            <w:tcBorders>
              <w:top w:val="single" w:color="auto" w:sz="6" w:space="0"/>
              <w:left w:val="single" w:color="auto" w:sz="6" w:space="0"/>
              <w:bottom w:val="single" w:color="auto" w:sz="6" w:space="0"/>
              <w:right w:val="single" w:color="auto" w:sz="6" w:space="0"/>
            </w:tcBorders>
            <w:noWrap/>
            <w:vAlign w:val="center"/>
          </w:tcPr>
          <w:p w14:paraId="489AF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空气管</w:t>
            </w:r>
          </w:p>
        </w:tc>
      </w:tr>
      <w:tr w14:paraId="2CD54831">
        <w:tblPrEx>
          <w:tblCellMar>
            <w:top w:w="0" w:type="dxa"/>
            <w:left w:w="108" w:type="dxa"/>
            <w:bottom w:w="0" w:type="dxa"/>
            <w:right w:w="108" w:type="dxa"/>
          </w:tblCellMar>
        </w:tblPrEx>
        <w:trPr>
          <w:trHeight w:val="454" w:hRule="atLeast"/>
        </w:trPr>
        <w:tc>
          <w:tcPr>
            <w:tcW w:w="600" w:type="dxa"/>
            <w:tcBorders>
              <w:top w:val="single" w:color="auto" w:sz="6" w:space="0"/>
              <w:left w:val="single" w:color="auto" w:sz="6" w:space="0"/>
              <w:bottom w:val="single" w:color="auto" w:sz="6" w:space="0"/>
              <w:right w:val="single" w:color="auto" w:sz="6" w:space="0"/>
            </w:tcBorders>
            <w:noWrap/>
            <w:vAlign w:val="center"/>
          </w:tcPr>
          <w:p w14:paraId="2B2DC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470" w:type="dxa"/>
            <w:tcBorders>
              <w:top w:val="single" w:color="auto" w:sz="6" w:space="0"/>
              <w:left w:val="single" w:color="auto" w:sz="6" w:space="0"/>
              <w:bottom w:val="single" w:color="auto" w:sz="6" w:space="0"/>
              <w:right w:val="single" w:color="auto" w:sz="6" w:space="0"/>
            </w:tcBorders>
            <w:noWrap/>
            <w:vAlign w:val="center"/>
          </w:tcPr>
          <w:p w14:paraId="15ACF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溶解氧测量仪</w:t>
            </w:r>
          </w:p>
        </w:tc>
        <w:tc>
          <w:tcPr>
            <w:tcW w:w="5182" w:type="dxa"/>
            <w:tcBorders>
              <w:top w:val="single" w:color="auto" w:sz="6" w:space="0"/>
              <w:left w:val="single" w:color="auto" w:sz="6" w:space="0"/>
              <w:bottom w:val="single" w:color="auto" w:sz="6" w:space="0"/>
              <w:right w:val="single" w:color="auto" w:sz="6" w:space="0"/>
            </w:tcBorders>
            <w:noWrap/>
            <w:vAlign w:val="center"/>
          </w:tcPr>
          <w:p w14:paraId="7AC74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溶解氧传感器采用无膜荧光法测量原理，量程0-20mg/L</w:t>
            </w:r>
          </w:p>
        </w:tc>
        <w:tc>
          <w:tcPr>
            <w:tcW w:w="748" w:type="dxa"/>
            <w:tcBorders>
              <w:top w:val="single" w:color="auto" w:sz="6" w:space="0"/>
              <w:left w:val="single" w:color="auto" w:sz="6" w:space="0"/>
              <w:bottom w:val="single" w:color="auto" w:sz="6" w:space="0"/>
              <w:right w:val="single" w:color="auto" w:sz="6" w:space="0"/>
            </w:tcBorders>
            <w:noWrap/>
            <w:vAlign w:val="center"/>
          </w:tcPr>
          <w:p w14:paraId="2F00A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860" w:type="dxa"/>
            <w:tcBorders>
              <w:top w:val="single" w:color="auto" w:sz="6" w:space="0"/>
              <w:left w:val="single" w:color="auto" w:sz="6" w:space="0"/>
              <w:bottom w:val="single" w:color="auto" w:sz="6" w:space="0"/>
              <w:right w:val="single" w:color="auto" w:sz="6" w:space="0"/>
            </w:tcBorders>
            <w:noWrap/>
            <w:vAlign w:val="center"/>
          </w:tcPr>
          <w:p w14:paraId="5DCAE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04" w:type="dxa"/>
            <w:tcBorders>
              <w:top w:val="single" w:color="auto" w:sz="6" w:space="0"/>
              <w:left w:val="single" w:color="auto" w:sz="6" w:space="0"/>
              <w:bottom w:val="single" w:color="auto" w:sz="6" w:space="0"/>
              <w:right w:val="single" w:color="auto" w:sz="6" w:space="0"/>
            </w:tcBorders>
            <w:noWrap/>
            <w:vAlign w:val="center"/>
          </w:tcPr>
          <w:p w14:paraId="62E26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46" w:type="dxa"/>
            <w:tcBorders>
              <w:top w:val="single" w:color="auto" w:sz="6" w:space="0"/>
              <w:left w:val="single" w:color="auto" w:sz="6" w:space="0"/>
              <w:bottom w:val="single" w:color="auto" w:sz="6" w:space="0"/>
              <w:right w:val="single" w:color="auto" w:sz="6" w:space="0"/>
            </w:tcBorders>
            <w:noWrap/>
            <w:vAlign w:val="center"/>
          </w:tcPr>
          <w:p w14:paraId="105B9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好氧区</w:t>
            </w:r>
          </w:p>
        </w:tc>
      </w:tr>
      <w:tr w14:paraId="1E7C6159">
        <w:tblPrEx>
          <w:tblCellMar>
            <w:top w:w="0" w:type="dxa"/>
            <w:left w:w="108" w:type="dxa"/>
            <w:bottom w:w="0" w:type="dxa"/>
            <w:right w:w="108" w:type="dxa"/>
          </w:tblCellMar>
        </w:tblPrEx>
        <w:trPr>
          <w:trHeight w:val="454" w:hRule="atLeast"/>
        </w:trPr>
        <w:tc>
          <w:tcPr>
            <w:tcW w:w="600" w:type="dxa"/>
            <w:tcBorders>
              <w:top w:val="single" w:color="auto" w:sz="6" w:space="0"/>
              <w:left w:val="single" w:color="auto" w:sz="6" w:space="0"/>
              <w:bottom w:val="single" w:color="auto" w:sz="6" w:space="0"/>
              <w:right w:val="single" w:color="auto" w:sz="6" w:space="0"/>
            </w:tcBorders>
            <w:noWrap/>
            <w:vAlign w:val="center"/>
          </w:tcPr>
          <w:p w14:paraId="210CF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470" w:type="dxa"/>
            <w:tcBorders>
              <w:top w:val="single" w:color="auto" w:sz="6" w:space="0"/>
              <w:left w:val="single" w:color="auto" w:sz="6" w:space="0"/>
              <w:bottom w:val="single" w:color="auto" w:sz="6" w:space="0"/>
              <w:right w:val="single" w:color="auto" w:sz="6" w:space="0"/>
            </w:tcBorders>
            <w:noWrap/>
            <w:vAlign w:val="center"/>
          </w:tcPr>
          <w:p w14:paraId="52C72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污泥浓度测量仪</w:t>
            </w:r>
          </w:p>
        </w:tc>
        <w:tc>
          <w:tcPr>
            <w:tcW w:w="5182" w:type="dxa"/>
            <w:tcBorders>
              <w:top w:val="single" w:color="auto" w:sz="6" w:space="0"/>
              <w:left w:val="single" w:color="auto" w:sz="6" w:space="0"/>
              <w:bottom w:val="single" w:color="auto" w:sz="6" w:space="0"/>
              <w:right w:val="single" w:color="auto" w:sz="6" w:space="0"/>
            </w:tcBorders>
            <w:noWrap/>
            <w:vAlign w:val="center"/>
          </w:tcPr>
          <w:p w14:paraId="7CF84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0-30g/L</w:t>
            </w:r>
          </w:p>
        </w:tc>
        <w:tc>
          <w:tcPr>
            <w:tcW w:w="748" w:type="dxa"/>
            <w:tcBorders>
              <w:top w:val="single" w:color="auto" w:sz="6" w:space="0"/>
              <w:left w:val="single" w:color="auto" w:sz="6" w:space="0"/>
              <w:bottom w:val="single" w:color="auto" w:sz="6" w:space="0"/>
              <w:right w:val="single" w:color="auto" w:sz="6" w:space="0"/>
            </w:tcBorders>
            <w:noWrap/>
            <w:vAlign w:val="center"/>
          </w:tcPr>
          <w:p w14:paraId="3CAFC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成品</w:t>
            </w:r>
          </w:p>
        </w:tc>
        <w:tc>
          <w:tcPr>
            <w:tcW w:w="860" w:type="dxa"/>
            <w:tcBorders>
              <w:top w:val="single" w:color="auto" w:sz="6" w:space="0"/>
              <w:left w:val="single" w:color="auto" w:sz="6" w:space="0"/>
              <w:bottom w:val="single" w:color="auto" w:sz="6" w:space="0"/>
              <w:right w:val="single" w:color="auto" w:sz="6" w:space="0"/>
            </w:tcBorders>
            <w:noWrap/>
            <w:vAlign w:val="center"/>
          </w:tcPr>
          <w:p w14:paraId="2E37B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804" w:type="dxa"/>
            <w:tcBorders>
              <w:top w:val="single" w:color="auto" w:sz="6" w:space="0"/>
              <w:left w:val="single" w:color="auto" w:sz="6" w:space="0"/>
              <w:bottom w:val="single" w:color="auto" w:sz="6" w:space="0"/>
              <w:right w:val="single" w:color="auto" w:sz="6" w:space="0"/>
            </w:tcBorders>
            <w:noWrap/>
            <w:vAlign w:val="center"/>
          </w:tcPr>
          <w:p w14:paraId="6A180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46" w:type="dxa"/>
            <w:tcBorders>
              <w:top w:val="single" w:color="auto" w:sz="6" w:space="0"/>
              <w:left w:val="single" w:color="auto" w:sz="6" w:space="0"/>
              <w:bottom w:val="single" w:color="auto" w:sz="6" w:space="0"/>
              <w:right w:val="single" w:color="auto" w:sz="6" w:space="0"/>
            </w:tcBorders>
            <w:noWrap/>
            <w:vAlign w:val="center"/>
          </w:tcPr>
          <w:p w14:paraId="7A2F3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好氧区</w:t>
            </w:r>
          </w:p>
        </w:tc>
      </w:tr>
    </w:tbl>
    <w:p w14:paraId="26852825">
      <w:pPr>
        <w:widowControl/>
        <w:ind w:left="0" w:leftChars="0" w:firstLine="0" w:firstLineChars="0"/>
        <w:jc w:val="left"/>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1.12智慧水务系统</w:t>
      </w:r>
    </w:p>
    <w:tbl>
      <w:tblPr>
        <w:tblStyle w:val="43"/>
        <w:tblW w:w="5448" w:type="pct"/>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20"/>
        <w:gridCol w:w="1245"/>
        <w:gridCol w:w="6667"/>
        <w:gridCol w:w="605"/>
        <w:gridCol w:w="538"/>
      </w:tblGrid>
      <w:tr w14:paraId="7937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21" w:type="pct"/>
            <w:shd w:val="clear" w:color="auto" w:fill="auto"/>
            <w:noWrap/>
            <w:vAlign w:val="center"/>
          </w:tcPr>
          <w:p w14:paraId="19F4D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608" w:type="pct"/>
            <w:shd w:val="clear" w:color="auto" w:fill="auto"/>
            <w:noWrap/>
            <w:vAlign w:val="center"/>
          </w:tcPr>
          <w:p w14:paraId="4DB83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3644" w:type="pct"/>
            <w:gridSpan w:val="2"/>
            <w:shd w:val="clear" w:color="auto" w:fill="auto"/>
            <w:noWrap/>
            <w:vAlign w:val="center"/>
          </w:tcPr>
          <w:p w14:paraId="54EC5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内容</w:t>
            </w:r>
          </w:p>
        </w:tc>
        <w:tc>
          <w:tcPr>
            <w:tcW w:w="278" w:type="pct"/>
            <w:shd w:val="clear" w:color="auto" w:fill="auto"/>
            <w:noWrap/>
            <w:vAlign w:val="center"/>
          </w:tcPr>
          <w:p w14:paraId="2E6AF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247" w:type="pct"/>
            <w:shd w:val="clear" w:color="auto" w:fill="auto"/>
            <w:noWrap/>
            <w:vAlign w:val="center"/>
          </w:tcPr>
          <w:p w14:paraId="6B47D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r>
      <w:tr w14:paraId="0A68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auto"/>
            <w:noWrap/>
            <w:vAlign w:val="center"/>
          </w:tcPr>
          <w:p w14:paraId="4006E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A、VR虚拟水厂</w:t>
            </w:r>
          </w:p>
        </w:tc>
      </w:tr>
      <w:tr w14:paraId="630B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88A0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2CCCF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VR虚拟水厂</w:t>
            </w:r>
          </w:p>
        </w:tc>
        <w:tc>
          <w:tcPr>
            <w:tcW w:w="3644" w:type="pct"/>
            <w:gridSpan w:val="2"/>
            <w:shd w:val="clear" w:color="auto" w:fill="auto"/>
            <w:noWrap/>
            <w:vAlign w:val="center"/>
          </w:tcPr>
          <w:p w14:paraId="6C982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基于VR实景模拟仿真平台，建立厂区的及周边实景模型，各主要车间和主要作业工艺流程的实景图像建模及工艺流程动态模拟，展示整体厂区、主要车间及生产线的实时信息，并且能够通过互动，实现实景各个角度的呈现以及站内的虚拟漫游；并可以展示静态文字、视频以及3D平面图交互展示等多媒体信息。（包含手机端APP）</w:t>
            </w:r>
          </w:p>
        </w:tc>
        <w:tc>
          <w:tcPr>
            <w:tcW w:w="278" w:type="pct"/>
            <w:shd w:val="clear" w:color="auto" w:fill="auto"/>
            <w:noWrap/>
            <w:vAlign w:val="center"/>
          </w:tcPr>
          <w:p w14:paraId="3D5AD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2B5B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B7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auto"/>
            <w:noWrap/>
            <w:vAlign w:val="center"/>
          </w:tcPr>
          <w:p w14:paraId="641D4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B、工艺控制优化</w:t>
            </w:r>
          </w:p>
        </w:tc>
      </w:tr>
      <w:tr w14:paraId="390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E4CA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66FF9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车间级 AI 边缘箱</w:t>
            </w:r>
          </w:p>
        </w:tc>
        <w:tc>
          <w:tcPr>
            <w:tcW w:w="3644" w:type="pct"/>
            <w:gridSpan w:val="2"/>
            <w:shd w:val="clear" w:color="auto" w:fill="auto"/>
            <w:noWrap/>
            <w:vAlign w:val="center"/>
          </w:tcPr>
          <w:p w14:paraId="02DB6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中型污水处理厂通常采用少人值守的巡检模式，存在管理不规范、维护不及时和能耗浪费等问题，影响了污水处理的达标排放和能耗效率。车间级 AI 边缘箱作为边缘计算控制设备，适应多种现场安装工况，解决车间现场的无人化巡检需求。可实时采集现场视频监控、传感仪表和设备状态等数据，内置 AI 计算模块，实现毫秒级数据分析与远程控制。可根据现场需求选用功能模块组合，实现处理工艺的达标、安全、节能运行，提升运行效能，助力“高效、智慧、科学”的智慧污水厂。</w:t>
            </w:r>
          </w:p>
        </w:tc>
        <w:tc>
          <w:tcPr>
            <w:tcW w:w="278" w:type="pct"/>
            <w:shd w:val="clear" w:color="auto" w:fill="auto"/>
            <w:noWrap/>
            <w:vAlign w:val="center"/>
          </w:tcPr>
          <w:p w14:paraId="7F2C4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A020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0DF2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vMerge w:val="restart"/>
            <w:shd w:val="clear" w:color="auto" w:fill="auto"/>
            <w:noWrap/>
            <w:vAlign w:val="center"/>
          </w:tcPr>
          <w:p w14:paraId="74FC8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vMerge w:val="restart"/>
            <w:shd w:val="clear" w:color="auto" w:fill="auto"/>
            <w:noWrap/>
            <w:vAlign w:val="center"/>
          </w:tcPr>
          <w:p w14:paraId="2ACDB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碳源精准投加系统</w:t>
            </w:r>
          </w:p>
        </w:tc>
        <w:tc>
          <w:tcPr>
            <w:tcW w:w="3644" w:type="pct"/>
            <w:gridSpan w:val="2"/>
            <w:shd w:val="clear" w:color="auto" w:fill="auto"/>
            <w:noWrap/>
            <w:vAlign w:val="center"/>
          </w:tcPr>
          <w:p w14:paraId="6EDAF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加药除磷控制系统结合机理模型及实时数据进行最优化反控，通过根据生物池进水流量、生物缺氧池中硝酸盐反馈浓度、微生物活性</w:t>
            </w:r>
          </w:p>
        </w:tc>
        <w:tc>
          <w:tcPr>
            <w:tcW w:w="278" w:type="pct"/>
            <w:vMerge w:val="restart"/>
            <w:shd w:val="clear" w:color="auto" w:fill="auto"/>
            <w:noWrap/>
            <w:vAlign w:val="center"/>
          </w:tcPr>
          <w:p w14:paraId="6FCDB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vMerge w:val="restart"/>
            <w:shd w:val="clear" w:color="auto" w:fill="auto"/>
            <w:noWrap/>
            <w:vAlign w:val="center"/>
          </w:tcPr>
          <w:p w14:paraId="636D6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ED4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vMerge w:val="continue"/>
            <w:shd w:val="clear" w:color="auto" w:fill="auto"/>
            <w:noWrap/>
            <w:vAlign w:val="center"/>
          </w:tcPr>
          <w:p w14:paraId="70E3B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08" w:type="pct"/>
            <w:vMerge w:val="continue"/>
            <w:shd w:val="clear" w:color="auto" w:fill="auto"/>
            <w:noWrap/>
            <w:vAlign w:val="center"/>
          </w:tcPr>
          <w:p w14:paraId="38755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644" w:type="pct"/>
            <w:gridSpan w:val="2"/>
            <w:shd w:val="clear" w:color="auto" w:fill="auto"/>
            <w:noWrap/>
            <w:vAlign w:val="center"/>
          </w:tcPr>
          <w:p w14:paraId="7F4B2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反硝化速率，并参考生化池进出水水质和出水水质等指标计算碳源投加量设定值，实时调节碳源投加量。在满足脱氮要求的同时节省碳源费用，并避免过量投加影响水质。同时实现工艺稳定与节能降耗的目标</w:t>
            </w:r>
          </w:p>
        </w:tc>
        <w:tc>
          <w:tcPr>
            <w:tcW w:w="278" w:type="pct"/>
            <w:vMerge w:val="continue"/>
            <w:shd w:val="clear" w:color="auto" w:fill="auto"/>
            <w:noWrap/>
            <w:vAlign w:val="center"/>
          </w:tcPr>
          <w:p w14:paraId="7DDF4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vMerge w:val="continue"/>
            <w:shd w:val="clear" w:color="auto" w:fill="auto"/>
            <w:noWrap/>
            <w:vAlign w:val="center"/>
          </w:tcPr>
          <w:p w14:paraId="4981F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11E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vMerge w:val="restart"/>
            <w:shd w:val="clear" w:color="auto" w:fill="auto"/>
            <w:noWrap/>
            <w:vAlign w:val="center"/>
          </w:tcPr>
          <w:p w14:paraId="0DD36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vMerge w:val="restart"/>
            <w:shd w:val="clear" w:color="auto" w:fill="auto"/>
            <w:noWrap/>
            <w:vAlign w:val="center"/>
          </w:tcPr>
          <w:p w14:paraId="57C01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PAC 精准投加系统</w:t>
            </w:r>
          </w:p>
        </w:tc>
        <w:tc>
          <w:tcPr>
            <w:tcW w:w="3644" w:type="pct"/>
            <w:gridSpan w:val="2"/>
            <w:shd w:val="clear" w:color="auto" w:fill="auto"/>
            <w:noWrap/>
            <w:vAlign w:val="center"/>
          </w:tcPr>
          <w:p w14:paraId="28B57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加药除磷控制系统依据污水处理厂处理工艺中正磷酸盐浓度和</w:t>
            </w:r>
          </w:p>
        </w:tc>
        <w:tc>
          <w:tcPr>
            <w:tcW w:w="278" w:type="pct"/>
            <w:vMerge w:val="restart"/>
            <w:shd w:val="clear" w:color="auto" w:fill="auto"/>
            <w:noWrap/>
            <w:vAlign w:val="center"/>
          </w:tcPr>
          <w:p w14:paraId="6D5FE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vMerge w:val="restart"/>
            <w:shd w:val="clear" w:color="auto" w:fill="auto"/>
            <w:noWrap/>
            <w:vAlign w:val="center"/>
          </w:tcPr>
          <w:p w14:paraId="6E311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535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vMerge w:val="continue"/>
            <w:shd w:val="clear" w:color="auto" w:fill="auto"/>
            <w:noWrap/>
            <w:vAlign w:val="center"/>
          </w:tcPr>
          <w:p w14:paraId="565E6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08" w:type="pct"/>
            <w:vMerge w:val="continue"/>
            <w:shd w:val="clear" w:color="auto" w:fill="auto"/>
            <w:noWrap/>
            <w:vAlign w:val="center"/>
          </w:tcPr>
          <w:p w14:paraId="70B7B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644" w:type="pct"/>
            <w:gridSpan w:val="2"/>
            <w:shd w:val="clear" w:color="auto" w:fill="auto"/>
            <w:noWrap/>
            <w:vAlign w:val="center"/>
          </w:tcPr>
          <w:p w14:paraId="1D617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流量的变化，通过成熟的数学模型计算，按需以开环或闭环模式控制</w:t>
            </w:r>
          </w:p>
        </w:tc>
        <w:tc>
          <w:tcPr>
            <w:tcW w:w="278" w:type="pct"/>
            <w:vMerge w:val="continue"/>
            <w:shd w:val="clear" w:color="auto" w:fill="auto"/>
            <w:noWrap/>
            <w:vAlign w:val="center"/>
          </w:tcPr>
          <w:p w14:paraId="0B1A1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vMerge w:val="continue"/>
            <w:shd w:val="clear" w:color="auto" w:fill="auto"/>
            <w:noWrap/>
            <w:vAlign w:val="center"/>
          </w:tcPr>
          <w:p w14:paraId="71B11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376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vMerge w:val="continue"/>
            <w:shd w:val="clear" w:color="auto" w:fill="auto"/>
            <w:noWrap/>
            <w:vAlign w:val="center"/>
          </w:tcPr>
          <w:p w14:paraId="739E2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08" w:type="pct"/>
            <w:vMerge w:val="continue"/>
            <w:shd w:val="clear" w:color="auto" w:fill="auto"/>
            <w:noWrap/>
            <w:vAlign w:val="center"/>
          </w:tcPr>
          <w:p w14:paraId="06981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644" w:type="pct"/>
            <w:gridSpan w:val="2"/>
            <w:shd w:val="clear" w:color="auto" w:fill="auto"/>
            <w:noWrap/>
            <w:vAlign w:val="center"/>
          </w:tcPr>
          <w:p w14:paraId="6D79B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化学除磷药剂的自动投加，采用前馈+反馈控制模式，根据进水磷酸</w:t>
            </w:r>
          </w:p>
        </w:tc>
        <w:tc>
          <w:tcPr>
            <w:tcW w:w="278" w:type="pct"/>
            <w:vMerge w:val="continue"/>
            <w:shd w:val="clear" w:color="auto" w:fill="auto"/>
            <w:noWrap/>
            <w:vAlign w:val="center"/>
          </w:tcPr>
          <w:p w14:paraId="186F0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vMerge w:val="continue"/>
            <w:shd w:val="clear" w:color="auto" w:fill="auto"/>
            <w:noWrap/>
            <w:vAlign w:val="center"/>
          </w:tcPr>
          <w:p w14:paraId="05E1F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F0E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vMerge w:val="continue"/>
            <w:shd w:val="clear" w:color="auto" w:fill="auto"/>
            <w:noWrap/>
            <w:vAlign w:val="center"/>
          </w:tcPr>
          <w:p w14:paraId="3E740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08" w:type="pct"/>
            <w:vMerge w:val="continue"/>
            <w:shd w:val="clear" w:color="auto" w:fill="auto"/>
            <w:noWrap/>
            <w:vAlign w:val="center"/>
          </w:tcPr>
          <w:p w14:paraId="196D3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644" w:type="pct"/>
            <w:gridSpan w:val="2"/>
            <w:shd w:val="clear" w:color="auto" w:fill="auto"/>
            <w:noWrap/>
            <w:vAlign w:val="center"/>
          </w:tcPr>
          <w:p w14:paraId="7D9CA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盐及出水磷酸盐实时计算药剂投加量，使出水磷稳定达标，同时减少</w:t>
            </w:r>
          </w:p>
        </w:tc>
        <w:tc>
          <w:tcPr>
            <w:tcW w:w="278" w:type="pct"/>
            <w:vMerge w:val="continue"/>
            <w:shd w:val="clear" w:color="auto" w:fill="auto"/>
            <w:noWrap/>
            <w:vAlign w:val="center"/>
          </w:tcPr>
          <w:p w14:paraId="3E76B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vMerge w:val="continue"/>
            <w:shd w:val="clear" w:color="auto" w:fill="auto"/>
            <w:noWrap/>
            <w:vAlign w:val="center"/>
          </w:tcPr>
          <w:p w14:paraId="300C4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DAD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vMerge w:val="continue"/>
            <w:shd w:val="clear" w:color="auto" w:fill="auto"/>
            <w:noWrap/>
            <w:vAlign w:val="center"/>
          </w:tcPr>
          <w:p w14:paraId="1A71D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608" w:type="pct"/>
            <w:vMerge w:val="continue"/>
            <w:shd w:val="clear" w:color="auto" w:fill="auto"/>
            <w:noWrap/>
            <w:vAlign w:val="center"/>
          </w:tcPr>
          <w:p w14:paraId="0CAAC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644" w:type="pct"/>
            <w:gridSpan w:val="2"/>
            <w:shd w:val="clear" w:color="auto" w:fill="auto"/>
            <w:noWrap/>
            <w:vAlign w:val="center"/>
          </w:tcPr>
          <w:p w14:paraId="1349C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除磷剂投加的浪费，从而实现节能降耗。</w:t>
            </w:r>
          </w:p>
        </w:tc>
        <w:tc>
          <w:tcPr>
            <w:tcW w:w="278" w:type="pct"/>
            <w:vMerge w:val="continue"/>
            <w:shd w:val="clear" w:color="auto" w:fill="auto"/>
            <w:noWrap/>
            <w:vAlign w:val="center"/>
          </w:tcPr>
          <w:p w14:paraId="314BC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vMerge w:val="continue"/>
            <w:shd w:val="clear" w:color="auto" w:fill="auto"/>
            <w:noWrap/>
            <w:vAlign w:val="center"/>
          </w:tcPr>
          <w:p w14:paraId="069A1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7F5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shd w:val="clear" w:color="auto" w:fill="auto"/>
            <w:noWrap/>
            <w:vAlign w:val="center"/>
          </w:tcPr>
          <w:p w14:paraId="02A75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C、生产运营管理平台</w:t>
            </w:r>
          </w:p>
        </w:tc>
      </w:tr>
      <w:tr w14:paraId="2F3A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0D4EB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一、领导驾驶舱</w:t>
            </w:r>
          </w:p>
        </w:tc>
        <w:tc>
          <w:tcPr>
            <w:tcW w:w="278" w:type="pct"/>
            <w:shd w:val="clear" w:color="auto" w:fill="auto"/>
            <w:noWrap/>
            <w:vAlign w:val="center"/>
          </w:tcPr>
          <w:p w14:paraId="68AF3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114D4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60B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7B8A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0CF86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实时数据监控</w:t>
            </w:r>
          </w:p>
        </w:tc>
        <w:tc>
          <w:tcPr>
            <w:tcW w:w="3644" w:type="pct"/>
            <w:gridSpan w:val="2"/>
            <w:shd w:val="clear" w:color="auto" w:fill="auto"/>
            <w:noWrap/>
            <w:vAlign w:val="center"/>
          </w:tcPr>
          <w:p w14:paraId="67523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通过实时数据采集系统，展示污水厂的进厂水质水量、污水处理量以及设施设备运行的实时数据。确保水厂能够随时掌握污水厂运行状态</w:t>
            </w:r>
          </w:p>
        </w:tc>
        <w:tc>
          <w:tcPr>
            <w:tcW w:w="278" w:type="pct"/>
            <w:shd w:val="clear" w:color="auto" w:fill="auto"/>
            <w:noWrap/>
            <w:vAlign w:val="center"/>
          </w:tcPr>
          <w:p w14:paraId="3832A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773C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F1D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9E93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shd w:val="clear" w:color="auto" w:fill="auto"/>
            <w:noWrap/>
            <w:vAlign w:val="center"/>
          </w:tcPr>
          <w:p w14:paraId="59358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关键指标展示</w:t>
            </w:r>
          </w:p>
        </w:tc>
        <w:tc>
          <w:tcPr>
            <w:tcW w:w="3644" w:type="pct"/>
            <w:gridSpan w:val="2"/>
            <w:shd w:val="clear" w:color="auto" w:fill="auto"/>
            <w:noWrap/>
            <w:vAlign w:val="center"/>
          </w:tcPr>
          <w:p w14:paraId="35EEF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在界面两侧设置数据面板，展示污水收集率、处理率、出站水量水质等关键指标。这些指标能够直观地反映污水厂的处理效果和运行效率</w:t>
            </w:r>
          </w:p>
        </w:tc>
        <w:tc>
          <w:tcPr>
            <w:tcW w:w="278" w:type="pct"/>
            <w:shd w:val="clear" w:color="auto" w:fill="auto"/>
            <w:noWrap/>
            <w:vAlign w:val="center"/>
          </w:tcPr>
          <w:p w14:paraId="734B2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E6D5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087A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9A96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shd w:val="clear" w:color="auto" w:fill="auto"/>
            <w:noWrap/>
            <w:vAlign w:val="center"/>
          </w:tcPr>
          <w:p w14:paraId="24DA0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预警报警与工单处理</w:t>
            </w:r>
          </w:p>
        </w:tc>
        <w:tc>
          <w:tcPr>
            <w:tcW w:w="3644" w:type="pct"/>
            <w:gridSpan w:val="2"/>
            <w:shd w:val="clear" w:color="auto" w:fill="auto"/>
            <w:noWrap/>
            <w:vAlign w:val="center"/>
          </w:tcPr>
          <w:p w14:paraId="096BC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系统能够根据预设的阈值，自动检测异常情况并发出预警。同时，管理者可以通过系统生成工单，记录并跟踪问题的处理情况</w:t>
            </w:r>
          </w:p>
        </w:tc>
        <w:tc>
          <w:tcPr>
            <w:tcW w:w="278" w:type="pct"/>
            <w:shd w:val="clear" w:color="auto" w:fill="auto"/>
            <w:noWrap/>
            <w:vAlign w:val="center"/>
          </w:tcPr>
          <w:p w14:paraId="08BD5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6F3E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C11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02668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二、现场监控</w:t>
            </w:r>
          </w:p>
        </w:tc>
        <w:tc>
          <w:tcPr>
            <w:tcW w:w="278" w:type="pct"/>
            <w:shd w:val="clear" w:color="auto" w:fill="auto"/>
            <w:noWrap/>
            <w:vAlign w:val="center"/>
          </w:tcPr>
          <w:p w14:paraId="6C87B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376E8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D7B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F9191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7F3F8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在线监测</w:t>
            </w:r>
          </w:p>
        </w:tc>
        <w:tc>
          <w:tcPr>
            <w:tcW w:w="3644" w:type="pct"/>
            <w:gridSpan w:val="2"/>
            <w:shd w:val="clear" w:color="auto" w:fill="auto"/>
            <w:noWrap/>
            <w:vAlign w:val="center"/>
          </w:tcPr>
          <w:p w14:paraId="0EB0C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可实时查看采集监测的实时数据的值，同时对监测数据项进行图形分析和导出（包含手机端APP）</w:t>
            </w:r>
          </w:p>
        </w:tc>
        <w:tc>
          <w:tcPr>
            <w:tcW w:w="278" w:type="pct"/>
            <w:shd w:val="clear" w:color="auto" w:fill="auto"/>
            <w:noWrap/>
            <w:vAlign w:val="center"/>
          </w:tcPr>
          <w:p w14:paraId="727DB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893D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11C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317E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shd w:val="clear" w:color="auto" w:fill="auto"/>
            <w:noWrap/>
            <w:vAlign w:val="center"/>
          </w:tcPr>
          <w:p w14:paraId="46C56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工艺监控</w:t>
            </w:r>
          </w:p>
        </w:tc>
        <w:tc>
          <w:tcPr>
            <w:tcW w:w="3644" w:type="pct"/>
            <w:gridSpan w:val="2"/>
            <w:shd w:val="clear" w:color="auto" w:fill="auto"/>
            <w:noWrap/>
            <w:vAlign w:val="center"/>
          </w:tcPr>
          <w:p w14:paraId="6644A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以SVG矢量图的形式展示水厂工艺流程图，显示各工艺段以及实时数据（包含手机端APP）</w:t>
            </w:r>
          </w:p>
        </w:tc>
        <w:tc>
          <w:tcPr>
            <w:tcW w:w="278" w:type="pct"/>
            <w:shd w:val="clear" w:color="auto" w:fill="auto"/>
            <w:noWrap/>
            <w:vAlign w:val="center"/>
          </w:tcPr>
          <w:p w14:paraId="2C21C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4AF3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CD0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6FD3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shd w:val="clear" w:color="auto" w:fill="auto"/>
            <w:noWrap/>
            <w:vAlign w:val="center"/>
          </w:tcPr>
          <w:p w14:paraId="7D656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工况回放</w:t>
            </w:r>
          </w:p>
        </w:tc>
        <w:tc>
          <w:tcPr>
            <w:tcW w:w="3644" w:type="pct"/>
            <w:gridSpan w:val="2"/>
            <w:shd w:val="clear" w:color="auto" w:fill="auto"/>
            <w:noWrap/>
            <w:vAlign w:val="center"/>
          </w:tcPr>
          <w:p w14:paraId="1B7DA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可根据回放时间，回放历史工艺画面（包含手机端APP）</w:t>
            </w:r>
          </w:p>
        </w:tc>
        <w:tc>
          <w:tcPr>
            <w:tcW w:w="278" w:type="pct"/>
            <w:shd w:val="clear" w:color="auto" w:fill="auto"/>
            <w:noWrap/>
            <w:vAlign w:val="center"/>
          </w:tcPr>
          <w:p w14:paraId="1FBEE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7804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28F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3CE0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shd w:val="clear" w:color="auto" w:fill="auto"/>
            <w:noWrap/>
            <w:vAlign w:val="center"/>
          </w:tcPr>
          <w:p w14:paraId="50F04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视频监控</w:t>
            </w:r>
          </w:p>
        </w:tc>
        <w:tc>
          <w:tcPr>
            <w:tcW w:w="3644" w:type="pct"/>
            <w:gridSpan w:val="2"/>
            <w:shd w:val="clear" w:color="auto" w:fill="auto"/>
            <w:noWrap/>
            <w:vAlign w:val="center"/>
          </w:tcPr>
          <w:p w14:paraId="687A1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可在线查看厂区视频监控内容（包含手机端APP）</w:t>
            </w:r>
          </w:p>
        </w:tc>
        <w:tc>
          <w:tcPr>
            <w:tcW w:w="278" w:type="pct"/>
            <w:shd w:val="clear" w:color="auto" w:fill="auto"/>
            <w:noWrap/>
            <w:vAlign w:val="center"/>
          </w:tcPr>
          <w:p w14:paraId="2A41F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11EC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06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CD00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shd w:val="clear" w:color="auto" w:fill="auto"/>
            <w:noWrap/>
            <w:vAlign w:val="center"/>
          </w:tcPr>
          <w:p w14:paraId="44C2B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告警记录</w:t>
            </w:r>
          </w:p>
        </w:tc>
        <w:tc>
          <w:tcPr>
            <w:tcW w:w="3644" w:type="pct"/>
            <w:gridSpan w:val="2"/>
            <w:shd w:val="clear" w:color="auto" w:fill="auto"/>
            <w:noWrap/>
            <w:vAlign w:val="center"/>
          </w:tcPr>
          <w:p w14:paraId="52C23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达到厂站告警条件自动生成告警异常记录（包含手机端APP）</w:t>
            </w:r>
          </w:p>
        </w:tc>
        <w:tc>
          <w:tcPr>
            <w:tcW w:w="278" w:type="pct"/>
            <w:shd w:val="clear" w:color="auto" w:fill="auto"/>
            <w:noWrap/>
            <w:vAlign w:val="center"/>
          </w:tcPr>
          <w:p w14:paraId="42522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6705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51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A1F9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shd w:val="clear" w:color="auto" w:fill="auto"/>
            <w:noWrap/>
            <w:vAlign w:val="center"/>
          </w:tcPr>
          <w:p w14:paraId="0B408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画面管理</w:t>
            </w:r>
          </w:p>
        </w:tc>
        <w:tc>
          <w:tcPr>
            <w:tcW w:w="3644" w:type="pct"/>
            <w:gridSpan w:val="2"/>
            <w:shd w:val="clear" w:color="auto" w:fill="auto"/>
            <w:noWrap/>
            <w:vAlign w:val="center"/>
          </w:tcPr>
          <w:p w14:paraId="62DB9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用户可自行配置工艺流程图SVG矢量图，关联工艺画面显示的在线监测数据等</w:t>
            </w:r>
          </w:p>
        </w:tc>
        <w:tc>
          <w:tcPr>
            <w:tcW w:w="278" w:type="pct"/>
            <w:shd w:val="clear" w:color="auto" w:fill="auto"/>
            <w:noWrap/>
            <w:vAlign w:val="center"/>
          </w:tcPr>
          <w:p w14:paraId="7FBEC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1461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BDA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9FD6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shd w:val="clear" w:color="auto" w:fill="auto"/>
            <w:noWrap/>
            <w:vAlign w:val="center"/>
          </w:tcPr>
          <w:p w14:paraId="2952B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个人关注</w:t>
            </w:r>
          </w:p>
        </w:tc>
        <w:tc>
          <w:tcPr>
            <w:tcW w:w="3644" w:type="pct"/>
            <w:gridSpan w:val="2"/>
            <w:shd w:val="clear" w:color="auto" w:fill="auto"/>
            <w:noWrap/>
            <w:vAlign w:val="center"/>
          </w:tcPr>
          <w:p w14:paraId="3678A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可选择个人需要特别关注的实时采集数据</w:t>
            </w:r>
          </w:p>
        </w:tc>
        <w:tc>
          <w:tcPr>
            <w:tcW w:w="278" w:type="pct"/>
            <w:shd w:val="clear" w:color="auto" w:fill="auto"/>
            <w:noWrap/>
            <w:vAlign w:val="center"/>
          </w:tcPr>
          <w:p w14:paraId="387FB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54D8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52B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3D550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三、生产运营</w:t>
            </w:r>
          </w:p>
        </w:tc>
        <w:tc>
          <w:tcPr>
            <w:tcW w:w="278" w:type="pct"/>
            <w:shd w:val="clear" w:color="auto" w:fill="auto"/>
            <w:noWrap/>
            <w:vAlign w:val="center"/>
          </w:tcPr>
          <w:p w14:paraId="1509B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63406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77F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F180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vMerge w:val="restart"/>
            <w:shd w:val="clear" w:color="auto" w:fill="auto"/>
            <w:noWrap/>
            <w:vAlign w:val="center"/>
          </w:tcPr>
          <w:p w14:paraId="4E238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交接班管理</w:t>
            </w:r>
          </w:p>
        </w:tc>
        <w:tc>
          <w:tcPr>
            <w:tcW w:w="573" w:type="pct"/>
            <w:shd w:val="clear" w:color="auto" w:fill="auto"/>
            <w:noWrap/>
            <w:vAlign w:val="center"/>
          </w:tcPr>
          <w:p w14:paraId="05298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交班位置</w:t>
            </w:r>
          </w:p>
        </w:tc>
        <w:tc>
          <w:tcPr>
            <w:tcW w:w="3070" w:type="pct"/>
            <w:shd w:val="clear" w:color="auto" w:fill="auto"/>
            <w:noWrap/>
            <w:vAlign w:val="center"/>
          </w:tcPr>
          <w:p w14:paraId="7D107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不同水厂可自行配置，运行人员值班时可交接班的位置范围</w:t>
            </w:r>
          </w:p>
        </w:tc>
        <w:tc>
          <w:tcPr>
            <w:tcW w:w="278" w:type="pct"/>
            <w:shd w:val="clear" w:color="auto" w:fill="auto"/>
            <w:noWrap/>
            <w:vAlign w:val="center"/>
          </w:tcPr>
          <w:p w14:paraId="736DF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DAD5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096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CAAF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vMerge w:val="continue"/>
            <w:shd w:val="clear" w:color="auto" w:fill="auto"/>
            <w:noWrap/>
            <w:vAlign w:val="center"/>
          </w:tcPr>
          <w:p w14:paraId="2F84D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36F8A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班次管理</w:t>
            </w:r>
          </w:p>
        </w:tc>
        <w:tc>
          <w:tcPr>
            <w:tcW w:w="3070" w:type="pct"/>
            <w:shd w:val="clear" w:color="auto" w:fill="auto"/>
            <w:noWrap/>
            <w:vAlign w:val="center"/>
          </w:tcPr>
          <w:p w14:paraId="44C74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配置水厂运行人员的交接班的班次，以及交班和接班时间和范围</w:t>
            </w:r>
          </w:p>
        </w:tc>
        <w:tc>
          <w:tcPr>
            <w:tcW w:w="278" w:type="pct"/>
            <w:shd w:val="clear" w:color="auto" w:fill="auto"/>
            <w:noWrap/>
            <w:vAlign w:val="center"/>
          </w:tcPr>
          <w:p w14:paraId="6BD30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8F11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6F0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9B00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vMerge w:val="continue"/>
            <w:shd w:val="clear" w:color="auto" w:fill="auto"/>
            <w:noWrap/>
            <w:vAlign w:val="center"/>
          </w:tcPr>
          <w:p w14:paraId="7014F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6016F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排班管理</w:t>
            </w:r>
          </w:p>
        </w:tc>
        <w:tc>
          <w:tcPr>
            <w:tcW w:w="3070" w:type="pct"/>
            <w:shd w:val="clear" w:color="auto" w:fill="auto"/>
            <w:noWrap/>
            <w:vAlign w:val="center"/>
          </w:tcPr>
          <w:p w14:paraId="18196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安排好各部门或者班组值班巡检时需要做好的工作，比如数据上报、加药等</w:t>
            </w:r>
          </w:p>
        </w:tc>
        <w:tc>
          <w:tcPr>
            <w:tcW w:w="278" w:type="pct"/>
            <w:shd w:val="clear" w:color="auto" w:fill="auto"/>
            <w:noWrap/>
            <w:vAlign w:val="center"/>
          </w:tcPr>
          <w:p w14:paraId="66DFC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A37B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167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41CF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vMerge w:val="continue"/>
            <w:shd w:val="clear" w:color="auto" w:fill="auto"/>
            <w:noWrap/>
            <w:vAlign w:val="center"/>
          </w:tcPr>
          <w:p w14:paraId="10711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3D798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工具管理</w:t>
            </w:r>
          </w:p>
        </w:tc>
        <w:tc>
          <w:tcPr>
            <w:tcW w:w="3070" w:type="pct"/>
            <w:shd w:val="clear" w:color="auto" w:fill="auto"/>
            <w:noWrap/>
            <w:vAlign w:val="center"/>
          </w:tcPr>
          <w:p w14:paraId="54261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配置各部门或者班组交接班时需要移交的工具</w:t>
            </w:r>
          </w:p>
        </w:tc>
        <w:tc>
          <w:tcPr>
            <w:tcW w:w="278" w:type="pct"/>
            <w:shd w:val="clear" w:color="auto" w:fill="auto"/>
            <w:noWrap/>
            <w:vAlign w:val="center"/>
          </w:tcPr>
          <w:p w14:paraId="4FFE7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8760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32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1A5E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vMerge w:val="continue"/>
            <w:shd w:val="clear" w:color="auto" w:fill="auto"/>
            <w:noWrap/>
            <w:vAlign w:val="center"/>
          </w:tcPr>
          <w:p w14:paraId="1742C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60F07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排班计划</w:t>
            </w:r>
          </w:p>
        </w:tc>
        <w:tc>
          <w:tcPr>
            <w:tcW w:w="3070" w:type="pct"/>
            <w:shd w:val="clear" w:color="auto" w:fill="auto"/>
            <w:noWrap/>
            <w:vAlign w:val="center"/>
          </w:tcPr>
          <w:p w14:paraId="3BE6A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根据值班班次给各部门，班组的值班人员提前排好值班表</w:t>
            </w:r>
          </w:p>
        </w:tc>
        <w:tc>
          <w:tcPr>
            <w:tcW w:w="278" w:type="pct"/>
            <w:shd w:val="clear" w:color="auto" w:fill="auto"/>
            <w:noWrap/>
            <w:vAlign w:val="center"/>
          </w:tcPr>
          <w:p w14:paraId="55080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0377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A83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12C8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vMerge w:val="continue"/>
            <w:shd w:val="clear" w:color="auto" w:fill="auto"/>
            <w:noWrap/>
            <w:vAlign w:val="center"/>
          </w:tcPr>
          <w:p w14:paraId="620EB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4E15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当班记录</w:t>
            </w:r>
          </w:p>
        </w:tc>
        <w:tc>
          <w:tcPr>
            <w:tcW w:w="3070" w:type="pct"/>
            <w:shd w:val="clear" w:color="auto" w:fill="auto"/>
            <w:noWrap/>
            <w:vAlign w:val="center"/>
          </w:tcPr>
          <w:p w14:paraId="19336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值班人员可以在线上进行巡检工作，APP上可到现场巡检</w:t>
            </w:r>
          </w:p>
        </w:tc>
        <w:tc>
          <w:tcPr>
            <w:tcW w:w="278" w:type="pct"/>
            <w:shd w:val="clear" w:color="auto" w:fill="auto"/>
            <w:noWrap/>
            <w:vAlign w:val="center"/>
          </w:tcPr>
          <w:p w14:paraId="1E0C4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FC92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40C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A0D0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vMerge w:val="continue"/>
            <w:shd w:val="clear" w:color="auto" w:fill="auto"/>
            <w:noWrap/>
            <w:vAlign w:val="center"/>
          </w:tcPr>
          <w:p w14:paraId="5FECE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11405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值班日历</w:t>
            </w:r>
          </w:p>
        </w:tc>
        <w:tc>
          <w:tcPr>
            <w:tcW w:w="3070" w:type="pct"/>
            <w:shd w:val="clear" w:color="auto" w:fill="auto"/>
            <w:noWrap/>
            <w:vAlign w:val="center"/>
          </w:tcPr>
          <w:p w14:paraId="3A7A9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制定排班计划后，生成对应的值班日历，可根据排班日期和班次发起调班申请</w:t>
            </w:r>
          </w:p>
        </w:tc>
        <w:tc>
          <w:tcPr>
            <w:tcW w:w="278" w:type="pct"/>
            <w:shd w:val="clear" w:color="auto" w:fill="auto"/>
            <w:noWrap/>
            <w:vAlign w:val="center"/>
          </w:tcPr>
          <w:p w14:paraId="33B92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9359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086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BCC9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08" w:type="pct"/>
            <w:vMerge w:val="continue"/>
            <w:shd w:val="clear" w:color="auto" w:fill="auto"/>
            <w:noWrap/>
            <w:vAlign w:val="center"/>
          </w:tcPr>
          <w:p w14:paraId="11EC7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7A34E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调班审批</w:t>
            </w:r>
          </w:p>
        </w:tc>
        <w:tc>
          <w:tcPr>
            <w:tcW w:w="3070" w:type="pct"/>
            <w:shd w:val="clear" w:color="auto" w:fill="auto"/>
            <w:noWrap/>
            <w:vAlign w:val="center"/>
          </w:tcPr>
          <w:p w14:paraId="49319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申请人发起调班申请后，审批人通过后排班计划的当班人员将变更</w:t>
            </w:r>
          </w:p>
        </w:tc>
        <w:tc>
          <w:tcPr>
            <w:tcW w:w="278" w:type="pct"/>
            <w:shd w:val="clear" w:color="auto" w:fill="auto"/>
            <w:noWrap/>
            <w:vAlign w:val="center"/>
          </w:tcPr>
          <w:p w14:paraId="65107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5B07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1E6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9CAB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608" w:type="pct"/>
            <w:vMerge w:val="continue"/>
            <w:shd w:val="clear" w:color="auto" w:fill="auto"/>
            <w:noWrap/>
            <w:vAlign w:val="center"/>
          </w:tcPr>
          <w:p w14:paraId="4F22D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50AEA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值班统计</w:t>
            </w:r>
          </w:p>
        </w:tc>
        <w:tc>
          <w:tcPr>
            <w:tcW w:w="3070" w:type="pct"/>
            <w:shd w:val="clear" w:color="auto" w:fill="auto"/>
            <w:noWrap/>
            <w:vAlign w:val="center"/>
          </w:tcPr>
          <w:p w14:paraId="21496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图形化统计展示值班次数，交接班统计、交接班按时率、巡检统计以及值班人次</w:t>
            </w:r>
          </w:p>
        </w:tc>
        <w:tc>
          <w:tcPr>
            <w:tcW w:w="278" w:type="pct"/>
            <w:shd w:val="clear" w:color="auto" w:fill="auto"/>
            <w:noWrap/>
            <w:vAlign w:val="center"/>
          </w:tcPr>
          <w:p w14:paraId="273C8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1BD7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4E1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67F5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08" w:type="pct"/>
            <w:vMerge w:val="continue"/>
            <w:shd w:val="clear" w:color="auto" w:fill="auto"/>
            <w:noWrap/>
            <w:vAlign w:val="center"/>
          </w:tcPr>
          <w:p w14:paraId="498CD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6F43C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加药管理</w:t>
            </w:r>
          </w:p>
        </w:tc>
        <w:tc>
          <w:tcPr>
            <w:tcW w:w="3070" w:type="pct"/>
            <w:shd w:val="clear" w:color="auto" w:fill="auto"/>
            <w:noWrap/>
            <w:vAlign w:val="center"/>
          </w:tcPr>
          <w:p w14:paraId="162A3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加药药剂的库存和运行填报人员加药量进行关联，自动统计当天加药量</w:t>
            </w:r>
          </w:p>
        </w:tc>
        <w:tc>
          <w:tcPr>
            <w:tcW w:w="278" w:type="pct"/>
            <w:shd w:val="clear" w:color="auto" w:fill="auto"/>
            <w:noWrap/>
            <w:vAlign w:val="center"/>
          </w:tcPr>
          <w:p w14:paraId="38E12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9F2B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D3D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6A4C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608" w:type="pct"/>
            <w:vMerge w:val="restart"/>
            <w:shd w:val="clear" w:color="auto" w:fill="auto"/>
            <w:noWrap/>
            <w:vAlign w:val="center"/>
          </w:tcPr>
          <w:p w14:paraId="5991D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巡检管理</w:t>
            </w:r>
          </w:p>
        </w:tc>
        <w:tc>
          <w:tcPr>
            <w:tcW w:w="573" w:type="pct"/>
            <w:shd w:val="clear" w:color="auto" w:fill="auto"/>
            <w:noWrap/>
            <w:vAlign w:val="center"/>
          </w:tcPr>
          <w:p w14:paraId="0A00F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设施管理</w:t>
            </w:r>
          </w:p>
        </w:tc>
        <w:tc>
          <w:tcPr>
            <w:tcW w:w="3070" w:type="pct"/>
            <w:shd w:val="clear" w:color="auto" w:fill="auto"/>
            <w:noWrap/>
            <w:vAlign w:val="center"/>
          </w:tcPr>
          <w:p w14:paraId="05EE1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管理并配置好水厂的全部设施，比如加药间、进水泵房等</w:t>
            </w:r>
          </w:p>
        </w:tc>
        <w:tc>
          <w:tcPr>
            <w:tcW w:w="278" w:type="pct"/>
            <w:shd w:val="clear" w:color="auto" w:fill="auto"/>
            <w:noWrap/>
            <w:vAlign w:val="center"/>
          </w:tcPr>
          <w:p w14:paraId="232AB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A7D2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4EB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6EC7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608" w:type="pct"/>
            <w:vMerge w:val="continue"/>
            <w:shd w:val="clear" w:color="auto" w:fill="auto"/>
            <w:noWrap/>
            <w:vAlign w:val="center"/>
          </w:tcPr>
          <w:p w14:paraId="40EEC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FB19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巡检点位</w:t>
            </w:r>
          </w:p>
        </w:tc>
        <w:tc>
          <w:tcPr>
            <w:tcW w:w="3070" w:type="pct"/>
            <w:shd w:val="clear" w:color="auto" w:fill="auto"/>
            <w:noWrap/>
            <w:vAlign w:val="center"/>
          </w:tcPr>
          <w:p w14:paraId="67904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管理配置水厂巡检点位的巡检要求、巡检抄表、方式（线上、线下）等</w:t>
            </w:r>
          </w:p>
        </w:tc>
        <w:tc>
          <w:tcPr>
            <w:tcW w:w="278" w:type="pct"/>
            <w:shd w:val="clear" w:color="auto" w:fill="auto"/>
            <w:noWrap/>
            <w:vAlign w:val="center"/>
          </w:tcPr>
          <w:p w14:paraId="7D468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B617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A3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A4F0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608" w:type="pct"/>
            <w:vMerge w:val="continue"/>
            <w:shd w:val="clear" w:color="auto" w:fill="auto"/>
            <w:noWrap/>
            <w:vAlign w:val="center"/>
          </w:tcPr>
          <w:p w14:paraId="34331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13C59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巡检路线</w:t>
            </w:r>
          </w:p>
        </w:tc>
        <w:tc>
          <w:tcPr>
            <w:tcW w:w="3070" w:type="pct"/>
            <w:shd w:val="clear" w:color="auto" w:fill="auto"/>
            <w:noWrap/>
            <w:vAlign w:val="center"/>
          </w:tcPr>
          <w:p w14:paraId="5C463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各部门或者班组根据安排的巡检路线来选择对应的巡检点位</w:t>
            </w:r>
          </w:p>
        </w:tc>
        <w:tc>
          <w:tcPr>
            <w:tcW w:w="278" w:type="pct"/>
            <w:shd w:val="clear" w:color="auto" w:fill="auto"/>
            <w:noWrap/>
            <w:vAlign w:val="center"/>
          </w:tcPr>
          <w:p w14:paraId="3858F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5821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219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0917D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四、设备管理</w:t>
            </w:r>
          </w:p>
        </w:tc>
        <w:tc>
          <w:tcPr>
            <w:tcW w:w="278" w:type="pct"/>
            <w:shd w:val="clear" w:color="auto" w:fill="auto"/>
            <w:noWrap/>
            <w:vAlign w:val="center"/>
          </w:tcPr>
          <w:p w14:paraId="09CEA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311D5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8E6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26D7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11BFD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设备分类</w:t>
            </w:r>
          </w:p>
        </w:tc>
        <w:tc>
          <w:tcPr>
            <w:tcW w:w="3644" w:type="pct"/>
            <w:gridSpan w:val="2"/>
            <w:shd w:val="clear" w:color="auto" w:fill="auto"/>
            <w:noWrap/>
            <w:vAlign w:val="center"/>
          </w:tcPr>
          <w:p w14:paraId="4DB09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统一管理设备分类，可从资产分类获取或自定义添加</w:t>
            </w:r>
          </w:p>
        </w:tc>
        <w:tc>
          <w:tcPr>
            <w:tcW w:w="278" w:type="pct"/>
            <w:shd w:val="clear" w:color="auto" w:fill="auto"/>
            <w:noWrap/>
            <w:vAlign w:val="center"/>
          </w:tcPr>
          <w:p w14:paraId="28EDC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13B8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B85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EFDA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shd w:val="clear" w:color="auto" w:fill="auto"/>
            <w:noWrap/>
            <w:vAlign w:val="center"/>
          </w:tcPr>
          <w:p w14:paraId="7DFD2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设备管理</w:t>
            </w:r>
          </w:p>
        </w:tc>
        <w:tc>
          <w:tcPr>
            <w:tcW w:w="3644" w:type="pct"/>
            <w:gridSpan w:val="2"/>
            <w:shd w:val="clear" w:color="auto" w:fill="auto"/>
            <w:noWrap/>
            <w:vAlign w:val="center"/>
          </w:tcPr>
          <w:p w14:paraId="74FA3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录入设备台账，可从资产中选择，管理设备基础信息，文档资料，实时数据及参数等</w:t>
            </w:r>
          </w:p>
        </w:tc>
        <w:tc>
          <w:tcPr>
            <w:tcW w:w="278" w:type="pct"/>
            <w:shd w:val="clear" w:color="auto" w:fill="auto"/>
            <w:noWrap/>
            <w:vAlign w:val="center"/>
          </w:tcPr>
          <w:p w14:paraId="4DFBB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E36A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0E14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49D5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shd w:val="clear" w:color="auto" w:fill="auto"/>
            <w:noWrap/>
            <w:vAlign w:val="center"/>
          </w:tcPr>
          <w:p w14:paraId="041D4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人员配置</w:t>
            </w:r>
          </w:p>
        </w:tc>
        <w:tc>
          <w:tcPr>
            <w:tcW w:w="3644" w:type="pct"/>
            <w:gridSpan w:val="2"/>
            <w:shd w:val="clear" w:color="auto" w:fill="auto"/>
            <w:noWrap/>
            <w:vAlign w:val="center"/>
          </w:tcPr>
          <w:p w14:paraId="50724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配置厂站设备维修、维护、点检、大修、检验的各节点负责和验收人员</w:t>
            </w:r>
          </w:p>
        </w:tc>
        <w:tc>
          <w:tcPr>
            <w:tcW w:w="278" w:type="pct"/>
            <w:shd w:val="clear" w:color="auto" w:fill="auto"/>
            <w:noWrap/>
            <w:vAlign w:val="center"/>
          </w:tcPr>
          <w:p w14:paraId="59A93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D179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42E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9F33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shd w:val="clear" w:color="auto" w:fill="auto"/>
            <w:noWrap/>
            <w:vAlign w:val="center"/>
          </w:tcPr>
          <w:p w14:paraId="59EFB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设备分析</w:t>
            </w:r>
          </w:p>
        </w:tc>
        <w:tc>
          <w:tcPr>
            <w:tcW w:w="3644" w:type="pct"/>
            <w:gridSpan w:val="2"/>
            <w:shd w:val="clear" w:color="auto" w:fill="auto"/>
            <w:noWrap/>
            <w:vAlign w:val="center"/>
          </w:tcPr>
          <w:p w14:paraId="4D32E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图形化统计展示不完好设备数量、设备衰老阶段、运行、故障、分月完好率统计</w:t>
            </w:r>
          </w:p>
        </w:tc>
        <w:tc>
          <w:tcPr>
            <w:tcW w:w="278" w:type="pct"/>
            <w:shd w:val="clear" w:color="auto" w:fill="auto"/>
            <w:noWrap/>
            <w:vAlign w:val="center"/>
          </w:tcPr>
          <w:p w14:paraId="5BF60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E6D2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CC4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2850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shd w:val="clear" w:color="auto" w:fill="auto"/>
            <w:noWrap/>
            <w:vAlign w:val="center"/>
          </w:tcPr>
          <w:p w14:paraId="276D5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设备档案</w:t>
            </w:r>
          </w:p>
        </w:tc>
        <w:tc>
          <w:tcPr>
            <w:tcW w:w="3644" w:type="pct"/>
            <w:gridSpan w:val="2"/>
            <w:shd w:val="clear" w:color="auto" w:fill="auto"/>
            <w:noWrap/>
            <w:vAlign w:val="center"/>
          </w:tcPr>
          <w:p w14:paraId="4CBE8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查看设备基础信息、维护记录、维修记录、运行统计、数据参数等</w:t>
            </w:r>
          </w:p>
        </w:tc>
        <w:tc>
          <w:tcPr>
            <w:tcW w:w="278" w:type="pct"/>
            <w:shd w:val="clear" w:color="auto" w:fill="auto"/>
            <w:noWrap/>
            <w:vAlign w:val="center"/>
          </w:tcPr>
          <w:p w14:paraId="6A9A9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6B11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695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09CB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shd w:val="clear" w:color="auto" w:fill="auto"/>
            <w:noWrap/>
            <w:vAlign w:val="center"/>
          </w:tcPr>
          <w:p w14:paraId="32444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四率统计</w:t>
            </w:r>
          </w:p>
        </w:tc>
        <w:tc>
          <w:tcPr>
            <w:tcW w:w="3644" w:type="pct"/>
            <w:gridSpan w:val="2"/>
            <w:shd w:val="clear" w:color="auto" w:fill="auto"/>
            <w:noWrap/>
            <w:vAlign w:val="center"/>
          </w:tcPr>
          <w:p w14:paraId="1482D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统计设备运行、完成率，设施、维修完成率，设备、设施维修统计，A类设备维修及时率</w:t>
            </w:r>
          </w:p>
        </w:tc>
        <w:tc>
          <w:tcPr>
            <w:tcW w:w="278" w:type="pct"/>
            <w:shd w:val="clear" w:color="auto" w:fill="auto"/>
            <w:noWrap/>
            <w:vAlign w:val="center"/>
          </w:tcPr>
          <w:p w14:paraId="709C4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8F8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FF0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A23F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shd w:val="clear" w:color="auto" w:fill="auto"/>
            <w:noWrap/>
            <w:vAlign w:val="center"/>
          </w:tcPr>
          <w:p w14:paraId="4AA60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设备统计</w:t>
            </w:r>
          </w:p>
        </w:tc>
        <w:tc>
          <w:tcPr>
            <w:tcW w:w="3644" w:type="pct"/>
            <w:gridSpan w:val="2"/>
            <w:shd w:val="clear" w:color="auto" w:fill="auto"/>
            <w:noWrap/>
            <w:vAlign w:val="center"/>
          </w:tcPr>
          <w:p w14:paraId="02F85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管理页面，定时统计设备运行、完好、维修统计，设施完好、维修统计</w:t>
            </w:r>
          </w:p>
        </w:tc>
        <w:tc>
          <w:tcPr>
            <w:tcW w:w="278" w:type="pct"/>
            <w:shd w:val="clear" w:color="auto" w:fill="auto"/>
            <w:noWrap/>
            <w:vAlign w:val="center"/>
          </w:tcPr>
          <w:p w14:paraId="6A82D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E002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55C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4D76A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五、维护管理</w:t>
            </w:r>
          </w:p>
        </w:tc>
        <w:tc>
          <w:tcPr>
            <w:tcW w:w="278" w:type="pct"/>
            <w:shd w:val="clear" w:color="auto" w:fill="auto"/>
            <w:noWrap/>
            <w:vAlign w:val="center"/>
          </w:tcPr>
          <w:p w14:paraId="71460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59F1A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5E1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FFE6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34EAA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维护计划</w:t>
            </w:r>
          </w:p>
        </w:tc>
        <w:tc>
          <w:tcPr>
            <w:tcW w:w="3644" w:type="pct"/>
            <w:gridSpan w:val="2"/>
            <w:shd w:val="clear" w:color="auto" w:fill="auto"/>
            <w:noWrap/>
            <w:vAlign w:val="center"/>
          </w:tcPr>
          <w:p w14:paraId="77F1A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根据不同设备制定年度维护计划、设置维护周期、维护次数和维护成本</w:t>
            </w:r>
          </w:p>
        </w:tc>
        <w:tc>
          <w:tcPr>
            <w:tcW w:w="278" w:type="pct"/>
            <w:shd w:val="clear" w:color="auto" w:fill="auto"/>
            <w:noWrap/>
            <w:vAlign w:val="center"/>
          </w:tcPr>
          <w:p w14:paraId="43E03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61F9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56D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D718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shd w:val="clear" w:color="auto" w:fill="auto"/>
            <w:noWrap/>
            <w:vAlign w:val="center"/>
          </w:tcPr>
          <w:p w14:paraId="07A9F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维护派工</w:t>
            </w:r>
          </w:p>
        </w:tc>
        <w:tc>
          <w:tcPr>
            <w:tcW w:w="3644" w:type="pct"/>
            <w:gridSpan w:val="2"/>
            <w:shd w:val="clear" w:color="auto" w:fill="auto"/>
            <w:noWrap/>
            <w:vAlign w:val="center"/>
          </w:tcPr>
          <w:p w14:paraId="25B73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针对本部门的维护计划，配置派工人员以及指定维护人员</w:t>
            </w:r>
          </w:p>
        </w:tc>
        <w:tc>
          <w:tcPr>
            <w:tcW w:w="278" w:type="pct"/>
            <w:shd w:val="clear" w:color="auto" w:fill="auto"/>
            <w:noWrap/>
            <w:vAlign w:val="center"/>
          </w:tcPr>
          <w:p w14:paraId="2A716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646B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540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17E0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shd w:val="clear" w:color="auto" w:fill="auto"/>
            <w:noWrap/>
            <w:vAlign w:val="center"/>
          </w:tcPr>
          <w:p w14:paraId="0DB81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维护记录</w:t>
            </w:r>
          </w:p>
        </w:tc>
        <w:tc>
          <w:tcPr>
            <w:tcW w:w="3644" w:type="pct"/>
            <w:gridSpan w:val="2"/>
            <w:shd w:val="clear" w:color="auto" w:fill="auto"/>
            <w:noWrap/>
            <w:vAlign w:val="center"/>
          </w:tcPr>
          <w:p w14:paraId="564EA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到期提醒维护人员填写维护记录，需要验收的维护内容完成维护后提交验收</w:t>
            </w:r>
          </w:p>
        </w:tc>
        <w:tc>
          <w:tcPr>
            <w:tcW w:w="278" w:type="pct"/>
            <w:shd w:val="clear" w:color="auto" w:fill="auto"/>
            <w:noWrap/>
            <w:vAlign w:val="center"/>
          </w:tcPr>
          <w:p w14:paraId="683C6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5A5E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7F4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2F78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shd w:val="clear" w:color="auto" w:fill="auto"/>
            <w:noWrap/>
            <w:vAlign w:val="center"/>
          </w:tcPr>
          <w:p w14:paraId="309D2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维护成本</w:t>
            </w:r>
          </w:p>
        </w:tc>
        <w:tc>
          <w:tcPr>
            <w:tcW w:w="3644" w:type="pct"/>
            <w:gridSpan w:val="2"/>
            <w:shd w:val="clear" w:color="auto" w:fill="auto"/>
            <w:noWrap/>
            <w:vAlign w:val="center"/>
          </w:tcPr>
          <w:p w14:paraId="7B881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录入维护的人工成本和耗材成本，支持导出</w:t>
            </w:r>
          </w:p>
        </w:tc>
        <w:tc>
          <w:tcPr>
            <w:tcW w:w="278" w:type="pct"/>
            <w:shd w:val="clear" w:color="auto" w:fill="auto"/>
            <w:noWrap/>
            <w:vAlign w:val="center"/>
          </w:tcPr>
          <w:p w14:paraId="67EEB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3B32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0D85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860B8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shd w:val="clear" w:color="auto" w:fill="auto"/>
            <w:noWrap/>
            <w:vAlign w:val="center"/>
          </w:tcPr>
          <w:p w14:paraId="63929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维护验收</w:t>
            </w:r>
          </w:p>
        </w:tc>
        <w:tc>
          <w:tcPr>
            <w:tcW w:w="3644" w:type="pct"/>
            <w:gridSpan w:val="2"/>
            <w:shd w:val="clear" w:color="auto" w:fill="auto"/>
            <w:noWrap/>
            <w:vAlign w:val="center"/>
          </w:tcPr>
          <w:p w14:paraId="436BF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验收已经完成的维护记录，对维护情况和使用耗材数量进行核实</w:t>
            </w:r>
          </w:p>
        </w:tc>
        <w:tc>
          <w:tcPr>
            <w:tcW w:w="278" w:type="pct"/>
            <w:shd w:val="clear" w:color="auto" w:fill="auto"/>
            <w:noWrap/>
            <w:vAlign w:val="center"/>
          </w:tcPr>
          <w:p w14:paraId="35099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7C41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77B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5923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shd w:val="clear" w:color="auto" w:fill="auto"/>
            <w:noWrap/>
            <w:vAlign w:val="center"/>
          </w:tcPr>
          <w:p w14:paraId="63F07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维护年历</w:t>
            </w:r>
          </w:p>
        </w:tc>
        <w:tc>
          <w:tcPr>
            <w:tcW w:w="3644" w:type="pct"/>
            <w:gridSpan w:val="2"/>
            <w:shd w:val="clear" w:color="auto" w:fill="auto"/>
            <w:noWrap/>
            <w:vAlign w:val="center"/>
          </w:tcPr>
          <w:p w14:paraId="08246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按年度维护次数、维护成本统计已完成情况，查看维护详情</w:t>
            </w:r>
          </w:p>
        </w:tc>
        <w:tc>
          <w:tcPr>
            <w:tcW w:w="278" w:type="pct"/>
            <w:shd w:val="clear" w:color="auto" w:fill="auto"/>
            <w:noWrap/>
            <w:vAlign w:val="center"/>
          </w:tcPr>
          <w:p w14:paraId="4EEA0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B05F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542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19F6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shd w:val="clear" w:color="auto" w:fill="auto"/>
            <w:noWrap/>
            <w:vAlign w:val="center"/>
          </w:tcPr>
          <w:p w14:paraId="2EDDE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维护查询</w:t>
            </w:r>
          </w:p>
        </w:tc>
        <w:tc>
          <w:tcPr>
            <w:tcW w:w="3644" w:type="pct"/>
            <w:gridSpan w:val="2"/>
            <w:shd w:val="clear" w:color="auto" w:fill="auto"/>
            <w:noWrap/>
            <w:vAlign w:val="center"/>
          </w:tcPr>
          <w:p w14:paraId="51CD2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查看厂站维护计划对应的维护记录完成情况，支持导出</w:t>
            </w:r>
          </w:p>
        </w:tc>
        <w:tc>
          <w:tcPr>
            <w:tcW w:w="278" w:type="pct"/>
            <w:shd w:val="clear" w:color="auto" w:fill="auto"/>
            <w:noWrap/>
            <w:vAlign w:val="center"/>
          </w:tcPr>
          <w:p w14:paraId="570F8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DF5A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437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63554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六、维修管理</w:t>
            </w:r>
          </w:p>
        </w:tc>
        <w:tc>
          <w:tcPr>
            <w:tcW w:w="278" w:type="pct"/>
            <w:shd w:val="clear" w:color="auto" w:fill="auto"/>
            <w:noWrap/>
            <w:vAlign w:val="center"/>
          </w:tcPr>
          <w:p w14:paraId="6DE7A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3E173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066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86E6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vMerge w:val="restart"/>
            <w:shd w:val="clear" w:color="auto" w:fill="auto"/>
            <w:noWrap/>
            <w:vAlign w:val="center"/>
          </w:tcPr>
          <w:p w14:paraId="45AEC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中小修管理</w:t>
            </w:r>
          </w:p>
        </w:tc>
        <w:tc>
          <w:tcPr>
            <w:tcW w:w="573" w:type="pct"/>
            <w:shd w:val="clear" w:color="auto" w:fill="auto"/>
            <w:noWrap/>
            <w:vAlign w:val="center"/>
          </w:tcPr>
          <w:p w14:paraId="325D1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故障类型</w:t>
            </w:r>
          </w:p>
        </w:tc>
        <w:tc>
          <w:tcPr>
            <w:tcW w:w="3070" w:type="pct"/>
            <w:shd w:val="clear" w:color="auto" w:fill="auto"/>
            <w:noWrap/>
            <w:vAlign w:val="center"/>
          </w:tcPr>
          <w:p w14:paraId="26E41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设置机械、电气、综合、零星、设施、仪表故障的启用状态，是否参加完好统计</w:t>
            </w:r>
          </w:p>
        </w:tc>
        <w:tc>
          <w:tcPr>
            <w:tcW w:w="278" w:type="pct"/>
            <w:shd w:val="clear" w:color="auto" w:fill="auto"/>
            <w:noWrap/>
            <w:vAlign w:val="center"/>
          </w:tcPr>
          <w:p w14:paraId="3D2C2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B7CF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D93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B7A8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vMerge w:val="continue"/>
            <w:shd w:val="clear" w:color="auto" w:fill="auto"/>
            <w:noWrap/>
            <w:vAlign w:val="center"/>
          </w:tcPr>
          <w:p w14:paraId="48901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0B852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维修管理</w:t>
            </w:r>
          </w:p>
        </w:tc>
        <w:tc>
          <w:tcPr>
            <w:tcW w:w="3070" w:type="pct"/>
            <w:shd w:val="clear" w:color="auto" w:fill="auto"/>
            <w:noWrap/>
            <w:vAlign w:val="center"/>
          </w:tcPr>
          <w:p w14:paraId="356BE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设备管理人员功能，可管理所有维修记录、验收、接收整体流程，形成闭环</w:t>
            </w:r>
          </w:p>
        </w:tc>
        <w:tc>
          <w:tcPr>
            <w:tcW w:w="278" w:type="pct"/>
            <w:shd w:val="clear" w:color="auto" w:fill="auto"/>
            <w:noWrap/>
            <w:vAlign w:val="center"/>
          </w:tcPr>
          <w:p w14:paraId="66A58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A7FF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91F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9063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vMerge w:val="continue"/>
            <w:shd w:val="clear" w:color="auto" w:fill="auto"/>
            <w:noWrap/>
            <w:vAlign w:val="center"/>
          </w:tcPr>
          <w:p w14:paraId="27DEF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237AE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维修记录</w:t>
            </w:r>
          </w:p>
        </w:tc>
        <w:tc>
          <w:tcPr>
            <w:tcW w:w="3070" w:type="pct"/>
            <w:shd w:val="clear" w:color="auto" w:fill="auto"/>
            <w:noWrap/>
            <w:vAlign w:val="center"/>
          </w:tcPr>
          <w:p w14:paraId="08442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对设备报修进行确认，填写维修工时登记、停机时长和配件更换数量，提交验收</w:t>
            </w:r>
          </w:p>
        </w:tc>
        <w:tc>
          <w:tcPr>
            <w:tcW w:w="278" w:type="pct"/>
            <w:shd w:val="clear" w:color="auto" w:fill="auto"/>
            <w:noWrap/>
            <w:vAlign w:val="center"/>
          </w:tcPr>
          <w:p w14:paraId="4194A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0A6A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82D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034B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vMerge w:val="continue"/>
            <w:shd w:val="clear" w:color="auto" w:fill="auto"/>
            <w:noWrap/>
            <w:vAlign w:val="center"/>
          </w:tcPr>
          <w:p w14:paraId="0A26A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4C48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维修验收</w:t>
            </w:r>
          </w:p>
        </w:tc>
        <w:tc>
          <w:tcPr>
            <w:tcW w:w="3070" w:type="pct"/>
            <w:shd w:val="clear" w:color="auto" w:fill="auto"/>
            <w:noWrap/>
            <w:vAlign w:val="center"/>
          </w:tcPr>
          <w:p w14:paraId="6D1A6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设备维修验收人对对维修记录进行验收同时进行评分操作</w:t>
            </w:r>
          </w:p>
        </w:tc>
        <w:tc>
          <w:tcPr>
            <w:tcW w:w="278" w:type="pct"/>
            <w:shd w:val="clear" w:color="auto" w:fill="auto"/>
            <w:noWrap/>
            <w:vAlign w:val="center"/>
          </w:tcPr>
          <w:p w14:paraId="4130A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F7DE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093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CEBA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vMerge w:val="continue"/>
            <w:shd w:val="clear" w:color="auto" w:fill="auto"/>
            <w:noWrap/>
            <w:vAlign w:val="center"/>
          </w:tcPr>
          <w:p w14:paraId="7BE14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662EE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维修接收</w:t>
            </w:r>
          </w:p>
        </w:tc>
        <w:tc>
          <w:tcPr>
            <w:tcW w:w="3070" w:type="pct"/>
            <w:shd w:val="clear" w:color="auto" w:fill="auto"/>
            <w:noWrap/>
            <w:vAlign w:val="center"/>
          </w:tcPr>
          <w:p w14:paraId="07CF3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维修接收人对维修单的运行效果进行核验</w:t>
            </w:r>
          </w:p>
        </w:tc>
        <w:tc>
          <w:tcPr>
            <w:tcW w:w="278" w:type="pct"/>
            <w:shd w:val="clear" w:color="auto" w:fill="auto"/>
            <w:noWrap/>
            <w:vAlign w:val="center"/>
          </w:tcPr>
          <w:p w14:paraId="28985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B201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62D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1892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vMerge w:val="continue"/>
            <w:shd w:val="clear" w:color="auto" w:fill="auto"/>
            <w:noWrap/>
            <w:vAlign w:val="center"/>
          </w:tcPr>
          <w:p w14:paraId="16FF3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68906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维修成本</w:t>
            </w:r>
          </w:p>
        </w:tc>
        <w:tc>
          <w:tcPr>
            <w:tcW w:w="3070" w:type="pct"/>
            <w:shd w:val="clear" w:color="auto" w:fill="auto"/>
            <w:noWrap/>
            <w:vAlign w:val="center"/>
          </w:tcPr>
          <w:p w14:paraId="4168B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录入维修单的人工成本和配件更换成本</w:t>
            </w:r>
          </w:p>
        </w:tc>
        <w:tc>
          <w:tcPr>
            <w:tcW w:w="278" w:type="pct"/>
            <w:shd w:val="clear" w:color="auto" w:fill="auto"/>
            <w:noWrap/>
            <w:vAlign w:val="center"/>
          </w:tcPr>
          <w:p w14:paraId="79E10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5C10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67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D6E1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vMerge w:val="continue"/>
            <w:shd w:val="clear" w:color="auto" w:fill="auto"/>
            <w:noWrap/>
            <w:vAlign w:val="center"/>
          </w:tcPr>
          <w:p w14:paraId="2BDEC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6FDE4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维修查询</w:t>
            </w:r>
          </w:p>
        </w:tc>
        <w:tc>
          <w:tcPr>
            <w:tcW w:w="3070" w:type="pct"/>
            <w:shd w:val="clear" w:color="auto" w:fill="auto"/>
            <w:noWrap/>
            <w:vAlign w:val="center"/>
          </w:tcPr>
          <w:p w14:paraId="39ABA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查看所有报修维修记录，支持导出记录台账</w:t>
            </w:r>
          </w:p>
        </w:tc>
        <w:tc>
          <w:tcPr>
            <w:tcW w:w="278" w:type="pct"/>
            <w:shd w:val="clear" w:color="auto" w:fill="auto"/>
            <w:noWrap/>
            <w:vAlign w:val="center"/>
          </w:tcPr>
          <w:p w14:paraId="7DA10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D4E7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4BA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137F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08" w:type="pct"/>
            <w:vMerge w:val="restart"/>
            <w:shd w:val="clear" w:color="auto" w:fill="auto"/>
            <w:noWrap/>
            <w:vAlign w:val="center"/>
          </w:tcPr>
          <w:p w14:paraId="3B8E4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大修管理</w:t>
            </w:r>
          </w:p>
        </w:tc>
        <w:tc>
          <w:tcPr>
            <w:tcW w:w="573" w:type="pct"/>
            <w:shd w:val="clear" w:color="auto" w:fill="auto"/>
            <w:noWrap/>
            <w:vAlign w:val="center"/>
          </w:tcPr>
          <w:p w14:paraId="737E6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大修计划</w:t>
            </w:r>
          </w:p>
        </w:tc>
        <w:tc>
          <w:tcPr>
            <w:tcW w:w="3070" w:type="pct"/>
            <w:shd w:val="clear" w:color="auto" w:fill="auto"/>
            <w:noWrap/>
            <w:vAlign w:val="center"/>
          </w:tcPr>
          <w:p w14:paraId="00490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制定年度大修计划包括大修时间计划、成本计划、大修资料等</w:t>
            </w:r>
          </w:p>
        </w:tc>
        <w:tc>
          <w:tcPr>
            <w:tcW w:w="278" w:type="pct"/>
            <w:shd w:val="clear" w:color="auto" w:fill="auto"/>
            <w:noWrap/>
            <w:vAlign w:val="center"/>
          </w:tcPr>
          <w:p w14:paraId="2CFED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EF8E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C31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F319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608" w:type="pct"/>
            <w:vMerge w:val="continue"/>
            <w:shd w:val="clear" w:color="auto" w:fill="auto"/>
            <w:noWrap/>
            <w:vAlign w:val="center"/>
          </w:tcPr>
          <w:p w14:paraId="441A1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01A09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大修记录</w:t>
            </w:r>
          </w:p>
        </w:tc>
        <w:tc>
          <w:tcPr>
            <w:tcW w:w="3070" w:type="pct"/>
            <w:shd w:val="clear" w:color="auto" w:fill="auto"/>
            <w:noWrap/>
            <w:vAlign w:val="center"/>
          </w:tcPr>
          <w:p w14:paraId="6AD43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APP端功能，到期提醒大修负责人录入大修记录，并选择大修验收负责人</w:t>
            </w:r>
          </w:p>
        </w:tc>
        <w:tc>
          <w:tcPr>
            <w:tcW w:w="278" w:type="pct"/>
            <w:shd w:val="clear" w:color="auto" w:fill="auto"/>
            <w:noWrap/>
            <w:vAlign w:val="center"/>
          </w:tcPr>
          <w:p w14:paraId="22339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6538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53B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517C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08" w:type="pct"/>
            <w:vMerge w:val="continue"/>
            <w:shd w:val="clear" w:color="auto" w:fill="auto"/>
            <w:noWrap/>
            <w:vAlign w:val="center"/>
          </w:tcPr>
          <w:p w14:paraId="13B53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5A7E5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大修验收</w:t>
            </w:r>
          </w:p>
        </w:tc>
        <w:tc>
          <w:tcPr>
            <w:tcW w:w="3070" w:type="pct"/>
            <w:shd w:val="clear" w:color="auto" w:fill="auto"/>
            <w:noWrap/>
            <w:vAlign w:val="center"/>
          </w:tcPr>
          <w:p w14:paraId="05C45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APP端功能，大修验收负责人录入验收结果</w:t>
            </w:r>
          </w:p>
        </w:tc>
        <w:tc>
          <w:tcPr>
            <w:tcW w:w="278" w:type="pct"/>
            <w:shd w:val="clear" w:color="auto" w:fill="auto"/>
            <w:noWrap/>
            <w:vAlign w:val="center"/>
          </w:tcPr>
          <w:p w14:paraId="185C0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2356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88F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067C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608" w:type="pct"/>
            <w:vMerge w:val="continue"/>
            <w:shd w:val="clear" w:color="auto" w:fill="auto"/>
            <w:noWrap/>
            <w:vAlign w:val="center"/>
          </w:tcPr>
          <w:p w14:paraId="14173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57E34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大修查询</w:t>
            </w:r>
          </w:p>
        </w:tc>
        <w:tc>
          <w:tcPr>
            <w:tcW w:w="3070" w:type="pct"/>
            <w:shd w:val="clear" w:color="auto" w:fill="auto"/>
            <w:noWrap/>
            <w:vAlign w:val="center"/>
          </w:tcPr>
          <w:p w14:paraId="2AC47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APP端功能，查询大修计划完成情况</w:t>
            </w:r>
          </w:p>
        </w:tc>
        <w:tc>
          <w:tcPr>
            <w:tcW w:w="278" w:type="pct"/>
            <w:shd w:val="clear" w:color="auto" w:fill="auto"/>
            <w:noWrap/>
            <w:vAlign w:val="center"/>
          </w:tcPr>
          <w:p w14:paraId="4B99B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E66B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1FF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2DCC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608" w:type="pct"/>
            <w:vMerge w:val="continue"/>
            <w:shd w:val="clear" w:color="auto" w:fill="auto"/>
            <w:noWrap/>
            <w:vAlign w:val="center"/>
          </w:tcPr>
          <w:p w14:paraId="67DB0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0A98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大修归档</w:t>
            </w:r>
          </w:p>
        </w:tc>
        <w:tc>
          <w:tcPr>
            <w:tcW w:w="3070" w:type="pct"/>
            <w:shd w:val="clear" w:color="auto" w:fill="auto"/>
            <w:noWrap/>
            <w:vAlign w:val="center"/>
          </w:tcPr>
          <w:p w14:paraId="27E82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按年度大修计划计入执行过程、相关资料、费用使用情况及验收情况</w:t>
            </w:r>
          </w:p>
        </w:tc>
        <w:tc>
          <w:tcPr>
            <w:tcW w:w="278" w:type="pct"/>
            <w:shd w:val="clear" w:color="auto" w:fill="auto"/>
            <w:noWrap/>
            <w:vAlign w:val="center"/>
          </w:tcPr>
          <w:p w14:paraId="167ED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33C1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AE1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1B8B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608" w:type="pct"/>
            <w:vMerge w:val="continue"/>
            <w:shd w:val="clear" w:color="auto" w:fill="auto"/>
            <w:noWrap/>
            <w:vAlign w:val="center"/>
          </w:tcPr>
          <w:p w14:paraId="6DB43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759C2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年度大修</w:t>
            </w:r>
          </w:p>
        </w:tc>
        <w:tc>
          <w:tcPr>
            <w:tcW w:w="3070" w:type="pct"/>
            <w:shd w:val="clear" w:color="auto" w:fill="auto"/>
            <w:noWrap/>
            <w:vAlign w:val="center"/>
          </w:tcPr>
          <w:p w14:paraId="06CAF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根据类型查看本年大修计划完成情况并导出</w:t>
            </w:r>
          </w:p>
        </w:tc>
        <w:tc>
          <w:tcPr>
            <w:tcW w:w="278" w:type="pct"/>
            <w:shd w:val="clear" w:color="auto" w:fill="auto"/>
            <w:noWrap/>
            <w:vAlign w:val="center"/>
          </w:tcPr>
          <w:p w14:paraId="298B8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8908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F34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48FC4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七、化验管理</w:t>
            </w:r>
          </w:p>
        </w:tc>
        <w:tc>
          <w:tcPr>
            <w:tcW w:w="278" w:type="pct"/>
            <w:shd w:val="clear" w:color="auto" w:fill="auto"/>
            <w:noWrap/>
            <w:vAlign w:val="center"/>
          </w:tcPr>
          <w:p w14:paraId="36732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4BEAE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6C4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7ADE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735CA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检测项目</w:t>
            </w:r>
          </w:p>
        </w:tc>
        <w:tc>
          <w:tcPr>
            <w:tcW w:w="3644" w:type="pct"/>
            <w:gridSpan w:val="2"/>
            <w:shd w:val="clear" w:color="auto" w:fill="auto"/>
            <w:noWrap/>
            <w:vAlign w:val="center"/>
          </w:tcPr>
          <w:p w14:paraId="43375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创建检测项类型，新增检测指标项，配置指标的检测方法。</w:t>
            </w:r>
          </w:p>
        </w:tc>
        <w:tc>
          <w:tcPr>
            <w:tcW w:w="278" w:type="pct"/>
            <w:shd w:val="clear" w:color="auto" w:fill="auto"/>
            <w:noWrap/>
            <w:vAlign w:val="center"/>
          </w:tcPr>
          <w:p w14:paraId="7076A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6E5A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922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A009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vMerge w:val="restart"/>
            <w:shd w:val="clear" w:color="auto" w:fill="auto"/>
            <w:noWrap/>
            <w:vAlign w:val="center"/>
          </w:tcPr>
          <w:p w14:paraId="208AD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采样管理</w:t>
            </w:r>
          </w:p>
        </w:tc>
        <w:tc>
          <w:tcPr>
            <w:tcW w:w="573" w:type="pct"/>
            <w:shd w:val="clear" w:color="auto" w:fill="auto"/>
            <w:noWrap/>
            <w:vAlign w:val="center"/>
          </w:tcPr>
          <w:p w14:paraId="05E16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采样管理</w:t>
            </w:r>
          </w:p>
        </w:tc>
        <w:tc>
          <w:tcPr>
            <w:tcW w:w="3070" w:type="pct"/>
            <w:shd w:val="clear" w:color="auto" w:fill="auto"/>
            <w:noWrap/>
            <w:vAlign w:val="center"/>
          </w:tcPr>
          <w:p w14:paraId="28176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创建采样位置，设置采样量和采样人群。</w:t>
            </w:r>
          </w:p>
        </w:tc>
        <w:tc>
          <w:tcPr>
            <w:tcW w:w="278" w:type="pct"/>
            <w:shd w:val="clear" w:color="auto" w:fill="auto"/>
            <w:noWrap/>
            <w:vAlign w:val="center"/>
          </w:tcPr>
          <w:p w14:paraId="30D89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C61C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191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CA51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vMerge w:val="continue"/>
            <w:shd w:val="clear" w:color="auto" w:fill="auto"/>
            <w:noWrap/>
            <w:vAlign w:val="center"/>
          </w:tcPr>
          <w:p w14:paraId="04095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1DEB0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采样记录</w:t>
            </w:r>
          </w:p>
        </w:tc>
        <w:tc>
          <w:tcPr>
            <w:tcW w:w="3070" w:type="pct"/>
            <w:shd w:val="clear" w:color="auto" w:fill="auto"/>
            <w:noWrap/>
            <w:vAlign w:val="center"/>
          </w:tcPr>
          <w:p w14:paraId="13B93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采样记录有取样、送样、接样记录才能在检测记录中录入指标数据。</w:t>
            </w:r>
          </w:p>
        </w:tc>
        <w:tc>
          <w:tcPr>
            <w:tcW w:w="278" w:type="pct"/>
            <w:shd w:val="clear" w:color="auto" w:fill="auto"/>
            <w:noWrap/>
            <w:vAlign w:val="center"/>
          </w:tcPr>
          <w:p w14:paraId="5691B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A46B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4A1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33344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vMerge w:val="continue"/>
            <w:shd w:val="clear" w:color="auto" w:fill="auto"/>
            <w:noWrap/>
            <w:vAlign w:val="center"/>
          </w:tcPr>
          <w:p w14:paraId="02116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32D12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取样记录</w:t>
            </w:r>
          </w:p>
        </w:tc>
        <w:tc>
          <w:tcPr>
            <w:tcW w:w="3070" w:type="pct"/>
            <w:shd w:val="clear" w:color="auto" w:fill="auto"/>
            <w:noWrap/>
            <w:vAlign w:val="center"/>
          </w:tcPr>
          <w:p w14:paraId="07DE5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生产运行人员现场取样，记录取样人，取样时间。</w:t>
            </w:r>
          </w:p>
        </w:tc>
        <w:tc>
          <w:tcPr>
            <w:tcW w:w="278" w:type="pct"/>
            <w:shd w:val="clear" w:color="auto" w:fill="auto"/>
            <w:noWrap/>
            <w:vAlign w:val="center"/>
          </w:tcPr>
          <w:p w14:paraId="5961C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6FE6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344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08BB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vMerge w:val="continue"/>
            <w:shd w:val="clear" w:color="auto" w:fill="auto"/>
            <w:noWrap/>
            <w:vAlign w:val="center"/>
          </w:tcPr>
          <w:p w14:paraId="7BC54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08207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送样记录</w:t>
            </w:r>
          </w:p>
        </w:tc>
        <w:tc>
          <w:tcPr>
            <w:tcW w:w="3070" w:type="pct"/>
            <w:shd w:val="clear" w:color="auto" w:fill="auto"/>
            <w:noWrap/>
            <w:vAlign w:val="center"/>
          </w:tcPr>
          <w:p w14:paraId="3EC41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运行人员取样后，送样到化验室，记录送样人和送样时间。</w:t>
            </w:r>
          </w:p>
        </w:tc>
        <w:tc>
          <w:tcPr>
            <w:tcW w:w="278" w:type="pct"/>
            <w:shd w:val="clear" w:color="auto" w:fill="auto"/>
            <w:noWrap/>
            <w:vAlign w:val="center"/>
          </w:tcPr>
          <w:p w14:paraId="3B29D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1978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0BEC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BC15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vMerge w:val="continue"/>
            <w:shd w:val="clear" w:color="auto" w:fill="auto"/>
            <w:noWrap/>
            <w:vAlign w:val="center"/>
          </w:tcPr>
          <w:p w14:paraId="527F8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1E60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接样记录</w:t>
            </w:r>
          </w:p>
        </w:tc>
        <w:tc>
          <w:tcPr>
            <w:tcW w:w="3070" w:type="pct"/>
            <w:shd w:val="clear" w:color="auto" w:fill="auto"/>
            <w:noWrap/>
            <w:vAlign w:val="center"/>
          </w:tcPr>
          <w:p w14:paraId="5871F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化验员接收样本，记录接样人，接样记录。</w:t>
            </w:r>
          </w:p>
        </w:tc>
        <w:tc>
          <w:tcPr>
            <w:tcW w:w="278" w:type="pct"/>
            <w:shd w:val="clear" w:color="auto" w:fill="auto"/>
            <w:noWrap/>
            <w:vAlign w:val="center"/>
          </w:tcPr>
          <w:p w14:paraId="55532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9F8B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2CD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5EEA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vMerge w:val="restart"/>
            <w:shd w:val="clear" w:color="auto" w:fill="auto"/>
            <w:noWrap/>
            <w:vAlign w:val="center"/>
          </w:tcPr>
          <w:p w14:paraId="188CF8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化验记录</w:t>
            </w:r>
          </w:p>
        </w:tc>
        <w:tc>
          <w:tcPr>
            <w:tcW w:w="573" w:type="pct"/>
            <w:shd w:val="clear" w:color="auto" w:fill="auto"/>
            <w:noWrap/>
            <w:vAlign w:val="center"/>
          </w:tcPr>
          <w:p w14:paraId="0235D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常规计划</w:t>
            </w:r>
          </w:p>
        </w:tc>
        <w:tc>
          <w:tcPr>
            <w:tcW w:w="3070" w:type="pct"/>
            <w:shd w:val="clear" w:color="auto" w:fill="auto"/>
            <w:noWrap/>
            <w:vAlign w:val="center"/>
          </w:tcPr>
          <w:p w14:paraId="50C6B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运行管理人员制定日常规采样计划，关联表单数据项，配置检测项目和采样位置，设置指标预警值。</w:t>
            </w:r>
          </w:p>
        </w:tc>
        <w:tc>
          <w:tcPr>
            <w:tcW w:w="278" w:type="pct"/>
            <w:shd w:val="clear" w:color="auto" w:fill="auto"/>
            <w:noWrap/>
            <w:vAlign w:val="center"/>
          </w:tcPr>
          <w:p w14:paraId="76FCE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DB93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008F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2D87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08" w:type="pct"/>
            <w:vMerge w:val="continue"/>
            <w:shd w:val="clear" w:color="auto" w:fill="auto"/>
            <w:noWrap/>
            <w:vAlign w:val="center"/>
          </w:tcPr>
          <w:p w14:paraId="7C860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176BA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临时计划</w:t>
            </w:r>
          </w:p>
        </w:tc>
        <w:tc>
          <w:tcPr>
            <w:tcW w:w="3070" w:type="pct"/>
            <w:shd w:val="clear" w:color="auto" w:fill="auto"/>
            <w:noWrap/>
            <w:vAlign w:val="center"/>
          </w:tcPr>
          <w:p w14:paraId="18C15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运行人员收到调度发布的临时指标采样任务，创建临时计划方可进行取样操作。</w:t>
            </w:r>
          </w:p>
        </w:tc>
        <w:tc>
          <w:tcPr>
            <w:tcW w:w="278" w:type="pct"/>
            <w:shd w:val="clear" w:color="auto" w:fill="auto"/>
            <w:noWrap/>
            <w:vAlign w:val="center"/>
          </w:tcPr>
          <w:p w14:paraId="1BA04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12D8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860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1189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608" w:type="pct"/>
            <w:vMerge w:val="continue"/>
            <w:shd w:val="clear" w:color="auto" w:fill="auto"/>
            <w:noWrap/>
            <w:vAlign w:val="center"/>
          </w:tcPr>
          <w:p w14:paraId="3A962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7E935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检测记录</w:t>
            </w:r>
          </w:p>
        </w:tc>
        <w:tc>
          <w:tcPr>
            <w:tcW w:w="3070" w:type="pct"/>
            <w:shd w:val="clear" w:color="auto" w:fill="auto"/>
            <w:noWrap/>
            <w:vAlign w:val="center"/>
          </w:tcPr>
          <w:p w14:paraId="4ECB8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检测记录是化验员检测指标后记录检测结果，提交后未审核可以撤回。</w:t>
            </w:r>
          </w:p>
        </w:tc>
        <w:tc>
          <w:tcPr>
            <w:tcW w:w="278" w:type="pct"/>
            <w:shd w:val="clear" w:color="auto" w:fill="auto"/>
            <w:noWrap/>
            <w:vAlign w:val="center"/>
          </w:tcPr>
          <w:p w14:paraId="02BFC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6EAF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88D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1396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08" w:type="pct"/>
            <w:vMerge w:val="continue"/>
            <w:shd w:val="clear" w:color="auto" w:fill="auto"/>
            <w:noWrap/>
            <w:vAlign w:val="center"/>
          </w:tcPr>
          <w:p w14:paraId="7FAF3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0EA55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复检记录</w:t>
            </w:r>
          </w:p>
        </w:tc>
        <w:tc>
          <w:tcPr>
            <w:tcW w:w="3070" w:type="pct"/>
            <w:shd w:val="clear" w:color="auto" w:fill="auto"/>
            <w:noWrap/>
            <w:vAlign w:val="center"/>
          </w:tcPr>
          <w:p w14:paraId="6099D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化验员在复检记录中记录重新检测的指标结果，提交后进入到数据审核，可反复复检。</w:t>
            </w:r>
          </w:p>
        </w:tc>
        <w:tc>
          <w:tcPr>
            <w:tcW w:w="278" w:type="pct"/>
            <w:shd w:val="clear" w:color="auto" w:fill="auto"/>
            <w:noWrap/>
            <w:vAlign w:val="center"/>
          </w:tcPr>
          <w:p w14:paraId="4204F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8F93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EA5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EEC5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608" w:type="pct"/>
            <w:vMerge w:val="continue"/>
            <w:shd w:val="clear" w:color="auto" w:fill="auto"/>
            <w:noWrap/>
            <w:vAlign w:val="center"/>
          </w:tcPr>
          <w:p w14:paraId="38783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A7E9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数据审核</w:t>
            </w:r>
          </w:p>
        </w:tc>
        <w:tc>
          <w:tcPr>
            <w:tcW w:w="3070" w:type="pct"/>
            <w:shd w:val="clear" w:color="auto" w:fill="auto"/>
            <w:noWrap/>
            <w:vAlign w:val="center"/>
          </w:tcPr>
          <w:p w14:paraId="477D0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生产运营管理人员处理数据审核，超出指标阈值则橙色预警指示数据异常，记录复检原因，则对应指标项需重新检测。</w:t>
            </w:r>
          </w:p>
        </w:tc>
        <w:tc>
          <w:tcPr>
            <w:tcW w:w="278" w:type="pct"/>
            <w:shd w:val="clear" w:color="auto" w:fill="auto"/>
            <w:noWrap/>
            <w:vAlign w:val="center"/>
          </w:tcPr>
          <w:p w14:paraId="019AA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EE76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337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3300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608" w:type="pct"/>
            <w:vMerge w:val="continue"/>
            <w:shd w:val="clear" w:color="auto" w:fill="auto"/>
            <w:noWrap/>
            <w:vAlign w:val="center"/>
          </w:tcPr>
          <w:p w14:paraId="6184C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66D41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数据修订</w:t>
            </w:r>
          </w:p>
        </w:tc>
        <w:tc>
          <w:tcPr>
            <w:tcW w:w="3070" w:type="pct"/>
            <w:shd w:val="clear" w:color="auto" w:fill="auto"/>
            <w:noWrap/>
            <w:vAlign w:val="center"/>
          </w:tcPr>
          <w:p w14:paraId="06658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化验数据审核通过后，对错误数据进行修订操作，一般为管理员权限。</w:t>
            </w:r>
          </w:p>
        </w:tc>
        <w:tc>
          <w:tcPr>
            <w:tcW w:w="278" w:type="pct"/>
            <w:shd w:val="clear" w:color="auto" w:fill="auto"/>
            <w:noWrap/>
            <w:vAlign w:val="center"/>
          </w:tcPr>
          <w:p w14:paraId="36892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EC69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788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D244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608" w:type="pct"/>
            <w:vMerge w:val="continue"/>
            <w:shd w:val="clear" w:color="auto" w:fill="auto"/>
            <w:noWrap/>
            <w:vAlign w:val="center"/>
          </w:tcPr>
          <w:p w14:paraId="7BC50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2D107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修订审核</w:t>
            </w:r>
          </w:p>
        </w:tc>
        <w:tc>
          <w:tcPr>
            <w:tcW w:w="3070" w:type="pct"/>
            <w:shd w:val="clear" w:color="auto" w:fill="auto"/>
            <w:noWrap/>
            <w:vAlign w:val="center"/>
          </w:tcPr>
          <w:p w14:paraId="1DF16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修订后的数据需要审核通过才进入到数据查询中</w:t>
            </w:r>
          </w:p>
        </w:tc>
        <w:tc>
          <w:tcPr>
            <w:tcW w:w="278" w:type="pct"/>
            <w:shd w:val="clear" w:color="auto" w:fill="auto"/>
            <w:noWrap/>
            <w:vAlign w:val="center"/>
          </w:tcPr>
          <w:p w14:paraId="161C1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E17B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66D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B609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608" w:type="pct"/>
            <w:vMerge w:val="continue"/>
            <w:shd w:val="clear" w:color="auto" w:fill="auto"/>
            <w:noWrap/>
            <w:vAlign w:val="center"/>
          </w:tcPr>
          <w:p w14:paraId="76B383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3CF4F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数据查询</w:t>
            </w:r>
          </w:p>
        </w:tc>
        <w:tc>
          <w:tcPr>
            <w:tcW w:w="3070" w:type="pct"/>
            <w:shd w:val="clear" w:color="auto" w:fill="auto"/>
            <w:noWrap/>
            <w:vAlign w:val="center"/>
          </w:tcPr>
          <w:p w14:paraId="62DE5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数据审核通过后，指标数据统计到数据查询列表中，按月度查询化验数据，支持台账导出，可选择指标项进行图形分析。</w:t>
            </w:r>
          </w:p>
        </w:tc>
        <w:tc>
          <w:tcPr>
            <w:tcW w:w="278" w:type="pct"/>
            <w:shd w:val="clear" w:color="auto" w:fill="auto"/>
            <w:noWrap/>
            <w:vAlign w:val="center"/>
          </w:tcPr>
          <w:p w14:paraId="369D0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E08A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398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6F17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608" w:type="pct"/>
            <w:shd w:val="clear" w:color="auto" w:fill="auto"/>
            <w:noWrap/>
            <w:vAlign w:val="center"/>
          </w:tcPr>
          <w:p w14:paraId="1BF83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化验分析</w:t>
            </w:r>
          </w:p>
        </w:tc>
        <w:tc>
          <w:tcPr>
            <w:tcW w:w="3644" w:type="pct"/>
            <w:gridSpan w:val="2"/>
            <w:shd w:val="clear" w:color="auto" w:fill="auto"/>
            <w:noWrap/>
            <w:vAlign w:val="center"/>
          </w:tcPr>
          <w:p w14:paraId="12228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以月度为单位展示化验指标数据对比情况</w:t>
            </w:r>
          </w:p>
        </w:tc>
        <w:tc>
          <w:tcPr>
            <w:tcW w:w="278" w:type="pct"/>
            <w:shd w:val="clear" w:color="auto" w:fill="auto"/>
            <w:noWrap/>
            <w:vAlign w:val="center"/>
          </w:tcPr>
          <w:p w14:paraId="228CB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E285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392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20B8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608" w:type="pct"/>
            <w:vMerge w:val="restart"/>
            <w:shd w:val="clear" w:color="auto" w:fill="auto"/>
            <w:noWrap/>
            <w:vAlign w:val="center"/>
          </w:tcPr>
          <w:p w14:paraId="19DA8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检测报告</w:t>
            </w:r>
          </w:p>
        </w:tc>
        <w:tc>
          <w:tcPr>
            <w:tcW w:w="573" w:type="pct"/>
            <w:shd w:val="clear" w:color="auto" w:fill="auto"/>
            <w:noWrap/>
            <w:vAlign w:val="center"/>
          </w:tcPr>
          <w:p w14:paraId="7C654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报告管理</w:t>
            </w:r>
          </w:p>
        </w:tc>
        <w:tc>
          <w:tcPr>
            <w:tcW w:w="3070" w:type="pct"/>
            <w:shd w:val="clear" w:color="auto" w:fill="auto"/>
            <w:noWrap/>
            <w:vAlign w:val="center"/>
          </w:tcPr>
          <w:p w14:paraId="08982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创建报告类型，如水质报告，仪表鉴定报告等，在报告类型中上传检测报告，设置报告查看人员和下载人员。</w:t>
            </w:r>
          </w:p>
        </w:tc>
        <w:tc>
          <w:tcPr>
            <w:tcW w:w="278" w:type="pct"/>
            <w:shd w:val="clear" w:color="auto" w:fill="auto"/>
            <w:noWrap/>
            <w:vAlign w:val="center"/>
          </w:tcPr>
          <w:p w14:paraId="4559D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5F3E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549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0AA7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608" w:type="pct"/>
            <w:vMerge w:val="continue"/>
            <w:shd w:val="clear" w:color="auto" w:fill="auto"/>
            <w:noWrap/>
            <w:vAlign w:val="center"/>
          </w:tcPr>
          <w:p w14:paraId="1DB90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00BF9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报告查询</w:t>
            </w:r>
          </w:p>
        </w:tc>
        <w:tc>
          <w:tcPr>
            <w:tcW w:w="3070" w:type="pct"/>
            <w:shd w:val="clear" w:color="auto" w:fill="auto"/>
            <w:noWrap/>
            <w:vAlign w:val="center"/>
          </w:tcPr>
          <w:p w14:paraId="16BE1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送检报告中设置的查看人员和下载人员在检测报告功能模块才能进行检测报告的查看或下载操作。</w:t>
            </w:r>
          </w:p>
        </w:tc>
        <w:tc>
          <w:tcPr>
            <w:tcW w:w="278" w:type="pct"/>
            <w:shd w:val="clear" w:color="auto" w:fill="auto"/>
            <w:noWrap/>
            <w:vAlign w:val="center"/>
          </w:tcPr>
          <w:p w14:paraId="31FC8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5FD5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427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71616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八、异常处置</w:t>
            </w:r>
          </w:p>
        </w:tc>
        <w:tc>
          <w:tcPr>
            <w:tcW w:w="278" w:type="pct"/>
            <w:shd w:val="clear" w:color="auto" w:fill="auto"/>
            <w:noWrap/>
            <w:vAlign w:val="center"/>
          </w:tcPr>
          <w:p w14:paraId="42300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081D9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A2D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4903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63F46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异常统计</w:t>
            </w:r>
          </w:p>
        </w:tc>
        <w:tc>
          <w:tcPr>
            <w:tcW w:w="3644" w:type="pct"/>
            <w:gridSpan w:val="2"/>
            <w:shd w:val="clear" w:color="auto" w:fill="auto"/>
            <w:noWrap/>
            <w:vAlign w:val="center"/>
          </w:tcPr>
          <w:p w14:paraId="1A5BD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图形化统计展示不同异常类型、异常时段、设备异常、工艺段异常以及异常处置率</w:t>
            </w:r>
          </w:p>
        </w:tc>
        <w:tc>
          <w:tcPr>
            <w:tcW w:w="278" w:type="pct"/>
            <w:shd w:val="clear" w:color="auto" w:fill="auto"/>
            <w:noWrap/>
            <w:vAlign w:val="center"/>
          </w:tcPr>
          <w:p w14:paraId="4DCE4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E8DA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8AC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61C3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shd w:val="clear" w:color="auto" w:fill="auto"/>
            <w:noWrap/>
            <w:vAlign w:val="center"/>
          </w:tcPr>
          <w:p w14:paraId="057E0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异常分类</w:t>
            </w:r>
          </w:p>
        </w:tc>
        <w:tc>
          <w:tcPr>
            <w:tcW w:w="3644" w:type="pct"/>
            <w:gridSpan w:val="2"/>
            <w:shd w:val="clear" w:color="auto" w:fill="auto"/>
            <w:noWrap/>
            <w:vAlign w:val="center"/>
          </w:tcPr>
          <w:p w14:paraId="292BE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根据不同异常分类配置异常确认和异常处置人员，是否可发布维修工单和编码规则</w:t>
            </w:r>
          </w:p>
        </w:tc>
        <w:tc>
          <w:tcPr>
            <w:tcW w:w="278" w:type="pct"/>
            <w:shd w:val="clear" w:color="auto" w:fill="auto"/>
            <w:noWrap/>
            <w:vAlign w:val="center"/>
          </w:tcPr>
          <w:p w14:paraId="5AC20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2102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FA9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9A71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shd w:val="clear" w:color="auto" w:fill="auto"/>
            <w:noWrap/>
            <w:vAlign w:val="center"/>
          </w:tcPr>
          <w:p w14:paraId="247D5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异常管理</w:t>
            </w:r>
          </w:p>
        </w:tc>
        <w:tc>
          <w:tcPr>
            <w:tcW w:w="3644" w:type="pct"/>
            <w:gridSpan w:val="2"/>
            <w:shd w:val="clear" w:color="auto" w:fill="auto"/>
            <w:noWrap/>
            <w:vAlign w:val="center"/>
          </w:tcPr>
          <w:p w14:paraId="32E40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针对整个异常上报，确认，处置流程进行整体闭环管理</w:t>
            </w:r>
          </w:p>
        </w:tc>
        <w:tc>
          <w:tcPr>
            <w:tcW w:w="278" w:type="pct"/>
            <w:shd w:val="clear" w:color="auto" w:fill="auto"/>
            <w:noWrap/>
            <w:vAlign w:val="center"/>
          </w:tcPr>
          <w:p w14:paraId="05665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D683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2331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8AEC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shd w:val="clear" w:color="auto" w:fill="auto"/>
            <w:noWrap/>
            <w:vAlign w:val="center"/>
          </w:tcPr>
          <w:p w14:paraId="07069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异常上报</w:t>
            </w:r>
          </w:p>
        </w:tc>
        <w:tc>
          <w:tcPr>
            <w:tcW w:w="3644" w:type="pct"/>
            <w:gridSpan w:val="2"/>
            <w:shd w:val="clear" w:color="auto" w:fill="auto"/>
            <w:noWrap/>
            <w:vAlign w:val="center"/>
          </w:tcPr>
          <w:p w14:paraId="0A6C0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上报厂站发现的工艺、设备、卫生、安全、设施等异常问题</w:t>
            </w:r>
          </w:p>
        </w:tc>
        <w:tc>
          <w:tcPr>
            <w:tcW w:w="278" w:type="pct"/>
            <w:shd w:val="clear" w:color="auto" w:fill="auto"/>
            <w:noWrap/>
            <w:vAlign w:val="center"/>
          </w:tcPr>
          <w:p w14:paraId="307C5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0B29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B91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EB96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shd w:val="clear" w:color="auto" w:fill="auto"/>
            <w:noWrap/>
            <w:vAlign w:val="center"/>
          </w:tcPr>
          <w:p w14:paraId="4AD66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异常确认</w:t>
            </w:r>
          </w:p>
        </w:tc>
        <w:tc>
          <w:tcPr>
            <w:tcW w:w="3644" w:type="pct"/>
            <w:gridSpan w:val="2"/>
            <w:shd w:val="clear" w:color="auto" w:fill="auto"/>
            <w:noWrap/>
            <w:vAlign w:val="center"/>
          </w:tcPr>
          <w:p w14:paraId="41BAD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由异常确认人确认上报的异常问题，并指派给对应的处置人员</w:t>
            </w:r>
          </w:p>
        </w:tc>
        <w:tc>
          <w:tcPr>
            <w:tcW w:w="278" w:type="pct"/>
            <w:shd w:val="clear" w:color="auto" w:fill="auto"/>
            <w:noWrap/>
            <w:vAlign w:val="center"/>
          </w:tcPr>
          <w:p w14:paraId="48146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5247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3A6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2855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shd w:val="clear" w:color="auto" w:fill="auto"/>
            <w:noWrap/>
            <w:vAlign w:val="center"/>
          </w:tcPr>
          <w:p w14:paraId="5C5BB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异常处置</w:t>
            </w:r>
          </w:p>
        </w:tc>
        <w:tc>
          <w:tcPr>
            <w:tcW w:w="3644" w:type="pct"/>
            <w:gridSpan w:val="2"/>
            <w:shd w:val="clear" w:color="auto" w:fill="auto"/>
            <w:noWrap/>
            <w:vAlign w:val="center"/>
          </w:tcPr>
          <w:p w14:paraId="27ED1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记录并处置异常问题，针对设备异常判断是否需要进行维修派工</w:t>
            </w:r>
          </w:p>
        </w:tc>
        <w:tc>
          <w:tcPr>
            <w:tcW w:w="278" w:type="pct"/>
            <w:shd w:val="clear" w:color="auto" w:fill="auto"/>
            <w:noWrap/>
            <w:vAlign w:val="center"/>
          </w:tcPr>
          <w:p w14:paraId="428B8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EF88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37F2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3DAF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shd w:val="clear" w:color="auto" w:fill="auto"/>
            <w:noWrap/>
            <w:vAlign w:val="center"/>
          </w:tcPr>
          <w:p w14:paraId="60F00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异常日志</w:t>
            </w:r>
          </w:p>
        </w:tc>
        <w:tc>
          <w:tcPr>
            <w:tcW w:w="3644" w:type="pct"/>
            <w:gridSpan w:val="2"/>
            <w:shd w:val="clear" w:color="auto" w:fill="auto"/>
            <w:noWrap/>
            <w:vAlign w:val="center"/>
          </w:tcPr>
          <w:p w14:paraId="4C3AA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根据每日的异常问题形成告警日历，可查看不同日期问题处置情况并导出记录</w:t>
            </w:r>
          </w:p>
        </w:tc>
        <w:tc>
          <w:tcPr>
            <w:tcW w:w="278" w:type="pct"/>
            <w:shd w:val="clear" w:color="auto" w:fill="auto"/>
            <w:noWrap/>
            <w:vAlign w:val="center"/>
          </w:tcPr>
          <w:p w14:paraId="058E5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BCD2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047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22439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九、绩效考核系统</w:t>
            </w:r>
          </w:p>
        </w:tc>
        <w:tc>
          <w:tcPr>
            <w:tcW w:w="278" w:type="pct"/>
            <w:shd w:val="clear" w:color="auto" w:fill="auto"/>
            <w:noWrap/>
            <w:vAlign w:val="center"/>
          </w:tcPr>
          <w:p w14:paraId="4F5AA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45E48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8CC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EC75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3537E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绩效统计</w:t>
            </w:r>
          </w:p>
        </w:tc>
        <w:tc>
          <w:tcPr>
            <w:tcW w:w="3644" w:type="pct"/>
            <w:gridSpan w:val="2"/>
            <w:shd w:val="clear" w:color="auto" w:fill="auto"/>
            <w:noWrap/>
            <w:vAlign w:val="center"/>
          </w:tcPr>
          <w:p w14:paraId="10A90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图形化展示不同月份的单个考核对象不同考核方案和对应项目的得分</w:t>
            </w:r>
          </w:p>
        </w:tc>
        <w:tc>
          <w:tcPr>
            <w:tcW w:w="278" w:type="pct"/>
            <w:shd w:val="clear" w:color="auto" w:fill="auto"/>
            <w:noWrap/>
            <w:vAlign w:val="center"/>
          </w:tcPr>
          <w:p w14:paraId="07571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95E7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355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ECA9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shd w:val="clear" w:color="auto" w:fill="auto"/>
            <w:noWrap/>
            <w:vAlign w:val="center"/>
          </w:tcPr>
          <w:p w14:paraId="0688A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考核安排</w:t>
            </w:r>
          </w:p>
        </w:tc>
        <w:tc>
          <w:tcPr>
            <w:tcW w:w="3644" w:type="pct"/>
            <w:gridSpan w:val="2"/>
            <w:shd w:val="clear" w:color="auto" w:fill="auto"/>
            <w:noWrap/>
            <w:vAlign w:val="center"/>
          </w:tcPr>
          <w:p w14:paraId="7DDCA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设置考核起止日期，发布考核安排</w:t>
            </w:r>
          </w:p>
        </w:tc>
        <w:tc>
          <w:tcPr>
            <w:tcW w:w="278" w:type="pct"/>
            <w:shd w:val="clear" w:color="auto" w:fill="auto"/>
            <w:noWrap/>
            <w:vAlign w:val="center"/>
          </w:tcPr>
          <w:p w14:paraId="4FCA9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800A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752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2F9D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shd w:val="clear" w:color="auto" w:fill="auto"/>
            <w:noWrap/>
            <w:vAlign w:val="center"/>
          </w:tcPr>
          <w:p w14:paraId="5749E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绩效排名</w:t>
            </w:r>
          </w:p>
        </w:tc>
        <w:tc>
          <w:tcPr>
            <w:tcW w:w="3644" w:type="pct"/>
            <w:gridSpan w:val="2"/>
            <w:shd w:val="clear" w:color="auto" w:fill="auto"/>
            <w:noWrap/>
            <w:vAlign w:val="center"/>
          </w:tcPr>
          <w:p w14:paraId="00397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所有考核对象绩效得分排名及各考核项目得分排名</w:t>
            </w:r>
          </w:p>
        </w:tc>
        <w:tc>
          <w:tcPr>
            <w:tcW w:w="278" w:type="pct"/>
            <w:shd w:val="clear" w:color="auto" w:fill="auto"/>
            <w:noWrap/>
            <w:vAlign w:val="center"/>
          </w:tcPr>
          <w:p w14:paraId="3E14F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D18B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0EA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3AE0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shd w:val="clear" w:color="auto" w:fill="auto"/>
            <w:noWrap/>
            <w:vAlign w:val="center"/>
          </w:tcPr>
          <w:p w14:paraId="361CC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组织自评</w:t>
            </w:r>
          </w:p>
        </w:tc>
        <w:tc>
          <w:tcPr>
            <w:tcW w:w="3644" w:type="pct"/>
            <w:gridSpan w:val="2"/>
            <w:shd w:val="clear" w:color="auto" w:fill="auto"/>
            <w:noWrap/>
            <w:vAlign w:val="center"/>
          </w:tcPr>
          <w:p w14:paraId="7A491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考核对象按照考核方案完成自评打分</w:t>
            </w:r>
          </w:p>
        </w:tc>
        <w:tc>
          <w:tcPr>
            <w:tcW w:w="278" w:type="pct"/>
            <w:shd w:val="clear" w:color="auto" w:fill="auto"/>
            <w:noWrap/>
            <w:vAlign w:val="center"/>
          </w:tcPr>
          <w:p w14:paraId="6B136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947F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3F0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43187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shd w:val="clear" w:color="auto" w:fill="auto"/>
            <w:noWrap/>
            <w:vAlign w:val="center"/>
          </w:tcPr>
          <w:p w14:paraId="01F9C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绩效查询</w:t>
            </w:r>
          </w:p>
        </w:tc>
        <w:tc>
          <w:tcPr>
            <w:tcW w:w="3644" w:type="pct"/>
            <w:gridSpan w:val="2"/>
            <w:shd w:val="clear" w:color="auto" w:fill="auto"/>
            <w:noWrap/>
            <w:vAlign w:val="center"/>
          </w:tcPr>
          <w:p w14:paraId="629F2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查询所有考核对象绩效得分最值、均值和得分表的详情情况</w:t>
            </w:r>
          </w:p>
        </w:tc>
        <w:tc>
          <w:tcPr>
            <w:tcW w:w="278" w:type="pct"/>
            <w:shd w:val="clear" w:color="auto" w:fill="auto"/>
            <w:noWrap/>
            <w:vAlign w:val="center"/>
          </w:tcPr>
          <w:p w14:paraId="0A0FF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4452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E79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6023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shd w:val="clear" w:color="auto" w:fill="auto"/>
            <w:noWrap/>
            <w:vAlign w:val="center"/>
          </w:tcPr>
          <w:p w14:paraId="03A80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考核统计</w:t>
            </w:r>
          </w:p>
        </w:tc>
        <w:tc>
          <w:tcPr>
            <w:tcW w:w="3644" w:type="pct"/>
            <w:gridSpan w:val="2"/>
            <w:shd w:val="clear" w:color="auto" w:fill="auto"/>
            <w:noWrap/>
            <w:vAlign w:val="center"/>
          </w:tcPr>
          <w:p w14:paraId="674E8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图形化展示所有考核方案对应的考核对象的绩效得分详细情况</w:t>
            </w:r>
          </w:p>
        </w:tc>
        <w:tc>
          <w:tcPr>
            <w:tcW w:w="278" w:type="pct"/>
            <w:shd w:val="clear" w:color="auto" w:fill="auto"/>
            <w:noWrap/>
            <w:vAlign w:val="center"/>
          </w:tcPr>
          <w:p w14:paraId="7A685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13BB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CA3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F463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shd w:val="clear" w:color="auto" w:fill="auto"/>
            <w:noWrap/>
            <w:vAlign w:val="center"/>
          </w:tcPr>
          <w:p w14:paraId="43C11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分项统计</w:t>
            </w:r>
          </w:p>
        </w:tc>
        <w:tc>
          <w:tcPr>
            <w:tcW w:w="3644" w:type="pct"/>
            <w:gridSpan w:val="2"/>
            <w:shd w:val="clear" w:color="auto" w:fill="auto"/>
            <w:noWrap/>
            <w:vAlign w:val="center"/>
          </w:tcPr>
          <w:p w14:paraId="006D0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图形化展示所有考核对象不同考核项目的得分</w:t>
            </w:r>
          </w:p>
        </w:tc>
        <w:tc>
          <w:tcPr>
            <w:tcW w:w="278" w:type="pct"/>
            <w:shd w:val="clear" w:color="auto" w:fill="auto"/>
            <w:noWrap/>
            <w:vAlign w:val="center"/>
          </w:tcPr>
          <w:p w14:paraId="33A62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0106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224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264A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08" w:type="pct"/>
            <w:vMerge w:val="restart"/>
            <w:shd w:val="clear" w:color="auto" w:fill="auto"/>
            <w:noWrap/>
            <w:vAlign w:val="center"/>
          </w:tcPr>
          <w:p w14:paraId="1B5C1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配置管理</w:t>
            </w:r>
          </w:p>
        </w:tc>
        <w:tc>
          <w:tcPr>
            <w:tcW w:w="573" w:type="pct"/>
            <w:shd w:val="clear" w:color="auto" w:fill="auto"/>
            <w:noWrap/>
            <w:vAlign w:val="center"/>
          </w:tcPr>
          <w:p w14:paraId="48223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考核方案</w:t>
            </w:r>
          </w:p>
        </w:tc>
        <w:tc>
          <w:tcPr>
            <w:tcW w:w="3070" w:type="pct"/>
            <w:shd w:val="clear" w:color="auto" w:fill="auto"/>
            <w:noWrap/>
            <w:vAlign w:val="center"/>
          </w:tcPr>
          <w:p w14:paraId="52BA3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配置考核方案，包括考核对象、周期、项目、内容、标准等</w:t>
            </w:r>
          </w:p>
        </w:tc>
        <w:tc>
          <w:tcPr>
            <w:tcW w:w="278" w:type="pct"/>
            <w:shd w:val="clear" w:color="auto" w:fill="auto"/>
            <w:noWrap/>
            <w:vAlign w:val="center"/>
          </w:tcPr>
          <w:p w14:paraId="6B03F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07218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DC4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2D3C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608" w:type="pct"/>
            <w:vMerge w:val="continue"/>
            <w:shd w:val="clear" w:color="auto" w:fill="auto"/>
            <w:noWrap/>
            <w:vAlign w:val="center"/>
          </w:tcPr>
          <w:p w14:paraId="4FADE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20151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指标设置</w:t>
            </w:r>
          </w:p>
        </w:tc>
        <w:tc>
          <w:tcPr>
            <w:tcW w:w="3070" w:type="pct"/>
            <w:shd w:val="clear" w:color="auto" w:fill="auto"/>
            <w:noWrap/>
            <w:vAlign w:val="center"/>
          </w:tcPr>
          <w:p w14:paraId="7F84C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对量化指标和报表数据进行关联配置，从而根据报表数据自动计算得分</w:t>
            </w:r>
          </w:p>
        </w:tc>
        <w:tc>
          <w:tcPr>
            <w:tcW w:w="278" w:type="pct"/>
            <w:shd w:val="clear" w:color="auto" w:fill="auto"/>
            <w:noWrap/>
            <w:vAlign w:val="center"/>
          </w:tcPr>
          <w:p w14:paraId="316F0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331B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598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0A34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08" w:type="pct"/>
            <w:vMerge w:val="continue"/>
            <w:shd w:val="clear" w:color="auto" w:fill="auto"/>
            <w:noWrap/>
            <w:vAlign w:val="center"/>
          </w:tcPr>
          <w:p w14:paraId="2A490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1E306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考核结果</w:t>
            </w:r>
          </w:p>
        </w:tc>
        <w:tc>
          <w:tcPr>
            <w:tcW w:w="3070" w:type="pct"/>
            <w:shd w:val="clear" w:color="auto" w:fill="auto"/>
            <w:noWrap/>
            <w:vAlign w:val="center"/>
          </w:tcPr>
          <w:p w14:paraId="493D2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管理人员权限，可查询、修改系统评分</w:t>
            </w:r>
          </w:p>
        </w:tc>
        <w:tc>
          <w:tcPr>
            <w:tcW w:w="278" w:type="pct"/>
            <w:shd w:val="clear" w:color="auto" w:fill="auto"/>
            <w:noWrap/>
            <w:vAlign w:val="center"/>
          </w:tcPr>
          <w:p w14:paraId="39636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2D74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2E8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3" w:type="pct"/>
            <w:gridSpan w:val="4"/>
            <w:shd w:val="clear" w:color="auto" w:fill="auto"/>
            <w:noWrap/>
            <w:vAlign w:val="center"/>
          </w:tcPr>
          <w:p w14:paraId="420FB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十、报表管理系统</w:t>
            </w:r>
          </w:p>
        </w:tc>
        <w:tc>
          <w:tcPr>
            <w:tcW w:w="278" w:type="pct"/>
            <w:shd w:val="clear" w:color="auto" w:fill="auto"/>
            <w:noWrap/>
            <w:vAlign w:val="center"/>
          </w:tcPr>
          <w:p w14:paraId="78C32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247" w:type="pct"/>
            <w:shd w:val="clear" w:color="auto" w:fill="auto"/>
            <w:noWrap/>
            <w:vAlign w:val="center"/>
          </w:tcPr>
          <w:p w14:paraId="7794E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774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1BDD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608" w:type="pct"/>
            <w:shd w:val="clear" w:color="auto" w:fill="auto"/>
            <w:noWrap/>
            <w:vAlign w:val="center"/>
          </w:tcPr>
          <w:p w14:paraId="28845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图形分析</w:t>
            </w:r>
          </w:p>
        </w:tc>
        <w:tc>
          <w:tcPr>
            <w:tcW w:w="3644" w:type="pct"/>
            <w:gridSpan w:val="2"/>
            <w:shd w:val="clear" w:color="auto" w:fill="auto"/>
            <w:noWrap/>
            <w:vAlign w:val="center"/>
          </w:tcPr>
          <w:p w14:paraId="6911C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查看自定义图形中设置的方案图形化展示页面</w:t>
            </w:r>
          </w:p>
        </w:tc>
        <w:tc>
          <w:tcPr>
            <w:tcW w:w="278" w:type="pct"/>
            <w:shd w:val="clear" w:color="auto" w:fill="auto"/>
            <w:noWrap/>
            <w:vAlign w:val="center"/>
          </w:tcPr>
          <w:p w14:paraId="4FE34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6D3D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42F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2400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608" w:type="pct"/>
            <w:shd w:val="clear" w:color="auto" w:fill="auto"/>
            <w:noWrap/>
            <w:vAlign w:val="center"/>
          </w:tcPr>
          <w:p w14:paraId="23ACE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数据填报</w:t>
            </w:r>
          </w:p>
        </w:tc>
        <w:tc>
          <w:tcPr>
            <w:tcW w:w="3644" w:type="pct"/>
            <w:gridSpan w:val="2"/>
            <w:shd w:val="clear" w:color="auto" w:fill="auto"/>
            <w:noWrap/>
            <w:vAlign w:val="center"/>
          </w:tcPr>
          <w:p w14:paraId="25EBD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数据日常填报界面，仅限填报角色对应的岗位人员在填报周期内可填报或手动计 算未归档的数据项</w:t>
            </w:r>
          </w:p>
        </w:tc>
        <w:tc>
          <w:tcPr>
            <w:tcW w:w="278" w:type="pct"/>
            <w:shd w:val="clear" w:color="auto" w:fill="auto"/>
            <w:noWrap/>
            <w:vAlign w:val="center"/>
          </w:tcPr>
          <w:p w14:paraId="279F7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ED3F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9C2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9E6F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608" w:type="pct"/>
            <w:shd w:val="clear" w:color="auto" w:fill="auto"/>
            <w:noWrap/>
            <w:vAlign w:val="center"/>
          </w:tcPr>
          <w:p w14:paraId="4036D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数据补录</w:t>
            </w:r>
          </w:p>
        </w:tc>
        <w:tc>
          <w:tcPr>
            <w:tcW w:w="3644" w:type="pct"/>
            <w:gridSpan w:val="2"/>
            <w:shd w:val="clear" w:color="auto" w:fill="auto"/>
            <w:noWrap/>
            <w:vAlign w:val="center"/>
          </w:tcPr>
          <w:p w14:paraId="2C18B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历史数据补录，仅限填报角色对应的岗位人员可补录或手动计算，可先导出表单 在自己电脑上填写完成后再导入</w:t>
            </w:r>
          </w:p>
        </w:tc>
        <w:tc>
          <w:tcPr>
            <w:tcW w:w="278" w:type="pct"/>
            <w:shd w:val="clear" w:color="auto" w:fill="auto"/>
            <w:noWrap/>
            <w:vAlign w:val="center"/>
          </w:tcPr>
          <w:p w14:paraId="22A25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B4D2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5E67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2C87A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608" w:type="pct"/>
            <w:shd w:val="clear" w:color="auto" w:fill="auto"/>
            <w:noWrap/>
            <w:vAlign w:val="center"/>
          </w:tcPr>
          <w:p w14:paraId="5BB46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数据查询</w:t>
            </w:r>
          </w:p>
        </w:tc>
        <w:tc>
          <w:tcPr>
            <w:tcW w:w="3644" w:type="pct"/>
            <w:gridSpan w:val="2"/>
            <w:shd w:val="clear" w:color="auto" w:fill="auto"/>
            <w:noWrap/>
            <w:vAlign w:val="center"/>
          </w:tcPr>
          <w:p w14:paraId="07D92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数据查询及导出，仅限查询角色对应的岗位人员查看对应的表单</w:t>
            </w:r>
          </w:p>
        </w:tc>
        <w:tc>
          <w:tcPr>
            <w:tcW w:w="278" w:type="pct"/>
            <w:shd w:val="clear" w:color="auto" w:fill="auto"/>
            <w:noWrap/>
            <w:vAlign w:val="center"/>
          </w:tcPr>
          <w:p w14:paraId="79F32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5182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C31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6674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608" w:type="pct"/>
            <w:shd w:val="clear" w:color="auto" w:fill="auto"/>
            <w:noWrap/>
            <w:vAlign w:val="center"/>
          </w:tcPr>
          <w:p w14:paraId="3E51C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数据日志</w:t>
            </w:r>
          </w:p>
        </w:tc>
        <w:tc>
          <w:tcPr>
            <w:tcW w:w="3644" w:type="pct"/>
            <w:gridSpan w:val="2"/>
            <w:shd w:val="clear" w:color="auto" w:fill="auto"/>
            <w:noWrap/>
            <w:vAlign w:val="center"/>
          </w:tcPr>
          <w:p w14:paraId="0F338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查询数据填报、补录记录，已经填报时间和人员、备注说明等信息</w:t>
            </w:r>
          </w:p>
        </w:tc>
        <w:tc>
          <w:tcPr>
            <w:tcW w:w="278" w:type="pct"/>
            <w:shd w:val="clear" w:color="auto" w:fill="auto"/>
            <w:noWrap/>
            <w:vAlign w:val="center"/>
          </w:tcPr>
          <w:p w14:paraId="07FD1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C817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DA6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8EE3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608" w:type="pct"/>
            <w:shd w:val="clear" w:color="auto" w:fill="auto"/>
            <w:noWrap/>
            <w:vAlign w:val="center"/>
          </w:tcPr>
          <w:p w14:paraId="5A789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报表编制</w:t>
            </w:r>
          </w:p>
        </w:tc>
        <w:tc>
          <w:tcPr>
            <w:tcW w:w="3644" w:type="pct"/>
            <w:gridSpan w:val="2"/>
            <w:shd w:val="clear" w:color="auto" w:fill="auto"/>
            <w:noWrap/>
            <w:vAlign w:val="center"/>
          </w:tcPr>
          <w:p w14:paraId="14A8B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指定编制人员按报送周期填报报表文件，可在线编辑文件或下载到本地编辑完成后上传，可从数据库中获取数据，填报完成后提交审批</w:t>
            </w:r>
          </w:p>
        </w:tc>
        <w:tc>
          <w:tcPr>
            <w:tcW w:w="278" w:type="pct"/>
            <w:shd w:val="clear" w:color="auto" w:fill="auto"/>
            <w:noWrap/>
            <w:vAlign w:val="center"/>
          </w:tcPr>
          <w:p w14:paraId="2EB7F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7CA70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2C2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EBED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608" w:type="pct"/>
            <w:shd w:val="clear" w:color="auto" w:fill="auto"/>
            <w:noWrap/>
            <w:vAlign w:val="center"/>
          </w:tcPr>
          <w:p w14:paraId="21EB0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报表查询</w:t>
            </w:r>
          </w:p>
        </w:tc>
        <w:tc>
          <w:tcPr>
            <w:tcW w:w="3644" w:type="pct"/>
            <w:gridSpan w:val="2"/>
            <w:shd w:val="clear" w:color="auto" w:fill="auto"/>
            <w:noWrap/>
            <w:vAlign w:val="center"/>
          </w:tcPr>
          <w:p w14:paraId="12B48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报表审批通过后系统自动分发到指定人员查询</w:t>
            </w:r>
          </w:p>
        </w:tc>
        <w:tc>
          <w:tcPr>
            <w:tcW w:w="278" w:type="pct"/>
            <w:shd w:val="clear" w:color="auto" w:fill="auto"/>
            <w:noWrap/>
            <w:vAlign w:val="center"/>
          </w:tcPr>
          <w:p w14:paraId="1A4EE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C6A4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823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05F5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608" w:type="pct"/>
            <w:shd w:val="clear" w:color="auto" w:fill="auto"/>
            <w:noWrap/>
            <w:vAlign w:val="center"/>
          </w:tcPr>
          <w:p w14:paraId="45118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数据上报</w:t>
            </w:r>
          </w:p>
        </w:tc>
        <w:tc>
          <w:tcPr>
            <w:tcW w:w="3644" w:type="pct"/>
            <w:gridSpan w:val="2"/>
            <w:shd w:val="clear" w:color="auto" w:fill="auto"/>
            <w:noWrap/>
            <w:vAlign w:val="center"/>
          </w:tcPr>
          <w:p w14:paraId="4659C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按对标表单查看该表单应该报送、已报送、未报送的单位数量和，钻取可查看报送的数据</w:t>
            </w:r>
          </w:p>
        </w:tc>
        <w:tc>
          <w:tcPr>
            <w:tcW w:w="278" w:type="pct"/>
            <w:shd w:val="clear" w:color="auto" w:fill="auto"/>
            <w:noWrap/>
            <w:vAlign w:val="center"/>
          </w:tcPr>
          <w:p w14:paraId="2C1B3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9A80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BDB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EE46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608" w:type="pct"/>
            <w:shd w:val="clear" w:color="auto" w:fill="auto"/>
            <w:noWrap/>
            <w:vAlign w:val="center"/>
          </w:tcPr>
          <w:p w14:paraId="4A91E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上报统计</w:t>
            </w:r>
          </w:p>
        </w:tc>
        <w:tc>
          <w:tcPr>
            <w:tcW w:w="3644" w:type="pct"/>
            <w:gridSpan w:val="2"/>
            <w:shd w:val="clear" w:color="auto" w:fill="auto"/>
            <w:noWrap/>
            <w:vAlign w:val="center"/>
          </w:tcPr>
          <w:p w14:paraId="75554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按对标表单查看该表单的报送率和及时率</w:t>
            </w:r>
          </w:p>
        </w:tc>
        <w:tc>
          <w:tcPr>
            <w:tcW w:w="278" w:type="pct"/>
            <w:shd w:val="clear" w:color="auto" w:fill="auto"/>
            <w:noWrap/>
            <w:vAlign w:val="center"/>
          </w:tcPr>
          <w:p w14:paraId="1A8C8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A44B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37B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71D74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608" w:type="pct"/>
            <w:vMerge w:val="restart"/>
            <w:shd w:val="clear" w:color="auto" w:fill="auto"/>
            <w:noWrap/>
            <w:vAlign w:val="center"/>
          </w:tcPr>
          <w:p w14:paraId="3F021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配置管理</w:t>
            </w:r>
          </w:p>
        </w:tc>
        <w:tc>
          <w:tcPr>
            <w:tcW w:w="573" w:type="pct"/>
            <w:shd w:val="clear" w:color="auto" w:fill="auto"/>
            <w:noWrap/>
            <w:vAlign w:val="center"/>
          </w:tcPr>
          <w:p w14:paraId="6EC50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数据管理</w:t>
            </w:r>
          </w:p>
        </w:tc>
        <w:tc>
          <w:tcPr>
            <w:tcW w:w="3070" w:type="pct"/>
            <w:shd w:val="clear" w:color="auto" w:fill="auto"/>
            <w:noWrap/>
            <w:vAlign w:val="center"/>
          </w:tcPr>
          <w:p w14:paraId="7A657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管理数据分类，通过标准数据维度成员创建数据项，设置数据单位、小数位数，阈值上下限、计算公式等</w:t>
            </w:r>
          </w:p>
        </w:tc>
        <w:tc>
          <w:tcPr>
            <w:tcW w:w="278" w:type="pct"/>
            <w:shd w:val="clear" w:color="auto" w:fill="auto"/>
            <w:noWrap/>
            <w:vAlign w:val="center"/>
          </w:tcPr>
          <w:p w14:paraId="3846D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6BCF0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48A2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6F22F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608" w:type="pct"/>
            <w:vMerge w:val="continue"/>
            <w:shd w:val="clear" w:color="auto" w:fill="auto"/>
            <w:noWrap/>
            <w:vAlign w:val="center"/>
          </w:tcPr>
          <w:p w14:paraId="7B2C7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7B312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表单配置</w:t>
            </w:r>
          </w:p>
        </w:tc>
        <w:tc>
          <w:tcPr>
            <w:tcW w:w="3070" w:type="pct"/>
            <w:shd w:val="clear" w:color="auto" w:fill="auto"/>
            <w:noWrap/>
            <w:vAlign w:val="center"/>
          </w:tcPr>
          <w:p w14:paraId="6CF3D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需要填报的数据集组合成表单，可设置填报、查询角色，填报周期和时间限定，是否开启定时计算、是否开启单人填报等</w:t>
            </w:r>
          </w:p>
        </w:tc>
        <w:tc>
          <w:tcPr>
            <w:tcW w:w="278" w:type="pct"/>
            <w:shd w:val="clear" w:color="auto" w:fill="auto"/>
            <w:noWrap/>
            <w:vAlign w:val="center"/>
          </w:tcPr>
          <w:p w14:paraId="3B498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41762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1C77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E32E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608" w:type="pct"/>
            <w:vMerge w:val="continue"/>
            <w:shd w:val="clear" w:color="auto" w:fill="auto"/>
            <w:noWrap/>
            <w:vAlign w:val="center"/>
          </w:tcPr>
          <w:p w14:paraId="6F4AF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217E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表单复制</w:t>
            </w:r>
          </w:p>
        </w:tc>
        <w:tc>
          <w:tcPr>
            <w:tcW w:w="3070" w:type="pct"/>
            <w:shd w:val="clear" w:color="auto" w:fill="auto"/>
            <w:noWrap/>
            <w:vAlign w:val="center"/>
          </w:tcPr>
          <w:p w14:paraId="5DE81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对于需要对标的数据形成对标表单，由集团上级单位复制到各厂下级单位，可设置各厂实际应该报送的数据项是多少项作为数据上报统计的参照</w:t>
            </w:r>
          </w:p>
        </w:tc>
        <w:tc>
          <w:tcPr>
            <w:tcW w:w="278" w:type="pct"/>
            <w:shd w:val="clear" w:color="auto" w:fill="auto"/>
            <w:noWrap/>
            <w:vAlign w:val="center"/>
          </w:tcPr>
          <w:p w14:paraId="69CBD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6B5C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0589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CE07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608" w:type="pct"/>
            <w:vMerge w:val="continue"/>
            <w:shd w:val="clear" w:color="auto" w:fill="auto"/>
            <w:noWrap/>
            <w:vAlign w:val="center"/>
          </w:tcPr>
          <w:p w14:paraId="198CA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2C188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数据归档</w:t>
            </w:r>
          </w:p>
        </w:tc>
        <w:tc>
          <w:tcPr>
            <w:tcW w:w="3070" w:type="pct"/>
            <w:shd w:val="clear" w:color="auto" w:fill="auto"/>
            <w:noWrap/>
            <w:vAlign w:val="center"/>
          </w:tcPr>
          <w:p w14:paraId="7366C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按数据周期月度、季度、年度对数据进行归档，归档后所有时间范围内不得录入、 删除、修改数据，只能查询</w:t>
            </w:r>
          </w:p>
        </w:tc>
        <w:tc>
          <w:tcPr>
            <w:tcW w:w="278" w:type="pct"/>
            <w:shd w:val="clear" w:color="auto" w:fill="auto"/>
            <w:noWrap/>
            <w:vAlign w:val="center"/>
          </w:tcPr>
          <w:p w14:paraId="2F206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36AE6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97C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0D564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608" w:type="pct"/>
            <w:vMerge w:val="continue"/>
            <w:shd w:val="clear" w:color="auto" w:fill="auto"/>
            <w:noWrap/>
            <w:vAlign w:val="center"/>
          </w:tcPr>
          <w:p w14:paraId="333DD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42A62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报表模板</w:t>
            </w:r>
          </w:p>
        </w:tc>
        <w:tc>
          <w:tcPr>
            <w:tcW w:w="3070" w:type="pct"/>
            <w:shd w:val="clear" w:color="auto" w:fill="auto"/>
            <w:noWrap/>
            <w:vAlign w:val="center"/>
          </w:tcPr>
          <w:p w14:paraId="61630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合并后的报表进行分解，制作标准的分表模板，可以将标准模板共享，配置报送周期、填报周期、使用日期范围，设置是否需要从关联对标数据、本单位报表数据和实时数据，可以设置计划报表、统计报表、工艺报表等，在公司和厂级均可设置</w:t>
            </w:r>
          </w:p>
        </w:tc>
        <w:tc>
          <w:tcPr>
            <w:tcW w:w="278" w:type="pct"/>
            <w:shd w:val="clear" w:color="auto" w:fill="auto"/>
            <w:noWrap/>
            <w:vAlign w:val="center"/>
          </w:tcPr>
          <w:p w14:paraId="3D7FE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8080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0C4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35970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608" w:type="pct"/>
            <w:vMerge w:val="continue"/>
            <w:shd w:val="clear" w:color="auto" w:fill="auto"/>
            <w:noWrap/>
            <w:vAlign w:val="center"/>
          </w:tcPr>
          <w:p w14:paraId="513B9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7A7CA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报表配置</w:t>
            </w:r>
          </w:p>
        </w:tc>
        <w:tc>
          <w:tcPr>
            <w:tcW w:w="3070" w:type="pct"/>
            <w:shd w:val="clear" w:color="auto" w:fill="auto"/>
            <w:noWrap/>
            <w:vAlign w:val="center"/>
          </w:tcPr>
          <w:p w14:paraId="7E55A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选择本单位的报表模板或其它单位共享的报表模板，设置编制、查看、导出人员和审批流程，选择当前使用的模板，可设置是否定时将数据库中的数据生成到报表文件中，配置完成后指定编制人员可按报送周期在报表文件填报</w:t>
            </w:r>
          </w:p>
        </w:tc>
        <w:tc>
          <w:tcPr>
            <w:tcW w:w="278" w:type="pct"/>
            <w:shd w:val="clear" w:color="auto" w:fill="auto"/>
            <w:noWrap/>
            <w:vAlign w:val="center"/>
          </w:tcPr>
          <w:p w14:paraId="25999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5C07B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6E9A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188FB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608" w:type="pct"/>
            <w:vMerge w:val="continue"/>
            <w:shd w:val="clear" w:color="auto" w:fill="auto"/>
            <w:noWrap/>
            <w:vAlign w:val="center"/>
          </w:tcPr>
          <w:p w14:paraId="4A1FF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5BC79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数据抽取</w:t>
            </w:r>
          </w:p>
        </w:tc>
        <w:tc>
          <w:tcPr>
            <w:tcW w:w="3070" w:type="pct"/>
            <w:shd w:val="clear" w:color="auto" w:fill="auto"/>
            <w:noWrap/>
            <w:vAlign w:val="center"/>
          </w:tcPr>
          <w:p w14:paraId="0FA5A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对审批通过的报表文件，如有错误可修订，可从数据库中获取数据重新生成或将报表文件中的数据抽取到数据库中供其它业务使用</w:t>
            </w:r>
          </w:p>
        </w:tc>
        <w:tc>
          <w:tcPr>
            <w:tcW w:w="278" w:type="pct"/>
            <w:shd w:val="clear" w:color="auto" w:fill="auto"/>
            <w:noWrap/>
            <w:vAlign w:val="center"/>
          </w:tcPr>
          <w:p w14:paraId="65C9E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2E7518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r w14:paraId="74FC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 w:type="pct"/>
            <w:shd w:val="clear" w:color="auto" w:fill="auto"/>
            <w:noWrap/>
            <w:vAlign w:val="center"/>
          </w:tcPr>
          <w:p w14:paraId="56980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608" w:type="pct"/>
            <w:vMerge w:val="continue"/>
            <w:shd w:val="clear" w:color="auto" w:fill="auto"/>
            <w:noWrap/>
            <w:vAlign w:val="center"/>
          </w:tcPr>
          <w:p w14:paraId="0075A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73" w:type="pct"/>
            <w:shd w:val="clear" w:color="auto" w:fill="auto"/>
            <w:noWrap/>
            <w:vAlign w:val="center"/>
          </w:tcPr>
          <w:p w14:paraId="76588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自定义图形</w:t>
            </w:r>
          </w:p>
        </w:tc>
        <w:tc>
          <w:tcPr>
            <w:tcW w:w="3070" w:type="pct"/>
            <w:shd w:val="clear" w:color="auto" w:fill="auto"/>
            <w:noWrap/>
            <w:vAlign w:val="center"/>
          </w:tcPr>
          <w:p w14:paraId="7FA32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不同的指标均可作为一个图元生成图形页面，将多个图元组合成一个分析方案，例如水量分析、电量分析、药量分析、电耗分析等</w:t>
            </w:r>
          </w:p>
        </w:tc>
        <w:tc>
          <w:tcPr>
            <w:tcW w:w="278" w:type="pct"/>
            <w:shd w:val="clear" w:color="auto" w:fill="auto"/>
            <w:noWrap/>
            <w:vAlign w:val="center"/>
          </w:tcPr>
          <w:p w14:paraId="46E57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247" w:type="pct"/>
            <w:shd w:val="clear" w:color="auto" w:fill="auto"/>
            <w:noWrap/>
            <w:vAlign w:val="center"/>
          </w:tcPr>
          <w:p w14:paraId="1A39A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r>
    </w:tbl>
    <w:p w14:paraId="3195466C">
      <w:pPr>
        <w:widowControl/>
        <w:ind w:left="0" w:leftChars="0" w:firstLine="0" w:firstLineChars="0"/>
        <w:jc w:val="left"/>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自控设备</w:t>
      </w:r>
      <w:r>
        <w:rPr>
          <w:rFonts w:hint="eastAsia" w:ascii="宋体" w:hAnsi="宋体" w:cs="宋体"/>
          <w:b/>
          <w:bCs/>
          <w:color w:val="auto"/>
          <w:kern w:val="0"/>
          <w:sz w:val="24"/>
          <w:szCs w:val="24"/>
          <w:highlight w:val="none"/>
          <w:lang w:val="en-US" w:eastAsia="zh-CN"/>
        </w:rPr>
        <w:t>采购清单</w:t>
      </w:r>
    </w:p>
    <w:p w14:paraId="560CD8BF">
      <w:pPr>
        <w:widowControl/>
        <w:ind w:left="0" w:leftChars="0" w:firstLine="0" w:firstLineChars="0"/>
        <w:jc w:val="left"/>
        <w:textAlignment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2.1自控主材表</w:t>
      </w:r>
    </w:p>
    <w:tbl>
      <w:tblPr>
        <w:tblStyle w:val="43"/>
        <w:tblW w:w="10730" w:type="dxa"/>
        <w:tblInd w:w="-178" w:type="dxa"/>
        <w:tblLayout w:type="fixed"/>
        <w:tblCellMar>
          <w:top w:w="0" w:type="dxa"/>
          <w:left w:w="108" w:type="dxa"/>
          <w:bottom w:w="0" w:type="dxa"/>
          <w:right w:w="108" w:type="dxa"/>
        </w:tblCellMar>
      </w:tblPr>
      <w:tblGrid>
        <w:gridCol w:w="580"/>
        <w:gridCol w:w="760"/>
        <w:gridCol w:w="1112"/>
        <w:gridCol w:w="5118"/>
        <w:gridCol w:w="683"/>
        <w:gridCol w:w="752"/>
        <w:gridCol w:w="1725"/>
      </w:tblGrid>
      <w:tr w14:paraId="668654F5">
        <w:tblPrEx>
          <w:tblCellMar>
            <w:top w:w="0" w:type="dxa"/>
            <w:left w:w="108" w:type="dxa"/>
            <w:bottom w:w="0" w:type="dxa"/>
            <w:right w:w="108" w:type="dxa"/>
          </w:tblCellMar>
        </w:tblPrEx>
        <w:trPr>
          <w:trHeight w:val="454" w:hRule="atLeast"/>
          <w:tblHead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16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760" w:type="dxa"/>
            <w:tcBorders>
              <w:top w:val="single" w:color="auto" w:sz="4" w:space="0"/>
              <w:left w:val="nil"/>
              <w:bottom w:val="single" w:color="auto" w:sz="4" w:space="0"/>
              <w:right w:val="single" w:color="auto" w:sz="4" w:space="0"/>
            </w:tcBorders>
            <w:shd w:val="clear" w:color="auto" w:fill="auto"/>
            <w:noWrap/>
            <w:vAlign w:val="center"/>
          </w:tcPr>
          <w:p w14:paraId="4D1EB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分类</w:t>
            </w:r>
          </w:p>
        </w:tc>
        <w:tc>
          <w:tcPr>
            <w:tcW w:w="1112" w:type="dxa"/>
            <w:tcBorders>
              <w:top w:val="single" w:color="auto" w:sz="4" w:space="0"/>
              <w:left w:val="nil"/>
              <w:bottom w:val="single" w:color="auto" w:sz="4" w:space="0"/>
              <w:right w:val="single" w:color="auto" w:sz="4" w:space="0"/>
            </w:tcBorders>
            <w:shd w:val="clear" w:color="auto" w:fill="auto"/>
            <w:noWrap/>
            <w:vAlign w:val="center"/>
          </w:tcPr>
          <w:p w14:paraId="1BB1F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5118" w:type="dxa"/>
            <w:tcBorders>
              <w:top w:val="single" w:color="auto" w:sz="4" w:space="0"/>
              <w:left w:val="nil"/>
              <w:bottom w:val="single" w:color="auto" w:sz="4" w:space="0"/>
              <w:right w:val="single" w:color="auto" w:sz="4" w:space="0"/>
            </w:tcBorders>
            <w:shd w:val="clear" w:color="auto" w:fill="auto"/>
            <w:noWrap/>
            <w:vAlign w:val="center"/>
          </w:tcPr>
          <w:p w14:paraId="0CD6C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型号规格</w:t>
            </w:r>
          </w:p>
        </w:tc>
        <w:tc>
          <w:tcPr>
            <w:tcW w:w="683" w:type="dxa"/>
            <w:tcBorders>
              <w:top w:val="single" w:color="auto" w:sz="4" w:space="0"/>
              <w:left w:val="nil"/>
              <w:bottom w:val="single" w:color="auto" w:sz="4" w:space="0"/>
              <w:right w:val="single" w:color="auto" w:sz="4" w:space="0"/>
            </w:tcBorders>
            <w:shd w:val="clear" w:color="auto" w:fill="auto"/>
            <w:noWrap/>
            <w:vAlign w:val="center"/>
          </w:tcPr>
          <w:p w14:paraId="051E7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752" w:type="dxa"/>
            <w:tcBorders>
              <w:top w:val="single" w:color="auto" w:sz="4" w:space="0"/>
              <w:left w:val="nil"/>
              <w:bottom w:val="single" w:color="auto" w:sz="4" w:space="0"/>
              <w:right w:val="single" w:color="auto" w:sz="4" w:space="0"/>
            </w:tcBorders>
            <w:shd w:val="clear" w:color="auto" w:fill="auto"/>
            <w:noWrap/>
            <w:vAlign w:val="center"/>
          </w:tcPr>
          <w:p w14:paraId="7AA16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56C37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41C727B6">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1645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60" w:type="dxa"/>
            <w:vMerge w:val="restart"/>
            <w:tcBorders>
              <w:top w:val="nil"/>
              <w:left w:val="single" w:color="auto" w:sz="4" w:space="0"/>
              <w:bottom w:val="single" w:color="auto" w:sz="4" w:space="0"/>
              <w:right w:val="single" w:color="auto" w:sz="4" w:space="0"/>
            </w:tcBorders>
            <w:shd w:val="clear" w:color="auto" w:fill="auto"/>
            <w:noWrap/>
            <w:vAlign w:val="center"/>
          </w:tcPr>
          <w:p w14:paraId="19CA5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现场PLC分站</w:t>
            </w:r>
          </w:p>
        </w:tc>
        <w:tc>
          <w:tcPr>
            <w:tcW w:w="1112" w:type="dxa"/>
            <w:tcBorders>
              <w:top w:val="nil"/>
              <w:left w:val="nil"/>
              <w:bottom w:val="single" w:color="auto" w:sz="4" w:space="0"/>
              <w:right w:val="single" w:color="auto" w:sz="4" w:space="0"/>
            </w:tcBorders>
            <w:shd w:val="clear" w:color="auto" w:fill="auto"/>
            <w:noWrap/>
            <w:vAlign w:val="center"/>
          </w:tcPr>
          <w:p w14:paraId="7C2BB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管理用房配电间新建1#PLC站</w:t>
            </w:r>
          </w:p>
        </w:tc>
        <w:tc>
          <w:tcPr>
            <w:tcW w:w="5118" w:type="dxa"/>
            <w:tcBorders>
              <w:top w:val="nil"/>
              <w:left w:val="nil"/>
              <w:bottom w:val="single" w:color="auto" w:sz="4" w:space="0"/>
              <w:right w:val="single" w:color="auto" w:sz="4" w:space="0"/>
            </w:tcBorders>
            <w:shd w:val="clear" w:color="auto" w:fill="auto"/>
            <w:noWrap/>
            <w:vAlign w:val="center"/>
          </w:tcPr>
          <w:p w14:paraId="69FB6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3个双面维护柜体，2200x800x600(高x宽x深) 含CPU、空开、中间继电器、IO端子、配线、照明、浪涌保护等，考虑系统裕量及为远期预留，配置点数为：DI＝192，DO＝128，AI＝80，AO=16。</w:t>
            </w:r>
          </w:p>
        </w:tc>
        <w:tc>
          <w:tcPr>
            <w:tcW w:w="683" w:type="dxa"/>
            <w:tcBorders>
              <w:top w:val="nil"/>
              <w:left w:val="nil"/>
              <w:bottom w:val="single" w:color="auto" w:sz="4" w:space="0"/>
              <w:right w:val="single" w:color="auto" w:sz="4" w:space="0"/>
            </w:tcBorders>
            <w:shd w:val="clear" w:color="auto" w:fill="auto"/>
            <w:noWrap/>
            <w:vAlign w:val="center"/>
          </w:tcPr>
          <w:p w14:paraId="00E0E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53977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23DD7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款式需与现场配电柜统一，柜体IP44</w:t>
            </w:r>
          </w:p>
        </w:tc>
      </w:tr>
      <w:tr w14:paraId="2B6BBC82">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F227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60" w:type="dxa"/>
            <w:vMerge w:val="continue"/>
            <w:tcBorders>
              <w:top w:val="nil"/>
              <w:left w:val="single" w:color="auto" w:sz="4" w:space="0"/>
              <w:bottom w:val="single" w:color="auto" w:sz="4" w:space="0"/>
              <w:right w:val="single" w:color="auto" w:sz="4" w:space="0"/>
            </w:tcBorders>
            <w:shd w:val="clear" w:color="auto" w:fill="auto"/>
            <w:noWrap/>
            <w:vAlign w:val="center"/>
          </w:tcPr>
          <w:p w14:paraId="07139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AF66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UPS不间断电源</w:t>
            </w:r>
          </w:p>
        </w:tc>
        <w:tc>
          <w:tcPr>
            <w:tcW w:w="5118" w:type="dxa"/>
            <w:tcBorders>
              <w:top w:val="nil"/>
              <w:left w:val="nil"/>
              <w:bottom w:val="single" w:color="auto" w:sz="4" w:space="0"/>
              <w:right w:val="single" w:color="auto" w:sz="4" w:space="0"/>
            </w:tcBorders>
            <w:shd w:val="clear" w:color="auto" w:fill="auto"/>
            <w:noWrap/>
            <w:vAlign w:val="center"/>
          </w:tcPr>
          <w:p w14:paraId="51134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在线型，3KVA，可供电时间30分钟</w:t>
            </w:r>
          </w:p>
        </w:tc>
        <w:tc>
          <w:tcPr>
            <w:tcW w:w="683" w:type="dxa"/>
            <w:tcBorders>
              <w:top w:val="nil"/>
              <w:left w:val="nil"/>
              <w:bottom w:val="single" w:color="auto" w:sz="4" w:space="0"/>
              <w:right w:val="single" w:color="auto" w:sz="4" w:space="0"/>
            </w:tcBorders>
            <w:shd w:val="clear" w:color="auto" w:fill="auto"/>
            <w:noWrap/>
            <w:vAlign w:val="center"/>
          </w:tcPr>
          <w:p w14:paraId="22167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64BF0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4D1C7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5226B9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952B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60" w:type="dxa"/>
            <w:vMerge w:val="continue"/>
            <w:tcBorders>
              <w:top w:val="nil"/>
              <w:left w:val="single" w:color="auto" w:sz="4" w:space="0"/>
              <w:bottom w:val="single" w:color="auto" w:sz="4" w:space="0"/>
              <w:right w:val="single" w:color="auto" w:sz="4" w:space="0"/>
            </w:tcBorders>
            <w:shd w:val="clear" w:color="auto" w:fill="auto"/>
            <w:noWrap/>
            <w:vAlign w:val="center"/>
          </w:tcPr>
          <w:p w14:paraId="64A42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44B1A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软件编程及调试</w:t>
            </w:r>
          </w:p>
        </w:tc>
        <w:tc>
          <w:tcPr>
            <w:tcW w:w="5118" w:type="dxa"/>
            <w:tcBorders>
              <w:top w:val="nil"/>
              <w:left w:val="nil"/>
              <w:bottom w:val="single" w:color="auto" w:sz="4" w:space="0"/>
              <w:right w:val="single" w:color="auto" w:sz="4" w:space="0"/>
            </w:tcBorders>
            <w:shd w:val="clear" w:color="auto" w:fill="auto"/>
            <w:noWrap/>
            <w:vAlign w:val="center"/>
          </w:tcPr>
          <w:p w14:paraId="314C9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PLC及触摸屏编程及画面组态</w:t>
            </w:r>
          </w:p>
        </w:tc>
        <w:tc>
          <w:tcPr>
            <w:tcW w:w="683" w:type="dxa"/>
            <w:tcBorders>
              <w:top w:val="nil"/>
              <w:left w:val="nil"/>
              <w:bottom w:val="single" w:color="auto" w:sz="4" w:space="0"/>
              <w:right w:val="single" w:color="auto" w:sz="4" w:space="0"/>
            </w:tcBorders>
            <w:shd w:val="clear" w:color="auto" w:fill="auto"/>
            <w:noWrap/>
            <w:vAlign w:val="center"/>
          </w:tcPr>
          <w:p w14:paraId="28966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52" w:type="dxa"/>
            <w:tcBorders>
              <w:top w:val="nil"/>
              <w:left w:val="nil"/>
              <w:bottom w:val="single" w:color="auto" w:sz="4" w:space="0"/>
              <w:right w:val="single" w:color="auto" w:sz="4" w:space="0"/>
            </w:tcBorders>
            <w:shd w:val="clear" w:color="auto" w:fill="auto"/>
            <w:noWrap/>
            <w:vAlign w:val="center"/>
          </w:tcPr>
          <w:p w14:paraId="27B68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328FE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BF27EFF">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4355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60" w:type="dxa"/>
            <w:vMerge w:val="continue"/>
            <w:tcBorders>
              <w:top w:val="nil"/>
              <w:left w:val="single" w:color="auto" w:sz="4" w:space="0"/>
              <w:bottom w:val="single" w:color="auto" w:sz="4" w:space="0"/>
              <w:right w:val="single" w:color="auto" w:sz="4" w:space="0"/>
            </w:tcBorders>
            <w:shd w:val="clear" w:color="auto" w:fill="auto"/>
            <w:noWrap/>
            <w:vAlign w:val="center"/>
          </w:tcPr>
          <w:p w14:paraId="6D7C2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4154D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触摸屏</w:t>
            </w:r>
          </w:p>
        </w:tc>
        <w:tc>
          <w:tcPr>
            <w:tcW w:w="5118" w:type="dxa"/>
            <w:tcBorders>
              <w:top w:val="nil"/>
              <w:left w:val="nil"/>
              <w:bottom w:val="single" w:color="auto" w:sz="4" w:space="0"/>
              <w:right w:val="single" w:color="auto" w:sz="4" w:space="0"/>
            </w:tcBorders>
            <w:shd w:val="clear" w:color="auto" w:fill="auto"/>
            <w:noWrap/>
            <w:vAlign w:val="center"/>
          </w:tcPr>
          <w:p w14:paraId="5BAEE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12.0" TFT、彩色、含组态软件及编程</w:t>
            </w:r>
          </w:p>
        </w:tc>
        <w:tc>
          <w:tcPr>
            <w:tcW w:w="683" w:type="dxa"/>
            <w:tcBorders>
              <w:top w:val="nil"/>
              <w:left w:val="nil"/>
              <w:bottom w:val="single" w:color="auto" w:sz="4" w:space="0"/>
              <w:right w:val="single" w:color="auto" w:sz="4" w:space="0"/>
            </w:tcBorders>
            <w:shd w:val="clear" w:color="auto" w:fill="auto"/>
            <w:noWrap/>
            <w:vAlign w:val="center"/>
          </w:tcPr>
          <w:p w14:paraId="347B2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547A5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8936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42FA59D">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88F1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760" w:type="dxa"/>
            <w:vMerge w:val="continue"/>
            <w:tcBorders>
              <w:top w:val="nil"/>
              <w:left w:val="single" w:color="auto" w:sz="4" w:space="0"/>
              <w:bottom w:val="single" w:color="auto" w:sz="4" w:space="0"/>
              <w:right w:val="single" w:color="auto" w:sz="4" w:space="0"/>
            </w:tcBorders>
            <w:shd w:val="clear" w:color="auto" w:fill="auto"/>
            <w:noWrap/>
            <w:vAlign w:val="center"/>
          </w:tcPr>
          <w:p w14:paraId="1D58F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5E397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工业以太网光端机</w:t>
            </w:r>
          </w:p>
        </w:tc>
        <w:tc>
          <w:tcPr>
            <w:tcW w:w="5118" w:type="dxa"/>
            <w:tcBorders>
              <w:top w:val="nil"/>
              <w:left w:val="nil"/>
              <w:bottom w:val="single" w:color="auto" w:sz="4" w:space="0"/>
              <w:right w:val="single" w:color="auto" w:sz="4" w:space="0"/>
            </w:tcBorders>
            <w:shd w:val="clear" w:color="auto" w:fill="auto"/>
            <w:noWrap/>
            <w:vAlign w:val="center"/>
          </w:tcPr>
          <w:p w14:paraId="1DABD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工业以太网环网型交换机，4光8电，含组网所需配件</w:t>
            </w:r>
          </w:p>
        </w:tc>
        <w:tc>
          <w:tcPr>
            <w:tcW w:w="683" w:type="dxa"/>
            <w:tcBorders>
              <w:top w:val="nil"/>
              <w:left w:val="nil"/>
              <w:bottom w:val="single" w:color="auto" w:sz="4" w:space="0"/>
              <w:right w:val="single" w:color="auto" w:sz="4" w:space="0"/>
            </w:tcBorders>
            <w:shd w:val="clear" w:color="auto" w:fill="auto"/>
            <w:noWrap/>
            <w:vAlign w:val="center"/>
          </w:tcPr>
          <w:p w14:paraId="0357D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52" w:type="dxa"/>
            <w:tcBorders>
              <w:top w:val="nil"/>
              <w:left w:val="nil"/>
              <w:bottom w:val="single" w:color="auto" w:sz="4" w:space="0"/>
              <w:right w:val="single" w:color="auto" w:sz="4" w:space="0"/>
            </w:tcBorders>
            <w:shd w:val="clear" w:color="auto" w:fill="auto"/>
            <w:noWrap/>
            <w:vAlign w:val="center"/>
          </w:tcPr>
          <w:p w14:paraId="5BBF8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54488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A24D07C">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ED03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760" w:type="dxa"/>
            <w:vMerge w:val="continue"/>
            <w:tcBorders>
              <w:top w:val="nil"/>
              <w:left w:val="single" w:color="auto" w:sz="4" w:space="0"/>
              <w:bottom w:val="single" w:color="auto" w:sz="4" w:space="0"/>
              <w:right w:val="single" w:color="auto" w:sz="4" w:space="0"/>
            </w:tcBorders>
            <w:shd w:val="clear" w:color="auto" w:fill="auto"/>
            <w:noWrap/>
            <w:vAlign w:val="center"/>
          </w:tcPr>
          <w:p w14:paraId="7228A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A7D4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工艺子系统成套控制系统 </w:t>
            </w:r>
          </w:p>
        </w:tc>
        <w:tc>
          <w:tcPr>
            <w:tcW w:w="5118" w:type="dxa"/>
            <w:tcBorders>
              <w:top w:val="nil"/>
              <w:left w:val="nil"/>
              <w:bottom w:val="single" w:color="auto" w:sz="4" w:space="0"/>
              <w:right w:val="single" w:color="auto" w:sz="4" w:space="0"/>
            </w:tcBorders>
            <w:shd w:val="clear" w:color="auto" w:fill="auto"/>
            <w:noWrap/>
            <w:vAlign w:val="center"/>
          </w:tcPr>
          <w:p w14:paraId="667D3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随工艺包或设备配套提供，包括PLC、通讯模块、系统内部电缆及管材、配套仪表阀门及其所有系统所需附件</w:t>
            </w:r>
          </w:p>
        </w:tc>
        <w:tc>
          <w:tcPr>
            <w:tcW w:w="683" w:type="dxa"/>
            <w:tcBorders>
              <w:top w:val="nil"/>
              <w:left w:val="nil"/>
              <w:bottom w:val="single" w:color="auto" w:sz="4" w:space="0"/>
              <w:right w:val="single" w:color="auto" w:sz="4" w:space="0"/>
            </w:tcBorders>
            <w:shd w:val="clear" w:color="auto" w:fill="auto"/>
            <w:noWrap/>
            <w:vAlign w:val="center"/>
          </w:tcPr>
          <w:p w14:paraId="1F3E8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52" w:type="dxa"/>
            <w:tcBorders>
              <w:top w:val="nil"/>
              <w:left w:val="nil"/>
              <w:bottom w:val="single" w:color="auto" w:sz="4" w:space="0"/>
              <w:right w:val="single" w:color="auto" w:sz="4" w:space="0"/>
            </w:tcBorders>
            <w:shd w:val="clear" w:color="auto" w:fill="auto"/>
            <w:noWrap/>
            <w:vAlign w:val="center"/>
          </w:tcPr>
          <w:p w14:paraId="2FF44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725" w:type="dxa"/>
            <w:tcBorders>
              <w:top w:val="nil"/>
              <w:left w:val="nil"/>
              <w:bottom w:val="single" w:color="auto" w:sz="4" w:space="0"/>
              <w:right w:val="single" w:color="auto" w:sz="4" w:space="0"/>
            </w:tcBorders>
            <w:shd w:val="clear" w:color="auto" w:fill="auto"/>
            <w:noWrap/>
            <w:vAlign w:val="center"/>
          </w:tcPr>
          <w:p w14:paraId="2DF15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工艺包或设备配套</w:t>
            </w:r>
          </w:p>
        </w:tc>
      </w:tr>
      <w:tr w14:paraId="05CC64B1">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C6F8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760" w:type="dxa"/>
            <w:vMerge w:val="restart"/>
            <w:tcBorders>
              <w:top w:val="nil"/>
              <w:left w:val="single" w:color="auto" w:sz="4" w:space="0"/>
              <w:bottom w:val="single" w:color="000000" w:sz="4" w:space="0"/>
              <w:right w:val="single" w:color="auto" w:sz="4" w:space="0"/>
            </w:tcBorders>
            <w:shd w:val="clear" w:color="auto" w:fill="auto"/>
            <w:noWrap/>
            <w:vAlign w:val="center"/>
          </w:tcPr>
          <w:p w14:paraId="63D6D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管理用房中控室</w:t>
            </w:r>
          </w:p>
        </w:tc>
        <w:tc>
          <w:tcPr>
            <w:tcW w:w="1112" w:type="dxa"/>
            <w:tcBorders>
              <w:top w:val="nil"/>
              <w:left w:val="nil"/>
              <w:bottom w:val="single" w:color="auto" w:sz="4" w:space="0"/>
              <w:right w:val="single" w:color="auto" w:sz="4" w:space="0"/>
            </w:tcBorders>
            <w:shd w:val="clear" w:color="auto" w:fill="auto"/>
            <w:noWrap/>
            <w:vAlign w:val="center"/>
          </w:tcPr>
          <w:p w14:paraId="3AD83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监控计算机（工业级）</w:t>
            </w:r>
          </w:p>
        </w:tc>
        <w:tc>
          <w:tcPr>
            <w:tcW w:w="5118" w:type="dxa"/>
            <w:tcBorders>
              <w:top w:val="nil"/>
              <w:left w:val="nil"/>
              <w:bottom w:val="single" w:color="auto" w:sz="4" w:space="0"/>
              <w:right w:val="single" w:color="auto" w:sz="4" w:space="0"/>
            </w:tcBorders>
            <w:shd w:val="clear" w:color="auto" w:fill="auto"/>
            <w:noWrap/>
            <w:vAlign w:val="center"/>
          </w:tcPr>
          <w:p w14:paraId="1E124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酷睿双核酷睿I7处理器XEON 3.2GHz，内存:16GB，独立显卡，配置1块512G SSD MLC企业级固态硬盘（系统盘），1块1.0TB 7200转 SATA企业级硬盘，显示器:24寸       </w:t>
            </w:r>
          </w:p>
        </w:tc>
        <w:tc>
          <w:tcPr>
            <w:tcW w:w="683" w:type="dxa"/>
            <w:tcBorders>
              <w:top w:val="nil"/>
              <w:left w:val="nil"/>
              <w:bottom w:val="single" w:color="auto" w:sz="4" w:space="0"/>
              <w:right w:val="single" w:color="auto" w:sz="4" w:space="0"/>
            </w:tcBorders>
            <w:shd w:val="clear" w:color="auto" w:fill="auto"/>
            <w:noWrap/>
            <w:vAlign w:val="center"/>
          </w:tcPr>
          <w:p w14:paraId="43EAD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783EC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25" w:type="dxa"/>
            <w:tcBorders>
              <w:top w:val="nil"/>
              <w:left w:val="nil"/>
              <w:bottom w:val="single" w:color="auto" w:sz="4" w:space="0"/>
              <w:right w:val="single" w:color="auto" w:sz="4" w:space="0"/>
            </w:tcBorders>
            <w:shd w:val="clear" w:color="auto" w:fill="auto"/>
            <w:noWrap/>
            <w:vAlign w:val="center"/>
          </w:tcPr>
          <w:p w14:paraId="065F9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E4906F8">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1967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7E90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7CF4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容错数据服务器（工业级）</w:t>
            </w:r>
          </w:p>
        </w:tc>
        <w:tc>
          <w:tcPr>
            <w:tcW w:w="5118" w:type="dxa"/>
            <w:tcBorders>
              <w:top w:val="nil"/>
              <w:left w:val="nil"/>
              <w:bottom w:val="single" w:color="auto" w:sz="4" w:space="0"/>
              <w:right w:val="single" w:color="auto" w:sz="4" w:space="0"/>
            </w:tcBorders>
            <w:shd w:val="clear" w:color="auto" w:fill="auto"/>
            <w:noWrap/>
            <w:vAlign w:val="center"/>
          </w:tcPr>
          <w:p w14:paraId="22822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每套配置4颗英特尔至强处理器，单颗CPU主频≥2.10Ghz，核心数≥16物理核；每套配置 DDR4 ECC 64GB 内存，逻辑内存每个模块为32GB；每套配置4*480GSSD，4*4T HDD企业级硬盘，支持RAID0/1/5/6/10/50/60 2GB缓存、配置RAID卡电池</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超级电容；每套配置4个万兆和4个千兆自适应以太网网口；每套配置冗余热插拔电源；配置容错服务器管理软件，能够故障主动报警、快速诊断和在线更换坏件等功能；配置支持主流的 WindowsServer 、LinuxServer 系统或者国产操作系统等；配置智能平台管理接口（IPMI）集成管理控制器、支持上电自动开机和远程硬重启。实现对多套容错管理平台集中监控，容错系统集中健康状态展示和设备在线情况、硬件设备健康状态管理等功能。容错底层系统使用国产操作系统，可支持国产X86架构芯片，能够无缝迁移到国产芯片。</w:t>
            </w:r>
          </w:p>
        </w:tc>
        <w:tc>
          <w:tcPr>
            <w:tcW w:w="683" w:type="dxa"/>
            <w:tcBorders>
              <w:top w:val="nil"/>
              <w:left w:val="nil"/>
              <w:bottom w:val="single" w:color="auto" w:sz="4" w:space="0"/>
              <w:right w:val="single" w:color="auto" w:sz="4" w:space="0"/>
            </w:tcBorders>
            <w:shd w:val="clear" w:color="auto" w:fill="auto"/>
            <w:noWrap/>
            <w:vAlign w:val="center"/>
          </w:tcPr>
          <w:p w14:paraId="3E6A0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05BE8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7A839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40ED45D5">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AEEB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8575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16DF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工业以太网光端交换机</w:t>
            </w:r>
          </w:p>
        </w:tc>
        <w:tc>
          <w:tcPr>
            <w:tcW w:w="5118" w:type="dxa"/>
            <w:tcBorders>
              <w:top w:val="nil"/>
              <w:left w:val="nil"/>
              <w:bottom w:val="single" w:color="auto" w:sz="4" w:space="0"/>
              <w:right w:val="single" w:color="auto" w:sz="4" w:space="0"/>
            </w:tcBorders>
            <w:shd w:val="clear" w:color="auto" w:fill="auto"/>
            <w:noWrap/>
            <w:vAlign w:val="center"/>
          </w:tcPr>
          <w:p w14:paraId="6D32B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100M以太网通讯口，8电口；配套2个光电转换器，多模双纤</w:t>
            </w:r>
          </w:p>
        </w:tc>
        <w:tc>
          <w:tcPr>
            <w:tcW w:w="683" w:type="dxa"/>
            <w:tcBorders>
              <w:top w:val="nil"/>
              <w:left w:val="nil"/>
              <w:bottom w:val="single" w:color="auto" w:sz="4" w:space="0"/>
              <w:right w:val="single" w:color="auto" w:sz="4" w:space="0"/>
            </w:tcBorders>
            <w:shd w:val="clear" w:color="auto" w:fill="auto"/>
            <w:noWrap/>
            <w:vAlign w:val="center"/>
          </w:tcPr>
          <w:p w14:paraId="2BE13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01583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541B8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4D8C576">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6E9C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29E2F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80A0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工业以太网核心交换机</w:t>
            </w:r>
          </w:p>
        </w:tc>
        <w:tc>
          <w:tcPr>
            <w:tcW w:w="5118" w:type="dxa"/>
            <w:tcBorders>
              <w:top w:val="nil"/>
              <w:left w:val="nil"/>
              <w:bottom w:val="single" w:color="auto" w:sz="4" w:space="0"/>
              <w:right w:val="single" w:color="auto" w:sz="4" w:space="0"/>
            </w:tcBorders>
            <w:shd w:val="clear" w:color="auto" w:fill="auto"/>
            <w:noWrap/>
            <w:vAlign w:val="center"/>
          </w:tcPr>
          <w:p w14:paraId="65100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24个全千兆端口，其中包含不少于8个千兆COMBO口，DRAM:256M，标准网络机架安装</w:t>
            </w:r>
          </w:p>
        </w:tc>
        <w:tc>
          <w:tcPr>
            <w:tcW w:w="683" w:type="dxa"/>
            <w:tcBorders>
              <w:top w:val="nil"/>
              <w:left w:val="nil"/>
              <w:bottom w:val="single" w:color="auto" w:sz="4" w:space="0"/>
              <w:right w:val="single" w:color="auto" w:sz="4" w:space="0"/>
            </w:tcBorders>
            <w:shd w:val="clear" w:color="auto" w:fill="auto"/>
            <w:noWrap/>
            <w:vAlign w:val="center"/>
          </w:tcPr>
          <w:p w14:paraId="05950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38242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1B35F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6251B96">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817F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D9EC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0C326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UPS及浪涌保护装置</w:t>
            </w:r>
          </w:p>
        </w:tc>
        <w:tc>
          <w:tcPr>
            <w:tcW w:w="5118" w:type="dxa"/>
            <w:tcBorders>
              <w:top w:val="nil"/>
              <w:left w:val="nil"/>
              <w:bottom w:val="single" w:color="auto" w:sz="4" w:space="0"/>
              <w:right w:val="single" w:color="auto" w:sz="4" w:space="0"/>
            </w:tcBorders>
            <w:shd w:val="clear" w:color="auto" w:fill="auto"/>
            <w:noWrap/>
            <w:vAlign w:val="center"/>
          </w:tcPr>
          <w:p w14:paraId="7DFA6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6kVA  60分钟</w:t>
            </w:r>
          </w:p>
        </w:tc>
        <w:tc>
          <w:tcPr>
            <w:tcW w:w="683" w:type="dxa"/>
            <w:tcBorders>
              <w:top w:val="nil"/>
              <w:left w:val="nil"/>
              <w:bottom w:val="single" w:color="auto" w:sz="4" w:space="0"/>
              <w:right w:val="single" w:color="auto" w:sz="4" w:space="0"/>
            </w:tcBorders>
            <w:shd w:val="clear" w:color="auto" w:fill="auto"/>
            <w:noWrap/>
            <w:vAlign w:val="center"/>
          </w:tcPr>
          <w:p w14:paraId="5FCCA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6388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7673F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BF98A6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FC27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7173A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0E991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上位组态软件及编程</w:t>
            </w:r>
          </w:p>
        </w:tc>
        <w:tc>
          <w:tcPr>
            <w:tcW w:w="5118" w:type="dxa"/>
            <w:tcBorders>
              <w:top w:val="nil"/>
              <w:left w:val="nil"/>
              <w:bottom w:val="single" w:color="auto" w:sz="4" w:space="0"/>
              <w:right w:val="single" w:color="auto" w:sz="4" w:space="0"/>
            </w:tcBorders>
            <w:shd w:val="clear" w:color="auto" w:fill="auto"/>
            <w:noWrap/>
            <w:vAlign w:val="center"/>
          </w:tcPr>
          <w:p w14:paraId="416C6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KingSCADA V3.7 无限点运行3套（中控室操作员站2套、分控室操作员站1套）、 KingHistorian V3.7 5000点（实时历史数据库）、KingPortal V3.7 10用户(web发布）. </w:t>
            </w:r>
          </w:p>
        </w:tc>
        <w:tc>
          <w:tcPr>
            <w:tcW w:w="683" w:type="dxa"/>
            <w:tcBorders>
              <w:top w:val="nil"/>
              <w:left w:val="nil"/>
              <w:bottom w:val="single" w:color="auto" w:sz="4" w:space="0"/>
              <w:right w:val="single" w:color="auto" w:sz="4" w:space="0"/>
            </w:tcBorders>
            <w:shd w:val="clear" w:color="auto" w:fill="auto"/>
            <w:noWrap/>
            <w:vAlign w:val="center"/>
          </w:tcPr>
          <w:p w14:paraId="640B4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077D8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784D9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993F91D">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F9B0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7A51E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46585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工控应用功能开发</w:t>
            </w:r>
          </w:p>
        </w:tc>
        <w:tc>
          <w:tcPr>
            <w:tcW w:w="5118" w:type="dxa"/>
            <w:tcBorders>
              <w:top w:val="nil"/>
              <w:left w:val="nil"/>
              <w:bottom w:val="single" w:color="auto" w:sz="4" w:space="0"/>
              <w:right w:val="single" w:color="auto" w:sz="4" w:space="0"/>
            </w:tcBorders>
            <w:shd w:val="clear" w:color="auto" w:fill="auto"/>
            <w:noWrap/>
            <w:vAlign w:val="center"/>
          </w:tcPr>
          <w:p w14:paraId="23D82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仿真调试程序、软硬件测试、故障诊断程序、实时监控软件、实时通讯软件、数据库应用程序、污水处理厂监控管理专家系统、标准工业控制、专用水处理过程控制图形库、网络防病毒软件等</w:t>
            </w:r>
          </w:p>
        </w:tc>
        <w:tc>
          <w:tcPr>
            <w:tcW w:w="683" w:type="dxa"/>
            <w:tcBorders>
              <w:top w:val="nil"/>
              <w:left w:val="nil"/>
              <w:bottom w:val="single" w:color="auto" w:sz="4" w:space="0"/>
              <w:right w:val="single" w:color="auto" w:sz="4" w:space="0"/>
            </w:tcBorders>
            <w:shd w:val="clear" w:color="auto" w:fill="auto"/>
            <w:noWrap/>
            <w:vAlign w:val="center"/>
          </w:tcPr>
          <w:p w14:paraId="271BB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031CF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16F6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BAA360B">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FB93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50937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75979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等保二级网络安全系统</w:t>
            </w:r>
          </w:p>
        </w:tc>
        <w:tc>
          <w:tcPr>
            <w:tcW w:w="5118" w:type="dxa"/>
            <w:tcBorders>
              <w:top w:val="nil"/>
              <w:left w:val="nil"/>
              <w:bottom w:val="single" w:color="auto" w:sz="4" w:space="0"/>
              <w:right w:val="single" w:color="auto" w:sz="4" w:space="0"/>
            </w:tcBorders>
            <w:shd w:val="clear" w:color="auto" w:fill="auto"/>
            <w:noWrap/>
            <w:vAlign w:val="center"/>
          </w:tcPr>
          <w:p w14:paraId="09F35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包含工业防火墙、工控网络入侵检测系统、工控主机卫士、日志审计系统、第二代防火墙、软件系统等</w:t>
            </w:r>
          </w:p>
        </w:tc>
        <w:tc>
          <w:tcPr>
            <w:tcW w:w="683" w:type="dxa"/>
            <w:tcBorders>
              <w:top w:val="nil"/>
              <w:left w:val="nil"/>
              <w:bottom w:val="single" w:color="auto" w:sz="4" w:space="0"/>
              <w:right w:val="single" w:color="auto" w:sz="4" w:space="0"/>
            </w:tcBorders>
            <w:shd w:val="clear" w:color="auto" w:fill="auto"/>
            <w:noWrap/>
            <w:vAlign w:val="center"/>
          </w:tcPr>
          <w:p w14:paraId="5B0F4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13CA1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325E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32862D0">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5501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5EAC7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2E170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手动紧急报警装置</w:t>
            </w:r>
          </w:p>
        </w:tc>
        <w:tc>
          <w:tcPr>
            <w:tcW w:w="5118" w:type="dxa"/>
            <w:tcBorders>
              <w:top w:val="nil"/>
              <w:left w:val="nil"/>
              <w:bottom w:val="single" w:color="auto" w:sz="4" w:space="0"/>
              <w:right w:val="single" w:color="auto" w:sz="4" w:space="0"/>
            </w:tcBorders>
            <w:shd w:val="clear" w:color="auto" w:fill="auto"/>
            <w:noWrap/>
            <w:vAlign w:val="center"/>
          </w:tcPr>
          <w:p w14:paraId="3847D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手动紧急报警装置，预留与上一级报警接口</w:t>
            </w:r>
          </w:p>
        </w:tc>
        <w:tc>
          <w:tcPr>
            <w:tcW w:w="683" w:type="dxa"/>
            <w:tcBorders>
              <w:top w:val="nil"/>
              <w:left w:val="nil"/>
              <w:bottom w:val="single" w:color="auto" w:sz="4" w:space="0"/>
              <w:right w:val="single" w:color="auto" w:sz="4" w:space="0"/>
            </w:tcBorders>
            <w:shd w:val="clear" w:color="auto" w:fill="auto"/>
            <w:noWrap/>
            <w:vAlign w:val="center"/>
          </w:tcPr>
          <w:p w14:paraId="37410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37D7C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B3B2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06973E5C">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21FF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4B1B0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35A9C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网络机柜</w:t>
            </w:r>
          </w:p>
        </w:tc>
        <w:tc>
          <w:tcPr>
            <w:tcW w:w="5118" w:type="dxa"/>
            <w:tcBorders>
              <w:top w:val="nil"/>
              <w:left w:val="nil"/>
              <w:bottom w:val="single" w:color="auto" w:sz="4" w:space="0"/>
              <w:right w:val="single" w:color="auto" w:sz="4" w:space="0"/>
            </w:tcBorders>
            <w:shd w:val="clear" w:color="auto" w:fill="auto"/>
            <w:noWrap/>
            <w:vAlign w:val="center"/>
          </w:tcPr>
          <w:p w14:paraId="35AD1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标准42U网络机柜，尺寸2000x600x800，集成PDU、风扇部件、4只重型脚轮</w:t>
            </w:r>
          </w:p>
        </w:tc>
        <w:tc>
          <w:tcPr>
            <w:tcW w:w="683" w:type="dxa"/>
            <w:tcBorders>
              <w:top w:val="nil"/>
              <w:left w:val="nil"/>
              <w:bottom w:val="single" w:color="auto" w:sz="4" w:space="0"/>
              <w:right w:val="single" w:color="auto" w:sz="4" w:space="0"/>
            </w:tcBorders>
            <w:shd w:val="clear" w:color="auto" w:fill="auto"/>
            <w:noWrap/>
            <w:vAlign w:val="center"/>
          </w:tcPr>
          <w:p w14:paraId="07BE2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02949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25" w:type="dxa"/>
            <w:tcBorders>
              <w:top w:val="nil"/>
              <w:left w:val="nil"/>
              <w:bottom w:val="single" w:color="auto" w:sz="4" w:space="0"/>
              <w:right w:val="single" w:color="auto" w:sz="4" w:space="0"/>
            </w:tcBorders>
            <w:shd w:val="clear" w:color="auto" w:fill="auto"/>
            <w:noWrap/>
            <w:vAlign w:val="center"/>
          </w:tcPr>
          <w:p w14:paraId="11248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EEA260E">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8091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4C6CF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29B7E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操作控制台及操作椅</w:t>
            </w:r>
          </w:p>
        </w:tc>
        <w:tc>
          <w:tcPr>
            <w:tcW w:w="5118" w:type="dxa"/>
            <w:tcBorders>
              <w:top w:val="nil"/>
              <w:left w:val="nil"/>
              <w:bottom w:val="single" w:color="auto" w:sz="4" w:space="0"/>
              <w:right w:val="single" w:color="auto" w:sz="4" w:space="0"/>
            </w:tcBorders>
            <w:shd w:val="clear" w:color="auto" w:fill="auto"/>
            <w:noWrap/>
            <w:vAlign w:val="center"/>
          </w:tcPr>
          <w:p w14:paraId="7399B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5工位不锈钢操作台及电脑椅子 含电源盘，样式由甲方选定</w:t>
            </w:r>
          </w:p>
        </w:tc>
        <w:tc>
          <w:tcPr>
            <w:tcW w:w="683" w:type="dxa"/>
            <w:tcBorders>
              <w:top w:val="nil"/>
              <w:left w:val="nil"/>
              <w:bottom w:val="single" w:color="auto" w:sz="4" w:space="0"/>
              <w:right w:val="single" w:color="auto" w:sz="4" w:space="0"/>
            </w:tcBorders>
            <w:shd w:val="clear" w:color="auto" w:fill="auto"/>
            <w:noWrap/>
            <w:vAlign w:val="center"/>
          </w:tcPr>
          <w:p w14:paraId="4B7B8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3A944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5B8FF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15EC4FD">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2171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760" w:type="dxa"/>
            <w:vMerge w:val="restart"/>
            <w:tcBorders>
              <w:top w:val="nil"/>
              <w:left w:val="single" w:color="auto" w:sz="4" w:space="0"/>
              <w:bottom w:val="single" w:color="000000" w:sz="4" w:space="0"/>
              <w:right w:val="single" w:color="auto" w:sz="4" w:space="0"/>
            </w:tcBorders>
            <w:shd w:val="clear" w:color="auto" w:fill="auto"/>
            <w:noWrap/>
            <w:vAlign w:val="center"/>
          </w:tcPr>
          <w:p w14:paraId="4FE06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中控室大屏系统</w:t>
            </w:r>
          </w:p>
        </w:tc>
        <w:tc>
          <w:tcPr>
            <w:tcW w:w="1112" w:type="dxa"/>
            <w:tcBorders>
              <w:top w:val="nil"/>
              <w:left w:val="nil"/>
              <w:bottom w:val="single" w:color="auto" w:sz="4" w:space="0"/>
              <w:right w:val="single" w:color="auto" w:sz="4" w:space="0"/>
            </w:tcBorders>
            <w:shd w:val="clear" w:color="auto" w:fill="auto"/>
            <w:noWrap/>
            <w:vAlign w:val="center"/>
          </w:tcPr>
          <w:p w14:paraId="237C7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小间距LED大屏</w:t>
            </w:r>
          </w:p>
        </w:tc>
        <w:tc>
          <w:tcPr>
            <w:tcW w:w="5118" w:type="dxa"/>
            <w:tcBorders>
              <w:top w:val="nil"/>
              <w:left w:val="nil"/>
              <w:bottom w:val="single" w:color="auto" w:sz="4" w:space="0"/>
              <w:right w:val="single" w:color="auto" w:sz="4" w:space="0"/>
            </w:tcBorders>
            <w:shd w:val="clear" w:color="auto" w:fill="auto"/>
            <w:noWrap/>
            <w:vAlign w:val="center"/>
          </w:tcPr>
          <w:p w14:paraId="275E9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像素间距：</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1.538mm，显示屏面积：12.29m2，显示尺寸：4.8m×2.56m，分辨率：3120*1664，带支架；维护方式：完全前维护，寿命典型值≥100000小时</w:t>
            </w:r>
          </w:p>
        </w:tc>
        <w:tc>
          <w:tcPr>
            <w:tcW w:w="683" w:type="dxa"/>
            <w:tcBorders>
              <w:top w:val="nil"/>
              <w:left w:val="nil"/>
              <w:bottom w:val="single" w:color="auto" w:sz="4" w:space="0"/>
              <w:right w:val="single" w:color="auto" w:sz="4" w:space="0"/>
            </w:tcBorders>
            <w:shd w:val="clear" w:color="auto" w:fill="auto"/>
            <w:noWrap/>
            <w:vAlign w:val="center"/>
          </w:tcPr>
          <w:p w14:paraId="56DDE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08236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316D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由设备厂家成套配供和安装调试</w:t>
            </w:r>
          </w:p>
        </w:tc>
      </w:tr>
      <w:tr w14:paraId="5DDFD9E4">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2C49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095AE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22496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LED大屏室内支架</w:t>
            </w:r>
          </w:p>
        </w:tc>
        <w:tc>
          <w:tcPr>
            <w:tcW w:w="5118" w:type="dxa"/>
            <w:tcBorders>
              <w:top w:val="nil"/>
              <w:left w:val="nil"/>
              <w:bottom w:val="single" w:color="auto" w:sz="4" w:space="0"/>
              <w:right w:val="single" w:color="auto" w:sz="4" w:space="0"/>
            </w:tcBorders>
            <w:shd w:val="clear" w:color="auto" w:fill="auto"/>
            <w:noWrap/>
            <w:vAlign w:val="center"/>
          </w:tcPr>
          <w:p w14:paraId="35424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产品配置：四周黑色不锈钢包边，钢结构支架；重量（/m2）：20kg/m2 ；材质：Q235，钢材；含支架及屏幕四周一圈黑色不锈钢包边；颜色：黑色 ；厚度：最低100mm；表面处理：焊接节点喷涂防锈漆；弧度：建议两列箱体之间夹角2°以内；</w:t>
            </w:r>
          </w:p>
        </w:tc>
        <w:tc>
          <w:tcPr>
            <w:tcW w:w="683" w:type="dxa"/>
            <w:tcBorders>
              <w:top w:val="nil"/>
              <w:left w:val="nil"/>
              <w:bottom w:val="single" w:color="auto" w:sz="4" w:space="0"/>
              <w:right w:val="single" w:color="auto" w:sz="4" w:space="0"/>
            </w:tcBorders>
            <w:shd w:val="clear" w:color="auto" w:fill="auto"/>
            <w:noWrap/>
            <w:vAlign w:val="center"/>
          </w:tcPr>
          <w:p w14:paraId="39716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52" w:type="dxa"/>
            <w:tcBorders>
              <w:top w:val="nil"/>
              <w:left w:val="nil"/>
              <w:bottom w:val="single" w:color="auto" w:sz="4" w:space="0"/>
              <w:right w:val="single" w:color="auto" w:sz="4" w:space="0"/>
            </w:tcBorders>
            <w:shd w:val="clear" w:color="auto" w:fill="auto"/>
            <w:noWrap/>
            <w:vAlign w:val="center"/>
          </w:tcPr>
          <w:p w14:paraId="38530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5DFCD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由设备厂家成套配供和安装调试</w:t>
            </w:r>
          </w:p>
        </w:tc>
      </w:tr>
      <w:tr w14:paraId="57A64FD1">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CC66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6951F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6270E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LED大屏系统其他配套设备</w:t>
            </w:r>
          </w:p>
        </w:tc>
        <w:tc>
          <w:tcPr>
            <w:tcW w:w="5118" w:type="dxa"/>
            <w:tcBorders>
              <w:top w:val="nil"/>
              <w:left w:val="nil"/>
              <w:bottom w:val="single" w:color="auto" w:sz="4" w:space="0"/>
              <w:right w:val="single" w:color="auto" w:sz="4" w:space="0"/>
            </w:tcBorders>
            <w:shd w:val="clear" w:color="auto" w:fill="auto"/>
            <w:noWrap/>
            <w:vAlign w:val="center"/>
          </w:tcPr>
          <w:p w14:paraId="624D4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LED大屏输出板卡、LED大屏解码板卡、配电控制箱、线缆、安装附件和辅材</w:t>
            </w:r>
          </w:p>
        </w:tc>
        <w:tc>
          <w:tcPr>
            <w:tcW w:w="683" w:type="dxa"/>
            <w:tcBorders>
              <w:top w:val="nil"/>
              <w:left w:val="nil"/>
              <w:bottom w:val="single" w:color="auto" w:sz="4" w:space="0"/>
              <w:right w:val="single" w:color="auto" w:sz="4" w:space="0"/>
            </w:tcBorders>
            <w:shd w:val="clear" w:color="auto" w:fill="auto"/>
            <w:noWrap/>
            <w:vAlign w:val="center"/>
          </w:tcPr>
          <w:p w14:paraId="10059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52" w:type="dxa"/>
            <w:tcBorders>
              <w:top w:val="nil"/>
              <w:left w:val="nil"/>
              <w:bottom w:val="single" w:color="auto" w:sz="4" w:space="0"/>
              <w:right w:val="single" w:color="auto" w:sz="4" w:space="0"/>
            </w:tcBorders>
            <w:shd w:val="clear" w:color="auto" w:fill="auto"/>
            <w:noWrap/>
            <w:vAlign w:val="center"/>
          </w:tcPr>
          <w:p w14:paraId="3647D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65D5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由设备厂家成套配供和安装调试</w:t>
            </w:r>
          </w:p>
        </w:tc>
      </w:tr>
      <w:tr w14:paraId="4CF3B2A0">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B745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760" w:type="dxa"/>
            <w:vMerge w:val="restart"/>
            <w:tcBorders>
              <w:top w:val="nil"/>
              <w:left w:val="single" w:color="auto" w:sz="4" w:space="0"/>
              <w:bottom w:val="single" w:color="auto" w:sz="4" w:space="0"/>
              <w:right w:val="single" w:color="auto" w:sz="4" w:space="0"/>
            </w:tcBorders>
            <w:shd w:val="clear" w:color="auto" w:fill="auto"/>
            <w:noWrap/>
            <w:vAlign w:val="center"/>
          </w:tcPr>
          <w:p w14:paraId="65D07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门厅大屏系统</w:t>
            </w:r>
          </w:p>
        </w:tc>
        <w:tc>
          <w:tcPr>
            <w:tcW w:w="1112" w:type="dxa"/>
            <w:tcBorders>
              <w:top w:val="nil"/>
              <w:left w:val="nil"/>
              <w:bottom w:val="single" w:color="auto" w:sz="4" w:space="0"/>
              <w:right w:val="single" w:color="auto" w:sz="4" w:space="0"/>
            </w:tcBorders>
            <w:shd w:val="clear" w:color="auto" w:fill="auto"/>
            <w:noWrap/>
            <w:vAlign w:val="center"/>
          </w:tcPr>
          <w:p w14:paraId="01840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小间距LED大屏</w:t>
            </w:r>
          </w:p>
        </w:tc>
        <w:tc>
          <w:tcPr>
            <w:tcW w:w="5118" w:type="dxa"/>
            <w:tcBorders>
              <w:top w:val="nil"/>
              <w:left w:val="nil"/>
              <w:bottom w:val="single" w:color="auto" w:sz="4" w:space="0"/>
              <w:right w:val="single" w:color="auto" w:sz="4" w:space="0"/>
            </w:tcBorders>
            <w:shd w:val="clear" w:color="auto" w:fill="auto"/>
            <w:noWrap/>
            <w:vAlign w:val="center"/>
          </w:tcPr>
          <w:p w14:paraId="59F16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像素间距：</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2.5mm，显示尺寸：宽3m*高1.6875m，带支架；维护方式：完全前维护，寿命典型值≥100000小时</w:t>
            </w:r>
          </w:p>
        </w:tc>
        <w:tc>
          <w:tcPr>
            <w:tcW w:w="683" w:type="dxa"/>
            <w:tcBorders>
              <w:top w:val="nil"/>
              <w:left w:val="nil"/>
              <w:bottom w:val="single" w:color="auto" w:sz="4" w:space="0"/>
              <w:right w:val="single" w:color="auto" w:sz="4" w:space="0"/>
            </w:tcBorders>
            <w:shd w:val="clear" w:color="auto" w:fill="auto"/>
            <w:noWrap/>
            <w:vAlign w:val="center"/>
          </w:tcPr>
          <w:p w14:paraId="6A14D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8AC0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3DC93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由设备厂家成套配供和安装调试</w:t>
            </w:r>
          </w:p>
        </w:tc>
      </w:tr>
      <w:tr w14:paraId="691AB9F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BD10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760" w:type="dxa"/>
            <w:vMerge w:val="continue"/>
            <w:tcBorders>
              <w:top w:val="nil"/>
              <w:left w:val="single" w:color="auto" w:sz="4" w:space="0"/>
              <w:bottom w:val="single" w:color="auto" w:sz="4" w:space="0"/>
              <w:right w:val="single" w:color="auto" w:sz="4" w:space="0"/>
            </w:tcBorders>
            <w:shd w:val="clear" w:color="auto" w:fill="auto"/>
            <w:noWrap/>
            <w:vAlign w:val="center"/>
          </w:tcPr>
          <w:p w14:paraId="1D334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3D6EB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LED大屏室内支架</w:t>
            </w:r>
          </w:p>
        </w:tc>
        <w:tc>
          <w:tcPr>
            <w:tcW w:w="5118" w:type="dxa"/>
            <w:tcBorders>
              <w:top w:val="nil"/>
              <w:left w:val="nil"/>
              <w:bottom w:val="single" w:color="auto" w:sz="4" w:space="0"/>
              <w:right w:val="single" w:color="auto" w:sz="4" w:space="0"/>
            </w:tcBorders>
            <w:shd w:val="clear" w:color="auto" w:fill="auto"/>
            <w:noWrap/>
            <w:vAlign w:val="center"/>
          </w:tcPr>
          <w:p w14:paraId="50967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产品配置：四周黑色不锈钢包边，钢结构支架；重量（/m2）：20kg/m2 ；材质：Q235，钢材；含支架及屏幕四周一圈黑色不锈钢包边；颜色：黑色 ；厚度：最低100mm；表面处理：焊接节点喷涂防锈漆；弧度：建议两列箱体之间夹角2°以内；</w:t>
            </w:r>
          </w:p>
        </w:tc>
        <w:tc>
          <w:tcPr>
            <w:tcW w:w="683" w:type="dxa"/>
            <w:tcBorders>
              <w:top w:val="nil"/>
              <w:left w:val="nil"/>
              <w:bottom w:val="single" w:color="auto" w:sz="4" w:space="0"/>
              <w:right w:val="single" w:color="auto" w:sz="4" w:space="0"/>
            </w:tcBorders>
            <w:shd w:val="clear" w:color="auto" w:fill="auto"/>
            <w:noWrap/>
            <w:vAlign w:val="center"/>
          </w:tcPr>
          <w:p w14:paraId="4F1B6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52" w:type="dxa"/>
            <w:tcBorders>
              <w:top w:val="nil"/>
              <w:left w:val="nil"/>
              <w:bottom w:val="single" w:color="auto" w:sz="4" w:space="0"/>
              <w:right w:val="single" w:color="auto" w:sz="4" w:space="0"/>
            </w:tcBorders>
            <w:shd w:val="clear" w:color="auto" w:fill="auto"/>
            <w:noWrap/>
            <w:vAlign w:val="center"/>
          </w:tcPr>
          <w:p w14:paraId="74EBE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3855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由设备厂家成套配供和安装调试</w:t>
            </w:r>
          </w:p>
        </w:tc>
      </w:tr>
      <w:tr w14:paraId="15F16A54">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4834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60" w:type="dxa"/>
            <w:vMerge w:val="continue"/>
            <w:tcBorders>
              <w:top w:val="nil"/>
              <w:left w:val="single" w:color="auto" w:sz="4" w:space="0"/>
              <w:bottom w:val="single" w:color="auto" w:sz="4" w:space="0"/>
              <w:right w:val="single" w:color="auto" w:sz="4" w:space="0"/>
            </w:tcBorders>
            <w:shd w:val="clear" w:color="auto" w:fill="auto"/>
            <w:noWrap/>
            <w:vAlign w:val="center"/>
          </w:tcPr>
          <w:p w14:paraId="71B28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75338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LED大屏系统其他配套设备</w:t>
            </w:r>
          </w:p>
        </w:tc>
        <w:tc>
          <w:tcPr>
            <w:tcW w:w="5118" w:type="dxa"/>
            <w:tcBorders>
              <w:top w:val="nil"/>
              <w:left w:val="nil"/>
              <w:bottom w:val="single" w:color="auto" w:sz="4" w:space="0"/>
              <w:right w:val="single" w:color="auto" w:sz="4" w:space="0"/>
            </w:tcBorders>
            <w:shd w:val="clear" w:color="auto" w:fill="auto"/>
            <w:noWrap/>
            <w:vAlign w:val="center"/>
          </w:tcPr>
          <w:p w14:paraId="64AAB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LED大屏输出板卡、LED大屏解码板卡、配电控制箱、线缆、安装附件和辅材</w:t>
            </w:r>
          </w:p>
        </w:tc>
        <w:tc>
          <w:tcPr>
            <w:tcW w:w="683" w:type="dxa"/>
            <w:tcBorders>
              <w:top w:val="nil"/>
              <w:left w:val="nil"/>
              <w:bottom w:val="single" w:color="auto" w:sz="4" w:space="0"/>
              <w:right w:val="single" w:color="auto" w:sz="4" w:space="0"/>
            </w:tcBorders>
            <w:shd w:val="clear" w:color="auto" w:fill="auto"/>
            <w:noWrap/>
            <w:vAlign w:val="center"/>
          </w:tcPr>
          <w:p w14:paraId="3A680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52" w:type="dxa"/>
            <w:tcBorders>
              <w:top w:val="nil"/>
              <w:left w:val="nil"/>
              <w:bottom w:val="single" w:color="auto" w:sz="4" w:space="0"/>
              <w:right w:val="single" w:color="auto" w:sz="4" w:space="0"/>
            </w:tcBorders>
            <w:shd w:val="clear" w:color="auto" w:fill="auto"/>
            <w:noWrap/>
            <w:vAlign w:val="center"/>
          </w:tcPr>
          <w:p w14:paraId="72A7F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31588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由设备厂家成套配供和安装调试</w:t>
            </w:r>
          </w:p>
        </w:tc>
      </w:tr>
      <w:tr w14:paraId="67FD28DE">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5A7E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760" w:type="dxa"/>
            <w:vMerge w:val="restart"/>
            <w:tcBorders>
              <w:top w:val="nil"/>
              <w:left w:val="single" w:color="auto" w:sz="4" w:space="0"/>
              <w:bottom w:val="single" w:color="000000" w:sz="4" w:space="0"/>
              <w:right w:val="single" w:color="auto" w:sz="4" w:space="0"/>
            </w:tcBorders>
            <w:shd w:val="clear" w:color="auto" w:fill="auto"/>
            <w:noWrap/>
            <w:vAlign w:val="center"/>
          </w:tcPr>
          <w:p w14:paraId="2AD79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视频及安防</w:t>
            </w:r>
          </w:p>
        </w:tc>
        <w:tc>
          <w:tcPr>
            <w:tcW w:w="1112" w:type="dxa"/>
            <w:vMerge w:val="restart"/>
            <w:tcBorders>
              <w:top w:val="nil"/>
              <w:left w:val="single" w:color="auto" w:sz="4" w:space="0"/>
              <w:bottom w:val="single" w:color="auto" w:sz="4" w:space="0"/>
              <w:right w:val="single" w:color="auto" w:sz="4" w:space="0"/>
            </w:tcBorders>
            <w:shd w:val="clear" w:color="auto" w:fill="auto"/>
            <w:noWrap/>
            <w:vAlign w:val="center"/>
          </w:tcPr>
          <w:p w14:paraId="39A3D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网络高清摄像机（枪机）</w:t>
            </w:r>
          </w:p>
        </w:tc>
        <w:tc>
          <w:tcPr>
            <w:tcW w:w="5118" w:type="dxa"/>
            <w:vMerge w:val="restart"/>
            <w:tcBorders>
              <w:top w:val="nil"/>
              <w:left w:val="single" w:color="auto" w:sz="4" w:space="0"/>
              <w:bottom w:val="single" w:color="auto" w:sz="4" w:space="0"/>
              <w:right w:val="single" w:color="auto" w:sz="4" w:space="0"/>
            </w:tcBorders>
            <w:shd w:val="clear" w:color="auto" w:fill="auto"/>
            <w:noWrap/>
            <w:vAlign w:val="center"/>
          </w:tcPr>
          <w:p w14:paraId="02EFA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200万 1/2.7" CMOS红外筒型网络摄像机，支持Smart侦测：10项事件检测，1项异常检测，最低照度: 彩色：0.002 Lux @（F1.2，AGC ON），0 Lux with IR，宽动态: 120 dB，</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支持红外补光，视频压缩标准: 主码流：H.265/H.264，网络存储: 支持NAS（NFS，SMB/CIFS均支持），网络: 1个RJ45 10 M/100 M自适应以太网口，供电方式: DC：12 V ± 25%，</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支持防反接保护；PoE：802.3af，Class 3     </w:t>
            </w:r>
          </w:p>
        </w:tc>
        <w:tc>
          <w:tcPr>
            <w:tcW w:w="683" w:type="dxa"/>
            <w:vMerge w:val="restart"/>
            <w:tcBorders>
              <w:top w:val="nil"/>
              <w:left w:val="single" w:color="auto" w:sz="4" w:space="0"/>
              <w:bottom w:val="single" w:color="auto" w:sz="4" w:space="0"/>
              <w:right w:val="single" w:color="auto" w:sz="4" w:space="0"/>
            </w:tcBorders>
            <w:shd w:val="clear" w:color="auto" w:fill="auto"/>
            <w:noWrap/>
            <w:vAlign w:val="center"/>
          </w:tcPr>
          <w:p w14:paraId="472B1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vMerge w:val="restart"/>
            <w:tcBorders>
              <w:top w:val="nil"/>
              <w:left w:val="single" w:color="auto" w:sz="4" w:space="0"/>
              <w:bottom w:val="single" w:color="auto" w:sz="4" w:space="0"/>
              <w:right w:val="single" w:color="auto" w:sz="4" w:space="0"/>
            </w:tcBorders>
            <w:shd w:val="clear" w:color="auto" w:fill="auto"/>
            <w:noWrap/>
            <w:vAlign w:val="center"/>
          </w:tcPr>
          <w:p w14:paraId="12914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725" w:type="dxa"/>
            <w:vMerge w:val="restart"/>
            <w:tcBorders>
              <w:top w:val="nil"/>
              <w:left w:val="single" w:color="auto" w:sz="4" w:space="0"/>
              <w:bottom w:val="single" w:color="auto" w:sz="4" w:space="0"/>
              <w:right w:val="single" w:color="auto" w:sz="4" w:space="0"/>
            </w:tcBorders>
            <w:shd w:val="clear" w:color="auto" w:fill="auto"/>
            <w:noWrap/>
            <w:vAlign w:val="center"/>
          </w:tcPr>
          <w:p w14:paraId="73BF0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室外14套，室内13套</w:t>
            </w:r>
          </w:p>
        </w:tc>
      </w:tr>
      <w:tr w14:paraId="778E5A48">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75D3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760" w:type="dxa"/>
            <w:vMerge w:val="continue"/>
            <w:tcBorders>
              <w:top w:val="nil"/>
              <w:left w:val="single" w:color="auto" w:sz="4" w:space="0"/>
              <w:bottom w:val="single" w:color="000000" w:sz="4" w:space="0"/>
              <w:right w:val="single" w:color="auto" w:sz="4" w:space="0"/>
            </w:tcBorders>
            <w:noWrap/>
            <w:vAlign w:val="center"/>
          </w:tcPr>
          <w:p w14:paraId="6861E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vMerge w:val="continue"/>
            <w:tcBorders>
              <w:top w:val="nil"/>
              <w:left w:val="single" w:color="auto" w:sz="4" w:space="0"/>
              <w:bottom w:val="single" w:color="auto" w:sz="4" w:space="0"/>
              <w:right w:val="single" w:color="auto" w:sz="4" w:space="0"/>
            </w:tcBorders>
            <w:noWrap/>
            <w:vAlign w:val="center"/>
          </w:tcPr>
          <w:p w14:paraId="05FDB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118" w:type="dxa"/>
            <w:vMerge w:val="continue"/>
            <w:tcBorders>
              <w:top w:val="nil"/>
              <w:left w:val="single" w:color="auto" w:sz="4" w:space="0"/>
              <w:bottom w:val="single" w:color="auto" w:sz="4" w:space="0"/>
              <w:right w:val="single" w:color="auto" w:sz="4" w:space="0"/>
            </w:tcBorders>
            <w:noWrap/>
            <w:vAlign w:val="center"/>
          </w:tcPr>
          <w:p w14:paraId="34DE8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p>
        </w:tc>
        <w:tc>
          <w:tcPr>
            <w:tcW w:w="683" w:type="dxa"/>
            <w:vMerge w:val="continue"/>
            <w:tcBorders>
              <w:top w:val="nil"/>
              <w:left w:val="single" w:color="auto" w:sz="4" w:space="0"/>
              <w:bottom w:val="single" w:color="auto" w:sz="4" w:space="0"/>
              <w:right w:val="single" w:color="auto" w:sz="4" w:space="0"/>
            </w:tcBorders>
            <w:noWrap/>
            <w:vAlign w:val="center"/>
          </w:tcPr>
          <w:p w14:paraId="6A66B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752" w:type="dxa"/>
            <w:vMerge w:val="continue"/>
            <w:tcBorders>
              <w:top w:val="nil"/>
              <w:left w:val="single" w:color="auto" w:sz="4" w:space="0"/>
              <w:bottom w:val="single" w:color="auto" w:sz="4" w:space="0"/>
              <w:right w:val="single" w:color="auto" w:sz="4" w:space="0"/>
            </w:tcBorders>
            <w:noWrap/>
            <w:vAlign w:val="center"/>
          </w:tcPr>
          <w:p w14:paraId="67D21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725" w:type="dxa"/>
            <w:vMerge w:val="continue"/>
            <w:tcBorders>
              <w:top w:val="nil"/>
              <w:left w:val="single" w:color="auto" w:sz="4" w:space="0"/>
              <w:bottom w:val="single" w:color="auto" w:sz="4" w:space="0"/>
              <w:right w:val="single" w:color="auto" w:sz="4" w:space="0"/>
            </w:tcBorders>
            <w:noWrap/>
            <w:vAlign w:val="center"/>
          </w:tcPr>
          <w:p w14:paraId="68A4C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7FC0809">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F087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4D66C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vMerge w:val="restart"/>
            <w:tcBorders>
              <w:top w:val="nil"/>
              <w:left w:val="single" w:color="auto" w:sz="4" w:space="0"/>
              <w:bottom w:val="single" w:color="auto" w:sz="4" w:space="0"/>
              <w:right w:val="single" w:color="auto" w:sz="4" w:space="0"/>
            </w:tcBorders>
            <w:shd w:val="clear" w:color="auto" w:fill="auto"/>
            <w:noWrap/>
            <w:vAlign w:val="center"/>
          </w:tcPr>
          <w:p w14:paraId="1775F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网络高清摄像机（半球机）</w:t>
            </w:r>
          </w:p>
        </w:tc>
        <w:tc>
          <w:tcPr>
            <w:tcW w:w="5118" w:type="dxa"/>
            <w:vMerge w:val="restart"/>
            <w:tcBorders>
              <w:top w:val="nil"/>
              <w:left w:val="single" w:color="auto" w:sz="4" w:space="0"/>
              <w:bottom w:val="single" w:color="auto" w:sz="4" w:space="0"/>
              <w:right w:val="single" w:color="auto" w:sz="4" w:space="0"/>
            </w:tcBorders>
            <w:shd w:val="clear" w:color="auto" w:fill="auto"/>
            <w:noWrap/>
            <w:vAlign w:val="center"/>
          </w:tcPr>
          <w:p w14:paraId="22060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200万 1/2.7" CMOS红外半球型网络摄像机，支持Smart侦测：10项事件检测，1项异常检测，最低照度: 彩色：0.002 Lux @（F1.2，AGC ON），0 Lux with IR，宽动态: 120 dB，</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支持红外补光，视频压缩标准: 主码流：H.265/H.264，网络存储: 支持NAS（NFS，SMB/CIFS均支持），网络: 1个RJ45 10 M/100 M自适应以太网口，供电方式: DC：12 V ± 25%，支持防反接保护；PoE：802.3af，Class 3     </w:t>
            </w:r>
          </w:p>
        </w:tc>
        <w:tc>
          <w:tcPr>
            <w:tcW w:w="683" w:type="dxa"/>
            <w:vMerge w:val="restart"/>
            <w:tcBorders>
              <w:top w:val="nil"/>
              <w:left w:val="single" w:color="auto" w:sz="4" w:space="0"/>
              <w:bottom w:val="single" w:color="auto" w:sz="4" w:space="0"/>
              <w:right w:val="single" w:color="auto" w:sz="4" w:space="0"/>
            </w:tcBorders>
            <w:shd w:val="clear" w:color="auto" w:fill="auto"/>
            <w:noWrap/>
            <w:vAlign w:val="center"/>
          </w:tcPr>
          <w:p w14:paraId="011D7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vMerge w:val="restart"/>
            <w:tcBorders>
              <w:top w:val="nil"/>
              <w:left w:val="single" w:color="auto" w:sz="4" w:space="0"/>
              <w:bottom w:val="single" w:color="auto" w:sz="4" w:space="0"/>
              <w:right w:val="single" w:color="auto" w:sz="4" w:space="0"/>
            </w:tcBorders>
            <w:shd w:val="clear" w:color="auto" w:fill="auto"/>
            <w:noWrap/>
            <w:vAlign w:val="center"/>
          </w:tcPr>
          <w:p w14:paraId="29E1E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25" w:type="dxa"/>
            <w:vMerge w:val="restart"/>
            <w:tcBorders>
              <w:top w:val="nil"/>
              <w:left w:val="single" w:color="auto" w:sz="4" w:space="0"/>
              <w:bottom w:val="single" w:color="auto" w:sz="4" w:space="0"/>
              <w:right w:val="single" w:color="auto" w:sz="4" w:space="0"/>
            </w:tcBorders>
            <w:shd w:val="clear" w:color="auto" w:fill="auto"/>
            <w:noWrap/>
            <w:vAlign w:val="center"/>
          </w:tcPr>
          <w:p w14:paraId="4FC96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中控室</w:t>
            </w:r>
          </w:p>
        </w:tc>
      </w:tr>
      <w:tr w14:paraId="7C89510A">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06DE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760" w:type="dxa"/>
            <w:vMerge w:val="continue"/>
            <w:tcBorders>
              <w:top w:val="nil"/>
              <w:left w:val="single" w:color="auto" w:sz="4" w:space="0"/>
              <w:bottom w:val="single" w:color="000000" w:sz="4" w:space="0"/>
              <w:right w:val="single" w:color="auto" w:sz="4" w:space="0"/>
            </w:tcBorders>
            <w:noWrap/>
            <w:vAlign w:val="center"/>
          </w:tcPr>
          <w:p w14:paraId="316AB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vMerge w:val="continue"/>
            <w:tcBorders>
              <w:top w:val="nil"/>
              <w:left w:val="single" w:color="auto" w:sz="4" w:space="0"/>
              <w:bottom w:val="single" w:color="auto" w:sz="4" w:space="0"/>
              <w:right w:val="single" w:color="auto" w:sz="4" w:space="0"/>
            </w:tcBorders>
            <w:noWrap/>
            <w:vAlign w:val="center"/>
          </w:tcPr>
          <w:p w14:paraId="674E3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5118" w:type="dxa"/>
            <w:vMerge w:val="continue"/>
            <w:tcBorders>
              <w:top w:val="nil"/>
              <w:left w:val="single" w:color="auto" w:sz="4" w:space="0"/>
              <w:bottom w:val="single" w:color="auto" w:sz="4" w:space="0"/>
              <w:right w:val="single" w:color="auto" w:sz="4" w:space="0"/>
            </w:tcBorders>
            <w:noWrap/>
            <w:vAlign w:val="center"/>
          </w:tcPr>
          <w:p w14:paraId="4B64E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p>
        </w:tc>
        <w:tc>
          <w:tcPr>
            <w:tcW w:w="683" w:type="dxa"/>
            <w:vMerge w:val="continue"/>
            <w:tcBorders>
              <w:top w:val="nil"/>
              <w:left w:val="single" w:color="auto" w:sz="4" w:space="0"/>
              <w:bottom w:val="single" w:color="auto" w:sz="4" w:space="0"/>
              <w:right w:val="single" w:color="auto" w:sz="4" w:space="0"/>
            </w:tcBorders>
            <w:noWrap/>
            <w:vAlign w:val="center"/>
          </w:tcPr>
          <w:p w14:paraId="299FF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752" w:type="dxa"/>
            <w:vMerge w:val="continue"/>
            <w:tcBorders>
              <w:top w:val="nil"/>
              <w:left w:val="single" w:color="auto" w:sz="4" w:space="0"/>
              <w:bottom w:val="single" w:color="auto" w:sz="4" w:space="0"/>
              <w:right w:val="single" w:color="auto" w:sz="4" w:space="0"/>
            </w:tcBorders>
            <w:noWrap/>
            <w:vAlign w:val="center"/>
          </w:tcPr>
          <w:p w14:paraId="4B61E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725" w:type="dxa"/>
            <w:vMerge w:val="continue"/>
            <w:tcBorders>
              <w:top w:val="nil"/>
              <w:left w:val="single" w:color="auto" w:sz="4" w:space="0"/>
              <w:bottom w:val="single" w:color="auto" w:sz="4" w:space="0"/>
              <w:right w:val="single" w:color="auto" w:sz="4" w:space="0"/>
            </w:tcBorders>
            <w:noWrap/>
            <w:vAlign w:val="center"/>
          </w:tcPr>
          <w:p w14:paraId="233C9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B548B48">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9D88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35BD9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5D70A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摄像机室外立杆</w:t>
            </w:r>
          </w:p>
        </w:tc>
        <w:tc>
          <w:tcPr>
            <w:tcW w:w="5118" w:type="dxa"/>
            <w:tcBorders>
              <w:top w:val="nil"/>
              <w:left w:val="nil"/>
              <w:bottom w:val="single" w:color="auto" w:sz="4" w:space="0"/>
              <w:right w:val="single" w:color="auto" w:sz="4" w:space="0"/>
            </w:tcBorders>
            <w:shd w:val="clear" w:color="auto" w:fill="auto"/>
            <w:noWrap/>
            <w:vAlign w:val="center"/>
          </w:tcPr>
          <w:p w14:paraId="1AC96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3.5米高，自带接闪杆，安装大样参考本图</w:t>
            </w:r>
          </w:p>
        </w:tc>
        <w:tc>
          <w:tcPr>
            <w:tcW w:w="683" w:type="dxa"/>
            <w:tcBorders>
              <w:top w:val="nil"/>
              <w:left w:val="nil"/>
              <w:bottom w:val="single" w:color="auto" w:sz="4" w:space="0"/>
              <w:right w:val="single" w:color="auto" w:sz="4" w:space="0"/>
            </w:tcBorders>
            <w:shd w:val="clear" w:color="auto" w:fill="auto"/>
            <w:noWrap/>
            <w:vAlign w:val="center"/>
          </w:tcPr>
          <w:p w14:paraId="1385F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DA8B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725" w:type="dxa"/>
            <w:tcBorders>
              <w:top w:val="nil"/>
              <w:left w:val="nil"/>
              <w:bottom w:val="single" w:color="auto" w:sz="4" w:space="0"/>
              <w:right w:val="single" w:color="auto" w:sz="4" w:space="0"/>
            </w:tcBorders>
            <w:shd w:val="clear" w:color="auto" w:fill="auto"/>
            <w:noWrap/>
            <w:vAlign w:val="center"/>
          </w:tcPr>
          <w:p w14:paraId="5E14A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532AB16">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D81A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2D545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3BDF9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摄像机安装支架</w:t>
            </w:r>
          </w:p>
        </w:tc>
        <w:tc>
          <w:tcPr>
            <w:tcW w:w="5118" w:type="dxa"/>
            <w:tcBorders>
              <w:top w:val="nil"/>
              <w:left w:val="nil"/>
              <w:bottom w:val="single" w:color="auto" w:sz="4" w:space="0"/>
              <w:right w:val="single" w:color="auto" w:sz="4" w:space="0"/>
            </w:tcBorders>
            <w:shd w:val="clear" w:color="auto" w:fill="auto"/>
            <w:noWrap/>
            <w:vAlign w:val="center"/>
          </w:tcPr>
          <w:p w14:paraId="75AD2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与摄像机匹配，IP55</w:t>
            </w:r>
          </w:p>
        </w:tc>
        <w:tc>
          <w:tcPr>
            <w:tcW w:w="683" w:type="dxa"/>
            <w:tcBorders>
              <w:top w:val="nil"/>
              <w:left w:val="nil"/>
              <w:bottom w:val="single" w:color="auto" w:sz="4" w:space="0"/>
              <w:right w:val="single" w:color="auto" w:sz="4" w:space="0"/>
            </w:tcBorders>
            <w:shd w:val="clear" w:color="auto" w:fill="auto"/>
            <w:noWrap/>
            <w:vAlign w:val="center"/>
          </w:tcPr>
          <w:p w14:paraId="04A43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31D1E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725" w:type="dxa"/>
            <w:tcBorders>
              <w:top w:val="nil"/>
              <w:left w:val="nil"/>
              <w:bottom w:val="single" w:color="auto" w:sz="4" w:space="0"/>
              <w:right w:val="single" w:color="auto" w:sz="4" w:space="0"/>
            </w:tcBorders>
            <w:shd w:val="clear" w:color="auto" w:fill="auto"/>
            <w:noWrap/>
            <w:vAlign w:val="center"/>
          </w:tcPr>
          <w:p w14:paraId="25950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81919B2">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E0E3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42292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518CC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视频监控箱</w:t>
            </w:r>
          </w:p>
        </w:tc>
        <w:tc>
          <w:tcPr>
            <w:tcW w:w="5118" w:type="dxa"/>
            <w:tcBorders>
              <w:top w:val="nil"/>
              <w:left w:val="nil"/>
              <w:bottom w:val="single" w:color="auto" w:sz="4" w:space="0"/>
              <w:right w:val="single" w:color="auto" w:sz="4" w:space="0"/>
            </w:tcBorders>
            <w:shd w:val="clear" w:color="auto" w:fill="auto"/>
            <w:noWrap/>
            <w:vAlign w:val="center"/>
          </w:tcPr>
          <w:p w14:paraId="1B83E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内置开关电源、8口POE交换机</w:t>
            </w:r>
          </w:p>
        </w:tc>
        <w:tc>
          <w:tcPr>
            <w:tcW w:w="683" w:type="dxa"/>
            <w:tcBorders>
              <w:top w:val="nil"/>
              <w:left w:val="nil"/>
              <w:bottom w:val="single" w:color="auto" w:sz="4" w:space="0"/>
              <w:right w:val="single" w:color="auto" w:sz="4" w:space="0"/>
            </w:tcBorders>
            <w:shd w:val="clear" w:color="auto" w:fill="auto"/>
            <w:noWrap/>
            <w:vAlign w:val="center"/>
          </w:tcPr>
          <w:p w14:paraId="1C5B4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0E79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25" w:type="dxa"/>
            <w:tcBorders>
              <w:top w:val="nil"/>
              <w:left w:val="nil"/>
              <w:bottom w:val="single" w:color="auto" w:sz="4" w:space="0"/>
              <w:right w:val="single" w:color="auto" w:sz="4" w:space="0"/>
            </w:tcBorders>
            <w:shd w:val="clear" w:color="auto" w:fill="auto"/>
            <w:noWrap/>
            <w:vAlign w:val="center"/>
          </w:tcPr>
          <w:p w14:paraId="6BA23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5BDFF5F">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6495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7D68B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3E0B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光纤终端盒</w:t>
            </w:r>
          </w:p>
        </w:tc>
        <w:tc>
          <w:tcPr>
            <w:tcW w:w="5118" w:type="dxa"/>
            <w:tcBorders>
              <w:top w:val="nil"/>
              <w:left w:val="nil"/>
              <w:bottom w:val="single" w:color="auto" w:sz="4" w:space="0"/>
              <w:right w:val="single" w:color="auto" w:sz="4" w:space="0"/>
            </w:tcBorders>
            <w:shd w:val="clear" w:color="auto" w:fill="auto"/>
            <w:noWrap/>
            <w:vAlign w:val="center"/>
          </w:tcPr>
          <w:p w14:paraId="37799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4口光纤终端盒，含耦合器、跳线</w:t>
            </w:r>
          </w:p>
        </w:tc>
        <w:tc>
          <w:tcPr>
            <w:tcW w:w="683" w:type="dxa"/>
            <w:tcBorders>
              <w:top w:val="nil"/>
              <w:left w:val="nil"/>
              <w:bottom w:val="single" w:color="auto" w:sz="4" w:space="0"/>
              <w:right w:val="single" w:color="auto" w:sz="4" w:space="0"/>
            </w:tcBorders>
            <w:shd w:val="clear" w:color="auto" w:fill="auto"/>
            <w:noWrap/>
            <w:vAlign w:val="center"/>
          </w:tcPr>
          <w:p w14:paraId="2B1EE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29B2B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25" w:type="dxa"/>
            <w:tcBorders>
              <w:top w:val="nil"/>
              <w:left w:val="nil"/>
              <w:bottom w:val="single" w:color="auto" w:sz="4" w:space="0"/>
              <w:right w:val="single" w:color="auto" w:sz="4" w:space="0"/>
            </w:tcBorders>
            <w:shd w:val="clear" w:color="auto" w:fill="auto"/>
            <w:noWrap/>
            <w:vAlign w:val="center"/>
          </w:tcPr>
          <w:p w14:paraId="0452A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73BA1D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757B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34A94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56151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电源信号二合一防雷器</w:t>
            </w:r>
          </w:p>
        </w:tc>
        <w:tc>
          <w:tcPr>
            <w:tcW w:w="5118" w:type="dxa"/>
            <w:tcBorders>
              <w:top w:val="nil"/>
              <w:left w:val="nil"/>
              <w:bottom w:val="single" w:color="auto" w:sz="4" w:space="0"/>
              <w:right w:val="single" w:color="auto" w:sz="4" w:space="0"/>
            </w:tcBorders>
            <w:shd w:val="clear" w:color="auto" w:fill="auto"/>
            <w:noWrap/>
            <w:vAlign w:val="center"/>
          </w:tcPr>
          <w:p w14:paraId="60145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83" w:type="dxa"/>
            <w:tcBorders>
              <w:top w:val="nil"/>
              <w:left w:val="nil"/>
              <w:bottom w:val="single" w:color="auto" w:sz="4" w:space="0"/>
              <w:right w:val="single" w:color="auto" w:sz="4" w:space="0"/>
            </w:tcBorders>
            <w:shd w:val="clear" w:color="auto" w:fill="auto"/>
            <w:noWrap/>
            <w:vAlign w:val="center"/>
          </w:tcPr>
          <w:p w14:paraId="5367D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788E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25" w:type="dxa"/>
            <w:tcBorders>
              <w:top w:val="nil"/>
              <w:left w:val="nil"/>
              <w:bottom w:val="single" w:color="auto" w:sz="4" w:space="0"/>
              <w:right w:val="single" w:color="auto" w:sz="4" w:space="0"/>
            </w:tcBorders>
            <w:shd w:val="clear" w:color="auto" w:fill="auto"/>
            <w:noWrap/>
            <w:vAlign w:val="center"/>
          </w:tcPr>
          <w:p w14:paraId="6F720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091FE99B">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B291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3762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368C5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辅材附件</w:t>
            </w:r>
          </w:p>
        </w:tc>
        <w:tc>
          <w:tcPr>
            <w:tcW w:w="5118" w:type="dxa"/>
            <w:tcBorders>
              <w:top w:val="nil"/>
              <w:left w:val="nil"/>
              <w:bottom w:val="single" w:color="auto" w:sz="4" w:space="0"/>
              <w:right w:val="single" w:color="auto" w:sz="4" w:space="0"/>
            </w:tcBorders>
            <w:shd w:val="clear" w:color="auto" w:fill="auto"/>
            <w:noWrap/>
            <w:vAlign w:val="center"/>
          </w:tcPr>
          <w:p w14:paraId="0DF35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83" w:type="dxa"/>
            <w:tcBorders>
              <w:top w:val="nil"/>
              <w:left w:val="nil"/>
              <w:bottom w:val="single" w:color="auto" w:sz="4" w:space="0"/>
              <w:right w:val="single" w:color="auto" w:sz="4" w:space="0"/>
            </w:tcBorders>
            <w:shd w:val="clear" w:color="auto" w:fill="auto"/>
            <w:noWrap/>
            <w:vAlign w:val="center"/>
          </w:tcPr>
          <w:p w14:paraId="618C9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52" w:type="dxa"/>
            <w:tcBorders>
              <w:top w:val="nil"/>
              <w:left w:val="nil"/>
              <w:bottom w:val="single" w:color="auto" w:sz="4" w:space="0"/>
              <w:right w:val="single" w:color="auto" w:sz="4" w:space="0"/>
            </w:tcBorders>
            <w:shd w:val="clear" w:color="auto" w:fill="auto"/>
            <w:noWrap/>
            <w:vAlign w:val="center"/>
          </w:tcPr>
          <w:p w14:paraId="23647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7756E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26C9818">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232E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0F50A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0DB22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高清网络录像机</w:t>
            </w:r>
          </w:p>
        </w:tc>
        <w:tc>
          <w:tcPr>
            <w:tcW w:w="5118" w:type="dxa"/>
            <w:tcBorders>
              <w:top w:val="nil"/>
              <w:left w:val="nil"/>
              <w:bottom w:val="single" w:color="auto" w:sz="4" w:space="0"/>
              <w:right w:val="single" w:color="auto" w:sz="4" w:space="0"/>
            </w:tcBorders>
            <w:shd w:val="clear" w:color="auto" w:fill="auto"/>
            <w:noWrap/>
            <w:vAlign w:val="center"/>
          </w:tcPr>
          <w:p w14:paraId="0825B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32路16盘位/1024Mbps接入带宽/企业级SATA硬盘/64位多核处理器/4GB缓存（可扩展至64GB）/2个千兆数据网口/1个千兆管理网口/冗余电源/网络协议：RTSP/ONVIF/PSIA/（GB/T28181）/支持视频矫正功能</w:t>
            </w:r>
          </w:p>
        </w:tc>
        <w:tc>
          <w:tcPr>
            <w:tcW w:w="683" w:type="dxa"/>
            <w:tcBorders>
              <w:top w:val="nil"/>
              <w:left w:val="nil"/>
              <w:bottom w:val="single" w:color="auto" w:sz="4" w:space="0"/>
              <w:right w:val="single" w:color="auto" w:sz="4" w:space="0"/>
            </w:tcBorders>
            <w:shd w:val="clear" w:color="auto" w:fill="auto"/>
            <w:noWrap/>
            <w:vAlign w:val="center"/>
          </w:tcPr>
          <w:p w14:paraId="62C33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72C31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6177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37438DB">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C449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71DFB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8942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视频矩阵</w:t>
            </w:r>
          </w:p>
        </w:tc>
        <w:tc>
          <w:tcPr>
            <w:tcW w:w="5118" w:type="dxa"/>
            <w:tcBorders>
              <w:top w:val="nil"/>
              <w:left w:val="nil"/>
              <w:bottom w:val="single" w:color="auto" w:sz="4" w:space="0"/>
              <w:right w:val="single" w:color="auto" w:sz="4" w:space="0"/>
            </w:tcBorders>
            <w:shd w:val="clear" w:color="auto" w:fill="auto"/>
            <w:noWrap/>
            <w:vAlign w:val="center"/>
          </w:tcPr>
          <w:p w14:paraId="2B02A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16路输入16路输出</w:t>
            </w:r>
          </w:p>
        </w:tc>
        <w:tc>
          <w:tcPr>
            <w:tcW w:w="683" w:type="dxa"/>
            <w:tcBorders>
              <w:top w:val="nil"/>
              <w:left w:val="nil"/>
              <w:bottom w:val="single" w:color="auto" w:sz="4" w:space="0"/>
              <w:right w:val="single" w:color="auto" w:sz="4" w:space="0"/>
            </w:tcBorders>
            <w:shd w:val="clear" w:color="auto" w:fill="auto"/>
            <w:noWrap/>
            <w:vAlign w:val="center"/>
          </w:tcPr>
          <w:p w14:paraId="6E0B5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6126C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0D43F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433C465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EB60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22405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40E74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监控专用存储硬盘</w:t>
            </w:r>
          </w:p>
        </w:tc>
        <w:tc>
          <w:tcPr>
            <w:tcW w:w="5118" w:type="dxa"/>
            <w:tcBorders>
              <w:top w:val="nil"/>
              <w:left w:val="nil"/>
              <w:bottom w:val="single" w:color="auto" w:sz="4" w:space="0"/>
              <w:right w:val="single" w:color="auto" w:sz="4" w:space="0"/>
            </w:tcBorders>
            <w:shd w:val="clear" w:color="auto" w:fill="auto"/>
            <w:noWrap/>
            <w:vAlign w:val="center"/>
          </w:tcPr>
          <w:p w14:paraId="2A98B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8T</w:t>
            </w:r>
          </w:p>
        </w:tc>
        <w:tc>
          <w:tcPr>
            <w:tcW w:w="683" w:type="dxa"/>
            <w:tcBorders>
              <w:top w:val="nil"/>
              <w:left w:val="nil"/>
              <w:bottom w:val="single" w:color="auto" w:sz="4" w:space="0"/>
              <w:right w:val="single" w:color="auto" w:sz="4" w:space="0"/>
            </w:tcBorders>
            <w:shd w:val="clear" w:color="auto" w:fill="auto"/>
            <w:noWrap/>
            <w:vAlign w:val="center"/>
          </w:tcPr>
          <w:p w14:paraId="3CF58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78C3B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25" w:type="dxa"/>
            <w:tcBorders>
              <w:top w:val="nil"/>
              <w:left w:val="nil"/>
              <w:bottom w:val="single" w:color="auto" w:sz="4" w:space="0"/>
              <w:right w:val="single" w:color="auto" w:sz="4" w:space="0"/>
            </w:tcBorders>
            <w:shd w:val="clear" w:color="auto" w:fill="auto"/>
            <w:noWrap/>
            <w:vAlign w:val="center"/>
          </w:tcPr>
          <w:p w14:paraId="3E669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9781F5E">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624B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37</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3535B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6756C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综合管理平台</w:t>
            </w:r>
          </w:p>
        </w:tc>
        <w:tc>
          <w:tcPr>
            <w:tcW w:w="5118" w:type="dxa"/>
            <w:tcBorders>
              <w:top w:val="nil"/>
              <w:left w:val="nil"/>
              <w:bottom w:val="single" w:color="auto" w:sz="4" w:space="0"/>
              <w:right w:val="single" w:color="auto" w:sz="4" w:space="0"/>
            </w:tcBorders>
            <w:shd w:val="clear" w:color="auto" w:fill="auto"/>
            <w:noWrap/>
            <w:vAlign w:val="center"/>
          </w:tcPr>
          <w:p w14:paraId="13B9D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4210×2/64G DDR4/600G 10K  SAS×4(RAID_1)/SAS_HBA/1GbE×2+10GbE×2/550W(1+1)/2U/16DIMM 2U双路标准机架式服务器 CPU：2颗intel至强系列处理器，核数≥10核，主频≥</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2.2GHz 内存：64G DDR4， 16根内存插槽，最大支持扩展至2TB内存 硬盘：4块600G 10K 2.5寸 SAS硬盘 阵列卡：SAS_HBA卡, 支持RAID 0/1/10 PCIE扩展：最大可支持6个PCIE扩展插槽 网口：2</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个千兆电口，2个万兆光口 其他接口：1个RJ45管理接口，后置2个USB 3.0接口，前置2个USB2.0接口，1个VGA接口 电源：标配550W（1+1）高效铂金CRPS冗余电源  机箱规格：87.8mm(高)x</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448mm(宽)x729.8mm(深) 配置系统基础包，提供业务应用依赖的基础资源信息及基础服务能力。视频监控应用提供视频管理服务；基础门禁管理通过接入多种门禁设备，利用卡片、人脸、指纹介质，实现人员身</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份识别、出入管控等智能应用； 巡更管理应用，利用门禁点、报警器等设备作为巡更点，完成区域内的巡更任务。</w:t>
            </w:r>
          </w:p>
        </w:tc>
        <w:tc>
          <w:tcPr>
            <w:tcW w:w="683" w:type="dxa"/>
            <w:tcBorders>
              <w:top w:val="nil"/>
              <w:left w:val="nil"/>
              <w:bottom w:val="single" w:color="auto" w:sz="4" w:space="0"/>
              <w:right w:val="single" w:color="auto" w:sz="4" w:space="0"/>
            </w:tcBorders>
            <w:shd w:val="clear" w:color="auto" w:fill="auto"/>
            <w:noWrap/>
            <w:vAlign w:val="center"/>
          </w:tcPr>
          <w:p w14:paraId="3C432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0F07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766D8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A75E2CA">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6FCF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38</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2B95C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40D2F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安防计算机</w:t>
            </w:r>
          </w:p>
        </w:tc>
        <w:tc>
          <w:tcPr>
            <w:tcW w:w="5118" w:type="dxa"/>
            <w:tcBorders>
              <w:top w:val="nil"/>
              <w:left w:val="nil"/>
              <w:bottom w:val="single" w:color="auto" w:sz="4" w:space="0"/>
              <w:right w:val="single" w:color="auto" w:sz="4" w:space="0"/>
            </w:tcBorders>
            <w:shd w:val="clear" w:color="auto" w:fill="auto"/>
            <w:noWrap/>
            <w:vAlign w:val="center"/>
          </w:tcPr>
          <w:p w14:paraId="62BA9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酷睿双核酷睿I5处理器 3.2GHz，内存:16GB，硬盘:1TB 独立显卡，显示器:24寸</w:t>
            </w:r>
          </w:p>
        </w:tc>
        <w:tc>
          <w:tcPr>
            <w:tcW w:w="683" w:type="dxa"/>
            <w:tcBorders>
              <w:top w:val="nil"/>
              <w:left w:val="nil"/>
              <w:bottom w:val="single" w:color="auto" w:sz="4" w:space="0"/>
              <w:right w:val="single" w:color="auto" w:sz="4" w:space="0"/>
            </w:tcBorders>
            <w:shd w:val="clear" w:color="auto" w:fill="auto"/>
            <w:noWrap/>
            <w:vAlign w:val="center"/>
          </w:tcPr>
          <w:p w14:paraId="3BBE7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6D58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167CC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B0A4B0C">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2D23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39</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21570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7389C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门禁系统</w:t>
            </w:r>
          </w:p>
        </w:tc>
        <w:tc>
          <w:tcPr>
            <w:tcW w:w="5118" w:type="dxa"/>
            <w:tcBorders>
              <w:top w:val="nil"/>
              <w:left w:val="nil"/>
              <w:bottom w:val="single" w:color="auto" w:sz="4" w:space="0"/>
              <w:right w:val="single" w:color="auto" w:sz="4" w:space="0"/>
            </w:tcBorders>
            <w:shd w:val="clear" w:color="auto" w:fill="auto"/>
            <w:noWrap/>
            <w:vAlign w:val="center"/>
          </w:tcPr>
          <w:p w14:paraId="749FE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成套设备，包含相关安装附件，并带通讯接口，可接入厂区安防系统中，并可根据甲方需要更新扩容</w:t>
            </w:r>
          </w:p>
        </w:tc>
        <w:tc>
          <w:tcPr>
            <w:tcW w:w="683" w:type="dxa"/>
            <w:tcBorders>
              <w:top w:val="nil"/>
              <w:left w:val="nil"/>
              <w:bottom w:val="single" w:color="auto" w:sz="4" w:space="0"/>
              <w:right w:val="single" w:color="auto" w:sz="4" w:space="0"/>
            </w:tcBorders>
            <w:shd w:val="clear" w:color="auto" w:fill="auto"/>
            <w:noWrap/>
            <w:vAlign w:val="center"/>
          </w:tcPr>
          <w:p w14:paraId="66190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20926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25" w:type="dxa"/>
            <w:tcBorders>
              <w:top w:val="nil"/>
              <w:left w:val="nil"/>
              <w:bottom w:val="single" w:color="auto" w:sz="4" w:space="0"/>
              <w:right w:val="single" w:color="auto" w:sz="4" w:space="0"/>
            </w:tcBorders>
            <w:shd w:val="clear" w:color="auto" w:fill="auto"/>
            <w:noWrap/>
            <w:vAlign w:val="center"/>
          </w:tcPr>
          <w:p w14:paraId="60338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进水出水在线监测房、中控室</w:t>
            </w:r>
          </w:p>
        </w:tc>
      </w:tr>
      <w:tr w14:paraId="52D63E33">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83B9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2D879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0E22A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周界报警主机</w:t>
            </w:r>
          </w:p>
        </w:tc>
        <w:tc>
          <w:tcPr>
            <w:tcW w:w="5118" w:type="dxa"/>
            <w:tcBorders>
              <w:top w:val="nil"/>
              <w:left w:val="nil"/>
              <w:bottom w:val="single" w:color="auto" w:sz="4" w:space="0"/>
              <w:right w:val="single" w:color="auto" w:sz="4" w:space="0"/>
            </w:tcBorders>
            <w:shd w:val="clear" w:color="auto" w:fill="auto"/>
            <w:noWrap/>
            <w:vAlign w:val="center"/>
          </w:tcPr>
          <w:p w14:paraId="3068F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输出高压脉冲峰值5KV～10KV，输出低压脉冲峰值700～1000V，脉冲电流峰值≤10A，脉冲持续时间≤0.1s，脉冲间隔时间＞1s，单个脉冲输出最大电量2.5mC，单个脉冲输出最大能量≤5J，可上传报警信号 </w:t>
            </w:r>
          </w:p>
        </w:tc>
        <w:tc>
          <w:tcPr>
            <w:tcW w:w="683" w:type="dxa"/>
            <w:tcBorders>
              <w:top w:val="nil"/>
              <w:left w:val="nil"/>
              <w:bottom w:val="single" w:color="auto" w:sz="4" w:space="0"/>
              <w:right w:val="single" w:color="auto" w:sz="4" w:space="0"/>
            </w:tcBorders>
            <w:shd w:val="clear" w:color="auto" w:fill="auto"/>
            <w:noWrap/>
            <w:vAlign w:val="center"/>
          </w:tcPr>
          <w:p w14:paraId="0F18F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52" w:type="dxa"/>
            <w:tcBorders>
              <w:top w:val="nil"/>
              <w:left w:val="nil"/>
              <w:bottom w:val="single" w:color="auto" w:sz="4" w:space="0"/>
              <w:right w:val="single" w:color="auto" w:sz="4" w:space="0"/>
            </w:tcBorders>
            <w:shd w:val="clear" w:color="auto" w:fill="auto"/>
            <w:noWrap/>
            <w:vAlign w:val="center"/>
          </w:tcPr>
          <w:p w14:paraId="09686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2BA21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成套设备，由设备厂家负责安装调试</w:t>
            </w:r>
          </w:p>
        </w:tc>
      </w:tr>
      <w:tr w14:paraId="74EB611C">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D087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F1B5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42698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周界报警合金线及相关配套附件</w:t>
            </w:r>
          </w:p>
        </w:tc>
        <w:tc>
          <w:tcPr>
            <w:tcW w:w="5118" w:type="dxa"/>
            <w:tcBorders>
              <w:top w:val="nil"/>
              <w:left w:val="nil"/>
              <w:bottom w:val="single" w:color="auto" w:sz="4" w:space="0"/>
              <w:right w:val="single" w:color="auto" w:sz="4" w:space="0"/>
            </w:tcBorders>
            <w:shd w:val="clear" w:color="auto" w:fill="auto"/>
            <w:noWrap/>
            <w:vAlign w:val="center"/>
          </w:tcPr>
          <w:p w14:paraId="3570D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6线，包括：支架及基础</w:t>
            </w:r>
          </w:p>
        </w:tc>
        <w:tc>
          <w:tcPr>
            <w:tcW w:w="683" w:type="dxa"/>
            <w:tcBorders>
              <w:top w:val="nil"/>
              <w:left w:val="nil"/>
              <w:bottom w:val="single" w:color="auto" w:sz="4" w:space="0"/>
              <w:right w:val="single" w:color="auto" w:sz="4" w:space="0"/>
            </w:tcBorders>
            <w:shd w:val="clear" w:color="auto" w:fill="auto"/>
            <w:noWrap/>
            <w:vAlign w:val="center"/>
          </w:tcPr>
          <w:p w14:paraId="662A9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12D76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65C53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成套设备，由设备厂家负责安装调试</w:t>
            </w:r>
          </w:p>
        </w:tc>
      </w:tr>
      <w:tr w14:paraId="4EF6C09F">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0EA6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3941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C310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入口人行道闸系统（选装）</w:t>
            </w:r>
          </w:p>
        </w:tc>
        <w:tc>
          <w:tcPr>
            <w:tcW w:w="5118" w:type="dxa"/>
            <w:tcBorders>
              <w:top w:val="nil"/>
              <w:left w:val="nil"/>
              <w:bottom w:val="single" w:color="auto" w:sz="4" w:space="0"/>
              <w:right w:val="single" w:color="auto" w:sz="4" w:space="0"/>
            </w:tcBorders>
            <w:shd w:val="clear" w:color="auto" w:fill="auto"/>
            <w:noWrap/>
            <w:vAlign w:val="center"/>
          </w:tcPr>
          <w:p w14:paraId="69FAC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通道宽: 550mm（具体以实际为准） 材质: 1.5mm 304不锈钢 驱动电机: 24V/40W直流无刷电机 电源电压: AC220V±10 %50Hz  工作温度:－25℃-＋65℃  工作湿度:≤90%不凝露 通讯接口: RS485/232  </w:t>
            </w:r>
          </w:p>
        </w:tc>
        <w:tc>
          <w:tcPr>
            <w:tcW w:w="683" w:type="dxa"/>
            <w:tcBorders>
              <w:top w:val="nil"/>
              <w:left w:val="nil"/>
              <w:bottom w:val="single" w:color="auto" w:sz="4" w:space="0"/>
              <w:right w:val="single" w:color="auto" w:sz="4" w:space="0"/>
            </w:tcBorders>
            <w:shd w:val="clear" w:color="auto" w:fill="auto"/>
            <w:noWrap/>
            <w:vAlign w:val="center"/>
          </w:tcPr>
          <w:p w14:paraId="4ED3D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4B936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3D619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成套设备，由设备厂家负责安装调试</w:t>
            </w:r>
          </w:p>
        </w:tc>
      </w:tr>
      <w:tr w14:paraId="4C1DA031">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1128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45F53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2739F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入口车行道闸系统（选装）</w:t>
            </w:r>
          </w:p>
        </w:tc>
        <w:tc>
          <w:tcPr>
            <w:tcW w:w="5118" w:type="dxa"/>
            <w:tcBorders>
              <w:top w:val="nil"/>
              <w:left w:val="nil"/>
              <w:bottom w:val="single" w:color="auto" w:sz="4" w:space="0"/>
              <w:right w:val="single" w:color="auto" w:sz="4" w:space="0"/>
            </w:tcBorders>
            <w:shd w:val="clear" w:color="auto" w:fill="auto"/>
            <w:noWrap/>
            <w:vAlign w:val="center"/>
          </w:tcPr>
          <w:p w14:paraId="477E1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电机采用蜗轮蜗杆铝合金电机，封闭式结构；电机内置温控防护系统，防止电机，过热或过冷损伤，适用环境温度达-40°C～+80°C；</w:t>
            </w:r>
          </w:p>
        </w:tc>
        <w:tc>
          <w:tcPr>
            <w:tcW w:w="683" w:type="dxa"/>
            <w:tcBorders>
              <w:top w:val="nil"/>
              <w:left w:val="nil"/>
              <w:bottom w:val="single" w:color="auto" w:sz="4" w:space="0"/>
              <w:right w:val="single" w:color="auto" w:sz="4" w:space="0"/>
            </w:tcBorders>
            <w:shd w:val="clear" w:color="auto" w:fill="auto"/>
            <w:noWrap/>
            <w:vAlign w:val="center"/>
          </w:tcPr>
          <w:p w14:paraId="04CAE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52" w:type="dxa"/>
            <w:tcBorders>
              <w:top w:val="nil"/>
              <w:left w:val="nil"/>
              <w:bottom w:val="single" w:color="auto" w:sz="4" w:space="0"/>
              <w:right w:val="single" w:color="auto" w:sz="4" w:space="0"/>
            </w:tcBorders>
            <w:shd w:val="clear" w:color="auto" w:fill="auto"/>
            <w:noWrap/>
            <w:vAlign w:val="center"/>
          </w:tcPr>
          <w:p w14:paraId="05D4B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25" w:type="dxa"/>
            <w:tcBorders>
              <w:top w:val="nil"/>
              <w:left w:val="nil"/>
              <w:bottom w:val="single" w:color="auto" w:sz="4" w:space="0"/>
              <w:right w:val="single" w:color="auto" w:sz="4" w:space="0"/>
            </w:tcBorders>
            <w:shd w:val="clear" w:color="auto" w:fill="auto"/>
            <w:noWrap/>
            <w:vAlign w:val="center"/>
          </w:tcPr>
          <w:p w14:paraId="34C0D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成套设备，由设备厂家负责安装调试</w:t>
            </w:r>
          </w:p>
        </w:tc>
      </w:tr>
      <w:tr w14:paraId="3E35CC96">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5B53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w:t>
            </w:r>
          </w:p>
        </w:tc>
        <w:tc>
          <w:tcPr>
            <w:tcW w:w="760" w:type="dxa"/>
            <w:vMerge w:val="restart"/>
            <w:tcBorders>
              <w:top w:val="nil"/>
              <w:left w:val="single" w:color="auto" w:sz="4" w:space="0"/>
              <w:bottom w:val="single" w:color="000000" w:sz="4" w:space="0"/>
              <w:right w:val="single" w:color="auto" w:sz="4" w:space="0"/>
            </w:tcBorders>
            <w:shd w:val="clear" w:color="auto" w:fill="auto"/>
            <w:noWrap/>
            <w:vAlign w:val="center"/>
          </w:tcPr>
          <w:p w14:paraId="6F821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主要管线</w:t>
            </w:r>
          </w:p>
        </w:tc>
        <w:tc>
          <w:tcPr>
            <w:tcW w:w="1112" w:type="dxa"/>
            <w:tcBorders>
              <w:top w:val="nil"/>
              <w:left w:val="nil"/>
              <w:bottom w:val="single" w:color="auto" w:sz="4" w:space="0"/>
              <w:right w:val="single" w:color="auto" w:sz="4" w:space="0"/>
            </w:tcBorders>
            <w:shd w:val="clear" w:color="auto" w:fill="auto"/>
            <w:noWrap/>
            <w:vAlign w:val="center"/>
          </w:tcPr>
          <w:p w14:paraId="26A8F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2BC97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四芯多模光纤</w:t>
            </w:r>
          </w:p>
        </w:tc>
        <w:tc>
          <w:tcPr>
            <w:tcW w:w="683" w:type="dxa"/>
            <w:tcBorders>
              <w:top w:val="nil"/>
              <w:left w:val="nil"/>
              <w:bottom w:val="single" w:color="auto" w:sz="4" w:space="0"/>
              <w:right w:val="single" w:color="auto" w:sz="4" w:space="0"/>
            </w:tcBorders>
            <w:shd w:val="clear" w:color="auto" w:fill="auto"/>
            <w:noWrap/>
            <w:vAlign w:val="center"/>
          </w:tcPr>
          <w:p w14:paraId="09B6C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501FB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725" w:type="dxa"/>
            <w:vMerge w:val="restart"/>
            <w:tcBorders>
              <w:top w:val="nil"/>
              <w:left w:val="nil"/>
              <w:right w:val="single" w:color="auto" w:sz="4" w:space="0"/>
            </w:tcBorders>
            <w:shd w:val="clear" w:color="auto" w:fill="auto"/>
            <w:noWrap/>
            <w:vAlign w:val="center"/>
          </w:tcPr>
          <w:p w14:paraId="38FD4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06C53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管线由投标人根据图纸自行深化进行综合考虑　</w:t>
            </w:r>
          </w:p>
        </w:tc>
      </w:tr>
      <w:tr w14:paraId="25A8C8CF">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401C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51A97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698C7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77AA7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KVVR-0.45/0.75KV-7×1.0</w:t>
            </w:r>
          </w:p>
        </w:tc>
        <w:tc>
          <w:tcPr>
            <w:tcW w:w="683" w:type="dxa"/>
            <w:tcBorders>
              <w:top w:val="nil"/>
              <w:left w:val="nil"/>
              <w:bottom w:val="single" w:color="auto" w:sz="4" w:space="0"/>
              <w:right w:val="single" w:color="auto" w:sz="4" w:space="0"/>
            </w:tcBorders>
            <w:shd w:val="clear" w:color="auto" w:fill="auto"/>
            <w:noWrap/>
            <w:vAlign w:val="center"/>
          </w:tcPr>
          <w:p w14:paraId="1F72C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564D5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28703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C0D6BFB">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6054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46</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C78B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1ACE4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4DEA7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KVVR-0.45/0.75KV-5×1.0</w:t>
            </w:r>
          </w:p>
        </w:tc>
        <w:tc>
          <w:tcPr>
            <w:tcW w:w="683" w:type="dxa"/>
            <w:tcBorders>
              <w:top w:val="nil"/>
              <w:left w:val="nil"/>
              <w:bottom w:val="single" w:color="auto" w:sz="4" w:space="0"/>
              <w:right w:val="single" w:color="auto" w:sz="4" w:space="0"/>
            </w:tcBorders>
            <w:shd w:val="clear" w:color="auto" w:fill="auto"/>
            <w:noWrap/>
            <w:vAlign w:val="center"/>
          </w:tcPr>
          <w:p w14:paraId="224FB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6DD65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241CE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B58F206">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5D12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47</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7F3F4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5E229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67117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DJYPV-0.3/0.5KV-3×2×1.0</w:t>
            </w:r>
          </w:p>
        </w:tc>
        <w:tc>
          <w:tcPr>
            <w:tcW w:w="683" w:type="dxa"/>
            <w:tcBorders>
              <w:top w:val="nil"/>
              <w:left w:val="nil"/>
              <w:bottom w:val="single" w:color="auto" w:sz="4" w:space="0"/>
              <w:right w:val="single" w:color="auto" w:sz="4" w:space="0"/>
            </w:tcBorders>
            <w:shd w:val="clear" w:color="auto" w:fill="auto"/>
            <w:noWrap/>
            <w:vAlign w:val="center"/>
          </w:tcPr>
          <w:p w14:paraId="42390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5D2E1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688CA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033EFE6">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8931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48</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C810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27F3A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3F58C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DJYPV-0.3/0.5KV-2×2×1.0</w:t>
            </w:r>
          </w:p>
        </w:tc>
        <w:tc>
          <w:tcPr>
            <w:tcW w:w="683" w:type="dxa"/>
            <w:tcBorders>
              <w:top w:val="nil"/>
              <w:left w:val="nil"/>
              <w:bottom w:val="single" w:color="auto" w:sz="4" w:space="0"/>
              <w:right w:val="single" w:color="auto" w:sz="4" w:space="0"/>
            </w:tcBorders>
            <w:shd w:val="clear" w:color="auto" w:fill="auto"/>
            <w:noWrap/>
            <w:vAlign w:val="center"/>
          </w:tcPr>
          <w:p w14:paraId="3E6B3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645B9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3C423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82A191C">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F824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49</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44756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2E7C7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2443E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YJV-0.6/1KV-3×2.5</w:t>
            </w:r>
          </w:p>
        </w:tc>
        <w:tc>
          <w:tcPr>
            <w:tcW w:w="683" w:type="dxa"/>
            <w:tcBorders>
              <w:top w:val="nil"/>
              <w:left w:val="nil"/>
              <w:bottom w:val="single" w:color="auto" w:sz="4" w:space="0"/>
              <w:right w:val="single" w:color="auto" w:sz="4" w:space="0"/>
            </w:tcBorders>
            <w:shd w:val="clear" w:color="auto" w:fill="auto"/>
            <w:noWrap/>
            <w:vAlign w:val="center"/>
          </w:tcPr>
          <w:p w14:paraId="655B8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408BB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742BC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5F01E99">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5AF4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30425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4B5F7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36AA0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超六类网络线</w:t>
            </w:r>
          </w:p>
        </w:tc>
        <w:tc>
          <w:tcPr>
            <w:tcW w:w="683" w:type="dxa"/>
            <w:tcBorders>
              <w:top w:val="nil"/>
              <w:left w:val="nil"/>
              <w:bottom w:val="single" w:color="auto" w:sz="4" w:space="0"/>
              <w:right w:val="single" w:color="auto" w:sz="4" w:space="0"/>
            </w:tcBorders>
            <w:shd w:val="clear" w:color="auto" w:fill="auto"/>
            <w:noWrap/>
            <w:vAlign w:val="center"/>
          </w:tcPr>
          <w:p w14:paraId="5184F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582E7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6DCE0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5985FC8">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6E0C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51</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19F3E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01DFC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自控线缆</w:t>
            </w:r>
          </w:p>
        </w:tc>
        <w:tc>
          <w:tcPr>
            <w:tcW w:w="5118" w:type="dxa"/>
            <w:tcBorders>
              <w:top w:val="nil"/>
              <w:left w:val="nil"/>
              <w:bottom w:val="single" w:color="auto" w:sz="4" w:space="0"/>
              <w:right w:val="single" w:color="auto" w:sz="4" w:space="0"/>
            </w:tcBorders>
            <w:shd w:val="clear" w:color="auto" w:fill="auto"/>
            <w:noWrap/>
            <w:vAlign w:val="center"/>
          </w:tcPr>
          <w:p w14:paraId="2FFF6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RS485通讯线缆</w:t>
            </w:r>
          </w:p>
        </w:tc>
        <w:tc>
          <w:tcPr>
            <w:tcW w:w="683" w:type="dxa"/>
            <w:tcBorders>
              <w:top w:val="nil"/>
              <w:left w:val="nil"/>
              <w:bottom w:val="single" w:color="auto" w:sz="4" w:space="0"/>
              <w:right w:val="single" w:color="auto" w:sz="4" w:space="0"/>
            </w:tcBorders>
            <w:shd w:val="clear" w:color="auto" w:fill="auto"/>
            <w:noWrap/>
            <w:vAlign w:val="center"/>
          </w:tcPr>
          <w:p w14:paraId="6798A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4ACC5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742A8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1EE7ECC">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C8E6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52</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54C33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267DE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热镀锌钢管</w:t>
            </w:r>
          </w:p>
        </w:tc>
        <w:tc>
          <w:tcPr>
            <w:tcW w:w="5118" w:type="dxa"/>
            <w:tcBorders>
              <w:top w:val="nil"/>
              <w:left w:val="nil"/>
              <w:bottom w:val="single" w:color="auto" w:sz="4" w:space="0"/>
              <w:right w:val="single" w:color="auto" w:sz="4" w:space="0"/>
            </w:tcBorders>
            <w:shd w:val="clear" w:color="auto" w:fill="auto"/>
            <w:noWrap/>
            <w:vAlign w:val="center"/>
          </w:tcPr>
          <w:p w14:paraId="26C82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RC25</w:t>
            </w:r>
          </w:p>
        </w:tc>
        <w:tc>
          <w:tcPr>
            <w:tcW w:w="683" w:type="dxa"/>
            <w:tcBorders>
              <w:top w:val="nil"/>
              <w:left w:val="nil"/>
              <w:bottom w:val="single" w:color="auto" w:sz="4" w:space="0"/>
              <w:right w:val="single" w:color="auto" w:sz="4" w:space="0"/>
            </w:tcBorders>
            <w:shd w:val="clear" w:color="auto" w:fill="auto"/>
            <w:noWrap/>
            <w:vAlign w:val="center"/>
          </w:tcPr>
          <w:p w14:paraId="7936F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2D611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54181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C4242B8">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145E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53</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7EC90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03DBE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热镀锌钢管</w:t>
            </w:r>
          </w:p>
        </w:tc>
        <w:tc>
          <w:tcPr>
            <w:tcW w:w="5118" w:type="dxa"/>
            <w:tcBorders>
              <w:top w:val="nil"/>
              <w:left w:val="nil"/>
              <w:bottom w:val="single" w:color="auto" w:sz="4" w:space="0"/>
              <w:right w:val="single" w:color="auto" w:sz="4" w:space="0"/>
            </w:tcBorders>
            <w:shd w:val="clear" w:color="auto" w:fill="auto"/>
            <w:noWrap/>
            <w:vAlign w:val="center"/>
          </w:tcPr>
          <w:p w14:paraId="64409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RC32</w:t>
            </w:r>
          </w:p>
        </w:tc>
        <w:tc>
          <w:tcPr>
            <w:tcW w:w="683" w:type="dxa"/>
            <w:tcBorders>
              <w:top w:val="nil"/>
              <w:left w:val="nil"/>
              <w:bottom w:val="single" w:color="auto" w:sz="4" w:space="0"/>
              <w:right w:val="single" w:color="auto" w:sz="4" w:space="0"/>
            </w:tcBorders>
            <w:shd w:val="clear" w:color="auto" w:fill="auto"/>
            <w:noWrap/>
            <w:vAlign w:val="center"/>
          </w:tcPr>
          <w:p w14:paraId="63307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33B75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497CD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10749D7">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E027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54</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7BA11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58064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热镀锌钢管</w:t>
            </w:r>
          </w:p>
        </w:tc>
        <w:tc>
          <w:tcPr>
            <w:tcW w:w="5118" w:type="dxa"/>
            <w:tcBorders>
              <w:top w:val="nil"/>
              <w:left w:val="nil"/>
              <w:bottom w:val="single" w:color="auto" w:sz="4" w:space="0"/>
              <w:right w:val="single" w:color="auto" w:sz="4" w:space="0"/>
            </w:tcBorders>
            <w:shd w:val="clear" w:color="auto" w:fill="auto"/>
            <w:noWrap/>
            <w:vAlign w:val="center"/>
          </w:tcPr>
          <w:p w14:paraId="2382A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RC100</w:t>
            </w:r>
          </w:p>
        </w:tc>
        <w:tc>
          <w:tcPr>
            <w:tcW w:w="683" w:type="dxa"/>
            <w:tcBorders>
              <w:top w:val="nil"/>
              <w:left w:val="nil"/>
              <w:bottom w:val="single" w:color="auto" w:sz="4" w:space="0"/>
              <w:right w:val="single" w:color="auto" w:sz="4" w:space="0"/>
            </w:tcBorders>
            <w:shd w:val="clear" w:color="auto" w:fill="auto"/>
            <w:noWrap/>
            <w:vAlign w:val="center"/>
          </w:tcPr>
          <w:p w14:paraId="530C1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7BD97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right w:val="single" w:color="auto" w:sz="4" w:space="0"/>
            </w:tcBorders>
            <w:shd w:val="clear" w:color="auto" w:fill="auto"/>
            <w:noWrap/>
            <w:vAlign w:val="center"/>
          </w:tcPr>
          <w:p w14:paraId="066F9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6CC9623">
        <w:tblPrEx>
          <w:tblCellMar>
            <w:top w:w="0" w:type="dxa"/>
            <w:left w:w="108" w:type="dxa"/>
            <w:bottom w:w="0" w:type="dxa"/>
            <w:right w:w="108" w:type="dxa"/>
          </w:tblCellMar>
        </w:tblPrEx>
        <w:trPr>
          <w:trHeight w:val="45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BC1B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55</w:t>
            </w:r>
          </w:p>
        </w:tc>
        <w:tc>
          <w:tcPr>
            <w:tcW w:w="760" w:type="dxa"/>
            <w:vMerge w:val="continue"/>
            <w:tcBorders>
              <w:top w:val="nil"/>
              <w:left w:val="single" w:color="auto" w:sz="4" w:space="0"/>
              <w:bottom w:val="single" w:color="000000" w:sz="4" w:space="0"/>
              <w:right w:val="single" w:color="auto" w:sz="4" w:space="0"/>
            </w:tcBorders>
            <w:shd w:val="clear" w:color="auto" w:fill="auto"/>
            <w:noWrap/>
            <w:vAlign w:val="center"/>
          </w:tcPr>
          <w:p w14:paraId="6E704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112" w:type="dxa"/>
            <w:tcBorders>
              <w:top w:val="nil"/>
              <w:left w:val="nil"/>
              <w:bottom w:val="single" w:color="auto" w:sz="4" w:space="0"/>
              <w:right w:val="single" w:color="auto" w:sz="4" w:space="0"/>
            </w:tcBorders>
            <w:shd w:val="clear" w:color="auto" w:fill="auto"/>
            <w:noWrap/>
            <w:vAlign w:val="center"/>
          </w:tcPr>
          <w:p w14:paraId="6F839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接线井</w:t>
            </w:r>
          </w:p>
        </w:tc>
        <w:tc>
          <w:tcPr>
            <w:tcW w:w="5118" w:type="dxa"/>
            <w:tcBorders>
              <w:top w:val="nil"/>
              <w:left w:val="nil"/>
              <w:bottom w:val="single" w:color="auto" w:sz="4" w:space="0"/>
              <w:right w:val="single" w:color="auto" w:sz="4" w:space="0"/>
            </w:tcBorders>
            <w:shd w:val="clear" w:color="auto" w:fill="auto"/>
            <w:noWrap/>
            <w:vAlign w:val="center"/>
          </w:tcPr>
          <w:p w14:paraId="47AD5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参考07SD101-8 P120~122</w:t>
            </w:r>
          </w:p>
        </w:tc>
        <w:tc>
          <w:tcPr>
            <w:tcW w:w="683" w:type="dxa"/>
            <w:tcBorders>
              <w:top w:val="nil"/>
              <w:left w:val="nil"/>
              <w:bottom w:val="single" w:color="auto" w:sz="4" w:space="0"/>
              <w:right w:val="single" w:color="auto" w:sz="4" w:space="0"/>
            </w:tcBorders>
            <w:shd w:val="clear" w:color="auto" w:fill="auto"/>
            <w:noWrap/>
            <w:vAlign w:val="center"/>
          </w:tcPr>
          <w:p w14:paraId="357F3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52" w:type="dxa"/>
            <w:tcBorders>
              <w:top w:val="nil"/>
              <w:left w:val="nil"/>
              <w:bottom w:val="single" w:color="auto" w:sz="4" w:space="0"/>
              <w:right w:val="single" w:color="auto" w:sz="4" w:space="0"/>
            </w:tcBorders>
            <w:shd w:val="clear" w:color="auto" w:fill="auto"/>
            <w:noWrap/>
            <w:vAlign w:val="center"/>
          </w:tcPr>
          <w:p w14:paraId="02EDF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725" w:type="dxa"/>
            <w:vMerge w:val="continue"/>
            <w:tcBorders>
              <w:left w:val="nil"/>
              <w:bottom w:val="single" w:color="auto" w:sz="4" w:space="0"/>
              <w:right w:val="single" w:color="auto" w:sz="4" w:space="0"/>
            </w:tcBorders>
            <w:shd w:val="clear" w:color="auto" w:fill="auto"/>
            <w:noWrap/>
            <w:vAlign w:val="center"/>
          </w:tcPr>
          <w:p w14:paraId="22D1F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064542DE">
      <w:pPr>
        <w:widowControl/>
        <w:ind w:left="0" w:leftChars="0" w:firstLine="0" w:firstLineChars="0"/>
        <w:jc w:val="both"/>
        <w:textAlignment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2.2</w:t>
      </w:r>
      <w:r>
        <w:rPr>
          <w:rFonts w:hint="eastAsia" w:ascii="宋体" w:hAnsi="宋体" w:cs="宋体"/>
          <w:b/>
          <w:bCs/>
          <w:color w:val="auto"/>
          <w:kern w:val="0"/>
          <w:sz w:val="24"/>
          <w:szCs w:val="24"/>
          <w:highlight w:val="none"/>
        </w:rPr>
        <w:t>仪表配置一览表</w:t>
      </w:r>
    </w:p>
    <w:tbl>
      <w:tblPr>
        <w:tblStyle w:val="43"/>
        <w:tblW w:w="10492" w:type="dxa"/>
        <w:jc w:val="center"/>
        <w:tblLayout w:type="fixed"/>
        <w:tblCellMar>
          <w:top w:w="0" w:type="dxa"/>
          <w:left w:w="108" w:type="dxa"/>
          <w:bottom w:w="0" w:type="dxa"/>
          <w:right w:w="108" w:type="dxa"/>
        </w:tblCellMar>
      </w:tblPr>
      <w:tblGrid>
        <w:gridCol w:w="575"/>
        <w:gridCol w:w="764"/>
        <w:gridCol w:w="1095"/>
        <w:gridCol w:w="4673"/>
        <w:gridCol w:w="670"/>
        <w:gridCol w:w="780"/>
        <w:gridCol w:w="1935"/>
      </w:tblGrid>
      <w:tr w14:paraId="4F5E7E9F">
        <w:tblPrEx>
          <w:tblCellMar>
            <w:top w:w="0" w:type="dxa"/>
            <w:left w:w="108" w:type="dxa"/>
            <w:bottom w:w="0" w:type="dxa"/>
            <w:right w:w="108" w:type="dxa"/>
          </w:tblCellMar>
        </w:tblPrEx>
        <w:trPr>
          <w:trHeight w:val="454" w:hRule="atLeast"/>
          <w:tblHeader/>
          <w:jc w:val="center"/>
        </w:trPr>
        <w:tc>
          <w:tcPr>
            <w:tcW w:w="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52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764" w:type="dxa"/>
            <w:tcBorders>
              <w:top w:val="single" w:color="auto" w:sz="4" w:space="0"/>
              <w:left w:val="nil"/>
              <w:bottom w:val="single" w:color="auto" w:sz="4" w:space="0"/>
              <w:right w:val="single" w:color="auto" w:sz="4" w:space="0"/>
            </w:tcBorders>
            <w:shd w:val="clear" w:color="auto" w:fill="auto"/>
            <w:noWrap/>
            <w:vAlign w:val="center"/>
          </w:tcPr>
          <w:p w14:paraId="618FC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分类</w:t>
            </w:r>
          </w:p>
        </w:tc>
        <w:tc>
          <w:tcPr>
            <w:tcW w:w="1095" w:type="dxa"/>
            <w:tcBorders>
              <w:top w:val="single" w:color="auto" w:sz="4" w:space="0"/>
              <w:left w:val="nil"/>
              <w:bottom w:val="single" w:color="auto" w:sz="4" w:space="0"/>
              <w:right w:val="single" w:color="auto" w:sz="4" w:space="0"/>
            </w:tcBorders>
            <w:shd w:val="clear" w:color="auto" w:fill="auto"/>
            <w:noWrap/>
            <w:vAlign w:val="center"/>
          </w:tcPr>
          <w:p w14:paraId="2C57E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4673" w:type="dxa"/>
            <w:tcBorders>
              <w:top w:val="single" w:color="auto" w:sz="4" w:space="0"/>
              <w:left w:val="nil"/>
              <w:bottom w:val="single" w:color="auto" w:sz="4" w:space="0"/>
              <w:right w:val="single" w:color="auto" w:sz="4" w:space="0"/>
            </w:tcBorders>
            <w:shd w:val="clear" w:color="auto" w:fill="auto"/>
            <w:noWrap/>
            <w:vAlign w:val="center"/>
          </w:tcPr>
          <w:p w14:paraId="02611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型号规格</w:t>
            </w:r>
          </w:p>
        </w:tc>
        <w:tc>
          <w:tcPr>
            <w:tcW w:w="670" w:type="dxa"/>
            <w:tcBorders>
              <w:top w:val="single" w:color="auto" w:sz="4" w:space="0"/>
              <w:left w:val="nil"/>
              <w:bottom w:val="single" w:color="auto" w:sz="4" w:space="0"/>
              <w:right w:val="single" w:color="auto" w:sz="4" w:space="0"/>
            </w:tcBorders>
            <w:shd w:val="clear" w:color="auto" w:fill="auto"/>
            <w:noWrap/>
            <w:vAlign w:val="center"/>
          </w:tcPr>
          <w:p w14:paraId="55D94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50D8E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935" w:type="dxa"/>
            <w:tcBorders>
              <w:top w:val="single" w:color="auto" w:sz="4" w:space="0"/>
              <w:left w:val="nil"/>
              <w:bottom w:val="single" w:color="auto" w:sz="4" w:space="0"/>
              <w:right w:val="single" w:color="auto" w:sz="4" w:space="0"/>
            </w:tcBorders>
            <w:shd w:val="clear" w:color="auto" w:fill="auto"/>
            <w:noWrap/>
            <w:vAlign w:val="center"/>
          </w:tcPr>
          <w:p w14:paraId="5191A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4AE8D3C7">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3ED4A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64" w:type="dxa"/>
            <w:vMerge w:val="restart"/>
            <w:tcBorders>
              <w:top w:val="nil"/>
              <w:left w:val="single" w:color="auto" w:sz="4" w:space="0"/>
              <w:bottom w:val="single" w:color="000000" w:sz="4" w:space="0"/>
              <w:right w:val="single" w:color="auto" w:sz="4" w:space="0"/>
            </w:tcBorders>
            <w:shd w:val="clear" w:color="auto" w:fill="auto"/>
            <w:noWrap/>
            <w:vAlign w:val="center"/>
          </w:tcPr>
          <w:p w14:paraId="2C754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进水在线仪表间</w:t>
            </w:r>
          </w:p>
        </w:tc>
        <w:tc>
          <w:tcPr>
            <w:tcW w:w="1095" w:type="dxa"/>
            <w:tcBorders>
              <w:top w:val="nil"/>
              <w:left w:val="nil"/>
              <w:bottom w:val="single" w:color="auto" w:sz="4" w:space="0"/>
              <w:right w:val="single" w:color="auto" w:sz="4" w:space="0"/>
            </w:tcBorders>
            <w:shd w:val="clear" w:color="auto" w:fill="auto"/>
            <w:noWrap/>
            <w:vAlign w:val="center"/>
          </w:tcPr>
          <w:p w14:paraId="10A3B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COD分析仪</w:t>
            </w:r>
          </w:p>
        </w:tc>
        <w:tc>
          <w:tcPr>
            <w:tcW w:w="4673" w:type="dxa"/>
            <w:tcBorders>
              <w:top w:val="nil"/>
              <w:left w:val="nil"/>
              <w:bottom w:val="single" w:color="auto" w:sz="4" w:space="0"/>
              <w:right w:val="single" w:color="auto" w:sz="4" w:space="0"/>
            </w:tcBorders>
            <w:shd w:val="clear" w:color="auto" w:fill="auto"/>
            <w:noWrap/>
            <w:vAlign w:val="center"/>
          </w:tcPr>
          <w:p w14:paraId="556A4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重铬酸钾氧化分光光度法；测量范围：0-500mg/L，量程自动切换或稀释再分析；双光束式比色计；自清洗；四线制；输入：220±22V，50±0.5Hz；输出：4-20mA电流；带485、232通讯接口，含箱柜、药剂，具备标液核查功能；具备抗氯离子干扰功能；符合HJ 212-2017污染物在线监控（监测）系统数据传输标准；具备废水废液分离功能；具有试剂和水样反推功能；</w:t>
            </w:r>
          </w:p>
        </w:tc>
        <w:tc>
          <w:tcPr>
            <w:tcW w:w="670" w:type="dxa"/>
            <w:tcBorders>
              <w:top w:val="nil"/>
              <w:left w:val="nil"/>
              <w:bottom w:val="single" w:color="auto" w:sz="4" w:space="0"/>
              <w:right w:val="single" w:color="auto" w:sz="4" w:space="0"/>
            </w:tcBorders>
            <w:shd w:val="clear" w:color="auto" w:fill="auto"/>
            <w:noWrap/>
            <w:vAlign w:val="center"/>
          </w:tcPr>
          <w:p w14:paraId="5B894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66C88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restart"/>
            <w:tcBorders>
              <w:top w:val="nil"/>
              <w:left w:val="single" w:color="auto" w:sz="4" w:space="0"/>
              <w:bottom w:val="single" w:color="auto" w:sz="4" w:space="0"/>
              <w:right w:val="single" w:color="auto" w:sz="4" w:space="0"/>
            </w:tcBorders>
            <w:shd w:val="clear" w:color="auto" w:fill="auto"/>
            <w:noWrap/>
            <w:vAlign w:val="center"/>
          </w:tcPr>
          <w:p w14:paraId="3EF9C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应满足《水污染源在线监测系统</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（CODcr、NH3-N等）安装技</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术规范》 HJ353-2019的相</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关要求</w:t>
            </w:r>
          </w:p>
        </w:tc>
      </w:tr>
      <w:tr w14:paraId="37A31774">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6A870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4E196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2441D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NH3-N分析仪</w:t>
            </w:r>
          </w:p>
        </w:tc>
        <w:tc>
          <w:tcPr>
            <w:tcW w:w="4673" w:type="dxa"/>
            <w:tcBorders>
              <w:top w:val="nil"/>
              <w:left w:val="nil"/>
              <w:bottom w:val="single" w:color="auto" w:sz="4" w:space="0"/>
              <w:right w:val="single" w:color="auto" w:sz="4" w:space="0"/>
            </w:tcBorders>
            <w:shd w:val="clear" w:color="auto" w:fill="auto"/>
            <w:noWrap/>
            <w:vAlign w:val="center"/>
          </w:tcPr>
          <w:p w14:paraId="1B086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水杨酸分光光度法；测量范围：0-60mg/L，量程自动切换或稀释再分析；双光束式比色计；自清洗；四线制；输入：220±22V，50±0.5Hz；输出：4-20mA电流；带485、232通讯接口，含箱柜、药剂，具备标液核查功能；符合HJ 212-2017污染物在线监控（监测）系统数据传输标准；具备废水废液分离功能；具有试剂和水样反推功能；具备抗浊度、色度、盐度、硬度干扰功能；</w:t>
            </w:r>
          </w:p>
        </w:tc>
        <w:tc>
          <w:tcPr>
            <w:tcW w:w="670" w:type="dxa"/>
            <w:tcBorders>
              <w:top w:val="nil"/>
              <w:left w:val="nil"/>
              <w:bottom w:val="single" w:color="auto" w:sz="4" w:space="0"/>
              <w:right w:val="single" w:color="auto" w:sz="4" w:space="0"/>
            </w:tcBorders>
            <w:shd w:val="clear" w:color="auto" w:fill="auto"/>
            <w:noWrap/>
            <w:vAlign w:val="center"/>
          </w:tcPr>
          <w:p w14:paraId="79271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F4E0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2215B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3ECA55D">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621D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18EE8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687FB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pH/T在线分析仪</w:t>
            </w:r>
          </w:p>
        </w:tc>
        <w:tc>
          <w:tcPr>
            <w:tcW w:w="4673" w:type="dxa"/>
            <w:tcBorders>
              <w:top w:val="nil"/>
              <w:left w:val="nil"/>
              <w:bottom w:val="single" w:color="auto" w:sz="4" w:space="0"/>
              <w:right w:val="single" w:color="auto" w:sz="4" w:space="0"/>
            </w:tcBorders>
            <w:shd w:val="clear" w:color="auto" w:fill="auto"/>
            <w:noWrap/>
            <w:vAlign w:val="center"/>
          </w:tcPr>
          <w:p w14:paraId="3A5F6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玻璃电极法；测量范围：pH：0-14；温度：0-50℃；防护等级：IP68；带485通讯接口，支持标准Modbus协议；输入：220±22V，50/60Hz；响应时间：小于5s；</w:t>
            </w:r>
          </w:p>
        </w:tc>
        <w:tc>
          <w:tcPr>
            <w:tcW w:w="670" w:type="dxa"/>
            <w:tcBorders>
              <w:top w:val="nil"/>
              <w:left w:val="nil"/>
              <w:bottom w:val="single" w:color="auto" w:sz="4" w:space="0"/>
              <w:right w:val="single" w:color="auto" w:sz="4" w:space="0"/>
            </w:tcBorders>
            <w:shd w:val="clear" w:color="auto" w:fill="auto"/>
            <w:noWrap/>
            <w:vAlign w:val="center"/>
          </w:tcPr>
          <w:p w14:paraId="59724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5DD5F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6AD44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81FC42C">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478F4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17D74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1B262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进水总磷检测仪</w:t>
            </w:r>
          </w:p>
        </w:tc>
        <w:tc>
          <w:tcPr>
            <w:tcW w:w="4673" w:type="dxa"/>
            <w:tcBorders>
              <w:top w:val="nil"/>
              <w:left w:val="nil"/>
              <w:bottom w:val="single" w:color="auto" w:sz="4" w:space="0"/>
              <w:right w:val="single" w:color="auto" w:sz="4" w:space="0"/>
            </w:tcBorders>
            <w:shd w:val="clear" w:color="auto" w:fill="auto"/>
            <w:noWrap/>
            <w:vAlign w:val="center"/>
          </w:tcPr>
          <w:p w14:paraId="6C263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钼酸盐分光光度法；测量范围：0-5mg/L，量程自动切换或稀释再分析；双光束式比色计；自清洗；四线制；输入：220±22V，50±0.5Hz；输出：4-20mA电流；带485、232通讯接口，含箱柜、药剂，具备标液核查功能；符合HJ 212-2017污染物在线监控（监测）系统数据传输标准；具备废水废液分离功能；具有试剂和水样反推功能；含紫外消解模块；</w:t>
            </w:r>
          </w:p>
        </w:tc>
        <w:tc>
          <w:tcPr>
            <w:tcW w:w="670" w:type="dxa"/>
            <w:tcBorders>
              <w:top w:val="nil"/>
              <w:left w:val="nil"/>
              <w:bottom w:val="single" w:color="auto" w:sz="4" w:space="0"/>
              <w:right w:val="single" w:color="auto" w:sz="4" w:space="0"/>
            </w:tcBorders>
            <w:shd w:val="clear" w:color="auto" w:fill="auto"/>
            <w:noWrap/>
            <w:vAlign w:val="center"/>
          </w:tcPr>
          <w:p w14:paraId="6F991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8784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61BF3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47CC1C6">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26FC1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6A6A5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64BBE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进水总氮检测仪</w:t>
            </w:r>
          </w:p>
        </w:tc>
        <w:tc>
          <w:tcPr>
            <w:tcW w:w="4673" w:type="dxa"/>
            <w:tcBorders>
              <w:top w:val="nil"/>
              <w:left w:val="nil"/>
              <w:bottom w:val="single" w:color="auto" w:sz="4" w:space="0"/>
              <w:right w:val="single" w:color="auto" w:sz="4" w:space="0"/>
            </w:tcBorders>
            <w:shd w:val="clear" w:color="auto" w:fill="auto"/>
            <w:noWrap/>
            <w:vAlign w:val="center"/>
          </w:tcPr>
          <w:p w14:paraId="2DC93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过硫酸钾氧化紫外分光光度法；测量范围：0-100mg/L，量程自动切换或稀释再分析；自清洗；四线制；输入：220±22V，50±0.5Hz；输出：4-20mA电流；带485、232通讯接口，含箱柜、药剂，具备标液核查功能；符合HJ 212-2017污染物在线监控（监测）系统数据传输标准；具备废水废液分离功能；具有试剂和水样反推功能；具备抗盐度、硬度干扰功能；含紫外消解模块；</w:t>
            </w:r>
          </w:p>
        </w:tc>
        <w:tc>
          <w:tcPr>
            <w:tcW w:w="670" w:type="dxa"/>
            <w:tcBorders>
              <w:top w:val="nil"/>
              <w:left w:val="nil"/>
              <w:bottom w:val="single" w:color="auto" w:sz="4" w:space="0"/>
              <w:right w:val="single" w:color="auto" w:sz="4" w:space="0"/>
            </w:tcBorders>
            <w:shd w:val="clear" w:color="auto" w:fill="auto"/>
            <w:noWrap/>
            <w:vAlign w:val="center"/>
          </w:tcPr>
          <w:p w14:paraId="48FE3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254E6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5A13B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AF8E576">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5BA3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5A814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91E9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水质自动采样器</w:t>
            </w:r>
          </w:p>
        </w:tc>
        <w:tc>
          <w:tcPr>
            <w:tcW w:w="4673" w:type="dxa"/>
            <w:tcBorders>
              <w:top w:val="nil"/>
              <w:left w:val="nil"/>
              <w:bottom w:val="single" w:color="auto" w:sz="4" w:space="0"/>
              <w:right w:val="single" w:color="auto" w:sz="4" w:space="0"/>
            </w:tcBorders>
            <w:shd w:val="clear" w:color="auto" w:fill="auto"/>
            <w:noWrap/>
            <w:vAlign w:val="center"/>
          </w:tcPr>
          <w:p w14:paraId="6B82C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质自动采样单元具有采集瞬时水样及混合水样，混匀及暂存水样、自动润洗及排空混匀桶，以及留样功能。水质自动采样单元的管材应采用优质的聚氯乙烯（PVC）、三丙聚丙烯（PPR）等不影响分析结果的硬管。采样泵应根据采样流量、水质自动采样单元的水头损失及水位差合理选择。应使用寿命长、易维护的，并且对水质参数没有影响的采样泵，安装位置应便于采样泵的维护。数据控制单元可协调统一运行水污染源在线监测系统，采集、储存、显示监测数据及运行日志，向监控中心平台上传污染源监测数据</w:t>
            </w:r>
          </w:p>
        </w:tc>
        <w:tc>
          <w:tcPr>
            <w:tcW w:w="670" w:type="dxa"/>
            <w:tcBorders>
              <w:top w:val="nil"/>
              <w:left w:val="nil"/>
              <w:bottom w:val="single" w:color="auto" w:sz="4" w:space="0"/>
              <w:right w:val="single" w:color="auto" w:sz="4" w:space="0"/>
            </w:tcBorders>
            <w:shd w:val="clear" w:color="auto" w:fill="auto"/>
            <w:noWrap/>
            <w:vAlign w:val="center"/>
          </w:tcPr>
          <w:p w14:paraId="37295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5BD42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0E71D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2C9B90D">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70C0B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794C0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0BDAD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取样设备及管线</w:t>
            </w:r>
          </w:p>
        </w:tc>
        <w:tc>
          <w:tcPr>
            <w:tcW w:w="4673" w:type="dxa"/>
            <w:tcBorders>
              <w:top w:val="nil"/>
              <w:left w:val="nil"/>
              <w:bottom w:val="single" w:color="auto" w:sz="4" w:space="0"/>
              <w:right w:val="single" w:color="auto" w:sz="4" w:space="0"/>
            </w:tcBorders>
            <w:shd w:val="clear" w:color="auto" w:fill="auto"/>
            <w:noWrap/>
            <w:vAlign w:val="center"/>
          </w:tcPr>
          <w:p w14:paraId="1A175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不限于采样泵、PVC取样管、样水隔离阀，切换电磁阀等</w:t>
            </w:r>
          </w:p>
        </w:tc>
        <w:tc>
          <w:tcPr>
            <w:tcW w:w="670" w:type="dxa"/>
            <w:tcBorders>
              <w:top w:val="nil"/>
              <w:left w:val="nil"/>
              <w:bottom w:val="single" w:color="auto" w:sz="4" w:space="0"/>
              <w:right w:val="single" w:color="auto" w:sz="4" w:space="0"/>
            </w:tcBorders>
            <w:shd w:val="clear" w:color="auto" w:fill="auto"/>
            <w:noWrap/>
            <w:vAlign w:val="center"/>
          </w:tcPr>
          <w:p w14:paraId="3BC1E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2AB4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58D32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BD9CED9">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1397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283CB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2760E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质控仪</w:t>
            </w:r>
          </w:p>
        </w:tc>
        <w:tc>
          <w:tcPr>
            <w:tcW w:w="4673" w:type="dxa"/>
            <w:tcBorders>
              <w:top w:val="nil"/>
              <w:left w:val="nil"/>
              <w:bottom w:val="single" w:color="auto" w:sz="4" w:space="0"/>
              <w:right w:val="single" w:color="auto" w:sz="4" w:space="0"/>
            </w:tcBorders>
            <w:shd w:val="clear" w:color="auto" w:fill="auto"/>
            <w:noWrap/>
            <w:vAlign w:val="center"/>
          </w:tcPr>
          <w:p w14:paraId="2F12C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分析仪表厂家配套，仪表功能配套或独立配置方式任选，配套系统单元控制柜</w:t>
            </w:r>
          </w:p>
        </w:tc>
        <w:tc>
          <w:tcPr>
            <w:tcW w:w="670" w:type="dxa"/>
            <w:tcBorders>
              <w:top w:val="nil"/>
              <w:left w:val="nil"/>
              <w:bottom w:val="single" w:color="auto" w:sz="4" w:space="0"/>
              <w:right w:val="single" w:color="auto" w:sz="4" w:space="0"/>
            </w:tcBorders>
            <w:shd w:val="clear" w:color="auto" w:fill="auto"/>
            <w:noWrap/>
            <w:vAlign w:val="center"/>
          </w:tcPr>
          <w:p w14:paraId="1A627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4284B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75C44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920CB20">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9C1A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3B65A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6949C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数采仪</w:t>
            </w:r>
          </w:p>
        </w:tc>
        <w:tc>
          <w:tcPr>
            <w:tcW w:w="4673" w:type="dxa"/>
            <w:tcBorders>
              <w:top w:val="nil"/>
              <w:left w:val="nil"/>
              <w:bottom w:val="single" w:color="auto" w:sz="4" w:space="0"/>
              <w:right w:val="single" w:color="auto" w:sz="4" w:space="0"/>
            </w:tcBorders>
            <w:shd w:val="clear" w:color="auto" w:fill="auto"/>
            <w:noWrap/>
            <w:vAlign w:val="center"/>
          </w:tcPr>
          <w:p w14:paraId="724E2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带不锈钢304柜体，用于与环保部门通讯，以太网接口，配套提供文本显示器</w:t>
            </w:r>
          </w:p>
        </w:tc>
        <w:tc>
          <w:tcPr>
            <w:tcW w:w="670" w:type="dxa"/>
            <w:tcBorders>
              <w:top w:val="nil"/>
              <w:left w:val="nil"/>
              <w:bottom w:val="single" w:color="auto" w:sz="4" w:space="0"/>
              <w:right w:val="single" w:color="auto" w:sz="4" w:space="0"/>
            </w:tcBorders>
            <w:shd w:val="clear" w:color="auto" w:fill="auto"/>
            <w:noWrap/>
            <w:vAlign w:val="center"/>
          </w:tcPr>
          <w:p w14:paraId="69600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40B5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3F752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30CC123">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402DC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2F9C8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347AC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仪表电源箱</w:t>
            </w:r>
          </w:p>
        </w:tc>
        <w:tc>
          <w:tcPr>
            <w:tcW w:w="4673" w:type="dxa"/>
            <w:tcBorders>
              <w:top w:val="nil"/>
              <w:left w:val="nil"/>
              <w:bottom w:val="single" w:color="auto" w:sz="4" w:space="0"/>
              <w:right w:val="single" w:color="auto" w:sz="4" w:space="0"/>
            </w:tcBorders>
            <w:shd w:val="clear" w:color="auto" w:fill="auto"/>
            <w:noWrap/>
            <w:vAlign w:val="center"/>
          </w:tcPr>
          <w:p w14:paraId="6084D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不锈钢材质 尺寸按需，防护等级IP44 内置1KVA UPS电源及相应开关</w:t>
            </w:r>
          </w:p>
        </w:tc>
        <w:tc>
          <w:tcPr>
            <w:tcW w:w="670" w:type="dxa"/>
            <w:tcBorders>
              <w:top w:val="nil"/>
              <w:left w:val="nil"/>
              <w:bottom w:val="single" w:color="auto" w:sz="4" w:space="0"/>
              <w:right w:val="single" w:color="auto" w:sz="4" w:space="0"/>
            </w:tcBorders>
            <w:shd w:val="clear" w:color="auto" w:fill="auto"/>
            <w:noWrap/>
            <w:vAlign w:val="center"/>
          </w:tcPr>
          <w:p w14:paraId="00C81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5B29E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61F1B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B5E34C1">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03F3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621F0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19C1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便携式人工采样器</w:t>
            </w:r>
          </w:p>
        </w:tc>
        <w:tc>
          <w:tcPr>
            <w:tcW w:w="4673" w:type="dxa"/>
            <w:tcBorders>
              <w:top w:val="nil"/>
              <w:left w:val="nil"/>
              <w:bottom w:val="single" w:color="auto" w:sz="4" w:space="0"/>
              <w:right w:val="single" w:color="auto" w:sz="4" w:space="0"/>
            </w:tcBorders>
            <w:shd w:val="clear" w:color="auto" w:fill="auto"/>
            <w:noWrap/>
            <w:vAlign w:val="center"/>
          </w:tcPr>
          <w:p w14:paraId="49017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实验室便携式人工采样器</w:t>
            </w:r>
          </w:p>
        </w:tc>
        <w:tc>
          <w:tcPr>
            <w:tcW w:w="670" w:type="dxa"/>
            <w:tcBorders>
              <w:top w:val="nil"/>
              <w:left w:val="nil"/>
              <w:bottom w:val="single" w:color="auto" w:sz="4" w:space="0"/>
              <w:right w:val="single" w:color="auto" w:sz="4" w:space="0"/>
            </w:tcBorders>
            <w:shd w:val="clear" w:color="auto" w:fill="auto"/>
            <w:noWrap/>
            <w:vAlign w:val="center"/>
          </w:tcPr>
          <w:p w14:paraId="75A1C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2DE92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7B0E9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DF0D6E7">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7E52C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4F448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38E7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水质仪表柜</w:t>
            </w:r>
          </w:p>
        </w:tc>
        <w:tc>
          <w:tcPr>
            <w:tcW w:w="4673" w:type="dxa"/>
            <w:tcBorders>
              <w:top w:val="nil"/>
              <w:left w:val="nil"/>
              <w:bottom w:val="single" w:color="auto" w:sz="4" w:space="0"/>
              <w:right w:val="single" w:color="auto" w:sz="4" w:space="0"/>
            </w:tcBorders>
            <w:shd w:val="clear" w:color="auto" w:fill="auto"/>
            <w:noWrap/>
            <w:vAlign w:val="center"/>
          </w:tcPr>
          <w:p w14:paraId="7AC38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定制仪表柜：尺寸2000x600x600，正面带观测窗，带通风扇，柜体配置可由水质仪表厂家按需深化　</w:t>
            </w:r>
          </w:p>
        </w:tc>
        <w:tc>
          <w:tcPr>
            <w:tcW w:w="670" w:type="dxa"/>
            <w:tcBorders>
              <w:top w:val="nil"/>
              <w:left w:val="nil"/>
              <w:bottom w:val="single" w:color="auto" w:sz="4" w:space="0"/>
              <w:right w:val="single" w:color="auto" w:sz="4" w:space="0"/>
            </w:tcBorders>
            <w:shd w:val="clear" w:color="auto" w:fill="auto"/>
            <w:noWrap/>
            <w:vAlign w:val="center"/>
          </w:tcPr>
          <w:p w14:paraId="35BB8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414EF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935" w:type="dxa"/>
            <w:tcBorders>
              <w:top w:val="nil"/>
              <w:left w:val="nil"/>
              <w:bottom w:val="single" w:color="auto" w:sz="4" w:space="0"/>
              <w:right w:val="single" w:color="auto" w:sz="4" w:space="0"/>
            </w:tcBorders>
            <w:shd w:val="clear" w:color="auto" w:fill="auto"/>
            <w:noWrap/>
            <w:vAlign w:val="center"/>
          </w:tcPr>
          <w:p w14:paraId="619B3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43734310">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44DC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764" w:type="dxa"/>
            <w:vMerge w:val="restart"/>
            <w:tcBorders>
              <w:top w:val="nil"/>
              <w:left w:val="single" w:color="auto" w:sz="4" w:space="0"/>
              <w:bottom w:val="single" w:color="auto" w:sz="4" w:space="0"/>
              <w:right w:val="single" w:color="auto" w:sz="4" w:space="0"/>
            </w:tcBorders>
            <w:shd w:val="clear" w:color="auto" w:fill="auto"/>
            <w:noWrap/>
            <w:vAlign w:val="center"/>
          </w:tcPr>
          <w:p w14:paraId="6CB1B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01 粗格栅进水泵房及调节池</w:t>
            </w:r>
          </w:p>
        </w:tc>
        <w:tc>
          <w:tcPr>
            <w:tcW w:w="1095" w:type="dxa"/>
            <w:tcBorders>
              <w:top w:val="nil"/>
              <w:left w:val="nil"/>
              <w:bottom w:val="single" w:color="auto" w:sz="4" w:space="0"/>
              <w:right w:val="single" w:color="auto" w:sz="4" w:space="0"/>
            </w:tcBorders>
            <w:shd w:val="clear" w:color="auto" w:fill="auto"/>
            <w:noWrap/>
            <w:vAlign w:val="center"/>
          </w:tcPr>
          <w:p w14:paraId="10FED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超声波液位计</w:t>
            </w:r>
          </w:p>
        </w:tc>
        <w:tc>
          <w:tcPr>
            <w:tcW w:w="4673" w:type="dxa"/>
            <w:tcBorders>
              <w:top w:val="nil"/>
              <w:left w:val="nil"/>
              <w:bottom w:val="single" w:color="auto" w:sz="4" w:space="0"/>
              <w:right w:val="single" w:color="auto" w:sz="4" w:space="0"/>
            </w:tcBorders>
            <w:shd w:val="clear" w:color="auto" w:fill="auto"/>
            <w:noWrap/>
            <w:vAlign w:val="center"/>
          </w:tcPr>
          <w:p w14:paraId="4CD18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传感器：测量范围0~10m，测量误差≤±0.15%，IP68； 变送器：220VAC供电，4~20mA输出，IP66；配预制连接电缆不小于15m</w:t>
            </w:r>
          </w:p>
        </w:tc>
        <w:tc>
          <w:tcPr>
            <w:tcW w:w="670" w:type="dxa"/>
            <w:tcBorders>
              <w:top w:val="nil"/>
              <w:left w:val="nil"/>
              <w:bottom w:val="single" w:color="auto" w:sz="4" w:space="0"/>
              <w:right w:val="single" w:color="auto" w:sz="4" w:space="0"/>
            </w:tcBorders>
            <w:shd w:val="clear" w:color="auto" w:fill="auto"/>
            <w:noWrap/>
            <w:vAlign w:val="center"/>
          </w:tcPr>
          <w:p w14:paraId="495D2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6E91A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35" w:type="dxa"/>
            <w:tcBorders>
              <w:top w:val="nil"/>
              <w:left w:val="nil"/>
              <w:bottom w:val="single" w:color="auto" w:sz="4" w:space="0"/>
              <w:right w:val="single" w:color="auto" w:sz="4" w:space="0"/>
            </w:tcBorders>
            <w:shd w:val="clear" w:color="auto" w:fill="auto"/>
            <w:noWrap/>
            <w:vAlign w:val="center"/>
          </w:tcPr>
          <w:p w14:paraId="4F47D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3FD3707">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9209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26339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4F2A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超声波液位差计</w:t>
            </w:r>
          </w:p>
        </w:tc>
        <w:tc>
          <w:tcPr>
            <w:tcW w:w="4673" w:type="dxa"/>
            <w:tcBorders>
              <w:top w:val="nil"/>
              <w:left w:val="nil"/>
              <w:bottom w:val="single" w:color="auto" w:sz="4" w:space="0"/>
              <w:right w:val="single" w:color="auto" w:sz="4" w:space="0"/>
            </w:tcBorders>
            <w:shd w:val="clear" w:color="auto" w:fill="auto"/>
            <w:noWrap/>
            <w:vAlign w:val="center"/>
          </w:tcPr>
          <w:p w14:paraId="47A5E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传感器：测量范围0~10m，可提供液位和液位差值，测量误差≤±0.15%，IP68； 变送器：220VAC供电，4~20mA输出，IP66；配预制连接电缆不小于15m</w:t>
            </w:r>
          </w:p>
        </w:tc>
        <w:tc>
          <w:tcPr>
            <w:tcW w:w="670" w:type="dxa"/>
            <w:tcBorders>
              <w:top w:val="nil"/>
              <w:left w:val="nil"/>
              <w:bottom w:val="single" w:color="auto" w:sz="4" w:space="0"/>
              <w:right w:val="single" w:color="auto" w:sz="4" w:space="0"/>
            </w:tcBorders>
            <w:shd w:val="clear" w:color="auto" w:fill="auto"/>
            <w:noWrap/>
            <w:vAlign w:val="center"/>
          </w:tcPr>
          <w:p w14:paraId="2EADA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6D621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35" w:type="dxa"/>
            <w:tcBorders>
              <w:top w:val="nil"/>
              <w:left w:val="nil"/>
              <w:bottom w:val="single" w:color="auto" w:sz="4" w:space="0"/>
              <w:right w:val="single" w:color="auto" w:sz="4" w:space="0"/>
            </w:tcBorders>
            <w:shd w:val="clear" w:color="auto" w:fill="auto"/>
            <w:noWrap/>
            <w:vAlign w:val="center"/>
          </w:tcPr>
          <w:p w14:paraId="4CCB6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41A5EA17">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37285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7FE0F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668DE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浮球液位开关</w:t>
            </w:r>
          </w:p>
        </w:tc>
        <w:tc>
          <w:tcPr>
            <w:tcW w:w="4673" w:type="dxa"/>
            <w:tcBorders>
              <w:top w:val="nil"/>
              <w:left w:val="nil"/>
              <w:bottom w:val="single" w:color="auto" w:sz="4" w:space="0"/>
              <w:right w:val="single" w:color="auto" w:sz="4" w:space="0"/>
            </w:tcBorders>
            <w:shd w:val="clear" w:color="auto" w:fill="auto"/>
            <w:noWrap/>
            <w:vAlign w:val="center"/>
          </w:tcPr>
          <w:p w14:paraId="06468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高低液位，2个无源触点输出</w:t>
            </w:r>
          </w:p>
        </w:tc>
        <w:tc>
          <w:tcPr>
            <w:tcW w:w="670" w:type="dxa"/>
            <w:tcBorders>
              <w:top w:val="nil"/>
              <w:left w:val="nil"/>
              <w:bottom w:val="single" w:color="auto" w:sz="4" w:space="0"/>
              <w:right w:val="single" w:color="auto" w:sz="4" w:space="0"/>
            </w:tcBorders>
            <w:shd w:val="clear" w:color="auto" w:fill="auto"/>
            <w:noWrap/>
            <w:vAlign w:val="center"/>
          </w:tcPr>
          <w:p w14:paraId="1623A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1439E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35" w:type="dxa"/>
            <w:tcBorders>
              <w:top w:val="nil"/>
              <w:left w:val="nil"/>
              <w:bottom w:val="single" w:color="auto" w:sz="4" w:space="0"/>
              <w:right w:val="single" w:color="auto" w:sz="4" w:space="0"/>
            </w:tcBorders>
            <w:shd w:val="clear" w:color="auto" w:fill="auto"/>
            <w:noWrap/>
            <w:vAlign w:val="center"/>
          </w:tcPr>
          <w:p w14:paraId="36218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FF4AD61">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0A44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0A5BD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2B20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硫化氢检测仪</w:t>
            </w:r>
          </w:p>
        </w:tc>
        <w:tc>
          <w:tcPr>
            <w:tcW w:w="4673" w:type="dxa"/>
            <w:tcBorders>
              <w:top w:val="nil"/>
              <w:left w:val="nil"/>
              <w:bottom w:val="single" w:color="auto" w:sz="4" w:space="0"/>
              <w:right w:val="single" w:color="auto" w:sz="4" w:space="0"/>
            </w:tcBorders>
            <w:shd w:val="clear" w:color="auto" w:fill="auto"/>
            <w:noWrap/>
            <w:vAlign w:val="center"/>
          </w:tcPr>
          <w:p w14:paraId="4E934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量程：0~100%LEL，分别率0.1%LEL，输出4~20mA，电源24V DC，ExdII CT6，集成声光报警</w:t>
            </w:r>
          </w:p>
        </w:tc>
        <w:tc>
          <w:tcPr>
            <w:tcW w:w="670" w:type="dxa"/>
            <w:tcBorders>
              <w:top w:val="nil"/>
              <w:left w:val="nil"/>
              <w:bottom w:val="single" w:color="auto" w:sz="4" w:space="0"/>
              <w:right w:val="single" w:color="auto" w:sz="4" w:space="0"/>
            </w:tcBorders>
            <w:shd w:val="clear" w:color="auto" w:fill="auto"/>
            <w:noWrap/>
            <w:vAlign w:val="center"/>
          </w:tcPr>
          <w:p w14:paraId="33D50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598D0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6B1E4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0825DE1">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E822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764" w:type="dxa"/>
            <w:vMerge w:val="restart"/>
            <w:tcBorders>
              <w:top w:val="nil"/>
              <w:left w:val="single" w:color="auto" w:sz="4" w:space="0"/>
              <w:bottom w:val="single" w:color="000000" w:sz="4" w:space="0"/>
              <w:right w:val="single" w:color="auto" w:sz="4" w:space="0"/>
            </w:tcBorders>
            <w:shd w:val="clear" w:color="auto" w:fill="auto"/>
            <w:noWrap/>
            <w:vAlign w:val="center"/>
          </w:tcPr>
          <w:p w14:paraId="1CCB8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03 一体式AAO生化池</w:t>
            </w:r>
          </w:p>
        </w:tc>
        <w:tc>
          <w:tcPr>
            <w:tcW w:w="1095" w:type="dxa"/>
            <w:tcBorders>
              <w:top w:val="nil"/>
              <w:left w:val="nil"/>
              <w:bottom w:val="single" w:color="auto" w:sz="4" w:space="0"/>
              <w:right w:val="single" w:color="auto" w:sz="4" w:space="0"/>
            </w:tcBorders>
            <w:shd w:val="clear" w:color="auto" w:fill="auto"/>
            <w:noWrap/>
            <w:vAlign w:val="center"/>
          </w:tcPr>
          <w:p w14:paraId="18451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ORP检测仪</w:t>
            </w:r>
          </w:p>
        </w:tc>
        <w:tc>
          <w:tcPr>
            <w:tcW w:w="4673" w:type="dxa"/>
            <w:tcBorders>
              <w:top w:val="nil"/>
              <w:left w:val="nil"/>
              <w:bottom w:val="single" w:color="auto" w:sz="4" w:space="0"/>
              <w:right w:val="single" w:color="auto" w:sz="4" w:space="0"/>
            </w:tcBorders>
            <w:shd w:val="clear" w:color="auto" w:fill="auto"/>
            <w:noWrap/>
            <w:vAlign w:val="center"/>
          </w:tcPr>
          <w:p w14:paraId="6B437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电极法，传感器：-1500~1500mV，自带温度补偿，投入式； 变送器：220VAC供电，4~20mA输出，IP66，配预制连接电缆</w:t>
            </w:r>
          </w:p>
        </w:tc>
        <w:tc>
          <w:tcPr>
            <w:tcW w:w="670" w:type="dxa"/>
            <w:tcBorders>
              <w:top w:val="nil"/>
              <w:left w:val="nil"/>
              <w:bottom w:val="single" w:color="auto" w:sz="4" w:space="0"/>
              <w:right w:val="single" w:color="auto" w:sz="4" w:space="0"/>
            </w:tcBorders>
            <w:shd w:val="clear" w:color="auto" w:fill="auto"/>
            <w:noWrap/>
            <w:vAlign w:val="center"/>
          </w:tcPr>
          <w:p w14:paraId="353EC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62D90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935" w:type="dxa"/>
            <w:tcBorders>
              <w:top w:val="nil"/>
              <w:left w:val="nil"/>
              <w:bottom w:val="single" w:color="auto" w:sz="4" w:space="0"/>
              <w:right w:val="single" w:color="auto" w:sz="4" w:space="0"/>
            </w:tcBorders>
            <w:shd w:val="clear" w:color="auto" w:fill="auto"/>
            <w:noWrap/>
            <w:vAlign w:val="center"/>
          </w:tcPr>
          <w:p w14:paraId="1488F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E976977">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B1A5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07142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43ACA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DO检测仪</w:t>
            </w:r>
          </w:p>
        </w:tc>
        <w:tc>
          <w:tcPr>
            <w:tcW w:w="4673" w:type="dxa"/>
            <w:tcBorders>
              <w:top w:val="nil"/>
              <w:left w:val="nil"/>
              <w:bottom w:val="single" w:color="auto" w:sz="4" w:space="0"/>
              <w:right w:val="single" w:color="auto" w:sz="4" w:space="0"/>
            </w:tcBorders>
            <w:shd w:val="clear" w:color="auto" w:fill="auto"/>
            <w:noWrap/>
            <w:vAlign w:val="center"/>
          </w:tcPr>
          <w:p w14:paraId="56F68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荧光法，传感器：0~20mg/l，荧光法测量，自带温度补偿，投入式； 分体式变送器：220VAC供电，4~20mA输出， IP66，配预制连接电缆</w:t>
            </w:r>
          </w:p>
        </w:tc>
        <w:tc>
          <w:tcPr>
            <w:tcW w:w="670" w:type="dxa"/>
            <w:tcBorders>
              <w:top w:val="nil"/>
              <w:left w:val="nil"/>
              <w:bottom w:val="single" w:color="auto" w:sz="4" w:space="0"/>
              <w:right w:val="single" w:color="auto" w:sz="4" w:space="0"/>
            </w:tcBorders>
            <w:shd w:val="clear" w:color="auto" w:fill="auto"/>
            <w:noWrap/>
            <w:vAlign w:val="center"/>
          </w:tcPr>
          <w:p w14:paraId="7888D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F4F4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935" w:type="dxa"/>
            <w:tcBorders>
              <w:top w:val="nil"/>
              <w:left w:val="nil"/>
              <w:bottom w:val="single" w:color="auto" w:sz="4" w:space="0"/>
              <w:right w:val="single" w:color="auto" w:sz="4" w:space="0"/>
            </w:tcBorders>
            <w:shd w:val="clear" w:color="auto" w:fill="auto"/>
            <w:noWrap/>
            <w:vAlign w:val="center"/>
          </w:tcPr>
          <w:p w14:paraId="2FB27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67392FD">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3F157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63950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35C14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MLSS检测仪</w:t>
            </w:r>
          </w:p>
        </w:tc>
        <w:tc>
          <w:tcPr>
            <w:tcW w:w="4673" w:type="dxa"/>
            <w:tcBorders>
              <w:top w:val="nil"/>
              <w:left w:val="nil"/>
              <w:bottom w:val="single" w:color="auto" w:sz="4" w:space="0"/>
              <w:right w:val="single" w:color="auto" w:sz="4" w:space="0"/>
            </w:tcBorders>
            <w:shd w:val="clear" w:color="auto" w:fill="auto"/>
            <w:noWrap/>
            <w:vAlign w:val="center"/>
          </w:tcPr>
          <w:p w14:paraId="26088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红外光束测量法，测量范围：0.001-500g/L；带气泡补偿，自清洗挂刷；变送器：220VAC供电，4~20mA输出，IP66，配预制连接电缆</w:t>
            </w:r>
          </w:p>
        </w:tc>
        <w:tc>
          <w:tcPr>
            <w:tcW w:w="670" w:type="dxa"/>
            <w:tcBorders>
              <w:top w:val="nil"/>
              <w:left w:val="nil"/>
              <w:bottom w:val="single" w:color="auto" w:sz="4" w:space="0"/>
              <w:right w:val="single" w:color="auto" w:sz="4" w:space="0"/>
            </w:tcBorders>
            <w:shd w:val="clear" w:color="auto" w:fill="auto"/>
            <w:noWrap/>
            <w:vAlign w:val="center"/>
          </w:tcPr>
          <w:p w14:paraId="36518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4DB7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935" w:type="dxa"/>
            <w:tcBorders>
              <w:top w:val="nil"/>
              <w:left w:val="nil"/>
              <w:bottom w:val="single" w:color="auto" w:sz="4" w:space="0"/>
              <w:right w:val="single" w:color="auto" w:sz="4" w:space="0"/>
            </w:tcBorders>
            <w:shd w:val="clear" w:color="auto" w:fill="auto"/>
            <w:noWrap/>
            <w:vAlign w:val="center"/>
          </w:tcPr>
          <w:p w14:paraId="5B79D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E83EB99">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E487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7A9CA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3FE10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pH/T在线分析仪</w:t>
            </w:r>
          </w:p>
        </w:tc>
        <w:tc>
          <w:tcPr>
            <w:tcW w:w="4673" w:type="dxa"/>
            <w:tcBorders>
              <w:top w:val="nil"/>
              <w:left w:val="nil"/>
              <w:bottom w:val="single" w:color="auto" w:sz="4" w:space="0"/>
              <w:right w:val="single" w:color="auto" w:sz="4" w:space="0"/>
            </w:tcBorders>
            <w:shd w:val="clear" w:color="auto" w:fill="auto"/>
            <w:noWrap/>
            <w:vAlign w:val="center"/>
          </w:tcPr>
          <w:p w14:paraId="1FE8D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电极法，测量范围：0~14PH，-20~50℃，输出4~20mA，电源220VAC，传感器IP68，变送器IP65，含原厂仪表支架等配件</w:t>
            </w:r>
          </w:p>
        </w:tc>
        <w:tc>
          <w:tcPr>
            <w:tcW w:w="670" w:type="dxa"/>
            <w:tcBorders>
              <w:top w:val="nil"/>
              <w:left w:val="nil"/>
              <w:bottom w:val="single" w:color="auto" w:sz="4" w:space="0"/>
              <w:right w:val="single" w:color="auto" w:sz="4" w:space="0"/>
            </w:tcBorders>
            <w:shd w:val="clear" w:color="auto" w:fill="auto"/>
            <w:noWrap/>
            <w:vAlign w:val="center"/>
          </w:tcPr>
          <w:p w14:paraId="39545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6920B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35" w:type="dxa"/>
            <w:tcBorders>
              <w:top w:val="nil"/>
              <w:left w:val="nil"/>
              <w:bottom w:val="single" w:color="auto" w:sz="4" w:space="0"/>
              <w:right w:val="single" w:color="auto" w:sz="4" w:space="0"/>
            </w:tcBorders>
            <w:shd w:val="clear" w:color="auto" w:fill="auto"/>
            <w:noWrap/>
            <w:vAlign w:val="center"/>
          </w:tcPr>
          <w:p w14:paraId="0E78C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458575E4">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2E204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6BBE5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6344F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硝态氮检测仪</w:t>
            </w:r>
          </w:p>
        </w:tc>
        <w:tc>
          <w:tcPr>
            <w:tcW w:w="4673" w:type="dxa"/>
            <w:tcBorders>
              <w:top w:val="nil"/>
              <w:left w:val="nil"/>
              <w:bottom w:val="single" w:color="auto" w:sz="4" w:space="0"/>
              <w:right w:val="single" w:color="auto" w:sz="4" w:space="0"/>
            </w:tcBorders>
            <w:shd w:val="clear" w:color="auto" w:fill="auto"/>
            <w:noWrap/>
            <w:vAlign w:val="center"/>
          </w:tcPr>
          <w:p w14:paraId="2E3FF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传感器：双光束紫外光检测，测量范围：0.1-25mg/L； 分体式变送器：220VAC供电，4~20mA输出， IP65，配预制连接电缆</w:t>
            </w:r>
          </w:p>
        </w:tc>
        <w:tc>
          <w:tcPr>
            <w:tcW w:w="670" w:type="dxa"/>
            <w:tcBorders>
              <w:top w:val="nil"/>
              <w:left w:val="nil"/>
              <w:bottom w:val="single" w:color="auto" w:sz="4" w:space="0"/>
              <w:right w:val="single" w:color="auto" w:sz="4" w:space="0"/>
            </w:tcBorders>
            <w:shd w:val="clear" w:color="auto" w:fill="auto"/>
            <w:noWrap/>
            <w:vAlign w:val="center"/>
          </w:tcPr>
          <w:p w14:paraId="0E899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5EBF7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35" w:type="dxa"/>
            <w:tcBorders>
              <w:top w:val="nil"/>
              <w:left w:val="nil"/>
              <w:bottom w:val="single" w:color="auto" w:sz="4" w:space="0"/>
              <w:right w:val="single" w:color="auto" w:sz="4" w:space="0"/>
            </w:tcBorders>
            <w:shd w:val="clear" w:color="auto" w:fill="auto"/>
            <w:noWrap/>
            <w:vAlign w:val="center"/>
          </w:tcPr>
          <w:p w14:paraId="6AC80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06B3E0BC">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73F0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764" w:type="dxa"/>
            <w:tcBorders>
              <w:top w:val="nil"/>
              <w:left w:val="nil"/>
              <w:bottom w:val="single" w:color="auto" w:sz="4" w:space="0"/>
              <w:right w:val="single" w:color="auto" w:sz="4" w:space="0"/>
            </w:tcBorders>
            <w:shd w:val="clear" w:color="auto" w:fill="auto"/>
            <w:noWrap/>
            <w:vAlign w:val="center"/>
          </w:tcPr>
          <w:p w14:paraId="07364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05 滤布滤池及巴氏计量槽</w:t>
            </w:r>
          </w:p>
        </w:tc>
        <w:tc>
          <w:tcPr>
            <w:tcW w:w="1095" w:type="dxa"/>
            <w:tcBorders>
              <w:top w:val="nil"/>
              <w:left w:val="nil"/>
              <w:bottom w:val="single" w:color="auto" w:sz="4" w:space="0"/>
              <w:right w:val="single" w:color="auto" w:sz="4" w:space="0"/>
            </w:tcBorders>
            <w:shd w:val="clear" w:color="auto" w:fill="auto"/>
            <w:noWrap/>
            <w:vAlign w:val="center"/>
          </w:tcPr>
          <w:p w14:paraId="6799B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超声波明渠流量计</w:t>
            </w:r>
          </w:p>
        </w:tc>
        <w:tc>
          <w:tcPr>
            <w:tcW w:w="4673" w:type="dxa"/>
            <w:tcBorders>
              <w:top w:val="nil"/>
              <w:left w:val="nil"/>
              <w:bottom w:val="single" w:color="auto" w:sz="4" w:space="0"/>
              <w:right w:val="single" w:color="auto" w:sz="4" w:space="0"/>
            </w:tcBorders>
            <w:shd w:val="clear" w:color="auto" w:fill="auto"/>
            <w:noWrap/>
            <w:vAlign w:val="center"/>
          </w:tcPr>
          <w:p w14:paraId="49CA3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测量范围：0~5m，与巴氏计量槽配套； 变送器：220VAC供电，4~20mA输出，IP66，配预制连接电缆</w:t>
            </w:r>
          </w:p>
        </w:tc>
        <w:tc>
          <w:tcPr>
            <w:tcW w:w="670" w:type="dxa"/>
            <w:tcBorders>
              <w:top w:val="nil"/>
              <w:left w:val="nil"/>
              <w:bottom w:val="single" w:color="auto" w:sz="4" w:space="0"/>
              <w:right w:val="single" w:color="auto" w:sz="4" w:space="0"/>
            </w:tcBorders>
            <w:shd w:val="clear" w:color="auto" w:fill="auto"/>
            <w:noWrap/>
            <w:vAlign w:val="center"/>
          </w:tcPr>
          <w:p w14:paraId="43C27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13670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37FBD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ABA4C1A">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7071E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64" w:type="dxa"/>
            <w:tcBorders>
              <w:top w:val="nil"/>
              <w:left w:val="nil"/>
              <w:bottom w:val="single" w:color="auto" w:sz="4" w:space="0"/>
              <w:right w:val="single" w:color="auto" w:sz="4" w:space="0"/>
            </w:tcBorders>
            <w:shd w:val="clear" w:color="auto" w:fill="auto"/>
            <w:noWrap/>
            <w:vAlign w:val="center"/>
          </w:tcPr>
          <w:p w14:paraId="2AC75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06 污泥匀质池</w:t>
            </w:r>
          </w:p>
        </w:tc>
        <w:tc>
          <w:tcPr>
            <w:tcW w:w="1095" w:type="dxa"/>
            <w:tcBorders>
              <w:top w:val="nil"/>
              <w:left w:val="nil"/>
              <w:bottom w:val="single" w:color="auto" w:sz="4" w:space="0"/>
              <w:right w:val="single" w:color="auto" w:sz="4" w:space="0"/>
            </w:tcBorders>
            <w:shd w:val="clear" w:color="auto" w:fill="auto"/>
            <w:noWrap/>
            <w:vAlign w:val="center"/>
          </w:tcPr>
          <w:p w14:paraId="57824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污泥界面仪</w:t>
            </w:r>
          </w:p>
        </w:tc>
        <w:tc>
          <w:tcPr>
            <w:tcW w:w="4673" w:type="dxa"/>
            <w:tcBorders>
              <w:top w:val="nil"/>
              <w:left w:val="nil"/>
              <w:bottom w:val="single" w:color="auto" w:sz="4" w:space="0"/>
              <w:right w:val="single" w:color="auto" w:sz="4" w:space="0"/>
            </w:tcBorders>
            <w:shd w:val="clear" w:color="auto" w:fill="auto"/>
            <w:noWrap/>
            <w:vAlign w:val="center"/>
          </w:tcPr>
          <w:p w14:paraId="076DC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测量范围：0~10m，变送器：220VAC供电，4~20mA输出，IP66，配预制连接电缆</w:t>
            </w:r>
          </w:p>
        </w:tc>
        <w:tc>
          <w:tcPr>
            <w:tcW w:w="670" w:type="dxa"/>
            <w:tcBorders>
              <w:top w:val="nil"/>
              <w:left w:val="nil"/>
              <w:bottom w:val="single" w:color="auto" w:sz="4" w:space="0"/>
              <w:right w:val="single" w:color="auto" w:sz="4" w:space="0"/>
            </w:tcBorders>
            <w:shd w:val="clear" w:color="auto" w:fill="auto"/>
            <w:noWrap/>
            <w:vAlign w:val="center"/>
          </w:tcPr>
          <w:p w14:paraId="2DA03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7A34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1045D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4676ECD">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2F04A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764" w:type="dxa"/>
            <w:vMerge w:val="restart"/>
            <w:tcBorders>
              <w:top w:val="nil"/>
              <w:left w:val="single" w:color="auto" w:sz="4" w:space="0"/>
              <w:bottom w:val="single" w:color="auto" w:sz="4" w:space="0"/>
              <w:right w:val="single" w:color="auto" w:sz="4" w:space="0"/>
            </w:tcBorders>
            <w:shd w:val="clear" w:color="auto" w:fill="auto"/>
            <w:noWrap/>
            <w:vAlign w:val="center"/>
          </w:tcPr>
          <w:p w14:paraId="2FF37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07 污泥脱水机房</w:t>
            </w:r>
          </w:p>
        </w:tc>
        <w:tc>
          <w:tcPr>
            <w:tcW w:w="1095" w:type="dxa"/>
            <w:tcBorders>
              <w:top w:val="nil"/>
              <w:left w:val="nil"/>
              <w:bottom w:val="single" w:color="auto" w:sz="4" w:space="0"/>
              <w:right w:val="single" w:color="auto" w:sz="4" w:space="0"/>
            </w:tcBorders>
            <w:shd w:val="clear" w:color="auto" w:fill="auto"/>
            <w:noWrap/>
            <w:vAlign w:val="center"/>
          </w:tcPr>
          <w:p w14:paraId="7DC08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进泥电磁流量计</w:t>
            </w:r>
          </w:p>
        </w:tc>
        <w:tc>
          <w:tcPr>
            <w:tcW w:w="4673" w:type="dxa"/>
            <w:tcBorders>
              <w:top w:val="nil"/>
              <w:left w:val="nil"/>
              <w:bottom w:val="single" w:color="auto" w:sz="4" w:space="0"/>
              <w:right w:val="single" w:color="auto" w:sz="4" w:space="0"/>
            </w:tcBorders>
            <w:shd w:val="clear" w:color="auto" w:fill="auto"/>
            <w:noWrap/>
            <w:vAlign w:val="center"/>
          </w:tcPr>
          <w:p w14:paraId="35B0D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法兰式，DN80，316L材质电极，氯丁橡胶衬里，配接地环，IP68； 变送器：精度0.5级，220VAC供电，4~20mA输出，IP66，配预制连接电缆，带瞬时累计监测，带MODBUS通讯口</w:t>
            </w:r>
          </w:p>
        </w:tc>
        <w:tc>
          <w:tcPr>
            <w:tcW w:w="670" w:type="dxa"/>
            <w:tcBorders>
              <w:top w:val="nil"/>
              <w:left w:val="nil"/>
              <w:bottom w:val="single" w:color="auto" w:sz="4" w:space="0"/>
              <w:right w:val="single" w:color="auto" w:sz="4" w:space="0"/>
            </w:tcBorders>
            <w:shd w:val="clear" w:color="auto" w:fill="auto"/>
            <w:noWrap/>
            <w:vAlign w:val="center"/>
          </w:tcPr>
          <w:p w14:paraId="1A913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15071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35" w:type="dxa"/>
            <w:tcBorders>
              <w:top w:val="nil"/>
              <w:left w:val="nil"/>
              <w:bottom w:val="single" w:color="auto" w:sz="4" w:space="0"/>
              <w:right w:val="single" w:color="auto" w:sz="4" w:space="0"/>
            </w:tcBorders>
            <w:shd w:val="clear" w:color="auto" w:fill="auto"/>
            <w:noWrap/>
            <w:vAlign w:val="center"/>
          </w:tcPr>
          <w:p w14:paraId="001DA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2019774">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61787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6CA72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29058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硫化氢检测仪</w:t>
            </w:r>
          </w:p>
        </w:tc>
        <w:tc>
          <w:tcPr>
            <w:tcW w:w="4673" w:type="dxa"/>
            <w:tcBorders>
              <w:top w:val="nil"/>
              <w:left w:val="nil"/>
              <w:bottom w:val="single" w:color="auto" w:sz="4" w:space="0"/>
              <w:right w:val="single" w:color="auto" w:sz="4" w:space="0"/>
            </w:tcBorders>
            <w:shd w:val="clear" w:color="auto" w:fill="auto"/>
            <w:noWrap/>
            <w:vAlign w:val="center"/>
          </w:tcPr>
          <w:p w14:paraId="7F3D7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量程：0~100%LEL，分别率0.1%LEL，输出4~20mA，电源24V DC，ExdII CT6，集成声光报警</w:t>
            </w:r>
          </w:p>
        </w:tc>
        <w:tc>
          <w:tcPr>
            <w:tcW w:w="670" w:type="dxa"/>
            <w:tcBorders>
              <w:top w:val="nil"/>
              <w:left w:val="nil"/>
              <w:bottom w:val="single" w:color="auto" w:sz="4" w:space="0"/>
              <w:right w:val="single" w:color="auto" w:sz="4" w:space="0"/>
            </w:tcBorders>
            <w:shd w:val="clear" w:color="auto" w:fill="auto"/>
            <w:noWrap/>
            <w:vAlign w:val="center"/>
          </w:tcPr>
          <w:p w14:paraId="30FA9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1BC39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312DF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723833B">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0204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764" w:type="dxa"/>
            <w:vMerge w:val="restart"/>
            <w:tcBorders>
              <w:top w:val="nil"/>
              <w:left w:val="single" w:color="auto" w:sz="4" w:space="0"/>
              <w:bottom w:val="single" w:color="auto" w:sz="4" w:space="0"/>
              <w:right w:val="single" w:color="auto" w:sz="4" w:space="0"/>
            </w:tcBorders>
            <w:shd w:val="clear" w:color="auto" w:fill="auto"/>
            <w:noWrap/>
            <w:vAlign w:val="center"/>
          </w:tcPr>
          <w:p w14:paraId="63E53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08 综合车间</w:t>
            </w:r>
          </w:p>
        </w:tc>
        <w:tc>
          <w:tcPr>
            <w:tcW w:w="1095" w:type="dxa"/>
            <w:tcBorders>
              <w:top w:val="nil"/>
              <w:left w:val="nil"/>
              <w:bottom w:val="single" w:color="auto" w:sz="4" w:space="0"/>
              <w:right w:val="single" w:color="auto" w:sz="4" w:space="0"/>
            </w:tcBorders>
            <w:shd w:val="clear" w:color="auto" w:fill="auto"/>
            <w:noWrap/>
            <w:vAlign w:val="center"/>
          </w:tcPr>
          <w:p w14:paraId="16E41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磁翻板液位计</w:t>
            </w:r>
          </w:p>
        </w:tc>
        <w:tc>
          <w:tcPr>
            <w:tcW w:w="4673" w:type="dxa"/>
            <w:tcBorders>
              <w:top w:val="nil"/>
              <w:left w:val="nil"/>
              <w:bottom w:val="single" w:color="auto" w:sz="4" w:space="0"/>
              <w:right w:val="single" w:color="auto" w:sz="4" w:space="0"/>
            </w:tcBorders>
            <w:shd w:val="clear" w:color="auto" w:fill="auto"/>
            <w:noWrap/>
            <w:vAlign w:val="center"/>
          </w:tcPr>
          <w:p w14:paraId="44ADF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量程：0~4m，4~20mA输出，两线制</w:t>
            </w:r>
          </w:p>
        </w:tc>
        <w:tc>
          <w:tcPr>
            <w:tcW w:w="670" w:type="dxa"/>
            <w:tcBorders>
              <w:top w:val="nil"/>
              <w:left w:val="nil"/>
              <w:bottom w:val="single" w:color="auto" w:sz="4" w:space="0"/>
              <w:right w:val="single" w:color="auto" w:sz="4" w:space="0"/>
            </w:tcBorders>
            <w:shd w:val="clear" w:color="auto" w:fill="auto"/>
            <w:noWrap/>
            <w:vAlign w:val="center"/>
          </w:tcPr>
          <w:p w14:paraId="2925B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29C0D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935" w:type="dxa"/>
            <w:tcBorders>
              <w:top w:val="nil"/>
              <w:left w:val="nil"/>
              <w:bottom w:val="single" w:color="auto" w:sz="4" w:space="0"/>
              <w:right w:val="single" w:color="auto" w:sz="4" w:space="0"/>
            </w:tcBorders>
            <w:shd w:val="clear" w:color="auto" w:fill="auto"/>
            <w:noWrap/>
            <w:vAlign w:val="center"/>
          </w:tcPr>
          <w:p w14:paraId="2FD5D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049BB771">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A6DD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02B10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142F0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热质式空气流量计</w:t>
            </w:r>
          </w:p>
        </w:tc>
        <w:tc>
          <w:tcPr>
            <w:tcW w:w="4673" w:type="dxa"/>
            <w:tcBorders>
              <w:top w:val="nil"/>
              <w:left w:val="nil"/>
              <w:bottom w:val="single" w:color="auto" w:sz="4" w:space="0"/>
              <w:right w:val="single" w:color="auto" w:sz="4" w:space="0"/>
            </w:tcBorders>
            <w:shd w:val="clear" w:color="auto" w:fill="auto"/>
            <w:noWrap/>
            <w:vAlign w:val="center"/>
          </w:tcPr>
          <w:p w14:paraId="4F8BE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DN250，法兰式，316L材质电极，配接地环，IP68； 分体式变送器：精度0.5级，220VAC供电，4~20mA输出，IP66，配预制连接电缆</w:t>
            </w:r>
          </w:p>
        </w:tc>
        <w:tc>
          <w:tcPr>
            <w:tcW w:w="670" w:type="dxa"/>
            <w:tcBorders>
              <w:top w:val="nil"/>
              <w:left w:val="nil"/>
              <w:bottom w:val="single" w:color="auto" w:sz="4" w:space="0"/>
              <w:right w:val="single" w:color="auto" w:sz="4" w:space="0"/>
            </w:tcBorders>
            <w:shd w:val="clear" w:color="auto" w:fill="auto"/>
            <w:noWrap/>
            <w:vAlign w:val="center"/>
          </w:tcPr>
          <w:p w14:paraId="1CA09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53012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35" w:type="dxa"/>
            <w:tcBorders>
              <w:top w:val="nil"/>
              <w:left w:val="nil"/>
              <w:bottom w:val="single" w:color="auto" w:sz="4" w:space="0"/>
              <w:right w:val="single" w:color="auto" w:sz="4" w:space="0"/>
            </w:tcBorders>
            <w:shd w:val="clear" w:color="auto" w:fill="auto"/>
            <w:noWrap/>
            <w:vAlign w:val="center"/>
          </w:tcPr>
          <w:p w14:paraId="70B0D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5D2FFA0">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44B06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56EC1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4FB17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压力变送器</w:t>
            </w:r>
          </w:p>
        </w:tc>
        <w:tc>
          <w:tcPr>
            <w:tcW w:w="4673" w:type="dxa"/>
            <w:tcBorders>
              <w:top w:val="nil"/>
              <w:left w:val="nil"/>
              <w:bottom w:val="single" w:color="auto" w:sz="4" w:space="0"/>
              <w:right w:val="single" w:color="auto" w:sz="4" w:space="0"/>
            </w:tcBorders>
            <w:shd w:val="clear" w:color="auto" w:fill="auto"/>
            <w:noWrap/>
            <w:vAlign w:val="center"/>
          </w:tcPr>
          <w:p w14:paraId="3F6C4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测量范围：0~1.0MPa，一体式测量精度0.075%，4~20mA输出，防护等级IP65</w:t>
            </w:r>
          </w:p>
        </w:tc>
        <w:tc>
          <w:tcPr>
            <w:tcW w:w="670" w:type="dxa"/>
            <w:tcBorders>
              <w:top w:val="nil"/>
              <w:left w:val="nil"/>
              <w:bottom w:val="single" w:color="auto" w:sz="4" w:space="0"/>
              <w:right w:val="single" w:color="auto" w:sz="4" w:space="0"/>
            </w:tcBorders>
            <w:shd w:val="clear" w:color="auto" w:fill="auto"/>
            <w:noWrap/>
            <w:vAlign w:val="center"/>
          </w:tcPr>
          <w:p w14:paraId="5F8B0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4413D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935" w:type="dxa"/>
            <w:tcBorders>
              <w:top w:val="nil"/>
              <w:left w:val="nil"/>
              <w:bottom w:val="single" w:color="auto" w:sz="4" w:space="0"/>
              <w:right w:val="single" w:color="auto" w:sz="4" w:space="0"/>
            </w:tcBorders>
            <w:shd w:val="clear" w:color="auto" w:fill="auto"/>
            <w:noWrap/>
            <w:vAlign w:val="center"/>
          </w:tcPr>
          <w:p w14:paraId="19C4D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E3A15F5">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0A1E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0D847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73A45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温度传感器</w:t>
            </w:r>
          </w:p>
        </w:tc>
        <w:tc>
          <w:tcPr>
            <w:tcW w:w="4673" w:type="dxa"/>
            <w:tcBorders>
              <w:top w:val="nil"/>
              <w:left w:val="nil"/>
              <w:bottom w:val="single" w:color="auto" w:sz="4" w:space="0"/>
              <w:right w:val="single" w:color="auto" w:sz="4" w:space="0"/>
            </w:tcBorders>
            <w:shd w:val="clear" w:color="auto" w:fill="auto"/>
            <w:noWrap/>
            <w:vAlign w:val="center"/>
          </w:tcPr>
          <w:p w14:paraId="7248E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量程：-40~80℃，输出4~20mA，两线制，插入式</w:t>
            </w:r>
          </w:p>
        </w:tc>
        <w:tc>
          <w:tcPr>
            <w:tcW w:w="670" w:type="dxa"/>
            <w:tcBorders>
              <w:top w:val="nil"/>
              <w:left w:val="nil"/>
              <w:bottom w:val="single" w:color="auto" w:sz="4" w:space="0"/>
              <w:right w:val="single" w:color="auto" w:sz="4" w:space="0"/>
            </w:tcBorders>
            <w:shd w:val="clear" w:color="auto" w:fill="auto"/>
            <w:noWrap/>
            <w:vAlign w:val="center"/>
          </w:tcPr>
          <w:p w14:paraId="1578F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1343B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935" w:type="dxa"/>
            <w:tcBorders>
              <w:top w:val="nil"/>
              <w:left w:val="nil"/>
              <w:bottom w:val="single" w:color="auto" w:sz="4" w:space="0"/>
              <w:right w:val="single" w:color="auto" w:sz="4" w:space="0"/>
            </w:tcBorders>
            <w:shd w:val="clear" w:color="auto" w:fill="auto"/>
            <w:noWrap/>
            <w:vAlign w:val="center"/>
          </w:tcPr>
          <w:p w14:paraId="1FCE0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1ACDE57">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36792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764" w:type="dxa"/>
            <w:vMerge w:val="restart"/>
            <w:tcBorders>
              <w:top w:val="nil"/>
              <w:left w:val="single" w:color="auto" w:sz="4" w:space="0"/>
              <w:bottom w:val="single" w:color="000000" w:sz="4" w:space="0"/>
              <w:right w:val="single" w:color="auto" w:sz="4" w:space="0"/>
            </w:tcBorders>
            <w:shd w:val="clear" w:color="auto" w:fill="auto"/>
            <w:noWrap/>
            <w:vAlign w:val="center"/>
          </w:tcPr>
          <w:p w14:paraId="0D268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出水在线仪表间</w:t>
            </w:r>
          </w:p>
        </w:tc>
        <w:tc>
          <w:tcPr>
            <w:tcW w:w="1095" w:type="dxa"/>
            <w:tcBorders>
              <w:top w:val="nil"/>
              <w:left w:val="nil"/>
              <w:bottom w:val="single" w:color="auto" w:sz="4" w:space="0"/>
              <w:right w:val="single" w:color="auto" w:sz="4" w:space="0"/>
            </w:tcBorders>
            <w:shd w:val="clear" w:color="auto" w:fill="auto"/>
            <w:noWrap/>
            <w:vAlign w:val="center"/>
          </w:tcPr>
          <w:p w14:paraId="429CE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COD分析仪</w:t>
            </w:r>
          </w:p>
        </w:tc>
        <w:tc>
          <w:tcPr>
            <w:tcW w:w="4673" w:type="dxa"/>
            <w:tcBorders>
              <w:top w:val="nil"/>
              <w:left w:val="nil"/>
              <w:bottom w:val="single" w:color="auto" w:sz="4" w:space="0"/>
              <w:right w:val="single" w:color="auto" w:sz="4" w:space="0"/>
            </w:tcBorders>
            <w:shd w:val="clear" w:color="auto" w:fill="auto"/>
            <w:noWrap/>
            <w:vAlign w:val="center"/>
          </w:tcPr>
          <w:p w14:paraId="70A03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重铬酸钾氧化分光光度法；测量范围：0-100mg/L，量程自动切换或稀释再分析；双光束式比色计；自清洗；四线制；输入：220±22V，50±0.5Hz；输出：4-20mA电流；带485、232通讯接口，含箱柜、药剂，具备</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标液核查功能；具备抗氯离子干扰功能；符合HJ 212-2017污染物在线监控（监测）系统数据传输标准；具备废水废液分离功能；具有试剂和水样反推功能；</w:t>
            </w:r>
          </w:p>
        </w:tc>
        <w:tc>
          <w:tcPr>
            <w:tcW w:w="670" w:type="dxa"/>
            <w:tcBorders>
              <w:top w:val="nil"/>
              <w:left w:val="nil"/>
              <w:bottom w:val="single" w:color="auto" w:sz="4" w:space="0"/>
              <w:right w:val="single" w:color="auto" w:sz="4" w:space="0"/>
            </w:tcBorders>
            <w:shd w:val="clear" w:color="auto" w:fill="auto"/>
            <w:noWrap/>
            <w:vAlign w:val="center"/>
          </w:tcPr>
          <w:p w14:paraId="7EEB9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7BF17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restart"/>
            <w:tcBorders>
              <w:top w:val="nil"/>
              <w:left w:val="single" w:color="auto" w:sz="4" w:space="0"/>
              <w:bottom w:val="single" w:color="auto" w:sz="4" w:space="0"/>
              <w:right w:val="single" w:color="auto" w:sz="4" w:space="0"/>
            </w:tcBorders>
            <w:shd w:val="clear" w:color="auto" w:fill="auto"/>
            <w:noWrap/>
            <w:vAlign w:val="center"/>
          </w:tcPr>
          <w:p w14:paraId="525B1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应满足《水污染源在线监测系统</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（CODcr、NH3-N等）安装技</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术规范》 HJ353-2019的相</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关要求</w:t>
            </w:r>
          </w:p>
        </w:tc>
      </w:tr>
      <w:tr w14:paraId="46EB089D">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4455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090AF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9E1E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NH3-N分析仪</w:t>
            </w:r>
          </w:p>
        </w:tc>
        <w:tc>
          <w:tcPr>
            <w:tcW w:w="4673" w:type="dxa"/>
            <w:tcBorders>
              <w:top w:val="nil"/>
              <w:left w:val="nil"/>
              <w:bottom w:val="single" w:color="auto" w:sz="4" w:space="0"/>
              <w:right w:val="single" w:color="auto" w:sz="4" w:space="0"/>
            </w:tcBorders>
            <w:shd w:val="clear" w:color="auto" w:fill="auto"/>
            <w:noWrap/>
            <w:vAlign w:val="center"/>
          </w:tcPr>
          <w:p w14:paraId="258D8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水杨酸分光光度法；测量范围：0-5mg/L，量程自动切换或稀释再分析；双光束式比色计；自清洗；四线制；输入：220±22V，50±0.5Hz；输出：4-20mA电流；带485、232通讯接口，含箱柜、药剂，具备标液核查功</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能；符合HJ 212-2017污染物在线监控（监测）系统数据传输标准；具备废水废液分离功能；具有试剂和水样反推功能；具备抗浊度、色度、盐度、硬度干扰功能；</w:t>
            </w:r>
          </w:p>
        </w:tc>
        <w:tc>
          <w:tcPr>
            <w:tcW w:w="670" w:type="dxa"/>
            <w:tcBorders>
              <w:top w:val="nil"/>
              <w:left w:val="nil"/>
              <w:bottom w:val="single" w:color="auto" w:sz="4" w:space="0"/>
              <w:right w:val="single" w:color="auto" w:sz="4" w:space="0"/>
            </w:tcBorders>
            <w:shd w:val="clear" w:color="auto" w:fill="auto"/>
            <w:noWrap/>
            <w:vAlign w:val="center"/>
          </w:tcPr>
          <w:p w14:paraId="052D5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22AF3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316DC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8B01FCC">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9757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4818F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1AF5B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Ph/T在线分析仪</w:t>
            </w:r>
          </w:p>
        </w:tc>
        <w:tc>
          <w:tcPr>
            <w:tcW w:w="4673" w:type="dxa"/>
            <w:tcBorders>
              <w:top w:val="nil"/>
              <w:left w:val="nil"/>
              <w:bottom w:val="single" w:color="auto" w:sz="4" w:space="0"/>
              <w:right w:val="single" w:color="auto" w:sz="4" w:space="0"/>
            </w:tcBorders>
            <w:shd w:val="clear" w:color="auto" w:fill="auto"/>
            <w:noWrap/>
            <w:vAlign w:val="center"/>
          </w:tcPr>
          <w:p w14:paraId="67598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玻璃电极法；测量范围：pH：0-14；温度：0-50℃；防护等级：IP68；带485通讯接口，支持标准Modbus协议；输入：220±22V，50/60Hz；响应时间：小于5s；</w:t>
            </w:r>
          </w:p>
        </w:tc>
        <w:tc>
          <w:tcPr>
            <w:tcW w:w="670" w:type="dxa"/>
            <w:tcBorders>
              <w:top w:val="nil"/>
              <w:left w:val="nil"/>
              <w:bottom w:val="single" w:color="auto" w:sz="4" w:space="0"/>
              <w:right w:val="single" w:color="auto" w:sz="4" w:space="0"/>
            </w:tcBorders>
            <w:shd w:val="clear" w:color="auto" w:fill="auto"/>
            <w:noWrap/>
            <w:vAlign w:val="center"/>
          </w:tcPr>
          <w:p w14:paraId="066B2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6181D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51EB9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086DC8E">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45E2E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33</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3EB1E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1734E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出水总磷检测仪</w:t>
            </w:r>
          </w:p>
        </w:tc>
        <w:tc>
          <w:tcPr>
            <w:tcW w:w="4673" w:type="dxa"/>
            <w:tcBorders>
              <w:top w:val="nil"/>
              <w:left w:val="nil"/>
              <w:bottom w:val="single" w:color="auto" w:sz="4" w:space="0"/>
              <w:right w:val="single" w:color="auto" w:sz="4" w:space="0"/>
            </w:tcBorders>
            <w:shd w:val="clear" w:color="auto" w:fill="auto"/>
            <w:noWrap/>
            <w:vAlign w:val="center"/>
          </w:tcPr>
          <w:p w14:paraId="55654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钼酸盐分光光度法；测量范围：0-1mg/L，量程自动切换或稀释再分析；双光束式比色计；自清洗；四线制；输入：220±22V，50±0.5Hz；输出：4-20mA电流；带485、232通讯接口，含箱柜、药剂，具备标液核查功</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能；符合HJ 212-2017污染物在线监控（监测）系统数据传输标准；具备废水废液分离功能；具有试剂和水样反推功能；含紫外消解模块；</w:t>
            </w:r>
          </w:p>
        </w:tc>
        <w:tc>
          <w:tcPr>
            <w:tcW w:w="670" w:type="dxa"/>
            <w:tcBorders>
              <w:top w:val="nil"/>
              <w:left w:val="nil"/>
              <w:bottom w:val="single" w:color="auto" w:sz="4" w:space="0"/>
              <w:right w:val="single" w:color="auto" w:sz="4" w:space="0"/>
            </w:tcBorders>
            <w:shd w:val="clear" w:color="auto" w:fill="auto"/>
            <w:noWrap/>
            <w:vAlign w:val="center"/>
          </w:tcPr>
          <w:p w14:paraId="5EE01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1840F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3DD56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52F5437">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7EA63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34</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1A9CA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0BF47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出水总氮检测仪</w:t>
            </w:r>
          </w:p>
        </w:tc>
        <w:tc>
          <w:tcPr>
            <w:tcW w:w="4673" w:type="dxa"/>
            <w:tcBorders>
              <w:top w:val="nil"/>
              <w:left w:val="nil"/>
              <w:bottom w:val="single" w:color="auto" w:sz="4" w:space="0"/>
              <w:right w:val="single" w:color="auto" w:sz="4" w:space="0"/>
            </w:tcBorders>
            <w:shd w:val="clear" w:color="auto" w:fill="auto"/>
            <w:noWrap/>
            <w:vAlign w:val="center"/>
          </w:tcPr>
          <w:p w14:paraId="197D3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过硫酸钾氧化紫外分光光度法；测量范围：0-20mg/L，量程自动切换或稀释再分析；自清洗；四线制；输入：220±22V，50±0.5Hz；输出：4-20mA电流；带485、232通讯接口，含箱柜、药剂，具备标液核查功能；</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符合HJ 212-2017污染物在线监控（监测）系统数据传输标准；具备废水废液分离功能；具有试剂和水样反推功能；具备抗盐度、硬度干扰功能；含紫外消解模块；</w:t>
            </w:r>
          </w:p>
        </w:tc>
        <w:tc>
          <w:tcPr>
            <w:tcW w:w="670" w:type="dxa"/>
            <w:tcBorders>
              <w:top w:val="nil"/>
              <w:left w:val="nil"/>
              <w:bottom w:val="single" w:color="auto" w:sz="4" w:space="0"/>
              <w:right w:val="single" w:color="auto" w:sz="4" w:space="0"/>
            </w:tcBorders>
            <w:shd w:val="clear" w:color="auto" w:fill="auto"/>
            <w:noWrap/>
            <w:vAlign w:val="center"/>
          </w:tcPr>
          <w:p w14:paraId="4567B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75BDB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628F9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2BBDFEE">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3587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3FCA0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61264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水质自动采样器</w:t>
            </w:r>
          </w:p>
        </w:tc>
        <w:tc>
          <w:tcPr>
            <w:tcW w:w="4673" w:type="dxa"/>
            <w:tcBorders>
              <w:top w:val="nil"/>
              <w:left w:val="nil"/>
              <w:bottom w:val="single" w:color="auto" w:sz="4" w:space="0"/>
              <w:right w:val="single" w:color="auto" w:sz="4" w:space="0"/>
            </w:tcBorders>
            <w:shd w:val="clear" w:color="auto" w:fill="auto"/>
            <w:noWrap/>
            <w:vAlign w:val="center"/>
          </w:tcPr>
          <w:p w14:paraId="0AFB5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质自动采样单元具有采集瞬时水样及混合水样，混匀及暂存水样、自动润洗及排空混匀桶，以及留样功能。水质自动采样单元的管材应采用优质的聚氯乙烯（PVC）、三丙聚丙烯（PPR）等不影响分析结果的硬管。采样泵应根据</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采样流量、水质自动采样单元的水头损失及水位差合理选择。应使用寿命长、易维护的，并且对水质参数没有影响的采样泵，安装位置应便于采样泵的维护。数据控制单元可协调统一运行水污染源在线监测系统，采集、储存、显示</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监测数据及运行日志，向监控中心平台上传污染源监测数据</w:t>
            </w:r>
          </w:p>
        </w:tc>
        <w:tc>
          <w:tcPr>
            <w:tcW w:w="670" w:type="dxa"/>
            <w:tcBorders>
              <w:top w:val="nil"/>
              <w:left w:val="nil"/>
              <w:bottom w:val="single" w:color="auto" w:sz="4" w:space="0"/>
              <w:right w:val="single" w:color="auto" w:sz="4" w:space="0"/>
            </w:tcBorders>
            <w:shd w:val="clear" w:color="auto" w:fill="auto"/>
            <w:noWrap/>
            <w:vAlign w:val="center"/>
          </w:tcPr>
          <w:p w14:paraId="0A25F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3A38E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27E6D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6784E7A">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2D46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36</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284F1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CEC2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取样设备及管线</w:t>
            </w:r>
          </w:p>
        </w:tc>
        <w:tc>
          <w:tcPr>
            <w:tcW w:w="4673" w:type="dxa"/>
            <w:tcBorders>
              <w:top w:val="nil"/>
              <w:left w:val="nil"/>
              <w:bottom w:val="single" w:color="auto" w:sz="4" w:space="0"/>
              <w:right w:val="single" w:color="auto" w:sz="4" w:space="0"/>
            </w:tcBorders>
            <w:shd w:val="clear" w:color="auto" w:fill="auto"/>
            <w:noWrap/>
            <w:vAlign w:val="center"/>
          </w:tcPr>
          <w:p w14:paraId="0FC99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不限于采样泵、PVC取样管、样水隔离阀，切换电磁阀等</w:t>
            </w:r>
          </w:p>
        </w:tc>
        <w:tc>
          <w:tcPr>
            <w:tcW w:w="670" w:type="dxa"/>
            <w:tcBorders>
              <w:top w:val="nil"/>
              <w:left w:val="nil"/>
              <w:bottom w:val="single" w:color="auto" w:sz="4" w:space="0"/>
              <w:right w:val="single" w:color="auto" w:sz="4" w:space="0"/>
            </w:tcBorders>
            <w:shd w:val="clear" w:color="auto" w:fill="auto"/>
            <w:noWrap/>
            <w:vAlign w:val="center"/>
          </w:tcPr>
          <w:p w14:paraId="65C2C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702FB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5C576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62BE3CD">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E8A9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37</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0533B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45414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质控仪</w:t>
            </w:r>
          </w:p>
        </w:tc>
        <w:tc>
          <w:tcPr>
            <w:tcW w:w="4673" w:type="dxa"/>
            <w:tcBorders>
              <w:top w:val="nil"/>
              <w:left w:val="nil"/>
              <w:bottom w:val="single" w:color="auto" w:sz="4" w:space="0"/>
              <w:right w:val="single" w:color="auto" w:sz="4" w:space="0"/>
            </w:tcBorders>
            <w:shd w:val="clear" w:color="auto" w:fill="auto"/>
            <w:noWrap/>
            <w:vAlign w:val="center"/>
          </w:tcPr>
          <w:p w14:paraId="443DC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分析仪表厂家配套，仪表功能配套或独立配置方式任选，配套系统单元控制柜</w:t>
            </w:r>
          </w:p>
        </w:tc>
        <w:tc>
          <w:tcPr>
            <w:tcW w:w="670" w:type="dxa"/>
            <w:tcBorders>
              <w:top w:val="nil"/>
              <w:left w:val="nil"/>
              <w:bottom w:val="single" w:color="auto" w:sz="4" w:space="0"/>
              <w:right w:val="single" w:color="auto" w:sz="4" w:space="0"/>
            </w:tcBorders>
            <w:shd w:val="clear" w:color="auto" w:fill="auto"/>
            <w:noWrap/>
            <w:vAlign w:val="center"/>
          </w:tcPr>
          <w:p w14:paraId="66C39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39650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2BA01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72EB23C">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47D76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38</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46BF2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505F9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数采仪</w:t>
            </w:r>
          </w:p>
        </w:tc>
        <w:tc>
          <w:tcPr>
            <w:tcW w:w="4673" w:type="dxa"/>
            <w:tcBorders>
              <w:top w:val="nil"/>
              <w:left w:val="nil"/>
              <w:bottom w:val="single" w:color="auto" w:sz="4" w:space="0"/>
              <w:right w:val="single" w:color="auto" w:sz="4" w:space="0"/>
            </w:tcBorders>
            <w:shd w:val="clear" w:color="auto" w:fill="auto"/>
            <w:noWrap/>
            <w:vAlign w:val="center"/>
          </w:tcPr>
          <w:p w14:paraId="1B67E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带不锈钢304柜体，用于与环保部门通讯，以太网接口，配套提供文本显示器</w:t>
            </w:r>
          </w:p>
        </w:tc>
        <w:tc>
          <w:tcPr>
            <w:tcW w:w="670" w:type="dxa"/>
            <w:tcBorders>
              <w:top w:val="nil"/>
              <w:left w:val="nil"/>
              <w:bottom w:val="single" w:color="auto" w:sz="4" w:space="0"/>
              <w:right w:val="single" w:color="auto" w:sz="4" w:space="0"/>
            </w:tcBorders>
            <w:shd w:val="clear" w:color="auto" w:fill="auto"/>
            <w:noWrap/>
            <w:vAlign w:val="center"/>
          </w:tcPr>
          <w:p w14:paraId="2A25C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18428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5E686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4E6C12C">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5DB3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39</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57344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43764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仪表电源箱</w:t>
            </w:r>
          </w:p>
        </w:tc>
        <w:tc>
          <w:tcPr>
            <w:tcW w:w="4673" w:type="dxa"/>
            <w:tcBorders>
              <w:top w:val="nil"/>
              <w:left w:val="nil"/>
              <w:bottom w:val="single" w:color="auto" w:sz="4" w:space="0"/>
              <w:right w:val="single" w:color="auto" w:sz="4" w:space="0"/>
            </w:tcBorders>
            <w:shd w:val="clear" w:color="auto" w:fill="auto"/>
            <w:noWrap/>
            <w:vAlign w:val="center"/>
          </w:tcPr>
          <w:p w14:paraId="1FC07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不锈钢材质 尺寸按需，防护等级IP44 内置1KVA UPS电源及相应开关</w:t>
            </w:r>
          </w:p>
        </w:tc>
        <w:tc>
          <w:tcPr>
            <w:tcW w:w="670" w:type="dxa"/>
            <w:tcBorders>
              <w:top w:val="nil"/>
              <w:left w:val="nil"/>
              <w:bottom w:val="single" w:color="auto" w:sz="4" w:space="0"/>
              <w:right w:val="single" w:color="auto" w:sz="4" w:space="0"/>
            </w:tcBorders>
            <w:shd w:val="clear" w:color="auto" w:fill="auto"/>
            <w:noWrap/>
            <w:vAlign w:val="center"/>
          </w:tcPr>
          <w:p w14:paraId="1D57F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761CA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vMerge w:val="continue"/>
            <w:tcBorders>
              <w:top w:val="nil"/>
              <w:left w:val="single" w:color="auto" w:sz="4" w:space="0"/>
              <w:bottom w:val="single" w:color="auto" w:sz="4" w:space="0"/>
              <w:right w:val="single" w:color="auto" w:sz="4" w:space="0"/>
            </w:tcBorders>
            <w:noWrap/>
            <w:vAlign w:val="center"/>
          </w:tcPr>
          <w:p w14:paraId="060E3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C2ABA98">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16AB5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07D36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0812B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便携式人工采样器</w:t>
            </w:r>
          </w:p>
        </w:tc>
        <w:tc>
          <w:tcPr>
            <w:tcW w:w="4673" w:type="dxa"/>
            <w:tcBorders>
              <w:top w:val="nil"/>
              <w:left w:val="nil"/>
              <w:bottom w:val="single" w:color="auto" w:sz="4" w:space="0"/>
              <w:right w:val="single" w:color="auto" w:sz="4" w:space="0"/>
            </w:tcBorders>
            <w:shd w:val="clear" w:color="auto" w:fill="auto"/>
            <w:noWrap/>
            <w:vAlign w:val="center"/>
          </w:tcPr>
          <w:p w14:paraId="55F82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实验室便携式人工采样器</w:t>
            </w:r>
          </w:p>
        </w:tc>
        <w:tc>
          <w:tcPr>
            <w:tcW w:w="670" w:type="dxa"/>
            <w:tcBorders>
              <w:top w:val="nil"/>
              <w:left w:val="nil"/>
              <w:bottom w:val="single" w:color="auto" w:sz="4" w:space="0"/>
              <w:right w:val="single" w:color="auto" w:sz="4" w:space="0"/>
            </w:tcBorders>
            <w:shd w:val="clear" w:color="auto" w:fill="auto"/>
            <w:noWrap/>
            <w:vAlign w:val="center"/>
          </w:tcPr>
          <w:p w14:paraId="10E07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48EE8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4DFF9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04244ED8">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03A7D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w:t>
            </w:r>
          </w:p>
        </w:tc>
        <w:tc>
          <w:tcPr>
            <w:tcW w:w="764" w:type="dxa"/>
            <w:vMerge w:val="continue"/>
            <w:tcBorders>
              <w:top w:val="nil"/>
              <w:left w:val="single" w:color="auto" w:sz="4" w:space="0"/>
              <w:bottom w:val="single" w:color="000000" w:sz="4" w:space="0"/>
              <w:right w:val="single" w:color="auto" w:sz="4" w:space="0"/>
            </w:tcBorders>
            <w:shd w:val="clear" w:color="auto" w:fill="auto"/>
            <w:noWrap/>
            <w:vAlign w:val="center"/>
          </w:tcPr>
          <w:p w14:paraId="28D75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4DCD5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水质仪表柜</w:t>
            </w:r>
          </w:p>
        </w:tc>
        <w:tc>
          <w:tcPr>
            <w:tcW w:w="4673" w:type="dxa"/>
            <w:tcBorders>
              <w:top w:val="nil"/>
              <w:left w:val="nil"/>
              <w:bottom w:val="single" w:color="auto" w:sz="4" w:space="0"/>
              <w:right w:val="single" w:color="auto" w:sz="4" w:space="0"/>
            </w:tcBorders>
            <w:shd w:val="clear" w:color="auto" w:fill="auto"/>
            <w:noWrap/>
            <w:vAlign w:val="center"/>
          </w:tcPr>
          <w:p w14:paraId="5E21F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定制仪表柜：尺寸2000x600x600，正面带观测窗，带通风扇，柜体配置可由水质仪表厂家按需深化，开门尺寸应与仪表尺寸匹配。</w:t>
            </w:r>
          </w:p>
        </w:tc>
        <w:tc>
          <w:tcPr>
            <w:tcW w:w="670" w:type="dxa"/>
            <w:tcBorders>
              <w:top w:val="nil"/>
              <w:left w:val="nil"/>
              <w:bottom w:val="single" w:color="auto" w:sz="4" w:space="0"/>
              <w:right w:val="single" w:color="auto" w:sz="4" w:space="0"/>
            </w:tcBorders>
            <w:shd w:val="clear" w:color="auto" w:fill="auto"/>
            <w:noWrap/>
            <w:vAlign w:val="center"/>
          </w:tcPr>
          <w:p w14:paraId="6D503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057A0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935" w:type="dxa"/>
            <w:tcBorders>
              <w:top w:val="nil"/>
              <w:left w:val="nil"/>
              <w:bottom w:val="single" w:color="auto" w:sz="4" w:space="0"/>
              <w:right w:val="single" w:color="auto" w:sz="4" w:space="0"/>
            </w:tcBorders>
            <w:shd w:val="clear" w:color="auto" w:fill="auto"/>
            <w:noWrap/>
            <w:vAlign w:val="center"/>
          </w:tcPr>
          <w:p w14:paraId="4D42E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0046FF7A">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5C57E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w:t>
            </w:r>
          </w:p>
        </w:tc>
        <w:tc>
          <w:tcPr>
            <w:tcW w:w="764" w:type="dxa"/>
            <w:tcBorders>
              <w:top w:val="nil"/>
              <w:left w:val="nil"/>
              <w:bottom w:val="single" w:color="auto" w:sz="4" w:space="0"/>
              <w:right w:val="single" w:color="auto" w:sz="4" w:space="0"/>
            </w:tcBorders>
            <w:shd w:val="clear" w:color="auto" w:fill="auto"/>
            <w:noWrap/>
            <w:vAlign w:val="center"/>
          </w:tcPr>
          <w:p w14:paraId="4E732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总图</w:t>
            </w:r>
          </w:p>
        </w:tc>
        <w:tc>
          <w:tcPr>
            <w:tcW w:w="1095" w:type="dxa"/>
            <w:tcBorders>
              <w:top w:val="nil"/>
              <w:left w:val="nil"/>
              <w:bottom w:val="single" w:color="auto" w:sz="4" w:space="0"/>
              <w:right w:val="single" w:color="auto" w:sz="4" w:space="0"/>
            </w:tcBorders>
            <w:shd w:val="clear" w:color="auto" w:fill="auto"/>
            <w:noWrap/>
            <w:vAlign w:val="center"/>
          </w:tcPr>
          <w:p w14:paraId="52AA9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进水电磁流量计</w:t>
            </w:r>
          </w:p>
        </w:tc>
        <w:tc>
          <w:tcPr>
            <w:tcW w:w="4673" w:type="dxa"/>
            <w:tcBorders>
              <w:top w:val="nil"/>
              <w:left w:val="nil"/>
              <w:bottom w:val="single" w:color="auto" w:sz="4" w:space="0"/>
              <w:right w:val="single" w:color="auto" w:sz="4" w:space="0"/>
            </w:tcBorders>
            <w:shd w:val="clear" w:color="auto" w:fill="auto"/>
            <w:noWrap/>
            <w:vAlign w:val="center"/>
          </w:tcPr>
          <w:p w14:paraId="531AB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DN400，输出4~20mA，带瞬时累计监测，带MODBUS通讯口，电源220V AC，传感器IP68，变送器IP65，含原厂仪表支架等配件</w:t>
            </w:r>
          </w:p>
        </w:tc>
        <w:tc>
          <w:tcPr>
            <w:tcW w:w="670" w:type="dxa"/>
            <w:tcBorders>
              <w:top w:val="nil"/>
              <w:left w:val="nil"/>
              <w:bottom w:val="single" w:color="auto" w:sz="4" w:space="0"/>
              <w:right w:val="single" w:color="auto" w:sz="4" w:space="0"/>
            </w:tcBorders>
            <w:shd w:val="clear" w:color="auto" w:fill="auto"/>
            <w:noWrap/>
            <w:vAlign w:val="center"/>
          </w:tcPr>
          <w:p w14:paraId="18DC2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29722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16D5D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B979699">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78B40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w:t>
            </w:r>
          </w:p>
        </w:tc>
        <w:tc>
          <w:tcPr>
            <w:tcW w:w="764" w:type="dxa"/>
            <w:vMerge w:val="restart"/>
            <w:tcBorders>
              <w:top w:val="nil"/>
              <w:left w:val="single" w:color="auto" w:sz="4" w:space="0"/>
              <w:bottom w:val="single" w:color="auto" w:sz="4" w:space="0"/>
              <w:right w:val="single" w:color="auto" w:sz="4" w:space="0"/>
            </w:tcBorders>
            <w:shd w:val="clear" w:color="auto" w:fill="auto"/>
            <w:noWrap/>
            <w:vAlign w:val="center"/>
          </w:tcPr>
          <w:p w14:paraId="235C3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w:t>
            </w:r>
          </w:p>
        </w:tc>
        <w:tc>
          <w:tcPr>
            <w:tcW w:w="1095" w:type="dxa"/>
            <w:tcBorders>
              <w:top w:val="nil"/>
              <w:left w:val="nil"/>
              <w:bottom w:val="single" w:color="auto" w:sz="4" w:space="0"/>
              <w:right w:val="single" w:color="auto" w:sz="4" w:space="0"/>
            </w:tcBorders>
            <w:shd w:val="clear" w:color="auto" w:fill="auto"/>
            <w:noWrap/>
            <w:vAlign w:val="center"/>
          </w:tcPr>
          <w:p w14:paraId="55360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仪表箱</w:t>
            </w:r>
          </w:p>
        </w:tc>
        <w:tc>
          <w:tcPr>
            <w:tcW w:w="4673" w:type="dxa"/>
            <w:tcBorders>
              <w:top w:val="nil"/>
              <w:left w:val="nil"/>
              <w:bottom w:val="single" w:color="auto" w:sz="4" w:space="0"/>
              <w:right w:val="single" w:color="auto" w:sz="4" w:space="0"/>
            </w:tcBorders>
            <w:shd w:val="clear" w:color="auto" w:fill="auto"/>
            <w:noWrap/>
            <w:vAlign w:val="center"/>
          </w:tcPr>
          <w:p w14:paraId="1425B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箱体材质：316L不锈钢，厚1.5mm 箱体尺寸：W×H×D＝400×500×320，正面开门，带观测窗。箱内有防雷等模块，箱体防护等级应满足现场环境要求</w:t>
            </w:r>
          </w:p>
        </w:tc>
        <w:tc>
          <w:tcPr>
            <w:tcW w:w="670" w:type="dxa"/>
            <w:tcBorders>
              <w:top w:val="nil"/>
              <w:left w:val="nil"/>
              <w:bottom w:val="single" w:color="auto" w:sz="4" w:space="0"/>
              <w:right w:val="single" w:color="auto" w:sz="4" w:space="0"/>
            </w:tcBorders>
            <w:shd w:val="clear" w:color="auto" w:fill="auto"/>
            <w:noWrap/>
            <w:vAlign w:val="center"/>
          </w:tcPr>
          <w:p w14:paraId="7BC0F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0" w:type="dxa"/>
            <w:tcBorders>
              <w:top w:val="nil"/>
              <w:left w:val="nil"/>
              <w:bottom w:val="single" w:color="auto" w:sz="4" w:space="0"/>
              <w:right w:val="single" w:color="auto" w:sz="4" w:space="0"/>
            </w:tcBorders>
            <w:shd w:val="clear" w:color="auto" w:fill="auto"/>
            <w:noWrap/>
            <w:vAlign w:val="center"/>
          </w:tcPr>
          <w:p w14:paraId="3947F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按实</w:t>
            </w:r>
          </w:p>
        </w:tc>
        <w:tc>
          <w:tcPr>
            <w:tcW w:w="1935" w:type="dxa"/>
            <w:tcBorders>
              <w:top w:val="nil"/>
              <w:left w:val="nil"/>
              <w:bottom w:val="single" w:color="auto" w:sz="4" w:space="0"/>
              <w:right w:val="single" w:color="auto" w:sz="4" w:space="0"/>
            </w:tcBorders>
            <w:shd w:val="clear" w:color="auto" w:fill="auto"/>
            <w:noWrap/>
            <w:vAlign w:val="center"/>
          </w:tcPr>
          <w:p w14:paraId="5DFE1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84EC14A">
        <w:tblPrEx>
          <w:tblCellMar>
            <w:top w:w="0" w:type="dxa"/>
            <w:left w:w="108" w:type="dxa"/>
            <w:bottom w:w="0" w:type="dxa"/>
            <w:right w:w="108" w:type="dxa"/>
          </w:tblCellMar>
        </w:tblPrEx>
        <w:trPr>
          <w:trHeight w:val="454" w:hRule="atLeast"/>
          <w:jc w:val="center"/>
        </w:trPr>
        <w:tc>
          <w:tcPr>
            <w:tcW w:w="575" w:type="dxa"/>
            <w:tcBorders>
              <w:top w:val="nil"/>
              <w:left w:val="single" w:color="auto" w:sz="4" w:space="0"/>
              <w:bottom w:val="single" w:color="auto" w:sz="4" w:space="0"/>
              <w:right w:val="single" w:color="auto" w:sz="4" w:space="0"/>
            </w:tcBorders>
            <w:shd w:val="clear" w:color="auto" w:fill="auto"/>
            <w:noWrap/>
            <w:vAlign w:val="center"/>
          </w:tcPr>
          <w:p w14:paraId="3F6C0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w:t>
            </w:r>
          </w:p>
        </w:tc>
        <w:tc>
          <w:tcPr>
            <w:tcW w:w="764" w:type="dxa"/>
            <w:vMerge w:val="continue"/>
            <w:tcBorders>
              <w:top w:val="nil"/>
              <w:left w:val="single" w:color="auto" w:sz="4" w:space="0"/>
              <w:bottom w:val="single" w:color="auto" w:sz="4" w:space="0"/>
              <w:right w:val="single" w:color="auto" w:sz="4" w:space="0"/>
            </w:tcBorders>
            <w:shd w:val="clear" w:color="auto" w:fill="auto"/>
            <w:noWrap/>
            <w:vAlign w:val="center"/>
          </w:tcPr>
          <w:p w14:paraId="0623E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1095" w:type="dxa"/>
            <w:tcBorders>
              <w:top w:val="nil"/>
              <w:left w:val="nil"/>
              <w:bottom w:val="single" w:color="auto" w:sz="4" w:space="0"/>
              <w:right w:val="single" w:color="auto" w:sz="4" w:space="0"/>
            </w:tcBorders>
            <w:shd w:val="clear" w:color="auto" w:fill="auto"/>
            <w:noWrap/>
            <w:vAlign w:val="center"/>
          </w:tcPr>
          <w:p w14:paraId="190DB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仪表防雷浪涌保护器</w:t>
            </w:r>
          </w:p>
        </w:tc>
        <w:tc>
          <w:tcPr>
            <w:tcW w:w="4673" w:type="dxa"/>
            <w:tcBorders>
              <w:top w:val="nil"/>
              <w:left w:val="nil"/>
              <w:bottom w:val="single" w:color="auto" w:sz="4" w:space="0"/>
              <w:right w:val="single" w:color="auto" w:sz="4" w:space="0"/>
            </w:tcBorders>
            <w:shd w:val="clear" w:color="auto" w:fill="auto"/>
            <w:noWrap/>
            <w:vAlign w:val="center"/>
          </w:tcPr>
          <w:p w14:paraId="71E0F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电源+信号</w:t>
            </w:r>
          </w:p>
        </w:tc>
        <w:tc>
          <w:tcPr>
            <w:tcW w:w="670" w:type="dxa"/>
            <w:tcBorders>
              <w:top w:val="nil"/>
              <w:left w:val="nil"/>
              <w:bottom w:val="single" w:color="auto" w:sz="4" w:space="0"/>
              <w:right w:val="single" w:color="auto" w:sz="4" w:space="0"/>
            </w:tcBorders>
            <w:shd w:val="clear" w:color="auto" w:fill="auto"/>
            <w:noWrap/>
            <w:vAlign w:val="center"/>
          </w:tcPr>
          <w:p w14:paraId="4C2AB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780" w:type="dxa"/>
            <w:tcBorders>
              <w:top w:val="nil"/>
              <w:left w:val="nil"/>
              <w:bottom w:val="single" w:color="auto" w:sz="4" w:space="0"/>
              <w:right w:val="single" w:color="auto" w:sz="4" w:space="0"/>
            </w:tcBorders>
            <w:shd w:val="clear" w:color="auto" w:fill="auto"/>
            <w:noWrap/>
            <w:vAlign w:val="center"/>
          </w:tcPr>
          <w:p w14:paraId="4E1DC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35" w:type="dxa"/>
            <w:tcBorders>
              <w:top w:val="nil"/>
              <w:left w:val="nil"/>
              <w:bottom w:val="single" w:color="auto" w:sz="4" w:space="0"/>
              <w:right w:val="single" w:color="auto" w:sz="4" w:space="0"/>
            </w:tcBorders>
            <w:shd w:val="clear" w:color="auto" w:fill="auto"/>
            <w:noWrap/>
            <w:vAlign w:val="center"/>
          </w:tcPr>
          <w:p w14:paraId="334E4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14:paraId="2A9B39DA">
      <w:pPr>
        <w:pStyle w:val="2"/>
        <w:ind w:firstLine="0"/>
        <w:rPr>
          <w:rFonts w:hint="eastAsia" w:ascii="宋体" w:hAnsi="宋体" w:eastAsia="宋体" w:cs="宋体"/>
          <w:b/>
          <w:bCs/>
          <w:color w:val="auto"/>
          <w:spacing w:val="1"/>
          <w:kern w:val="2"/>
          <w:sz w:val="24"/>
          <w:szCs w:val="24"/>
          <w:highlight w:val="none"/>
          <w:lang w:val="en-US" w:eastAsia="zh-CN" w:bidi="ar-SA"/>
        </w:rPr>
      </w:pPr>
      <w:r>
        <w:rPr>
          <w:rFonts w:hint="eastAsia" w:ascii="宋体" w:hAnsi="宋体" w:eastAsia="宋体" w:cs="宋体"/>
          <w:b/>
          <w:bCs/>
          <w:color w:val="auto"/>
          <w:spacing w:val="1"/>
          <w:kern w:val="2"/>
          <w:sz w:val="24"/>
          <w:szCs w:val="24"/>
          <w:highlight w:val="none"/>
          <w:lang w:val="en-US" w:eastAsia="zh-CN" w:bidi="ar-SA"/>
        </w:rPr>
        <w:t>2.3能耗监测系统</w:t>
      </w:r>
    </w:p>
    <w:tbl>
      <w:tblPr>
        <w:tblStyle w:val="43"/>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27"/>
        <w:gridCol w:w="6772"/>
        <w:gridCol w:w="700"/>
        <w:gridCol w:w="598"/>
        <w:gridCol w:w="549"/>
      </w:tblGrid>
      <w:tr w14:paraId="0F3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shd w:val="clear" w:color="auto" w:fill="auto"/>
            <w:noWrap/>
            <w:vAlign w:val="center"/>
          </w:tcPr>
          <w:p w14:paraId="27934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027" w:type="dxa"/>
            <w:shd w:val="clear" w:color="auto" w:fill="auto"/>
            <w:noWrap/>
            <w:vAlign w:val="center"/>
          </w:tcPr>
          <w:p w14:paraId="1DCD3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分项内容</w:t>
            </w:r>
          </w:p>
        </w:tc>
        <w:tc>
          <w:tcPr>
            <w:tcW w:w="6772" w:type="dxa"/>
            <w:shd w:val="clear" w:color="auto" w:fill="auto"/>
            <w:noWrap/>
            <w:vAlign w:val="center"/>
          </w:tcPr>
          <w:p w14:paraId="2B9E0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主要参数</w:t>
            </w:r>
          </w:p>
        </w:tc>
        <w:tc>
          <w:tcPr>
            <w:tcW w:w="700" w:type="dxa"/>
            <w:shd w:val="clear" w:color="auto" w:fill="auto"/>
            <w:noWrap/>
            <w:vAlign w:val="center"/>
          </w:tcPr>
          <w:p w14:paraId="3C107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598" w:type="dxa"/>
            <w:shd w:val="clear" w:color="auto" w:fill="auto"/>
            <w:noWrap/>
            <w:vAlign w:val="center"/>
          </w:tcPr>
          <w:p w14:paraId="06C3A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549" w:type="dxa"/>
            <w:shd w:val="clear" w:color="auto" w:fill="auto"/>
            <w:noWrap/>
            <w:vAlign w:val="center"/>
          </w:tcPr>
          <w:p w14:paraId="04050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579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shd w:val="clear" w:color="auto" w:fill="auto"/>
            <w:noWrap/>
            <w:vAlign w:val="center"/>
          </w:tcPr>
          <w:p w14:paraId="36560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027" w:type="dxa"/>
            <w:shd w:val="clear" w:color="auto" w:fill="auto"/>
            <w:noWrap/>
            <w:vAlign w:val="center"/>
          </w:tcPr>
          <w:p w14:paraId="01FA7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通讯管理机</w:t>
            </w:r>
          </w:p>
        </w:tc>
        <w:tc>
          <w:tcPr>
            <w:tcW w:w="6772" w:type="dxa"/>
            <w:shd w:val="clear" w:color="auto" w:fill="auto"/>
            <w:noWrap/>
            <w:vAlign w:val="center"/>
          </w:tcPr>
          <w:p w14:paraId="78C8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1)自带不小于8G存储；2)不少于16通道485下行通信口；3)不少于2个10/100Base-T 自适应以太网口。4)-20~60℃宽温工作温度；5)宽压适应AC110~260V；6)支持GPRS/NB无线通讯拓展。</w:t>
            </w:r>
          </w:p>
        </w:tc>
        <w:tc>
          <w:tcPr>
            <w:tcW w:w="700" w:type="dxa"/>
            <w:shd w:val="clear" w:color="auto" w:fill="auto"/>
            <w:noWrap/>
            <w:vAlign w:val="center"/>
          </w:tcPr>
          <w:p w14:paraId="6B94A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598" w:type="dxa"/>
            <w:shd w:val="clear" w:color="auto" w:fill="auto"/>
            <w:noWrap/>
            <w:vAlign w:val="center"/>
          </w:tcPr>
          <w:p w14:paraId="6E138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49" w:type="dxa"/>
            <w:shd w:val="clear" w:color="auto" w:fill="auto"/>
            <w:noWrap/>
            <w:vAlign w:val="center"/>
          </w:tcPr>
          <w:p w14:paraId="03DFB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48B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shd w:val="clear" w:color="auto" w:fill="auto"/>
            <w:noWrap/>
            <w:vAlign w:val="center"/>
          </w:tcPr>
          <w:p w14:paraId="609AD4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027" w:type="dxa"/>
            <w:shd w:val="clear" w:color="auto" w:fill="auto"/>
            <w:noWrap/>
            <w:vAlign w:val="center"/>
          </w:tcPr>
          <w:p w14:paraId="1B5A8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RS485通讯线</w:t>
            </w:r>
          </w:p>
        </w:tc>
        <w:tc>
          <w:tcPr>
            <w:tcW w:w="6772" w:type="dxa"/>
            <w:shd w:val="clear" w:color="auto" w:fill="auto"/>
            <w:noWrap/>
            <w:vAlign w:val="center"/>
          </w:tcPr>
          <w:p w14:paraId="42892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RVSP-2x1.0</w:t>
            </w:r>
          </w:p>
        </w:tc>
        <w:tc>
          <w:tcPr>
            <w:tcW w:w="700" w:type="dxa"/>
            <w:shd w:val="clear" w:color="auto" w:fill="auto"/>
            <w:noWrap/>
            <w:vAlign w:val="center"/>
          </w:tcPr>
          <w:p w14:paraId="5E3F3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批</w:t>
            </w:r>
          </w:p>
        </w:tc>
        <w:tc>
          <w:tcPr>
            <w:tcW w:w="598" w:type="dxa"/>
            <w:shd w:val="clear" w:color="auto" w:fill="auto"/>
            <w:noWrap/>
            <w:vAlign w:val="center"/>
          </w:tcPr>
          <w:p w14:paraId="7484D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549" w:type="dxa"/>
            <w:shd w:val="clear" w:color="auto" w:fill="auto"/>
            <w:noWrap/>
            <w:vAlign w:val="center"/>
          </w:tcPr>
          <w:p w14:paraId="17B87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val="en-US" w:eastAsia="zh-CN"/>
              </w:rPr>
            </w:pPr>
          </w:p>
        </w:tc>
      </w:tr>
      <w:tr w14:paraId="281E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shd w:val="clear" w:color="auto" w:fill="auto"/>
            <w:noWrap/>
            <w:vAlign w:val="center"/>
          </w:tcPr>
          <w:p w14:paraId="6BDB0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027" w:type="dxa"/>
            <w:shd w:val="clear" w:color="auto" w:fill="auto"/>
            <w:noWrap/>
            <w:vAlign w:val="center"/>
          </w:tcPr>
          <w:p w14:paraId="215E1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能耗监控软件</w:t>
            </w:r>
          </w:p>
        </w:tc>
        <w:tc>
          <w:tcPr>
            <w:tcW w:w="6772" w:type="dxa"/>
            <w:shd w:val="clear" w:color="auto" w:fill="auto"/>
            <w:noWrap/>
            <w:vAlign w:val="center"/>
          </w:tcPr>
          <w:p w14:paraId="541B3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成套采购，包含系统组态、图形组态、能耗管理、数据库管理等</w:t>
            </w:r>
          </w:p>
        </w:tc>
        <w:tc>
          <w:tcPr>
            <w:tcW w:w="700" w:type="dxa"/>
            <w:shd w:val="clear" w:color="auto" w:fill="auto"/>
            <w:noWrap/>
            <w:vAlign w:val="center"/>
          </w:tcPr>
          <w:p w14:paraId="496EE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598" w:type="dxa"/>
            <w:shd w:val="clear" w:color="auto" w:fill="auto"/>
            <w:noWrap/>
            <w:vAlign w:val="center"/>
          </w:tcPr>
          <w:p w14:paraId="3E7D8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49" w:type="dxa"/>
            <w:shd w:val="clear" w:color="auto" w:fill="auto"/>
            <w:noWrap/>
            <w:vAlign w:val="center"/>
          </w:tcPr>
          <w:p w14:paraId="44771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0CA80E9F">
      <w:pPr>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pacing w:val="1"/>
          <w:sz w:val="24"/>
          <w:szCs w:val="24"/>
          <w:highlight w:val="none"/>
        </w:rPr>
        <w:t>电气设备</w:t>
      </w:r>
      <w:r>
        <w:rPr>
          <w:rFonts w:hint="eastAsia" w:ascii="宋体" w:hAnsi="宋体" w:eastAsia="宋体" w:cs="宋体"/>
          <w:b/>
          <w:bCs/>
          <w:color w:val="auto"/>
          <w:spacing w:val="1"/>
          <w:sz w:val="24"/>
          <w:szCs w:val="24"/>
          <w:highlight w:val="none"/>
          <w:lang w:val="en-US" w:eastAsia="zh-CN"/>
        </w:rPr>
        <w:t>采购清单</w:t>
      </w:r>
    </w:p>
    <w:tbl>
      <w:tblPr>
        <w:tblStyle w:val="43"/>
        <w:tblW w:w="5194" w:type="pct"/>
        <w:jc w:val="center"/>
        <w:tblLayout w:type="fixed"/>
        <w:tblCellMar>
          <w:top w:w="0" w:type="dxa"/>
          <w:left w:w="108" w:type="dxa"/>
          <w:bottom w:w="0" w:type="dxa"/>
          <w:right w:w="108" w:type="dxa"/>
        </w:tblCellMar>
      </w:tblPr>
      <w:tblGrid>
        <w:gridCol w:w="650"/>
        <w:gridCol w:w="2029"/>
        <w:gridCol w:w="3651"/>
        <w:gridCol w:w="790"/>
        <w:gridCol w:w="780"/>
        <w:gridCol w:w="2450"/>
      </w:tblGrid>
      <w:tr w14:paraId="4D3FB28D">
        <w:tblPrEx>
          <w:tblCellMar>
            <w:top w:w="0" w:type="dxa"/>
            <w:left w:w="108" w:type="dxa"/>
            <w:bottom w:w="0" w:type="dxa"/>
            <w:right w:w="108" w:type="dxa"/>
          </w:tblCellMar>
        </w:tblPrEx>
        <w:trPr>
          <w:trHeight w:val="454" w:hRule="atLeast"/>
          <w:tblHeader/>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3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B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设备名称</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8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规格</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A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2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8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50423AA0">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D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00 总图</w:t>
            </w:r>
          </w:p>
        </w:tc>
      </w:tr>
      <w:tr w14:paraId="40AF323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3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C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庭院灯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8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3.5m高</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1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9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3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数量以实际为准</w:t>
            </w:r>
          </w:p>
        </w:tc>
      </w:tr>
      <w:tr w14:paraId="3D70156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F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4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LED灯灯具</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5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 LED</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7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F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4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数量以实际为准</w:t>
            </w:r>
          </w:p>
        </w:tc>
      </w:tr>
      <w:tr w14:paraId="3BA676A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F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C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RC32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D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B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183" w:type="pct"/>
            <w:vMerge w:val="restart"/>
            <w:tcBorders>
              <w:top w:val="single" w:color="000000" w:sz="4" w:space="0"/>
              <w:left w:val="single" w:color="000000" w:sz="4" w:space="0"/>
              <w:right w:val="single" w:color="000000" w:sz="4" w:space="0"/>
            </w:tcBorders>
            <w:shd w:val="clear" w:color="auto" w:fill="auto"/>
            <w:noWrap/>
            <w:vAlign w:val="center"/>
          </w:tcPr>
          <w:p w14:paraId="1CFC7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此项由投标人根据图纸自行深化进行综合考虑</w:t>
            </w:r>
          </w:p>
        </w:tc>
      </w:tr>
      <w:tr w14:paraId="1C1D5E5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1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9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钢管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E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RC40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6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F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183" w:type="pct"/>
            <w:vMerge w:val="continue"/>
            <w:tcBorders>
              <w:left w:val="single" w:color="000000" w:sz="4" w:space="0"/>
              <w:right w:val="single" w:color="000000" w:sz="4" w:space="0"/>
            </w:tcBorders>
            <w:shd w:val="clear" w:color="auto" w:fill="auto"/>
            <w:noWrap/>
            <w:vAlign w:val="center"/>
          </w:tcPr>
          <w:p w14:paraId="3026E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ACA3E5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9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8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聚乙烯管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C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PE32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2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1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183" w:type="pct"/>
            <w:vMerge w:val="continue"/>
            <w:tcBorders>
              <w:left w:val="single" w:color="000000" w:sz="4" w:space="0"/>
              <w:right w:val="single" w:color="000000" w:sz="4" w:space="0"/>
            </w:tcBorders>
            <w:shd w:val="clear" w:color="auto" w:fill="auto"/>
            <w:noWrap/>
            <w:vAlign w:val="center"/>
          </w:tcPr>
          <w:p w14:paraId="71942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34BC73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F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E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电缆</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B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YJV-0.6/1kV-5x6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5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A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183" w:type="pct"/>
            <w:vMerge w:val="continue"/>
            <w:tcBorders>
              <w:left w:val="single" w:color="000000" w:sz="4" w:space="0"/>
              <w:right w:val="single" w:color="000000" w:sz="4" w:space="0"/>
            </w:tcBorders>
            <w:shd w:val="clear" w:color="auto" w:fill="auto"/>
            <w:noWrap/>
            <w:vAlign w:val="center"/>
          </w:tcPr>
          <w:p w14:paraId="18426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C262AD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D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6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铜芯塑料护套线</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5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BVVB-0.45/0.75-3x2.5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9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3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183" w:type="pct"/>
            <w:vMerge w:val="continue"/>
            <w:tcBorders>
              <w:left w:val="single" w:color="000000" w:sz="4" w:space="0"/>
              <w:right w:val="single" w:color="000000" w:sz="4" w:space="0"/>
            </w:tcBorders>
            <w:shd w:val="clear" w:color="auto" w:fill="auto"/>
            <w:noWrap/>
            <w:vAlign w:val="center"/>
          </w:tcPr>
          <w:p w14:paraId="412B6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9A6B01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E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1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接线手孔井</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9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F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C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p>
        </w:tc>
        <w:tc>
          <w:tcPr>
            <w:tcW w:w="1183" w:type="pct"/>
            <w:vMerge w:val="continue"/>
            <w:tcBorders>
              <w:left w:val="single" w:color="000000" w:sz="4" w:space="0"/>
              <w:bottom w:val="single" w:color="000000" w:sz="4" w:space="0"/>
              <w:right w:val="single" w:color="000000" w:sz="4" w:space="0"/>
            </w:tcBorders>
            <w:shd w:val="clear" w:color="auto" w:fill="auto"/>
            <w:noWrap/>
            <w:vAlign w:val="center"/>
          </w:tcPr>
          <w:p w14:paraId="43263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E10204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1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接地极</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F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50x50x5x2500热镀锌角钢</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1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9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6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E43862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D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D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接地连接体</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4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∅10热镀锌圆钢</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2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2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C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DF9FCF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F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A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室外电缆接线井</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0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C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C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7B755BD">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E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01 粗格栅进水泵房及调节池</w:t>
            </w:r>
          </w:p>
        </w:tc>
      </w:tr>
      <w:tr w14:paraId="57504FA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4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4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低压配电柜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5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非标/定制，尺寸800x600x2200mm，材质SS304，防护等级IP55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3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0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D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不锈钢材质</w:t>
            </w:r>
          </w:p>
        </w:tc>
      </w:tr>
      <w:tr w14:paraId="39675F9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9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F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水泵控制柜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1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B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D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潜水排污泵1、潜水排污泵2</w:t>
            </w:r>
          </w:p>
        </w:tc>
      </w:tr>
      <w:tr w14:paraId="038AD63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3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6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按钮箱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F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厂家配供，防护等级IP55，水泵厂家配供（下部为电缆转接箱，上部为按钮箱）</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A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D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0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A9D2D5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5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8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控制箱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厂家配供，格栅输送系统，材质SS304，室外防护等级IP55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8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4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E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含：机械回转式粗格栅机、无轴螺旋输送机、螺旋压榨机</w:t>
            </w:r>
          </w:p>
        </w:tc>
      </w:tr>
      <w:tr w14:paraId="63D2CF6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5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E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搅拌器控制箱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厂家配供，搅拌机，材质SS304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4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D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E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816867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D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8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不锈钢电缆槽盒</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E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BxH=300x100，中间设隔板</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B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3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8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9E3DF4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A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3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D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2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1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B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4FEDA6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9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6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3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0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6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B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3894E6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E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9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8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F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B6A303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6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7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7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B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0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0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063964B">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B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02 一体化固液分离装置</w:t>
            </w:r>
          </w:p>
        </w:tc>
      </w:tr>
      <w:tr w14:paraId="0F2E101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B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8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D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1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F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含本单体所有工艺设备</w:t>
            </w:r>
          </w:p>
        </w:tc>
      </w:tr>
      <w:tr w14:paraId="5D4EA054">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E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4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F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E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1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3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A5FC3B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0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F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2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3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B6C6E9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B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C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7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0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F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F737C6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0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D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9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7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1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D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92F0100">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8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03 一体化AAO生化池</w:t>
            </w:r>
          </w:p>
        </w:tc>
      </w:tr>
      <w:tr w14:paraId="2FD9996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4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4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低压配电柜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1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非标/定制，材质SS304，室内防护等级IP44，室外防护等级IP55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8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0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0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不锈钢材质</w:t>
            </w:r>
          </w:p>
        </w:tc>
      </w:tr>
      <w:tr w14:paraId="25281B84">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4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7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水泵控制柜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1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F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5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5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硝化液回流泵、污泥回流泵</w:t>
            </w:r>
          </w:p>
        </w:tc>
      </w:tr>
      <w:tr w14:paraId="74AAB22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1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5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F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非标/定制，材质SS304，室内防护等级IP44，室外防护等级IP55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C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3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4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搅拌机</w:t>
            </w:r>
          </w:p>
        </w:tc>
      </w:tr>
      <w:tr w14:paraId="549724F3">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6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C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按钮箱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3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厂家配供，防护等级IP55，水泵厂家配供（下部为电缆转接箱，上部为按钮箱）</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9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5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8B8F89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0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9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池顶投光灯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3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 LED</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C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2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C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A13AA84">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8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A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暗装单极开关</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9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A86K11-16</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5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C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9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88EECE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B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2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不锈钢电缆槽盒</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4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BxH=300x150，中间设隔板</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B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1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C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E5BDE8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A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A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不锈钢电缆槽盒</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3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BxH=200x100，中间设隔板</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6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F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6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5C2EDE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C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2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3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4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9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B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6E163C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A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1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6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4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9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178B11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F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6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0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3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7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C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BC15CB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A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C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9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E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D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1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D9D1BAE">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E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04 磁混凝高效沉淀池及滤布滤池</w:t>
            </w:r>
          </w:p>
        </w:tc>
      </w:tr>
      <w:tr w14:paraId="6513041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6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C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8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4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8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4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60C56E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D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D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4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0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9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6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6801C8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8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9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A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0D7910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9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6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线缆及配管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F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F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9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B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D92F0D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1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D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0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B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C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A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849E259">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F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05 滤布滤池及巴氏计量槽</w:t>
            </w:r>
          </w:p>
        </w:tc>
      </w:tr>
      <w:tr w14:paraId="2013C43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A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5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低压配电柜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E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非标/定制，材质SS304，室内防护等级IP44，室外防护等级IP55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4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5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8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bookmarkStart w:id="726" w:name="OLE_LINK1"/>
            <w:r>
              <w:rPr>
                <w:rFonts w:hint="eastAsia" w:ascii="宋体" w:hAnsi="宋体" w:cs="宋体"/>
                <w:color w:val="auto"/>
                <w:kern w:val="0"/>
                <w:sz w:val="22"/>
                <w:szCs w:val="22"/>
                <w:highlight w:val="none"/>
              </w:rPr>
              <w:t>不锈钢材质</w:t>
            </w:r>
            <w:bookmarkEnd w:id="726"/>
          </w:p>
        </w:tc>
      </w:tr>
      <w:tr w14:paraId="5B19F842">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C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5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A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C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6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6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F5F985B">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4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5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池顶投光灯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E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30WLED</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A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3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0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D8BC3D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E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E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暗装单极开关</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B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A86K11-16</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3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3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8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EE3904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B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3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不锈钢电缆槽盒</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BxH=200x100，中间设隔板</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E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E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B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13575A8">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1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0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4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2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A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1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FE6068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9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8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0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5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D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1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308781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E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5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C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4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7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C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83D4D25">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4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C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C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A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2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6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12C6EE1">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06 污泥均质池</w:t>
            </w:r>
          </w:p>
        </w:tc>
      </w:tr>
      <w:tr w14:paraId="0E8CF915">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5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5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5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3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6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0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搅拌机、进泥泵</w:t>
            </w:r>
          </w:p>
        </w:tc>
      </w:tr>
      <w:tr w14:paraId="256A180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E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F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防水型投光灯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B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30W LED</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F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A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6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AD6515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6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A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暗装单极开关</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1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A86K11-10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9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A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2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62BCDD5">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A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B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0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0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9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6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10AE295">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0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4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A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D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2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8298018">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A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E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C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5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1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1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CF5E55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A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3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E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9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F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B4ED86F">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7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07 污泥脱水机房</w:t>
            </w:r>
          </w:p>
        </w:tc>
      </w:tr>
      <w:tr w14:paraId="65FB525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5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3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低压配电柜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0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非标/定制，材质SS304，室内防护等级IP44，室外防护等级IP55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A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B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不锈钢材质</w:t>
            </w:r>
          </w:p>
        </w:tc>
      </w:tr>
      <w:tr w14:paraId="3BDB49B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B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D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9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4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6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3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1A3D87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7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3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4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厂家配供，材质SS304，室内防护等级IP44，室外防护等级IP55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3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C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D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952C0A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2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5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照明箱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F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1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4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9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57BEA4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3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D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隔离开关箱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1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3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E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4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66370B3">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2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2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壁装投光灯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E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 LED</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8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6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5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5A2A03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9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F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壁装投光灯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F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40W LED</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F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D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4E9BA1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7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2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暗装双极开关</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C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A86K21-10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4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2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E4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C032D58">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9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A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插座箱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5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PZ30型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7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5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E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23C0BC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C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6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集中电源消防应急标志灯-安全出口</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8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HZ-BLJC-Ⅱ1LROE1W-E（中型标志灯），不锈钢面板，金属后盖板，厚度不大于10mm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8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4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B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C4C964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1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9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集中电源消防应急标志灯-单面</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5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HZ-BLJC-Ⅱ1LROE1W-E（中型标志灯），不锈钢面板，金属后盖板，厚度不大于10mm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D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D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D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940917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B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B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集中电源消防应急照明灯具</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6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HZ-ZFJC-E10W-LX/D，平时不点亮，应急点亮时10W，800lm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3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E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5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FF75482">
        <w:tblPrEx>
          <w:tblCellMar>
            <w:top w:w="0" w:type="dxa"/>
            <w:left w:w="108" w:type="dxa"/>
            <w:bottom w:w="0" w:type="dxa"/>
            <w:right w:w="108" w:type="dxa"/>
          </w:tblCellMar>
        </w:tblPrEx>
        <w:trPr>
          <w:trHeight w:val="742"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B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3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集中电源消防应急照明灯具（户外）</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HZ-ZFJC-E5W-LX/D，防护等级IP67，平时不点亮，应急点亮时5W，400lm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9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5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7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6F8D3B2">
        <w:tblPrEx>
          <w:tblCellMar>
            <w:top w:w="0" w:type="dxa"/>
            <w:left w:w="108" w:type="dxa"/>
            <w:bottom w:w="0" w:type="dxa"/>
            <w:right w:w="108" w:type="dxa"/>
          </w:tblCellMar>
        </w:tblPrEx>
        <w:trPr>
          <w:trHeight w:val="742"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4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5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集中电源消防应急照明灯具</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4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HZ-ZFJC-E5W-LX/D，平时不点亮，应急点亮时5W，400lm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0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D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2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9315A7E">
        <w:tblPrEx>
          <w:tblCellMar>
            <w:top w:w="0" w:type="dxa"/>
            <w:left w:w="108" w:type="dxa"/>
            <w:bottom w:w="0" w:type="dxa"/>
            <w:right w:w="108" w:type="dxa"/>
          </w:tblCellMar>
        </w:tblPrEx>
        <w:trPr>
          <w:trHeight w:val="742"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7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4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集中电源消防应急标志灯-疏散出口</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1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HZ-BLJC-Ⅱ1LROE1W-E(中型标志灯)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8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6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2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02DB1F1">
        <w:tblPrEx>
          <w:tblCellMar>
            <w:top w:w="0" w:type="dxa"/>
            <w:left w:w="108" w:type="dxa"/>
            <w:bottom w:w="0" w:type="dxa"/>
            <w:right w:w="108" w:type="dxa"/>
          </w:tblCellMar>
        </w:tblPrEx>
        <w:trPr>
          <w:trHeight w:val="742"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4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2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集中电源消防应急标志灯-楼层指示</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7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HZ-BLJC-Ⅱ1LROE1W-E(中型标志灯)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0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1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7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974E17E">
        <w:tblPrEx>
          <w:tblCellMar>
            <w:top w:w="0" w:type="dxa"/>
            <w:left w:w="108" w:type="dxa"/>
            <w:bottom w:w="0" w:type="dxa"/>
            <w:right w:w="108" w:type="dxa"/>
          </w:tblCellMar>
        </w:tblPrEx>
        <w:trPr>
          <w:trHeight w:val="41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A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5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D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A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E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FE87266">
        <w:tblPrEx>
          <w:tblCellMar>
            <w:top w:w="0" w:type="dxa"/>
            <w:left w:w="108" w:type="dxa"/>
            <w:bottom w:w="0" w:type="dxa"/>
            <w:right w:w="108" w:type="dxa"/>
          </w:tblCellMar>
        </w:tblPrEx>
        <w:trPr>
          <w:trHeight w:val="478"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6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8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局部等电位端子箱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2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TD22-R-II（250x100x90）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0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A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B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400E59A">
        <w:trPr>
          <w:trHeight w:val="37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2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9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防雷接地装置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A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0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C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0DFC37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E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0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4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2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1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3EE62EF">
        <w:tblPrEx>
          <w:tblCellMar>
            <w:top w:w="0" w:type="dxa"/>
            <w:left w:w="108" w:type="dxa"/>
            <w:bottom w:w="0" w:type="dxa"/>
            <w:right w:w="108" w:type="dxa"/>
          </w:tblCellMar>
        </w:tblPrEx>
        <w:trPr>
          <w:trHeight w:val="296"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0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5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5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2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9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1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317885B">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9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08 综合车间</w:t>
            </w:r>
          </w:p>
        </w:tc>
      </w:tr>
      <w:tr w14:paraId="47D8B3F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B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6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动力配电柜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7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非标定制，室内防护等级IP44，不锈钢SS304材质，尺寸800x600x2200mm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A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D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B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不锈钢材质</w:t>
            </w:r>
          </w:p>
        </w:tc>
      </w:tr>
      <w:tr w14:paraId="4E750F7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B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0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9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C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C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3C78172">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3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8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控制箱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0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9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5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1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550D48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B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3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精确曝气系统控制箱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F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厂家配供，材质SS304，室内防护等级IP44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6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9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4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CBAA452">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B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4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照明箱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9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1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A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0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C5B1D1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A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D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隔离开关箱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E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B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1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3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8DE290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0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2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轴流风机现场启动器</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C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轴流风机厂家成套配供</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F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0E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4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A5BF494">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B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1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壁装投光灯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1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60W LED灯，距地4m壁装，F1级防腐型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5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6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3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20DD85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2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3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壁装投光灯</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0D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50W LED灯，距地4m壁装</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7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C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4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B07D7D4">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5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1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暗装双极开关</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4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A86K21-10（F1级防腐型）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D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0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D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CBF08B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6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1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暗装单极开关</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F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A86K11-10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7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6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7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D66359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0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1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插座箱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F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PZ30型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E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7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0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E1CA78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E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1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插座箱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E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F1级防腐型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1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5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7F8839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C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A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插座箱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D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移动式潜污泵专用，PZ30型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7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B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5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EE1ABC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9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2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插座箱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D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移动式潜污泵专用，F1级防腐型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2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0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7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D207B74">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B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8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不锈钢电缆槽盒</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8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BxH=300x100，中间设隔板</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9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B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B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1D36549">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3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8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B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F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B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E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F79EAD5">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6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8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局部等电位端子箱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7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TD22-R-II（250x100x90）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2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6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D9034B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6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6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0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2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1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F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9099C03">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2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C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8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F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A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B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6C29B96">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1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9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C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1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6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A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DA65710">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D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09 管理用房</w:t>
            </w:r>
          </w:p>
        </w:tc>
      </w:tr>
      <w:tr w14:paraId="1C1FB1E4">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5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1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低压配电柜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B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非标定制，室内防护等级IP44，不锈钢SS304材质，建议尺寸600x600x2200mm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A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D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E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8D0C708">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E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4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照明配电箱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9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材质SS304，室内防护等级IP44，尺寸400x300x400mm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1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9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C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0CD490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F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1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空调配电箱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A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材质SS304，室内防护等级IP44，建议尺寸400x300x400mm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F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7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8773F9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6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C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中控室配电箱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1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材质SS304，室内防护等级IP44，建议尺寸400x300x400mm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2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F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2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A0215E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E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7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照明、开关、插座</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B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2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7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8A33882">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4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A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0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F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D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831B20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0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B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F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6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F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3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7FF423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A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6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2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A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A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0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6B04FBD2">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D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E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C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8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C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556951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B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6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3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D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A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A9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D972C3D">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1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 进水仪表间</w:t>
            </w:r>
          </w:p>
        </w:tc>
      </w:tr>
      <w:tr w14:paraId="345B00B0">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F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B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低压配电柜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0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材质SS304，室内防护等级IP44，尺寸400x300x400mm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B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4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0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6BCB44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F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F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照明、开关、插座</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5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7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A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B3C3D6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8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E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3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A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6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9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E79833D">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9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8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3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F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3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7055CB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B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0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B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A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8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8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E971A7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4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A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1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7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2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B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05186A6">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5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5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4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1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7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C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E29597E">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0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 出水仪表间</w:t>
            </w:r>
          </w:p>
        </w:tc>
      </w:tr>
      <w:tr w14:paraId="6A2A879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C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5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低压配电箱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1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材质SS304，室内防护等级IP44，尺寸400x300x400mm</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9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A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1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0F1C970">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1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6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照明、开关、插座</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F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A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5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7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2D7BD0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8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2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C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4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2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A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59F21674">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A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4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2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5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F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3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49E4F5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3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B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7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2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8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D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95D8E9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1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0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2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6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0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4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3CB0EE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F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C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E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5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0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D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716CE84">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C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 除臭装置1</w:t>
            </w:r>
          </w:p>
        </w:tc>
      </w:tr>
      <w:tr w14:paraId="66F2E31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7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E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4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材质SS304，室内防护等级IP55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F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B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5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BB093E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4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D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4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7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9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5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85FB25F">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3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0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E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7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7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9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1F1AEF7">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2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4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E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7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7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6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49C1DBCC">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F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A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7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B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5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9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7C5F7353">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A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 除臭装置2</w:t>
            </w:r>
          </w:p>
        </w:tc>
      </w:tr>
      <w:tr w14:paraId="363286C3">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F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3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设备控制柜</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D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材质SS304，室内防护等级IP55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D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C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1BA19CA1">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5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4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总等电位端子箱</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C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TD22-R-I（450x150x90）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0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6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0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0CD23924">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B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C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接地和防雷装置</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0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5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9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2A703B4E">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B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A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线缆级配管</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F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8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3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r w14:paraId="30C4B81A">
        <w:tblPrEx>
          <w:tblCellMar>
            <w:top w:w="0" w:type="dxa"/>
            <w:left w:w="108" w:type="dxa"/>
            <w:bottom w:w="0" w:type="dxa"/>
            <w:right w:w="108" w:type="dxa"/>
          </w:tblCellMar>
        </w:tblPrEx>
        <w:trPr>
          <w:trHeight w:val="454"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4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2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安装附件</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3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3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6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0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0"/>
                <w:sz w:val="22"/>
                <w:szCs w:val="22"/>
                <w:highlight w:val="none"/>
              </w:rPr>
            </w:pPr>
          </w:p>
        </w:tc>
      </w:tr>
    </w:tbl>
    <w:p w14:paraId="3248C26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以上所有机电设备电机能效均为二级及以上；涉水部件材质均为SUSU304不锈钢（特殊说明除外）</w:t>
      </w:r>
      <w:r>
        <w:rPr>
          <w:rFonts w:hint="eastAsia" w:ascii="宋体" w:hAnsi="宋体" w:eastAsia="宋体" w:cs="宋体"/>
          <w:color w:val="auto"/>
          <w:sz w:val="24"/>
          <w:szCs w:val="24"/>
          <w:highlight w:val="none"/>
          <w:lang w:val="en-US" w:eastAsia="zh-CN"/>
        </w:rPr>
        <w:t>。</w:t>
      </w:r>
    </w:p>
    <w:p w14:paraId="471FC04A">
      <w:pPr>
        <w:keepNext w:val="0"/>
        <w:keepLines w:val="0"/>
        <w:pageBreakBefore w:val="0"/>
        <w:widowControl w:val="0"/>
        <w:kinsoku/>
        <w:wordWrap/>
        <w:overflowPunct/>
        <w:topLinePunct w:val="0"/>
        <w:autoSpaceDE w:val="0"/>
        <w:autoSpaceDN/>
        <w:bidi w:val="0"/>
        <w:adjustRightInd w:val="0"/>
        <w:snapToGrid/>
        <w:spacing w:line="312"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上表中所列为采购的主要设备清单，但投标人所投设备并不限于以上设备清单，投标人应根据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供的设计图（所有图纸中设备基础及配套设施由投标人配合设计单位进行深化设计）和所投设备的具体安装和使用情况，对清单中未列出和本技术规格书内未说明的，而投标人为使整套设备能够按本技术规格书要求长期正常有效运行所需的货物和服务【包括：软件、设备、服务、附件、专用检测设备和工具、材料（包括管件及安装所需的法兰、支架、吊架、预埋钢板、预埋地脚螺栓、螺母、垫圈等材料 】，须在报价清单中予以补充，并包含在投标总价内。若因投标人原因漏计相关设备或材料等，将视该漏计的设备或材料等已包含在投标总价中。在系统安装、调试及试运行中发现需要增补的，投标人承诺无偿及时补齐。须提供承诺书（格式自拟）并加盖投标人公章。</w:t>
      </w:r>
    </w:p>
    <w:p w14:paraId="381A179F">
      <w:pPr>
        <w:keepNext w:val="0"/>
        <w:keepLines w:val="0"/>
        <w:pageBreakBefore w:val="0"/>
        <w:widowControl w:val="0"/>
        <w:kinsoku/>
        <w:wordWrap/>
        <w:overflowPunct/>
        <w:topLinePunct w:val="0"/>
        <w:autoSpaceDE w:val="0"/>
        <w:autoSpaceDN/>
        <w:bidi w:val="0"/>
        <w:adjustRightInd w:val="0"/>
        <w:snapToGrid/>
        <w:spacing w:line="312" w:lineRule="auto"/>
        <w:ind w:firstLine="482" w:firstLineChars="200"/>
        <w:jc w:val="left"/>
        <w:textAlignment w:val="auto"/>
        <w:outlineLvl w:val="1"/>
        <w:rPr>
          <w:rFonts w:hint="eastAsia" w:ascii="宋体" w:hAnsi="宋体" w:eastAsia="宋体" w:cs="宋体"/>
          <w:b/>
          <w:bCs/>
          <w:color w:val="auto"/>
          <w:szCs w:val="21"/>
          <w:highlight w:val="none"/>
        </w:rPr>
      </w:pPr>
      <w:bookmarkStart w:id="727" w:name="_Toc16749"/>
      <w:bookmarkStart w:id="728" w:name="_Toc7449"/>
      <w:bookmarkStart w:id="729" w:name="_Toc30848"/>
      <w:bookmarkStart w:id="730" w:name="_Toc2481"/>
      <w:bookmarkStart w:id="731" w:name="_Toc18450"/>
      <w:bookmarkStart w:id="732" w:name="_Toc2926"/>
      <w:bookmarkStart w:id="733" w:name="_Toc9613"/>
      <w:bookmarkStart w:id="734" w:name="_Toc10565"/>
      <w:bookmarkStart w:id="735" w:name="_Toc30547"/>
      <w:bookmarkStart w:id="736" w:name="_Toc9404"/>
      <w:r>
        <w:rPr>
          <w:rFonts w:hint="eastAsia" w:ascii="宋体" w:hAnsi="宋体" w:cs="宋体"/>
          <w:b/>
          <w:bCs/>
          <w:color w:val="auto"/>
          <w:szCs w:val="21"/>
          <w:highlight w:val="none"/>
          <w:lang w:val="en-US" w:eastAsia="zh-CN"/>
        </w:rPr>
        <w:t>六</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设备推荐品牌</w:t>
      </w:r>
      <w:bookmarkEnd w:id="727"/>
      <w:bookmarkEnd w:id="728"/>
      <w:bookmarkEnd w:id="729"/>
      <w:bookmarkEnd w:id="730"/>
      <w:bookmarkEnd w:id="731"/>
      <w:bookmarkEnd w:id="732"/>
      <w:bookmarkEnd w:id="733"/>
      <w:bookmarkEnd w:id="734"/>
      <w:bookmarkEnd w:id="735"/>
      <w:r>
        <w:rPr>
          <w:rFonts w:hint="eastAsia" w:ascii="宋体" w:hAnsi="宋体" w:eastAsia="宋体" w:cs="宋体"/>
          <w:b/>
          <w:bCs/>
          <w:color w:val="auto"/>
          <w:szCs w:val="21"/>
          <w:highlight w:val="none"/>
        </w:rPr>
        <w:t>附表</w:t>
      </w:r>
      <w:bookmarkEnd w:id="736"/>
    </w:p>
    <w:p w14:paraId="3D2F7730">
      <w:pPr>
        <w:keepNext w:val="0"/>
        <w:keepLines w:val="0"/>
        <w:pageBreakBefore w:val="0"/>
        <w:widowControl w:val="0"/>
        <w:kinsoku/>
        <w:wordWrap/>
        <w:overflowPunct/>
        <w:topLinePunct w:val="0"/>
        <w:autoSpaceDE w:val="0"/>
        <w:autoSpaceDN/>
        <w:bidi w:val="0"/>
        <w:adjustRightInd w:val="0"/>
        <w:snapToGrid/>
        <w:spacing w:line="312" w:lineRule="auto"/>
        <w:ind w:firstLine="48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1.工艺设备推荐品牌</w:t>
      </w:r>
    </w:p>
    <w:tbl>
      <w:tblPr>
        <w:tblStyle w:val="44"/>
        <w:tblW w:w="5073" w:type="pct"/>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4267"/>
        <w:gridCol w:w="4934"/>
      </w:tblGrid>
      <w:tr w14:paraId="454D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8" w:type="pct"/>
          </w:tcPr>
          <w:p w14:paraId="55863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2110" w:type="pct"/>
          </w:tcPr>
          <w:p w14:paraId="591D4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设备名称</w:t>
            </w:r>
          </w:p>
        </w:tc>
        <w:tc>
          <w:tcPr>
            <w:tcW w:w="2440" w:type="pct"/>
          </w:tcPr>
          <w:p w14:paraId="3AE3E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推荐</w:t>
            </w:r>
            <w:r>
              <w:rPr>
                <w:rFonts w:hint="eastAsia" w:ascii="宋体" w:hAnsi="宋体" w:eastAsia="宋体" w:cs="宋体"/>
                <w:i w:val="0"/>
                <w:iCs w:val="0"/>
                <w:color w:val="auto"/>
                <w:kern w:val="0"/>
                <w:sz w:val="22"/>
                <w:szCs w:val="22"/>
                <w:highlight w:val="none"/>
                <w:u w:val="none"/>
                <w:lang w:val="en-US" w:eastAsia="zh-CN" w:bidi="ar"/>
              </w:rPr>
              <w:t>品牌</w:t>
            </w:r>
          </w:p>
        </w:tc>
      </w:tr>
      <w:tr w14:paraId="04B5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00CCB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110" w:type="pct"/>
            <w:vAlign w:val="center"/>
          </w:tcPr>
          <w:p w14:paraId="1C399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潜水排污泵、清水泵</w:t>
            </w:r>
          </w:p>
        </w:tc>
        <w:tc>
          <w:tcPr>
            <w:tcW w:w="2440" w:type="pct"/>
            <w:vAlign w:val="center"/>
          </w:tcPr>
          <w:p w14:paraId="43266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格兰富、丰球克瑞、KSB、苏尔寿、威乐(wilo)</w:t>
            </w:r>
          </w:p>
        </w:tc>
      </w:tr>
      <w:tr w14:paraId="60DE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458CA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110" w:type="pct"/>
            <w:vAlign w:val="center"/>
          </w:tcPr>
          <w:p w14:paraId="7E682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潜水搅拌器、回流泵</w:t>
            </w:r>
          </w:p>
        </w:tc>
        <w:tc>
          <w:tcPr>
            <w:tcW w:w="2440" w:type="pct"/>
            <w:vAlign w:val="center"/>
          </w:tcPr>
          <w:p w14:paraId="4A7A3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格兰富、丰球克瑞、KSB、苏尔寿、威乐(wilo)</w:t>
            </w:r>
          </w:p>
        </w:tc>
      </w:tr>
      <w:tr w14:paraId="7B0F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46667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110" w:type="pct"/>
            <w:vAlign w:val="center"/>
          </w:tcPr>
          <w:p w14:paraId="17A03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螺杆泵（污泥进料泵）</w:t>
            </w:r>
          </w:p>
        </w:tc>
        <w:tc>
          <w:tcPr>
            <w:tcW w:w="2440" w:type="pct"/>
            <w:vAlign w:val="center"/>
          </w:tcPr>
          <w:p w14:paraId="3ADE8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耐驰、MONO、西派克</w:t>
            </w:r>
          </w:p>
        </w:tc>
      </w:tr>
      <w:tr w14:paraId="05F9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5A26B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110" w:type="pct"/>
            <w:vAlign w:val="center"/>
          </w:tcPr>
          <w:p w14:paraId="3F5C9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阀门</w:t>
            </w:r>
          </w:p>
        </w:tc>
        <w:tc>
          <w:tcPr>
            <w:tcW w:w="2440" w:type="pct"/>
            <w:vAlign w:val="center"/>
          </w:tcPr>
          <w:p w14:paraId="3E8A6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冠龙、中核阀业、宁波一机，远大阀门</w:t>
            </w:r>
          </w:p>
        </w:tc>
      </w:tr>
      <w:tr w14:paraId="2C99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7E5BB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2110" w:type="pct"/>
            <w:vAlign w:val="center"/>
          </w:tcPr>
          <w:p w14:paraId="703C8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一体化固液快速分离器</w:t>
            </w:r>
          </w:p>
        </w:tc>
        <w:tc>
          <w:tcPr>
            <w:tcW w:w="2440" w:type="pct"/>
            <w:vAlign w:val="center"/>
          </w:tcPr>
          <w:p w14:paraId="23A59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尚川水务、宜兴云水、江苏天淳</w:t>
            </w:r>
          </w:p>
        </w:tc>
      </w:tr>
      <w:tr w14:paraId="67D8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70711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110" w:type="pct"/>
            <w:vAlign w:val="center"/>
          </w:tcPr>
          <w:p w14:paraId="2121F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磁混凝高效沉淀一体化设备（含滤布滤池）</w:t>
            </w:r>
          </w:p>
        </w:tc>
        <w:tc>
          <w:tcPr>
            <w:tcW w:w="2440" w:type="pct"/>
            <w:vAlign w:val="center"/>
          </w:tcPr>
          <w:p w14:paraId="1D15D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江苏京源环保、浙江金山环保、青岛洛克、中建环能</w:t>
            </w:r>
          </w:p>
        </w:tc>
      </w:tr>
      <w:tr w14:paraId="404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48" w:type="pct"/>
            <w:vAlign w:val="center"/>
          </w:tcPr>
          <w:p w14:paraId="35508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2110" w:type="pct"/>
            <w:vAlign w:val="center"/>
          </w:tcPr>
          <w:p w14:paraId="74B0D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一体化</w:t>
            </w:r>
            <w:r>
              <w:rPr>
                <w:rFonts w:hint="eastAsia" w:ascii="宋体" w:hAnsi="宋体" w:eastAsia="宋体" w:cs="宋体"/>
                <w:i w:val="0"/>
                <w:iCs w:val="0"/>
                <w:color w:val="auto"/>
                <w:kern w:val="0"/>
                <w:sz w:val="22"/>
                <w:szCs w:val="22"/>
                <w:highlight w:val="none"/>
                <w:u w:val="none"/>
                <w:lang w:val="en-US" w:eastAsia="zh-CN" w:bidi="ar"/>
              </w:rPr>
              <w:t>AAO生化池</w:t>
            </w:r>
          </w:p>
        </w:tc>
        <w:tc>
          <w:tcPr>
            <w:tcW w:w="2440" w:type="pct"/>
            <w:vAlign w:val="center"/>
          </w:tcPr>
          <w:p w14:paraId="4C5AB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云南合续、广东鹏凯、宁波水艺、江苏泰源、江苏鹏鹞</w:t>
            </w:r>
          </w:p>
        </w:tc>
      </w:tr>
      <w:tr w14:paraId="4B7F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597D1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2110" w:type="pct"/>
            <w:vAlign w:val="center"/>
          </w:tcPr>
          <w:p w14:paraId="1D5EA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全自动污泥脱水板框设备</w:t>
            </w:r>
          </w:p>
        </w:tc>
        <w:tc>
          <w:tcPr>
            <w:tcW w:w="2440" w:type="pct"/>
            <w:vAlign w:val="center"/>
          </w:tcPr>
          <w:p w14:paraId="49704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仁创，杰为凯、石垣</w:t>
            </w:r>
            <w:r>
              <w:rPr>
                <w:rFonts w:hint="eastAsia" w:ascii="宋体" w:hAnsi="宋体" w:cs="宋体"/>
                <w:i w:val="0"/>
                <w:iCs w:val="0"/>
                <w:color w:val="auto"/>
                <w:kern w:val="0"/>
                <w:sz w:val="22"/>
                <w:szCs w:val="22"/>
                <w:highlight w:val="none"/>
                <w:u w:val="none"/>
                <w:lang w:val="en-US" w:eastAsia="zh-CN" w:bidi="ar"/>
              </w:rPr>
              <w:t>、月岛、景津</w:t>
            </w:r>
          </w:p>
        </w:tc>
      </w:tr>
      <w:tr w14:paraId="0D85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51653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2110" w:type="pct"/>
            <w:vAlign w:val="center"/>
          </w:tcPr>
          <w:p w14:paraId="79546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生物除臭系统</w:t>
            </w:r>
          </w:p>
        </w:tc>
        <w:tc>
          <w:tcPr>
            <w:tcW w:w="2440" w:type="pct"/>
            <w:vAlign w:val="center"/>
          </w:tcPr>
          <w:p w14:paraId="6F9BB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杭州楚环、广东南方环保生物、爱科乐，北京泽华</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西原环保</w:t>
            </w:r>
            <w:r>
              <w:rPr>
                <w:rFonts w:hint="eastAsia" w:ascii="宋体" w:hAnsi="宋体" w:cs="宋体"/>
                <w:i w:val="0"/>
                <w:iCs w:val="0"/>
                <w:color w:val="auto"/>
                <w:kern w:val="0"/>
                <w:sz w:val="22"/>
                <w:szCs w:val="22"/>
                <w:highlight w:val="none"/>
                <w:u w:val="none"/>
                <w:lang w:val="en-US" w:eastAsia="zh-CN" w:bidi="ar"/>
              </w:rPr>
              <w:t>、碧欧蓝BIOREM</w:t>
            </w:r>
          </w:p>
        </w:tc>
      </w:tr>
      <w:tr w14:paraId="3F2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3B5B2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2110" w:type="pct"/>
            <w:vAlign w:val="center"/>
          </w:tcPr>
          <w:p w14:paraId="15933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精确曝气系统</w:t>
            </w:r>
          </w:p>
        </w:tc>
        <w:tc>
          <w:tcPr>
            <w:tcW w:w="2440" w:type="pct"/>
            <w:vAlign w:val="center"/>
          </w:tcPr>
          <w:p w14:paraId="6EAD6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美尚生化、威立雅、BWT(新加坡科创)</w:t>
            </w:r>
            <w:r>
              <w:rPr>
                <w:rFonts w:hint="eastAsia" w:ascii="宋体" w:hAnsi="宋体" w:cs="宋体"/>
                <w:i w:val="0"/>
                <w:iCs w:val="0"/>
                <w:color w:val="auto"/>
                <w:kern w:val="0"/>
                <w:sz w:val="22"/>
                <w:szCs w:val="22"/>
                <w:highlight w:val="none"/>
                <w:u w:val="none"/>
                <w:lang w:val="en-US" w:eastAsia="zh-CN" w:bidi="ar"/>
              </w:rPr>
              <w:t>、欧盛腾（AQSEPTENCE）</w:t>
            </w:r>
          </w:p>
        </w:tc>
      </w:tr>
      <w:tr w14:paraId="337F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4CEB2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2110" w:type="pct"/>
            <w:vAlign w:val="center"/>
          </w:tcPr>
          <w:p w14:paraId="74303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精确曝气系统配套阀门</w:t>
            </w:r>
          </w:p>
        </w:tc>
        <w:tc>
          <w:tcPr>
            <w:tcW w:w="2440" w:type="pct"/>
            <w:vAlign w:val="center"/>
          </w:tcPr>
          <w:p w14:paraId="7C710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AVK、VAG 、冠龙</w:t>
            </w:r>
            <w:r>
              <w:rPr>
                <w:rFonts w:hint="eastAsia" w:ascii="宋体" w:hAnsi="宋体" w:cs="宋体"/>
                <w:i w:val="0"/>
                <w:iCs w:val="0"/>
                <w:color w:val="auto"/>
                <w:kern w:val="0"/>
                <w:sz w:val="22"/>
                <w:szCs w:val="22"/>
                <w:highlight w:val="none"/>
                <w:u w:val="none"/>
                <w:lang w:val="en-US" w:eastAsia="zh-CN" w:bidi="ar"/>
              </w:rPr>
              <w:t>、FLOWX弗雷西</w:t>
            </w:r>
          </w:p>
        </w:tc>
      </w:tr>
      <w:tr w14:paraId="572C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0BBD9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2110" w:type="pct"/>
            <w:vAlign w:val="center"/>
          </w:tcPr>
          <w:p w14:paraId="47E35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过程控制仪表</w:t>
            </w:r>
          </w:p>
        </w:tc>
        <w:tc>
          <w:tcPr>
            <w:tcW w:w="2440" w:type="pct"/>
            <w:vAlign w:val="center"/>
          </w:tcPr>
          <w:p w14:paraId="6DEF9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HACH、E+H、SWAN、西门子</w:t>
            </w:r>
          </w:p>
        </w:tc>
      </w:tr>
      <w:tr w14:paraId="4091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17EDB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2110" w:type="pct"/>
            <w:vAlign w:val="center"/>
          </w:tcPr>
          <w:p w14:paraId="3FB2F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进出水监测仪表</w:t>
            </w:r>
          </w:p>
        </w:tc>
        <w:tc>
          <w:tcPr>
            <w:tcW w:w="2440" w:type="pct"/>
            <w:vAlign w:val="center"/>
          </w:tcPr>
          <w:p w14:paraId="0613C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HACH、岛津、西门子、E+H</w:t>
            </w:r>
          </w:p>
        </w:tc>
      </w:tr>
      <w:tr w14:paraId="3F6C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00F20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2110" w:type="pct"/>
            <w:vAlign w:val="center"/>
          </w:tcPr>
          <w:p w14:paraId="5CCDD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电磁流量计、超声波液位计、压力变送器、电磁/明渠流量计、电子恶臭气体在线监测仪</w:t>
            </w:r>
          </w:p>
        </w:tc>
        <w:tc>
          <w:tcPr>
            <w:tcW w:w="2440" w:type="pct"/>
            <w:vAlign w:val="center"/>
          </w:tcPr>
          <w:p w14:paraId="34F62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HACH、E+H、科隆、ABB 西门子</w:t>
            </w:r>
          </w:p>
        </w:tc>
      </w:tr>
      <w:tr w14:paraId="00B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0005B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2110" w:type="pct"/>
            <w:vAlign w:val="center"/>
          </w:tcPr>
          <w:p w14:paraId="2C773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智慧水务系统</w:t>
            </w:r>
          </w:p>
        </w:tc>
        <w:tc>
          <w:tcPr>
            <w:tcW w:w="2440" w:type="pct"/>
            <w:vAlign w:val="center"/>
          </w:tcPr>
          <w:p w14:paraId="19CDA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武汉华信，浙大中控、和达</w:t>
            </w:r>
            <w:r>
              <w:rPr>
                <w:rFonts w:hint="eastAsia" w:ascii="宋体" w:hAnsi="宋体" w:cs="宋体"/>
                <w:i w:val="0"/>
                <w:iCs w:val="0"/>
                <w:color w:val="auto"/>
                <w:kern w:val="0"/>
                <w:sz w:val="22"/>
                <w:szCs w:val="22"/>
                <w:highlight w:val="none"/>
                <w:u w:val="none"/>
                <w:lang w:val="en-US" w:eastAsia="zh-CN" w:bidi="ar"/>
              </w:rPr>
              <w:t>、北京金控、金科环境、</w:t>
            </w:r>
          </w:p>
        </w:tc>
      </w:tr>
      <w:tr w14:paraId="39BC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424F2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2110" w:type="pct"/>
            <w:vAlign w:val="center"/>
          </w:tcPr>
          <w:p w14:paraId="2B19E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数字计量泵</w:t>
            </w:r>
          </w:p>
        </w:tc>
        <w:tc>
          <w:tcPr>
            <w:tcW w:w="2440" w:type="pct"/>
            <w:vAlign w:val="center"/>
          </w:tcPr>
          <w:p w14:paraId="2520B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格兰富、普罗名特、SERA</w:t>
            </w:r>
          </w:p>
        </w:tc>
      </w:tr>
      <w:tr w14:paraId="0B00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171CF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2110" w:type="pct"/>
            <w:vAlign w:val="center"/>
          </w:tcPr>
          <w:p w14:paraId="10B03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磁悬浮鼓风机</w:t>
            </w:r>
          </w:p>
        </w:tc>
        <w:tc>
          <w:tcPr>
            <w:tcW w:w="2440" w:type="pct"/>
            <w:vAlign w:val="center"/>
          </w:tcPr>
          <w:p w14:paraId="04EFC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中磁工业、鸿牛工贸、重庆流体机械</w:t>
            </w:r>
          </w:p>
        </w:tc>
      </w:tr>
      <w:tr w14:paraId="38EE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032D0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2110" w:type="pct"/>
            <w:vAlign w:val="center"/>
          </w:tcPr>
          <w:p w14:paraId="5C131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螺杆空压机</w:t>
            </w:r>
          </w:p>
        </w:tc>
        <w:tc>
          <w:tcPr>
            <w:tcW w:w="2440" w:type="pct"/>
            <w:vAlign w:val="center"/>
          </w:tcPr>
          <w:p w14:paraId="26DC4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阿特拉斯、英格索兰、BOGE</w:t>
            </w:r>
          </w:p>
        </w:tc>
      </w:tr>
      <w:tr w14:paraId="3FBD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6AD6A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2110" w:type="pct"/>
            <w:vAlign w:val="center"/>
          </w:tcPr>
          <w:p w14:paraId="1FF1A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一体化泵站</w:t>
            </w:r>
          </w:p>
        </w:tc>
        <w:tc>
          <w:tcPr>
            <w:tcW w:w="2440" w:type="pct"/>
            <w:vAlign w:val="center"/>
          </w:tcPr>
          <w:p w14:paraId="47CF1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格兰富、丰球克瑞、KSB、苏尔寿、威乐(wilo)</w:t>
            </w:r>
          </w:p>
        </w:tc>
      </w:tr>
      <w:tr w14:paraId="5BF4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01EF0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2110" w:type="pct"/>
            <w:vAlign w:val="center"/>
          </w:tcPr>
          <w:p w14:paraId="64CFD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紫外消毒</w:t>
            </w:r>
          </w:p>
        </w:tc>
        <w:tc>
          <w:tcPr>
            <w:tcW w:w="2440" w:type="pct"/>
            <w:vAlign w:val="center"/>
          </w:tcPr>
          <w:p w14:paraId="3CC81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新大陆、安力斯、新之地</w:t>
            </w:r>
          </w:p>
        </w:tc>
      </w:tr>
      <w:tr w14:paraId="2C4D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05934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2110" w:type="pct"/>
            <w:vAlign w:val="center"/>
          </w:tcPr>
          <w:p w14:paraId="41A21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加药系统</w:t>
            </w:r>
          </w:p>
        </w:tc>
        <w:tc>
          <w:tcPr>
            <w:tcW w:w="2440" w:type="pct"/>
            <w:vAlign w:val="center"/>
          </w:tcPr>
          <w:p w14:paraId="4F57E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天剑、上海奥德、上海轩浦</w:t>
            </w:r>
          </w:p>
        </w:tc>
      </w:tr>
      <w:tr w14:paraId="33D1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285F1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2110" w:type="pct"/>
            <w:vAlign w:val="center"/>
          </w:tcPr>
          <w:p w14:paraId="58E4A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起吊设备</w:t>
            </w:r>
          </w:p>
        </w:tc>
        <w:tc>
          <w:tcPr>
            <w:tcW w:w="2440" w:type="pct"/>
            <w:vAlign w:val="center"/>
          </w:tcPr>
          <w:p w14:paraId="56A14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浙江众擎</w:t>
            </w:r>
            <w:r>
              <w:rPr>
                <w:rFonts w:hint="eastAsia" w:ascii="宋体" w:hAnsi="宋体" w:cs="宋体"/>
                <w:i w:val="0"/>
                <w:iCs w:val="0"/>
                <w:color w:val="auto"/>
                <w:kern w:val="0"/>
                <w:sz w:val="22"/>
                <w:szCs w:val="22"/>
                <w:highlight w:val="none"/>
                <w:u w:val="none"/>
                <w:lang w:val="en-US" w:eastAsia="zh-CN" w:bidi="ar"/>
              </w:rPr>
              <w:t>、河南中州、中天重工、河南中矿</w:t>
            </w:r>
          </w:p>
        </w:tc>
      </w:tr>
      <w:tr w14:paraId="60FC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14:paraId="443DE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2110" w:type="pct"/>
            <w:vAlign w:val="center"/>
          </w:tcPr>
          <w:p w14:paraId="26A0E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曝气盘（管）</w:t>
            </w:r>
          </w:p>
        </w:tc>
        <w:tc>
          <w:tcPr>
            <w:tcW w:w="2440" w:type="pct"/>
            <w:vAlign w:val="center"/>
          </w:tcPr>
          <w:p w14:paraId="78F02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渥克尔、SSI、EDI、环美</w:t>
            </w:r>
          </w:p>
        </w:tc>
      </w:tr>
      <w:tr w14:paraId="5076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48" w:type="pct"/>
            <w:vAlign w:val="center"/>
          </w:tcPr>
          <w:p w14:paraId="1FAD1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2110" w:type="pct"/>
            <w:vAlign w:val="center"/>
          </w:tcPr>
          <w:p w14:paraId="48256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机械格栅</w:t>
            </w:r>
          </w:p>
        </w:tc>
        <w:tc>
          <w:tcPr>
            <w:tcW w:w="2440" w:type="pct"/>
            <w:vAlign w:val="center"/>
          </w:tcPr>
          <w:p w14:paraId="2917B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江苏天雨、江苏一环、南京蓝赛、中节能兆盛、</w:t>
            </w:r>
          </w:p>
          <w:p w14:paraId="6EAD2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浙江金山</w:t>
            </w:r>
          </w:p>
        </w:tc>
      </w:tr>
    </w:tbl>
    <w:p w14:paraId="0ACB4F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2.配件推荐品牌及参考厂家</w:t>
      </w:r>
    </w:p>
    <w:tbl>
      <w:tblPr>
        <w:tblStyle w:val="43"/>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90"/>
        <w:gridCol w:w="1428"/>
        <w:gridCol w:w="1497"/>
        <w:gridCol w:w="1560"/>
        <w:gridCol w:w="1347"/>
        <w:gridCol w:w="1049"/>
      </w:tblGrid>
      <w:tr w14:paraId="068B4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0" w:type="dxa"/>
            <w:shd w:val="clear" w:color="auto" w:fill="E0E0E0"/>
            <w:vAlign w:val="center"/>
          </w:tcPr>
          <w:p w14:paraId="7AF85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1590" w:type="dxa"/>
            <w:shd w:val="clear" w:color="auto" w:fill="E0E0E0"/>
            <w:vAlign w:val="center"/>
          </w:tcPr>
          <w:p w14:paraId="09A8A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设备名称</w:t>
            </w:r>
          </w:p>
        </w:tc>
        <w:tc>
          <w:tcPr>
            <w:tcW w:w="6881" w:type="dxa"/>
            <w:gridSpan w:val="5"/>
            <w:shd w:val="clear" w:color="auto" w:fill="E0E0E0"/>
            <w:vAlign w:val="center"/>
          </w:tcPr>
          <w:p w14:paraId="49F4C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推荐品牌及参考厂家（或同等以上）</w:t>
            </w:r>
          </w:p>
        </w:tc>
      </w:tr>
      <w:tr w14:paraId="02A86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10" w:type="dxa"/>
            <w:vAlign w:val="center"/>
          </w:tcPr>
          <w:p w14:paraId="564E5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590" w:type="dxa"/>
            <w:vAlign w:val="center"/>
          </w:tcPr>
          <w:p w14:paraId="0D6A2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投加工艺管道</w:t>
            </w:r>
          </w:p>
        </w:tc>
        <w:tc>
          <w:tcPr>
            <w:tcW w:w="1428" w:type="dxa"/>
            <w:vAlign w:val="center"/>
          </w:tcPr>
          <w:p w14:paraId="5FFDE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Sanking</w:t>
            </w:r>
          </w:p>
        </w:tc>
        <w:tc>
          <w:tcPr>
            <w:tcW w:w="1497" w:type="dxa"/>
            <w:vAlign w:val="center"/>
          </w:tcPr>
          <w:p w14:paraId="76D39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环琪</w:t>
            </w:r>
          </w:p>
        </w:tc>
        <w:tc>
          <w:tcPr>
            <w:tcW w:w="1560" w:type="dxa"/>
            <w:vAlign w:val="center"/>
          </w:tcPr>
          <w:p w14:paraId="5CCB1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日本积水</w:t>
            </w:r>
          </w:p>
        </w:tc>
        <w:tc>
          <w:tcPr>
            <w:tcW w:w="1347" w:type="dxa"/>
            <w:vAlign w:val="center"/>
          </w:tcPr>
          <w:p w14:paraId="01701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49" w:type="dxa"/>
          </w:tcPr>
          <w:p w14:paraId="126D7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513EFF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3.电气设备推荐品牌及参考厂家</w:t>
      </w:r>
    </w:p>
    <w:tbl>
      <w:tblPr>
        <w:tblStyle w:val="43"/>
        <w:tblW w:w="91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931"/>
        <w:gridCol w:w="2050"/>
        <w:gridCol w:w="2050"/>
        <w:gridCol w:w="2051"/>
      </w:tblGrid>
      <w:tr w14:paraId="24B2B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3" w:type="dxa"/>
            <w:shd w:val="clear" w:color="auto" w:fill="E0E0E0"/>
            <w:vAlign w:val="center"/>
          </w:tcPr>
          <w:p w14:paraId="0CE25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1931" w:type="dxa"/>
            <w:shd w:val="clear" w:color="auto" w:fill="E0E0E0"/>
            <w:vAlign w:val="center"/>
          </w:tcPr>
          <w:p w14:paraId="5D0DA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设备名称</w:t>
            </w:r>
          </w:p>
        </w:tc>
        <w:tc>
          <w:tcPr>
            <w:tcW w:w="6151" w:type="dxa"/>
            <w:gridSpan w:val="3"/>
            <w:shd w:val="clear" w:color="auto" w:fill="E0E0E0"/>
            <w:vAlign w:val="center"/>
          </w:tcPr>
          <w:p w14:paraId="14FE3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推荐品牌及参考厂家（或同等以上）</w:t>
            </w:r>
          </w:p>
        </w:tc>
      </w:tr>
      <w:tr w14:paraId="49D9C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73" w:type="dxa"/>
            <w:vAlign w:val="center"/>
          </w:tcPr>
          <w:p w14:paraId="52AD4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31" w:type="dxa"/>
            <w:vAlign w:val="center"/>
          </w:tcPr>
          <w:p w14:paraId="34871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电缆</w:t>
            </w:r>
          </w:p>
        </w:tc>
        <w:tc>
          <w:tcPr>
            <w:tcW w:w="2050" w:type="dxa"/>
            <w:vAlign w:val="center"/>
          </w:tcPr>
          <w:p w14:paraId="37D5A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杭州中策</w:t>
            </w:r>
          </w:p>
        </w:tc>
        <w:tc>
          <w:tcPr>
            <w:tcW w:w="2050" w:type="dxa"/>
            <w:vAlign w:val="center"/>
          </w:tcPr>
          <w:p w14:paraId="57D0E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元通</w:t>
            </w:r>
          </w:p>
        </w:tc>
        <w:tc>
          <w:tcPr>
            <w:tcW w:w="2051" w:type="dxa"/>
            <w:vAlign w:val="center"/>
          </w:tcPr>
          <w:p w14:paraId="247A8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浙江万马</w:t>
            </w:r>
          </w:p>
        </w:tc>
      </w:tr>
      <w:tr w14:paraId="0D443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73" w:type="dxa"/>
            <w:vAlign w:val="center"/>
          </w:tcPr>
          <w:p w14:paraId="6438D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931" w:type="dxa"/>
            <w:vAlign w:val="center"/>
          </w:tcPr>
          <w:p w14:paraId="13538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w:t>
            </w:r>
          </w:p>
        </w:tc>
        <w:tc>
          <w:tcPr>
            <w:tcW w:w="2050" w:type="dxa"/>
            <w:vAlign w:val="center"/>
          </w:tcPr>
          <w:p w14:paraId="26323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西门子</w:t>
            </w:r>
          </w:p>
        </w:tc>
        <w:tc>
          <w:tcPr>
            <w:tcW w:w="2050" w:type="dxa"/>
            <w:vAlign w:val="center"/>
          </w:tcPr>
          <w:p w14:paraId="25985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ABB</w:t>
            </w:r>
          </w:p>
        </w:tc>
        <w:tc>
          <w:tcPr>
            <w:tcW w:w="2051" w:type="dxa"/>
            <w:vAlign w:val="center"/>
          </w:tcPr>
          <w:p w14:paraId="0D445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AB</w:t>
            </w:r>
          </w:p>
        </w:tc>
      </w:tr>
    </w:tbl>
    <w:p w14:paraId="2181B0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4.控制及视频系统推荐品牌及参考厂家</w:t>
      </w:r>
    </w:p>
    <w:tbl>
      <w:tblPr>
        <w:tblStyle w:val="43"/>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1"/>
        <w:gridCol w:w="3122"/>
        <w:gridCol w:w="1760"/>
        <w:gridCol w:w="1686"/>
        <w:gridCol w:w="1772"/>
      </w:tblGrid>
      <w:tr w14:paraId="35580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1" w:type="dxa"/>
            <w:shd w:val="clear" w:color="auto" w:fill="E0E0E0"/>
            <w:vAlign w:val="center"/>
          </w:tcPr>
          <w:p w14:paraId="43290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3122" w:type="dxa"/>
            <w:shd w:val="clear" w:color="auto" w:fill="E0E0E0"/>
            <w:vAlign w:val="center"/>
          </w:tcPr>
          <w:p w14:paraId="582D8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设备名称</w:t>
            </w:r>
          </w:p>
        </w:tc>
        <w:tc>
          <w:tcPr>
            <w:tcW w:w="5218" w:type="dxa"/>
            <w:gridSpan w:val="3"/>
            <w:shd w:val="clear" w:color="auto" w:fill="E0E0E0"/>
            <w:vAlign w:val="center"/>
          </w:tcPr>
          <w:p w14:paraId="0EA74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参考厂家及品牌（或同等以上）</w:t>
            </w:r>
          </w:p>
        </w:tc>
      </w:tr>
      <w:tr w14:paraId="33066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0E2F1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3122" w:type="dxa"/>
            <w:vAlign w:val="center"/>
          </w:tcPr>
          <w:p w14:paraId="7E372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大屏</w:t>
            </w:r>
          </w:p>
        </w:tc>
        <w:tc>
          <w:tcPr>
            <w:tcW w:w="1760" w:type="dxa"/>
            <w:vAlign w:val="center"/>
          </w:tcPr>
          <w:p w14:paraId="29220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1686" w:type="dxa"/>
            <w:vAlign w:val="center"/>
          </w:tcPr>
          <w:p w14:paraId="29915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大华</w:t>
            </w:r>
          </w:p>
        </w:tc>
        <w:tc>
          <w:tcPr>
            <w:tcW w:w="1772" w:type="dxa"/>
            <w:vAlign w:val="center"/>
          </w:tcPr>
          <w:p w14:paraId="2201D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利亚德</w:t>
            </w:r>
          </w:p>
        </w:tc>
      </w:tr>
      <w:tr w14:paraId="272F8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072BA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3122" w:type="dxa"/>
            <w:vAlign w:val="center"/>
          </w:tcPr>
          <w:p w14:paraId="2CA5C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不间断电源(UPS)</w:t>
            </w:r>
          </w:p>
        </w:tc>
        <w:tc>
          <w:tcPr>
            <w:tcW w:w="1760" w:type="dxa"/>
            <w:vAlign w:val="center"/>
          </w:tcPr>
          <w:p w14:paraId="40DD4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山特</w:t>
            </w:r>
          </w:p>
        </w:tc>
        <w:tc>
          <w:tcPr>
            <w:tcW w:w="1686" w:type="dxa"/>
            <w:vAlign w:val="center"/>
          </w:tcPr>
          <w:p w14:paraId="38B69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APC</w:t>
            </w:r>
          </w:p>
        </w:tc>
        <w:tc>
          <w:tcPr>
            <w:tcW w:w="1772" w:type="dxa"/>
            <w:vAlign w:val="center"/>
          </w:tcPr>
          <w:p w14:paraId="5684F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梅兰日兰</w:t>
            </w:r>
          </w:p>
        </w:tc>
      </w:tr>
      <w:tr w14:paraId="34DDD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6662F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3122" w:type="dxa"/>
            <w:vAlign w:val="center"/>
          </w:tcPr>
          <w:p w14:paraId="600BE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服务器</w:t>
            </w:r>
          </w:p>
        </w:tc>
        <w:tc>
          <w:tcPr>
            <w:tcW w:w="1760" w:type="dxa"/>
            <w:vAlign w:val="center"/>
          </w:tcPr>
          <w:p w14:paraId="5069A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LENOVO</w:t>
            </w:r>
          </w:p>
        </w:tc>
        <w:tc>
          <w:tcPr>
            <w:tcW w:w="1686" w:type="dxa"/>
            <w:vAlign w:val="center"/>
          </w:tcPr>
          <w:p w14:paraId="7B15D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DELL</w:t>
            </w:r>
          </w:p>
        </w:tc>
        <w:tc>
          <w:tcPr>
            <w:tcW w:w="1772" w:type="dxa"/>
            <w:vAlign w:val="center"/>
          </w:tcPr>
          <w:p w14:paraId="3E564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HP</w:t>
            </w:r>
          </w:p>
        </w:tc>
      </w:tr>
      <w:tr w14:paraId="5B9BB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4DF40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3122" w:type="dxa"/>
            <w:vAlign w:val="center"/>
          </w:tcPr>
          <w:p w14:paraId="091B8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工作站PC机</w:t>
            </w:r>
          </w:p>
        </w:tc>
        <w:tc>
          <w:tcPr>
            <w:tcW w:w="1760" w:type="dxa"/>
            <w:vAlign w:val="center"/>
          </w:tcPr>
          <w:p w14:paraId="682CE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LENOVO</w:t>
            </w:r>
          </w:p>
        </w:tc>
        <w:tc>
          <w:tcPr>
            <w:tcW w:w="1686" w:type="dxa"/>
            <w:vAlign w:val="center"/>
          </w:tcPr>
          <w:p w14:paraId="45E91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DELL</w:t>
            </w:r>
          </w:p>
        </w:tc>
        <w:tc>
          <w:tcPr>
            <w:tcW w:w="1772" w:type="dxa"/>
            <w:vAlign w:val="center"/>
          </w:tcPr>
          <w:p w14:paraId="157B7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HP</w:t>
            </w:r>
          </w:p>
        </w:tc>
      </w:tr>
      <w:tr w14:paraId="4B39F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57378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3122" w:type="dxa"/>
            <w:vAlign w:val="center"/>
          </w:tcPr>
          <w:p w14:paraId="102A1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工业交换机</w:t>
            </w:r>
          </w:p>
        </w:tc>
        <w:tc>
          <w:tcPr>
            <w:tcW w:w="1760" w:type="dxa"/>
            <w:vAlign w:val="center"/>
          </w:tcPr>
          <w:p w14:paraId="45D83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Hirschmann</w:t>
            </w:r>
          </w:p>
        </w:tc>
        <w:tc>
          <w:tcPr>
            <w:tcW w:w="1686" w:type="dxa"/>
            <w:vAlign w:val="center"/>
          </w:tcPr>
          <w:p w14:paraId="74DA0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MOXA</w:t>
            </w:r>
          </w:p>
        </w:tc>
        <w:tc>
          <w:tcPr>
            <w:tcW w:w="1772" w:type="dxa"/>
            <w:vAlign w:val="center"/>
          </w:tcPr>
          <w:p w14:paraId="2183D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N-TRON</w:t>
            </w:r>
          </w:p>
        </w:tc>
      </w:tr>
      <w:tr w14:paraId="7FFD3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07C89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3122" w:type="dxa"/>
            <w:vAlign w:val="center"/>
          </w:tcPr>
          <w:p w14:paraId="1C68A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路由器</w:t>
            </w:r>
          </w:p>
        </w:tc>
        <w:tc>
          <w:tcPr>
            <w:tcW w:w="1760" w:type="dxa"/>
            <w:vAlign w:val="center"/>
          </w:tcPr>
          <w:p w14:paraId="103AB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H3C</w:t>
            </w:r>
          </w:p>
        </w:tc>
        <w:tc>
          <w:tcPr>
            <w:tcW w:w="1686" w:type="dxa"/>
            <w:vAlign w:val="center"/>
          </w:tcPr>
          <w:p w14:paraId="508FE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华为</w:t>
            </w:r>
          </w:p>
        </w:tc>
        <w:tc>
          <w:tcPr>
            <w:tcW w:w="1772" w:type="dxa"/>
            <w:vAlign w:val="center"/>
          </w:tcPr>
          <w:p w14:paraId="65B46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思科</w:t>
            </w:r>
          </w:p>
        </w:tc>
      </w:tr>
      <w:tr w14:paraId="4FE92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4D40E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3122" w:type="dxa"/>
            <w:vAlign w:val="center"/>
          </w:tcPr>
          <w:p w14:paraId="3CE4C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工业电视监视系统</w:t>
            </w:r>
          </w:p>
        </w:tc>
        <w:tc>
          <w:tcPr>
            <w:tcW w:w="1760" w:type="dxa"/>
            <w:vAlign w:val="center"/>
          </w:tcPr>
          <w:p w14:paraId="25C55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海康威视</w:t>
            </w:r>
          </w:p>
        </w:tc>
        <w:tc>
          <w:tcPr>
            <w:tcW w:w="1686" w:type="dxa"/>
            <w:vAlign w:val="center"/>
          </w:tcPr>
          <w:p w14:paraId="1CDAF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英飞拓</w:t>
            </w:r>
          </w:p>
        </w:tc>
        <w:tc>
          <w:tcPr>
            <w:tcW w:w="1772" w:type="dxa"/>
            <w:vAlign w:val="center"/>
          </w:tcPr>
          <w:p w14:paraId="15BE6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大华</w:t>
            </w:r>
          </w:p>
        </w:tc>
      </w:tr>
      <w:tr w14:paraId="76271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6BA4F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3122" w:type="dxa"/>
            <w:vAlign w:val="center"/>
          </w:tcPr>
          <w:p w14:paraId="29598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PLC</w:t>
            </w:r>
          </w:p>
        </w:tc>
        <w:tc>
          <w:tcPr>
            <w:tcW w:w="1760" w:type="dxa"/>
            <w:vAlign w:val="center"/>
          </w:tcPr>
          <w:p w14:paraId="04214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西门子</w:t>
            </w:r>
          </w:p>
        </w:tc>
        <w:tc>
          <w:tcPr>
            <w:tcW w:w="1686" w:type="dxa"/>
            <w:vAlign w:val="center"/>
          </w:tcPr>
          <w:p w14:paraId="4511F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AB</w:t>
            </w:r>
          </w:p>
        </w:tc>
        <w:tc>
          <w:tcPr>
            <w:tcW w:w="1772" w:type="dxa"/>
            <w:vAlign w:val="center"/>
          </w:tcPr>
          <w:p w14:paraId="48022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施耐德</w:t>
            </w:r>
          </w:p>
        </w:tc>
      </w:tr>
      <w:tr w14:paraId="5D036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74379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3122" w:type="dxa"/>
            <w:vAlign w:val="center"/>
          </w:tcPr>
          <w:p w14:paraId="55B8B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软件系统</w:t>
            </w:r>
          </w:p>
        </w:tc>
        <w:tc>
          <w:tcPr>
            <w:tcW w:w="5218" w:type="dxa"/>
            <w:gridSpan w:val="3"/>
            <w:vAlign w:val="center"/>
          </w:tcPr>
          <w:p w14:paraId="16EF9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与PLC同一品牌</w:t>
            </w:r>
          </w:p>
        </w:tc>
      </w:tr>
      <w:tr w14:paraId="1A7F3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09558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c>
          <w:tcPr>
            <w:tcW w:w="3122" w:type="dxa"/>
            <w:vAlign w:val="center"/>
          </w:tcPr>
          <w:p w14:paraId="521F2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触摸屏</w:t>
            </w:r>
          </w:p>
        </w:tc>
        <w:tc>
          <w:tcPr>
            <w:tcW w:w="5218" w:type="dxa"/>
            <w:gridSpan w:val="3"/>
            <w:vAlign w:val="center"/>
          </w:tcPr>
          <w:p w14:paraId="3B1B9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与PLC同一品牌</w:t>
            </w:r>
          </w:p>
        </w:tc>
      </w:tr>
      <w:tr w14:paraId="4360A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41" w:type="dxa"/>
            <w:vAlign w:val="center"/>
          </w:tcPr>
          <w:p w14:paraId="219AA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3122" w:type="dxa"/>
            <w:vAlign w:val="center"/>
          </w:tcPr>
          <w:p w14:paraId="6269E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上位机监控平台软件</w:t>
            </w:r>
          </w:p>
        </w:tc>
        <w:tc>
          <w:tcPr>
            <w:tcW w:w="5218" w:type="dxa"/>
            <w:gridSpan w:val="3"/>
            <w:vAlign w:val="center"/>
          </w:tcPr>
          <w:p w14:paraId="43F45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与PLC同一品牌</w:t>
            </w:r>
          </w:p>
        </w:tc>
      </w:tr>
    </w:tbl>
    <w:p w14:paraId="125D0C29">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注：1.</w:t>
      </w:r>
      <w:r>
        <w:rPr>
          <w:rFonts w:hint="eastAsia" w:ascii="宋体" w:hAnsi="宋体" w:cs="宋体"/>
          <w:color w:val="auto"/>
          <w:sz w:val="22"/>
          <w:szCs w:val="22"/>
          <w:highlight w:val="none"/>
        </w:rPr>
        <w:t>附表推荐品牌或参考厂家的，投标人在可选择参考推荐品牌其一或自选推荐之外同档次的品牌进行报价，若提供的品牌非推荐范围内，须提供同档次或以上的证明材料，具体由评标委员会一致认可；</w:t>
      </w:r>
    </w:p>
    <w:p w14:paraId="7A002914">
      <w:pPr>
        <w:spacing w:line="440" w:lineRule="exact"/>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推荐品牌或参考生产厂家栏中的产品选择时，同类设备必须统一选择。</w:t>
      </w:r>
    </w:p>
    <w:p w14:paraId="60698835">
      <w:pPr>
        <w:shd w:val="clear"/>
        <w:spacing w:line="440" w:lineRule="exact"/>
        <w:ind w:firstLine="440"/>
        <w:outlineLvl w:val="9"/>
        <w:rPr>
          <w:rFonts w:hint="eastAsia" w:ascii="宋体" w:hAnsi="宋体" w:cs="宋体"/>
          <w:b/>
          <w:bCs/>
          <w:color w:val="auto"/>
          <w:sz w:val="22"/>
          <w:szCs w:val="22"/>
          <w:highlight w:val="none"/>
          <w:lang w:val="en-US" w:eastAsia="zh-CN"/>
        </w:rPr>
      </w:pPr>
      <w:bookmarkStart w:id="737" w:name="_Toc16120"/>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i w:val="0"/>
          <w:iCs w:val="0"/>
          <w:color w:val="auto"/>
          <w:kern w:val="2"/>
          <w:sz w:val="22"/>
          <w:szCs w:val="22"/>
          <w:highlight w:val="none"/>
          <w:u w:val="none"/>
          <w:lang w:val="en-US" w:eastAsia="zh-CN" w:bidi="ar"/>
        </w:rPr>
        <w:t>▲</w:t>
      </w:r>
      <w:r>
        <w:rPr>
          <w:rFonts w:hint="eastAsia" w:ascii="宋体" w:hAnsi="宋体" w:eastAsia="宋体" w:cs="宋体"/>
          <w:b/>
          <w:bCs/>
          <w:i w:val="0"/>
          <w:iCs w:val="0"/>
          <w:color w:val="auto"/>
          <w:kern w:val="2"/>
          <w:sz w:val="22"/>
          <w:szCs w:val="22"/>
          <w:highlight w:val="none"/>
          <w:u w:val="none"/>
          <w:lang w:val="en-US" w:eastAsia="zh-CN" w:bidi="ar"/>
        </w:rPr>
        <w:t>投标人须取得</w:t>
      </w:r>
      <w:r>
        <w:rPr>
          <w:rFonts w:hint="eastAsia" w:ascii="宋体" w:hAnsi="宋体" w:cs="宋体"/>
          <w:b/>
          <w:bCs/>
          <w:i w:val="0"/>
          <w:iCs w:val="0"/>
          <w:color w:val="auto"/>
          <w:kern w:val="2"/>
          <w:sz w:val="22"/>
          <w:szCs w:val="22"/>
          <w:highlight w:val="none"/>
          <w:u w:val="none"/>
          <w:lang w:val="en-US" w:eastAsia="zh-CN" w:bidi="ar"/>
        </w:rPr>
        <w:t>一体化</w:t>
      </w:r>
      <w:r>
        <w:rPr>
          <w:rFonts w:hint="eastAsia" w:ascii="宋体" w:hAnsi="宋体" w:eastAsia="宋体" w:cs="宋体"/>
          <w:b/>
          <w:bCs/>
          <w:i w:val="0"/>
          <w:iCs w:val="0"/>
          <w:color w:val="auto"/>
          <w:kern w:val="2"/>
          <w:sz w:val="22"/>
          <w:szCs w:val="22"/>
          <w:highlight w:val="none"/>
          <w:u w:val="none"/>
          <w:lang w:val="en-US" w:eastAsia="zh-CN" w:bidi="ar"/>
        </w:rPr>
        <w:t>AAO生化池的生产厂家唯一授权，并提供相关</w:t>
      </w:r>
      <w:r>
        <w:rPr>
          <w:rFonts w:hint="eastAsia" w:ascii="宋体" w:hAnsi="宋体" w:cs="宋体"/>
          <w:b/>
          <w:bCs/>
          <w:i w:val="0"/>
          <w:iCs w:val="0"/>
          <w:color w:val="auto"/>
          <w:kern w:val="2"/>
          <w:sz w:val="22"/>
          <w:szCs w:val="22"/>
          <w:highlight w:val="none"/>
          <w:u w:val="none"/>
          <w:lang w:val="en-US" w:eastAsia="zh-CN" w:bidi="ar"/>
        </w:rPr>
        <w:t>厂家</w:t>
      </w:r>
      <w:r>
        <w:rPr>
          <w:rFonts w:hint="eastAsia" w:ascii="宋体" w:hAnsi="宋体" w:eastAsia="宋体" w:cs="宋体"/>
          <w:b/>
          <w:bCs/>
          <w:i w:val="0"/>
          <w:iCs w:val="0"/>
          <w:color w:val="auto"/>
          <w:kern w:val="2"/>
          <w:sz w:val="22"/>
          <w:szCs w:val="22"/>
          <w:highlight w:val="none"/>
          <w:u w:val="none"/>
          <w:lang w:val="en-US" w:eastAsia="zh-CN" w:bidi="ar"/>
        </w:rPr>
        <w:t>授权委托书证明扫描件</w:t>
      </w:r>
      <w:r>
        <w:rPr>
          <w:rFonts w:hint="eastAsia" w:ascii="宋体" w:hAnsi="宋体" w:cs="宋体"/>
          <w:b/>
          <w:bCs/>
          <w:i w:val="0"/>
          <w:iCs w:val="0"/>
          <w:color w:val="auto"/>
          <w:kern w:val="2"/>
          <w:sz w:val="22"/>
          <w:szCs w:val="22"/>
          <w:highlight w:val="none"/>
          <w:u w:val="none"/>
          <w:lang w:val="en-US" w:eastAsia="zh-CN" w:bidi="ar"/>
        </w:rPr>
        <w:t>。</w:t>
      </w:r>
    </w:p>
    <w:p w14:paraId="4EE07C92">
      <w:pPr>
        <w:shd w:val="clear"/>
        <w:spacing w:line="400" w:lineRule="exact"/>
        <w:ind w:firstLine="482"/>
        <w:outlineLvl w:val="1"/>
        <w:rPr>
          <w:rFonts w:hint="eastAsia" w:ascii="宋体" w:hAnsi="宋体" w:cs="宋体"/>
          <w:b/>
          <w:bCs/>
          <w:color w:val="auto"/>
          <w:sz w:val="24"/>
          <w:highlight w:val="none"/>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、商务要求</w:t>
      </w:r>
      <w:bookmarkEnd w:id="737"/>
    </w:p>
    <w:p w14:paraId="45EB884A">
      <w:pPr>
        <w:autoSpaceDE w:val="0"/>
        <w:autoSpaceDN w:val="0"/>
        <w:adjustRightInd w:val="0"/>
        <w:spacing w:line="312" w:lineRule="auto"/>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一）总体要求</w:t>
      </w:r>
    </w:p>
    <w:p w14:paraId="5C5F4D64">
      <w:pPr>
        <w:spacing w:line="312"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1、必须符合招标文件（包括补充更正，如有）的技术要求和配置；必须是国内外相应制造厂商生产并提供的原装合格产品；符合国家质量技术标准的设备。</w:t>
      </w:r>
    </w:p>
    <w:p w14:paraId="15082450">
      <w:pPr>
        <w:autoSpaceDE w:val="0"/>
        <w:adjustRightInd w:val="0"/>
        <w:spacing w:line="312"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2、售后服务按</w:t>
      </w:r>
      <w:r>
        <w:rPr>
          <w:rFonts w:hint="eastAsia" w:ascii="宋体" w:hAnsi="宋体" w:cs="宋体"/>
          <w:bCs/>
          <w:color w:val="auto"/>
          <w:sz w:val="22"/>
          <w:szCs w:val="22"/>
          <w:highlight w:val="none"/>
        </w:rPr>
        <w:t>国家市场监督管理总局</w:t>
      </w:r>
      <w:r>
        <w:rPr>
          <w:rFonts w:hint="eastAsia" w:ascii="宋体" w:hAnsi="宋体" w:cs="宋体"/>
          <w:color w:val="auto"/>
          <w:sz w:val="22"/>
          <w:szCs w:val="22"/>
          <w:highlight w:val="none"/>
        </w:rPr>
        <w:t>和国家其他有关规定执行，国家没有规定的按厂商规定执行。国家规定标准低于厂商标准的按厂商标准执行。</w:t>
      </w:r>
    </w:p>
    <w:p w14:paraId="6FC34BAE">
      <w:pPr>
        <w:autoSpaceDE w:val="0"/>
        <w:autoSpaceDN w:val="0"/>
        <w:adjustRightInd w:val="0"/>
        <w:snapToGrid w:val="0"/>
        <w:spacing w:line="312" w:lineRule="auto"/>
        <w:ind w:left="0" w:leftChars="0" w:right="0" w:rightChars="0"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二）付款方式</w:t>
      </w:r>
    </w:p>
    <w:p w14:paraId="7165C30B">
      <w:pPr>
        <w:widowControl/>
        <w:autoSpaceDE w:val="0"/>
        <w:autoSpaceDN w:val="0"/>
        <w:spacing w:line="312" w:lineRule="auto"/>
        <w:ind w:right="0" w:rightChars="0"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根据合同、投标文件等资料进行验收。</w:t>
      </w:r>
    </w:p>
    <w:p w14:paraId="49AFAA91">
      <w:pPr>
        <w:widowControl/>
        <w:autoSpaceDE w:val="0"/>
        <w:autoSpaceDN w:val="0"/>
        <w:spacing w:line="312" w:lineRule="auto"/>
        <w:ind w:right="0" w:rightChars="0" w:firstLine="440" w:firstLineChars="200"/>
        <w:textAlignment w:val="bottom"/>
        <w:rPr>
          <w:rFonts w:hint="eastAsia" w:ascii="宋体" w:hAnsi="宋体" w:eastAsia="宋体" w:cs="宋体"/>
          <w:color w:val="auto"/>
          <w:sz w:val="22"/>
          <w:szCs w:val="22"/>
          <w:highlight w:val="none"/>
          <w:lang w:val="en-US" w:eastAsia="zh-CN"/>
        </w:rPr>
      </w:pPr>
      <w:bookmarkStart w:id="738" w:name="OLE_LINK16"/>
      <w:r>
        <w:rPr>
          <w:rFonts w:hint="eastAsia" w:ascii="宋体" w:hAnsi="宋体" w:eastAsia="宋体" w:cs="宋体"/>
          <w:color w:val="auto"/>
          <w:sz w:val="22"/>
          <w:szCs w:val="22"/>
          <w:highlight w:val="none"/>
          <w:lang w:val="en-US" w:eastAsia="zh-CN"/>
        </w:rPr>
        <w:t>采购成交后</w:t>
      </w:r>
      <w:r>
        <w:rPr>
          <w:rFonts w:hint="eastAsia" w:ascii="宋体" w:hAnsi="宋体" w:cs="宋体"/>
          <w:color w:val="auto"/>
          <w:sz w:val="22"/>
          <w:szCs w:val="22"/>
          <w:highlight w:val="none"/>
          <w:lang w:val="en-US" w:eastAsia="zh-CN"/>
        </w:rPr>
        <w:t>，设备采购合同签订后，</w:t>
      </w:r>
      <w:r>
        <w:rPr>
          <w:rFonts w:hint="eastAsia" w:ascii="宋体" w:hAnsi="宋体" w:eastAsia="宋体" w:cs="宋体"/>
          <w:color w:val="auto"/>
          <w:sz w:val="22"/>
          <w:szCs w:val="22"/>
          <w:highlight w:val="none"/>
          <w:lang w:val="en-US" w:eastAsia="zh-CN"/>
        </w:rPr>
        <w:t>支付合同价款的40%（含10%预付款），设备到场验收后支付至合同价款的70%，安装调试完成及通过验收合格并按采购人要求提供整套工程资料后支付至结算价款的90%（中标价须根据结算审核进行同比例核减），</w:t>
      </w:r>
      <w:r>
        <w:rPr>
          <w:rFonts w:hint="eastAsia" w:ascii="宋体" w:hAnsi="宋体" w:eastAsia="宋体" w:cs="宋体"/>
          <w:color w:val="auto"/>
          <w:sz w:val="22"/>
          <w:szCs w:val="22"/>
          <w:highlight w:val="none"/>
        </w:rPr>
        <w:t>设备联机试运行3个月后进行结算审核（</w:t>
      </w:r>
      <w:r>
        <w:rPr>
          <w:rFonts w:hint="eastAsia" w:ascii="宋体" w:hAnsi="宋体" w:eastAsia="宋体" w:cs="宋体"/>
          <w:color w:val="auto"/>
          <w:sz w:val="22"/>
          <w:szCs w:val="22"/>
          <w:highlight w:val="none"/>
          <w:lang w:val="en-US" w:eastAsia="zh-CN"/>
        </w:rPr>
        <w:t>采购人自行委托审核，</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需提交所有的项目资料和结算资料）</w:t>
      </w:r>
      <w:r>
        <w:rPr>
          <w:rFonts w:hint="eastAsia" w:ascii="宋体" w:hAnsi="宋体" w:eastAsia="宋体" w:cs="宋体"/>
          <w:color w:val="auto"/>
          <w:sz w:val="22"/>
          <w:szCs w:val="22"/>
          <w:highlight w:val="none"/>
          <w:lang w:val="en-US" w:eastAsia="zh-CN"/>
        </w:rPr>
        <w:t>后支付至结算价款的</w:t>
      </w:r>
      <w:r>
        <w:rPr>
          <w:rFonts w:hint="eastAsia" w:ascii="宋体" w:hAnsi="宋体" w:cs="宋体"/>
          <w:color w:val="auto"/>
          <w:sz w:val="22"/>
          <w:szCs w:val="22"/>
          <w:highlight w:val="none"/>
          <w:lang w:val="en-US" w:eastAsia="zh-CN"/>
        </w:rPr>
        <w:t>95</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余款为质量保证金，</w:t>
      </w:r>
      <w:r>
        <w:rPr>
          <w:rFonts w:hint="eastAsia" w:ascii="宋体" w:hAnsi="宋体" w:eastAsia="宋体" w:cs="宋体"/>
          <w:color w:val="auto"/>
          <w:sz w:val="22"/>
          <w:szCs w:val="22"/>
          <w:highlight w:val="none"/>
          <w:lang w:val="en-US" w:eastAsia="zh-CN"/>
        </w:rPr>
        <w:t>质保期满后</w:t>
      </w:r>
      <w:r>
        <w:rPr>
          <w:rFonts w:hint="eastAsia" w:ascii="宋体" w:hAnsi="宋体" w:cs="宋体"/>
          <w:color w:val="auto"/>
          <w:sz w:val="22"/>
          <w:szCs w:val="22"/>
          <w:highlight w:val="none"/>
          <w:lang w:val="en-US" w:eastAsia="zh-CN"/>
        </w:rPr>
        <w:t>分二期</w:t>
      </w:r>
      <w:r>
        <w:rPr>
          <w:rFonts w:hint="eastAsia" w:ascii="宋体" w:hAnsi="宋体" w:eastAsia="宋体" w:cs="宋体"/>
          <w:color w:val="auto"/>
          <w:sz w:val="22"/>
          <w:szCs w:val="22"/>
          <w:highlight w:val="none"/>
          <w:lang w:val="en-US" w:eastAsia="zh-CN"/>
        </w:rPr>
        <w:t>付清余款</w:t>
      </w:r>
      <w:r>
        <w:rPr>
          <w:rFonts w:hint="eastAsia" w:ascii="宋体" w:hAnsi="宋体" w:cs="宋体"/>
          <w:color w:val="auto"/>
          <w:sz w:val="22"/>
          <w:szCs w:val="22"/>
          <w:highlight w:val="none"/>
          <w:lang w:val="en-US" w:eastAsia="zh-CN"/>
        </w:rPr>
        <w:t>，第一期支付质保金的50%</w:t>
      </w:r>
      <w:r>
        <w:rPr>
          <w:rFonts w:hint="eastAsia" w:ascii="宋体" w:hAnsi="宋体" w:eastAsia="宋体" w:cs="宋体"/>
          <w:color w:val="auto"/>
          <w:sz w:val="22"/>
          <w:szCs w:val="22"/>
          <w:highlight w:val="none"/>
          <w:lang w:val="en-US" w:eastAsia="zh-CN"/>
        </w:rPr>
        <w:t>（质保期按2年计，厂家另行约定的质保期大于2年</w:t>
      </w:r>
      <w:r>
        <w:rPr>
          <w:rFonts w:hint="eastAsia" w:ascii="宋体" w:hAnsi="宋体" w:cs="宋体"/>
          <w:color w:val="auto"/>
          <w:sz w:val="22"/>
          <w:szCs w:val="22"/>
          <w:highlight w:val="none"/>
          <w:lang w:val="en-US" w:eastAsia="zh-CN"/>
        </w:rPr>
        <w:t>付清余款后提供保函</w:t>
      </w:r>
      <w:r>
        <w:rPr>
          <w:rFonts w:hint="eastAsia" w:ascii="宋体" w:hAnsi="宋体" w:eastAsia="宋体" w:cs="宋体"/>
          <w:color w:val="auto"/>
          <w:sz w:val="22"/>
          <w:szCs w:val="22"/>
          <w:highlight w:val="none"/>
          <w:lang w:val="en-US" w:eastAsia="zh-CN"/>
        </w:rPr>
        <w:t>的需继续履行质保责任）</w:t>
      </w:r>
      <w:r>
        <w:rPr>
          <w:rFonts w:hint="eastAsia" w:ascii="宋体" w:hAnsi="宋体" w:cs="宋体"/>
          <w:color w:val="auto"/>
          <w:sz w:val="22"/>
          <w:szCs w:val="22"/>
          <w:highlight w:val="none"/>
          <w:lang w:val="en-US" w:eastAsia="zh-CN"/>
        </w:rPr>
        <w:t>；第二期须通过环保验收后付清尾款。</w:t>
      </w:r>
    </w:p>
    <w:p w14:paraId="78E82B2F">
      <w:pPr>
        <w:widowControl/>
        <w:autoSpaceDE w:val="0"/>
        <w:autoSpaceDN w:val="0"/>
        <w:spacing w:line="312" w:lineRule="auto"/>
        <w:ind w:right="0" w:rightChars="0" w:firstLine="440" w:firstLineChars="200"/>
        <w:textAlignment w:val="bottom"/>
        <w:rPr>
          <w:rFonts w:hint="eastAsia" w:ascii="宋体" w:hAnsi="宋体" w:cs="宋体"/>
          <w:color w:val="auto"/>
          <w:sz w:val="22"/>
          <w:szCs w:val="22"/>
          <w:highlight w:val="none"/>
        </w:rPr>
      </w:pPr>
      <w:r>
        <w:rPr>
          <w:rFonts w:hint="eastAsia" w:ascii="宋体" w:hAnsi="宋体" w:cs="宋体"/>
          <w:bCs/>
          <w:color w:val="auto"/>
          <w:sz w:val="22"/>
          <w:szCs w:val="22"/>
          <w:highlight w:val="none"/>
          <w:lang w:val="en-US" w:eastAsia="zh-CN"/>
        </w:rPr>
        <w:t>注：支付时需提供增值税专票</w:t>
      </w:r>
      <w:r>
        <w:rPr>
          <w:rFonts w:hint="eastAsia" w:ascii="宋体" w:hAnsi="宋体" w:cs="宋体"/>
          <w:color w:val="auto"/>
          <w:sz w:val="22"/>
          <w:szCs w:val="22"/>
          <w:highlight w:val="none"/>
        </w:rPr>
        <w:t>原件（全额开具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其中设备部分按中标价的70%进行开具13%的增值税专票，管理费、安装及调试部分按中标价的30%进行开具9%的增值税专票</w:t>
      </w:r>
      <w:r>
        <w:rPr>
          <w:rFonts w:hint="eastAsia" w:ascii="宋体" w:hAnsi="宋体" w:cs="宋体"/>
          <w:color w:val="auto"/>
          <w:sz w:val="22"/>
          <w:szCs w:val="22"/>
          <w:highlight w:val="none"/>
        </w:rPr>
        <w:t>）及复印件1份、合同复印件1份和经</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验收确认的《验收报告》提交</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，由</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向中标人支付当期的项目款。</w:t>
      </w:r>
    </w:p>
    <w:bookmarkEnd w:id="738"/>
    <w:p w14:paraId="7D0F2C18">
      <w:pPr>
        <w:widowControl/>
        <w:autoSpaceDE w:val="0"/>
        <w:autoSpaceDN w:val="0"/>
        <w:spacing w:line="312" w:lineRule="auto"/>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w:t>
      </w:r>
      <w:r>
        <w:rPr>
          <w:rFonts w:hint="eastAsia" w:ascii="宋体" w:hAnsi="宋体" w:cs="宋体"/>
          <w:b/>
          <w:color w:val="auto"/>
          <w:sz w:val="22"/>
          <w:szCs w:val="22"/>
          <w:highlight w:val="none"/>
        </w:rPr>
        <w:t>完成时间及安装调试</w:t>
      </w:r>
    </w:p>
    <w:p w14:paraId="7E822ACA">
      <w:pPr>
        <w:autoSpaceDE w:val="0"/>
        <w:adjustRightInd w:val="0"/>
        <w:spacing w:line="312" w:lineRule="auto"/>
        <w:ind w:firstLine="440" w:firstLineChars="200"/>
        <w:jc w:val="left"/>
        <w:rPr>
          <w:rFonts w:hint="eastAsia" w:ascii="宋体" w:hAnsi="宋体" w:cs="宋体"/>
          <w:color w:val="auto"/>
          <w:sz w:val="22"/>
          <w:szCs w:val="22"/>
          <w:highlight w:val="none"/>
        </w:rPr>
      </w:pPr>
      <w:bookmarkStart w:id="739" w:name="OLE_LINK26"/>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中标人在签订合同生效，接到采购人进场施工通知后，90日历天内按采购人要求完成交货、安装、调试，稳定运行后交工验收，与土建单位做好同步配合工作，设备联机试运行3个月后进行竣工验收并通过环保验收。技术服务期24个月（不包含试运行时间）。</w:t>
      </w:r>
      <w:r>
        <w:rPr>
          <w:rFonts w:hint="eastAsia" w:ascii="宋体" w:hAnsi="宋体" w:cs="宋体"/>
          <w:color w:val="auto"/>
          <w:sz w:val="22"/>
          <w:szCs w:val="22"/>
          <w:highlight w:val="none"/>
        </w:rPr>
        <w:t>如在规定的时间内由于投标人的原因不能完成交货、安装、调试的，中标人应承担由此给</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造成的损失（每延迟一天投标人向</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支付 10000 元/天违约金。）</w:t>
      </w:r>
    </w:p>
    <w:p w14:paraId="1F304E46">
      <w:pPr>
        <w:autoSpaceDE w:val="0"/>
        <w:adjustRightInd w:val="0"/>
        <w:spacing w:line="312"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 安装地点：由甲方指定地点。</w:t>
      </w:r>
    </w:p>
    <w:p w14:paraId="333E256F">
      <w:pPr>
        <w:autoSpaceDE w:val="0"/>
        <w:adjustRightInd w:val="0"/>
        <w:spacing w:line="312"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安装标准：符合我国国家有关技术规范要求和技术标准，所有的软件和硬件必须保证同时安装到位。</w:t>
      </w:r>
    </w:p>
    <w:p w14:paraId="16F16CD9">
      <w:pPr>
        <w:autoSpaceDE w:val="0"/>
        <w:adjustRightInd w:val="0"/>
        <w:spacing w:line="312"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投标人免费提供中标设备的安装调试服务。</w:t>
      </w:r>
    </w:p>
    <w:p w14:paraId="7364F39A">
      <w:pPr>
        <w:autoSpaceDE w:val="0"/>
        <w:adjustRightInd w:val="0"/>
        <w:spacing w:line="312"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投标人应在投标文件中应提供安装计划、对安装场地和环境的要求。</w:t>
      </w:r>
      <w:bookmarkEnd w:id="739"/>
    </w:p>
    <w:p w14:paraId="669FFD5F">
      <w:pPr>
        <w:autoSpaceDE w:val="0"/>
        <w:adjustRightInd w:val="0"/>
        <w:spacing w:line="312" w:lineRule="auto"/>
        <w:ind w:left="0" w:leftChars="0"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6.投标人中标后需服从采购人、建设单位、监理方、设计方及相关行业主管部门的管理，并接受监督。</w:t>
      </w:r>
    </w:p>
    <w:p w14:paraId="23DB8E5F">
      <w:pPr>
        <w:autoSpaceDE w:val="0"/>
        <w:autoSpaceDN w:val="0"/>
        <w:adjustRightInd w:val="0"/>
        <w:snapToGrid w:val="0"/>
        <w:spacing w:line="312" w:lineRule="auto"/>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四）售后服务</w:t>
      </w:r>
    </w:p>
    <w:p w14:paraId="164D76C9">
      <w:pPr>
        <w:autoSpaceDE w:val="0"/>
        <w:adjustRightInd w:val="0"/>
        <w:spacing w:line="312" w:lineRule="auto"/>
        <w:ind w:firstLine="440" w:firstLineChars="200"/>
        <w:jc w:val="left"/>
        <w:rPr>
          <w:rFonts w:hint="eastAsia" w:ascii="宋体" w:hAnsi="宋体" w:cs="宋体"/>
          <w:color w:val="auto"/>
          <w:sz w:val="22"/>
          <w:szCs w:val="22"/>
          <w:highlight w:val="none"/>
        </w:rPr>
      </w:pPr>
      <w:bookmarkStart w:id="740" w:name="OLE_LINK27"/>
      <w:r>
        <w:rPr>
          <w:rFonts w:hint="eastAsia" w:ascii="宋体" w:hAnsi="宋体" w:cs="宋体"/>
          <w:color w:val="auto"/>
          <w:sz w:val="22"/>
          <w:szCs w:val="22"/>
          <w:highlight w:val="none"/>
        </w:rPr>
        <w:t>1、本项目所有设备的质量保修期≥2年（招标规格参数内有注明的以招标规格参数要求为准）。保质期内因不能排除的故障而影响工作的情况每发生一次，其质保期相应延长60天，质保期内因货物本身缺陷造成各种故障应由投标人免费技术服务和维修。</w:t>
      </w:r>
    </w:p>
    <w:p w14:paraId="0433C7FC">
      <w:pPr>
        <w:autoSpaceDE w:val="0"/>
        <w:adjustRightInd w:val="0"/>
        <w:spacing w:line="312"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2、在设备（或系统）整个使用期内，投标人应确保正常使用，在接到</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维修要求后在0.5小时内响应并提出解决方案，5小时内对故障进行指导处理，24小时内对故障进行现场处理，维修过程中所需材料中标人在接到通知后应及时提供，最长不超过72小时必须送达</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。若72小时内无法修复的，应72小时内提供相应备用设备并负责安装调试，为此，投标人应提供相应承诺书。</w:t>
      </w:r>
    </w:p>
    <w:p w14:paraId="74896404">
      <w:pPr>
        <w:autoSpaceDE w:val="0"/>
        <w:adjustRightInd w:val="0"/>
        <w:spacing w:line="312"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3、在投标人承诺的质保期内，投标人应负责对其提供的设备进行现场维修、损坏件更换，不收取额外费用，响应时间必须满足</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工作正常运行的要求。投标人</w:t>
      </w:r>
      <w:r>
        <w:rPr>
          <w:rFonts w:hint="eastAsia" w:ascii="宋体" w:hAnsi="宋体" w:cs="宋体"/>
          <w:bCs/>
          <w:color w:val="auto"/>
          <w:sz w:val="22"/>
          <w:szCs w:val="22"/>
          <w:highlight w:val="none"/>
        </w:rPr>
        <w:t>应保证提供本项目在</w:t>
      </w:r>
      <w:r>
        <w:rPr>
          <w:rFonts w:hint="eastAsia" w:ascii="宋体" w:hAnsi="宋体" w:cs="宋体"/>
          <w:b/>
          <w:color w:val="auto"/>
          <w:sz w:val="22"/>
          <w:szCs w:val="22"/>
          <w:highlight w:val="none"/>
          <w:lang w:eastAsia="zh-CN"/>
        </w:rPr>
        <w:t>投标人</w:t>
      </w:r>
      <w:r>
        <w:rPr>
          <w:rFonts w:hint="eastAsia" w:ascii="宋体" w:hAnsi="宋体" w:cs="宋体"/>
          <w:b/>
          <w:color w:val="auto"/>
          <w:sz w:val="22"/>
          <w:szCs w:val="22"/>
          <w:highlight w:val="none"/>
        </w:rPr>
        <w:t>承诺的质保期内</w:t>
      </w:r>
      <w:r>
        <w:rPr>
          <w:rFonts w:hint="eastAsia" w:ascii="宋体" w:hAnsi="宋体" w:cs="宋体"/>
          <w:bCs/>
          <w:color w:val="auto"/>
          <w:sz w:val="22"/>
          <w:szCs w:val="22"/>
          <w:highlight w:val="none"/>
        </w:rPr>
        <w:t>所有设备所需配件的备件和技术支持服务（费用包含在投标总价内），质保期外的配件价格参考中标价格。</w:t>
      </w:r>
    </w:p>
    <w:p w14:paraId="2E4FF269">
      <w:pPr>
        <w:autoSpaceDE w:val="0"/>
        <w:adjustRightInd w:val="0"/>
        <w:spacing w:line="312" w:lineRule="auto"/>
        <w:ind w:firstLine="440" w:firstLineChars="200"/>
        <w:jc w:val="left"/>
        <w:rPr>
          <w:rFonts w:hint="eastAsia" w:ascii="宋体" w:hAnsi="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在投标文件中须说明保修期内提供的服务计划。</w:t>
      </w:r>
      <w:bookmarkEnd w:id="740"/>
    </w:p>
    <w:p w14:paraId="7633878B">
      <w:pPr>
        <w:autoSpaceDE w:val="0"/>
        <w:autoSpaceDN w:val="0"/>
        <w:adjustRightInd w:val="0"/>
        <w:snapToGrid w:val="0"/>
        <w:spacing w:line="312" w:lineRule="auto"/>
        <w:ind w:left="0" w:leftChars="0" w:right="0" w:rightChars="0" w:firstLine="442" w:firstLineChars="200"/>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val="en-US" w:eastAsia="zh-CN"/>
        </w:rPr>
        <w:t>备品备件及报价</w:t>
      </w:r>
    </w:p>
    <w:p w14:paraId="4D25AEE3">
      <w:pPr>
        <w:autoSpaceDE w:val="0"/>
        <w:adjustRightIn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人应随机提供设备正常使用2年内（特别说明的除外）所需的备件（包括标准备件、易损件、零部件等）和专用工具并列出详细清单，包含在投标总价格中。所有易损件和备件应有互换性。易损件和备件的保护，应能保证其长期存放而不变质，且应有明显标志。</w:t>
      </w:r>
    </w:p>
    <w:p w14:paraId="6ED2B8A4">
      <w:pPr>
        <w:autoSpaceDE w:val="0"/>
        <w:adjustRightInd w:val="0"/>
        <w:spacing w:line="312" w:lineRule="auto"/>
        <w:ind w:firstLine="442"/>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随机备件应是在例行维修、更换所需的零件及主要或常用零件。</w:t>
      </w:r>
    </w:p>
    <w:p w14:paraId="0C7EA6F3">
      <w:pPr>
        <w:autoSpaceDE w:val="0"/>
        <w:adjustRightIn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在特殊规定中对随机备件有基本要求。在制作备件表时，</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应将与设备有关的上述要求反映在表格中。</w:t>
      </w:r>
    </w:p>
    <w:p w14:paraId="7A47F19F">
      <w:pPr>
        <w:autoSpaceDE w:val="0"/>
        <w:adjustRightInd w:val="0"/>
        <w:spacing w:line="312" w:lineRule="auto"/>
        <w:ind w:firstLine="442"/>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随机备件应是新的，并且应用包装物或集装箱独立包装，设计的随机备件保护措施应可使随机备件在额定的周围环境下长期保存。若有零件不能采用上述措施包装，那么必须镀（涂）上临时保护层使其免受腐蚀，并且将其遮盖，以免受机械损伤。应在所有零件上贴上标签，清楚地写上一段简短的说明及编号。</w:t>
      </w:r>
    </w:p>
    <w:p w14:paraId="12DE4FC1">
      <w:pPr>
        <w:autoSpaceDE w:val="0"/>
        <w:adjustRightInd w:val="0"/>
        <w:spacing w:line="312" w:lineRule="auto"/>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在安装调试阶段，备件由</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完全负责。</w:t>
      </w:r>
    </w:p>
    <w:p w14:paraId="718AC6EE">
      <w:pPr>
        <w:autoSpaceDE w:val="0"/>
        <w:autoSpaceDN w:val="0"/>
        <w:adjustRightInd w:val="0"/>
        <w:snapToGrid w:val="0"/>
        <w:spacing w:line="312" w:lineRule="auto"/>
        <w:ind w:left="0" w:leftChars="0" w:right="0" w:rightChars="0" w:firstLine="440" w:firstLineChars="200"/>
        <w:textAlignment w:val="bottom"/>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6.</w:t>
      </w:r>
      <w:r>
        <w:rPr>
          <w:rFonts w:hint="eastAsia" w:ascii="宋体" w:hAnsi="宋体" w:cs="宋体"/>
          <w:b w:val="0"/>
          <w:bCs w:val="0"/>
          <w:color w:val="auto"/>
          <w:sz w:val="22"/>
          <w:szCs w:val="22"/>
          <w:highlight w:val="none"/>
        </w:rPr>
        <w:t>检测、维修设备及专用工具</w:t>
      </w:r>
    </w:p>
    <w:p w14:paraId="6D803A20">
      <w:pPr>
        <w:autoSpaceDE w:val="0"/>
        <w:autoSpaceDN w:val="0"/>
        <w:adjustRightInd w:val="0"/>
        <w:snapToGrid w:val="0"/>
        <w:spacing w:line="312" w:lineRule="auto"/>
        <w:ind w:left="0" w:leftChars="0" w:right="0" w:rightChars="0" w:firstLine="440" w:firstLineChars="200"/>
        <w:textAlignment w:val="bottom"/>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 xml:space="preserve">6.1 </w:t>
      </w:r>
      <w:r>
        <w:rPr>
          <w:rFonts w:hint="eastAsia" w:ascii="宋体" w:hAnsi="宋体" w:cs="宋体"/>
          <w:b w:val="0"/>
          <w:bCs w:val="0"/>
          <w:color w:val="auto"/>
          <w:sz w:val="22"/>
          <w:szCs w:val="22"/>
          <w:highlight w:val="none"/>
          <w:lang w:eastAsia="zh-CN"/>
        </w:rPr>
        <w:t>中标人</w:t>
      </w:r>
      <w:r>
        <w:rPr>
          <w:rFonts w:hint="eastAsia" w:ascii="宋体" w:hAnsi="宋体" w:cs="宋体"/>
          <w:b w:val="0"/>
          <w:bCs w:val="0"/>
          <w:color w:val="auto"/>
          <w:sz w:val="22"/>
          <w:szCs w:val="22"/>
          <w:highlight w:val="none"/>
        </w:rPr>
        <w:t>应提供足够的日常检修、测试设备及专用工具，在投标文件上分项列明，价格单列计入总价。提供的检测设备和专用工具不得用于安装。</w:t>
      </w:r>
    </w:p>
    <w:p w14:paraId="1C9675D3">
      <w:pPr>
        <w:autoSpaceDE w:val="0"/>
        <w:autoSpaceDN w:val="0"/>
        <w:adjustRightInd w:val="0"/>
        <w:snapToGrid w:val="0"/>
        <w:spacing w:line="312" w:lineRule="auto"/>
        <w:ind w:left="0" w:leftChars="0" w:right="0" w:rightChars="0" w:firstLine="440" w:firstLineChars="200"/>
        <w:textAlignment w:val="bottom"/>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 xml:space="preserve">6.2 </w:t>
      </w:r>
      <w:r>
        <w:rPr>
          <w:rFonts w:hint="eastAsia" w:ascii="宋体" w:hAnsi="宋体" w:cs="宋体"/>
          <w:b w:val="0"/>
          <w:bCs w:val="0"/>
          <w:color w:val="auto"/>
          <w:sz w:val="22"/>
          <w:szCs w:val="22"/>
          <w:highlight w:val="none"/>
        </w:rPr>
        <w:t>所有日常测试必须的附件、零配件、软件及中文操作维修手册应与检测设备一起提供。</w:t>
      </w:r>
    </w:p>
    <w:p w14:paraId="0BDB9F0E">
      <w:pPr>
        <w:autoSpaceDE w:val="0"/>
        <w:autoSpaceDN w:val="0"/>
        <w:adjustRightInd w:val="0"/>
        <w:snapToGrid w:val="0"/>
        <w:spacing w:line="312" w:lineRule="auto"/>
        <w:ind w:left="0" w:leftChars="0" w:right="0" w:rightChars="0" w:firstLine="440" w:firstLineChars="200"/>
        <w:textAlignment w:val="bottom"/>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 xml:space="preserve">6.3 </w:t>
      </w:r>
      <w:r>
        <w:rPr>
          <w:rFonts w:hint="eastAsia" w:ascii="宋体" w:hAnsi="宋体" w:cs="宋体"/>
          <w:b w:val="0"/>
          <w:bCs w:val="0"/>
          <w:color w:val="auto"/>
          <w:sz w:val="22"/>
          <w:szCs w:val="22"/>
          <w:highlight w:val="none"/>
        </w:rPr>
        <w:t>所有使用交流电的检测设备应能在本合同要求的现场条件下正常工作。</w:t>
      </w:r>
    </w:p>
    <w:p w14:paraId="7A0FAA65">
      <w:pPr>
        <w:autoSpaceDE w:val="0"/>
        <w:autoSpaceDN w:val="0"/>
        <w:adjustRightInd w:val="0"/>
        <w:snapToGrid w:val="0"/>
        <w:spacing w:line="312" w:lineRule="auto"/>
        <w:ind w:left="0" w:leftChars="0" w:right="0" w:rightChars="0" w:firstLine="440" w:firstLineChars="200"/>
        <w:textAlignment w:val="bottom"/>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 xml:space="preserve">6.4 </w:t>
      </w:r>
      <w:r>
        <w:rPr>
          <w:rFonts w:hint="eastAsia" w:ascii="宋体" w:hAnsi="宋体" w:cs="宋体"/>
          <w:b w:val="0"/>
          <w:bCs w:val="0"/>
          <w:color w:val="auto"/>
          <w:sz w:val="22"/>
          <w:szCs w:val="22"/>
          <w:highlight w:val="none"/>
        </w:rPr>
        <w:t>所有的备件、维修工具应与设备分开包装、标记。</w:t>
      </w:r>
    </w:p>
    <w:p w14:paraId="015D9FC6">
      <w:pPr>
        <w:autoSpaceDE w:val="0"/>
        <w:autoSpaceDN w:val="0"/>
        <w:adjustRightInd w:val="0"/>
        <w:snapToGrid w:val="0"/>
        <w:spacing w:line="312" w:lineRule="auto"/>
        <w:ind w:left="0" w:leftChars="0" w:right="0" w:rightChars="0" w:firstLine="440" w:firstLineChars="200"/>
        <w:textAlignment w:val="bottom"/>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6.5</w:t>
      </w:r>
      <w:r>
        <w:rPr>
          <w:rFonts w:hint="eastAsia" w:ascii="宋体" w:hAnsi="宋体" w:cs="宋体"/>
          <w:b w:val="0"/>
          <w:bCs w:val="0"/>
          <w:color w:val="auto"/>
          <w:sz w:val="22"/>
          <w:szCs w:val="22"/>
          <w:highlight w:val="none"/>
        </w:rPr>
        <w:t>对本合同范围内的各种工程、设备须各提供二套专用维修工具和器械。</w:t>
      </w:r>
    </w:p>
    <w:p w14:paraId="5961CA31">
      <w:pPr>
        <w:autoSpaceDE w:val="0"/>
        <w:autoSpaceDN w:val="0"/>
        <w:adjustRightInd w:val="0"/>
        <w:snapToGrid w:val="0"/>
        <w:spacing w:line="312" w:lineRule="auto"/>
        <w:ind w:left="0" w:leftChars="0" w:right="0" w:rightChars="0" w:firstLine="440" w:firstLineChars="200"/>
        <w:textAlignment w:val="bottom"/>
        <w:rPr>
          <w:rFonts w:hint="eastAsia" w:ascii="宋体" w:hAnsi="宋体" w:cs="宋体"/>
          <w:b/>
          <w:bCs/>
          <w:color w:val="auto"/>
          <w:sz w:val="22"/>
          <w:szCs w:val="22"/>
          <w:highlight w:val="none"/>
        </w:rPr>
      </w:pPr>
      <w:r>
        <w:rPr>
          <w:rFonts w:hint="eastAsia" w:ascii="宋体" w:hAnsi="宋体" w:cs="宋体"/>
          <w:b w:val="0"/>
          <w:bCs w:val="0"/>
          <w:color w:val="auto"/>
          <w:sz w:val="22"/>
          <w:szCs w:val="22"/>
          <w:highlight w:val="none"/>
          <w:lang w:val="en-US" w:eastAsia="zh-CN"/>
        </w:rPr>
        <w:t>6.6</w:t>
      </w:r>
      <w:r>
        <w:rPr>
          <w:rFonts w:hint="eastAsia" w:ascii="宋体" w:hAnsi="宋体" w:cs="宋体"/>
          <w:b w:val="0"/>
          <w:bCs w:val="0"/>
          <w:color w:val="auto"/>
          <w:sz w:val="22"/>
          <w:szCs w:val="22"/>
          <w:highlight w:val="none"/>
        </w:rPr>
        <w:t>试运行时，应将工具和相应的工具盒清单送交</w:t>
      </w:r>
      <w:r>
        <w:rPr>
          <w:rFonts w:hint="eastAsia" w:ascii="宋体" w:hAnsi="宋体" w:cs="宋体"/>
          <w:b w:val="0"/>
          <w:bCs w:val="0"/>
          <w:color w:val="auto"/>
          <w:sz w:val="22"/>
          <w:szCs w:val="22"/>
          <w:highlight w:val="none"/>
          <w:lang w:val="en-US" w:eastAsia="zh-CN"/>
        </w:rPr>
        <w:t>采购人</w:t>
      </w:r>
      <w:r>
        <w:rPr>
          <w:rFonts w:hint="eastAsia" w:ascii="宋体" w:hAnsi="宋体" w:cs="宋体"/>
          <w:b w:val="0"/>
          <w:bCs w:val="0"/>
          <w:color w:val="auto"/>
          <w:sz w:val="22"/>
          <w:szCs w:val="22"/>
          <w:highlight w:val="none"/>
        </w:rPr>
        <w:t>或业主指定的单位。</w:t>
      </w:r>
    </w:p>
    <w:p w14:paraId="03D9F4E5">
      <w:pPr>
        <w:autoSpaceDE w:val="0"/>
        <w:autoSpaceDN w:val="0"/>
        <w:adjustRightInd w:val="0"/>
        <w:snapToGrid w:val="0"/>
        <w:spacing w:line="312" w:lineRule="auto"/>
        <w:ind w:left="0" w:leftChars="0" w:right="0" w:rightChars="0"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cs="宋体"/>
          <w:b/>
          <w:bCs/>
          <w:color w:val="auto"/>
          <w:sz w:val="22"/>
          <w:szCs w:val="22"/>
          <w:highlight w:val="none"/>
        </w:rPr>
        <w:t>）培训</w:t>
      </w:r>
    </w:p>
    <w:p w14:paraId="65CF607A">
      <w:pPr>
        <w:autoSpaceDE w:val="0"/>
        <w:autoSpaceDN w:val="0"/>
        <w:adjustRightInd w:val="0"/>
        <w:snapToGrid w:val="0"/>
        <w:spacing w:line="312"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1）投标人须对</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的技术操作人员免费进行培训。投标人须在投标文件中提供详细的培训计划,包括培训内容、培训时间、培训地点、培训费用等。</w:t>
      </w:r>
    </w:p>
    <w:p w14:paraId="5DC8156C">
      <w:pPr>
        <w:autoSpaceDE w:val="0"/>
        <w:autoSpaceDN w:val="0"/>
        <w:adjustRightInd w:val="0"/>
        <w:snapToGrid w:val="0"/>
        <w:spacing w:line="312"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2）投标人负责培训人员应具备同类产品5年以上的维修经验。</w:t>
      </w:r>
    </w:p>
    <w:p w14:paraId="5A90E985">
      <w:pPr>
        <w:autoSpaceDE w:val="0"/>
        <w:autoSpaceDN w:val="0"/>
        <w:adjustRightInd w:val="0"/>
        <w:snapToGrid w:val="0"/>
        <w:spacing w:line="312" w:lineRule="auto"/>
        <w:ind w:firstLine="440" w:firstLineChars="200"/>
        <w:textAlignment w:val="bottom"/>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3）培训后资料需移交采购人保存。</w:t>
      </w:r>
    </w:p>
    <w:p w14:paraId="411B8FB5">
      <w:pPr>
        <w:widowControl/>
        <w:autoSpaceDE w:val="0"/>
        <w:autoSpaceDN w:val="0"/>
        <w:spacing w:line="312" w:lineRule="auto"/>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七</w:t>
      </w:r>
      <w:r>
        <w:rPr>
          <w:rFonts w:hint="eastAsia" w:ascii="宋体" w:hAnsi="宋体" w:cs="宋体"/>
          <w:b/>
          <w:bCs/>
          <w:color w:val="auto"/>
          <w:sz w:val="22"/>
          <w:szCs w:val="22"/>
          <w:highlight w:val="none"/>
        </w:rPr>
        <w:t>）验收</w:t>
      </w:r>
    </w:p>
    <w:p w14:paraId="353C22EB">
      <w:pPr>
        <w:widowControl/>
        <w:autoSpaceDE w:val="0"/>
        <w:autoSpaceDN w:val="0"/>
        <w:spacing w:line="312" w:lineRule="auto"/>
        <w:ind w:left="0" w:leftChars="0" w:right="0" w:rightChars="0"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中标人应提供系统设备的有效检验材料，经</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认可后，与合同的技术指标一起作为验收标准。按</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要求完成交货、安装、调试，设备联机</w:t>
      </w:r>
      <w:r>
        <w:rPr>
          <w:rFonts w:hint="eastAsia" w:ascii="宋体" w:hAnsi="宋体" w:cs="宋体"/>
          <w:bCs/>
          <w:color w:val="auto"/>
          <w:sz w:val="22"/>
          <w:szCs w:val="22"/>
          <w:highlight w:val="none"/>
        </w:rPr>
        <w:t>试运行3个月后</w:t>
      </w:r>
      <w:r>
        <w:rPr>
          <w:rFonts w:hint="eastAsia" w:ascii="宋体" w:hAnsi="宋体" w:cs="宋体"/>
          <w:color w:val="auto"/>
          <w:sz w:val="22"/>
          <w:szCs w:val="22"/>
          <w:highlight w:val="none"/>
        </w:rPr>
        <w:t>初验，技术服务期24个月</w:t>
      </w:r>
      <w:r>
        <w:rPr>
          <w:rFonts w:hint="eastAsia" w:ascii="宋体" w:hAnsi="宋体" w:cs="宋体"/>
          <w:bCs/>
          <w:color w:val="auto"/>
          <w:sz w:val="22"/>
          <w:szCs w:val="22"/>
          <w:highlight w:val="none"/>
        </w:rPr>
        <w:t>（不包含试运行时间）后进行终验</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在《验收报告》上签署意见并加盖单位公章。验收中发现系统设备达不到验收标准或合同规定的技术指标，中标人必须更换，并负担由此给</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造成的损失，直到验收合格为止。</w:t>
      </w:r>
    </w:p>
    <w:p w14:paraId="48598683">
      <w:pPr>
        <w:widowControl/>
        <w:autoSpaceDE w:val="0"/>
        <w:autoSpaceDN w:val="0"/>
        <w:spacing w:line="312" w:lineRule="auto"/>
        <w:ind w:left="0" w:leftChars="0" w:right="0" w:rightChars="0" w:firstLine="440" w:firstLineChars="200"/>
        <w:textAlignment w:val="bottom"/>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2.投标人应于投标书中提供系统设备的验收标准和检测办法，并在验收中提供</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认可的相应检测手段，验收标准应符合中国有关的国家、地方、行业的标准，如若中标，经</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确认后</w:t>
      </w:r>
      <w:r>
        <w:rPr>
          <w:rFonts w:hint="eastAsia" w:ascii="宋体" w:hAnsi="宋体" w:eastAsia="宋体" w:cs="宋体"/>
          <w:color w:val="auto"/>
          <w:sz w:val="22"/>
          <w:szCs w:val="22"/>
          <w:highlight w:val="none"/>
        </w:rPr>
        <w:t>作为验收的依据。</w:t>
      </w:r>
    </w:p>
    <w:p w14:paraId="724A044B">
      <w:pPr>
        <w:widowControl/>
        <w:autoSpaceDE w:val="0"/>
        <w:autoSpaceDN w:val="0"/>
        <w:spacing w:line="312" w:lineRule="auto"/>
        <w:ind w:left="0" w:leftChars="0" w:right="0" w:rightChars="0"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3.验收费用由中标人承担。</w:t>
      </w:r>
    </w:p>
    <w:p w14:paraId="17594377">
      <w:pPr>
        <w:widowControl/>
        <w:autoSpaceDE w:val="0"/>
        <w:autoSpaceDN w:val="0"/>
        <w:spacing w:line="312" w:lineRule="auto"/>
        <w:ind w:left="0" w:leftChars="0" w:right="0" w:rightChars="0" w:firstLine="442" w:firstLineChars="200"/>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lang w:val="en-US" w:eastAsia="zh-CN"/>
        </w:rPr>
        <w:t>)考核办法</w:t>
      </w:r>
    </w:p>
    <w:p w14:paraId="3629C895">
      <w:pPr>
        <w:widowControl/>
        <w:autoSpaceDE w:val="0"/>
        <w:autoSpaceDN w:val="0"/>
        <w:spacing w:line="312" w:lineRule="auto"/>
        <w:ind w:left="0" w:leftChars="0" w:right="0" w:rightChars="0"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具体考核办法另行制定，并按</w:t>
      </w:r>
      <w:r>
        <w:rPr>
          <w:rFonts w:hint="eastAsia" w:ascii="宋体" w:hAnsi="宋体" w:cs="宋体"/>
          <w:color w:val="auto"/>
          <w:sz w:val="22"/>
          <w:szCs w:val="22"/>
          <w:highlight w:val="none"/>
          <w:lang w:val="en-US" w:eastAsia="zh-CN"/>
        </w:rPr>
        <w:t>其</w:t>
      </w:r>
      <w:r>
        <w:rPr>
          <w:rFonts w:hint="eastAsia" w:ascii="宋体" w:hAnsi="宋体" w:eastAsia="宋体" w:cs="宋体"/>
          <w:color w:val="auto"/>
          <w:sz w:val="22"/>
          <w:szCs w:val="22"/>
          <w:highlight w:val="none"/>
          <w:lang w:val="en-US" w:eastAsia="zh-CN"/>
        </w:rPr>
        <w:t>要求执行。</w:t>
      </w:r>
      <w:bookmarkStart w:id="741" w:name="_Toc9334"/>
    </w:p>
    <w:p w14:paraId="7EC7DCF3">
      <w:pPr>
        <w:pStyle w:val="20"/>
        <w:rPr>
          <w:rFonts w:hint="eastAsia" w:ascii="宋体" w:hAnsi="宋体" w:eastAsia="宋体" w:cs="宋体"/>
          <w:color w:val="auto"/>
          <w:szCs w:val="21"/>
          <w:highlight w:val="none"/>
          <w:lang w:val="en-US" w:eastAsia="zh-CN"/>
        </w:rPr>
      </w:pPr>
    </w:p>
    <w:p w14:paraId="1B8CE96C">
      <w:pPr>
        <w:rPr>
          <w:rFonts w:hint="eastAsia" w:ascii="宋体" w:hAnsi="宋体" w:eastAsia="宋体" w:cs="宋体"/>
          <w:color w:val="auto"/>
          <w:szCs w:val="21"/>
          <w:highlight w:val="none"/>
          <w:lang w:val="en-US" w:eastAsia="zh-CN"/>
        </w:rPr>
      </w:pPr>
    </w:p>
    <w:p w14:paraId="3D953579">
      <w:pPr>
        <w:pStyle w:val="2"/>
        <w:rPr>
          <w:rFonts w:hint="eastAsia" w:ascii="宋体" w:hAnsi="宋体" w:eastAsia="宋体" w:cs="宋体"/>
          <w:color w:val="auto"/>
          <w:szCs w:val="21"/>
          <w:highlight w:val="none"/>
          <w:lang w:val="en-US" w:eastAsia="zh-CN"/>
        </w:rPr>
      </w:pPr>
    </w:p>
    <w:p w14:paraId="4FCED537">
      <w:pPr>
        <w:pStyle w:val="4"/>
        <w:rPr>
          <w:rFonts w:hint="eastAsia" w:ascii="宋体" w:hAnsi="宋体" w:eastAsia="宋体" w:cs="宋体"/>
          <w:color w:val="auto"/>
          <w:szCs w:val="21"/>
          <w:highlight w:val="none"/>
          <w:lang w:val="en-US" w:eastAsia="zh-CN"/>
        </w:rPr>
      </w:pPr>
    </w:p>
    <w:p w14:paraId="60F40841">
      <w:pPr>
        <w:rPr>
          <w:rFonts w:hint="eastAsia"/>
          <w:color w:val="auto"/>
          <w:highlight w:val="none"/>
          <w:lang w:val="en-US" w:eastAsia="zh-CN"/>
        </w:rPr>
      </w:pPr>
    </w:p>
    <w:p w14:paraId="3E0F46A9">
      <w:pPr>
        <w:pStyle w:val="20"/>
        <w:rPr>
          <w:rFonts w:hint="eastAsia" w:ascii="宋体" w:hAnsi="宋体" w:eastAsia="宋体" w:cs="宋体"/>
          <w:color w:val="auto"/>
          <w:szCs w:val="21"/>
          <w:highlight w:val="none"/>
          <w:lang w:val="en-US" w:eastAsia="zh-CN"/>
        </w:rPr>
      </w:pPr>
    </w:p>
    <w:p w14:paraId="19B0FB4C">
      <w:pPr>
        <w:rPr>
          <w:rFonts w:hint="eastAsia" w:ascii="宋体" w:hAnsi="宋体" w:eastAsia="宋体" w:cs="宋体"/>
          <w:color w:val="auto"/>
          <w:szCs w:val="21"/>
          <w:highlight w:val="none"/>
          <w:lang w:val="en-US" w:eastAsia="zh-CN"/>
        </w:rPr>
      </w:pPr>
    </w:p>
    <w:p w14:paraId="0132008D">
      <w:pPr>
        <w:pStyle w:val="20"/>
        <w:rPr>
          <w:rFonts w:hint="eastAsia" w:ascii="宋体" w:hAnsi="宋体" w:eastAsia="宋体" w:cs="宋体"/>
          <w:color w:val="auto"/>
          <w:szCs w:val="21"/>
          <w:highlight w:val="none"/>
          <w:lang w:val="en-US" w:eastAsia="zh-CN"/>
        </w:rPr>
      </w:pPr>
    </w:p>
    <w:p w14:paraId="7B956BEC">
      <w:pPr>
        <w:rPr>
          <w:rFonts w:hint="eastAsia" w:ascii="宋体" w:hAnsi="宋体" w:eastAsia="宋体" w:cs="宋体"/>
          <w:color w:val="auto"/>
          <w:szCs w:val="21"/>
          <w:highlight w:val="none"/>
          <w:lang w:val="en-US" w:eastAsia="zh-CN"/>
        </w:rPr>
      </w:pPr>
    </w:p>
    <w:p w14:paraId="379B2C27">
      <w:pPr>
        <w:pStyle w:val="20"/>
        <w:rPr>
          <w:rFonts w:hint="eastAsia" w:ascii="宋体" w:hAnsi="宋体" w:eastAsia="宋体" w:cs="宋体"/>
          <w:color w:val="auto"/>
          <w:szCs w:val="21"/>
          <w:highlight w:val="none"/>
          <w:lang w:val="en-US" w:eastAsia="zh-CN"/>
        </w:rPr>
      </w:pPr>
    </w:p>
    <w:p w14:paraId="61AA63F6">
      <w:pPr>
        <w:rPr>
          <w:rFonts w:hint="eastAsia" w:ascii="宋体" w:hAnsi="宋体" w:eastAsia="宋体" w:cs="宋体"/>
          <w:color w:val="auto"/>
          <w:szCs w:val="21"/>
          <w:highlight w:val="none"/>
          <w:lang w:val="en-US" w:eastAsia="zh-CN"/>
        </w:rPr>
      </w:pPr>
    </w:p>
    <w:p w14:paraId="03FCAA04">
      <w:pPr>
        <w:pStyle w:val="20"/>
        <w:rPr>
          <w:rFonts w:hint="eastAsia" w:ascii="宋体" w:hAnsi="宋体" w:eastAsia="宋体" w:cs="宋体"/>
          <w:color w:val="auto"/>
          <w:szCs w:val="21"/>
          <w:highlight w:val="none"/>
          <w:lang w:val="en-US" w:eastAsia="zh-CN"/>
        </w:rPr>
      </w:pPr>
    </w:p>
    <w:p w14:paraId="0F19E9FC">
      <w:pPr>
        <w:rPr>
          <w:rFonts w:hint="eastAsia" w:ascii="宋体" w:hAnsi="宋体" w:eastAsia="宋体" w:cs="宋体"/>
          <w:color w:val="auto"/>
          <w:szCs w:val="21"/>
          <w:highlight w:val="none"/>
          <w:lang w:val="en-US" w:eastAsia="zh-CN"/>
        </w:rPr>
      </w:pPr>
    </w:p>
    <w:p w14:paraId="0E01F385">
      <w:pPr>
        <w:pStyle w:val="20"/>
        <w:ind w:left="0" w:leftChars="0" w:firstLine="0" w:firstLineChars="0"/>
        <w:rPr>
          <w:rFonts w:hint="eastAsia"/>
          <w:color w:val="auto"/>
          <w:highlight w:val="none"/>
        </w:rPr>
      </w:pPr>
    </w:p>
    <w:p w14:paraId="58A41DCB">
      <w:pPr>
        <w:rPr>
          <w:rFonts w:hint="eastAsia"/>
          <w:color w:val="auto"/>
          <w:highlight w:val="none"/>
        </w:rPr>
      </w:pPr>
    </w:p>
    <w:p w14:paraId="1CC70234">
      <w:pPr>
        <w:pStyle w:val="2"/>
        <w:rPr>
          <w:rFonts w:hint="eastAsia"/>
          <w:color w:val="auto"/>
          <w:highlight w:val="none"/>
        </w:rPr>
      </w:pPr>
    </w:p>
    <w:p w14:paraId="3EEED872">
      <w:pPr>
        <w:pStyle w:val="4"/>
        <w:rPr>
          <w:rFonts w:hint="eastAsia"/>
          <w:color w:val="auto"/>
          <w:highlight w:val="none"/>
        </w:rPr>
      </w:pPr>
    </w:p>
    <w:p w14:paraId="7D856C97">
      <w:pPr>
        <w:rPr>
          <w:rFonts w:hint="eastAsia"/>
          <w:color w:val="auto"/>
          <w:highlight w:val="none"/>
        </w:rPr>
      </w:pPr>
    </w:p>
    <w:p w14:paraId="39606FB4">
      <w:pPr>
        <w:pStyle w:val="2"/>
        <w:rPr>
          <w:rFonts w:hint="eastAsia"/>
          <w:color w:val="auto"/>
          <w:highlight w:val="none"/>
        </w:rPr>
      </w:pPr>
    </w:p>
    <w:p w14:paraId="567A452A">
      <w:pPr>
        <w:pStyle w:val="4"/>
        <w:rPr>
          <w:rFonts w:hint="eastAsia"/>
          <w:color w:val="auto"/>
          <w:highlight w:val="none"/>
        </w:rPr>
      </w:pPr>
    </w:p>
    <w:p w14:paraId="64C0507E">
      <w:pPr>
        <w:rPr>
          <w:rFonts w:hint="eastAsia"/>
          <w:color w:val="auto"/>
          <w:highlight w:val="none"/>
        </w:rPr>
      </w:pPr>
    </w:p>
    <w:p w14:paraId="57E3BAB0">
      <w:pPr>
        <w:pStyle w:val="2"/>
        <w:rPr>
          <w:rFonts w:hint="eastAsia"/>
        </w:rPr>
      </w:pPr>
    </w:p>
    <w:p w14:paraId="1AE6B7EF">
      <w:pPr>
        <w:pStyle w:val="4"/>
        <w:rPr>
          <w:rFonts w:hint="eastAsia"/>
          <w:color w:val="auto"/>
          <w:highlight w:val="none"/>
        </w:rPr>
      </w:pPr>
    </w:p>
    <w:p w14:paraId="66B6B553">
      <w:pPr>
        <w:rPr>
          <w:rFonts w:hint="eastAsia"/>
          <w:color w:val="auto"/>
          <w:highlight w:val="none"/>
        </w:rPr>
      </w:pPr>
    </w:p>
    <w:p w14:paraId="793C7E8C">
      <w:pPr>
        <w:pStyle w:val="5"/>
        <w:numPr>
          <w:ilvl w:val="0"/>
          <w:numId w:val="0"/>
        </w:numPr>
        <w:shd w:val="clear"/>
        <w:spacing w:before="312" w:after="312"/>
        <w:ind w:firstLine="2530" w:firstLineChars="70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 xml:space="preserve">第四章 </w:t>
      </w:r>
      <w:r>
        <w:rPr>
          <w:rFonts w:hint="eastAsia" w:ascii="宋体" w:hAnsi="宋体" w:eastAsia="宋体" w:cs="宋体"/>
          <w:color w:val="auto"/>
          <w:highlight w:val="none"/>
          <w:lang w:val="zh-CN"/>
        </w:rPr>
        <w:t>评标办法及评分标准</w:t>
      </w:r>
      <w:bookmarkEnd w:id="674"/>
      <w:bookmarkEnd w:id="675"/>
      <w:bookmarkEnd w:id="676"/>
      <w:bookmarkEnd w:id="677"/>
      <w:bookmarkEnd w:id="678"/>
      <w:bookmarkEnd w:id="679"/>
      <w:bookmarkEnd w:id="680"/>
      <w:bookmarkEnd w:id="681"/>
      <w:bookmarkEnd w:id="682"/>
      <w:bookmarkEnd w:id="683"/>
      <w:bookmarkEnd w:id="684"/>
      <w:bookmarkEnd w:id="717"/>
      <w:bookmarkEnd w:id="718"/>
      <w:bookmarkEnd w:id="741"/>
      <w:bookmarkStart w:id="742" w:name="_Toc12892"/>
      <w:bookmarkStart w:id="743" w:name="_Toc356371472"/>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42"/>
    <w:bookmarkEnd w:id="743"/>
    <w:p w14:paraId="5A1485A7">
      <w:pPr>
        <w:widowControl/>
        <w:shd w:val="clear"/>
        <w:spacing w:line="312" w:lineRule="auto"/>
        <w:ind w:firstLine="482"/>
        <w:outlineLvl w:val="1"/>
        <w:rPr>
          <w:rFonts w:hint="eastAsia" w:ascii="宋体" w:hAnsi="宋体" w:eastAsia="宋体" w:cs="宋体"/>
          <w:b/>
          <w:bCs/>
          <w:color w:val="auto"/>
          <w:highlight w:val="none"/>
        </w:rPr>
      </w:pPr>
      <w:bookmarkStart w:id="744" w:name="_Toc25687"/>
      <w:bookmarkStart w:id="745" w:name="_Toc19049"/>
      <w:bookmarkStart w:id="746" w:name="_Toc20606"/>
      <w:bookmarkStart w:id="747" w:name="_Toc10787"/>
      <w:bookmarkStart w:id="748" w:name="_Toc16005"/>
      <w:bookmarkStart w:id="749" w:name="_Toc18561"/>
      <w:bookmarkStart w:id="750" w:name="_Toc18192"/>
      <w:bookmarkStart w:id="751" w:name="_Toc13896"/>
      <w:bookmarkStart w:id="752" w:name="_Toc6681"/>
      <w:bookmarkStart w:id="753" w:name="_Toc23405"/>
      <w:bookmarkStart w:id="754" w:name="_Toc24769"/>
      <w:bookmarkStart w:id="755" w:name="_Toc4678"/>
      <w:bookmarkStart w:id="756" w:name="_Toc2268"/>
      <w:bookmarkStart w:id="757" w:name="_Toc26376"/>
      <w:bookmarkStart w:id="758" w:name="_Toc23629"/>
      <w:bookmarkStart w:id="759" w:name="_Toc18027"/>
      <w:bookmarkStart w:id="760" w:name="_Toc24093"/>
      <w:bookmarkStart w:id="761" w:name="_Toc17851"/>
      <w:bookmarkStart w:id="762" w:name="_Toc13528"/>
      <w:bookmarkStart w:id="763" w:name="_Toc26937"/>
      <w:bookmarkStart w:id="764" w:name="_Toc11499"/>
      <w:bookmarkStart w:id="765" w:name="_Toc25369"/>
      <w:bookmarkStart w:id="766" w:name="_Toc22689"/>
      <w:bookmarkStart w:id="767" w:name="_Toc10661"/>
      <w:bookmarkStart w:id="768" w:name="_Toc12706"/>
      <w:bookmarkStart w:id="769" w:name="_Toc12737"/>
      <w:bookmarkStart w:id="770" w:name="_Toc18392"/>
      <w:bookmarkStart w:id="771" w:name="_Toc17852"/>
      <w:bookmarkStart w:id="772" w:name="_Toc7153"/>
      <w:bookmarkStart w:id="773" w:name="_Toc434"/>
      <w:bookmarkStart w:id="774" w:name="_Toc27764"/>
      <w:bookmarkStart w:id="775" w:name="_Toc9754"/>
      <w:bookmarkStart w:id="776" w:name="_Toc7869"/>
      <w:bookmarkStart w:id="777" w:name="_Toc27779"/>
      <w:bookmarkStart w:id="778" w:name="_Toc11538"/>
      <w:bookmarkStart w:id="779" w:name="_Toc317671872"/>
      <w:bookmarkStart w:id="780" w:name="_Toc8768"/>
      <w:bookmarkStart w:id="781" w:name="_Toc22538"/>
      <w:bookmarkStart w:id="782" w:name="_Toc27760"/>
      <w:bookmarkStart w:id="783" w:name="_Toc25648"/>
      <w:bookmarkStart w:id="784" w:name="_Toc15196"/>
      <w:bookmarkStart w:id="785" w:name="_Toc25353"/>
      <w:bookmarkStart w:id="786" w:name="_Toc32429"/>
      <w:bookmarkStart w:id="787" w:name="_Toc16765"/>
      <w:bookmarkStart w:id="788" w:name="_Toc21988"/>
      <w:bookmarkStart w:id="789" w:name="_Toc25138"/>
      <w:bookmarkStart w:id="790" w:name="_Toc23856"/>
      <w:bookmarkStart w:id="791" w:name="_Toc31419"/>
      <w:bookmarkStart w:id="792" w:name="_Toc4125"/>
      <w:bookmarkStart w:id="793" w:name="_Toc23253"/>
      <w:bookmarkStart w:id="794" w:name="_Toc2393"/>
      <w:bookmarkStart w:id="795" w:name="_Toc22791"/>
      <w:bookmarkStart w:id="796" w:name="_Toc17848"/>
      <w:bookmarkStart w:id="797" w:name="_Toc344208599"/>
      <w:bookmarkStart w:id="798" w:name="_Toc22407"/>
      <w:bookmarkStart w:id="799" w:name="_Toc25720"/>
      <w:bookmarkStart w:id="800" w:name="_Toc19997"/>
      <w:bookmarkStart w:id="801" w:name="_Toc16260"/>
      <w:bookmarkStart w:id="802" w:name="_Toc5861"/>
      <w:bookmarkStart w:id="803" w:name="_Toc6901"/>
      <w:bookmarkStart w:id="804" w:name="_Toc17310"/>
      <w:bookmarkStart w:id="805" w:name="_Toc24868"/>
      <w:bookmarkStart w:id="806" w:name="_Toc4470"/>
      <w:bookmarkStart w:id="807" w:name="_Toc9653"/>
      <w:bookmarkStart w:id="808" w:name="_Toc10747"/>
      <w:bookmarkStart w:id="809" w:name="_Toc599"/>
      <w:bookmarkStart w:id="810" w:name="_Toc32666"/>
      <w:bookmarkStart w:id="811" w:name="_Toc14588"/>
      <w:bookmarkStart w:id="812" w:name="_Toc22934"/>
      <w:bookmarkStart w:id="813" w:name="_Toc6732"/>
      <w:bookmarkStart w:id="814" w:name="_Toc8527"/>
      <w:bookmarkStart w:id="815" w:name="_Toc2839"/>
      <w:bookmarkStart w:id="816" w:name="_Toc16212"/>
      <w:bookmarkStart w:id="817" w:name="_Toc21158"/>
      <w:bookmarkStart w:id="818" w:name="_Toc25940"/>
      <w:bookmarkStart w:id="819" w:name="_Toc642"/>
      <w:bookmarkStart w:id="820" w:name="_Toc7475"/>
      <w:bookmarkStart w:id="821" w:name="_Toc32546"/>
      <w:bookmarkStart w:id="822" w:name="_Toc6078"/>
      <w:bookmarkStart w:id="823" w:name="_Toc13104"/>
      <w:bookmarkStart w:id="824" w:name="_Toc11262"/>
      <w:bookmarkStart w:id="825" w:name="_Toc32485"/>
      <w:bookmarkStart w:id="826" w:name="_Toc15322"/>
      <w:bookmarkStart w:id="827" w:name="_Toc4752"/>
      <w:bookmarkStart w:id="828" w:name="_Toc11090"/>
      <w:bookmarkStart w:id="829" w:name="_Toc27554"/>
      <w:bookmarkStart w:id="830" w:name="_Toc18789"/>
      <w:bookmarkStart w:id="831" w:name="_Toc150404637"/>
      <w:bookmarkStart w:id="832" w:name="_Toc7653"/>
      <w:r>
        <w:rPr>
          <w:rFonts w:hint="eastAsia" w:ascii="宋体" w:hAnsi="宋体" w:eastAsia="宋体" w:cs="宋体"/>
          <w:b/>
          <w:bCs/>
          <w:color w:val="auto"/>
          <w:highlight w:val="none"/>
        </w:rPr>
        <w:t>一、总 则</w:t>
      </w:r>
      <w:bookmarkEnd w:id="744"/>
      <w:bookmarkEnd w:id="745"/>
      <w:bookmarkEnd w:id="746"/>
      <w:bookmarkEnd w:id="747"/>
      <w:bookmarkEnd w:id="748"/>
      <w:bookmarkEnd w:id="749"/>
      <w:bookmarkEnd w:id="750"/>
      <w:bookmarkEnd w:id="751"/>
      <w:bookmarkEnd w:id="752"/>
      <w:bookmarkEnd w:id="753"/>
      <w:bookmarkEnd w:id="754"/>
      <w:bookmarkEnd w:id="755"/>
    </w:p>
    <w:p w14:paraId="1615668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1.为公正、公平、科学地选择</w:t>
      </w:r>
      <w:r>
        <w:rPr>
          <w:rFonts w:hint="eastAsia" w:ascii="宋体" w:hAnsi="宋体" w:cs="宋体"/>
          <w:color w:val="auto"/>
          <w:highlight w:val="none"/>
          <w:lang w:eastAsia="zh-CN"/>
        </w:rPr>
        <w:t>中标人</w:t>
      </w:r>
      <w:r>
        <w:rPr>
          <w:rFonts w:hint="eastAsia" w:ascii="宋体" w:hAnsi="宋体" w:eastAsia="宋体" w:cs="宋体"/>
          <w:color w:val="auto"/>
          <w:highlight w:val="none"/>
        </w:rPr>
        <w:t>，参照《中华人民共和国政府采购法》《中华人民共和国政府采购法实施条例》以及政府采购有关规定，并结合本项目的实际情况，制定本办法。</w:t>
      </w:r>
    </w:p>
    <w:p w14:paraId="6E9B8AD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2.评标工作由采购组织机构负责组织，具体评标事务由评标委员会负责。</w:t>
      </w:r>
    </w:p>
    <w:p w14:paraId="332A22A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3.评标委员会评价投标文件的响应性，对于</w:t>
      </w:r>
      <w:r>
        <w:rPr>
          <w:rFonts w:hint="eastAsia" w:ascii="宋体" w:hAnsi="宋体" w:cs="宋体"/>
          <w:color w:val="auto"/>
          <w:highlight w:val="none"/>
          <w:lang w:eastAsia="zh-CN"/>
        </w:rPr>
        <w:t>投标人</w:t>
      </w:r>
      <w:r>
        <w:rPr>
          <w:rFonts w:hint="eastAsia" w:ascii="宋体" w:hAnsi="宋体" w:eastAsia="宋体" w:cs="宋体"/>
          <w:color w:val="auto"/>
          <w:highlight w:val="none"/>
        </w:rPr>
        <w:t>而言，除评标委员会要求其澄清、说明或者更正而提供的资料外，仅依据投标文件本身的内容，不寻求其他外部证据。如</w:t>
      </w:r>
      <w:r>
        <w:rPr>
          <w:rFonts w:hint="eastAsia" w:ascii="宋体" w:hAnsi="宋体" w:cs="宋体"/>
          <w:color w:val="auto"/>
          <w:highlight w:val="none"/>
          <w:lang w:eastAsia="zh-CN"/>
        </w:rPr>
        <w:t>投标人</w:t>
      </w:r>
      <w:r>
        <w:rPr>
          <w:rFonts w:hint="eastAsia" w:ascii="宋体" w:hAnsi="宋体" w:eastAsia="宋体" w:cs="宋体"/>
          <w:color w:val="auto"/>
          <w:highlight w:val="none"/>
        </w:rPr>
        <w:t>提交的资质证明或其他内容不齐全，由此造成的后果由</w:t>
      </w:r>
      <w:r>
        <w:rPr>
          <w:rFonts w:hint="eastAsia" w:ascii="宋体" w:hAnsi="宋体" w:cs="宋体"/>
          <w:color w:val="auto"/>
          <w:highlight w:val="none"/>
          <w:lang w:eastAsia="zh-CN"/>
        </w:rPr>
        <w:t>投标人</w:t>
      </w:r>
      <w:r>
        <w:rPr>
          <w:rFonts w:hint="eastAsia" w:ascii="宋体" w:hAnsi="宋体" w:eastAsia="宋体" w:cs="宋体"/>
          <w:color w:val="auto"/>
          <w:highlight w:val="none"/>
        </w:rPr>
        <w:t>自己负责。</w:t>
      </w:r>
    </w:p>
    <w:p w14:paraId="42C1FBBD">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4.本项目评标采用不公开方式进行，评标过程独立、保密。</w:t>
      </w:r>
      <w:r>
        <w:rPr>
          <w:rFonts w:hint="eastAsia" w:ascii="宋体" w:hAnsi="宋体" w:cs="宋体"/>
          <w:color w:val="auto"/>
          <w:highlight w:val="none"/>
          <w:lang w:eastAsia="zh-CN"/>
        </w:rPr>
        <w:t>投标人</w:t>
      </w:r>
      <w:r>
        <w:rPr>
          <w:rFonts w:hint="eastAsia" w:ascii="宋体" w:hAnsi="宋体" w:eastAsia="宋体" w:cs="宋体"/>
          <w:color w:val="auto"/>
          <w:highlight w:val="none"/>
        </w:rPr>
        <w:t>非法干预评标过程的行为将导致其投标文件作为无效处理。</w:t>
      </w:r>
    </w:p>
    <w:p w14:paraId="0685C11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5.本项目评标采用不公开方式进行。</w:t>
      </w:r>
    </w:p>
    <w:p w14:paraId="7C8D05E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6.本项目评审采用综合评分法。</w:t>
      </w:r>
    </w:p>
    <w:p w14:paraId="0852A0B7">
      <w:pPr>
        <w:widowControl/>
        <w:shd w:val="clear"/>
        <w:spacing w:line="312" w:lineRule="auto"/>
        <w:ind w:firstLine="482"/>
        <w:outlineLvl w:val="1"/>
        <w:rPr>
          <w:rFonts w:hint="eastAsia" w:ascii="宋体" w:hAnsi="宋体" w:eastAsia="宋体" w:cs="宋体"/>
          <w:b/>
          <w:bCs/>
          <w:color w:val="auto"/>
          <w:highlight w:val="none"/>
        </w:rPr>
      </w:pPr>
      <w:bookmarkStart w:id="833" w:name="_Toc27915"/>
      <w:bookmarkStart w:id="834" w:name="_Toc2845"/>
      <w:bookmarkStart w:id="835" w:name="_Toc21394"/>
      <w:bookmarkStart w:id="836" w:name="_Toc18973"/>
      <w:bookmarkStart w:id="837" w:name="_Toc6888"/>
      <w:bookmarkStart w:id="838" w:name="_Toc11305"/>
      <w:bookmarkStart w:id="839" w:name="_Toc16072"/>
      <w:bookmarkStart w:id="840" w:name="_Toc30301"/>
      <w:bookmarkStart w:id="841" w:name="_Toc32218"/>
      <w:bookmarkStart w:id="842" w:name="_Toc10564"/>
      <w:bookmarkStart w:id="843" w:name="_Toc16025"/>
      <w:bookmarkStart w:id="844" w:name="_Toc7240"/>
      <w:bookmarkStart w:id="845" w:name="_Toc14481"/>
      <w:r>
        <w:rPr>
          <w:rFonts w:hint="eastAsia" w:ascii="宋体" w:hAnsi="宋体" w:eastAsia="宋体" w:cs="宋体"/>
          <w:b/>
          <w:bCs/>
          <w:color w:val="auto"/>
          <w:highlight w:val="none"/>
        </w:rPr>
        <w:t>二、组建评标委员会</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08706B2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1.采购人将根据相关规定和采购项目的特点由采购人和技术、经济等方面专家组成评标委员会，评标委员会成员人数见</w:t>
      </w:r>
      <w:r>
        <w:rPr>
          <w:rFonts w:hint="eastAsia" w:ascii="宋体" w:hAnsi="宋体" w:cs="宋体"/>
          <w:color w:val="auto"/>
          <w:highlight w:val="none"/>
          <w:lang w:eastAsia="zh-CN"/>
        </w:rPr>
        <w:t>投标人</w:t>
      </w:r>
      <w:r>
        <w:rPr>
          <w:rFonts w:hint="eastAsia" w:ascii="宋体" w:hAnsi="宋体" w:eastAsia="宋体" w:cs="宋体"/>
          <w:color w:val="auto"/>
          <w:highlight w:val="none"/>
        </w:rPr>
        <w:t>须知前附表。</w:t>
      </w:r>
    </w:p>
    <w:p w14:paraId="3D0D2B2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2.除依法组建的评标委员会成员以外，其他任何人不得参加或者替代评审。</w:t>
      </w:r>
    </w:p>
    <w:p w14:paraId="60736126">
      <w:pPr>
        <w:widowControl/>
        <w:shd w:val="clear"/>
        <w:spacing w:line="312" w:lineRule="auto"/>
        <w:ind w:firstLine="482"/>
        <w:outlineLvl w:val="1"/>
        <w:rPr>
          <w:rFonts w:hint="eastAsia" w:ascii="宋体" w:hAnsi="宋体" w:eastAsia="宋体" w:cs="宋体"/>
          <w:b/>
          <w:bCs/>
          <w:color w:val="auto"/>
          <w:highlight w:val="none"/>
        </w:rPr>
      </w:pPr>
      <w:bookmarkStart w:id="846" w:name="_Toc6178"/>
      <w:bookmarkStart w:id="847" w:name="_Toc32382"/>
      <w:bookmarkStart w:id="848" w:name="_Toc14557"/>
      <w:bookmarkStart w:id="849" w:name="_Toc32495"/>
      <w:bookmarkStart w:id="850" w:name="_Toc11552"/>
      <w:bookmarkStart w:id="851" w:name="_Toc28668"/>
      <w:bookmarkStart w:id="852" w:name="_Toc22938"/>
      <w:bookmarkStart w:id="853" w:name="_Toc14489"/>
      <w:bookmarkStart w:id="854" w:name="_Toc11485"/>
      <w:bookmarkStart w:id="855" w:name="_Toc435"/>
      <w:bookmarkStart w:id="856" w:name="_Toc9591"/>
      <w:bookmarkStart w:id="857" w:name="_Toc26976"/>
      <w:bookmarkStart w:id="858" w:name="_Toc26856"/>
      <w:r>
        <w:rPr>
          <w:rFonts w:hint="eastAsia" w:ascii="宋体" w:hAnsi="宋体" w:eastAsia="宋体" w:cs="宋体"/>
          <w:b/>
          <w:bCs/>
          <w:color w:val="auto"/>
          <w:highlight w:val="none"/>
        </w:rPr>
        <w:t>三、评标原则</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1B2271A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1.公正、客观、审慎的原则。</w:t>
      </w:r>
    </w:p>
    <w:p w14:paraId="1BB6215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2.严格保密原则。评标委员会及有关工作人员不得私下与</w:t>
      </w:r>
      <w:r>
        <w:rPr>
          <w:rFonts w:hint="eastAsia" w:ascii="宋体" w:hAnsi="宋体" w:cs="宋体"/>
          <w:color w:val="auto"/>
          <w:highlight w:val="none"/>
          <w:lang w:eastAsia="zh-CN"/>
        </w:rPr>
        <w:t>投标人</w:t>
      </w:r>
      <w:r>
        <w:rPr>
          <w:rFonts w:hint="eastAsia" w:ascii="宋体" w:hAnsi="宋体" w:eastAsia="宋体" w:cs="宋体"/>
          <w:color w:val="auto"/>
          <w:highlight w:val="none"/>
        </w:rPr>
        <w:t>接触。采购人或采购组织机构对评审结果不作任何说明和解释，也不回答任何提问。</w:t>
      </w:r>
    </w:p>
    <w:p w14:paraId="3D4D71A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3.独立评审原则。任何单位和个人不得干扰、影响评审的正常进行。</w:t>
      </w:r>
    </w:p>
    <w:p w14:paraId="7AF94A8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4.严格遵守评标方法。根据采购文件规定的评审程序、评审方法进行评审，不带任何倾向性和启发性。</w:t>
      </w:r>
    </w:p>
    <w:p w14:paraId="3EC0793A">
      <w:pPr>
        <w:widowControl/>
        <w:shd w:val="clear"/>
        <w:spacing w:line="312" w:lineRule="auto"/>
        <w:ind w:firstLine="482"/>
        <w:outlineLvl w:val="1"/>
        <w:rPr>
          <w:rFonts w:hint="eastAsia" w:ascii="宋体" w:hAnsi="宋体" w:eastAsia="宋体" w:cs="宋体"/>
          <w:b/>
          <w:bCs/>
          <w:color w:val="auto"/>
          <w:highlight w:val="none"/>
        </w:rPr>
      </w:pPr>
      <w:bookmarkStart w:id="859" w:name="_Toc4890"/>
      <w:bookmarkStart w:id="860" w:name="_Toc21797"/>
      <w:bookmarkStart w:id="861" w:name="_Toc10524"/>
      <w:bookmarkStart w:id="862" w:name="_Toc11868"/>
      <w:bookmarkStart w:id="863" w:name="_Toc3166"/>
      <w:bookmarkStart w:id="864" w:name="_Toc3494"/>
      <w:bookmarkStart w:id="865" w:name="_Toc12137"/>
      <w:bookmarkStart w:id="866" w:name="_Toc27983"/>
      <w:bookmarkStart w:id="867" w:name="_Toc29039"/>
      <w:bookmarkStart w:id="868" w:name="_Toc27639"/>
      <w:bookmarkStart w:id="869" w:name="_Toc1774"/>
      <w:bookmarkStart w:id="870" w:name="_Toc19314"/>
      <w:bookmarkStart w:id="871" w:name="_Toc32118"/>
      <w:r>
        <w:rPr>
          <w:rFonts w:hint="eastAsia" w:ascii="宋体" w:hAnsi="宋体" w:eastAsia="宋体" w:cs="宋体"/>
          <w:b/>
          <w:bCs/>
          <w:color w:val="auto"/>
          <w:highlight w:val="none"/>
        </w:rPr>
        <w:t>四、评标委员会履行下列职责</w:t>
      </w:r>
      <w:bookmarkEnd w:id="859"/>
      <w:bookmarkEnd w:id="860"/>
      <w:bookmarkEnd w:id="861"/>
      <w:bookmarkEnd w:id="862"/>
      <w:bookmarkEnd w:id="863"/>
      <w:bookmarkEnd w:id="864"/>
      <w:bookmarkEnd w:id="865"/>
      <w:bookmarkEnd w:id="866"/>
      <w:bookmarkEnd w:id="867"/>
      <w:bookmarkEnd w:id="868"/>
      <w:bookmarkEnd w:id="869"/>
      <w:bookmarkEnd w:id="870"/>
      <w:bookmarkEnd w:id="871"/>
    </w:p>
    <w:p w14:paraId="1442027D">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1.熟悉和理解招标文件；</w:t>
      </w:r>
    </w:p>
    <w:p w14:paraId="7A091BB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2.审查</w:t>
      </w:r>
      <w:r>
        <w:rPr>
          <w:rFonts w:hint="eastAsia" w:ascii="宋体" w:hAnsi="宋体" w:cs="宋体"/>
          <w:color w:val="auto"/>
          <w:highlight w:val="none"/>
          <w:lang w:eastAsia="zh-CN"/>
        </w:rPr>
        <w:t>投标人</w:t>
      </w:r>
      <w:r>
        <w:rPr>
          <w:rFonts w:hint="eastAsia" w:ascii="宋体" w:hAnsi="宋体" w:eastAsia="宋体" w:cs="宋体"/>
          <w:color w:val="auto"/>
          <w:highlight w:val="none"/>
        </w:rPr>
        <w:t>投标文件等是否满足招标文件要求，并作出评价；</w:t>
      </w:r>
    </w:p>
    <w:p w14:paraId="2957793C">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3.根据需要要求采购人对招标文件作出解释；根据需要要求</w:t>
      </w:r>
      <w:r>
        <w:rPr>
          <w:rFonts w:hint="eastAsia" w:ascii="宋体" w:hAnsi="宋体" w:cs="宋体"/>
          <w:color w:val="auto"/>
          <w:highlight w:val="none"/>
          <w:lang w:eastAsia="zh-CN"/>
        </w:rPr>
        <w:t>投标人</w:t>
      </w:r>
      <w:r>
        <w:rPr>
          <w:rFonts w:hint="eastAsia" w:ascii="宋体" w:hAnsi="宋体" w:eastAsia="宋体" w:cs="宋体"/>
          <w:color w:val="auto"/>
          <w:highlight w:val="none"/>
        </w:rPr>
        <w:t>对投标文件有关事项作出澄清、说明或者更正；</w:t>
      </w:r>
    </w:p>
    <w:p w14:paraId="580FC53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4.推荐中标候选人，或者受采购人委托确定</w:t>
      </w:r>
      <w:r>
        <w:rPr>
          <w:rFonts w:hint="eastAsia" w:ascii="宋体" w:hAnsi="宋体" w:cs="宋体"/>
          <w:color w:val="auto"/>
          <w:highlight w:val="none"/>
          <w:lang w:eastAsia="zh-CN"/>
        </w:rPr>
        <w:t>中标人</w:t>
      </w:r>
      <w:r>
        <w:rPr>
          <w:rFonts w:hint="eastAsia" w:ascii="宋体" w:hAnsi="宋体" w:eastAsia="宋体" w:cs="宋体"/>
          <w:color w:val="auto"/>
          <w:highlight w:val="none"/>
        </w:rPr>
        <w:t>；</w:t>
      </w:r>
    </w:p>
    <w:p w14:paraId="25A0E0C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5.起草评标报告并进行签署；</w:t>
      </w:r>
    </w:p>
    <w:p w14:paraId="435A238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6.向采购人、监督部门报告非法干预评标工作的行为；</w:t>
      </w:r>
    </w:p>
    <w:p w14:paraId="3C9FE7E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法律法规</w:t>
      </w:r>
      <w:r>
        <w:rPr>
          <w:rFonts w:hint="eastAsia" w:ascii="宋体" w:hAnsi="宋体" w:eastAsia="宋体" w:cs="宋体"/>
          <w:color w:val="auto"/>
          <w:highlight w:val="none"/>
        </w:rPr>
        <w:t>和规章规定的其他职责。</w:t>
      </w:r>
    </w:p>
    <w:p w14:paraId="6E0EA852">
      <w:pPr>
        <w:widowControl/>
        <w:shd w:val="clear"/>
        <w:spacing w:line="312" w:lineRule="auto"/>
        <w:ind w:firstLine="482"/>
        <w:outlineLvl w:val="1"/>
        <w:rPr>
          <w:rFonts w:hint="eastAsia" w:ascii="宋体" w:hAnsi="宋体" w:eastAsia="宋体" w:cs="宋体"/>
          <w:b/>
          <w:bCs/>
          <w:color w:val="auto"/>
          <w:highlight w:val="none"/>
        </w:rPr>
      </w:pPr>
      <w:bookmarkStart w:id="872" w:name="_Toc6044"/>
      <w:bookmarkStart w:id="873" w:name="_Toc23156"/>
      <w:bookmarkStart w:id="874" w:name="_Toc26645"/>
      <w:bookmarkStart w:id="875" w:name="_Toc25544"/>
      <w:bookmarkStart w:id="876" w:name="_Toc22119"/>
      <w:bookmarkStart w:id="877" w:name="_Toc11071"/>
      <w:bookmarkStart w:id="878" w:name="_Toc2770"/>
      <w:bookmarkStart w:id="879" w:name="_Toc6486"/>
      <w:bookmarkStart w:id="880" w:name="_Toc29136"/>
      <w:bookmarkStart w:id="881" w:name="_Toc8164"/>
      <w:bookmarkStart w:id="882" w:name="_Toc24565"/>
      <w:bookmarkStart w:id="883" w:name="_Toc20990"/>
      <w:bookmarkStart w:id="884" w:name="_Toc7255"/>
      <w:r>
        <w:rPr>
          <w:rFonts w:hint="eastAsia" w:ascii="宋体" w:hAnsi="宋体" w:eastAsia="宋体" w:cs="宋体"/>
          <w:b/>
          <w:bCs/>
          <w:color w:val="auto"/>
          <w:highlight w:val="none"/>
        </w:rPr>
        <w:t>五、评标工作纪律</w:t>
      </w:r>
      <w:bookmarkEnd w:id="872"/>
      <w:bookmarkEnd w:id="873"/>
      <w:bookmarkEnd w:id="874"/>
      <w:bookmarkEnd w:id="875"/>
      <w:bookmarkEnd w:id="876"/>
      <w:bookmarkEnd w:id="877"/>
      <w:bookmarkEnd w:id="878"/>
      <w:bookmarkEnd w:id="879"/>
      <w:bookmarkEnd w:id="880"/>
      <w:bookmarkEnd w:id="881"/>
      <w:bookmarkEnd w:id="882"/>
      <w:bookmarkEnd w:id="883"/>
      <w:bookmarkEnd w:id="884"/>
    </w:p>
    <w:p w14:paraId="65BC7F2D">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评标委员会成员要严格遵守评标纪律、保密、回避等相关规定，依法独立履行评标职责，客观、公正、审慎参与评标工作；</w:t>
      </w:r>
    </w:p>
    <w:p w14:paraId="649BDB5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1.严格遵守评标时间，因突发情况确实不能按时参加评标的，应事先告知招标组织机构；</w:t>
      </w:r>
    </w:p>
    <w:p w14:paraId="143BD57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2.服从招标组织机构的现场管理，主动出示身份证明，进入评标区域后应主动寄存移动通讯工具；</w:t>
      </w:r>
    </w:p>
    <w:p w14:paraId="3FF4760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3.与</w:t>
      </w:r>
      <w:r>
        <w:rPr>
          <w:rFonts w:hint="eastAsia" w:ascii="宋体" w:hAnsi="宋体" w:cs="宋体"/>
          <w:color w:val="auto"/>
          <w:highlight w:val="none"/>
          <w:lang w:eastAsia="zh-CN"/>
        </w:rPr>
        <w:t>投标人</w:t>
      </w:r>
      <w:r>
        <w:rPr>
          <w:rFonts w:hint="eastAsia" w:ascii="宋体" w:hAnsi="宋体" w:eastAsia="宋体" w:cs="宋体"/>
          <w:color w:val="auto"/>
          <w:highlight w:val="none"/>
        </w:rPr>
        <w:t>或评标委员会其他成员存在利害关系的，要主动回避，自觉签订《国企采购评审人员廉洁自律承诺书》；</w:t>
      </w:r>
    </w:p>
    <w:p w14:paraId="3BEB080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709D0CCB">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5.自觉遵守职业道德，尊重采购人代表和</w:t>
      </w:r>
      <w:r>
        <w:rPr>
          <w:rFonts w:hint="eastAsia" w:ascii="宋体" w:hAnsi="宋体" w:cs="宋体"/>
          <w:color w:val="auto"/>
          <w:highlight w:val="none"/>
          <w:lang w:eastAsia="zh-CN"/>
        </w:rPr>
        <w:t>投标人</w:t>
      </w:r>
      <w:r>
        <w:rPr>
          <w:rFonts w:hint="eastAsia" w:ascii="宋体" w:hAnsi="宋体" w:eastAsia="宋体" w:cs="宋体"/>
          <w:color w:val="auto"/>
          <w:highlight w:val="none"/>
        </w:rPr>
        <w:t>代表，配合招标组织机构回答</w:t>
      </w:r>
      <w:r>
        <w:rPr>
          <w:rFonts w:hint="eastAsia" w:ascii="宋体" w:hAnsi="宋体" w:cs="宋体"/>
          <w:color w:val="auto"/>
          <w:highlight w:val="none"/>
          <w:lang w:eastAsia="zh-CN"/>
        </w:rPr>
        <w:t>投标人</w:t>
      </w:r>
      <w:r>
        <w:rPr>
          <w:rFonts w:hint="eastAsia" w:ascii="宋体" w:hAnsi="宋体" w:eastAsia="宋体" w:cs="宋体"/>
          <w:color w:val="auto"/>
          <w:highlight w:val="none"/>
        </w:rPr>
        <w:t>代表提出的有关异议；</w:t>
      </w:r>
    </w:p>
    <w:p w14:paraId="10A8B64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6.不得将评标过程、结果和</w:t>
      </w:r>
      <w:r>
        <w:rPr>
          <w:rFonts w:hint="eastAsia" w:ascii="宋体" w:hAnsi="宋体" w:cs="宋体"/>
          <w:color w:val="auto"/>
          <w:highlight w:val="none"/>
          <w:lang w:eastAsia="zh-CN"/>
        </w:rPr>
        <w:t>投标人</w:t>
      </w:r>
      <w:r>
        <w:rPr>
          <w:rFonts w:hint="eastAsia" w:ascii="宋体" w:hAnsi="宋体" w:eastAsia="宋体" w:cs="宋体"/>
          <w:color w:val="auto"/>
          <w:highlight w:val="none"/>
        </w:rPr>
        <w:t>的商业秘密透露给任何单位和个人。未公告评标结果前不准泄露评标结果，不准将评标资料带出会场；</w:t>
      </w:r>
    </w:p>
    <w:p w14:paraId="464B7BB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7.评标过程中，</w:t>
      </w:r>
      <w:r>
        <w:rPr>
          <w:rFonts w:hint="eastAsia" w:ascii="宋体" w:hAnsi="宋体" w:eastAsia="宋体" w:cs="宋体"/>
          <w:color w:val="auto"/>
          <w:highlight w:val="none"/>
          <w:lang w:eastAsia="zh-CN"/>
        </w:rPr>
        <w:t>涉及相关</w:t>
      </w:r>
      <w:r>
        <w:rPr>
          <w:rFonts w:hint="eastAsia" w:ascii="宋体" w:hAnsi="宋体" w:eastAsia="宋体" w:cs="宋体"/>
          <w:color w:val="auto"/>
          <w:highlight w:val="none"/>
        </w:rPr>
        <w:t>法律法规不清楚之处的，由采购监管部门或请示权威部门作出法定解释，</w:t>
      </w:r>
      <w:r>
        <w:rPr>
          <w:rFonts w:hint="eastAsia" w:ascii="宋体" w:hAnsi="宋体" w:eastAsia="宋体" w:cs="宋体"/>
          <w:color w:val="auto"/>
          <w:highlight w:val="none"/>
          <w:lang w:eastAsia="zh-CN"/>
        </w:rPr>
        <w:t>涉及</w:t>
      </w:r>
      <w:r>
        <w:rPr>
          <w:rFonts w:hint="eastAsia" w:ascii="宋体" w:hAnsi="宋体" w:eastAsia="宋体" w:cs="宋体"/>
          <w:color w:val="auto"/>
          <w:highlight w:val="none"/>
        </w:rPr>
        <w:t>招标文件的由采购人和采购代理机构负责解释。</w:t>
      </w:r>
    </w:p>
    <w:p w14:paraId="5F88CBEE">
      <w:pPr>
        <w:widowControl/>
        <w:shd w:val="clear"/>
        <w:spacing w:line="312" w:lineRule="auto"/>
        <w:ind w:firstLine="482"/>
        <w:outlineLvl w:val="1"/>
        <w:rPr>
          <w:rFonts w:hint="eastAsia" w:ascii="宋体" w:hAnsi="宋体" w:eastAsia="宋体" w:cs="宋体"/>
          <w:b/>
          <w:bCs/>
          <w:color w:val="auto"/>
          <w:highlight w:val="none"/>
        </w:rPr>
      </w:pPr>
      <w:bookmarkStart w:id="885" w:name="_Toc28348"/>
      <w:bookmarkStart w:id="886" w:name="_Toc1409"/>
      <w:bookmarkStart w:id="887" w:name="_Toc24507"/>
      <w:bookmarkStart w:id="888" w:name="_Toc21047"/>
      <w:bookmarkStart w:id="889" w:name="_Toc5264"/>
      <w:bookmarkStart w:id="890" w:name="_Toc4430"/>
      <w:bookmarkStart w:id="891" w:name="_Toc13291"/>
      <w:bookmarkStart w:id="892" w:name="_Toc28642"/>
      <w:bookmarkStart w:id="893" w:name="_Toc20282"/>
      <w:bookmarkStart w:id="894" w:name="_Toc19074"/>
      <w:bookmarkStart w:id="895" w:name="_Toc32561"/>
      <w:bookmarkStart w:id="896" w:name="_Toc19330"/>
      <w:bookmarkStart w:id="897" w:name="_Toc274"/>
      <w:r>
        <w:rPr>
          <w:rFonts w:hint="eastAsia" w:ascii="宋体" w:hAnsi="宋体" w:eastAsia="宋体" w:cs="宋体"/>
          <w:b/>
          <w:bCs/>
          <w:color w:val="auto"/>
          <w:highlight w:val="none"/>
        </w:rPr>
        <w:t>六、评标程序</w:t>
      </w:r>
      <w:bookmarkEnd w:id="885"/>
      <w:bookmarkEnd w:id="886"/>
      <w:bookmarkEnd w:id="887"/>
      <w:bookmarkEnd w:id="888"/>
      <w:bookmarkEnd w:id="889"/>
      <w:bookmarkEnd w:id="890"/>
      <w:bookmarkEnd w:id="891"/>
      <w:bookmarkEnd w:id="892"/>
      <w:bookmarkEnd w:id="893"/>
      <w:bookmarkEnd w:id="894"/>
      <w:bookmarkEnd w:id="895"/>
      <w:bookmarkEnd w:id="896"/>
      <w:bookmarkEnd w:id="897"/>
    </w:p>
    <w:p w14:paraId="7E27E21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1.推选评标委员会组长，优先资深专家担任组长，采购人代表不得担任组长。</w:t>
      </w:r>
    </w:p>
    <w:p w14:paraId="661B110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2.评标委员会正式评审前，应当对采购文件进行熟悉和理解，内容主要包括采购文件中</w:t>
      </w:r>
      <w:r>
        <w:rPr>
          <w:rFonts w:hint="eastAsia" w:ascii="宋体" w:hAnsi="宋体" w:cs="宋体"/>
          <w:color w:val="auto"/>
          <w:highlight w:val="none"/>
          <w:lang w:eastAsia="zh-CN"/>
        </w:rPr>
        <w:t>投标人</w:t>
      </w:r>
      <w:r>
        <w:rPr>
          <w:rFonts w:hint="eastAsia" w:ascii="宋体" w:hAnsi="宋体" w:eastAsia="宋体" w:cs="宋体"/>
          <w:color w:val="auto"/>
          <w:highlight w:val="none"/>
        </w:rPr>
        <w:t>资格</w:t>
      </w:r>
      <w:r>
        <w:rPr>
          <w:rFonts w:hint="eastAsia" w:ascii="宋体" w:hAnsi="宋体" w:eastAsia="宋体" w:cs="宋体"/>
          <w:color w:val="auto"/>
          <w:highlight w:val="none"/>
          <w:lang w:eastAsia="zh-CN"/>
        </w:rPr>
        <w:t>资质</w:t>
      </w:r>
      <w:r>
        <w:rPr>
          <w:rFonts w:hint="eastAsia" w:ascii="宋体" w:hAnsi="宋体" w:eastAsia="宋体" w:cs="宋体"/>
          <w:color w:val="auto"/>
          <w:highlight w:val="none"/>
        </w:rPr>
        <w:t>要求、采购项目技术、服务和商务要求、评审方法以及可能涉及签订采购合同的内容等。</w:t>
      </w:r>
    </w:p>
    <w:p w14:paraId="01F260A3">
      <w:pPr>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3.评标程序：资格性审查→符合性审查→资信技术评审→报价评审→得分汇总→编写评审报告。</w:t>
      </w:r>
    </w:p>
    <w:p w14:paraId="4523D41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4.资格性审查</w:t>
      </w:r>
    </w:p>
    <w:p w14:paraId="3E35408E">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4.1.评标委员会应依据法律法规和本招标文件的规定对</w:t>
      </w:r>
      <w:r>
        <w:rPr>
          <w:rFonts w:hint="eastAsia" w:ascii="宋体" w:hAnsi="宋体" w:cs="宋体"/>
          <w:color w:val="auto"/>
          <w:highlight w:val="none"/>
          <w:lang w:eastAsia="zh-CN"/>
        </w:rPr>
        <w:t>投标人</w:t>
      </w:r>
      <w:r>
        <w:rPr>
          <w:rFonts w:hint="eastAsia" w:ascii="宋体" w:hAnsi="宋体" w:eastAsia="宋体" w:cs="宋体"/>
          <w:color w:val="auto"/>
          <w:highlight w:val="none"/>
        </w:rPr>
        <w:t>资格进行审查。审查内容包</w:t>
      </w:r>
    </w:p>
    <w:p w14:paraId="0F95B79E">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括：</w:t>
      </w:r>
    </w:p>
    <w:p w14:paraId="4C7598A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(1)是否属于禁止参加投标的</w:t>
      </w:r>
      <w:r>
        <w:rPr>
          <w:rFonts w:hint="eastAsia" w:ascii="宋体" w:hAnsi="宋体" w:cs="宋体"/>
          <w:color w:val="auto"/>
          <w:highlight w:val="none"/>
          <w:lang w:eastAsia="zh-CN"/>
        </w:rPr>
        <w:t>投标人</w:t>
      </w:r>
      <w:r>
        <w:rPr>
          <w:rFonts w:hint="eastAsia" w:ascii="宋体" w:hAnsi="宋体" w:eastAsia="宋体" w:cs="宋体"/>
          <w:color w:val="auto"/>
          <w:highlight w:val="none"/>
        </w:rPr>
        <w:t>；</w:t>
      </w:r>
    </w:p>
    <w:p w14:paraId="1F1D0ED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(2)是否按照规定要求提供资格性证明材料；</w:t>
      </w:r>
    </w:p>
    <w:p w14:paraId="1E120C1C">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(3)法律法规规定的其他资格条件。</w:t>
      </w:r>
    </w:p>
    <w:p w14:paraId="60C9405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4.2.经资格审查不符合招标文件要求的投标文件，即终止其参与投标资格。不符合的理由由</w:t>
      </w:r>
      <w:r>
        <w:rPr>
          <w:rFonts w:hint="eastAsia" w:ascii="宋体" w:hAnsi="宋体" w:cs="宋体"/>
          <w:color w:val="auto"/>
          <w:highlight w:val="none"/>
          <w:lang w:eastAsia="zh-CN"/>
        </w:rPr>
        <w:t>投标人</w:t>
      </w:r>
      <w:r>
        <w:rPr>
          <w:rFonts w:hint="eastAsia" w:ascii="宋体" w:hAnsi="宋体" w:eastAsia="宋体" w:cs="宋体"/>
          <w:color w:val="auto"/>
          <w:highlight w:val="none"/>
        </w:rPr>
        <w:t>在系统里确认，</w:t>
      </w:r>
      <w:r>
        <w:rPr>
          <w:rFonts w:hint="eastAsia" w:ascii="宋体" w:hAnsi="宋体" w:cs="宋体"/>
          <w:color w:val="auto"/>
          <w:highlight w:val="none"/>
          <w:lang w:eastAsia="zh-CN"/>
        </w:rPr>
        <w:t>投标人</w:t>
      </w:r>
      <w:r>
        <w:rPr>
          <w:rFonts w:hint="eastAsia" w:ascii="宋体" w:hAnsi="宋体" w:eastAsia="宋体" w:cs="宋体"/>
          <w:color w:val="auto"/>
          <w:highlight w:val="none"/>
        </w:rPr>
        <w:t>拒绝确认的不影响评标委员会作出的不合格裁定。</w:t>
      </w:r>
    </w:p>
    <w:p w14:paraId="47DBC77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5.符合性审查</w:t>
      </w:r>
    </w:p>
    <w:p w14:paraId="374897F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5.1.评标委员会根据本招标文件的规定，对资格符合</w:t>
      </w:r>
      <w:r>
        <w:rPr>
          <w:rFonts w:hint="eastAsia" w:ascii="宋体" w:hAnsi="宋体" w:cs="宋体"/>
          <w:color w:val="auto"/>
          <w:highlight w:val="none"/>
          <w:lang w:eastAsia="zh-CN"/>
        </w:rPr>
        <w:t>投标人</w:t>
      </w:r>
      <w:r>
        <w:rPr>
          <w:rFonts w:hint="eastAsia" w:ascii="宋体" w:hAnsi="宋体" w:eastAsia="宋体" w:cs="宋体"/>
          <w:color w:val="auto"/>
          <w:highlight w:val="none"/>
        </w:rPr>
        <w:t>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2814D24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未实质性响应的理由由</w:t>
      </w:r>
      <w:r>
        <w:rPr>
          <w:rFonts w:hint="eastAsia" w:ascii="宋体" w:hAnsi="宋体" w:cs="宋体"/>
          <w:color w:val="auto"/>
          <w:highlight w:val="none"/>
          <w:lang w:eastAsia="zh-CN"/>
        </w:rPr>
        <w:t>投标人</w:t>
      </w:r>
      <w:r>
        <w:rPr>
          <w:rFonts w:hint="eastAsia" w:ascii="宋体" w:hAnsi="宋体" w:eastAsia="宋体" w:cs="宋体"/>
          <w:color w:val="auto"/>
          <w:highlight w:val="none"/>
        </w:rPr>
        <w:t>在系统里确认。</w:t>
      </w:r>
      <w:r>
        <w:rPr>
          <w:rFonts w:hint="eastAsia" w:ascii="宋体" w:hAnsi="宋体" w:cs="宋体"/>
          <w:color w:val="auto"/>
          <w:highlight w:val="none"/>
          <w:lang w:eastAsia="zh-CN"/>
        </w:rPr>
        <w:t>投标人</w:t>
      </w:r>
      <w:r>
        <w:rPr>
          <w:rFonts w:hint="eastAsia" w:ascii="宋体" w:hAnsi="宋体" w:eastAsia="宋体" w:cs="宋体"/>
          <w:color w:val="auto"/>
          <w:highlight w:val="none"/>
        </w:rPr>
        <w:t>拒绝确认的不影响评标委员会作出的不合格裁定。评标委员会不再进行后续评审。</w:t>
      </w:r>
    </w:p>
    <w:p w14:paraId="3544E07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5.2.如果确定</w:t>
      </w:r>
      <w:r>
        <w:rPr>
          <w:rFonts w:hint="eastAsia" w:ascii="宋体" w:hAnsi="宋体" w:cs="宋体"/>
          <w:color w:val="auto"/>
          <w:highlight w:val="none"/>
          <w:lang w:eastAsia="zh-CN"/>
        </w:rPr>
        <w:t>投标人</w:t>
      </w:r>
      <w:r>
        <w:rPr>
          <w:rFonts w:hint="eastAsia" w:ascii="宋体" w:hAnsi="宋体" w:eastAsia="宋体" w:cs="宋体"/>
          <w:color w:val="auto"/>
          <w:highlight w:val="none"/>
        </w:rPr>
        <w:t>无资格履行合同，其投标将被拒绝。</w:t>
      </w:r>
    </w:p>
    <w:p w14:paraId="350BA61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6.投标文件评审</w:t>
      </w:r>
    </w:p>
    <w:p w14:paraId="32F836A6">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评标委员会应当按照本招标文件中规定的评标方法和评分标准，对有效的投标文件进行技术、服务、商务等方面评估，综合比较与评价。详见本章第十条。</w:t>
      </w:r>
    </w:p>
    <w:p w14:paraId="27A28520">
      <w:pPr>
        <w:widowControl/>
        <w:shd w:val="clear"/>
        <w:spacing w:line="312" w:lineRule="auto"/>
        <w:ind w:firstLine="482"/>
        <w:jc w:val="left"/>
        <w:outlineLvl w:val="1"/>
        <w:rPr>
          <w:rFonts w:hint="eastAsia" w:ascii="宋体" w:hAnsi="宋体" w:eastAsia="宋体" w:cs="宋体"/>
          <w:b/>
          <w:bCs/>
          <w:color w:val="auto"/>
          <w:highlight w:val="none"/>
        </w:rPr>
      </w:pPr>
      <w:bookmarkStart w:id="898" w:name="_Toc15643"/>
      <w:bookmarkStart w:id="899" w:name="_Toc19913"/>
      <w:bookmarkStart w:id="900" w:name="_Toc30298"/>
      <w:bookmarkStart w:id="901" w:name="_Toc16982"/>
      <w:bookmarkStart w:id="902" w:name="_Toc22269"/>
      <w:bookmarkStart w:id="903" w:name="_Toc5576"/>
      <w:bookmarkStart w:id="904" w:name="_Toc26135"/>
      <w:bookmarkStart w:id="905" w:name="_Toc5244"/>
      <w:bookmarkStart w:id="906" w:name="_Toc8858"/>
      <w:bookmarkStart w:id="907" w:name="_Toc31575"/>
      <w:bookmarkStart w:id="908" w:name="_Toc723"/>
      <w:bookmarkStart w:id="909" w:name="_Toc21780"/>
      <w:bookmarkStart w:id="910" w:name="_Toc10554"/>
      <w:r>
        <w:rPr>
          <w:rFonts w:hint="eastAsia" w:ascii="宋体" w:hAnsi="宋体" w:eastAsia="宋体" w:cs="宋体"/>
          <w:b/>
          <w:bCs/>
          <w:color w:val="auto"/>
          <w:highlight w:val="none"/>
        </w:rPr>
        <w:t>七、澄清、说明或修正</w:t>
      </w:r>
      <w:bookmarkEnd w:id="898"/>
      <w:bookmarkEnd w:id="899"/>
      <w:bookmarkEnd w:id="900"/>
      <w:bookmarkEnd w:id="901"/>
      <w:bookmarkEnd w:id="902"/>
      <w:bookmarkEnd w:id="903"/>
      <w:bookmarkEnd w:id="904"/>
      <w:bookmarkEnd w:id="905"/>
      <w:bookmarkEnd w:id="906"/>
      <w:bookmarkEnd w:id="907"/>
      <w:bookmarkEnd w:id="908"/>
      <w:bookmarkEnd w:id="909"/>
      <w:bookmarkEnd w:id="910"/>
    </w:p>
    <w:p w14:paraId="4A39921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w:t>
      </w:r>
      <w:r>
        <w:rPr>
          <w:rFonts w:hint="eastAsia" w:ascii="宋体" w:hAnsi="宋体" w:cs="宋体"/>
          <w:color w:val="auto"/>
          <w:highlight w:val="none"/>
          <w:lang w:eastAsia="zh-CN"/>
        </w:rPr>
        <w:t>投标人</w:t>
      </w:r>
      <w:r>
        <w:rPr>
          <w:rFonts w:hint="eastAsia" w:ascii="宋体" w:hAnsi="宋体" w:eastAsia="宋体" w:cs="宋体"/>
          <w:color w:val="auto"/>
          <w:highlight w:val="none"/>
        </w:rPr>
        <w:t>作出必要的澄清、说明或修正。但不得超出招标文件的范围，不得以此让</w:t>
      </w:r>
      <w:r>
        <w:rPr>
          <w:rFonts w:hint="eastAsia" w:ascii="宋体" w:hAnsi="宋体" w:cs="宋体"/>
          <w:color w:val="auto"/>
          <w:highlight w:val="none"/>
          <w:lang w:eastAsia="zh-CN"/>
        </w:rPr>
        <w:t>投标人</w:t>
      </w:r>
      <w:r>
        <w:rPr>
          <w:rFonts w:hint="eastAsia" w:ascii="宋体" w:hAnsi="宋体" w:eastAsia="宋体" w:cs="宋体"/>
          <w:color w:val="auto"/>
          <w:highlight w:val="none"/>
        </w:rPr>
        <w:t>实质改变投标文件的内容，不得影响公平竞争和投标文件的效力。澄清、说明或修正内容是投标文件的组成部分。</w:t>
      </w:r>
    </w:p>
    <w:p w14:paraId="10B22AA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2.投标文件报价出现前后不一致的，按照下列规定修正：</w:t>
      </w:r>
    </w:p>
    <w:p w14:paraId="3A60E13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2.1.开标时，投标文件中</w:t>
      </w:r>
      <w:r>
        <w:rPr>
          <w:rFonts w:hint="eastAsia" w:ascii="宋体" w:hAnsi="宋体" w:eastAsia="宋体" w:cs="宋体"/>
          <w:color w:val="auto"/>
          <w:highlight w:val="none"/>
          <w:lang w:eastAsia="zh-CN"/>
        </w:rPr>
        <w:t>开标一览表</w:t>
      </w:r>
      <w:r>
        <w:rPr>
          <w:rFonts w:hint="eastAsia" w:ascii="宋体" w:hAnsi="宋体" w:eastAsia="宋体" w:cs="宋体"/>
          <w:color w:val="auto"/>
          <w:highlight w:val="none"/>
        </w:rPr>
        <w:t>内容与投标文件中明细表内容不一致的，以</w:t>
      </w:r>
      <w:r>
        <w:rPr>
          <w:rFonts w:hint="eastAsia" w:ascii="宋体" w:hAnsi="宋体" w:eastAsia="宋体" w:cs="宋体"/>
          <w:color w:val="auto"/>
          <w:highlight w:val="none"/>
          <w:lang w:eastAsia="zh-CN"/>
        </w:rPr>
        <w:t>开标一览表</w:t>
      </w:r>
      <w:r>
        <w:rPr>
          <w:rFonts w:hint="eastAsia" w:ascii="宋体" w:hAnsi="宋体" w:eastAsia="宋体" w:cs="宋体"/>
          <w:color w:val="auto"/>
          <w:highlight w:val="none"/>
        </w:rPr>
        <w:t>为准；</w:t>
      </w:r>
    </w:p>
    <w:p w14:paraId="29FF0A2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2.2投标文件的大写金额和小写金额不一致的，以大写金额为准；</w:t>
      </w:r>
    </w:p>
    <w:p w14:paraId="6F446F0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2.3单价金额小数点或百分比有明显错位的，以</w:t>
      </w:r>
      <w:r>
        <w:rPr>
          <w:rFonts w:hint="eastAsia" w:ascii="宋体" w:hAnsi="宋体" w:eastAsia="宋体" w:cs="宋体"/>
          <w:color w:val="auto"/>
          <w:highlight w:val="none"/>
          <w:lang w:eastAsia="zh-CN"/>
        </w:rPr>
        <w:t>开标一览表</w:t>
      </w:r>
      <w:r>
        <w:rPr>
          <w:rFonts w:hint="eastAsia" w:ascii="宋体" w:hAnsi="宋体" w:eastAsia="宋体" w:cs="宋体"/>
          <w:color w:val="auto"/>
          <w:highlight w:val="none"/>
        </w:rPr>
        <w:t>的总价为准，并修改单价；</w:t>
      </w:r>
    </w:p>
    <w:p w14:paraId="623F8A3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2.4总价金额与按单价汇总金额不一致的，以单价金额计算结果为准；同时出现两种以上不一致的，按照前款规定的顺序修正，修正后的报价应经</w:t>
      </w:r>
      <w:r>
        <w:rPr>
          <w:rFonts w:hint="eastAsia" w:ascii="宋体" w:hAnsi="宋体" w:cs="宋体"/>
          <w:color w:val="auto"/>
          <w:highlight w:val="none"/>
          <w:lang w:eastAsia="zh-CN"/>
        </w:rPr>
        <w:t>投标人</w:t>
      </w:r>
      <w:r>
        <w:rPr>
          <w:rFonts w:hint="eastAsia" w:ascii="宋体" w:hAnsi="宋体" w:eastAsia="宋体" w:cs="宋体"/>
          <w:color w:val="auto"/>
          <w:highlight w:val="none"/>
        </w:rPr>
        <w:t>书面确认，</w:t>
      </w:r>
      <w:r>
        <w:rPr>
          <w:rFonts w:hint="eastAsia" w:ascii="宋体" w:hAnsi="宋体" w:cs="宋体"/>
          <w:color w:val="auto"/>
          <w:highlight w:val="none"/>
          <w:lang w:eastAsia="zh-CN"/>
        </w:rPr>
        <w:t>投标人</w:t>
      </w:r>
      <w:r>
        <w:rPr>
          <w:rFonts w:hint="eastAsia" w:ascii="宋体" w:hAnsi="宋体" w:eastAsia="宋体" w:cs="宋体"/>
          <w:color w:val="auto"/>
          <w:highlight w:val="none"/>
        </w:rPr>
        <w:t>不予确认的，其投标无效。</w:t>
      </w:r>
    </w:p>
    <w:p w14:paraId="07F4F28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2.5.对不同语言文本投标文件的解释发生异议的，以中文文本为准。</w:t>
      </w:r>
    </w:p>
    <w:p w14:paraId="7920879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66AD8C7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3.澄清说明答复函须由</w:t>
      </w:r>
      <w:r>
        <w:rPr>
          <w:rFonts w:hint="eastAsia" w:ascii="宋体" w:hAnsi="宋体" w:cs="宋体"/>
          <w:color w:val="auto"/>
          <w:highlight w:val="none"/>
          <w:lang w:eastAsia="zh-CN"/>
        </w:rPr>
        <w:t>投标人</w:t>
      </w:r>
      <w:r>
        <w:rPr>
          <w:rFonts w:hint="eastAsia" w:ascii="宋体" w:hAnsi="宋体" w:eastAsia="宋体" w:cs="宋体"/>
          <w:color w:val="auto"/>
          <w:highlight w:val="none"/>
        </w:rPr>
        <w:t>法定代表人或授权代理人签字和盖章。如果</w:t>
      </w:r>
      <w:r>
        <w:rPr>
          <w:rFonts w:hint="eastAsia" w:ascii="宋体" w:hAnsi="宋体" w:cs="宋体"/>
          <w:color w:val="auto"/>
          <w:highlight w:val="none"/>
          <w:lang w:eastAsia="zh-CN"/>
        </w:rPr>
        <w:t>投标人</w:t>
      </w:r>
      <w:r>
        <w:rPr>
          <w:rFonts w:hint="eastAsia" w:ascii="宋体" w:hAnsi="宋体" w:eastAsia="宋体" w:cs="宋体"/>
          <w:color w:val="auto"/>
          <w:highlight w:val="none"/>
        </w:rPr>
        <w:t>不接受对其错误的更正，其投标将被拒绝。</w:t>
      </w:r>
    </w:p>
    <w:p w14:paraId="6D308DF9">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4.请</w:t>
      </w:r>
      <w:r>
        <w:rPr>
          <w:rFonts w:hint="eastAsia" w:ascii="宋体" w:hAnsi="宋体" w:cs="宋体"/>
          <w:color w:val="auto"/>
          <w:highlight w:val="none"/>
          <w:lang w:eastAsia="zh-CN"/>
        </w:rPr>
        <w:t>投标人</w:t>
      </w:r>
      <w:r>
        <w:rPr>
          <w:rFonts w:hint="eastAsia" w:ascii="宋体" w:hAnsi="宋体" w:eastAsia="宋体" w:cs="宋体"/>
          <w:color w:val="auto"/>
          <w:highlight w:val="none"/>
        </w:rPr>
        <w:t>在评审期间保持电话畅通，如未及时接听电话，视为放弃澄清、说明或补正的权利，视同默认采购结果，事后不得对采购相关人员、采购过程及结果提出异议。放弃澄清、说明或补正的责任由</w:t>
      </w:r>
      <w:r>
        <w:rPr>
          <w:rFonts w:hint="eastAsia" w:ascii="宋体" w:hAnsi="宋体" w:cs="宋体"/>
          <w:color w:val="auto"/>
          <w:highlight w:val="none"/>
          <w:lang w:eastAsia="zh-CN"/>
        </w:rPr>
        <w:t>投标人</w:t>
      </w:r>
      <w:r>
        <w:rPr>
          <w:rFonts w:hint="eastAsia" w:ascii="宋体" w:hAnsi="宋体" w:eastAsia="宋体" w:cs="宋体"/>
          <w:color w:val="auto"/>
          <w:highlight w:val="none"/>
        </w:rPr>
        <w:t>自行负担。</w:t>
      </w:r>
    </w:p>
    <w:p w14:paraId="508A62FD">
      <w:pPr>
        <w:widowControl/>
        <w:shd w:val="clear"/>
        <w:spacing w:line="312" w:lineRule="auto"/>
        <w:ind w:firstLine="482" w:firstLineChars="0"/>
        <w:jc w:val="left"/>
        <w:outlineLvl w:val="1"/>
        <w:rPr>
          <w:rFonts w:hint="eastAsia" w:ascii="宋体" w:hAnsi="宋体" w:eastAsia="宋体" w:cs="宋体"/>
          <w:b/>
          <w:bCs/>
          <w:color w:val="auto"/>
          <w:highlight w:val="none"/>
        </w:rPr>
      </w:pPr>
      <w:bookmarkStart w:id="911" w:name="_Toc14326"/>
      <w:bookmarkStart w:id="912" w:name="_Toc1660"/>
      <w:bookmarkStart w:id="913" w:name="_Toc28123"/>
      <w:bookmarkStart w:id="914" w:name="_Toc9990"/>
      <w:bookmarkStart w:id="915" w:name="_Toc15675"/>
      <w:bookmarkStart w:id="916" w:name="_Toc613"/>
      <w:bookmarkStart w:id="917" w:name="_Toc27480"/>
      <w:bookmarkStart w:id="918" w:name="_Toc30210"/>
      <w:bookmarkStart w:id="919" w:name="_Toc26721"/>
      <w:bookmarkStart w:id="920" w:name="_Toc1500"/>
      <w:bookmarkStart w:id="921" w:name="_Toc31038"/>
      <w:bookmarkStart w:id="922" w:name="_Toc16185"/>
      <w:r>
        <w:rPr>
          <w:rFonts w:hint="eastAsia" w:ascii="宋体" w:hAnsi="宋体" w:eastAsia="宋体" w:cs="宋体"/>
          <w:b/>
          <w:bCs/>
          <w:color w:val="auto"/>
          <w:highlight w:val="none"/>
        </w:rPr>
        <w:t>八、推荐中标候选人</w:t>
      </w:r>
      <w:bookmarkEnd w:id="911"/>
      <w:bookmarkEnd w:id="912"/>
      <w:bookmarkEnd w:id="913"/>
      <w:bookmarkEnd w:id="914"/>
      <w:bookmarkEnd w:id="915"/>
      <w:bookmarkEnd w:id="916"/>
      <w:bookmarkEnd w:id="917"/>
      <w:bookmarkEnd w:id="918"/>
      <w:bookmarkEnd w:id="919"/>
      <w:bookmarkEnd w:id="920"/>
      <w:bookmarkEnd w:id="921"/>
      <w:bookmarkEnd w:id="922"/>
    </w:p>
    <w:p w14:paraId="116F2F3B">
      <w:pPr>
        <w:widowControl/>
        <w:shd w:val="clear"/>
        <w:spacing w:line="312" w:lineRule="auto"/>
        <w:ind w:firstLine="480"/>
        <w:outlineLvl w:val="1"/>
        <w:rPr>
          <w:rFonts w:hint="eastAsia" w:ascii="宋体" w:hAnsi="宋体" w:eastAsia="宋体" w:cs="宋体"/>
          <w:color w:val="auto"/>
          <w:highlight w:val="none"/>
        </w:rPr>
      </w:pPr>
      <w:bookmarkStart w:id="923" w:name="_Toc30774"/>
      <w:bookmarkStart w:id="924" w:name="_Toc27231"/>
      <w:bookmarkStart w:id="925" w:name="_Toc26474"/>
      <w:bookmarkStart w:id="926" w:name="_Toc6555"/>
      <w:bookmarkStart w:id="927" w:name="_Toc5151"/>
      <w:bookmarkStart w:id="928" w:name="_Toc1659"/>
      <w:bookmarkStart w:id="929" w:name="_Toc29690"/>
      <w:bookmarkStart w:id="930" w:name="_Toc23166"/>
      <w:bookmarkStart w:id="931" w:name="_Toc6621"/>
      <w:bookmarkStart w:id="932" w:name="_Toc421"/>
      <w:bookmarkStart w:id="933" w:name="_Toc29148"/>
      <w:bookmarkStart w:id="934" w:name="_Toc27042"/>
      <w:bookmarkStart w:id="935" w:name="_Toc16899"/>
      <w:r>
        <w:rPr>
          <w:rFonts w:hint="eastAsia" w:ascii="宋体" w:hAnsi="宋体" w:eastAsia="宋体" w:cs="宋体"/>
          <w:color w:val="auto"/>
          <w:highlight w:val="none"/>
        </w:rPr>
        <w:t>按照</w:t>
      </w:r>
      <w:r>
        <w:rPr>
          <w:rFonts w:hint="eastAsia" w:ascii="宋体" w:hAnsi="宋体" w:cs="宋体"/>
          <w:color w:val="auto"/>
          <w:highlight w:val="none"/>
          <w:lang w:eastAsia="zh-CN"/>
        </w:rPr>
        <w:t>投标人</w:t>
      </w:r>
      <w:r>
        <w:rPr>
          <w:rFonts w:hint="eastAsia" w:ascii="宋体" w:hAnsi="宋体" w:eastAsia="宋体" w:cs="宋体"/>
          <w:color w:val="auto"/>
          <w:highlight w:val="none"/>
          <w:lang w:val="en-US" w:eastAsia="zh-CN"/>
        </w:rPr>
        <w:t>综合</w:t>
      </w:r>
      <w:r>
        <w:rPr>
          <w:rFonts w:hint="eastAsia" w:ascii="宋体" w:hAnsi="宋体" w:eastAsia="宋体" w:cs="宋体"/>
          <w:color w:val="auto"/>
          <w:highlight w:val="none"/>
        </w:rPr>
        <w:t>得分由高到低顺序排列推荐中标候选人。综合得分相同者，以报价低者作为中标候选人；综合得分相同且报价相同，以技术指标优劣决定中标候选人；以上均相同则摇号确定。</w:t>
      </w:r>
      <w:bookmarkEnd w:id="923"/>
      <w:bookmarkEnd w:id="924"/>
      <w:bookmarkEnd w:id="925"/>
      <w:bookmarkEnd w:id="926"/>
      <w:bookmarkEnd w:id="927"/>
      <w:bookmarkEnd w:id="928"/>
      <w:bookmarkEnd w:id="929"/>
      <w:bookmarkEnd w:id="930"/>
      <w:bookmarkEnd w:id="931"/>
      <w:bookmarkEnd w:id="932"/>
      <w:bookmarkEnd w:id="933"/>
      <w:bookmarkEnd w:id="934"/>
      <w:bookmarkEnd w:id="935"/>
    </w:p>
    <w:p w14:paraId="6329DF21">
      <w:pPr>
        <w:widowControl/>
        <w:shd w:val="clear"/>
        <w:spacing w:line="312" w:lineRule="auto"/>
        <w:ind w:firstLine="482"/>
        <w:jc w:val="left"/>
        <w:outlineLvl w:val="1"/>
        <w:rPr>
          <w:rFonts w:hint="eastAsia" w:ascii="宋体" w:hAnsi="宋体" w:eastAsia="宋体" w:cs="宋体"/>
          <w:b/>
          <w:bCs/>
          <w:color w:val="auto"/>
          <w:highlight w:val="none"/>
        </w:rPr>
      </w:pPr>
      <w:bookmarkStart w:id="936" w:name="_Toc28577"/>
      <w:bookmarkStart w:id="937" w:name="_Toc6952"/>
      <w:bookmarkStart w:id="938" w:name="_Toc28343"/>
      <w:bookmarkStart w:id="939" w:name="_Toc21893"/>
      <w:bookmarkStart w:id="940" w:name="_Toc496"/>
      <w:bookmarkStart w:id="941" w:name="_Toc30514"/>
      <w:bookmarkStart w:id="942" w:name="_Toc31388"/>
      <w:bookmarkStart w:id="943" w:name="_Toc21653"/>
      <w:bookmarkStart w:id="944" w:name="_Toc5568"/>
      <w:bookmarkStart w:id="945" w:name="_Toc23850"/>
      <w:bookmarkStart w:id="946" w:name="_Toc17600"/>
      <w:bookmarkStart w:id="947" w:name="_Toc11673"/>
      <w:bookmarkStart w:id="948" w:name="_Toc10194"/>
      <w:r>
        <w:rPr>
          <w:rFonts w:hint="eastAsia" w:ascii="宋体" w:hAnsi="宋体" w:eastAsia="宋体" w:cs="宋体"/>
          <w:b/>
          <w:bCs/>
          <w:color w:val="auto"/>
          <w:highlight w:val="none"/>
        </w:rPr>
        <w:t>九、评审报告</w:t>
      </w:r>
      <w:bookmarkEnd w:id="936"/>
      <w:bookmarkEnd w:id="937"/>
      <w:bookmarkEnd w:id="938"/>
      <w:bookmarkEnd w:id="939"/>
      <w:bookmarkEnd w:id="940"/>
      <w:bookmarkEnd w:id="941"/>
      <w:bookmarkEnd w:id="942"/>
      <w:bookmarkEnd w:id="943"/>
      <w:bookmarkEnd w:id="944"/>
      <w:bookmarkEnd w:id="945"/>
      <w:bookmarkEnd w:id="946"/>
      <w:bookmarkEnd w:id="947"/>
      <w:bookmarkEnd w:id="948"/>
    </w:p>
    <w:p w14:paraId="08CD547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评标委员会编写评标报告，并提出</w:t>
      </w:r>
      <w:r>
        <w:rPr>
          <w:rFonts w:hint="eastAsia" w:ascii="宋体" w:hAnsi="宋体" w:eastAsia="宋体" w:cs="宋体"/>
          <w:color w:val="auto"/>
          <w:highlight w:val="none"/>
          <w:lang w:val="en-US" w:eastAsia="zh-CN"/>
        </w:rPr>
        <w:t>综合</w:t>
      </w:r>
      <w:r>
        <w:rPr>
          <w:rFonts w:hint="eastAsia" w:ascii="宋体" w:hAnsi="宋体" w:eastAsia="宋体" w:cs="宋体"/>
          <w:color w:val="auto"/>
          <w:highlight w:val="none"/>
        </w:rPr>
        <w:t>得分由高到低排序名单及理由，评标报告由评标委员会成员签字。</w:t>
      </w:r>
    </w:p>
    <w:p w14:paraId="7BB9E204">
      <w:pPr>
        <w:widowControl/>
        <w:shd w:val="clear"/>
        <w:spacing w:line="312" w:lineRule="auto"/>
        <w:ind w:firstLine="482"/>
        <w:outlineLvl w:val="1"/>
        <w:rPr>
          <w:rFonts w:hint="eastAsia" w:ascii="宋体" w:hAnsi="宋体" w:eastAsia="宋体" w:cs="宋体"/>
          <w:color w:val="auto"/>
          <w:highlight w:val="none"/>
        </w:rPr>
      </w:pPr>
      <w:bookmarkStart w:id="949" w:name="_Toc26525"/>
      <w:bookmarkStart w:id="950" w:name="_Toc14318"/>
      <w:bookmarkStart w:id="951" w:name="_Toc10667"/>
      <w:bookmarkStart w:id="952" w:name="_Toc22099"/>
      <w:bookmarkStart w:id="953" w:name="_Toc29832"/>
      <w:bookmarkStart w:id="954" w:name="_Toc32742"/>
      <w:bookmarkStart w:id="955" w:name="_Toc2725"/>
      <w:bookmarkStart w:id="956" w:name="_Toc27030"/>
      <w:bookmarkStart w:id="957" w:name="_Toc23070"/>
      <w:bookmarkStart w:id="958" w:name="_Toc16043"/>
      <w:bookmarkStart w:id="959" w:name="_Toc10943"/>
      <w:bookmarkStart w:id="960" w:name="_Toc19481"/>
      <w:bookmarkStart w:id="961" w:name="_Toc17445"/>
      <w:r>
        <w:rPr>
          <w:rFonts w:hint="eastAsia" w:ascii="宋体" w:hAnsi="宋体" w:eastAsia="宋体" w:cs="宋体"/>
          <w:b/>
          <w:bCs/>
          <w:color w:val="auto"/>
          <w:highlight w:val="none"/>
        </w:rPr>
        <w:t>十、评标细则及标准</w:t>
      </w:r>
      <w:bookmarkEnd w:id="949"/>
      <w:bookmarkEnd w:id="950"/>
      <w:bookmarkEnd w:id="951"/>
      <w:bookmarkEnd w:id="952"/>
      <w:bookmarkEnd w:id="953"/>
      <w:bookmarkEnd w:id="954"/>
      <w:bookmarkEnd w:id="955"/>
      <w:bookmarkEnd w:id="956"/>
      <w:bookmarkEnd w:id="957"/>
      <w:bookmarkEnd w:id="958"/>
      <w:bookmarkEnd w:id="959"/>
      <w:bookmarkEnd w:id="960"/>
      <w:bookmarkEnd w:id="961"/>
    </w:p>
    <w:p w14:paraId="605593AB">
      <w:pPr>
        <w:widowControl/>
        <w:shd w:val="clear"/>
        <w:spacing w:line="312" w:lineRule="auto"/>
        <w:ind w:firstLine="480"/>
        <w:outlineLvl w:val="1"/>
        <w:rPr>
          <w:rFonts w:hint="eastAsia" w:ascii="宋体" w:hAnsi="宋体" w:eastAsia="宋体" w:cs="宋体"/>
          <w:color w:val="auto"/>
          <w:highlight w:val="none"/>
        </w:rPr>
      </w:pPr>
      <w:bookmarkStart w:id="962" w:name="_Toc27516"/>
      <w:bookmarkStart w:id="963" w:name="_Toc22648"/>
      <w:bookmarkStart w:id="964" w:name="_Toc6647"/>
      <w:bookmarkStart w:id="965" w:name="_Toc14619"/>
      <w:bookmarkStart w:id="966" w:name="_Toc8512"/>
      <w:bookmarkStart w:id="967" w:name="_Toc8159"/>
      <w:bookmarkStart w:id="968" w:name="_Toc18818"/>
      <w:bookmarkStart w:id="969" w:name="_Toc3842"/>
      <w:bookmarkStart w:id="970" w:name="_Toc17002"/>
      <w:bookmarkStart w:id="971" w:name="_Toc20443"/>
      <w:bookmarkStart w:id="972" w:name="_Toc7210"/>
      <w:bookmarkStart w:id="973" w:name="_Toc23204"/>
      <w:bookmarkStart w:id="974" w:name="_Toc19256"/>
      <w:r>
        <w:rPr>
          <w:rFonts w:hint="eastAsia" w:ascii="宋体" w:hAnsi="宋体" w:eastAsia="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962"/>
      <w:bookmarkEnd w:id="963"/>
      <w:bookmarkEnd w:id="964"/>
      <w:bookmarkEnd w:id="965"/>
      <w:bookmarkEnd w:id="966"/>
      <w:bookmarkEnd w:id="967"/>
      <w:bookmarkEnd w:id="968"/>
      <w:bookmarkEnd w:id="969"/>
      <w:bookmarkEnd w:id="970"/>
      <w:bookmarkEnd w:id="971"/>
      <w:bookmarkEnd w:id="972"/>
      <w:bookmarkEnd w:id="973"/>
      <w:bookmarkEnd w:id="974"/>
    </w:p>
    <w:p w14:paraId="77E0FFDE">
      <w:pPr>
        <w:widowControl/>
        <w:shd w:val="clear"/>
        <w:spacing w:line="312" w:lineRule="auto"/>
        <w:ind w:right="120"/>
        <w:rPr>
          <w:rFonts w:hint="eastAsia" w:ascii="宋体" w:hAnsi="宋体" w:eastAsia="宋体" w:cs="宋体"/>
          <w:color w:val="auto"/>
          <w:highlight w:val="none"/>
        </w:rPr>
      </w:pPr>
      <w:r>
        <w:rPr>
          <w:rFonts w:hint="eastAsia" w:ascii="宋体" w:hAnsi="宋体" w:eastAsia="宋体" w:cs="宋体"/>
          <w:color w:val="auto"/>
          <w:highlight w:val="none"/>
        </w:rPr>
        <w:t>2.加权汇总每项评分因素的得分，得出每个有效</w:t>
      </w:r>
      <w:r>
        <w:rPr>
          <w:rFonts w:hint="eastAsia" w:ascii="宋体" w:hAnsi="宋体" w:cs="宋体"/>
          <w:color w:val="auto"/>
          <w:highlight w:val="none"/>
          <w:lang w:eastAsia="zh-CN"/>
        </w:rPr>
        <w:t>投标人</w:t>
      </w:r>
      <w:r>
        <w:rPr>
          <w:rFonts w:hint="eastAsia" w:ascii="宋体" w:hAnsi="宋体" w:eastAsia="宋体" w:cs="宋体"/>
          <w:color w:val="auto"/>
          <w:highlight w:val="none"/>
        </w:rPr>
        <w:t>的总分。</w:t>
      </w:r>
      <w:r>
        <w:rPr>
          <w:rFonts w:hint="eastAsia" w:ascii="宋体" w:hAnsi="宋体" w:cs="宋体"/>
          <w:color w:val="auto"/>
          <w:highlight w:val="none"/>
          <w:lang w:eastAsia="zh-CN"/>
        </w:rPr>
        <w:t>投标人</w:t>
      </w:r>
      <w:r>
        <w:rPr>
          <w:rFonts w:hint="eastAsia" w:ascii="宋体" w:hAnsi="宋体" w:eastAsia="宋体" w:cs="宋体"/>
          <w:color w:val="auto"/>
          <w:highlight w:val="none"/>
          <w:lang w:val="en-US" w:eastAsia="zh-CN"/>
        </w:rPr>
        <w:t>资信</w:t>
      </w:r>
      <w:r>
        <w:rPr>
          <w:rFonts w:hint="eastAsia" w:ascii="宋体" w:hAnsi="宋体" w:eastAsia="宋体" w:cs="宋体"/>
          <w:color w:val="auto"/>
          <w:highlight w:val="none"/>
        </w:rPr>
        <w:t>商务技术部分最终得分为各成员的有效评分的算术平均值。计算时保留小数二位（第三位四舍五入）。</w:t>
      </w:r>
    </w:p>
    <w:p w14:paraId="2F5496B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3.综合评分明细表    </w:t>
      </w:r>
    </w:p>
    <w:tbl>
      <w:tblPr>
        <w:tblStyle w:val="43"/>
        <w:tblW w:w="5267"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85" w:type="dxa"/>
          <w:left w:w="85" w:type="dxa"/>
          <w:bottom w:w="85" w:type="dxa"/>
          <w:right w:w="85" w:type="dxa"/>
        </w:tblCellMar>
      </w:tblPr>
      <w:tblGrid>
        <w:gridCol w:w="1057"/>
        <w:gridCol w:w="1260"/>
        <w:gridCol w:w="7165"/>
        <w:gridCol w:w="1023"/>
      </w:tblGrid>
      <w:tr w14:paraId="5F55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c>
          <w:tcPr>
            <w:tcW w:w="2317"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6E8E5EC">
            <w:pPr>
              <w:keepNext w:val="0"/>
              <w:keepLines w:val="0"/>
              <w:pageBreakBefore w:val="0"/>
              <w:widowControl w:val="0"/>
              <w:suppressLineNumbers w:val="0"/>
              <w:shd w:val="clear"/>
              <w:wordWrap/>
              <w:overflowPunct w:val="0"/>
              <w:topLinePunct w:val="0"/>
              <w:autoSpaceDE/>
              <w:autoSpaceDN w:val="0"/>
              <w:bidi w:val="0"/>
              <w:adjustRightInd w:val="0"/>
              <w:snapToGrid w:val="0"/>
              <w:spacing w:before="0" w:beforeAutospacing="0" w:after="0" w:afterAutospacing="0" w:line="240" w:lineRule="auto"/>
              <w:ind w:left="0" w:right="0" w:firstLine="48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评分项目</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97F47FE">
            <w:pPr>
              <w:keepNext w:val="0"/>
              <w:keepLines w:val="0"/>
              <w:pageBreakBefore w:val="0"/>
              <w:widowControl w:val="0"/>
              <w:suppressLineNumbers w:val="0"/>
              <w:shd w:val="clear"/>
              <w:wordWrap/>
              <w:overflowPunct w:val="0"/>
              <w:topLinePunct w:val="0"/>
              <w:autoSpaceDE/>
              <w:autoSpaceDN w:val="0"/>
              <w:bidi w:val="0"/>
              <w:adjustRightInd w:val="0"/>
              <w:snapToGrid w:val="0"/>
              <w:spacing w:before="0" w:beforeAutospacing="0" w:after="0" w:afterAutospacing="0" w:line="240" w:lineRule="auto"/>
              <w:ind w:left="0" w:right="0" w:firstLine="482"/>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评分细则</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5ADBD29">
            <w:pPr>
              <w:keepNext w:val="0"/>
              <w:keepLines w:val="0"/>
              <w:pageBreakBefore w:val="0"/>
              <w:widowControl w:val="0"/>
              <w:suppressLineNumbers w:val="0"/>
              <w:shd w:val="clear"/>
              <w:wordWrap/>
              <w:overflowPunct w:val="0"/>
              <w:topLinePunct w:val="0"/>
              <w:autoSpaceDE/>
              <w:autoSpaceDN w:val="0"/>
              <w:bidi w:val="0"/>
              <w:adjustRightInd w:val="0"/>
              <w:snapToGrid w:val="0"/>
              <w:spacing w:before="0" w:beforeAutospacing="0" w:after="0" w:afterAutospacing="0" w:line="240" w:lineRule="auto"/>
              <w:ind w:left="0" w:right="0" w:firstLine="0" w:firstLineChars="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分值</w:t>
            </w:r>
          </w:p>
        </w:tc>
      </w:tr>
      <w:tr w14:paraId="5665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6" w:hRule="atLeast"/>
        </w:trPr>
        <w:tc>
          <w:tcPr>
            <w:tcW w:w="2317" w:type="dxa"/>
            <w:gridSpan w:val="2"/>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764BBFA">
            <w:pPr>
              <w:keepNext w:val="0"/>
              <w:keepLines w:val="0"/>
              <w:pageBreakBefore w:val="0"/>
              <w:widowControl w:val="0"/>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商务报价</w:t>
            </w:r>
          </w:p>
          <w:p w14:paraId="071B0A81">
            <w:pPr>
              <w:keepNext w:val="0"/>
              <w:keepLines w:val="0"/>
              <w:pageBreakBefore w:val="0"/>
              <w:widowControl w:val="0"/>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30</w:t>
            </w:r>
            <w:r>
              <w:rPr>
                <w:rFonts w:hint="eastAsia" w:ascii="宋体" w:hAnsi="宋体" w:eastAsia="宋体" w:cs="宋体"/>
                <w:color w:val="auto"/>
                <w:kern w:val="2"/>
                <w:sz w:val="21"/>
                <w:szCs w:val="21"/>
                <w:highlight w:val="none"/>
                <w:lang w:val="en-US" w:eastAsia="zh-CN" w:bidi="ar"/>
              </w:rPr>
              <w:t>分）</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BFB3C33">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本项目最高限价：人民币</w:t>
            </w:r>
            <w:r>
              <w:rPr>
                <w:rFonts w:hint="eastAsia" w:ascii="宋体" w:hAnsi="宋体" w:cs="宋体"/>
                <w:color w:val="auto"/>
                <w:kern w:val="2"/>
                <w:sz w:val="21"/>
                <w:szCs w:val="21"/>
                <w:highlight w:val="none"/>
                <w:lang w:val="en-US" w:eastAsia="zh-CN" w:bidi="ar"/>
              </w:rPr>
              <w:t>48242691</w:t>
            </w:r>
            <w:r>
              <w:rPr>
                <w:rFonts w:hint="eastAsia" w:ascii="宋体" w:hAnsi="宋体" w:eastAsia="宋体" w:cs="宋体"/>
                <w:color w:val="auto"/>
                <w:kern w:val="2"/>
                <w:sz w:val="21"/>
                <w:szCs w:val="21"/>
                <w:highlight w:val="none"/>
                <w:lang w:val="en-US" w:eastAsia="zh-CN" w:bidi="ar"/>
              </w:rPr>
              <w:t>元，满足招标文件要求,各有效投标人的投标报价中最低报价为评标基准价。投标报价得分＝评标基准价/投标报价×30（保留小数二位，第三位四舍五入），报价高于最高限价的，为无效投标文件。</w:t>
            </w:r>
          </w:p>
          <w:p w14:paraId="62CA426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color w:val="auto"/>
                <w:highlight w:val="none"/>
                <w:lang w:val="en-US"/>
              </w:rPr>
            </w:pPr>
            <w:r>
              <w:rPr>
                <w:rFonts w:hint="eastAsia" w:ascii="宋体" w:hAnsi="宋体" w:eastAsia="宋体" w:cs="宋体"/>
                <w:color w:val="auto"/>
                <w:kern w:val="2"/>
                <w:sz w:val="21"/>
                <w:szCs w:val="21"/>
                <w:highlight w:val="none"/>
                <w:lang w:val="en-US" w:eastAsia="zh-CN" w:bidi="ar"/>
              </w:rPr>
              <w:t>注：</w:t>
            </w:r>
            <w:r>
              <w:rPr>
                <w:rFonts w:hint="eastAsia" w:ascii="宋体" w:hAnsi="宋体" w:eastAsia="宋体" w:cs="宋体"/>
                <w:color w:val="auto"/>
                <w:sz w:val="21"/>
                <w:szCs w:val="21"/>
                <w:highlight w:val="none"/>
                <w:lang w:val="en-US" w:eastAsia="zh-CN" w:bidi="ar"/>
              </w:rPr>
              <w:t>根据《政府采购货物和服务招标投标管理办法》（财政部令第87号）第60条规定及项目特点，本项目的操作细化为：当投标人投标报价低于所有通过符合性审查投标人的报价算术平均值的80%（算术平均值×80%，直接取整，即计算值小数点后数值直接取零）时，</w:t>
            </w:r>
            <w:r>
              <w:rPr>
                <w:rFonts w:hint="eastAsia" w:ascii="宋体" w:hAnsi="宋体" w:cs="宋体"/>
                <w:color w:val="auto"/>
                <w:sz w:val="21"/>
                <w:szCs w:val="21"/>
                <w:highlight w:val="none"/>
                <w:lang w:val="en-US" w:eastAsia="zh-CN" w:bidi="ar"/>
              </w:rPr>
              <w:t>如低于该价格</w:t>
            </w:r>
            <w:r>
              <w:rPr>
                <w:rFonts w:hint="eastAsia" w:ascii="宋体" w:hAnsi="宋体" w:eastAsia="宋体" w:cs="宋体"/>
                <w:color w:val="auto"/>
                <w:sz w:val="21"/>
                <w:szCs w:val="21"/>
                <w:highlight w:val="none"/>
                <w:lang w:val="en-US" w:eastAsia="zh-CN" w:bidi="ar"/>
              </w:rPr>
              <w:t>，应当要求</w:t>
            </w:r>
            <w:r>
              <w:rPr>
                <w:rFonts w:hint="eastAsia" w:ascii="宋体" w:hAnsi="宋体" w:cs="宋体"/>
                <w:color w:val="auto"/>
                <w:sz w:val="21"/>
                <w:szCs w:val="21"/>
                <w:highlight w:val="none"/>
                <w:lang w:val="en-US" w:eastAsia="zh-CN" w:bidi="ar"/>
              </w:rPr>
              <w:t>投标人</w:t>
            </w:r>
            <w:r>
              <w:rPr>
                <w:rFonts w:hint="eastAsia" w:ascii="宋体" w:hAnsi="宋体" w:eastAsia="宋体" w:cs="宋体"/>
                <w:color w:val="auto"/>
                <w:sz w:val="21"/>
                <w:szCs w:val="21"/>
                <w:highlight w:val="none"/>
                <w:lang w:val="en-US" w:eastAsia="zh-CN" w:bidi="ar"/>
              </w:rPr>
              <w:t>在</w:t>
            </w:r>
            <w:r>
              <w:rPr>
                <w:rFonts w:hint="eastAsia" w:ascii="宋体" w:hAnsi="宋体" w:cs="宋体"/>
                <w:color w:val="auto"/>
                <w:sz w:val="21"/>
                <w:szCs w:val="21"/>
                <w:highlight w:val="none"/>
                <w:lang w:val="en-US" w:eastAsia="zh-CN" w:bidi="ar"/>
              </w:rPr>
              <w:t>衢州市阳光服务平台上</w:t>
            </w:r>
            <w:r>
              <w:rPr>
                <w:rFonts w:hint="eastAsia" w:ascii="宋体" w:hAnsi="宋体" w:eastAsia="宋体" w:cs="宋体"/>
                <w:color w:val="auto"/>
                <w:sz w:val="21"/>
                <w:szCs w:val="21"/>
                <w:highlight w:val="none"/>
                <w:lang w:val="en-US" w:eastAsia="zh-CN" w:bidi="ar"/>
              </w:rPr>
              <w:t>合理的时间内提供</w:t>
            </w:r>
            <w:r>
              <w:rPr>
                <w:rFonts w:hint="eastAsia" w:ascii="宋体" w:hAnsi="宋体" w:cs="宋体"/>
                <w:color w:val="auto"/>
                <w:sz w:val="21"/>
                <w:szCs w:val="21"/>
                <w:highlight w:val="none"/>
                <w:lang w:val="en-US" w:eastAsia="zh-CN" w:bidi="ar"/>
              </w:rPr>
              <w:t>电子</w:t>
            </w:r>
            <w:r>
              <w:rPr>
                <w:rFonts w:hint="eastAsia" w:ascii="宋体" w:hAnsi="宋体" w:eastAsia="宋体" w:cs="宋体"/>
                <w:color w:val="auto"/>
                <w:sz w:val="21"/>
                <w:szCs w:val="21"/>
                <w:highlight w:val="none"/>
                <w:lang w:val="en-US" w:eastAsia="zh-CN" w:bidi="ar"/>
              </w:rPr>
              <w:t>书面说明，必要时提交相关证明材料</w:t>
            </w:r>
            <w:r>
              <w:rPr>
                <w:rFonts w:hint="eastAsia" w:ascii="宋体" w:hAnsi="宋体" w:cs="宋体"/>
                <w:color w:val="auto"/>
                <w:sz w:val="21"/>
                <w:szCs w:val="21"/>
                <w:highlight w:val="none"/>
                <w:lang w:val="en-US" w:eastAsia="zh-CN" w:bidi="ar"/>
              </w:rPr>
              <w:t>并经评标委员会认可</w:t>
            </w:r>
            <w:r>
              <w:rPr>
                <w:rFonts w:hint="eastAsia" w:ascii="宋体" w:hAnsi="宋体" w:eastAsia="宋体" w:cs="宋体"/>
                <w:color w:val="auto"/>
                <w:sz w:val="21"/>
                <w:szCs w:val="21"/>
                <w:highlight w:val="none"/>
                <w:lang w:val="en-US" w:eastAsia="zh-CN" w:bidi="ar"/>
              </w:rPr>
              <w:t>；投标人不能证明其报价合理性的，评标委员会应当将其作</w:t>
            </w:r>
            <w:r>
              <w:rPr>
                <w:rFonts w:hint="eastAsia" w:ascii="宋体" w:hAnsi="宋体" w:cs="宋体"/>
                <w:color w:val="auto"/>
                <w:sz w:val="21"/>
                <w:szCs w:val="21"/>
                <w:highlight w:val="none"/>
                <w:lang w:val="en-US" w:eastAsia="zh-CN" w:bidi="ar"/>
              </w:rPr>
              <w:t>0分</w:t>
            </w:r>
            <w:r>
              <w:rPr>
                <w:rFonts w:hint="eastAsia" w:ascii="宋体" w:hAnsi="宋体" w:eastAsia="宋体" w:cs="宋体"/>
                <w:color w:val="auto"/>
                <w:sz w:val="21"/>
                <w:szCs w:val="21"/>
                <w:highlight w:val="none"/>
                <w:lang w:val="en-US" w:eastAsia="zh-CN" w:bidi="ar"/>
              </w:rPr>
              <w:t>处理。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5690408">
            <w:pPr>
              <w:keepNext w:val="0"/>
              <w:keepLines w:val="0"/>
              <w:pageBreakBefore w:val="0"/>
              <w:widowControl w:val="0"/>
              <w:suppressLineNumbers w:val="0"/>
              <w:shd w:val="clear"/>
              <w:wordWrap/>
              <w:topLinePunct w:val="0"/>
              <w:autoSpaceDE/>
              <w:autoSpaceDN w:val="0"/>
              <w:bidi w:val="0"/>
              <w:adjustRightInd w:val="0"/>
              <w:snapToGrid w:val="0"/>
              <w:spacing w:before="0" w:beforeAutospacing="0" w:after="0" w:afterAutospacing="0" w:line="240" w:lineRule="auto"/>
              <w:ind w:left="0" w:right="0" w:firstLine="0" w:firstLineChars="0"/>
              <w:jc w:val="center"/>
              <w:rPr>
                <w:rFonts w:hint="default"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bidi="ar"/>
              </w:rPr>
              <w:t>30</w:t>
            </w:r>
          </w:p>
        </w:tc>
      </w:tr>
      <w:tr w14:paraId="06F4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551" w:hRule="atLeast"/>
        </w:trPr>
        <w:tc>
          <w:tcPr>
            <w:tcW w:w="1057" w:type="dxa"/>
            <w:vMerge w:val="restart"/>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2E17380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资信技术部分</w:t>
            </w:r>
          </w:p>
          <w:p w14:paraId="1FCE9C7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0分）</w:t>
            </w: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63FB8AA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类似业绩</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601C0F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投标人自2021年1月1日至今（时间以合同签订时间为准）承担过</w:t>
            </w:r>
            <w:r>
              <w:rPr>
                <w:rFonts w:hint="eastAsia" w:ascii="宋体" w:hAnsi="宋体" w:cs="宋体"/>
                <w:color w:val="auto"/>
                <w:kern w:val="2"/>
                <w:sz w:val="21"/>
                <w:szCs w:val="21"/>
                <w:highlight w:val="none"/>
                <w:lang w:val="en-US" w:eastAsia="zh-CN" w:bidi="ar"/>
              </w:rPr>
              <w:t>一体化装配式</w:t>
            </w:r>
            <w:r>
              <w:rPr>
                <w:rFonts w:hint="eastAsia" w:ascii="宋体" w:hAnsi="宋体" w:eastAsia="宋体" w:cs="宋体"/>
                <w:color w:val="auto"/>
                <w:kern w:val="2"/>
                <w:sz w:val="21"/>
                <w:szCs w:val="21"/>
                <w:highlight w:val="none"/>
                <w:lang w:val="en-US" w:eastAsia="zh-CN" w:bidi="ar"/>
              </w:rPr>
              <w:t>污水处理厂项目</w:t>
            </w:r>
            <w:r>
              <w:rPr>
                <w:rFonts w:hint="eastAsia" w:ascii="宋体" w:hAnsi="宋体" w:cs="宋体"/>
                <w:color w:val="auto"/>
                <w:kern w:val="2"/>
                <w:sz w:val="21"/>
                <w:szCs w:val="21"/>
                <w:highlight w:val="none"/>
                <w:lang w:val="en-US" w:eastAsia="zh-CN" w:bidi="ar"/>
              </w:rPr>
              <w:t>设备安装或供货</w:t>
            </w:r>
            <w:r>
              <w:rPr>
                <w:rFonts w:hint="eastAsia" w:ascii="宋体" w:hAnsi="宋体" w:eastAsia="宋体" w:cs="宋体"/>
                <w:color w:val="auto"/>
                <w:kern w:val="2"/>
                <w:sz w:val="21"/>
                <w:szCs w:val="21"/>
                <w:highlight w:val="none"/>
                <w:lang w:val="en-US" w:eastAsia="zh-CN" w:bidi="ar"/>
              </w:rPr>
              <w:t>相关业绩，每个业绩得1分，本项最高得</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分；</w:t>
            </w:r>
          </w:p>
          <w:p w14:paraId="3554069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注：须提供合同及中标通知书原件扫描件，未提供不得分。</w:t>
            </w:r>
            <w:r>
              <w:rPr>
                <w:rFonts w:hint="eastAsia" w:ascii="宋体" w:hAnsi="宋体" w:cs="宋体"/>
                <w:color w:val="auto"/>
                <w:kern w:val="2"/>
                <w:sz w:val="21"/>
                <w:szCs w:val="21"/>
                <w:highlight w:val="none"/>
                <w:lang w:val="en-US" w:eastAsia="zh-CN" w:bidi="ar"/>
              </w:rPr>
              <w:t>（如采用联合体，联合体任何成员具有即可）</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2475A96">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r>
      <w:tr w14:paraId="1884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37"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26BE97C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1163D51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体系认证证书</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1F8559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投标人具有效的环境管理体系认证、职业健康安全管理体系认证、质量管理体系认证证书的，每个得1分，最高得3分；</w:t>
            </w:r>
          </w:p>
          <w:p w14:paraId="468F1C9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注：提供有效期内的证书复印件加盖公章或扫描件加盖公章及全国认证认可信息公共服务平台网站（http://www.cnca.gov.cn/）查询页面截图扫描件加盖公章，否则不得分。</w:t>
            </w:r>
            <w:r>
              <w:rPr>
                <w:rFonts w:hint="eastAsia" w:ascii="宋体" w:hAnsi="宋体" w:cs="宋体"/>
                <w:color w:val="auto"/>
                <w:kern w:val="2"/>
                <w:sz w:val="21"/>
                <w:szCs w:val="21"/>
                <w:highlight w:val="none"/>
                <w:lang w:val="en-US" w:eastAsia="zh-CN" w:bidi="ar"/>
              </w:rPr>
              <w:t>（如采用联合体，联合体任何成员具有即可）</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E49EA1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r>
      <w:tr w14:paraId="50B0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37"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7B84C449">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right w:val="single" w:color="auto" w:sz="4" w:space="0"/>
            </w:tcBorders>
            <w:shd w:val="clear" w:color="auto" w:fill="auto"/>
            <w:tcMar>
              <w:left w:w="113" w:type="dxa"/>
              <w:right w:w="113" w:type="dxa"/>
            </w:tcMar>
            <w:vAlign w:val="center"/>
          </w:tcPr>
          <w:p w14:paraId="58A4197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综合资质</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51A2E0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w:t>
            </w:r>
            <w:r>
              <w:rPr>
                <w:rFonts w:hint="eastAsia" w:ascii="宋体" w:hAnsi="宋体" w:cs="宋体"/>
                <w:color w:val="auto"/>
                <w:kern w:val="2"/>
                <w:sz w:val="21"/>
                <w:szCs w:val="21"/>
                <w:highlight w:val="none"/>
                <w:lang w:val="en-US" w:eastAsia="zh-CN" w:bidi="ar"/>
              </w:rPr>
              <w:t>具有电子与智能化工程专业一级承包资质</w:t>
            </w:r>
            <w:r>
              <w:rPr>
                <w:rFonts w:hint="eastAsia" w:ascii="宋体" w:hAnsi="宋体" w:eastAsia="宋体" w:cs="宋体"/>
                <w:color w:val="auto"/>
                <w:kern w:val="2"/>
                <w:sz w:val="21"/>
                <w:szCs w:val="21"/>
                <w:highlight w:val="none"/>
                <w:lang w:val="en-US" w:eastAsia="zh-CN" w:bidi="ar"/>
              </w:rPr>
              <w:t>的得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r>
              <w:rPr>
                <w:rFonts w:hint="eastAsia" w:ascii="宋体" w:hAnsi="宋体" w:cs="宋体"/>
                <w:color w:val="auto"/>
                <w:kern w:val="2"/>
                <w:sz w:val="21"/>
                <w:szCs w:val="21"/>
                <w:highlight w:val="none"/>
                <w:lang w:val="en-US" w:eastAsia="zh-CN" w:bidi="ar"/>
              </w:rPr>
              <w:t>，具有电子与智能化工程专业二级承包资质的得1分，其他不得分</w:t>
            </w:r>
            <w:r>
              <w:rPr>
                <w:rFonts w:hint="eastAsia" w:ascii="宋体" w:hAnsi="宋体" w:eastAsia="宋体" w:cs="宋体"/>
                <w:color w:val="auto"/>
                <w:kern w:val="2"/>
                <w:sz w:val="21"/>
                <w:szCs w:val="21"/>
                <w:highlight w:val="none"/>
                <w:lang w:val="en-US" w:eastAsia="zh-CN" w:bidi="ar"/>
              </w:rPr>
              <w:t xml:space="preserve">。 </w:t>
            </w:r>
          </w:p>
          <w:p w14:paraId="4520A99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注；提供相关</w:t>
            </w:r>
            <w:r>
              <w:rPr>
                <w:rFonts w:hint="eastAsia" w:ascii="宋体" w:hAnsi="宋体" w:cs="宋体"/>
                <w:color w:val="auto"/>
                <w:kern w:val="2"/>
                <w:sz w:val="21"/>
                <w:szCs w:val="21"/>
                <w:highlight w:val="none"/>
                <w:lang w:val="en-US" w:eastAsia="zh-CN" w:bidi="ar"/>
              </w:rPr>
              <w:t>资质证书电子件或电子</w:t>
            </w:r>
            <w:r>
              <w:rPr>
                <w:rFonts w:hint="eastAsia" w:ascii="宋体" w:hAnsi="宋体" w:eastAsia="宋体" w:cs="宋体"/>
                <w:color w:val="auto"/>
                <w:kern w:val="2"/>
                <w:sz w:val="21"/>
                <w:szCs w:val="21"/>
                <w:highlight w:val="none"/>
                <w:lang w:val="en-US" w:eastAsia="zh-CN" w:bidi="ar"/>
              </w:rPr>
              <w:t>扫描件，不提供不得分。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75FC9E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w:t>
            </w:r>
          </w:p>
        </w:tc>
      </w:tr>
      <w:tr w14:paraId="1108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90"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6DEF407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27589C8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拟投入项目组成员</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A9A9F64">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1.项目负责人具有机电</w:t>
            </w:r>
            <w:r>
              <w:rPr>
                <w:rFonts w:hint="eastAsia" w:ascii="宋体" w:hAnsi="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lang w:val="en-US" w:eastAsia="zh-CN" w:bidi="ar"/>
              </w:rPr>
              <w:t>环保等高级及以上技术职称的得1.5分。且持有机电工程专业一级注册建造师的加2分；持有机电工程专业二级注册建造师加1分；最高得3.5分。</w:t>
            </w:r>
          </w:p>
          <w:p w14:paraId="16D54B6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2.项目技术负责人具有机电</w:t>
            </w:r>
            <w:r>
              <w:rPr>
                <w:rFonts w:hint="eastAsia" w:ascii="宋体" w:hAnsi="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lang w:val="en-US" w:eastAsia="zh-CN" w:bidi="ar"/>
              </w:rPr>
              <w:t>环保专业等高级及以上技术职称的得1.5分。</w:t>
            </w:r>
          </w:p>
          <w:p w14:paraId="446880B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3.项目组人员（除项目负责人和技术负责人外）具有机电</w:t>
            </w:r>
            <w:r>
              <w:rPr>
                <w:rFonts w:hint="eastAsia" w:ascii="宋体" w:hAnsi="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lang w:val="en-US" w:eastAsia="zh-CN" w:bidi="ar"/>
              </w:rPr>
              <w:t>环保专业等中级职称的，每增加一人得0.5分，人员不可兼任，最多加</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分；具有机电</w:t>
            </w:r>
            <w:r>
              <w:rPr>
                <w:rFonts w:hint="eastAsia" w:ascii="宋体" w:hAnsi="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lang w:val="en-US" w:eastAsia="zh-CN" w:bidi="ar"/>
              </w:rPr>
              <w:t>环保等高级及以上职称的，每增加一人得1分，人员不可兼任，最多加3分，本项最高</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分。</w:t>
            </w:r>
          </w:p>
          <w:p w14:paraId="3DB76A15">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sz w:val="21"/>
                <w:szCs w:val="21"/>
                <w:highlight w:val="none"/>
              </w:rPr>
            </w:pPr>
            <w:r>
              <w:rPr>
                <w:rFonts w:hint="eastAsia" w:ascii="宋体" w:hAnsi="宋体" w:cs="宋体"/>
                <w:color w:val="auto"/>
                <w:kern w:val="2"/>
                <w:sz w:val="21"/>
                <w:szCs w:val="21"/>
                <w:highlight w:val="none"/>
                <w:lang w:val="en-US" w:eastAsia="zh-CN" w:bidi="ar"/>
              </w:rPr>
              <w:t>4.投标人根据本</w:t>
            </w:r>
            <w:r>
              <w:rPr>
                <w:rFonts w:hint="eastAsia" w:ascii="宋体" w:hAnsi="宋体" w:cs="宋体"/>
                <w:color w:val="auto"/>
                <w:sz w:val="21"/>
                <w:szCs w:val="21"/>
                <w:highlight w:val="none"/>
                <w:lang w:val="en-US" w:eastAsia="zh-CN"/>
              </w:rPr>
              <w:t>项目的需要配备相关</w:t>
            </w:r>
            <w:r>
              <w:rPr>
                <w:rFonts w:hint="eastAsia" w:ascii="宋体" w:hAnsi="宋体" w:cs="宋体"/>
                <w:color w:val="auto"/>
                <w:kern w:val="2"/>
                <w:sz w:val="21"/>
                <w:szCs w:val="21"/>
                <w:highlight w:val="none"/>
                <w:lang w:val="en-US" w:eastAsia="zh-CN" w:bidi="ar"/>
              </w:rPr>
              <w:t>专业岗位人员情况</w:t>
            </w:r>
            <w:r>
              <w:rPr>
                <w:rFonts w:hint="eastAsia" w:ascii="宋体" w:hAnsi="宋体" w:eastAsia="宋体" w:cs="宋体"/>
                <w:color w:val="auto"/>
                <w:kern w:val="2"/>
                <w:sz w:val="21"/>
                <w:szCs w:val="21"/>
                <w:highlight w:val="none"/>
                <w:lang w:val="en-US" w:eastAsia="zh-CN" w:bidi="ar"/>
              </w:rPr>
              <w:t>（除项目负责人和技术负责人外）</w:t>
            </w:r>
            <w:r>
              <w:rPr>
                <w:rFonts w:hint="eastAsia" w:ascii="宋体" w:hAnsi="宋体" w:cs="宋体"/>
                <w:color w:val="auto"/>
                <w:sz w:val="21"/>
                <w:szCs w:val="21"/>
                <w:highlight w:val="none"/>
              </w:rPr>
              <w:t>等</w:t>
            </w:r>
            <w:r>
              <w:rPr>
                <w:rFonts w:hint="eastAsia" w:ascii="宋体" w:hAnsi="宋体" w:cs="宋体"/>
                <w:color w:val="auto"/>
                <w:sz w:val="21"/>
                <w:szCs w:val="21"/>
                <w:highlight w:val="none"/>
                <w:lang w:val="en-US" w:eastAsia="zh-CN"/>
              </w:rPr>
              <w:t>进行</w:t>
            </w:r>
            <w:r>
              <w:rPr>
                <w:rFonts w:hint="eastAsia" w:ascii="宋体" w:hAnsi="宋体" w:cs="宋体"/>
                <w:color w:val="auto"/>
                <w:sz w:val="21"/>
                <w:szCs w:val="21"/>
                <w:highlight w:val="none"/>
              </w:rPr>
              <w:t>打分，本项最高得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1C801436">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注；同一人员只计一次分，投标文件内须提供相关人员证书扫描件及其在投标人单位缴纳的近3个月的社保证明扫描件，否则不得分。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6C58E1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14</w:t>
            </w:r>
          </w:p>
        </w:tc>
      </w:tr>
      <w:tr w14:paraId="05F0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4281"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5C5BD7D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5881C7E7">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技术指标</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A09F6C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zh-CN"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各投标人提供的泵、搅拌机设备：</w:t>
            </w:r>
            <w:r>
              <w:rPr>
                <w:rFonts w:hint="eastAsia" w:ascii="宋体" w:hAnsi="宋体" w:eastAsia="宋体" w:cs="宋体"/>
                <w:color w:val="auto"/>
                <w:kern w:val="2"/>
                <w:sz w:val="21"/>
                <w:szCs w:val="21"/>
                <w:highlight w:val="none"/>
                <w:lang w:val="zh-CN" w:eastAsia="zh-CN" w:bidi="ar"/>
              </w:rPr>
              <w:t>对投标人所选择设备技术参数的满足程度</w:t>
            </w:r>
            <w:r>
              <w:rPr>
                <w:rFonts w:hint="eastAsia" w:ascii="宋体" w:hAnsi="宋体" w:cs="宋体"/>
                <w:color w:val="auto"/>
                <w:kern w:val="2"/>
                <w:sz w:val="21"/>
                <w:szCs w:val="21"/>
                <w:highlight w:val="none"/>
                <w:lang w:val="en-US" w:eastAsia="zh-CN" w:bidi="ar"/>
              </w:rPr>
              <w:t>及</w:t>
            </w:r>
            <w:r>
              <w:rPr>
                <w:rFonts w:hint="eastAsia" w:ascii="宋体" w:hAnsi="宋体" w:eastAsia="宋体" w:cs="宋体"/>
                <w:color w:val="auto"/>
                <w:kern w:val="2"/>
                <w:sz w:val="21"/>
                <w:szCs w:val="21"/>
                <w:highlight w:val="none"/>
                <w:lang w:val="zh-CN" w:eastAsia="zh-CN" w:bidi="ar"/>
              </w:rPr>
              <w:t>优化程度进行</w:t>
            </w:r>
            <w:r>
              <w:rPr>
                <w:rFonts w:hint="eastAsia" w:ascii="宋体" w:hAnsi="宋体" w:cs="宋体"/>
                <w:color w:val="auto"/>
                <w:kern w:val="2"/>
                <w:sz w:val="21"/>
                <w:szCs w:val="21"/>
                <w:highlight w:val="none"/>
                <w:lang w:val="en-US" w:eastAsia="zh-CN" w:bidi="ar"/>
              </w:rPr>
              <w:t>打</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cs="宋体"/>
                <w:color w:val="auto"/>
                <w:kern w:val="2"/>
                <w:sz w:val="21"/>
                <w:szCs w:val="21"/>
                <w:highlight w:val="none"/>
                <w:lang w:val="en-US" w:eastAsia="zh-CN" w:bidi="ar"/>
              </w:rPr>
              <w:t>0-2分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zh-CN" w:eastAsia="zh-CN" w:bidi="ar"/>
              </w:rPr>
              <w:t>。</w:t>
            </w:r>
          </w:p>
          <w:p w14:paraId="60CA1D7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zh-CN" w:eastAsia="zh-CN" w:bidi="ar"/>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各投标人提供的一体化固液分离装置的设备性能保证、技术参数、图纸深化方案</w:t>
            </w:r>
            <w:r>
              <w:rPr>
                <w:rFonts w:hint="eastAsia" w:ascii="宋体" w:hAnsi="宋体" w:eastAsia="宋体" w:cs="宋体"/>
                <w:color w:val="auto"/>
                <w:kern w:val="2"/>
                <w:sz w:val="21"/>
                <w:szCs w:val="21"/>
                <w:highlight w:val="none"/>
                <w:lang w:val="zh-CN" w:eastAsia="zh-CN" w:bidi="ar"/>
              </w:rPr>
              <w:t>的满足程度</w:t>
            </w:r>
            <w:r>
              <w:rPr>
                <w:rFonts w:hint="eastAsia" w:ascii="宋体" w:hAnsi="宋体" w:cs="宋体"/>
                <w:color w:val="auto"/>
                <w:kern w:val="2"/>
                <w:sz w:val="21"/>
                <w:szCs w:val="21"/>
                <w:highlight w:val="none"/>
                <w:lang w:val="en-US" w:eastAsia="zh-CN" w:bidi="ar"/>
              </w:rPr>
              <w:t>及</w:t>
            </w:r>
            <w:r>
              <w:rPr>
                <w:rFonts w:hint="eastAsia" w:ascii="宋体" w:hAnsi="宋体" w:eastAsia="宋体" w:cs="宋体"/>
                <w:color w:val="auto"/>
                <w:kern w:val="2"/>
                <w:sz w:val="21"/>
                <w:szCs w:val="21"/>
                <w:highlight w:val="none"/>
                <w:lang w:val="zh-CN" w:eastAsia="zh-CN" w:bidi="ar"/>
              </w:rPr>
              <w:t>优化程度</w:t>
            </w:r>
            <w:r>
              <w:rPr>
                <w:rFonts w:hint="eastAsia" w:ascii="宋体" w:hAnsi="宋体" w:eastAsia="宋体" w:cs="宋体"/>
                <w:color w:val="auto"/>
                <w:kern w:val="2"/>
                <w:sz w:val="21"/>
                <w:szCs w:val="21"/>
                <w:highlight w:val="none"/>
                <w:lang w:val="en-US" w:eastAsia="zh-CN" w:bidi="ar"/>
              </w:rPr>
              <w:t>等</w:t>
            </w:r>
            <w:r>
              <w:rPr>
                <w:rFonts w:hint="eastAsia" w:ascii="宋体" w:hAnsi="宋体" w:eastAsia="宋体" w:cs="宋体"/>
                <w:color w:val="auto"/>
                <w:kern w:val="2"/>
                <w:sz w:val="21"/>
                <w:szCs w:val="21"/>
                <w:highlight w:val="none"/>
                <w:lang w:val="zh-CN" w:eastAsia="zh-CN" w:bidi="ar"/>
              </w:rPr>
              <w:t>进行</w:t>
            </w:r>
            <w:r>
              <w:rPr>
                <w:rFonts w:hint="eastAsia" w:ascii="宋体" w:hAnsi="宋体" w:cs="宋体"/>
                <w:color w:val="auto"/>
                <w:kern w:val="2"/>
                <w:sz w:val="21"/>
                <w:szCs w:val="21"/>
                <w:highlight w:val="none"/>
                <w:lang w:val="en-US" w:eastAsia="zh-CN" w:bidi="ar"/>
              </w:rPr>
              <w:t>打</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cs="宋体"/>
                <w:color w:val="auto"/>
                <w:kern w:val="2"/>
                <w:sz w:val="21"/>
                <w:szCs w:val="21"/>
                <w:highlight w:val="none"/>
                <w:lang w:val="en-US" w:eastAsia="zh-CN" w:bidi="ar"/>
              </w:rPr>
              <w:t>0-2分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zh-CN" w:eastAsia="zh-CN" w:bidi="ar"/>
              </w:rPr>
              <w:t>。</w:t>
            </w:r>
          </w:p>
          <w:p w14:paraId="6921B37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.各投标人提供的磁混凝高效沉底池及滤布滤池的设备性能保证、技术参数、图纸深化方案</w:t>
            </w:r>
            <w:r>
              <w:rPr>
                <w:rFonts w:hint="eastAsia" w:ascii="宋体" w:hAnsi="宋体" w:eastAsia="宋体" w:cs="宋体"/>
                <w:color w:val="auto"/>
                <w:kern w:val="2"/>
                <w:sz w:val="21"/>
                <w:szCs w:val="21"/>
                <w:highlight w:val="none"/>
                <w:lang w:val="zh-CN" w:eastAsia="zh-CN" w:bidi="ar"/>
              </w:rPr>
              <w:t>的满足程度</w:t>
            </w:r>
            <w:r>
              <w:rPr>
                <w:rFonts w:hint="eastAsia" w:ascii="宋体" w:hAnsi="宋体" w:cs="宋体"/>
                <w:color w:val="auto"/>
                <w:kern w:val="2"/>
                <w:sz w:val="21"/>
                <w:szCs w:val="21"/>
                <w:highlight w:val="none"/>
                <w:lang w:val="en-US" w:eastAsia="zh-CN" w:bidi="ar"/>
              </w:rPr>
              <w:t>及</w:t>
            </w:r>
            <w:r>
              <w:rPr>
                <w:rFonts w:hint="eastAsia" w:ascii="宋体" w:hAnsi="宋体" w:eastAsia="宋体" w:cs="宋体"/>
                <w:color w:val="auto"/>
                <w:kern w:val="2"/>
                <w:sz w:val="21"/>
                <w:szCs w:val="21"/>
                <w:highlight w:val="none"/>
                <w:lang w:val="zh-CN" w:eastAsia="zh-CN" w:bidi="ar"/>
              </w:rPr>
              <w:t>优化程度进行</w:t>
            </w:r>
            <w:r>
              <w:rPr>
                <w:rFonts w:hint="eastAsia" w:ascii="宋体" w:hAnsi="宋体" w:cs="宋体"/>
                <w:color w:val="auto"/>
                <w:kern w:val="2"/>
                <w:sz w:val="21"/>
                <w:szCs w:val="21"/>
                <w:highlight w:val="none"/>
                <w:lang w:val="en-US" w:eastAsia="zh-CN" w:bidi="ar"/>
              </w:rPr>
              <w:t>打</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cs="宋体"/>
                <w:color w:val="auto"/>
                <w:kern w:val="2"/>
                <w:sz w:val="21"/>
                <w:szCs w:val="21"/>
                <w:highlight w:val="none"/>
                <w:lang w:val="en-US" w:eastAsia="zh-CN" w:bidi="ar"/>
              </w:rPr>
              <w:t>0-2分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zh-CN" w:eastAsia="zh-CN" w:bidi="ar"/>
              </w:rPr>
              <w:t>。</w:t>
            </w:r>
          </w:p>
          <w:p w14:paraId="7729797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zh-CN" w:eastAsia="zh-CN" w:bidi="ar"/>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.各投标人提供的除臭系统的设备性能保证、技术参数、图纸深化方案</w:t>
            </w:r>
            <w:r>
              <w:rPr>
                <w:rFonts w:hint="eastAsia" w:ascii="宋体" w:hAnsi="宋体" w:eastAsia="宋体" w:cs="宋体"/>
                <w:color w:val="auto"/>
                <w:kern w:val="2"/>
                <w:sz w:val="21"/>
                <w:szCs w:val="21"/>
                <w:highlight w:val="none"/>
                <w:lang w:val="zh-CN" w:eastAsia="zh-CN" w:bidi="ar"/>
              </w:rPr>
              <w:t>的满足程度</w:t>
            </w:r>
            <w:r>
              <w:rPr>
                <w:rFonts w:hint="eastAsia" w:ascii="宋体" w:hAnsi="宋体" w:cs="宋体"/>
                <w:color w:val="auto"/>
                <w:kern w:val="2"/>
                <w:sz w:val="21"/>
                <w:szCs w:val="21"/>
                <w:highlight w:val="none"/>
                <w:lang w:val="en-US" w:eastAsia="zh-CN" w:bidi="ar"/>
              </w:rPr>
              <w:t>及</w:t>
            </w:r>
            <w:r>
              <w:rPr>
                <w:rFonts w:hint="eastAsia" w:ascii="宋体" w:hAnsi="宋体" w:eastAsia="宋体" w:cs="宋体"/>
                <w:color w:val="auto"/>
                <w:kern w:val="2"/>
                <w:sz w:val="21"/>
                <w:szCs w:val="21"/>
                <w:highlight w:val="none"/>
                <w:lang w:val="zh-CN" w:eastAsia="zh-CN" w:bidi="ar"/>
              </w:rPr>
              <w:t>优化程度</w:t>
            </w:r>
            <w:r>
              <w:rPr>
                <w:rFonts w:hint="eastAsia" w:ascii="宋体" w:hAnsi="宋体" w:eastAsia="宋体" w:cs="宋体"/>
                <w:color w:val="auto"/>
                <w:kern w:val="2"/>
                <w:sz w:val="21"/>
                <w:szCs w:val="21"/>
                <w:highlight w:val="none"/>
                <w:lang w:val="en-US" w:eastAsia="zh-CN" w:bidi="ar"/>
              </w:rPr>
              <w:t>等</w:t>
            </w:r>
            <w:r>
              <w:rPr>
                <w:rFonts w:hint="eastAsia" w:ascii="宋体" w:hAnsi="宋体" w:cs="宋体"/>
                <w:color w:val="auto"/>
                <w:kern w:val="2"/>
                <w:sz w:val="21"/>
                <w:szCs w:val="21"/>
                <w:highlight w:val="none"/>
                <w:lang w:val="en-US" w:eastAsia="zh-CN" w:bidi="ar"/>
              </w:rPr>
              <w:t>打</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cs="宋体"/>
                <w:color w:val="auto"/>
                <w:kern w:val="2"/>
                <w:sz w:val="21"/>
                <w:szCs w:val="21"/>
                <w:highlight w:val="none"/>
                <w:lang w:val="en-US" w:eastAsia="zh-CN" w:bidi="ar"/>
              </w:rPr>
              <w:t>0-2分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zh-CN" w:eastAsia="zh-CN" w:bidi="ar"/>
              </w:rPr>
              <w:t>。</w:t>
            </w:r>
          </w:p>
          <w:p w14:paraId="1F0A747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各投标人提供的</w:t>
            </w:r>
            <w:r>
              <w:rPr>
                <w:rFonts w:hint="eastAsia" w:ascii="宋体" w:hAnsi="宋体" w:eastAsia="宋体" w:cs="宋体"/>
                <w:color w:val="auto"/>
                <w:kern w:val="2"/>
                <w:sz w:val="21"/>
                <w:szCs w:val="21"/>
                <w:highlight w:val="none"/>
                <w:lang w:val="zh-CN" w:eastAsia="zh-CN" w:bidi="ar"/>
              </w:rPr>
              <w:t>投标设备工艺方案</w:t>
            </w:r>
            <w:r>
              <w:rPr>
                <w:rFonts w:hint="eastAsia" w:ascii="宋体" w:hAnsi="宋体" w:eastAsia="宋体" w:cs="宋体"/>
                <w:color w:val="auto"/>
                <w:kern w:val="2"/>
                <w:sz w:val="21"/>
                <w:szCs w:val="21"/>
                <w:highlight w:val="none"/>
                <w:lang w:val="en-US" w:eastAsia="zh-CN" w:bidi="ar"/>
              </w:rPr>
              <w:t>以及</w:t>
            </w:r>
            <w:r>
              <w:rPr>
                <w:rFonts w:hint="eastAsia" w:ascii="宋体" w:hAnsi="宋体" w:cs="宋体"/>
                <w:color w:val="auto"/>
                <w:kern w:val="2"/>
                <w:sz w:val="21"/>
                <w:szCs w:val="21"/>
                <w:highlight w:val="none"/>
                <w:lang w:val="en-US" w:eastAsia="zh-CN" w:bidi="ar"/>
              </w:rPr>
              <w:t>智慧水务</w:t>
            </w:r>
            <w:r>
              <w:rPr>
                <w:rFonts w:hint="eastAsia" w:ascii="宋体" w:hAnsi="宋体" w:eastAsia="宋体" w:cs="宋体"/>
                <w:color w:val="auto"/>
                <w:kern w:val="2"/>
                <w:sz w:val="21"/>
                <w:szCs w:val="21"/>
                <w:highlight w:val="none"/>
                <w:lang w:val="zh-CN" w:eastAsia="zh-CN" w:bidi="ar"/>
              </w:rPr>
              <w:t>供货成套性及系统</w:t>
            </w:r>
            <w:r>
              <w:rPr>
                <w:rFonts w:hint="eastAsia" w:ascii="宋体" w:hAnsi="宋体" w:eastAsia="宋体" w:cs="宋体"/>
                <w:color w:val="auto"/>
                <w:kern w:val="2"/>
                <w:sz w:val="21"/>
                <w:szCs w:val="21"/>
                <w:highlight w:val="none"/>
                <w:lang w:val="en-US" w:eastAsia="zh-CN" w:bidi="ar"/>
              </w:rPr>
              <w:t>技术要求</w:t>
            </w:r>
            <w:r>
              <w:rPr>
                <w:rFonts w:hint="eastAsia" w:ascii="宋体" w:hAnsi="宋体" w:eastAsia="宋体" w:cs="宋体"/>
                <w:color w:val="auto"/>
                <w:kern w:val="2"/>
                <w:sz w:val="21"/>
                <w:szCs w:val="21"/>
                <w:highlight w:val="none"/>
                <w:lang w:val="zh-CN" w:eastAsia="zh-CN" w:bidi="ar"/>
              </w:rPr>
              <w:t>满足采购人要求的优化程度</w:t>
            </w:r>
            <w:r>
              <w:rPr>
                <w:rFonts w:hint="eastAsia" w:ascii="宋体" w:hAnsi="宋体" w:eastAsia="宋体" w:cs="宋体"/>
                <w:color w:val="auto"/>
                <w:kern w:val="2"/>
                <w:sz w:val="21"/>
                <w:szCs w:val="21"/>
                <w:highlight w:val="none"/>
                <w:lang w:val="en-US" w:eastAsia="zh-CN" w:bidi="ar"/>
              </w:rPr>
              <w:t>等</w:t>
            </w:r>
            <w:r>
              <w:rPr>
                <w:rFonts w:hint="eastAsia" w:ascii="宋体" w:hAnsi="宋体" w:cs="宋体"/>
                <w:color w:val="auto"/>
                <w:kern w:val="2"/>
                <w:sz w:val="21"/>
                <w:szCs w:val="21"/>
                <w:highlight w:val="none"/>
                <w:lang w:val="en-US" w:eastAsia="zh-CN" w:bidi="ar"/>
              </w:rPr>
              <w:t>打</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cs="宋体"/>
                <w:color w:val="auto"/>
                <w:kern w:val="2"/>
                <w:sz w:val="21"/>
                <w:szCs w:val="21"/>
                <w:highlight w:val="none"/>
                <w:lang w:val="en-US" w:eastAsia="zh-CN" w:bidi="ar"/>
              </w:rPr>
              <w:t>0-2分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zh-CN" w:eastAsia="zh-CN" w:bidi="ar"/>
              </w:rPr>
              <w:t>。</w:t>
            </w:r>
          </w:p>
          <w:p w14:paraId="2D5DC45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.各投标人提供的自控仪表系统的设备性能保证、技术参数、图纸深化方案</w:t>
            </w:r>
            <w:r>
              <w:rPr>
                <w:rFonts w:hint="eastAsia" w:ascii="宋体" w:hAnsi="宋体" w:eastAsia="宋体" w:cs="宋体"/>
                <w:color w:val="auto"/>
                <w:kern w:val="2"/>
                <w:sz w:val="21"/>
                <w:szCs w:val="21"/>
                <w:highlight w:val="none"/>
                <w:lang w:val="zh-CN" w:eastAsia="zh-CN" w:bidi="ar"/>
              </w:rPr>
              <w:t>的满足程度</w:t>
            </w:r>
            <w:r>
              <w:rPr>
                <w:rFonts w:hint="eastAsia" w:ascii="宋体" w:hAnsi="宋体" w:cs="宋体"/>
                <w:color w:val="auto"/>
                <w:kern w:val="2"/>
                <w:sz w:val="21"/>
                <w:szCs w:val="21"/>
                <w:highlight w:val="none"/>
                <w:lang w:val="en-US" w:eastAsia="zh-CN" w:bidi="ar"/>
              </w:rPr>
              <w:t>及</w:t>
            </w:r>
            <w:r>
              <w:rPr>
                <w:rFonts w:hint="eastAsia" w:ascii="宋体" w:hAnsi="宋体" w:eastAsia="宋体" w:cs="宋体"/>
                <w:color w:val="auto"/>
                <w:kern w:val="2"/>
                <w:sz w:val="21"/>
                <w:szCs w:val="21"/>
                <w:highlight w:val="none"/>
                <w:lang w:val="zh-CN" w:eastAsia="zh-CN" w:bidi="ar"/>
              </w:rPr>
              <w:t>优化程度</w:t>
            </w:r>
            <w:r>
              <w:rPr>
                <w:rFonts w:hint="eastAsia" w:ascii="宋体" w:hAnsi="宋体" w:eastAsia="宋体" w:cs="宋体"/>
                <w:color w:val="auto"/>
                <w:kern w:val="2"/>
                <w:sz w:val="21"/>
                <w:szCs w:val="21"/>
                <w:highlight w:val="none"/>
                <w:lang w:val="en-US" w:eastAsia="zh-CN" w:bidi="ar"/>
              </w:rPr>
              <w:t>等</w:t>
            </w:r>
            <w:r>
              <w:rPr>
                <w:rFonts w:hint="eastAsia" w:ascii="宋体" w:hAnsi="宋体" w:cs="宋体"/>
                <w:color w:val="auto"/>
                <w:kern w:val="2"/>
                <w:sz w:val="21"/>
                <w:szCs w:val="21"/>
                <w:highlight w:val="none"/>
                <w:lang w:val="en-US" w:eastAsia="zh-CN" w:bidi="ar"/>
              </w:rPr>
              <w:t>打</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cs="宋体"/>
                <w:color w:val="auto"/>
                <w:kern w:val="2"/>
                <w:sz w:val="21"/>
                <w:szCs w:val="21"/>
                <w:highlight w:val="none"/>
                <w:lang w:val="en-US" w:eastAsia="zh-CN" w:bidi="ar"/>
              </w:rPr>
              <w:t>0-2分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zh-CN" w:eastAsia="zh-CN" w:bidi="ar"/>
              </w:rPr>
              <w:t>。</w:t>
            </w:r>
          </w:p>
          <w:p w14:paraId="4566822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.各投标人提供的电气系统的设备性能保证、技术参数、图纸深化方案</w:t>
            </w:r>
            <w:r>
              <w:rPr>
                <w:rFonts w:hint="eastAsia" w:ascii="宋体" w:hAnsi="宋体" w:eastAsia="宋体" w:cs="宋体"/>
                <w:color w:val="auto"/>
                <w:kern w:val="2"/>
                <w:sz w:val="21"/>
                <w:szCs w:val="21"/>
                <w:highlight w:val="none"/>
                <w:lang w:val="zh-CN" w:eastAsia="zh-CN" w:bidi="ar"/>
              </w:rPr>
              <w:t>的满足程度</w:t>
            </w:r>
            <w:r>
              <w:rPr>
                <w:rFonts w:hint="eastAsia" w:ascii="宋体" w:hAnsi="宋体" w:cs="宋体"/>
                <w:color w:val="auto"/>
                <w:kern w:val="2"/>
                <w:sz w:val="21"/>
                <w:szCs w:val="21"/>
                <w:highlight w:val="none"/>
                <w:lang w:val="en-US" w:eastAsia="zh-CN" w:bidi="ar"/>
              </w:rPr>
              <w:t>及</w:t>
            </w:r>
            <w:r>
              <w:rPr>
                <w:rFonts w:hint="eastAsia" w:ascii="宋体" w:hAnsi="宋体" w:eastAsia="宋体" w:cs="宋体"/>
                <w:color w:val="auto"/>
                <w:kern w:val="2"/>
                <w:sz w:val="21"/>
                <w:szCs w:val="21"/>
                <w:highlight w:val="none"/>
                <w:lang w:val="zh-CN" w:eastAsia="zh-CN" w:bidi="ar"/>
              </w:rPr>
              <w:t>优化程度</w:t>
            </w:r>
            <w:r>
              <w:rPr>
                <w:rFonts w:hint="eastAsia" w:ascii="宋体" w:hAnsi="宋体" w:eastAsia="宋体" w:cs="宋体"/>
                <w:color w:val="auto"/>
                <w:kern w:val="2"/>
                <w:sz w:val="21"/>
                <w:szCs w:val="21"/>
                <w:highlight w:val="none"/>
                <w:lang w:val="en-US" w:eastAsia="zh-CN" w:bidi="ar"/>
              </w:rPr>
              <w:t>等</w:t>
            </w:r>
            <w:r>
              <w:rPr>
                <w:rFonts w:hint="eastAsia" w:ascii="宋体" w:hAnsi="宋体" w:cs="宋体"/>
                <w:color w:val="auto"/>
                <w:kern w:val="2"/>
                <w:sz w:val="21"/>
                <w:szCs w:val="21"/>
                <w:highlight w:val="none"/>
                <w:lang w:val="en-US" w:eastAsia="zh-CN" w:bidi="ar"/>
              </w:rPr>
              <w:t>打</w:t>
            </w:r>
            <w:r>
              <w:rPr>
                <w:rFonts w:hint="eastAsia" w:ascii="宋体" w:hAnsi="宋体" w:eastAsia="宋体" w:cs="宋体"/>
                <w:color w:val="auto"/>
                <w:kern w:val="2"/>
                <w:sz w:val="21"/>
                <w:szCs w:val="21"/>
                <w:highlight w:val="none"/>
                <w:lang w:val="zh-CN" w:eastAsia="zh-CN" w:bidi="ar"/>
              </w:rPr>
              <w:t>分</w:t>
            </w:r>
            <w:r>
              <w:rPr>
                <w:rFonts w:hint="eastAsia" w:ascii="宋体" w:hAnsi="宋体" w:cs="宋体"/>
                <w:color w:val="auto"/>
                <w:kern w:val="2"/>
                <w:sz w:val="21"/>
                <w:szCs w:val="21"/>
                <w:highlight w:val="none"/>
                <w:lang w:val="zh-CN" w:eastAsia="zh-CN" w:bidi="ar"/>
              </w:rPr>
              <w:t>（</w:t>
            </w:r>
            <w:r>
              <w:rPr>
                <w:rFonts w:hint="eastAsia" w:ascii="宋体" w:hAnsi="宋体" w:cs="宋体"/>
                <w:color w:val="auto"/>
                <w:kern w:val="2"/>
                <w:sz w:val="21"/>
                <w:szCs w:val="21"/>
                <w:highlight w:val="none"/>
                <w:lang w:val="en-US" w:eastAsia="zh-CN" w:bidi="ar"/>
              </w:rPr>
              <w:t>0-2分</w:t>
            </w:r>
            <w:r>
              <w:rPr>
                <w:rFonts w:hint="eastAsia" w:ascii="宋体" w:hAnsi="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zh-CN" w:eastAsia="zh-CN" w:bidi="ar"/>
              </w:rPr>
              <w:t>。</w:t>
            </w:r>
          </w:p>
          <w:p w14:paraId="079157C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注：</w:t>
            </w:r>
            <w:r>
              <w:rPr>
                <w:rFonts w:hint="eastAsia" w:ascii="宋体" w:hAnsi="宋体" w:eastAsia="宋体" w:cs="宋体"/>
                <w:color w:val="auto"/>
                <w:kern w:val="2"/>
                <w:sz w:val="21"/>
                <w:szCs w:val="21"/>
                <w:highlight w:val="none"/>
                <w:lang w:val="zh-CN" w:eastAsia="zh-CN" w:bidi="ar"/>
              </w:rPr>
              <w:t>投标文件中必须提供所投产品的品牌、规格型号及技术参数，不提供该项不得分。</w:t>
            </w:r>
          </w:p>
        </w:tc>
        <w:tc>
          <w:tcPr>
            <w:tcW w:w="1023"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53F4CB0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14</w:t>
            </w:r>
          </w:p>
        </w:tc>
      </w:tr>
      <w:tr w14:paraId="3819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770"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4918D58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bottom w:val="single" w:color="auto" w:sz="4" w:space="0"/>
              <w:right w:val="single" w:color="auto" w:sz="4" w:space="0"/>
            </w:tcBorders>
            <w:shd w:val="clear" w:color="auto" w:fill="auto"/>
            <w:tcMar>
              <w:left w:w="113" w:type="dxa"/>
              <w:right w:w="113" w:type="dxa"/>
            </w:tcMar>
            <w:vAlign w:val="center"/>
          </w:tcPr>
          <w:p w14:paraId="4A2D1695">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一体化生化池</w:t>
            </w:r>
            <w:r>
              <w:rPr>
                <w:rFonts w:hint="eastAsia" w:ascii="宋体" w:hAnsi="宋体" w:eastAsia="宋体" w:cs="宋体"/>
                <w:color w:val="auto"/>
                <w:kern w:val="2"/>
                <w:sz w:val="21"/>
                <w:szCs w:val="21"/>
                <w:highlight w:val="none"/>
                <w:lang w:val="en-US" w:eastAsia="zh-CN" w:bidi="ar"/>
              </w:rPr>
              <w:t>深化设计方案</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F2A62A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投标人在不增加投资费用的前提下，对</w:t>
            </w:r>
            <w:r>
              <w:rPr>
                <w:rFonts w:hint="eastAsia" w:ascii="宋体" w:hAnsi="宋体" w:eastAsia="宋体" w:cs="宋体"/>
                <w:color w:val="auto"/>
                <w:sz w:val="22"/>
                <w:szCs w:val="22"/>
                <w:highlight w:val="none"/>
              </w:rPr>
              <w:t>装配集成式一体化AAO生化池</w:t>
            </w:r>
            <w:r>
              <w:rPr>
                <w:rFonts w:hint="eastAsia" w:ascii="宋体" w:hAnsi="宋体" w:eastAsia="宋体" w:cs="宋体"/>
                <w:color w:val="auto"/>
                <w:kern w:val="2"/>
                <w:sz w:val="21"/>
                <w:szCs w:val="21"/>
                <w:highlight w:val="none"/>
                <w:lang w:val="en-US" w:eastAsia="zh-CN" w:bidi="ar"/>
              </w:rPr>
              <w:t>进行二次深化设计方案</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选型参数和材质、系统供货成套性及系统设计、设备功能、配置满足采购人要求的优化程度进行打分</w:t>
            </w:r>
            <w:r>
              <w:rPr>
                <w:rFonts w:hint="eastAsia" w:ascii="宋体" w:hAnsi="宋体" w:eastAsia="宋体" w:cs="宋体"/>
                <w:strike w:val="0"/>
                <w:dstrike w:val="0"/>
                <w:color w:val="auto"/>
                <w:kern w:val="2"/>
                <w:sz w:val="21"/>
                <w:szCs w:val="21"/>
                <w:highlight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7A3378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8</w:t>
            </w:r>
          </w:p>
        </w:tc>
      </w:tr>
      <w:tr w14:paraId="234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70"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404F279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left w:val="single" w:color="auto" w:sz="4" w:space="0"/>
              <w:bottom w:val="single" w:color="auto" w:sz="4" w:space="0"/>
              <w:right w:val="single" w:color="auto" w:sz="4" w:space="0"/>
            </w:tcBorders>
            <w:shd w:val="clear" w:color="auto" w:fill="auto"/>
            <w:tcMar>
              <w:left w:w="113" w:type="dxa"/>
              <w:right w:w="113" w:type="dxa"/>
            </w:tcMar>
            <w:vAlign w:val="center"/>
          </w:tcPr>
          <w:p w14:paraId="152F22D5">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设备外观</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C2A3A7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根据投标人</w:t>
            </w:r>
            <w:r>
              <w:rPr>
                <w:rFonts w:hint="eastAsia" w:ascii="宋体" w:hAnsi="宋体" w:cs="宋体"/>
                <w:b w:val="0"/>
                <w:bCs w:val="0"/>
                <w:color w:val="auto"/>
                <w:kern w:val="2"/>
                <w:sz w:val="21"/>
                <w:szCs w:val="21"/>
                <w:highlight w:val="none"/>
                <w:lang w:val="en-US" w:eastAsia="zh-CN" w:bidi="ar"/>
              </w:rPr>
              <w:t>提供的</w:t>
            </w:r>
            <w:r>
              <w:rPr>
                <w:rFonts w:hint="eastAsia" w:ascii="宋体" w:hAnsi="宋体" w:eastAsia="宋体" w:cs="宋体"/>
                <w:b w:val="0"/>
                <w:bCs w:val="0"/>
                <w:color w:val="auto"/>
                <w:kern w:val="2"/>
                <w:sz w:val="21"/>
                <w:szCs w:val="21"/>
                <w:highlight w:val="none"/>
                <w:lang w:val="en-US" w:eastAsia="zh-CN" w:bidi="ar"/>
              </w:rPr>
              <w:t>污水设备的整体外观以及外立面等是否符合设计要求以及满足采购人要求等</w:t>
            </w:r>
            <w:r>
              <w:rPr>
                <w:rFonts w:hint="eastAsia" w:ascii="宋体" w:hAnsi="宋体" w:eastAsia="宋体" w:cs="宋体"/>
                <w:color w:val="auto"/>
                <w:kern w:val="2"/>
                <w:sz w:val="21"/>
                <w:szCs w:val="21"/>
                <w:highlight w:val="none"/>
                <w:lang w:val="en-US" w:eastAsia="zh-CN" w:bidi="ar"/>
              </w:rPr>
              <w:t>进行打分</w:t>
            </w:r>
            <w:r>
              <w:rPr>
                <w:rFonts w:hint="eastAsia" w:ascii="宋体" w:hAnsi="宋体" w:eastAsia="宋体" w:cs="宋体"/>
                <w:strike w:val="0"/>
                <w:dstrike w:val="0"/>
                <w:color w:val="auto"/>
                <w:kern w:val="2"/>
                <w:sz w:val="21"/>
                <w:szCs w:val="21"/>
                <w:highlight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753A0C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p>
        </w:tc>
      </w:tr>
      <w:tr w14:paraId="472D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05"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007D1E6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7BB40BF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节能降耗及运营成本方案</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1D9128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根据投标人的节能降耗及运营成本方案</w:t>
            </w:r>
            <w:r>
              <w:rPr>
                <w:rFonts w:hint="eastAsia" w:ascii="宋体" w:hAnsi="宋体" w:eastAsia="宋体" w:cs="宋体"/>
                <w:color w:val="auto"/>
                <w:kern w:val="2"/>
                <w:sz w:val="21"/>
                <w:szCs w:val="21"/>
                <w:highlight w:val="none"/>
                <w:lang w:val="zh-CN" w:eastAsia="zh-CN" w:bidi="ar"/>
              </w:rPr>
              <w:t>是否有助于提高本项目污染源在线监控系统管理使用效率</w:t>
            </w:r>
            <w:r>
              <w:rPr>
                <w:rFonts w:hint="eastAsia" w:ascii="宋体" w:hAnsi="宋体" w:eastAsia="宋体" w:cs="宋体"/>
                <w:color w:val="auto"/>
                <w:kern w:val="2"/>
                <w:sz w:val="21"/>
                <w:szCs w:val="21"/>
                <w:highlight w:val="none"/>
                <w:lang w:val="en-US" w:eastAsia="zh-CN" w:bidi="ar"/>
              </w:rPr>
              <w:t>以便达标排放以及降低运营成本的合理性</w:t>
            </w:r>
            <w:r>
              <w:rPr>
                <w:rFonts w:hint="eastAsia" w:ascii="宋体" w:hAnsi="宋体" w:cs="宋体"/>
                <w:color w:val="auto"/>
                <w:kern w:val="2"/>
                <w:sz w:val="21"/>
                <w:szCs w:val="21"/>
                <w:highlight w:val="none"/>
                <w:lang w:val="en-US" w:eastAsia="zh-CN" w:bidi="ar"/>
              </w:rPr>
              <w:t>由评委在分值范围内</w:t>
            </w:r>
            <w:r>
              <w:rPr>
                <w:rFonts w:hint="eastAsia" w:ascii="宋体" w:hAnsi="宋体" w:eastAsia="宋体" w:cs="宋体"/>
                <w:color w:val="auto"/>
                <w:kern w:val="2"/>
                <w:sz w:val="21"/>
                <w:szCs w:val="21"/>
                <w:highlight w:val="none"/>
                <w:lang w:val="en-US" w:eastAsia="zh-CN" w:bidi="ar"/>
              </w:rPr>
              <w:t>进行打分。</w:t>
            </w:r>
            <w:r>
              <w:rPr>
                <w:rFonts w:hint="eastAsia" w:ascii="宋体" w:hAnsi="宋体" w:cs="宋体"/>
                <w:color w:val="auto"/>
                <w:kern w:val="2"/>
                <w:sz w:val="21"/>
                <w:szCs w:val="21"/>
                <w:highlight w:val="none"/>
                <w:lang w:val="en-US" w:eastAsia="zh-CN" w:bidi="ar"/>
              </w:rPr>
              <w:t>（运营成本测算，药剂、电费、人工等）</w:t>
            </w:r>
            <w:r>
              <w:rPr>
                <w:rFonts w:hint="eastAsia" w:ascii="宋体" w:hAnsi="宋体" w:eastAsia="宋体" w:cs="宋体"/>
                <w:color w:val="auto"/>
                <w:kern w:val="2"/>
                <w:sz w:val="21"/>
                <w:szCs w:val="21"/>
                <w:highlight w:val="none"/>
                <w:lang w:val="zh-CN"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8ADD4B0">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p>
        </w:tc>
      </w:tr>
      <w:tr w14:paraId="6C15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9"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634A785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14E7995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安装调试及实施方案</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0743309">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与项目其他建设方、设备</w:t>
            </w:r>
            <w:r>
              <w:rPr>
                <w:rFonts w:hint="eastAsia" w:ascii="宋体" w:hAnsi="宋体" w:cs="宋体"/>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之间的配合，在图纸核实、设备组织供货、设备安装调试、进度控制方面、全厂联动调试、试运行直至通过验收</w:t>
            </w:r>
            <w:r>
              <w:rPr>
                <w:rFonts w:hint="eastAsia" w:ascii="宋体" w:hAnsi="宋体" w:cs="宋体"/>
                <w:color w:val="auto"/>
                <w:kern w:val="2"/>
                <w:sz w:val="21"/>
                <w:szCs w:val="21"/>
                <w:highlight w:val="none"/>
                <w:lang w:val="en-US" w:eastAsia="zh-CN" w:bidi="ar"/>
              </w:rPr>
              <w:t>（包括环保验收）</w:t>
            </w:r>
            <w:r>
              <w:rPr>
                <w:rFonts w:hint="eastAsia" w:ascii="宋体" w:hAnsi="宋体" w:eastAsia="宋体" w:cs="宋体"/>
                <w:color w:val="auto"/>
                <w:kern w:val="2"/>
                <w:sz w:val="21"/>
                <w:szCs w:val="21"/>
                <w:highlight w:val="none"/>
                <w:lang w:val="en-US" w:eastAsia="zh-CN" w:bidi="ar"/>
              </w:rPr>
              <w:t>的方案和措施，按照方案和措施是否具有针对性、是否科学有效比较评分。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1A0126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r>
      <w:tr w14:paraId="2BDA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8"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23F73009">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2741C80B">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进度计划</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3A8BFA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投标人按照采购人的要求，包括设备供货期限及设备供货保证措施、设备的进场是否根据项目场地的要求及土建工程的完成情况有计划、分批次地进行，现场协调及验收工作安排科学合理性</w:t>
            </w:r>
            <w:r>
              <w:rPr>
                <w:rFonts w:hint="eastAsia" w:ascii="宋体" w:hAnsi="宋体" w:cs="宋体"/>
                <w:color w:val="auto"/>
                <w:kern w:val="2"/>
                <w:sz w:val="21"/>
                <w:szCs w:val="21"/>
                <w:highlight w:val="none"/>
                <w:lang w:val="en-US" w:eastAsia="zh-CN" w:bidi="ar"/>
              </w:rPr>
              <w:t>、科学性</w:t>
            </w:r>
            <w:r>
              <w:rPr>
                <w:rFonts w:hint="eastAsia" w:ascii="宋体" w:hAnsi="宋体" w:eastAsia="宋体" w:cs="宋体"/>
                <w:color w:val="auto"/>
                <w:kern w:val="2"/>
                <w:sz w:val="21"/>
                <w:szCs w:val="21"/>
                <w:highlight w:val="none"/>
                <w:lang w:val="en-US" w:eastAsia="zh-CN" w:bidi="ar"/>
              </w:rPr>
              <w:t>等</w:t>
            </w:r>
            <w:r>
              <w:rPr>
                <w:rFonts w:hint="eastAsia" w:ascii="宋体" w:hAnsi="宋体" w:cs="宋体"/>
                <w:color w:val="auto"/>
                <w:kern w:val="2"/>
                <w:sz w:val="21"/>
                <w:szCs w:val="21"/>
                <w:highlight w:val="none"/>
                <w:lang w:val="en-US" w:eastAsia="zh-CN" w:bidi="ar"/>
              </w:rPr>
              <w:t>由评委在分值范围内</w:t>
            </w:r>
            <w:r>
              <w:rPr>
                <w:rFonts w:hint="eastAsia" w:ascii="宋体" w:hAnsi="宋体" w:eastAsia="宋体" w:cs="宋体"/>
                <w:color w:val="auto"/>
                <w:kern w:val="2"/>
                <w:sz w:val="21"/>
                <w:szCs w:val="21"/>
                <w:highlight w:val="none"/>
                <w:lang w:val="en-US" w:eastAsia="zh-CN" w:bidi="ar"/>
              </w:rPr>
              <w:t>进行打分。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2354843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r>
      <w:tr w14:paraId="28DF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15"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186EA535">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0D31E4E9">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培训方案</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1FC4A8B3">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人员培训方案（拟安排的人员培训方案、培训调试、</w:t>
            </w:r>
            <w:r>
              <w:rPr>
                <w:rFonts w:hint="eastAsia" w:ascii="宋体" w:hAnsi="宋体" w:cs="宋体"/>
                <w:color w:val="auto"/>
                <w:kern w:val="2"/>
                <w:sz w:val="21"/>
                <w:szCs w:val="21"/>
                <w:highlight w:val="none"/>
                <w:lang w:val="en-US" w:eastAsia="zh-CN" w:bidi="ar"/>
              </w:rPr>
              <w:t>时间安排、</w:t>
            </w:r>
            <w:r>
              <w:rPr>
                <w:rFonts w:hint="eastAsia" w:ascii="宋体" w:hAnsi="宋体" w:eastAsia="宋体" w:cs="宋体"/>
                <w:color w:val="auto"/>
                <w:kern w:val="2"/>
                <w:sz w:val="21"/>
                <w:szCs w:val="21"/>
                <w:highlight w:val="none"/>
                <w:lang w:val="en-US" w:eastAsia="zh-CN" w:bidi="ar"/>
              </w:rPr>
              <w:t>培训内容、方式等）有力可行，在技术支持方面反应迅速、能够随时安排技术人员进行现场指导（包括土建施工时派人指导协调）。并对方案内容的完善程度、可实施性，技术力量配备和技术支持响应时间等方面</w:t>
            </w:r>
            <w:r>
              <w:rPr>
                <w:rFonts w:hint="eastAsia" w:ascii="宋体" w:hAnsi="宋体" w:cs="宋体"/>
                <w:color w:val="auto"/>
                <w:kern w:val="2"/>
                <w:sz w:val="21"/>
                <w:szCs w:val="21"/>
                <w:highlight w:val="none"/>
                <w:lang w:val="en-US" w:eastAsia="zh-CN" w:bidi="ar"/>
              </w:rPr>
              <w:t>由评委在分值范围内</w:t>
            </w:r>
            <w:r>
              <w:rPr>
                <w:rFonts w:hint="eastAsia" w:ascii="宋体" w:hAnsi="宋体" w:eastAsia="宋体" w:cs="宋体"/>
                <w:color w:val="auto"/>
                <w:kern w:val="2"/>
                <w:sz w:val="21"/>
                <w:szCs w:val="21"/>
                <w:highlight w:val="none"/>
                <w:lang w:val="en-US" w:eastAsia="zh-CN" w:bidi="ar"/>
              </w:rPr>
              <w:t>进行打分</w:t>
            </w:r>
            <w:r>
              <w:rPr>
                <w:rFonts w:hint="eastAsia" w:ascii="宋体" w:hAnsi="宋体" w:cs="宋体"/>
                <w:color w:val="auto"/>
                <w:kern w:val="2"/>
                <w:sz w:val="21"/>
                <w:szCs w:val="21"/>
                <w:highlight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E5BAE6F">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r>
      <w:tr w14:paraId="0C3E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622"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6BE69CC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p w14:paraId="1D8F72A6">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51B14A5D">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质保期</w:t>
            </w:r>
          </w:p>
        </w:tc>
        <w:tc>
          <w:tcPr>
            <w:tcW w:w="7165"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6EA330F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质保期满足采购要求2年的，不得分，每增加一年加1分，最高得3分。</w:t>
            </w:r>
          </w:p>
          <w:p w14:paraId="5CFD805A">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注：提供承诺函加盖公章，格式自拟，不提供不得分。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060EBA36">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r>
      <w:tr w14:paraId="1A88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85" w:type="dxa"/>
            <w:right w:w="85" w:type="dxa"/>
          </w:tblCellMar>
        </w:tblPrEx>
        <w:trPr>
          <w:trHeight w:val="669" w:hRule="atLeast"/>
        </w:trPr>
        <w:tc>
          <w:tcPr>
            <w:tcW w:w="1057" w:type="dxa"/>
            <w:vMerge w:val="continue"/>
            <w:tcBorders>
              <w:top w:val="nil"/>
              <w:left w:val="single" w:color="auto" w:sz="4" w:space="0"/>
              <w:bottom w:val="single" w:color="auto" w:sz="4" w:space="0"/>
              <w:right w:val="single" w:color="auto" w:sz="4" w:space="0"/>
            </w:tcBorders>
            <w:shd w:val="clear" w:color="auto" w:fill="auto"/>
            <w:tcMar>
              <w:left w:w="113" w:type="dxa"/>
              <w:right w:w="113" w:type="dxa"/>
            </w:tcMar>
            <w:vAlign w:val="center"/>
          </w:tcPr>
          <w:p w14:paraId="3A95170E">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p>
        </w:tc>
        <w:tc>
          <w:tcPr>
            <w:tcW w:w="1260"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507ABF31">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售后服务方案</w:t>
            </w:r>
          </w:p>
        </w:tc>
        <w:tc>
          <w:tcPr>
            <w:tcW w:w="7165" w:type="dxa"/>
            <w:tcBorders>
              <w:top w:val="single" w:color="auto" w:sz="4" w:space="0"/>
              <w:left w:val="single" w:color="auto" w:sz="4" w:space="0"/>
              <w:right w:val="single" w:color="auto" w:sz="4" w:space="0"/>
            </w:tcBorders>
            <w:shd w:val="clear" w:color="auto" w:fill="auto"/>
            <w:tcMar>
              <w:left w:w="113" w:type="dxa"/>
              <w:right w:w="113" w:type="dxa"/>
            </w:tcMar>
            <w:vAlign w:val="center"/>
          </w:tcPr>
          <w:p w14:paraId="59DF2CC5">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both"/>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根据投标人的后续服务方案及保障，服务方案详细，售后保障时间保障到位</w:t>
            </w:r>
            <w:r>
              <w:rPr>
                <w:rFonts w:hint="eastAsia" w:ascii="宋体" w:hAnsi="宋体" w:cs="宋体"/>
                <w:color w:val="auto"/>
                <w:kern w:val="2"/>
                <w:sz w:val="21"/>
                <w:szCs w:val="21"/>
                <w:highlight w:val="none"/>
                <w:lang w:val="en-US" w:eastAsia="zh-CN" w:bidi="ar"/>
              </w:rPr>
              <w:t>以及备品备件</w:t>
            </w:r>
            <w:r>
              <w:rPr>
                <w:rFonts w:hint="eastAsia" w:ascii="宋体" w:hAnsi="宋体" w:eastAsia="宋体" w:cs="宋体"/>
                <w:color w:val="auto"/>
                <w:kern w:val="2"/>
                <w:sz w:val="21"/>
                <w:szCs w:val="21"/>
                <w:highlight w:val="none"/>
                <w:lang w:val="en-US" w:eastAsia="zh-CN" w:bidi="ar"/>
              </w:rPr>
              <w:t>等</w:t>
            </w:r>
            <w:r>
              <w:rPr>
                <w:rFonts w:hint="eastAsia" w:ascii="宋体" w:hAnsi="宋体" w:cs="宋体"/>
                <w:color w:val="auto"/>
                <w:kern w:val="2"/>
                <w:sz w:val="21"/>
                <w:szCs w:val="21"/>
                <w:highlight w:val="none"/>
                <w:lang w:val="en-US" w:eastAsia="zh-CN" w:bidi="ar"/>
              </w:rPr>
              <w:t>情况</w:t>
            </w:r>
            <w:r>
              <w:rPr>
                <w:rFonts w:hint="eastAsia" w:ascii="宋体" w:hAnsi="宋体" w:eastAsia="宋体" w:cs="宋体"/>
                <w:color w:val="auto"/>
                <w:kern w:val="2"/>
                <w:sz w:val="21"/>
                <w:szCs w:val="21"/>
                <w:highlight w:val="none"/>
                <w:lang w:val="en-US" w:eastAsia="zh-CN" w:bidi="ar"/>
              </w:rPr>
              <w:t>进行打分：合理可行，得3.1-4分；基本合理可行，得2.1-3分；整体方案不完整，不能有效执行，得1-2分；不提供不得分。</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54C6830C">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p>
        </w:tc>
      </w:tr>
      <w:tr w14:paraId="2795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9482" w:type="dxa"/>
            <w:gridSpan w:val="3"/>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42F1C302">
            <w:pPr>
              <w:keepNext w:val="0"/>
              <w:keepLines w:val="0"/>
              <w:pageBreakBefore w:val="0"/>
              <w:widowControl/>
              <w:suppressLineNumbers w:val="0"/>
              <w:shd w:val="clear"/>
              <w:wordWrap/>
              <w:topLinePunct w:val="0"/>
              <w:autoSpaceDE/>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合  计</w:t>
            </w:r>
          </w:p>
        </w:tc>
        <w:tc>
          <w:tcPr>
            <w:tcW w:w="1023" w:type="dxa"/>
            <w:tcBorders>
              <w:top w:val="single" w:color="auto" w:sz="4" w:space="0"/>
              <w:left w:val="single" w:color="auto" w:sz="4" w:space="0"/>
              <w:bottom w:val="single" w:color="auto" w:sz="4" w:space="0"/>
              <w:right w:val="single" w:color="auto" w:sz="4" w:space="0"/>
            </w:tcBorders>
            <w:shd w:val="clear" w:color="auto" w:fill="auto"/>
            <w:tcMar>
              <w:left w:w="113" w:type="dxa"/>
              <w:right w:w="113" w:type="dxa"/>
            </w:tcMar>
            <w:vAlign w:val="center"/>
          </w:tcPr>
          <w:p w14:paraId="330995E4">
            <w:pPr>
              <w:keepNext/>
              <w:keepLines/>
              <w:pageBreakBefore w:val="0"/>
              <w:widowControl w:val="0"/>
              <w:suppressLineNumbers w:val="0"/>
              <w:shd w:val="clear"/>
              <w:kinsoku w:val="0"/>
              <w:wordWrap/>
              <w:overflowPunct w:val="0"/>
              <w:topLinePunct w:val="0"/>
              <w:autoSpaceDE/>
              <w:autoSpaceDN w:val="0"/>
              <w:bidi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0-100分</w:t>
            </w:r>
          </w:p>
        </w:tc>
      </w:tr>
      <w:bookmarkEnd w:id="701"/>
      <w:bookmarkEnd w:id="702"/>
      <w:bookmarkEnd w:id="703"/>
      <w:bookmarkEnd w:id="704"/>
      <w:bookmarkEnd w:id="705"/>
      <w:bookmarkEnd w:id="706"/>
      <w:bookmarkEnd w:id="707"/>
      <w:bookmarkEnd w:id="708"/>
      <w:bookmarkEnd w:id="709"/>
      <w:bookmarkEnd w:id="710"/>
      <w:bookmarkEnd w:id="711"/>
      <w:bookmarkEnd w:id="712"/>
      <w:bookmarkEnd w:id="713"/>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tbl>
    <w:p w14:paraId="7910310A">
      <w:pPr>
        <w:widowControl/>
        <w:numPr>
          <w:ilvl w:val="0"/>
          <w:numId w:val="0"/>
        </w:numPr>
        <w:shd w:val="clear"/>
        <w:spacing w:line="312" w:lineRule="auto"/>
        <w:ind w:left="432" w:leftChars="0"/>
        <w:outlineLvl w:val="1"/>
        <w:rPr>
          <w:rFonts w:hint="eastAsia" w:ascii="宋体" w:hAnsi="宋体" w:eastAsia="宋体" w:cs="宋体"/>
          <w:color w:val="auto"/>
          <w:highlight w:val="none"/>
        </w:rPr>
      </w:pPr>
      <w:bookmarkStart w:id="975" w:name="_Toc18889"/>
      <w:bookmarkStart w:id="976" w:name="_Toc23144"/>
      <w:bookmarkStart w:id="977" w:name="_Toc4505"/>
      <w:bookmarkStart w:id="978" w:name="_Toc1518"/>
      <w:bookmarkStart w:id="979" w:name="_Toc20999"/>
      <w:bookmarkStart w:id="980" w:name="_Toc29819"/>
      <w:bookmarkStart w:id="981" w:name="_Toc21134"/>
      <w:bookmarkStart w:id="982" w:name="_Toc6020"/>
      <w:bookmarkStart w:id="983" w:name="_Toc1170"/>
      <w:bookmarkStart w:id="984" w:name="_Toc21063"/>
      <w:bookmarkStart w:id="985" w:name="_Toc32294"/>
      <w:bookmarkStart w:id="986" w:name="_Toc5485"/>
      <w:bookmarkStart w:id="987" w:name="_Toc21281"/>
      <w:bookmarkStart w:id="988" w:name="_Toc29206"/>
      <w:bookmarkStart w:id="989" w:name="_Toc15014"/>
      <w:bookmarkStart w:id="990" w:name="_Toc19280"/>
      <w:bookmarkStart w:id="991" w:name="_Toc4993"/>
      <w:bookmarkStart w:id="992" w:name="_Toc7339"/>
      <w:bookmarkStart w:id="993" w:name="_Toc19763"/>
      <w:bookmarkStart w:id="994" w:name="_Toc2114"/>
      <w:bookmarkStart w:id="995" w:name="_Toc23997"/>
      <w:bookmarkStart w:id="996" w:name="_Toc11297"/>
      <w:bookmarkStart w:id="997" w:name="_Toc9996"/>
      <w:bookmarkStart w:id="998" w:name="_Toc18665"/>
      <w:bookmarkStart w:id="999" w:name="_Toc23988"/>
      <w:bookmarkStart w:id="1000" w:name="_Toc31129"/>
      <w:bookmarkStart w:id="1001" w:name="_Toc13063"/>
      <w:bookmarkStart w:id="1002" w:name="_Toc7272"/>
      <w:bookmarkStart w:id="1003" w:name="_Toc12295"/>
      <w:bookmarkStart w:id="1004" w:name="_Toc2034"/>
      <w:bookmarkStart w:id="1005" w:name="_Toc28717"/>
      <w:bookmarkStart w:id="1006" w:name="_Toc7613"/>
      <w:bookmarkStart w:id="1007" w:name="_Toc676"/>
      <w:bookmarkStart w:id="1008" w:name="_Toc11337"/>
      <w:bookmarkStart w:id="1009" w:name="_Toc3721"/>
      <w:bookmarkStart w:id="1010" w:name="_Toc30259"/>
      <w:bookmarkStart w:id="1011" w:name="_Toc19057"/>
      <w:bookmarkStart w:id="1012" w:name="_Toc23598"/>
      <w:bookmarkStart w:id="1013" w:name="_Toc29100"/>
      <w:bookmarkStart w:id="1014" w:name="_Toc22478"/>
      <w:bookmarkStart w:id="1015" w:name="_Toc30669"/>
      <w:bookmarkStart w:id="1016" w:name="_Toc16468"/>
      <w:bookmarkStart w:id="1017" w:name="_Toc24157"/>
      <w:bookmarkStart w:id="1018" w:name="_Toc1181"/>
      <w:bookmarkStart w:id="1019" w:name="_Toc16940"/>
      <w:bookmarkStart w:id="1020" w:name="_Toc12891"/>
      <w:bookmarkStart w:id="1021" w:name="_Toc29904"/>
      <w:bookmarkStart w:id="1022" w:name="_Toc5433"/>
      <w:bookmarkStart w:id="1023" w:name="_Toc9400"/>
      <w:bookmarkStart w:id="1024" w:name="_Toc391298964"/>
      <w:bookmarkStart w:id="1025" w:name="_Toc347443768"/>
      <w:r>
        <w:rPr>
          <w:rFonts w:hint="eastAsia" w:ascii="宋体" w:hAnsi="宋体" w:cs="宋体"/>
          <w:b/>
          <w:bCs/>
          <w:color w:val="auto"/>
          <w:highlight w:val="none"/>
          <w:lang w:val="en-US" w:eastAsia="zh-CN"/>
        </w:rPr>
        <w:t>十一、</w:t>
      </w:r>
      <w:r>
        <w:rPr>
          <w:rFonts w:hint="eastAsia" w:ascii="宋体" w:hAnsi="宋体" w:cs="宋体"/>
          <w:b/>
          <w:bCs/>
          <w:color w:val="auto"/>
          <w:highlight w:val="none"/>
          <w:lang w:eastAsia="zh-CN"/>
        </w:rPr>
        <w:t>投标人</w:t>
      </w:r>
      <w:r>
        <w:rPr>
          <w:rFonts w:hint="eastAsia" w:ascii="宋体" w:hAnsi="宋体" w:eastAsia="宋体" w:cs="宋体"/>
          <w:b/>
          <w:bCs/>
          <w:color w:val="auto"/>
          <w:highlight w:val="none"/>
        </w:rPr>
        <w:t>不得有下列情形</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6071D747">
      <w:pPr>
        <w:widowControl/>
        <w:shd w:val="clear"/>
        <w:spacing w:line="312"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有下列情形之一的，处以采购项目中标金额千分之五以上千分之十以下的罚款，列入不良行为记录名单，在一至三年内禁止参加采购活动，并予以公告，有违法所得的，并处没收违法所得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情节严重的，由市场监督管理机关吊销营业执照，构成犯罪的，依法追究刑事责任。同时将取消中标资格或者认定中标无效。</w:t>
      </w:r>
    </w:p>
    <w:p w14:paraId="66BD2888">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1.提供虚假材料谋取中标；</w:t>
      </w:r>
    </w:p>
    <w:p w14:paraId="1535B40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2.采取不正当手段诋毁、排挤其他</w:t>
      </w:r>
      <w:r>
        <w:rPr>
          <w:rFonts w:hint="eastAsia" w:ascii="宋体" w:hAnsi="宋体" w:cs="宋体"/>
          <w:color w:val="auto"/>
          <w:highlight w:val="none"/>
          <w:lang w:eastAsia="zh-CN"/>
        </w:rPr>
        <w:t>投标人</w:t>
      </w:r>
      <w:r>
        <w:rPr>
          <w:rFonts w:hint="eastAsia" w:ascii="宋体" w:hAnsi="宋体" w:eastAsia="宋体" w:cs="宋体"/>
          <w:color w:val="auto"/>
          <w:highlight w:val="none"/>
        </w:rPr>
        <w:t>；</w:t>
      </w:r>
    </w:p>
    <w:p w14:paraId="7242856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3.与采购人、其他</w:t>
      </w:r>
      <w:r>
        <w:rPr>
          <w:rFonts w:hint="eastAsia" w:ascii="宋体" w:hAnsi="宋体" w:cs="宋体"/>
          <w:color w:val="auto"/>
          <w:highlight w:val="none"/>
          <w:lang w:eastAsia="zh-CN"/>
        </w:rPr>
        <w:t>投标人</w:t>
      </w:r>
      <w:r>
        <w:rPr>
          <w:rFonts w:hint="eastAsia" w:ascii="宋体" w:hAnsi="宋体" w:eastAsia="宋体" w:cs="宋体"/>
          <w:color w:val="auto"/>
          <w:highlight w:val="none"/>
        </w:rPr>
        <w:t>恶意串通；</w:t>
      </w:r>
    </w:p>
    <w:p w14:paraId="7D5DC42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4.向采购人、评标小组成员行贿或者提供其他不正当利益；</w:t>
      </w:r>
    </w:p>
    <w:p w14:paraId="16E2E17A">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5.在招标过程中与采购人进行协商谈判；</w:t>
      </w:r>
    </w:p>
    <w:p w14:paraId="11E76B3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中标人</w:t>
      </w:r>
      <w:r>
        <w:rPr>
          <w:rFonts w:hint="eastAsia" w:ascii="宋体" w:hAnsi="宋体" w:eastAsia="宋体" w:cs="宋体"/>
          <w:color w:val="auto"/>
          <w:highlight w:val="none"/>
        </w:rPr>
        <w:t>无正当理由拖延或者不与采购人签订采购合同；</w:t>
      </w:r>
    </w:p>
    <w:p w14:paraId="561751F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7.未按照采购文件确定的事项签订采购合同；</w:t>
      </w:r>
    </w:p>
    <w:p w14:paraId="519461A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8.将采购合同转包或者违规分包；</w:t>
      </w:r>
    </w:p>
    <w:p w14:paraId="1199D24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9.提供假冒伪劣产品；</w:t>
      </w:r>
    </w:p>
    <w:p w14:paraId="19698213">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10.擅自变更、中止或者终止采购合同；</w:t>
      </w:r>
    </w:p>
    <w:p w14:paraId="7B07EE1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11.拒绝有关部门的监督检查或者向监督检查部门提供虚假情况；</w:t>
      </w:r>
    </w:p>
    <w:p w14:paraId="45D1D174">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12.法律法规规定的其他情形。</w:t>
      </w:r>
    </w:p>
    <w:p w14:paraId="59F812EA">
      <w:pPr>
        <w:widowControl/>
        <w:shd w:val="clear"/>
        <w:spacing w:line="312" w:lineRule="auto"/>
        <w:ind w:firstLine="482"/>
        <w:outlineLvl w:val="1"/>
        <w:rPr>
          <w:rFonts w:hint="eastAsia" w:ascii="宋体" w:hAnsi="宋体" w:eastAsia="宋体" w:cs="宋体"/>
          <w:b/>
          <w:bCs/>
          <w:color w:val="auto"/>
          <w:highlight w:val="none"/>
        </w:rPr>
      </w:pPr>
      <w:bookmarkStart w:id="1026" w:name="_Toc11628"/>
      <w:bookmarkStart w:id="1027" w:name="_Toc29580"/>
      <w:bookmarkStart w:id="1028" w:name="_Toc12829"/>
      <w:bookmarkStart w:id="1029" w:name="_Toc9039"/>
      <w:bookmarkStart w:id="1030" w:name="_Toc22989"/>
      <w:bookmarkStart w:id="1031" w:name="_Toc20638"/>
      <w:bookmarkStart w:id="1032" w:name="_Toc15843"/>
      <w:bookmarkStart w:id="1033" w:name="_Toc20072"/>
      <w:bookmarkStart w:id="1034" w:name="_Toc6024"/>
      <w:bookmarkStart w:id="1035" w:name="_Toc13406"/>
      <w:bookmarkStart w:id="1036" w:name="_Toc21651"/>
      <w:bookmarkStart w:id="1037" w:name="_Toc26266"/>
      <w:bookmarkStart w:id="1038" w:name="_Toc6548"/>
      <w:bookmarkStart w:id="1039" w:name="_Toc19558"/>
      <w:bookmarkStart w:id="1040" w:name="_Toc11211"/>
      <w:bookmarkStart w:id="1041" w:name="_Toc14056"/>
      <w:bookmarkStart w:id="1042" w:name="_Toc6728"/>
      <w:bookmarkStart w:id="1043" w:name="_Toc7292"/>
      <w:bookmarkStart w:id="1044" w:name="_Toc4304"/>
      <w:bookmarkStart w:id="1045" w:name="_Toc20601"/>
      <w:bookmarkStart w:id="1046" w:name="_Toc4873"/>
      <w:bookmarkStart w:id="1047" w:name="_Toc8601"/>
      <w:bookmarkStart w:id="1048" w:name="_Toc6048"/>
      <w:bookmarkStart w:id="1049" w:name="_Toc2041"/>
      <w:bookmarkStart w:id="1050" w:name="_Toc27647"/>
      <w:bookmarkStart w:id="1051" w:name="_Toc552"/>
      <w:bookmarkStart w:id="1052" w:name="_Toc29636"/>
      <w:bookmarkStart w:id="1053" w:name="_Toc4296"/>
      <w:bookmarkStart w:id="1054" w:name="_Toc9063"/>
      <w:bookmarkStart w:id="1055" w:name="_Toc31870"/>
      <w:bookmarkStart w:id="1056" w:name="_Toc30885"/>
      <w:bookmarkStart w:id="1057" w:name="_Toc24586"/>
      <w:bookmarkStart w:id="1058" w:name="_Toc16037"/>
      <w:bookmarkStart w:id="1059" w:name="_Toc23017"/>
      <w:bookmarkStart w:id="1060" w:name="_Toc19855"/>
      <w:bookmarkStart w:id="1061" w:name="_Toc10181"/>
      <w:bookmarkStart w:id="1062" w:name="_Toc21968"/>
      <w:bookmarkStart w:id="1063" w:name="_Toc32341"/>
      <w:bookmarkStart w:id="1064" w:name="_Toc2473"/>
      <w:bookmarkStart w:id="1065" w:name="_Toc32296"/>
      <w:bookmarkStart w:id="1066" w:name="_Toc7226"/>
      <w:bookmarkStart w:id="1067" w:name="_Toc17389"/>
      <w:bookmarkStart w:id="1068" w:name="_Toc16516"/>
      <w:bookmarkStart w:id="1069" w:name="_Toc8750"/>
      <w:bookmarkStart w:id="1070" w:name="_Toc16522"/>
      <w:bookmarkStart w:id="1071" w:name="_Toc25321"/>
      <w:bookmarkStart w:id="1072" w:name="_Toc22553"/>
      <w:bookmarkStart w:id="1073" w:name="_Toc20449"/>
      <w:bookmarkStart w:id="1074" w:name="_Toc18036"/>
      <w:bookmarkStart w:id="1075" w:name="_Toc4226"/>
      <w:bookmarkStart w:id="1076" w:name="_Toc21777"/>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、串通投标情形</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6EB85131">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招标采购中，有下列情形之一的，视为</w:t>
      </w:r>
      <w:r>
        <w:rPr>
          <w:rFonts w:hint="eastAsia" w:ascii="宋体" w:hAnsi="宋体" w:cs="宋体"/>
          <w:color w:val="auto"/>
          <w:highlight w:val="none"/>
          <w:lang w:eastAsia="zh-CN"/>
        </w:rPr>
        <w:t>投标人</w:t>
      </w:r>
      <w:r>
        <w:rPr>
          <w:rFonts w:hint="eastAsia" w:ascii="宋体" w:hAnsi="宋体" w:eastAsia="宋体" w:cs="宋体"/>
          <w:color w:val="auto"/>
          <w:highlight w:val="none"/>
        </w:rPr>
        <w:t>串通投标，其投标无效：</w:t>
      </w:r>
    </w:p>
    <w:p w14:paraId="7B72C202">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的投标文件由同一单位或者个人编制；</w:t>
      </w:r>
    </w:p>
    <w:p w14:paraId="23A0FE80">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委托同一单位或者个人办理投标事宜；</w:t>
      </w:r>
    </w:p>
    <w:p w14:paraId="1249C21F">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的投标文件载明的项目管理成员或者联系人员为同一人；</w:t>
      </w:r>
    </w:p>
    <w:p w14:paraId="74D14CA7">
      <w:pPr>
        <w:widowControl/>
        <w:shd w:val="clear"/>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的投标文件异常一致或者投标报价呈规律性差异；</w:t>
      </w:r>
    </w:p>
    <w:p w14:paraId="35EA08FC">
      <w:pPr>
        <w:widowControl/>
        <w:shd w:val="clear"/>
        <w:spacing w:line="312" w:lineRule="auto"/>
        <w:ind w:firstLine="480"/>
        <w:rPr>
          <w:rFonts w:hint="eastAsia"/>
          <w:color w:val="auto"/>
          <w:highlight w:val="none"/>
          <w:lang w:val="zh-CN"/>
        </w:rPr>
      </w:pPr>
      <w:r>
        <w:rPr>
          <w:rFonts w:hint="eastAsia" w:ascii="宋体" w:hAnsi="宋体" w:eastAsia="宋体" w:cs="宋体"/>
          <w:color w:val="auto"/>
          <w:highlight w:val="none"/>
        </w:rPr>
        <w:t>5.不同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的投标文件相互</w:t>
      </w:r>
      <w:r>
        <w:rPr>
          <w:rFonts w:hint="eastAsia" w:ascii="宋体" w:hAnsi="宋体" w:eastAsia="宋体" w:cs="宋体"/>
          <w:color w:val="auto"/>
          <w:highlight w:val="none"/>
          <w:lang w:val="en-US" w:eastAsia="zh-CN"/>
        </w:rPr>
        <w:t>上传</w:t>
      </w:r>
      <w:r>
        <w:rPr>
          <w:rFonts w:hint="eastAsia" w:ascii="宋体" w:hAnsi="宋体" w:eastAsia="宋体" w:cs="宋体"/>
          <w:color w:val="auto"/>
          <w:highlight w:val="none"/>
        </w:rPr>
        <w:t>。</w:t>
      </w:r>
      <w:bookmarkEnd w:id="1024"/>
      <w:bookmarkEnd w:id="1025"/>
      <w:bookmarkStart w:id="1077" w:name="_Toc18870"/>
      <w:bookmarkStart w:id="1078" w:name="_Toc21613"/>
      <w:bookmarkStart w:id="1079" w:name="_Toc2753"/>
      <w:bookmarkStart w:id="1080" w:name="_Toc19257"/>
      <w:bookmarkStart w:id="1081" w:name="_Toc29233"/>
      <w:bookmarkStart w:id="1082" w:name="_Toc22692"/>
      <w:bookmarkStart w:id="1083" w:name="_Toc12079"/>
      <w:bookmarkStart w:id="1084" w:name="_Toc2605"/>
      <w:bookmarkStart w:id="1085" w:name="_Toc6786"/>
      <w:bookmarkStart w:id="1086" w:name="_Toc3409"/>
      <w:bookmarkStart w:id="1087" w:name="_Toc18455"/>
      <w:bookmarkStart w:id="1088" w:name="_Toc27434"/>
      <w:bookmarkStart w:id="1089" w:name="_Toc6811"/>
      <w:bookmarkStart w:id="1090" w:name="_Toc13948"/>
      <w:bookmarkStart w:id="1091" w:name="_Toc14386"/>
      <w:bookmarkStart w:id="1092" w:name="_Toc15963"/>
      <w:bookmarkStart w:id="1093" w:name="_Toc12019"/>
      <w:bookmarkStart w:id="1094" w:name="_Toc23764"/>
      <w:bookmarkStart w:id="1095" w:name="_Toc11472"/>
      <w:bookmarkStart w:id="1096" w:name="_Toc2346"/>
      <w:bookmarkStart w:id="1097" w:name="_Toc5424"/>
      <w:bookmarkStart w:id="1098" w:name="_Toc18436"/>
      <w:bookmarkStart w:id="1099" w:name="_Toc4116"/>
      <w:bookmarkStart w:id="1100" w:name="_Toc21055"/>
      <w:bookmarkStart w:id="1101" w:name="_Toc10388"/>
      <w:bookmarkStart w:id="1102" w:name="_Toc21758"/>
      <w:bookmarkStart w:id="1103" w:name="_Toc9891"/>
      <w:bookmarkStart w:id="1104" w:name="_Toc10123"/>
      <w:bookmarkStart w:id="1105" w:name="_Toc8221"/>
      <w:bookmarkStart w:id="1106" w:name="_Toc31476"/>
      <w:bookmarkStart w:id="1107" w:name="_Toc6295"/>
      <w:bookmarkStart w:id="1108" w:name="_Toc6998"/>
      <w:bookmarkStart w:id="1109" w:name="_Toc9181"/>
      <w:bookmarkStart w:id="1110" w:name="_Toc10485"/>
      <w:bookmarkStart w:id="1111" w:name="_Toc15825"/>
      <w:bookmarkStart w:id="1112" w:name="_Toc11540"/>
      <w:bookmarkStart w:id="1113" w:name="_Toc29727"/>
      <w:bookmarkStart w:id="1114" w:name="_Toc19268"/>
      <w:bookmarkStart w:id="1115" w:name="_Toc3385"/>
      <w:bookmarkStart w:id="1116" w:name="_Toc10740"/>
      <w:bookmarkStart w:id="1117" w:name="_Toc12338"/>
      <w:bookmarkStart w:id="1118" w:name="_Toc22487"/>
      <w:bookmarkStart w:id="1119" w:name="_Toc19009"/>
      <w:bookmarkStart w:id="1120" w:name="_Toc22259"/>
      <w:bookmarkStart w:id="1121" w:name="_Toc19304"/>
      <w:bookmarkStart w:id="1122" w:name="_Toc3583"/>
      <w:bookmarkStart w:id="1123" w:name="_Toc10"/>
      <w:bookmarkStart w:id="1124" w:name="_Toc30553"/>
      <w:bookmarkStart w:id="1125" w:name="_Toc27395"/>
      <w:bookmarkStart w:id="1126" w:name="_Toc25156"/>
      <w:bookmarkStart w:id="1127" w:name="_Toc24952"/>
      <w:bookmarkStart w:id="1128" w:name="_Toc21350"/>
      <w:bookmarkStart w:id="1129" w:name="_Toc20951"/>
      <w:bookmarkStart w:id="1130" w:name="_Toc32471"/>
      <w:bookmarkStart w:id="1131" w:name="_Toc7563"/>
      <w:bookmarkStart w:id="1132" w:name="_Toc11924"/>
      <w:bookmarkStart w:id="1133" w:name="_Toc16839"/>
      <w:bookmarkStart w:id="1134" w:name="_Toc3502"/>
      <w:bookmarkStart w:id="1135" w:name="_Toc9705"/>
      <w:bookmarkStart w:id="1136" w:name="_Toc10670"/>
      <w:bookmarkStart w:id="1137" w:name="_Toc16056"/>
      <w:bookmarkStart w:id="1138" w:name="_Toc9609"/>
      <w:bookmarkStart w:id="1139" w:name="_Toc25656"/>
      <w:bookmarkStart w:id="1140" w:name="_Toc3375"/>
      <w:bookmarkStart w:id="1141" w:name="_Toc32257"/>
      <w:bookmarkStart w:id="1142" w:name="_Toc1556"/>
      <w:bookmarkStart w:id="1143" w:name="_Toc245"/>
      <w:bookmarkStart w:id="1144" w:name="_Toc662"/>
      <w:bookmarkStart w:id="1145" w:name="_Toc15295"/>
      <w:bookmarkStart w:id="1146" w:name="_Toc11107"/>
      <w:bookmarkStart w:id="1147" w:name="_Toc23998"/>
      <w:bookmarkStart w:id="1148" w:name="_Toc26456"/>
      <w:bookmarkStart w:id="1149" w:name="_Toc391298965"/>
      <w:bookmarkStart w:id="1150" w:name="_Toc7009"/>
    </w:p>
    <w:p w14:paraId="19A62278">
      <w:pPr>
        <w:pStyle w:val="5"/>
        <w:numPr>
          <w:ilvl w:val="0"/>
          <w:numId w:val="0"/>
        </w:numPr>
        <w:shd w:val="clear"/>
        <w:spacing w:before="312" w:after="312"/>
        <w:jc w:val="center"/>
        <w:rPr>
          <w:rFonts w:hint="eastAsia" w:ascii="宋体" w:hAnsi="宋体" w:eastAsia="宋体" w:cs="宋体"/>
          <w:color w:val="auto"/>
          <w:highlight w:val="none"/>
          <w:lang w:val="zh-CN"/>
        </w:rPr>
      </w:pPr>
      <w:bookmarkStart w:id="1151" w:name="_Toc31801"/>
      <w:r>
        <w:rPr>
          <w:rFonts w:hint="eastAsia" w:ascii="宋体" w:hAnsi="宋体" w:eastAsia="宋体" w:cs="宋体"/>
          <w:color w:val="auto"/>
          <w:highlight w:val="none"/>
          <w:lang w:val="zh-CN"/>
        </w:rPr>
        <w:t xml:space="preserve">第五章  </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Start w:id="1152" w:name="_Toc6903"/>
      <w:bookmarkStart w:id="1153" w:name="_Toc29250"/>
      <w:bookmarkStart w:id="1154" w:name="_Toc10276"/>
      <w:bookmarkStart w:id="1155" w:name="_Toc24583"/>
      <w:bookmarkStart w:id="1156" w:name="_Toc12950"/>
      <w:bookmarkStart w:id="1157" w:name="_Toc25963"/>
      <w:bookmarkStart w:id="1158" w:name="_Toc32577"/>
      <w:bookmarkStart w:id="1159" w:name="_Toc11201"/>
      <w:bookmarkStart w:id="1160" w:name="_Toc8633"/>
      <w:bookmarkStart w:id="1161" w:name="_Toc3065"/>
      <w:bookmarkStart w:id="1162" w:name="_Toc20673"/>
      <w:bookmarkStart w:id="1163" w:name="_Toc10444"/>
      <w:bookmarkStart w:id="1164" w:name="_Toc17266"/>
      <w:bookmarkStart w:id="1165" w:name="_Toc17425"/>
      <w:bookmarkStart w:id="1166" w:name="_Toc32036"/>
      <w:bookmarkStart w:id="1167" w:name="_Toc7361"/>
      <w:bookmarkStart w:id="1168" w:name="_Toc7962"/>
      <w:bookmarkStart w:id="1169" w:name="_Toc9250"/>
      <w:bookmarkStart w:id="1170" w:name="_Toc19483"/>
      <w:bookmarkStart w:id="1171" w:name="_Toc20389"/>
      <w:bookmarkStart w:id="1172" w:name="_Toc12620"/>
      <w:r>
        <w:rPr>
          <w:rFonts w:hint="eastAsia" w:ascii="宋体" w:hAnsi="宋体" w:eastAsia="宋体" w:cs="宋体"/>
          <w:color w:val="auto"/>
          <w:highlight w:val="none"/>
          <w:lang w:val="zh-CN"/>
        </w:rPr>
        <w:t>合同条款及格式</w:t>
      </w:r>
      <w:bookmarkEnd w:id="1133"/>
      <w:bookmarkEnd w:id="1134"/>
      <w:bookmarkEnd w:id="1135"/>
      <w:bookmarkEnd w:id="1151"/>
    </w:p>
    <w:p w14:paraId="1796C434">
      <w:pPr>
        <w:pStyle w:val="5"/>
        <w:numPr>
          <w:ilvl w:val="255"/>
          <w:numId w:val="0"/>
        </w:numPr>
        <w:shd w:val="clear"/>
        <w:spacing w:before="312" w:after="312"/>
        <w:outlineLvl w:val="9"/>
        <w:rPr>
          <w:rFonts w:hint="eastAsia"/>
          <w:color w:val="auto"/>
          <w:sz w:val="72"/>
          <w:szCs w:val="72"/>
          <w:highlight w:val="none"/>
        </w:rPr>
      </w:pPr>
      <w:bookmarkStart w:id="1173" w:name="_Toc7462"/>
      <w:bookmarkStart w:id="1174" w:name="_Toc20445"/>
      <w:bookmarkStart w:id="1175" w:name="_Toc310"/>
      <w:bookmarkStart w:id="1176" w:name="_Toc18205"/>
      <w:bookmarkStart w:id="1177" w:name="_Toc3667"/>
      <w:bookmarkStart w:id="1178" w:name="_Toc9100"/>
      <w:bookmarkStart w:id="1179" w:name="_Toc13985"/>
      <w:bookmarkStart w:id="1180" w:name="_Toc28792"/>
      <w:bookmarkStart w:id="1181" w:name="_Toc20014"/>
      <w:bookmarkStart w:id="1182" w:name="_Toc30463"/>
      <w:bookmarkStart w:id="1183" w:name="_Toc28685"/>
      <w:bookmarkStart w:id="1184" w:name="_Toc25530"/>
      <w:bookmarkStart w:id="1185" w:name="_Toc24158"/>
      <w:bookmarkStart w:id="1186" w:name="_Toc6249"/>
      <w:bookmarkStart w:id="1187" w:name="_Toc5287"/>
      <w:bookmarkStart w:id="1188" w:name="_Toc22009"/>
      <w:bookmarkStart w:id="1189" w:name="_Toc18678"/>
      <w:bookmarkStart w:id="1190" w:name="_Toc25691"/>
      <w:bookmarkStart w:id="1191" w:name="_Toc8199"/>
      <w:bookmarkStart w:id="1192" w:name="_Toc18785"/>
      <w:bookmarkStart w:id="1193" w:name="_Toc9086"/>
      <w:bookmarkStart w:id="1194" w:name="_Toc30991"/>
      <w:bookmarkStart w:id="1195" w:name="_Toc2988"/>
      <w:bookmarkStart w:id="1196" w:name="_Toc31703"/>
      <w:bookmarkStart w:id="1197" w:name="_Toc2375"/>
      <w:bookmarkStart w:id="1198" w:name="_Toc31326"/>
      <w:bookmarkStart w:id="1199" w:name="_Toc6502"/>
      <w:bookmarkStart w:id="1200" w:name="_Toc9121"/>
      <w:bookmarkStart w:id="1201" w:name="_Toc81372788"/>
      <w:bookmarkStart w:id="1202" w:name="_Toc5891"/>
      <w:bookmarkStart w:id="1203" w:name="_Toc10223"/>
      <w:bookmarkStart w:id="1204" w:name="_Toc84325982"/>
      <w:bookmarkStart w:id="1205" w:name="_Toc11132"/>
      <w:bookmarkStart w:id="1206" w:name="_Toc7230"/>
      <w:bookmarkStart w:id="1207" w:name="_Toc80157776"/>
      <w:bookmarkStart w:id="1208" w:name="_Toc81372965"/>
      <w:bookmarkStart w:id="1209" w:name="_Toc16586"/>
      <w:bookmarkStart w:id="1210" w:name="_Toc16627"/>
    </w:p>
    <w:p w14:paraId="0D92349E">
      <w:pPr>
        <w:pStyle w:val="5"/>
        <w:numPr>
          <w:ilvl w:val="255"/>
          <w:numId w:val="0"/>
        </w:numPr>
        <w:shd w:val="clear"/>
        <w:spacing w:before="312" w:after="312"/>
        <w:outlineLvl w:val="9"/>
        <w:rPr>
          <w:rFonts w:hint="eastAsia"/>
          <w:color w:val="auto"/>
          <w:sz w:val="72"/>
          <w:szCs w:val="72"/>
          <w:highlight w:val="none"/>
        </w:rPr>
      </w:pPr>
    </w:p>
    <w:p w14:paraId="346BBF71">
      <w:pPr>
        <w:pStyle w:val="5"/>
        <w:numPr>
          <w:ilvl w:val="255"/>
          <w:numId w:val="0"/>
        </w:numPr>
        <w:shd w:val="clear"/>
        <w:spacing w:before="312" w:after="312"/>
        <w:outlineLvl w:val="1"/>
        <w:rPr>
          <w:color w:val="auto"/>
          <w:sz w:val="72"/>
          <w:szCs w:val="72"/>
          <w:highlight w:val="none"/>
        </w:rPr>
      </w:pPr>
      <w:bookmarkStart w:id="1211" w:name="_Toc31945"/>
      <w:bookmarkStart w:id="1212" w:name="_Toc6776"/>
      <w:bookmarkStart w:id="1213" w:name="_Toc29702"/>
      <w:r>
        <w:rPr>
          <w:rFonts w:hint="eastAsia"/>
          <w:color w:val="auto"/>
          <w:sz w:val="72"/>
          <w:szCs w:val="72"/>
          <w:highlight w:val="none"/>
        </w:rPr>
        <w:t>采 购 合 同</w:t>
      </w:r>
      <w:bookmarkEnd w:id="1173"/>
      <w:bookmarkEnd w:id="1174"/>
      <w:bookmarkEnd w:id="1175"/>
      <w:bookmarkEnd w:id="1176"/>
      <w:bookmarkEnd w:id="1211"/>
      <w:bookmarkEnd w:id="1212"/>
      <w:bookmarkEnd w:id="1213"/>
    </w:p>
    <w:p w14:paraId="5D2DAA5F">
      <w:pPr>
        <w:shd w:val="clear"/>
        <w:ind w:firstLine="482"/>
        <w:rPr>
          <w:rFonts w:ascii="宋体" w:hAnsi="宋体"/>
          <w:color w:val="auto"/>
          <w:highlight w:val="none"/>
        </w:rPr>
      </w:pPr>
      <w:r>
        <w:rPr>
          <w:rFonts w:hint="eastAsia" w:ascii="宋体" w:hAnsi="宋体"/>
          <w:b/>
          <w:color w:val="auto"/>
          <w:highlight w:val="none"/>
        </w:rPr>
        <w:t xml:space="preserve"> </w:t>
      </w:r>
    </w:p>
    <w:p w14:paraId="7EB357FF">
      <w:pPr>
        <w:shd w:val="clear"/>
        <w:ind w:firstLine="482"/>
        <w:rPr>
          <w:rFonts w:ascii="宋体" w:hAnsi="宋体"/>
          <w:color w:val="auto"/>
          <w:highlight w:val="none"/>
        </w:rPr>
      </w:pPr>
      <w:r>
        <w:rPr>
          <w:rFonts w:hint="eastAsia" w:ascii="宋体" w:hAnsi="宋体"/>
          <w:b/>
          <w:color w:val="auto"/>
          <w:highlight w:val="none"/>
        </w:rPr>
        <w:t xml:space="preserve">               </w:t>
      </w:r>
    </w:p>
    <w:p w14:paraId="237A0D74">
      <w:pPr>
        <w:shd w:val="clear"/>
        <w:ind w:firstLine="482"/>
        <w:rPr>
          <w:rFonts w:ascii="宋体" w:hAnsi="宋体"/>
          <w:color w:val="auto"/>
          <w:highlight w:val="none"/>
        </w:rPr>
      </w:pPr>
      <w:r>
        <w:rPr>
          <w:rFonts w:hint="eastAsia" w:ascii="宋体" w:hAnsi="宋体"/>
          <w:b/>
          <w:color w:val="auto"/>
          <w:highlight w:val="none"/>
        </w:rPr>
        <w:t xml:space="preserve">                                            合同编号：</w:t>
      </w:r>
      <w:r>
        <w:rPr>
          <w:rFonts w:hint="eastAsia" w:ascii="宋体" w:hAnsi="宋体"/>
          <w:b/>
          <w:color w:val="auto"/>
          <w:highlight w:val="none"/>
          <w:u w:val="single"/>
        </w:rPr>
        <w:t xml:space="preserve">             </w:t>
      </w:r>
    </w:p>
    <w:p w14:paraId="2CCFE88D">
      <w:pPr>
        <w:shd w:val="clear"/>
        <w:ind w:firstLine="480"/>
        <w:rPr>
          <w:rFonts w:ascii="宋体" w:hAnsi="宋体"/>
          <w:color w:val="auto"/>
          <w:highlight w:val="none"/>
        </w:rPr>
      </w:pPr>
    </w:p>
    <w:p w14:paraId="2DADA579">
      <w:pPr>
        <w:shd w:val="clear"/>
        <w:ind w:firstLine="480"/>
        <w:rPr>
          <w:rFonts w:ascii="宋体" w:hAnsi="宋体"/>
          <w:color w:val="auto"/>
          <w:highlight w:val="none"/>
        </w:rPr>
      </w:pPr>
    </w:p>
    <w:p w14:paraId="46DEF376">
      <w:pPr>
        <w:shd w:val="clear"/>
        <w:ind w:firstLine="960" w:firstLineChars="40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p w14:paraId="0E2C0659">
      <w:pPr>
        <w:shd w:val="clea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14AEA0EC">
      <w:pPr>
        <w:shd w:val="clear"/>
        <w:snapToGrid w:val="0"/>
        <w:spacing w:before="119" w:line="272" w:lineRule="atLeast"/>
        <w:ind w:firstLine="0" w:firstLineChars="0"/>
        <w:rPr>
          <w:rFonts w:ascii="宋体" w:hAnsi="宋体"/>
          <w:color w:val="auto"/>
          <w:highlight w:val="none"/>
        </w:rPr>
      </w:pPr>
    </w:p>
    <w:p w14:paraId="3C482C62">
      <w:pPr>
        <w:shd w:val="clear"/>
        <w:snapToGrid w:val="0"/>
        <w:spacing w:before="119" w:line="272" w:lineRule="atLeast"/>
        <w:ind w:firstLine="480"/>
        <w:rPr>
          <w:rFonts w:ascii="宋体" w:hAnsi="宋体"/>
          <w:color w:val="auto"/>
          <w:highlight w:val="none"/>
        </w:rPr>
      </w:pPr>
    </w:p>
    <w:p w14:paraId="2EF46145">
      <w:pPr>
        <w:shd w:val="clea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采购人：</w:t>
      </w:r>
      <w:r>
        <w:rPr>
          <w:rFonts w:hint="eastAsia" w:ascii="宋体" w:hAnsi="宋体"/>
          <w:color w:val="auto"/>
          <w:highlight w:val="none"/>
          <w:u w:val="single"/>
        </w:rPr>
        <w:t xml:space="preserve">                                  </w:t>
      </w:r>
      <w:r>
        <w:rPr>
          <w:rFonts w:hint="eastAsia" w:ascii="宋体" w:hAnsi="宋体"/>
          <w:color w:val="auto"/>
          <w:highlight w:val="none"/>
        </w:rPr>
        <w:t>（以下称甲方）　</w:t>
      </w:r>
    </w:p>
    <w:p w14:paraId="23C97613">
      <w:pPr>
        <w:shd w:val="clea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4554185D">
      <w:pPr>
        <w:shd w:val="clea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lang w:eastAsia="zh-CN"/>
        </w:rPr>
        <w:t>中标人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 xml:space="preserve">（以下称乙方）　  　     </w:t>
      </w:r>
    </w:p>
    <w:p w14:paraId="436371D6">
      <w:pPr>
        <w:shd w:val="clear"/>
        <w:snapToGrid w:val="0"/>
        <w:spacing w:before="119" w:line="272" w:lineRule="atLeast"/>
        <w:ind w:left="958" w:firstLine="480"/>
        <w:jc w:val="center"/>
        <w:rPr>
          <w:rFonts w:ascii="宋体" w:hAnsi="宋体"/>
          <w:color w:val="auto"/>
          <w:highlight w:val="none"/>
        </w:rPr>
      </w:pPr>
    </w:p>
    <w:p w14:paraId="6D28831E">
      <w:pPr>
        <w:pStyle w:val="4"/>
        <w:shd w:val="clear"/>
        <w:ind w:left="0"/>
        <w:rPr>
          <w:color w:val="auto"/>
          <w:highlight w:val="none"/>
        </w:rPr>
      </w:pPr>
    </w:p>
    <w:p w14:paraId="17D56FE1">
      <w:pPr>
        <w:shd w:val="clear"/>
        <w:ind w:left="0" w:leftChars="0" w:firstLine="0" w:firstLineChars="0"/>
        <w:rPr>
          <w:color w:val="auto"/>
          <w:highlight w:val="none"/>
        </w:rPr>
      </w:pPr>
    </w:p>
    <w:p w14:paraId="4EC1F7E3">
      <w:pPr>
        <w:shd w:val="clear"/>
        <w:snapToGrid w:val="0"/>
        <w:spacing w:before="119" w:line="272" w:lineRule="atLeast"/>
        <w:ind w:left="958" w:firstLine="480"/>
        <w:jc w:val="center"/>
        <w:rPr>
          <w:rFonts w:ascii="宋体" w:hAnsi="宋体"/>
          <w:color w:val="auto"/>
          <w:highlight w:val="none"/>
        </w:rPr>
      </w:pPr>
    </w:p>
    <w:p w14:paraId="73AD5781">
      <w:pPr>
        <w:pStyle w:val="40"/>
        <w:shd w:val="clear"/>
        <w:ind w:left="480"/>
        <w:rPr>
          <w:rFonts w:hint="default"/>
          <w:color w:val="auto"/>
          <w:highlight w:val="none"/>
        </w:rPr>
      </w:pPr>
    </w:p>
    <w:p w14:paraId="0DF7EF08">
      <w:pPr>
        <w:shd w:val="clea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签署地点：</w:t>
      </w:r>
      <w:r>
        <w:rPr>
          <w:rFonts w:hint="eastAsia" w:ascii="宋体" w:hAnsi="宋体"/>
          <w:color w:val="auto"/>
          <w:highlight w:val="none"/>
          <w:u w:val="single"/>
        </w:rPr>
        <w:t xml:space="preserve">                                         </w:t>
      </w:r>
    </w:p>
    <w:p w14:paraId="7FB3A54A">
      <w:pPr>
        <w:shd w:val="clear"/>
        <w:snapToGrid w:val="0"/>
        <w:spacing w:before="119" w:line="272" w:lineRule="atLeast"/>
        <w:ind w:left="958" w:firstLine="480"/>
        <w:rPr>
          <w:rFonts w:ascii="宋体" w:hAnsi="宋体"/>
          <w:color w:val="auto"/>
          <w:highlight w:val="none"/>
        </w:rPr>
      </w:pPr>
    </w:p>
    <w:p w14:paraId="057C7ACD">
      <w:pPr>
        <w:shd w:val="clear"/>
        <w:snapToGrid w:val="0"/>
        <w:spacing w:before="119" w:line="272" w:lineRule="atLeast"/>
        <w:ind w:firstLine="1200" w:firstLineChars="500"/>
        <w:rPr>
          <w:rFonts w:hint="eastAsia" w:ascii="宋体" w:hAnsi="宋体" w:eastAsia="宋体" w:cs="宋体"/>
          <w:b/>
          <w:bCs/>
          <w:color w:val="auto"/>
          <w:sz w:val="32"/>
          <w:szCs w:val="32"/>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14:paraId="3AE65875">
      <w:pPr>
        <w:keepNext w:val="0"/>
        <w:keepLines w:val="0"/>
        <w:widowControl/>
        <w:suppressLineNumbers w:val="0"/>
        <w:shd w:val="clear"/>
        <w:spacing w:before="0" w:beforeLines="0" w:beforeAutospacing="0" w:after="0" w:afterLines="0" w:afterAutospacing="0" w:line="312" w:lineRule="auto"/>
        <w:ind w:left="0" w:right="0" w:firstLine="0" w:firstLineChars="0"/>
        <w:jc w:val="center"/>
        <w:outlineLvl w:val="1"/>
        <w:rPr>
          <w:rFonts w:hint="eastAsia" w:ascii="宋体" w:hAnsi="宋体" w:eastAsia="宋体" w:cs="宋体"/>
          <w:b/>
          <w:bCs/>
          <w:color w:val="auto"/>
          <w:sz w:val="32"/>
          <w:szCs w:val="32"/>
          <w:highlight w:val="none"/>
          <w:lang w:val="en-US" w:eastAsia="zh-CN" w:bidi="ar"/>
        </w:rPr>
      </w:pPr>
      <w:bookmarkStart w:id="1214" w:name="_Toc29297"/>
      <w:bookmarkStart w:id="1215" w:name="_Toc15978"/>
      <w:bookmarkStart w:id="1216" w:name="_Toc276"/>
      <w:bookmarkStart w:id="1217" w:name="_Toc7173"/>
      <w:bookmarkStart w:id="1218" w:name="_Toc2689"/>
      <w:bookmarkStart w:id="1219" w:name="_Toc21987"/>
      <w:bookmarkStart w:id="1220" w:name="_Toc24484"/>
      <w:bookmarkStart w:id="1221" w:name="_Toc29433"/>
      <w:bookmarkStart w:id="1222" w:name="_Toc13586"/>
      <w:bookmarkStart w:id="1223" w:name="_Toc25708"/>
      <w:r>
        <w:rPr>
          <w:rFonts w:hint="eastAsia" w:ascii="宋体" w:hAnsi="宋体" w:cs="宋体"/>
          <w:b/>
          <w:bCs/>
          <w:color w:val="auto"/>
          <w:sz w:val="32"/>
          <w:szCs w:val="32"/>
          <w:highlight w:val="none"/>
          <w:lang w:val="en-US" w:eastAsia="zh-CN" w:bidi="ar"/>
        </w:rPr>
        <w:t>龙游县龙南污水厂建设工程设备采购招标</w:t>
      </w:r>
      <w:r>
        <w:rPr>
          <w:rFonts w:hint="eastAsia" w:ascii="宋体" w:hAnsi="宋体" w:eastAsia="宋体" w:cs="宋体"/>
          <w:b/>
          <w:bCs/>
          <w:color w:val="auto"/>
          <w:sz w:val="32"/>
          <w:szCs w:val="32"/>
          <w:highlight w:val="none"/>
          <w:lang w:val="en-US" w:eastAsia="zh-CN" w:bidi="ar"/>
        </w:rPr>
        <w:t>合同</w:t>
      </w:r>
      <w:bookmarkEnd w:id="1214"/>
      <w:bookmarkEnd w:id="1215"/>
      <w:bookmarkEnd w:id="1216"/>
      <w:bookmarkEnd w:id="1217"/>
    </w:p>
    <w:p w14:paraId="68D5570E">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甲方：</w:t>
      </w:r>
      <w:r>
        <w:rPr>
          <w:rFonts w:hint="eastAsia" w:ascii="宋体" w:hAnsi="宋体" w:eastAsia="宋体" w:cs="宋体"/>
          <w:color w:val="auto"/>
          <w:kern w:val="0"/>
          <w:sz w:val="24"/>
          <w:szCs w:val="24"/>
          <w:highlight w:val="none"/>
          <w:u w:val="single"/>
          <w:lang w:val="en-US" w:eastAsia="zh-CN" w:bidi="ar"/>
        </w:rPr>
        <w:t xml:space="preserve">                </w:t>
      </w:r>
    </w:p>
    <w:p w14:paraId="07982C33">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u w:val="single"/>
          <w:lang w:val="en-US" w:eastAsia="zh-CN" w:bidi="ar"/>
        </w:rPr>
        <w:t xml:space="preserve">                </w:t>
      </w:r>
    </w:p>
    <w:p w14:paraId="1FA79280">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0"/>
          <w:sz w:val="24"/>
          <w:szCs w:val="24"/>
          <w:highlight w:val="none"/>
          <w:u w:val="single"/>
          <w:lang w:val="en-US" w:eastAsia="zh-CN" w:bidi="ar"/>
        </w:rPr>
        <w:t xml:space="preserve">   （采购人）   </w:t>
      </w:r>
      <w:r>
        <w:rPr>
          <w:rFonts w:hint="eastAsia" w:ascii="宋体" w:hAnsi="宋体" w:eastAsia="宋体" w:cs="宋体"/>
          <w:color w:val="auto"/>
          <w:kern w:val="0"/>
          <w:sz w:val="24"/>
          <w:szCs w:val="24"/>
          <w:highlight w:val="none"/>
          <w:lang w:val="en-US" w:eastAsia="zh-CN" w:bidi="ar"/>
        </w:rPr>
        <w:t>以</w:t>
      </w:r>
      <w:r>
        <w:rPr>
          <w:rFonts w:hint="eastAsia" w:ascii="宋体" w:hAnsi="宋体" w:eastAsia="宋体" w:cs="宋体"/>
          <w:color w:val="auto"/>
          <w:kern w:val="0"/>
          <w:sz w:val="24"/>
          <w:szCs w:val="24"/>
          <w:highlight w:val="none"/>
          <w:u w:val="single"/>
          <w:lang w:val="en-US" w:eastAsia="zh-CN" w:bidi="ar"/>
        </w:rPr>
        <w:t xml:space="preserve">   （采购方式） </w:t>
      </w:r>
      <w:r>
        <w:rPr>
          <w:rFonts w:hint="eastAsia" w:ascii="宋体" w:hAnsi="宋体" w:eastAsia="宋体" w:cs="宋体"/>
          <w:color w:val="auto"/>
          <w:kern w:val="0"/>
          <w:sz w:val="24"/>
          <w:szCs w:val="24"/>
          <w:highlight w:val="none"/>
          <w:lang w:val="en-US" w:eastAsia="zh-CN" w:bidi="ar"/>
        </w:rPr>
        <w:t>对</w:t>
      </w:r>
      <w:r>
        <w:rPr>
          <w:rFonts w:hint="eastAsia" w:ascii="宋体" w:hAnsi="宋体" w:eastAsia="宋体" w:cs="宋体"/>
          <w:color w:val="auto"/>
          <w:kern w:val="0"/>
          <w:sz w:val="24"/>
          <w:szCs w:val="24"/>
          <w:highlight w:val="none"/>
          <w:u w:val="single"/>
          <w:lang w:val="en-US" w:eastAsia="zh-CN" w:bidi="ar"/>
        </w:rPr>
        <w:t xml:space="preserve">   （同前页项目名称）   </w:t>
      </w:r>
      <w:r>
        <w:rPr>
          <w:rFonts w:hint="eastAsia" w:ascii="宋体" w:hAnsi="宋体" w:eastAsia="宋体" w:cs="宋体"/>
          <w:color w:val="auto"/>
          <w:kern w:val="0"/>
          <w:sz w:val="24"/>
          <w:szCs w:val="24"/>
          <w:highlight w:val="none"/>
          <w:lang w:val="en-US" w:eastAsia="zh-CN" w:bidi="ar"/>
        </w:rPr>
        <w:t>项目进行了采购。经</w:t>
      </w:r>
      <w:r>
        <w:rPr>
          <w:rFonts w:hint="eastAsia" w:ascii="宋体" w:hAnsi="宋体" w:eastAsia="宋体" w:cs="宋体"/>
          <w:color w:val="auto"/>
          <w:kern w:val="0"/>
          <w:sz w:val="24"/>
          <w:szCs w:val="24"/>
          <w:highlight w:val="none"/>
          <w:u w:val="single"/>
          <w:lang w:val="en-US" w:eastAsia="zh-CN" w:bidi="ar"/>
        </w:rPr>
        <w:t xml:space="preserve">   （相关评定主体名称）   </w:t>
      </w:r>
      <w:r>
        <w:rPr>
          <w:rFonts w:hint="eastAsia" w:ascii="宋体" w:hAnsi="宋体" w:eastAsia="宋体" w:cs="宋体"/>
          <w:color w:val="auto"/>
          <w:kern w:val="0"/>
          <w:sz w:val="24"/>
          <w:szCs w:val="24"/>
          <w:highlight w:val="none"/>
          <w:lang w:val="en-US" w:eastAsia="zh-CN" w:bidi="ar"/>
        </w:rPr>
        <w:t>评定，</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中标人</w:t>
      </w:r>
      <w:r>
        <w:rPr>
          <w:rFonts w:hint="eastAsia" w:ascii="宋体" w:hAnsi="宋体" w:eastAsia="宋体" w:cs="宋体"/>
          <w:color w:val="auto"/>
          <w:kern w:val="0"/>
          <w:sz w:val="24"/>
          <w:szCs w:val="24"/>
          <w:highlight w:val="none"/>
          <w:u w:val="single"/>
          <w:lang w:val="en-US" w:eastAsia="zh-CN" w:bidi="ar"/>
        </w:rPr>
        <w:t>名称）</w:t>
      </w:r>
      <w:r>
        <w:rPr>
          <w:rFonts w:hint="eastAsia" w:ascii="宋体" w:hAnsi="宋体" w:eastAsia="宋体" w:cs="宋体"/>
          <w:color w:val="auto"/>
          <w:kern w:val="0"/>
          <w:sz w:val="24"/>
          <w:szCs w:val="24"/>
          <w:highlight w:val="none"/>
          <w:lang w:val="en-US" w:eastAsia="zh-CN" w:bidi="ar"/>
        </w:rPr>
        <w:t>为该项目</w:t>
      </w:r>
      <w:r>
        <w:rPr>
          <w:rFonts w:hint="eastAsia" w:ascii="宋体" w:hAnsi="宋体" w:cs="宋体"/>
          <w:color w:val="auto"/>
          <w:kern w:val="0"/>
          <w:sz w:val="24"/>
          <w:szCs w:val="24"/>
          <w:highlight w:val="none"/>
          <w:lang w:val="en-US" w:eastAsia="zh-CN" w:bidi="ar"/>
        </w:rPr>
        <w:t>中标人</w:t>
      </w:r>
      <w:r>
        <w:rPr>
          <w:rFonts w:hint="eastAsia" w:ascii="宋体" w:hAnsi="宋体" w:eastAsia="宋体" w:cs="宋体"/>
          <w:color w:val="auto"/>
          <w:kern w:val="0"/>
          <w:sz w:val="24"/>
          <w:szCs w:val="24"/>
          <w:highlight w:val="none"/>
          <w:lang w:val="en-US" w:eastAsia="zh-CN" w:bidi="ar"/>
        </w:rPr>
        <w:t>。现于中标通知书发出之日起</w:t>
      </w:r>
      <w:r>
        <w:rPr>
          <w:rFonts w:hint="eastAsia" w:ascii="宋体" w:hAnsi="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日内，按照采购文件确定的事项签订本合同。</w:t>
      </w:r>
    </w:p>
    <w:p w14:paraId="3DC37F51">
      <w:pPr>
        <w:keepNext w:val="0"/>
        <w:keepLines w:val="0"/>
        <w:widowControl/>
        <w:suppressLineNumbers w:val="0"/>
        <w:shd w:val="clear"/>
        <w:spacing w:before="0" w:beforeLines="0" w:beforeAutospacing="0" w:after="0" w:afterLines="0" w:afterAutospacing="0" w:line="24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根据《中华人民共和国民法典》、《中华人民共和国政府采购法》等相关法律法规之规定，按照平等、自愿、公平、诚实信用和绿色的原则，经</w:t>
      </w:r>
      <w:r>
        <w:rPr>
          <w:rFonts w:hint="eastAsia" w:ascii="宋体" w:hAnsi="宋体" w:eastAsia="宋体" w:cs="宋体"/>
          <w:color w:val="auto"/>
          <w:kern w:val="0"/>
          <w:sz w:val="24"/>
          <w:szCs w:val="24"/>
          <w:highlight w:val="none"/>
          <w:u w:val="single"/>
          <w:lang w:val="en-US" w:eastAsia="zh-CN" w:bidi="ar"/>
        </w:rPr>
        <w:t xml:space="preserve">   （采购人）   </w:t>
      </w:r>
      <w:r>
        <w:rPr>
          <w:rFonts w:hint="eastAsia" w:ascii="宋体" w:hAnsi="宋体" w:eastAsia="宋体" w:cs="宋体"/>
          <w:color w:val="auto"/>
          <w:kern w:val="0"/>
          <w:sz w:val="24"/>
          <w:szCs w:val="24"/>
          <w:highlight w:val="none"/>
          <w:lang w:val="en-US" w:eastAsia="zh-CN" w:bidi="ar"/>
        </w:rPr>
        <w:t>(以下简称：甲方)和</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中标人</w:t>
      </w:r>
      <w:r>
        <w:rPr>
          <w:rFonts w:hint="eastAsia" w:ascii="宋体" w:hAnsi="宋体" w:eastAsia="宋体" w:cs="宋体"/>
          <w:color w:val="auto"/>
          <w:kern w:val="0"/>
          <w:sz w:val="24"/>
          <w:szCs w:val="24"/>
          <w:highlight w:val="none"/>
          <w:u w:val="single"/>
          <w:lang w:val="en-US" w:eastAsia="zh-CN" w:bidi="ar"/>
        </w:rPr>
        <w:t xml:space="preserve">名称）   </w:t>
      </w:r>
      <w:r>
        <w:rPr>
          <w:rFonts w:hint="eastAsia" w:ascii="宋体" w:hAnsi="宋体" w:eastAsia="宋体" w:cs="宋体"/>
          <w:color w:val="auto"/>
          <w:kern w:val="0"/>
          <w:sz w:val="24"/>
          <w:szCs w:val="24"/>
          <w:highlight w:val="none"/>
          <w:lang w:val="en-US" w:eastAsia="zh-CN" w:bidi="ar"/>
        </w:rPr>
        <w:t>(以下简称：乙方)协商一致，约定以下合同条款，以兹共同遵守、全面履行。</w:t>
      </w:r>
    </w:p>
    <w:p w14:paraId="4F6DE062">
      <w:pPr>
        <w:keepNext w:val="0"/>
        <w:keepLines w:val="0"/>
        <w:pageBreakBefore w:val="0"/>
        <w:widowControl w:val="0"/>
        <w:tabs>
          <w:tab w:val="left" w:pos="720"/>
          <w:tab w:val="left" w:pos="5925"/>
        </w:tabs>
        <w:kinsoku/>
        <w:wordWrap/>
        <w:overflowPunct/>
        <w:topLinePunct w:val="0"/>
        <w:autoSpaceDE/>
        <w:autoSpaceDN/>
        <w:bidi w:val="0"/>
        <w:snapToGrid w:val="0"/>
        <w:spacing w:line="312" w:lineRule="auto"/>
        <w:textAlignment w:val="auto"/>
        <w:outlineLvl w:val="1"/>
        <w:rPr>
          <w:rFonts w:ascii="宋体" w:hAnsi="宋体" w:cs="宋体"/>
          <w:color w:val="auto"/>
          <w:sz w:val="24"/>
          <w:highlight w:val="none"/>
        </w:rPr>
      </w:pPr>
      <w:bookmarkStart w:id="1224" w:name="_Toc167"/>
      <w:bookmarkStart w:id="1225" w:name="_Toc28190"/>
      <w:bookmarkStart w:id="1226" w:name="_Toc6194"/>
      <w:bookmarkStart w:id="1227" w:name="_Toc8615"/>
      <w:r>
        <w:rPr>
          <w:rFonts w:hint="eastAsia" w:ascii="宋体" w:hAnsi="宋体" w:cs="宋体"/>
          <w:b/>
          <w:color w:val="auto"/>
          <w:sz w:val="24"/>
          <w:highlight w:val="none"/>
        </w:rPr>
        <w:t>一、</w:t>
      </w:r>
      <w:r>
        <w:rPr>
          <w:rFonts w:hint="eastAsia" w:ascii="宋体" w:hAnsi="宋体" w:cs="宋体"/>
          <w:b/>
          <w:color w:val="auto"/>
          <w:sz w:val="24"/>
          <w:highlight w:val="none"/>
          <w:lang w:eastAsia="zh-CN"/>
        </w:rPr>
        <w:t>项目</w:t>
      </w:r>
      <w:r>
        <w:rPr>
          <w:rFonts w:hint="eastAsia" w:ascii="宋体" w:hAnsi="宋体" w:cs="宋体"/>
          <w:b/>
          <w:color w:val="auto"/>
          <w:sz w:val="24"/>
          <w:highlight w:val="none"/>
        </w:rPr>
        <w:t>概况</w:t>
      </w:r>
      <w:bookmarkEnd w:id="1224"/>
      <w:bookmarkEnd w:id="1225"/>
      <w:bookmarkEnd w:id="1226"/>
    </w:p>
    <w:p w14:paraId="4D9E4FAF">
      <w:pPr>
        <w:keepNext w:val="0"/>
        <w:keepLines w:val="0"/>
        <w:pageBreakBefore w:val="0"/>
        <w:widowControl w:val="0"/>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628E6417">
      <w:pPr>
        <w:keepNext w:val="0"/>
        <w:keepLines w:val="0"/>
        <w:pageBreakBefore w:val="0"/>
        <w:widowControl w:val="0"/>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0CA39448">
      <w:pPr>
        <w:keepNext w:val="0"/>
        <w:keepLines w:val="0"/>
        <w:pageBreakBefore w:val="0"/>
        <w:widowControl w:val="0"/>
        <w:tabs>
          <w:tab w:val="left" w:pos="5925"/>
        </w:tabs>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eastAsia="zh-CN"/>
        </w:rPr>
        <w:t>项目</w:t>
      </w:r>
      <w:r>
        <w:rPr>
          <w:rFonts w:hint="eastAsia" w:ascii="宋体" w:hAnsi="宋体" w:cs="宋体"/>
          <w:b w:val="0"/>
          <w:bCs w:val="0"/>
          <w:color w:val="auto"/>
          <w:sz w:val="24"/>
          <w:highlight w:val="none"/>
        </w:rPr>
        <w:t>主要内容：</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u w:val="none"/>
          <w:lang w:eastAsia="zh-CN"/>
        </w:rPr>
        <w:t>。</w:t>
      </w:r>
    </w:p>
    <w:p w14:paraId="2D7A4C6B">
      <w:pPr>
        <w:keepNext w:val="0"/>
        <w:keepLines w:val="0"/>
        <w:pageBreakBefore w:val="0"/>
        <w:widowControl w:val="0"/>
        <w:tabs>
          <w:tab w:val="left" w:pos="720"/>
          <w:tab w:val="left" w:pos="5925"/>
        </w:tabs>
        <w:kinsoku/>
        <w:wordWrap/>
        <w:overflowPunct/>
        <w:topLinePunct w:val="0"/>
        <w:autoSpaceDE/>
        <w:autoSpaceDN/>
        <w:bidi w:val="0"/>
        <w:snapToGrid w:val="0"/>
        <w:spacing w:line="312" w:lineRule="auto"/>
        <w:textAlignment w:val="auto"/>
        <w:outlineLvl w:val="1"/>
        <w:rPr>
          <w:rFonts w:hint="eastAsia" w:ascii="宋体" w:hAnsi="宋体" w:eastAsia="宋体" w:cs="宋体"/>
          <w:b/>
          <w:color w:val="auto"/>
          <w:sz w:val="24"/>
          <w:highlight w:val="none"/>
        </w:rPr>
      </w:pPr>
      <w:bookmarkStart w:id="1228" w:name="_Toc18712"/>
      <w:bookmarkStart w:id="1229" w:name="_Toc20054"/>
      <w:bookmarkStart w:id="1230" w:name="_Toc12374"/>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采购商品清单及合同价格</w:t>
      </w:r>
      <w:bookmarkEnd w:id="1228"/>
    </w:p>
    <w:p w14:paraId="63A0E576">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保证提供如下内容的合格产品：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金额单位：人民币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992"/>
        <w:gridCol w:w="816"/>
        <w:gridCol w:w="1259"/>
        <w:gridCol w:w="1670"/>
        <w:gridCol w:w="1109"/>
      </w:tblGrid>
      <w:tr w14:paraId="2041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1988" w:type="dxa"/>
            <w:noWrap w:val="0"/>
            <w:vAlign w:val="center"/>
          </w:tcPr>
          <w:p w14:paraId="3B24318A">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采购产品名称</w:t>
            </w:r>
          </w:p>
        </w:tc>
        <w:tc>
          <w:tcPr>
            <w:tcW w:w="2992" w:type="dxa"/>
            <w:noWrap w:val="0"/>
            <w:vAlign w:val="center"/>
          </w:tcPr>
          <w:p w14:paraId="3C33B3B7">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品牌型号规格和主要配置</w:t>
            </w:r>
          </w:p>
        </w:tc>
        <w:tc>
          <w:tcPr>
            <w:tcW w:w="816" w:type="dxa"/>
            <w:noWrap w:val="0"/>
            <w:vAlign w:val="center"/>
          </w:tcPr>
          <w:p w14:paraId="68733919">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9" w:type="dxa"/>
            <w:noWrap w:val="0"/>
            <w:vAlign w:val="center"/>
          </w:tcPr>
          <w:p w14:paraId="43202DF0">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单价（元）</w:t>
            </w:r>
          </w:p>
        </w:tc>
        <w:tc>
          <w:tcPr>
            <w:tcW w:w="1670" w:type="dxa"/>
            <w:noWrap w:val="0"/>
            <w:vAlign w:val="center"/>
          </w:tcPr>
          <w:p w14:paraId="2E7D827E">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总价（元）</w:t>
            </w:r>
          </w:p>
        </w:tc>
        <w:tc>
          <w:tcPr>
            <w:tcW w:w="1109" w:type="dxa"/>
            <w:noWrap w:val="0"/>
            <w:vAlign w:val="center"/>
          </w:tcPr>
          <w:p w14:paraId="41B818EF">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DA5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88" w:type="dxa"/>
            <w:noWrap w:val="0"/>
            <w:vAlign w:val="center"/>
          </w:tcPr>
          <w:p w14:paraId="7E1FF5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92" w:type="dxa"/>
            <w:noWrap w:val="0"/>
            <w:vAlign w:val="center"/>
          </w:tcPr>
          <w:p w14:paraId="1518EE6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16" w:type="dxa"/>
            <w:noWrap w:val="0"/>
            <w:vAlign w:val="center"/>
          </w:tcPr>
          <w:p w14:paraId="366CD0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59" w:type="dxa"/>
            <w:noWrap w:val="0"/>
            <w:vAlign w:val="center"/>
          </w:tcPr>
          <w:p w14:paraId="15D6EF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70" w:type="dxa"/>
            <w:noWrap w:val="0"/>
            <w:vAlign w:val="center"/>
          </w:tcPr>
          <w:p w14:paraId="62A7EC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09" w:type="dxa"/>
            <w:noWrap w:val="0"/>
            <w:vAlign w:val="center"/>
          </w:tcPr>
          <w:p w14:paraId="3D6DC4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A33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88" w:type="dxa"/>
            <w:noWrap w:val="0"/>
            <w:vAlign w:val="center"/>
          </w:tcPr>
          <w:p w14:paraId="23675FE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92" w:type="dxa"/>
            <w:noWrap w:val="0"/>
            <w:vAlign w:val="center"/>
          </w:tcPr>
          <w:p w14:paraId="4BB4F06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16" w:type="dxa"/>
            <w:noWrap w:val="0"/>
            <w:vAlign w:val="center"/>
          </w:tcPr>
          <w:p w14:paraId="0E09B2B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59" w:type="dxa"/>
            <w:noWrap w:val="0"/>
            <w:vAlign w:val="center"/>
          </w:tcPr>
          <w:p w14:paraId="7565F60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70" w:type="dxa"/>
            <w:noWrap w:val="0"/>
            <w:vAlign w:val="center"/>
          </w:tcPr>
          <w:p w14:paraId="52E4BCE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09" w:type="dxa"/>
            <w:noWrap w:val="0"/>
            <w:vAlign w:val="center"/>
          </w:tcPr>
          <w:p w14:paraId="652DD1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37A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88" w:type="dxa"/>
            <w:noWrap w:val="0"/>
            <w:vAlign w:val="center"/>
          </w:tcPr>
          <w:p w14:paraId="10D9D36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992" w:type="dxa"/>
            <w:noWrap w:val="0"/>
            <w:vAlign w:val="center"/>
          </w:tcPr>
          <w:p w14:paraId="3E980E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16" w:type="dxa"/>
            <w:noWrap w:val="0"/>
            <w:vAlign w:val="center"/>
          </w:tcPr>
          <w:p w14:paraId="4FF745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59" w:type="dxa"/>
            <w:noWrap w:val="0"/>
            <w:vAlign w:val="center"/>
          </w:tcPr>
          <w:p w14:paraId="123C9A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70" w:type="dxa"/>
            <w:noWrap w:val="0"/>
            <w:vAlign w:val="center"/>
          </w:tcPr>
          <w:p w14:paraId="26E072D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09" w:type="dxa"/>
            <w:noWrap w:val="0"/>
            <w:vAlign w:val="center"/>
          </w:tcPr>
          <w:p w14:paraId="03F9171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00F0AF94">
      <w:pPr>
        <w:keepNext w:val="0"/>
        <w:keepLines w:val="0"/>
        <w:pageBreakBefore w:val="0"/>
        <w:widowControl w:val="0"/>
        <w:tabs>
          <w:tab w:val="left" w:pos="5925"/>
        </w:tabs>
        <w:kinsoku/>
        <w:wordWrap/>
        <w:overflowPunct/>
        <w:topLinePunct w:val="0"/>
        <w:autoSpaceDE/>
        <w:autoSpaceDN/>
        <w:bidi w:val="0"/>
        <w:snapToGrid w:val="0"/>
        <w:spacing w:beforeLines="0" w:afterLines="0" w:line="312" w:lineRule="auto"/>
        <w:ind w:firstLine="48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4"/>
          <w:szCs w:val="24"/>
          <w:highlight w:val="none"/>
          <w:lang w:val="en-US" w:eastAsia="zh-CN"/>
        </w:rPr>
        <w:t>2、本合同总价为人民币（大写）：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元；（小写）￥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，清单详见合同附件</w:t>
      </w:r>
      <w:r>
        <w:rPr>
          <w:rFonts w:hint="eastAsia" w:ascii="宋体" w:hAnsi="宋体" w:eastAsia="宋体" w:cs="宋体"/>
          <w:b w:val="0"/>
          <w:bCs w:val="0"/>
          <w:color w:val="auto"/>
          <w:sz w:val="24"/>
          <w:szCs w:val="24"/>
          <w:highlight w:val="none"/>
          <w:lang w:val="en-US" w:eastAsia="zh-CN"/>
        </w:rPr>
        <w:t>。</w:t>
      </w:r>
      <w:bookmarkStart w:id="1231" w:name="_Toc32105"/>
    </w:p>
    <w:p w14:paraId="79B3D0E8">
      <w:pPr>
        <w:keepNext w:val="0"/>
        <w:keepLines w:val="0"/>
        <w:pageBreakBefore w:val="0"/>
        <w:widowControl w:val="0"/>
        <w:kinsoku/>
        <w:wordWrap/>
        <w:overflowPunct/>
        <w:topLinePunct w:val="0"/>
        <w:autoSpaceDE w:val="0"/>
        <w:autoSpaceDN/>
        <w:bidi w:val="0"/>
        <w:adjustRightInd w:val="0"/>
        <w:snapToGrid/>
        <w:spacing w:beforeLines="0" w:afterLines="0" w:line="312" w:lineRule="auto"/>
        <w:ind w:firstLine="480" w:firstLineChars="200"/>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注：</w:t>
      </w:r>
      <w:bookmarkEnd w:id="1231"/>
      <w:bookmarkStart w:id="1232" w:name="_Toc30333"/>
      <w:r>
        <w:rPr>
          <w:rFonts w:hint="eastAsia" w:ascii="宋体" w:hAnsi="宋体" w:eastAsia="宋体" w:cs="宋体"/>
          <w:color w:val="auto"/>
          <w:szCs w:val="21"/>
          <w:highlight w:val="none"/>
          <w:lang w:val="en-US" w:eastAsia="zh-CN"/>
        </w:rPr>
        <w:t>本项目为总价合同，主要包括但不限于</w:t>
      </w:r>
      <w:r>
        <w:rPr>
          <w:rFonts w:hint="eastAsia" w:ascii="宋体" w:hAnsi="宋体" w:eastAsia="宋体" w:cs="宋体"/>
          <w:color w:val="auto"/>
          <w:szCs w:val="21"/>
          <w:highlight w:val="none"/>
          <w:lang w:val="zh-CN" w:eastAsia="zh-CN"/>
        </w:rPr>
        <w:t>：</w:t>
      </w:r>
    </w:p>
    <w:p w14:paraId="657C3A5B">
      <w:pPr>
        <w:keepNext w:val="0"/>
        <w:keepLines w:val="0"/>
        <w:suppressLineNumbers w:val="0"/>
        <w:shd w:val="clear"/>
        <w:spacing w:before="0" w:beforeLines="0" w:beforeAutospacing="0" w:after="0" w:afterLines="0" w:afterAutospacing="0" w:line="312" w:lineRule="auto"/>
        <w:ind w:left="0" w:right="0" w:firstLine="480" w:firstLineChars="20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1、本项目报价应包括招标范围内所有工艺设备的深化设计，设备及材料货款、标准附件、备品备件、专用工具、包装、运输、装卸、保险、所有设备货到就位以及安装、单机调试、系统（单元）调试、负责污水处理厂系统工艺联动调试、人员技术培训（含操作培训）、2年技术服务、土建配合费（以中标价的</w:t>
      </w:r>
      <w:r>
        <w:rPr>
          <w:rFonts w:hint="eastAsia" w:ascii="宋体" w:hAnsi="宋体" w:cs="宋体"/>
          <w:color w:val="auto"/>
          <w:highlight w:val="none"/>
          <w:lang w:val="en-US" w:eastAsia="zh-CN"/>
        </w:rPr>
        <w:t>0.4%</w:t>
      </w:r>
      <w:r>
        <w:rPr>
          <w:rFonts w:hint="eastAsia" w:ascii="宋体" w:hAnsi="宋体" w:cs="宋体"/>
          <w:color w:val="auto"/>
          <w:highlight w:val="none"/>
          <w:lang w:val="zh-CN" w:eastAsia="zh-CN"/>
        </w:rPr>
        <w:t>；</w:t>
      </w:r>
      <w:r>
        <w:rPr>
          <w:rFonts w:hint="eastAsia" w:ascii="宋体" w:hAnsi="宋体" w:eastAsia="宋体" w:cs="宋体"/>
          <w:color w:val="auto"/>
          <w:highlight w:val="none"/>
          <w:lang w:val="zh-CN" w:eastAsia="zh-CN"/>
        </w:rPr>
        <w:t>具体配合内容包括但不限于：施工通道和场地提供、 交叉施工协调、设备吊运的协助、设备到场监控、配合临时水电接入（含水电费）等与设备安装相关的配合工作）</w:t>
      </w:r>
      <w:r>
        <w:rPr>
          <w:rFonts w:hint="eastAsia" w:ascii="宋体" w:hAnsi="宋体" w:cs="宋体"/>
          <w:color w:val="auto"/>
          <w:highlight w:val="none"/>
          <w:lang w:val="zh-CN" w:eastAsia="zh-CN"/>
        </w:rPr>
        <w:t>、</w:t>
      </w:r>
      <w:r>
        <w:rPr>
          <w:rFonts w:hint="eastAsia" w:ascii="宋体" w:hAnsi="宋体" w:cs="宋体"/>
          <w:color w:val="auto"/>
          <w:highlight w:val="none"/>
          <w:lang w:val="en-US" w:eastAsia="zh-CN"/>
        </w:rPr>
        <w:t>调试期间及试运行（含药剂、人员工资、水电费、维修等试运行所产生的所有费用）、</w:t>
      </w:r>
      <w:r>
        <w:rPr>
          <w:rFonts w:hint="eastAsia" w:ascii="宋体" w:hAnsi="宋体" w:eastAsia="宋体" w:cs="宋体"/>
          <w:color w:val="auto"/>
          <w:highlight w:val="none"/>
          <w:lang w:val="zh-CN" w:eastAsia="zh-CN"/>
        </w:rPr>
        <w:t>竣工验收、</w:t>
      </w:r>
      <w:r>
        <w:rPr>
          <w:rFonts w:hint="eastAsia" w:ascii="宋体" w:hAnsi="宋体" w:cs="宋体"/>
          <w:color w:val="auto"/>
          <w:highlight w:val="none"/>
          <w:lang w:val="en-US" w:eastAsia="zh-CN"/>
        </w:rPr>
        <w:t>环保验收、</w:t>
      </w:r>
      <w:r>
        <w:rPr>
          <w:rFonts w:hint="eastAsia" w:ascii="宋体" w:hAnsi="宋体" w:eastAsia="宋体" w:cs="宋体"/>
          <w:color w:val="auto"/>
          <w:highlight w:val="none"/>
          <w:lang w:val="zh-CN" w:eastAsia="zh-CN"/>
        </w:rPr>
        <w:t>施工安全、保修、规费、税费、保险、利润、招标代理服务费以及质保期内正常运行2年所需的备品备件等一切费用。由于场地限制等原因，设备到货的储存、大型设备吊机、保管、二次搬运等费用全部包含在投标报价中。</w:t>
      </w:r>
    </w:p>
    <w:p w14:paraId="2816B15A">
      <w:pPr>
        <w:keepNext w:val="0"/>
        <w:keepLines w:val="0"/>
        <w:suppressLineNumbers w:val="0"/>
        <w:shd w:val="clear"/>
        <w:spacing w:before="0" w:beforeLines="0" w:beforeAutospacing="0" w:after="0" w:afterLines="0" w:afterAutospacing="0" w:line="312" w:lineRule="auto"/>
        <w:ind w:left="0" w:right="0" w:firstLine="480" w:firstLineChars="20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2、招标文件中的设备包括所有连接件、管件（包括预埋）和安装材料、耗材、辅料等。该部分费用，无论投标人是否在投标文件相关材料中明细列出，均视为已包含在投标总价中。</w:t>
      </w:r>
    </w:p>
    <w:p w14:paraId="0630F25B">
      <w:pPr>
        <w:keepNext w:val="0"/>
        <w:keepLines w:val="0"/>
        <w:pageBreakBefore w:val="0"/>
        <w:widowControl w:val="0"/>
        <w:kinsoku/>
        <w:wordWrap/>
        <w:overflowPunct/>
        <w:topLinePunct w:val="0"/>
        <w:autoSpaceDE w:val="0"/>
        <w:autoSpaceDN/>
        <w:bidi w:val="0"/>
        <w:adjustRightInd/>
        <w:snapToGrid/>
        <w:spacing w:beforeLines="0" w:afterLines="0" w:line="312"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lang w:val="zh-CN" w:eastAsia="zh-CN"/>
        </w:rPr>
        <w:t>3、招标文件要求的安装调试及验收包括所有设备及材料的安装、与项目其他建设方和</w:t>
      </w:r>
      <w:r>
        <w:rPr>
          <w:rFonts w:hint="eastAsia" w:ascii="宋体" w:hAnsi="宋体" w:cs="宋体"/>
          <w:color w:val="auto"/>
          <w:highlight w:val="none"/>
          <w:lang w:val="zh-CN" w:eastAsia="zh-CN"/>
        </w:rPr>
        <w:t>投标人</w:t>
      </w:r>
      <w:r>
        <w:rPr>
          <w:rFonts w:hint="eastAsia" w:ascii="宋体" w:hAnsi="宋体" w:eastAsia="宋体" w:cs="宋体"/>
          <w:color w:val="auto"/>
          <w:highlight w:val="none"/>
          <w:lang w:val="zh-CN" w:eastAsia="zh-CN"/>
        </w:rPr>
        <w:t>的衔接配合、全厂联动调试等所有本项目整体建设顺利竣工验收所需要的工时和工程量。该部分费用，无论投标人是否在投标文件相关材料中明细列出，均视为已包含在投标总价中。</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b/>
          <w:bCs w:val="0"/>
          <w:color w:val="auto"/>
          <w:kern w:val="2"/>
          <w:sz w:val="24"/>
          <w:szCs w:val="24"/>
          <w:highlight w:val="none"/>
          <w:lang w:val="en-US" w:eastAsia="zh-CN" w:bidi="ar"/>
        </w:rPr>
        <w:t>三、货款支付</w:t>
      </w:r>
      <w:bookmarkEnd w:id="1229"/>
      <w:bookmarkEnd w:id="1230"/>
      <w:bookmarkEnd w:id="1232"/>
    </w:p>
    <w:p w14:paraId="744D1027">
      <w:pPr>
        <w:widowControl/>
        <w:autoSpaceDE w:val="0"/>
        <w:autoSpaceDN w:val="0"/>
        <w:spacing w:beforeLines="0" w:afterLines="0" w:line="312" w:lineRule="auto"/>
        <w:ind w:right="0" w:rightChars="0" w:firstLine="480" w:firstLineChars="200"/>
        <w:textAlignment w:val="bottom"/>
        <w:rPr>
          <w:rFonts w:hint="eastAsia" w:ascii="宋体" w:hAnsi="宋体" w:eastAsia="宋体" w:cs="宋体"/>
          <w:color w:val="auto"/>
          <w:szCs w:val="21"/>
          <w:highlight w:val="none"/>
          <w:lang w:val="en-US" w:eastAsia="zh-CN"/>
        </w:rPr>
      </w:pPr>
      <w:bookmarkStart w:id="1233" w:name="_Toc19547"/>
      <w:bookmarkStart w:id="1234" w:name="_Toc15149"/>
      <w:bookmarkStart w:id="1235" w:name="_Toc9563"/>
      <w:r>
        <w:rPr>
          <w:rFonts w:hint="eastAsia" w:ascii="宋体" w:hAnsi="宋体" w:eastAsia="宋体" w:cs="宋体"/>
          <w:color w:val="auto"/>
          <w:szCs w:val="21"/>
          <w:highlight w:val="none"/>
          <w:lang w:val="en-US" w:eastAsia="zh-CN"/>
        </w:rPr>
        <w:t>采购成交后</w:t>
      </w:r>
      <w:r>
        <w:rPr>
          <w:rFonts w:hint="eastAsia" w:ascii="宋体" w:hAnsi="宋体" w:cs="宋体"/>
          <w:color w:val="auto"/>
          <w:szCs w:val="21"/>
          <w:highlight w:val="none"/>
          <w:lang w:val="en-US" w:eastAsia="zh-CN"/>
        </w:rPr>
        <w:t>，设备采购合同签订后，</w:t>
      </w:r>
      <w:r>
        <w:rPr>
          <w:rFonts w:hint="eastAsia" w:ascii="宋体" w:hAnsi="宋体" w:eastAsia="宋体" w:cs="宋体"/>
          <w:color w:val="auto"/>
          <w:szCs w:val="21"/>
          <w:highlight w:val="none"/>
          <w:lang w:val="en-US" w:eastAsia="zh-CN"/>
        </w:rPr>
        <w:t>支付合同价款的40%（含10%预付款），设备到场验收后支付至合同价款的70%，安装调试完成及通过验收合格并按</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要求提供整套工程资料后支付至结算价款的90%（中标价须根据结算审核进行同比例核减），</w:t>
      </w:r>
      <w:r>
        <w:rPr>
          <w:rFonts w:hint="eastAsia" w:ascii="宋体" w:hAnsi="宋体" w:eastAsia="宋体" w:cs="宋体"/>
          <w:color w:val="auto"/>
          <w:szCs w:val="21"/>
          <w:highlight w:val="none"/>
        </w:rPr>
        <w:t>设备联机试运行3个月后进行结算审核（</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自行委托审核，</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需提交所有的项目资料和结算资料）</w:t>
      </w:r>
      <w:r>
        <w:rPr>
          <w:rFonts w:hint="eastAsia" w:ascii="宋体" w:hAnsi="宋体" w:eastAsia="宋体" w:cs="宋体"/>
          <w:color w:val="auto"/>
          <w:szCs w:val="21"/>
          <w:highlight w:val="none"/>
          <w:lang w:val="en-US" w:eastAsia="zh-CN"/>
        </w:rPr>
        <w:t>后支付至结算价款的</w:t>
      </w:r>
      <w:r>
        <w:rPr>
          <w:rFonts w:hint="eastAsia" w:ascii="宋体" w:hAnsi="宋体" w:cs="宋体"/>
          <w:color w:val="auto"/>
          <w:szCs w:val="21"/>
          <w:highlight w:val="none"/>
          <w:lang w:val="en-US" w:eastAsia="zh-CN"/>
        </w:rPr>
        <w:t>95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余款为质量保证金，</w:t>
      </w:r>
      <w:r>
        <w:rPr>
          <w:rFonts w:hint="eastAsia" w:ascii="宋体" w:hAnsi="宋体" w:eastAsia="宋体" w:cs="宋体"/>
          <w:color w:val="auto"/>
          <w:szCs w:val="21"/>
          <w:highlight w:val="none"/>
          <w:lang w:val="en-US" w:eastAsia="zh-CN"/>
        </w:rPr>
        <w:t>质保期满后</w:t>
      </w:r>
      <w:r>
        <w:rPr>
          <w:rFonts w:hint="eastAsia" w:ascii="宋体" w:hAnsi="宋体" w:cs="宋体"/>
          <w:color w:val="auto"/>
          <w:szCs w:val="21"/>
          <w:highlight w:val="none"/>
          <w:lang w:val="en-US" w:eastAsia="zh-CN"/>
        </w:rPr>
        <w:t>分二期</w:t>
      </w:r>
      <w:r>
        <w:rPr>
          <w:rFonts w:hint="eastAsia" w:ascii="宋体" w:hAnsi="宋体" w:eastAsia="宋体" w:cs="宋体"/>
          <w:color w:val="auto"/>
          <w:szCs w:val="21"/>
          <w:highlight w:val="none"/>
          <w:lang w:val="en-US" w:eastAsia="zh-CN"/>
        </w:rPr>
        <w:t>付清余款</w:t>
      </w:r>
      <w:r>
        <w:rPr>
          <w:rFonts w:hint="eastAsia" w:ascii="宋体" w:hAnsi="宋体" w:cs="宋体"/>
          <w:color w:val="auto"/>
          <w:szCs w:val="21"/>
          <w:highlight w:val="none"/>
          <w:lang w:val="en-US" w:eastAsia="zh-CN"/>
        </w:rPr>
        <w:t>，第一期支付质保金的50%</w:t>
      </w:r>
      <w:r>
        <w:rPr>
          <w:rFonts w:hint="eastAsia" w:ascii="宋体" w:hAnsi="宋体" w:eastAsia="宋体" w:cs="宋体"/>
          <w:color w:val="auto"/>
          <w:szCs w:val="21"/>
          <w:highlight w:val="none"/>
          <w:lang w:val="en-US" w:eastAsia="zh-CN"/>
        </w:rPr>
        <w:t>（质保期按2年计，厂家另行约定的质保期大于2年</w:t>
      </w:r>
      <w:r>
        <w:rPr>
          <w:rFonts w:hint="eastAsia" w:ascii="宋体" w:hAnsi="宋体" w:cs="宋体"/>
          <w:color w:val="auto"/>
          <w:szCs w:val="21"/>
          <w:highlight w:val="none"/>
          <w:lang w:val="en-US" w:eastAsia="zh-CN"/>
        </w:rPr>
        <w:t>付清余款后提供保函</w:t>
      </w:r>
      <w:r>
        <w:rPr>
          <w:rFonts w:hint="eastAsia" w:ascii="宋体" w:hAnsi="宋体" w:eastAsia="宋体" w:cs="宋体"/>
          <w:color w:val="auto"/>
          <w:szCs w:val="21"/>
          <w:highlight w:val="none"/>
          <w:lang w:val="en-US" w:eastAsia="zh-CN"/>
        </w:rPr>
        <w:t>的需继续履行质保责任）</w:t>
      </w:r>
      <w:r>
        <w:rPr>
          <w:rFonts w:hint="eastAsia" w:ascii="宋体" w:hAnsi="宋体" w:cs="宋体"/>
          <w:color w:val="auto"/>
          <w:szCs w:val="21"/>
          <w:highlight w:val="none"/>
          <w:lang w:val="en-US" w:eastAsia="zh-CN"/>
        </w:rPr>
        <w:t>；第二期须通过环保验收后付清尾款。</w:t>
      </w:r>
    </w:p>
    <w:p w14:paraId="7E7090AC">
      <w:pPr>
        <w:widowControl/>
        <w:autoSpaceDE w:val="0"/>
        <w:autoSpaceDN w:val="0"/>
        <w:spacing w:beforeLines="0" w:afterLines="0" w:line="312" w:lineRule="auto"/>
        <w:ind w:right="0" w:rightChars="0" w:firstLine="480" w:firstLineChars="200"/>
        <w:textAlignment w:val="bottom"/>
        <w:rPr>
          <w:rFonts w:hint="eastAsia" w:ascii="宋体" w:hAnsi="宋体" w:cs="宋体"/>
          <w:color w:val="auto"/>
          <w:szCs w:val="21"/>
          <w:highlight w:val="none"/>
        </w:rPr>
      </w:pPr>
      <w:r>
        <w:rPr>
          <w:rFonts w:hint="eastAsia" w:ascii="宋体" w:hAnsi="宋体" w:cs="宋体"/>
          <w:bCs/>
          <w:color w:val="auto"/>
          <w:szCs w:val="21"/>
          <w:highlight w:val="none"/>
          <w:lang w:val="en-US" w:eastAsia="zh-CN"/>
        </w:rPr>
        <w:t>注：支付时需提供增值税专票</w:t>
      </w:r>
      <w:r>
        <w:rPr>
          <w:rFonts w:hint="eastAsia" w:ascii="宋体" w:hAnsi="宋体" w:cs="宋体"/>
          <w:color w:val="auto"/>
          <w:szCs w:val="21"/>
          <w:highlight w:val="none"/>
        </w:rPr>
        <w:t>原件（全额开具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其中设备部分按中标价的70%进行开具13%的增值税专票，管理费、安装及调试部分按中标价的30%进行开具9%的增值税专票</w:t>
      </w:r>
      <w:r>
        <w:rPr>
          <w:rFonts w:hint="eastAsia" w:ascii="宋体" w:hAnsi="宋体" w:cs="宋体"/>
          <w:color w:val="auto"/>
          <w:szCs w:val="21"/>
          <w:highlight w:val="none"/>
        </w:rPr>
        <w:t>）及复印件1份、合同复印件1份和经</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验收确认的《验收报告》提交</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，由</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向</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支付当期的项目款。</w:t>
      </w:r>
    </w:p>
    <w:p w14:paraId="1478AE7C">
      <w:pPr>
        <w:pStyle w:val="38"/>
        <w:keepNext w:val="0"/>
        <w:keepLines w:val="0"/>
        <w:pageBreakBefore w:val="0"/>
        <w:widowControl w:val="0"/>
        <w:kinsoku/>
        <w:wordWrap/>
        <w:overflowPunct/>
        <w:topLinePunct w:val="0"/>
        <w:bidi w:val="0"/>
        <w:spacing w:before="0" w:beforeLines="0" w:beforeAutospacing="0" w:after="0" w:afterLines="0" w:afterAutospacing="0" w:line="312" w:lineRule="auto"/>
        <w:ind w:firstLine="482" w:firstLineChars="200"/>
        <w:textAlignment w:val="auto"/>
        <w:outlineLvl w:val="1"/>
        <w:rPr>
          <w:rFonts w:hint="eastAsia" w:cs="宋体"/>
          <w:b/>
          <w:bCs w:val="0"/>
          <w:color w:val="auto"/>
          <w:kern w:val="2"/>
          <w:sz w:val="24"/>
          <w:szCs w:val="24"/>
          <w:highlight w:val="none"/>
          <w:lang w:val="en-US" w:eastAsia="zh-CN" w:bidi="ar"/>
        </w:rPr>
      </w:pPr>
      <w:r>
        <w:rPr>
          <w:rFonts w:hint="eastAsia" w:cs="宋体"/>
          <w:b/>
          <w:bCs w:val="0"/>
          <w:color w:val="auto"/>
          <w:kern w:val="2"/>
          <w:sz w:val="24"/>
          <w:szCs w:val="24"/>
          <w:highlight w:val="none"/>
          <w:lang w:val="en-US" w:eastAsia="zh-CN" w:bidi="ar"/>
        </w:rPr>
        <w:t>四、供货期</w:t>
      </w:r>
      <w:bookmarkEnd w:id="1233"/>
    </w:p>
    <w:bookmarkEnd w:id="1234"/>
    <w:bookmarkEnd w:id="1235"/>
    <w:p w14:paraId="365F3A55">
      <w:pPr>
        <w:keepNext w:val="0"/>
        <w:keepLines w:val="0"/>
        <w:pageBreakBefore w:val="0"/>
        <w:widowControl w:val="0"/>
        <w:kinsoku/>
        <w:wordWrap/>
        <w:overflowPunct/>
        <w:topLinePunct w:val="0"/>
        <w:autoSpaceDE w:val="0"/>
        <w:autoSpaceDN/>
        <w:bidi w:val="0"/>
        <w:adjustRightInd w:val="0"/>
        <w:snapToGrid/>
        <w:spacing w:beforeLines="0" w:afterLines="0" w:line="312" w:lineRule="auto"/>
        <w:ind w:firstLine="480" w:firstLineChars="200"/>
        <w:jc w:val="left"/>
        <w:textAlignment w:val="auto"/>
        <w:rPr>
          <w:rFonts w:hint="eastAsia" w:ascii="宋体" w:hAnsi="宋体" w:eastAsia="宋体" w:cs="宋体"/>
          <w:color w:val="auto"/>
          <w:szCs w:val="21"/>
          <w:highlight w:val="none"/>
          <w:lang w:val="en-US" w:eastAsia="zh-CN"/>
        </w:rPr>
      </w:pPr>
      <w:bookmarkStart w:id="1236" w:name="_Toc919"/>
      <w:bookmarkStart w:id="1237" w:name="_Toc20027"/>
      <w:r>
        <w:rPr>
          <w:rFonts w:hint="eastAsia" w:ascii="宋体" w:hAnsi="宋体" w:eastAsia="宋体" w:cs="宋体"/>
          <w:color w:val="auto"/>
          <w:szCs w:val="21"/>
          <w:highlight w:val="none"/>
          <w:lang w:val="en-US" w:eastAsia="zh-CN"/>
        </w:rPr>
        <w:t>1.乙方在签订合同生效，接到甲方进场施工通知后，90日历天内按甲方要求完成交货、安装、调试，稳定运行后交工验收，与土建单位做好同步配合工作，设备联机试运行3个月后进行竣工验收</w:t>
      </w:r>
      <w:r>
        <w:rPr>
          <w:rFonts w:hint="eastAsia" w:ascii="宋体" w:hAnsi="宋体" w:cs="宋体"/>
          <w:color w:val="auto"/>
          <w:szCs w:val="21"/>
          <w:highlight w:val="none"/>
          <w:lang w:eastAsia="zh-CN"/>
        </w:rPr>
        <w:t>并通过环保验收</w:t>
      </w:r>
      <w:r>
        <w:rPr>
          <w:rFonts w:hint="eastAsia" w:ascii="宋体" w:hAnsi="宋体" w:eastAsia="宋体" w:cs="宋体"/>
          <w:color w:val="auto"/>
          <w:szCs w:val="21"/>
          <w:highlight w:val="none"/>
          <w:lang w:val="en-US" w:eastAsia="zh-CN"/>
        </w:rPr>
        <w:t>。技术服务期24个月（不包含试运行时间）。如在规定的时间内由于投标人的原因不能完成交货、安装、调试的，乙方应承担由此给甲方造成的损失（每延迟一天投标人向甲方支付 10000 元/天违约金。）</w:t>
      </w:r>
    </w:p>
    <w:p w14:paraId="430EEAE2">
      <w:pPr>
        <w:keepNext w:val="0"/>
        <w:keepLines w:val="0"/>
        <w:pageBreakBefore w:val="0"/>
        <w:widowControl w:val="0"/>
        <w:kinsoku/>
        <w:wordWrap/>
        <w:overflowPunct/>
        <w:topLinePunct w:val="0"/>
        <w:autoSpaceDE w:val="0"/>
        <w:autoSpaceDN/>
        <w:bidi w:val="0"/>
        <w:adjustRightInd w:val="0"/>
        <w:snapToGrid/>
        <w:spacing w:beforeLines="0" w:afterLines="0" w:line="312" w:lineRule="auto"/>
        <w:ind w:firstLine="48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2.安装地点：由甲方指定地点。</w:t>
      </w:r>
    </w:p>
    <w:p w14:paraId="4DCFEA29">
      <w:pPr>
        <w:keepNext w:val="0"/>
        <w:keepLines w:val="0"/>
        <w:pageBreakBefore w:val="0"/>
        <w:widowControl w:val="0"/>
        <w:kinsoku/>
        <w:wordWrap/>
        <w:overflowPunct/>
        <w:topLinePunct w:val="0"/>
        <w:autoSpaceDE w:val="0"/>
        <w:autoSpaceDN/>
        <w:bidi w:val="0"/>
        <w:adjustRightInd w:val="0"/>
        <w:snapToGrid/>
        <w:spacing w:beforeLines="0" w:afterLines="0" w:line="312" w:lineRule="auto"/>
        <w:ind w:firstLine="48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3.安装标准：符合我国国家有关技术规范要求和技术标准，所有的软件和硬件必须保证同时安装到位。</w:t>
      </w:r>
    </w:p>
    <w:p w14:paraId="5D6B33CE">
      <w:pPr>
        <w:keepNext w:val="0"/>
        <w:keepLines w:val="0"/>
        <w:pageBreakBefore w:val="0"/>
        <w:widowControl w:val="0"/>
        <w:kinsoku/>
        <w:wordWrap/>
        <w:overflowPunct/>
        <w:topLinePunct w:val="0"/>
        <w:autoSpaceDE w:val="0"/>
        <w:autoSpaceDN/>
        <w:bidi w:val="0"/>
        <w:adjustRightInd w:val="0"/>
        <w:snapToGrid/>
        <w:spacing w:beforeLines="0" w:afterLines="0" w:line="312" w:lineRule="auto"/>
        <w:ind w:firstLine="48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4.乙方免费提供中标设备的安装调试服务。</w:t>
      </w:r>
    </w:p>
    <w:p w14:paraId="26B8CB80">
      <w:pPr>
        <w:keepNext w:val="0"/>
        <w:keepLines w:val="0"/>
        <w:pageBreakBefore w:val="0"/>
        <w:widowControl w:val="0"/>
        <w:kinsoku/>
        <w:wordWrap/>
        <w:overflowPunct/>
        <w:topLinePunct w:val="0"/>
        <w:autoSpaceDE w:val="0"/>
        <w:autoSpaceDN/>
        <w:bidi w:val="0"/>
        <w:adjustRightInd w:val="0"/>
        <w:snapToGrid/>
        <w:spacing w:beforeLines="0" w:afterLines="0" w:line="312" w:lineRule="auto"/>
        <w:ind w:firstLine="48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5.乙方应在投标文件中应提供安装计划、对安装场地和环境的要求。</w:t>
      </w:r>
    </w:p>
    <w:p w14:paraId="753F11F1">
      <w:pPr>
        <w:keepNext w:val="0"/>
        <w:keepLines w:val="0"/>
        <w:pageBreakBefore w:val="0"/>
        <w:widowControl w:val="0"/>
        <w:kinsoku/>
        <w:wordWrap/>
        <w:overflowPunct/>
        <w:topLinePunct w:val="0"/>
        <w:autoSpaceDE w:val="0"/>
        <w:autoSpaceDN/>
        <w:bidi w:val="0"/>
        <w:adjustRightInd w:val="0"/>
        <w:snapToGrid/>
        <w:spacing w:beforeLines="0" w:afterLines="0" w:line="312" w:lineRule="auto"/>
        <w:ind w:firstLine="480" w:firstLineChars="200"/>
        <w:jc w:val="left"/>
        <w:textAlignment w:val="auto"/>
        <w:rPr>
          <w:rFonts w:hint="default" w:ascii="宋体" w:hAnsi="宋体" w:eastAsia="宋体" w:cs="宋体"/>
          <w:color w:val="auto"/>
          <w:szCs w:val="21"/>
          <w:highlight w:val="none"/>
          <w:lang w:val="en-US" w:eastAsia="zh-CN"/>
        </w:rPr>
      </w:pPr>
      <w:bookmarkStart w:id="1238" w:name="_Toc15841"/>
      <w:r>
        <w:rPr>
          <w:rFonts w:hint="eastAsia" w:ascii="宋体" w:hAnsi="宋体" w:eastAsia="宋体" w:cs="宋体"/>
          <w:color w:val="auto"/>
          <w:szCs w:val="21"/>
          <w:highlight w:val="none"/>
          <w:lang w:val="en-US" w:eastAsia="zh-CN"/>
        </w:rPr>
        <w:t>6.乙方需服从甲方、建设单位、监理方、设计方及相关行业主管部门的管理，并接受监督。</w:t>
      </w:r>
    </w:p>
    <w:p w14:paraId="70EA83B0">
      <w:pPr>
        <w:spacing w:beforeLines="0" w:afterLines="0" w:line="312" w:lineRule="auto"/>
        <w:ind w:firstLine="480"/>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、知识产权</w:t>
      </w:r>
      <w:bookmarkEnd w:id="1236"/>
      <w:bookmarkEnd w:id="1237"/>
      <w:bookmarkEnd w:id="1238"/>
    </w:p>
    <w:p w14:paraId="57CA33FF">
      <w:pPr>
        <w:pStyle w:val="3"/>
        <w:keepNext w:val="0"/>
        <w:keepLines w:val="0"/>
        <w:pageBreakBefore w:val="0"/>
        <w:widowControl w:val="0"/>
        <w:kinsoku/>
        <w:wordWrap/>
        <w:overflowPunct/>
        <w:topLinePunct w:val="0"/>
        <w:autoSpaceDE/>
        <w:autoSpaceDN/>
        <w:bidi w:val="0"/>
        <w:adjustRightInd/>
        <w:snapToGrid/>
        <w:spacing w:beforeLines="0" w:after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6311B51">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39" w:name="_Toc17726"/>
      <w:bookmarkStart w:id="1240" w:name="_Toc18877"/>
      <w:bookmarkStart w:id="1241" w:name="_Toc11423"/>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1239"/>
      <w:bookmarkEnd w:id="1240"/>
      <w:bookmarkStart w:id="1242" w:name="_Toc24275"/>
      <w:bookmarkStart w:id="1243" w:name="_Toc6280"/>
      <w:r>
        <w:rPr>
          <w:rFonts w:hint="eastAsia" w:ascii="宋体" w:hAnsi="宋体" w:eastAsia="宋体" w:cs="宋体"/>
          <w:b/>
          <w:bCs/>
          <w:color w:val="auto"/>
          <w:sz w:val="24"/>
          <w:szCs w:val="24"/>
          <w:highlight w:val="none"/>
          <w:lang w:val="en-US" w:eastAsia="zh-CN"/>
        </w:rPr>
        <w:t>履约保证金</w:t>
      </w:r>
      <w:bookmarkEnd w:id="1241"/>
      <w:bookmarkEnd w:id="1242"/>
      <w:bookmarkEnd w:id="1243"/>
    </w:p>
    <w:p w14:paraId="1584CFC9">
      <w:pPr>
        <w:pStyle w:val="3"/>
        <w:widowControl w:val="0"/>
        <w:adjustRightInd/>
        <w:snapToGrid/>
        <w:spacing w:beforeLines="0" w:afterLines="0"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缴纳金额：</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须向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缴纳，为合同价格的1.0%</w:t>
      </w:r>
      <w:r>
        <w:rPr>
          <w:rFonts w:hint="eastAsia" w:ascii="宋体" w:hAnsi="宋体" w:eastAsia="宋体" w:cs="宋体"/>
          <w:color w:val="auto"/>
          <w:sz w:val="24"/>
          <w:szCs w:val="24"/>
          <w:highlight w:val="none"/>
          <w:lang w:eastAsia="zh-CN"/>
        </w:rPr>
        <w:t>，即人民币</w:t>
      </w:r>
      <w:r>
        <w:rPr>
          <w:rFonts w:hint="eastAsia" w:ascii="宋体" w:hAnsi="宋体" w:eastAsia="宋体" w:cs="宋体"/>
          <w:color w:val="auto"/>
          <w:sz w:val="24"/>
          <w:szCs w:val="24"/>
          <w:highlight w:val="none"/>
          <w:lang w:val="zh-CN" w:eastAsia="zh-CN"/>
        </w:rPr>
        <w:t>（大写）：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                 元整；小写：（¥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w:t>
      </w:r>
    </w:p>
    <w:p w14:paraId="71D04A29">
      <w:pPr>
        <w:pStyle w:val="3"/>
        <w:widowControl w:val="0"/>
        <w:adjustRightInd/>
        <w:snapToGrid/>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缴纳方式：汇票/支票/银行转账/银行保函/保险保函。</w:t>
      </w:r>
    </w:p>
    <w:p w14:paraId="29CCF4F2">
      <w:pPr>
        <w:pStyle w:val="3"/>
        <w:widowControl w:val="0"/>
        <w:adjustRightInd/>
        <w:snapToGrid/>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缴纳时间：本项目中标通知书发出后30个自然日内缴纳。</w:t>
      </w:r>
    </w:p>
    <w:p w14:paraId="62863922">
      <w:pPr>
        <w:pStyle w:val="3"/>
        <w:widowControl w:val="0"/>
        <w:adjustRightInd/>
        <w:snapToGrid/>
        <w:spacing w:beforeLines="0" w:after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退还条件：履约保证金在整个项目验收合格后7个工作日内退还（不计息）。</w:t>
      </w:r>
    </w:p>
    <w:p w14:paraId="60A732B3">
      <w:pPr>
        <w:keepNext w:val="0"/>
        <w:keepLines w:val="0"/>
        <w:pageBreakBefore w:val="0"/>
        <w:kinsoku/>
        <w:wordWrap/>
        <w:overflowPunct/>
        <w:topLinePunct w:val="0"/>
        <w:autoSpaceDE/>
        <w:autoSpaceDN/>
        <w:bidi w:val="0"/>
        <w:snapToGrid/>
        <w:spacing w:beforeLines="0" w:afterLines="0" w:line="312" w:lineRule="auto"/>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44" w:name="_Toc18863"/>
      <w:bookmarkStart w:id="1245" w:name="_Toc23322"/>
      <w:bookmarkStart w:id="1246" w:name="_Toc10072"/>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、转包或分包</w:t>
      </w:r>
      <w:bookmarkEnd w:id="1244"/>
      <w:bookmarkEnd w:id="1245"/>
      <w:bookmarkEnd w:id="1246"/>
    </w:p>
    <w:p w14:paraId="313E77DD">
      <w:pPr>
        <w:pStyle w:val="3"/>
        <w:keepNext w:val="0"/>
        <w:keepLines w:val="0"/>
        <w:pageBreakBefore w:val="0"/>
        <w:widowControl w:val="0"/>
        <w:kinsoku/>
        <w:wordWrap/>
        <w:overflowPunct/>
        <w:topLinePunct w:val="0"/>
        <w:autoSpaceDE/>
        <w:autoSpaceDN/>
        <w:bidi w:val="0"/>
        <w:adjustRightInd/>
        <w:snapToGrid/>
        <w:spacing w:beforeLines="0" w:afterLines="0" w:line="312" w:lineRule="auto"/>
        <w:ind w:firstLine="480" w:firstLineChars="200"/>
        <w:textAlignment w:val="auto"/>
        <w:outlineLvl w:val="2"/>
        <w:rPr>
          <w:rFonts w:hint="eastAsia" w:ascii="宋体" w:hAnsi="宋体" w:eastAsia="宋体" w:cs="宋体"/>
          <w:color w:val="auto"/>
          <w:sz w:val="24"/>
          <w:szCs w:val="24"/>
          <w:highlight w:val="none"/>
        </w:rPr>
      </w:pPr>
      <w:bookmarkStart w:id="1247" w:name="_Toc2035"/>
      <w:r>
        <w:rPr>
          <w:rFonts w:hint="eastAsia" w:ascii="宋体" w:hAnsi="宋体" w:eastAsia="宋体" w:cs="宋体"/>
          <w:color w:val="auto"/>
          <w:sz w:val="24"/>
          <w:szCs w:val="24"/>
          <w:highlight w:val="none"/>
        </w:rPr>
        <w:t>1.本合同范围的货物，应由乙方直接供应，不得转让他人供应；</w:t>
      </w:r>
      <w:bookmarkEnd w:id="1247"/>
    </w:p>
    <w:p w14:paraId="7C441133">
      <w:pPr>
        <w:pStyle w:val="3"/>
        <w:keepNext w:val="0"/>
        <w:keepLines w:val="0"/>
        <w:pageBreakBefore w:val="0"/>
        <w:widowControl w:val="0"/>
        <w:kinsoku/>
        <w:wordWrap/>
        <w:overflowPunct/>
        <w:topLinePunct w:val="0"/>
        <w:autoSpaceDE/>
        <w:autoSpaceDN/>
        <w:bidi w:val="0"/>
        <w:adjustRightInd/>
        <w:snapToGrid/>
        <w:spacing w:beforeLines="0" w:after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2.除非得到甲方的书面同意，乙方不得将本合同范围的货物全部或部分分包给他人供应；</w:t>
      </w:r>
    </w:p>
    <w:p w14:paraId="08C95F9C">
      <w:pPr>
        <w:pStyle w:val="3"/>
        <w:keepNext w:val="0"/>
        <w:keepLines w:val="0"/>
        <w:pageBreakBefore w:val="0"/>
        <w:widowControl w:val="0"/>
        <w:kinsoku/>
        <w:wordWrap/>
        <w:overflowPunct/>
        <w:topLinePunct w:val="0"/>
        <w:autoSpaceDE/>
        <w:autoSpaceDN/>
        <w:bidi w:val="0"/>
        <w:adjustRightInd/>
        <w:snapToGrid/>
        <w:spacing w:beforeLines="0" w:after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220DD1E2">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48" w:name="_Toc6416"/>
      <w:bookmarkStart w:id="1249" w:name="_Toc3711"/>
      <w:bookmarkStart w:id="1250" w:name="_Toc1317"/>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、质保期</w:t>
      </w:r>
      <w:bookmarkEnd w:id="1248"/>
      <w:bookmarkEnd w:id="1249"/>
      <w:bookmarkEnd w:id="1250"/>
    </w:p>
    <w:p w14:paraId="5894BE59">
      <w:pPr>
        <w:pStyle w:val="80"/>
        <w:spacing w:beforeLines="0" w:afterLines="0" w:line="312" w:lineRule="auto"/>
        <w:ind w:firstLine="480" w:firstLineChars="200"/>
        <w:rPr>
          <w:rStyle w:val="173"/>
          <w:rFonts w:ascii="宋体" w:hAnsi="宋体" w:eastAsia="宋体" w:cs="宋体"/>
          <w:color w:val="auto"/>
          <w:szCs w:val="24"/>
          <w:highlight w:val="none"/>
        </w:rPr>
      </w:pPr>
      <w:r>
        <w:rPr>
          <w:rStyle w:val="173"/>
          <w:rFonts w:hint="eastAsia" w:ascii="宋体" w:hAnsi="宋体" w:eastAsia="宋体" w:cs="宋体"/>
          <w:color w:val="auto"/>
          <w:szCs w:val="24"/>
          <w:highlight w:val="none"/>
          <w:lang w:val="en-US" w:eastAsia="zh-CN"/>
        </w:rPr>
        <w:t>1.质保期：</w:t>
      </w:r>
      <w:r>
        <w:rPr>
          <w:rStyle w:val="173"/>
          <w:rFonts w:hint="eastAsia" w:ascii="宋体" w:hAnsi="宋体" w:eastAsia="宋体" w:cs="宋体"/>
          <w:color w:val="auto"/>
          <w:szCs w:val="24"/>
          <w:highlight w:val="none"/>
          <w:u w:val="single"/>
          <w:lang w:val="en-US" w:eastAsia="zh-CN"/>
        </w:rPr>
        <w:t xml:space="preserve">    </w:t>
      </w:r>
      <w:r>
        <w:rPr>
          <w:rStyle w:val="173"/>
          <w:rFonts w:hint="eastAsia" w:ascii="宋体" w:hAnsi="宋体" w:eastAsia="宋体" w:cs="宋体"/>
          <w:color w:val="auto"/>
          <w:szCs w:val="24"/>
          <w:highlight w:val="none"/>
          <w:lang w:val="en-US" w:eastAsia="zh-CN"/>
        </w:rPr>
        <w:t>年</w:t>
      </w:r>
      <w:r>
        <w:rPr>
          <w:rStyle w:val="173"/>
          <w:rFonts w:hint="eastAsia" w:ascii="宋体" w:hAnsi="宋体" w:eastAsia="宋体" w:cs="宋体"/>
          <w:color w:val="auto"/>
          <w:szCs w:val="24"/>
          <w:highlight w:val="none"/>
        </w:rPr>
        <w:t>。如厂家提供的质保期超过上述要求的，按厂家的质保期执行。自项目整体验收合格之日起计，质保期内，与质保和维修相关的所有费用均由</w:t>
      </w:r>
      <w:r>
        <w:rPr>
          <w:rStyle w:val="173"/>
          <w:rFonts w:hint="eastAsia" w:ascii="宋体" w:hAnsi="宋体" w:eastAsia="宋体" w:cs="宋体"/>
          <w:color w:val="auto"/>
          <w:szCs w:val="24"/>
          <w:highlight w:val="none"/>
          <w:lang w:eastAsia="zh-CN"/>
        </w:rPr>
        <w:t>投标人</w:t>
      </w:r>
      <w:r>
        <w:rPr>
          <w:rStyle w:val="173"/>
          <w:rFonts w:hint="eastAsia" w:ascii="宋体" w:hAnsi="宋体" w:eastAsia="宋体" w:cs="宋体"/>
          <w:color w:val="auto"/>
          <w:szCs w:val="24"/>
          <w:highlight w:val="none"/>
        </w:rPr>
        <w:t>承担。</w:t>
      </w:r>
    </w:p>
    <w:p w14:paraId="4EE80952">
      <w:pPr>
        <w:pStyle w:val="80"/>
        <w:spacing w:beforeLines="0" w:afterLines="0" w:line="312" w:lineRule="auto"/>
        <w:ind w:firstLine="480" w:firstLineChars="200"/>
        <w:rPr>
          <w:rStyle w:val="173"/>
          <w:rFonts w:ascii="宋体" w:hAnsi="宋体" w:eastAsia="宋体" w:cs="宋体"/>
          <w:color w:val="auto"/>
          <w:szCs w:val="24"/>
          <w:highlight w:val="none"/>
        </w:rPr>
      </w:pPr>
      <w:r>
        <w:rPr>
          <w:rStyle w:val="173"/>
          <w:rFonts w:hint="eastAsia" w:ascii="宋体" w:hAnsi="宋体" w:eastAsia="宋体" w:cs="宋体"/>
          <w:color w:val="auto"/>
          <w:szCs w:val="24"/>
          <w:highlight w:val="none"/>
          <w:lang w:val="en-US" w:eastAsia="zh-CN"/>
        </w:rPr>
        <w:t>2.</w:t>
      </w:r>
      <w:r>
        <w:rPr>
          <w:rStyle w:val="173"/>
          <w:rFonts w:hint="eastAsia" w:ascii="宋体" w:hAnsi="宋体" w:eastAsia="宋体" w:cs="宋体"/>
          <w:color w:val="auto"/>
          <w:szCs w:val="24"/>
          <w:highlight w:val="none"/>
        </w:rPr>
        <w:t>国家主管部门或者行业标准对货物本身有更高要求的，从其规定并在合同中约定，</w:t>
      </w:r>
      <w:r>
        <w:rPr>
          <w:rStyle w:val="173"/>
          <w:rFonts w:hint="eastAsia" w:ascii="宋体" w:hAnsi="宋体" w:eastAsia="宋体" w:cs="宋体"/>
          <w:color w:val="auto"/>
          <w:szCs w:val="24"/>
          <w:highlight w:val="none"/>
          <w:lang w:val="en-US" w:eastAsia="zh-CN"/>
        </w:rPr>
        <w:t>乙方</w:t>
      </w:r>
      <w:r>
        <w:rPr>
          <w:rStyle w:val="173"/>
          <w:rFonts w:hint="eastAsia" w:ascii="宋体" w:hAnsi="宋体" w:eastAsia="宋体" w:cs="宋体"/>
          <w:color w:val="auto"/>
          <w:szCs w:val="24"/>
          <w:highlight w:val="none"/>
        </w:rPr>
        <w:t>亦可</w:t>
      </w:r>
      <w:r>
        <w:rPr>
          <w:rStyle w:val="173"/>
          <w:rFonts w:hint="eastAsia" w:ascii="宋体" w:hAnsi="宋体" w:eastAsia="宋体" w:cs="宋体"/>
          <w:color w:val="auto"/>
          <w:szCs w:val="24"/>
          <w:highlight w:val="none"/>
          <w:lang w:eastAsia="zh-CN"/>
        </w:rPr>
        <w:t>提供</w:t>
      </w:r>
      <w:r>
        <w:rPr>
          <w:rStyle w:val="173"/>
          <w:rFonts w:hint="eastAsia" w:ascii="宋体" w:hAnsi="宋体" w:eastAsia="宋体" w:cs="宋体"/>
          <w:color w:val="auto"/>
          <w:szCs w:val="24"/>
          <w:highlight w:val="none"/>
        </w:rPr>
        <w:t>更长的质保期。</w:t>
      </w:r>
    </w:p>
    <w:p w14:paraId="22A1C321">
      <w:pPr>
        <w:pStyle w:val="80"/>
        <w:spacing w:beforeLines="0" w:afterLines="0" w:line="312" w:lineRule="auto"/>
        <w:ind w:firstLine="480" w:firstLineChars="200"/>
        <w:rPr>
          <w:rStyle w:val="173"/>
          <w:rFonts w:ascii="宋体" w:hAnsi="宋体" w:eastAsia="宋体" w:cs="宋体"/>
          <w:color w:val="auto"/>
          <w:szCs w:val="24"/>
          <w:highlight w:val="none"/>
        </w:rPr>
      </w:pPr>
      <w:r>
        <w:rPr>
          <w:rStyle w:val="173"/>
          <w:rFonts w:hint="eastAsia" w:ascii="宋体" w:hAnsi="宋体" w:eastAsia="宋体" w:cs="宋体"/>
          <w:color w:val="auto"/>
          <w:szCs w:val="24"/>
          <w:highlight w:val="none"/>
          <w:lang w:val="en-US" w:eastAsia="zh-CN"/>
        </w:rPr>
        <w:t>3.</w:t>
      </w:r>
      <w:r>
        <w:rPr>
          <w:rStyle w:val="173"/>
          <w:rFonts w:hint="eastAsia" w:ascii="宋体" w:hAnsi="宋体" w:eastAsia="宋体" w:cs="宋体"/>
          <w:color w:val="auto"/>
          <w:szCs w:val="24"/>
          <w:highlight w:val="none"/>
        </w:rPr>
        <w:t>质量保证期内，如果证实货物是有缺陷的，包括潜在的缺陷或者使用不符合要求的材料等，</w:t>
      </w:r>
      <w:r>
        <w:rPr>
          <w:rStyle w:val="173"/>
          <w:rFonts w:hint="eastAsia" w:ascii="宋体" w:hAnsi="宋体" w:eastAsia="宋体" w:cs="宋体"/>
          <w:color w:val="auto"/>
          <w:szCs w:val="24"/>
          <w:highlight w:val="none"/>
          <w:lang w:eastAsia="zh-CN"/>
        </w:rPr>
        <w:t>投标人</w:t>
      </w:r>
      <w:r>
        <w:rPr>
          <w:rStyle w:val="173"/>
          <w:rFonts w:hint="eastAsia" w:ascii="宋体" w:hAnsi="宋体" w:eastAsia="宋体" w:cs="宋体"/>
          <w:color w:val="auto"/>
          <w:szCs w:val="24"/>
          <w:highlight w:val="none"/>
        </w:rPr>
        <w:t>应立即免费维修或者更换有缺陷的货物或者部件，保证达到合同规定的技术以及性能要求。如果</w:t>
      </w:r>
      <w:r>
        <w:rPr>
          <w:rStyle w:val="173"/>
          <w:rFonts w:hint="eastAsia" w:ascii="宋体" w:hAnsi="宋体" w:eastAsia="宋体" w:cs="宋体"/>
          <w:color w:val="auto"/>
          <w:szCs w:val="24"/>
          <w:highlight w:val="none"/>
          <w:lang w:eastAsia="zh-CN"/>
        </w:rPr>
        <w:t>投标人</w:t>
      </w:r>
      <w:r>
        <w:rPr>
          <w:rStyle w:val="173"/>
          <w:rFonts w:hint="eastAsia" w:ascii="宋体" w:hAnsi="宋体" w:eastAsia="宋体" w:cs="宋体"/>
          <w:color w:val="auto"/>
          <w:szCs w:val="24"/>
          <w:highlight w:val="none"/>
        </w:rPr>
        <w:t>在收到通知后5天内没有弥补缺陷，</w:t>
      </w:r>
      <w:r>
        <w:rPr>
          <w:rStyle w:val="173"/>
          <w:rFonts w:hint="eastAsia" w:ascii="宋体" w:hAnsi="宋体" w:eastAsia="宋体" w:cs="宋体"/>
          <w:color w:val="auto"/>
          <w:szCs w:val="24"/>
          <w:highlight w:val="none"/>
          <w:lang w:eastAsia="zh-CN"/>
        </w:rPr>
        <w:t>甲方</w:t>
      </w:r>
      <w:r>
        <w:rPr>
          <w:rStyle w:val="173"/>
          <w:rFonts w:hint="eastAsia" w:ascii="宋体" w:hAnsi="宋体" w:eastAsia="宋体" w:cs="宋体"/>
          <w:color w:val="auto"/>
          <w:szCs w:val="24"/>
          <w:highlight w:val="none"/>
        </w:rPr>
        <w:t>可自行采取必要的补救措施，但风险和费用由</w:t>
      </w:r>
      <w:r>
        <w:rPr>
          <w:rStyle w:val="173"/>
          <w:rFonts w:hint="eastAsia" w:ascii="宋体" w:hAnsi="宋体" w:eastAsia="宋体" w:cs="宋体"/>
          <w:color w:val="auto"/>
          <w:szCs w:val="24"/>
          <w:highlight w:val="none"/>
          <w:lang w:eastAsia="zh-CN"/>
        </w:rPr>
        <w:t>乙方</w:t>
      </w:r>
      <w:r>
        <w:rPr>
          <w:rStyle w:val="173"/>
          <w:rFonts w:hint="eastAsia" w:ascii="宋体" w:hAnsi="宋体" w:eastAsia="宋体" w:cs="宋体"/>
          <w:color w:val="auto"/>
          <w:szCs w:val="24"/>
          <w:highlight w:val="none"/>
        </w:rPr>
        <w:t>承担，</w:t>
      </w:r>
      <w:r>
        <w:rPr>
          <w:rStyle w:val="173"/>
          <w:rFonts w:hint="eastAsia" w:ascii="宋体" w:hAnsi="宋体" w:eastAsia="宋体" w:cs="宋体"/>
          <w:color w:val="auto"/>
          <w:szCs w:val="24"/>
          <w:highlight w:val="none"/>
          <w:lang w:eastAsia="zh-CN"/>
        </w:rPr>
        <w:t>甲方</w:t>
      </w:r>
      <w:r>
        <w:rPr>
          <w:rStyle w:val="173"/>
          <w:rFonts w:hint="eastAsia" w:ascii="宋体" w:hAnsi="宋体" w:eastAsia="宋体" w:cs="宋体"/>
          <w:color w:val="auto"/>
          <w:szCs w:val="24"/>
          <w:highlight w:val="none"/>
        </w:rPr>
        <w:t>同时保留通过法律途径进行索赔的权利。</w:t>
      </w:r>
    </w:p>
    <w:p w14:paraId="2BB01ED7">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51" w:name="_Toc1883"/>
      <w:bookmarkStart w:id="1252" w:name="_Toc21243"/>
      <w:bookmarkStart w:id="1253" w:name="_Toc17407"/>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、税费</w:t>
      </w:r>
      <w:bookmarkEnd w:id="1251"/>
      <w:bookmarkEnd w:id="1252"/>
      <w:bookmarkEnd w:id="1253"/>
    </w:p>
    <w:p w14:paraId="67278540">
      <w:pPr>
        <w:pStyle w:val="3"/>
        <w:keepNext w:val="0"/>
        <w:keepLines w:val="0"/>
        <w:pageBreakBefore w:val="0"/>
        <w:widowControl w:val="0"/>
        <w:kinsoku/>
        <w:wordWrap/>
        <w:overflowPunct/>
        <w:topLinePunct w:val="0"/>
        <w:autoSpaceDE/>
        <w:autoSpaceDN/>
        <w:bidi w:val="0"/>
        <w:adjustRightInd/>
        <w:snapToGrid/>
        <w:spacing w:beforeLines="0" w:afterLines="0"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209D3BC">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54" w:name="_Toc13012"/>
      <w:bookmarkStart w:id="1255" w:name="_Toc939"/>
      <w:bookmarkStart w:id="1256" w:name="_Toc15783"/>
      <w:r>
        <w:rPr>
          <w:rFonts w:hint="eastAsia" w:ascii="宋体" w:hAnsi="宋体" w:eastAsia="宋体" w:cs="宋体"/>
          <w:b/>
          <w:bCs/>
          <w:color w:val="auto"/>
          <w:sz w:val="24"/>
          <w:szCs w:val="24"/>
          <w:highlight w:val="none"/>
          <w:lang w:val="en-US" w:eastAsia="zh-CN"/>
        </w:rPr>
        <w:t>十、辅助服务</w:t>
      </w:r>
      <w:bookmarkEnd w:id="1254"/>
    </w:p>
    <w:p w14:paraId="6573097D">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1、乙方应提交所提供货物的技术文件，包括相应的每一套设备的中文技术文件，例如：产品目录、图纸、操作手册、使用说明、维护手册和/或服务指南。这些文件应包装好随同货物一起发运。</w:t>
      </w:r>
    </w:p>
    <w:p w14:paraId="128644BA">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2、乙方还应提供下列服务：</w:t>
      </w:r>
    </w:p>
    <w:p w14:paraId="5217B3D4">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（1）货物的现场指导安装、调试、启动监督及技术支持；</w:t>
      </w:r>
    </w:p>
    <w:p w14:paraId="09A9C934">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（2）在厂家和/或项目现场就货物的指导安装、启动、运营、维护对甲方操作人员进行培训。辅助服务的费用包含在合同价中，甲方不再另行支付。</w:t>
      </w:r>
    </w:p>
    <w:p w14:paraId="13DA948A">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57" w:name="_Toc19273"/>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、质量保证</w:t>
      </w:r>
      <w:bookmarkEnd w:id="1257"/>
    </w:p>
    <w:p w14:paraId="0EA0B4C9">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1、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Style w:val="173"/>
          <w:rFonts w:hint="eastAsia" w:ascii="宋体" w:hAnsi="宋体" w:eastAsia="宋体" w:cs="宋体"/>
          <w:color w:val="auto"/>
          <w:szCs w:val="24"/>
          <w:highlight w:val="none"/>
          <w:u w:val="single"/>
          <w:lang w:val="en-US" w:eastAsia="zh-CN"/>
        </w:rPr>
        <w:t xml:space="preserve">    </w:t>
      </w:r>
      <w:r>
        <w:rPr>
          <w:rStyle w:val="173"/>
          <w:rFonts w:hint="eastAsia" w:ascii="宋体" w:hAnsi="宋体" w:eastAsia="宋体" w:cs="宋体"/>
          <w:color w:val="auto"/>
          <w:szCs w:val="24"/>
          <w:highlight w:val="none"/>
          <w:lang w:val="en-US" w:eastAsia="zh-CN"/>
        </w:rPr>
        <w:t>年的质量保证期内，乙方应对由于设计、工艺或材料的缺陷而产生的故障负责。</w:t>
      </w:r>
    </w:p>
    <w:p w14:paraId="0E81D475">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2、在质量保证期内，如果货物的质量或规格与合同不符，或证实货物是有缺陷的，包括潜在的缺陷或使用不符合要求的材料等，甲方可以根据本合同第十二条规定以书面形式向乙方提出补救措施或索赔。</w:t>
      </w:r>
    </w:p>
    <w:p w14:paraId="3AA5B4E9">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3、乙方在约定的时间内未能弥补缺陷，甲方可采取必要的补救措施，但其风险和费用将由乙方承担，甲方根据合同规定对乙方行使的其他权利不受影响。</w:t>
      </w:r>
    </w:p>
    <w:p w14:paraId="180D39E5">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58" w:name="_Toc23993"/>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、补救措施和索赔</w:t>
      </w:r>
      <w:bookmarkEnd w:id="1258"/>
    </w:p>
    <w:p w14:paraId="753FC4A7">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1、甲方有权根据权威质量检测部门出具的检验报告向乙方提出索赔。</w:t>
      </w:r>
    </w:p>
    <w:p w14:paraId="0FD9C06A">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2、在质量保证期内，如果乙方对缺陷产品负有责任而甲方提出索赔，乙方应按照甲方同意的下列一种或多种方式解决索赔事宜，并且甲方可以收取乙方合同总价20%的违约金：</w:t>
      </w:r>
    </w:p>
    <w:p w14:paraId="453049C3">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（1）乙方退货并将货款退还给甲方，由此发生的一切费用和损失由乙方承担。</w:t>
      </w:r>
    </w:p>
    <w:p w14:paraId="6F701E9D">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（2）根据货物的质量状况以及甲方所遭受的损失，经过双方商定降低货物的价格。</w:t>
      </w:r>
    </w:p>
    <w:p w14:paraId="69AB68D6">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49B095E8">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08589900">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59" w:name="_Toc19884"/>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、质量保证及售后服务</w:t>
      </w:r>
      <w:bookmarkEnd w:id="1255"/>
      <w:bookmarkEnd w:id="1256"/>
      <w:bookmarkEnd w:id="1259"/>
    </w:p>
    <w:p w14:paraId="18CE31D1">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1.乙方所投产品必须为全新的、符合国家有关质量标准的产品；产品的保修期自验收合格之日起</w:t>
      </w:r>
      <w:r>
        <w:rPr>
          <w:rStyle w:val="173"/>
          <w:rFonts w:hint="eastAsia" w:ascii="宋体" w:hAnsi="宋体" w:eastAsia="宋体" w:cs="宋体"/>
          <w:color w:val="auto"/>
          <w:szCs w:val="24"/>
          <w:highlight w:val="none"/>
          <w:u w:val="single"/>
          <w:lang w:val="en-US" w:eastAsia="zh-CN"/>
        </w:rPr>
        <w:t xml:space="preserve">   </w:t>
      </w:r>
      <w:r>
        <w:rPr>
          <w:rStyle w:val="173"/>
          <w:rFonts w:hint="eastAsia" w:ascii="宋体" w:hAnsi="宋体" w:eastAsia="宋体" w:cs="宋体"/>
          <w:color w:val="auto"/>
          <w:szCs w:val="24"/>
          <w:highlight w:val="none"/>
          <w:lang w:val="en-US" w:eastAsia="zh-CN"/>
        </w:rPr>
        <w:t>年，质保期间，乙方应免费负责维护；质保期后长期提供良好的技术支持。</w:t>
      </w:r>
    </w:p>
    <w:p w14:paraId="3003AFED">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2.质量保证期自甲方（或其被委托人）在验收报告上签署“验收合格”之日起计算；质量保证期内免费维修更换配件；乙方须提供详细的售后服务承诺及准确有效的服务机构联系方式。</w:t>
      </w:r>
    </w:p>
    <w:p w14:paraId="316E0DA4">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3.在设备（或系统）整个使用期内，乙方应确保正常使用，在接到甲方维修要求后在0.5小时内响应并提出解决方案，5小时内对故障进行指导处理，24小时内对故障进行现场处理，维修过程中所需材料乙方在接到通知后应及时提供，最长不超过72小时必须送达甲方。若72小时内无法修复的，应72小时内提供相应备用设备并负责安装调试，为此，乙方应提供相应承诺书。</w:t>
      </w:r>
    </w:p>
    <w:p w14:paraId="035FB415">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4.备品备件及耗材要求：该产品所需要的所有配件，乙方应常年备货。乙方在免费保修期内免费提供保证产品正常运行的全部备件及维护。</w:t>
      </w:r>
    </w:p>
    <w:p w14:paraId="4C0E05F7">
      <w:pPr>
        <w:pStyle w:val="80"/>
        <w:spacing w:beforeLines="0" w:afterLines="0" w:line="312" w:lineRule="auto"/>
        <w:ind w:firstLine="480" w:firstLineChars="200"/>
        <w:rPr>
          <w:rStyle w:val="173"/>
          <w:rFonts w:hint="eastAsia" w:ascii="宋体" w:hAnsi="宋体" w:eastAsia="宋体" w:cs="宋体"/>
          <w:color w:val="auto"/>
          <w:szCs w:val="24"/>
          <w:highlight w:val="none"/>
          <w:lang w:val="en-US" w:eastAsia="zh-CN"/>
        </w:rPr>
      </w:pPr>
      <w:r>
        <w:rPr>
          <w:rStyle w:val="173"/>
          <w:rFonts w:hint="eastAsia" w:ascii="宋体" w:hAnsi="宋体" w:eastAsia="宋体" w:cs="宋体"/>
          <w:color w:val="auto"/>
          <w:szCs w:val="24"/>
          <w:highlight w:val="none"/>
          <w:lang w:val="en-US" w:eastAsia="zh-CN"/>
        </w:rPr>
        <w:t>5.在乙方承诺的质保期内，因产品制造质量不良而产生损坏或不能正常工作，乙方应免费给予维修、更换和正常保养。在质量保证期满以后，应该保证提供备件和保养服务。</w:t>
      </w:r>
    </w:p>
    <w:p w14:paraId="03D8F5E4">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val="en-US" w:eastAsia="zh-CN"/>
        </w:rPr>
      </w:pPr>
      <w:bookmarkStart w:id="1260" w:name="_Toc22273"/>
      <w:bookmarkStart w:id="1261" w:name="_Toc4676"/>
      <w:bookmarkStart w:id="1262" w:name="_Toc6138"/>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、验收</w:t>
      </w:r>
      <w:bookmarkEnd w:id="1260"/>
      <w:bookmarkEnd w:id="1261"/>
      <w:bookmarkEnd w:id="1262"/>
    </w:p>
    <w:p w14:paraId="614383DE">
      <w:pPr>
        <w:widowControl/>
        <w:autoSpaceDE w:val="0"/>
        <w:autoSpaceDN w:val="0"/>
        <w:spacing w:beforeLines="0" w:afterLines="0" w:line="312" w:lineRule="auto"/>
        <w:ind w:left="0" w:leftChars="0" w:right="0" w:rightChars="0" w:firstLine="480" w:firstLineChars="200"/>
        <w:textAlignment w:val="bottom"/>
        <w:rPr>
          <w:rFonts w:hint="eastAsia" w:ascii="宋体" w:hAnsi="宋体" w:cs="宋体"/>
          <w:color w:val="auto"/>
          <w:szCs w:val="21"/>
          <w:highlight w:val="none"/>
        </w:rPr>
      </w:pPr>
      <w:bookmarkStart w:id="1263" w:name="_Toc30776"/>
      <w:bookmarkStart w:id="1264" w:name="_Toc17518"/>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应提供系统设备的有效检验材料，经</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认可后，与合同的技术指标一起作为验收标准。按</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要求完成交货、安装、调试，设备联机</w:t>
      </w:r>
      <w:r>
        <w:rPr>
          <w:rFonts w:hint="eastAsia" w:ascii="宋体" w:hAnsi="宋体" w:cs="宋体"/>
          <w:bCs/>
          <w:color w:val="auto"/>
          <w:szCs w:val="21"/>
          <w:highlight w:val="none"/>
        </w:rPr>
        <w:t>试运行3个月后</w:t>
      </w:r>
      <w:r>
        <w:rPr>
          <w:rFonts w:hint="eastAsia" w:ascii="宋体" w:hAnsi="宋体" w:cs="宋体"/>
          <w:color w:val="auto"/>
          <w:szCs w:val="21"/>
          <w:highlight w:val="none"/>
        </w:rPr>
        <w:t>初验，技术服务期24个月</w:t>
      </w:r>
      <w:r>
        <w:rPr>
          <w:rFonts w:hint="eastAsia" w:ascii="宋体" w:hAnsi="宋体" w:cs="宋体"/>
          <w:bCs/>
          <w:color w:val="auto"/>
          <w:szCs w:val="21"/>
          <w:highlight w:val="none"/>
        </w:rPr>
        <w:t>（不包含试运行时间）后进行终验</w:t>
      </w:r>
      <w:r>
        <w:rPr>
          <w:rFonts w:hint="eastAsia" w:ascii="宋体" w:hAnsi="宋体" w:cs="宋体"/>
          <w:color w:val="auto"/>
          <w:szCs w:val="21"/>
          <w:highlight w:val="none"/>
        </w:rPr>
        <w:t>，</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在《验收报告》上签署意见并加盖单位公章。验收中发现系统设备达不到验收标准或合同规定的技术指标，</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必须更换，并负担由此给</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造成的损失，直到验收合格为止。</w:t>
      </w:r>
    </w:p>
    <w:p w14:paraId="3763A531">
      <w:pPr>
        <w:widowControl/>
        <w:autoSpaceDE w:val="0"/>
        <w:autoSpaceDN w:val="0"/>
        <w:spacing w:beforeLines="0" w:afterLines="0" w:line="312" w:lineRule="auto"/>
        <w:ind w:left="0" w:leftChars="0" w:right="0" w:rightChars="0" w:firstLine="480" w:firstLineChars="200"/>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应于投标</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中提供系统设备的验收标准和检测办法，并在验收中提供</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认可的相应检测手段，验收标准应符合中国有关的国家、地方、行业的标准，如若中标，经</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确认后</w:t>
      </w:r>
      <w:r>
        <w:rPr>
          <w:rFonts w:hint="eastAsia" w:ascii="宋体" w:hAnsi="宋体" w:eastAsia="宋体" w:cs="宋体"/>
          <w:color w:val="auto"/>
          <w:szCs w:val="21"/>
          <w:highlight w:val="none"/>
        </w:rPr>
        <w:t>作为验收的依据。</w:t>
      </w:r>
    </w:p>
    <w:p w14:paraId="766246EC">
      <w:pPr>
        <w:widowControl/>
        <w:autoSpaceDE w:val="0"/>
        <w:autoSpaceDN w:val="0"/>
        <w:spacing w:beforeLines="0" w:afterLines="0" w:line="312" w:lineRule="auto"/>
        <w:ind w:left="0" w:leftChars="0" w:right="0" w:rightChars="0" w:firstLine="48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3.验收费用由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w:t>
      </w:r>
    </w:p>
    <w:p w14:paraId="2C9B669E">
      <w:pPr>
        <w:keepNext w:val="0"/>
        <w:keepLines w:val="0"/>
        <w:pageBreakBefore w:val="0"/>
        <w:kinsoku/>
        <w:wordWrap/>
        <w:overflowPunct/>
        <w:topLinePunct w:val="0"/>
        <w:autoSpaceDE/>
        <w:autoSpaceDN/>
        <w:bidi w:val="0"/>
        <w:snapToGrid/>
        <w:spacing w:beforeLines="0" w:afterLines="0" w:line="312" w:lineRule="auto"/>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65" w:name="_Toc31438"/>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、货物包装、发运及运输</w:t>
      </w:r>
      <w:bookmarkEnd w:id="1263"/>
      <w:bookmarkEnd w:id="1264"/>
      <w:bookmarkEnd w:id="1265"/>
    </w:p>
    <w:p w14:paraId="7AB9D15E">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14:paraId="53958C16">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outlineLvl w:val="2"/>
        <w:rPr>
          <w:rFonts w:hint="eastAsia" w:ascii="宋体" w:hAnsi="宋体" w:eastAsia="宋体" w:cs="宋体"/>
          <w:color w:val="auto"/>
          <w:sz w:val="24"/>
          <w:szCs w:val="24"/>
          <w:highlight w:val="none"/>
        </w:rPr>
      </w:pPr>
      <w:bookmarkStart w:id="1266" w:name="_Toc23567"/>
      <w:r>
        <w:rPr>
          <w:rFonts w:hint="eastAsia" w:ascii="宋体" w:hAnsi="宋体" w:eastAsia="宋体" w:cs="宋体"/>
          <w:color w:val="auto"/>
          <w:sz w:val="24"/>
          <w:szCs w:val="24"/>
          <w:highlight w:val="none"/>
        </w:rPr>
        <w:t>2.使用说明书、质量检验证明书以及清单一并附于货物内。</w:t>
      </w:r>
      <w:bookmarkEnd w:id="1266"/>
    </w:p>
    <w:p w14:paraId="6347BC6E">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3.乙方在货物发运手续办理完毕后24小时内或货到甲方48小时前通知甲方，以准备接货。</w:t>
      </w:r>
    </w:p>
    <w:p w14:paraId="4110EB66">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outlineLvl w:val="2"/>
        <w:rPr>
          <w:rFonts w:hint="eastAsia" w:ascii="宋体" w:hAnsi="宋体" w:eastAsia="宋体" w:cs="宋体"/>
          <w:color w:val="auto"/>
          <w:sz w:val="24"/>
          <w:szCs w:val="24"/>
          <w:highlight w:val="none"/>
        </w:rPr>
      </w:pPr>
      <w:bookmarkStart w:id="1267" w:name="_Toc15585"/>
      <w:r>
        <w:rPr>
          <w:rFonts w:hint="eastAsia" w:ascii="宋体" w:hAnsi="宋体" w:eastAsia="宋体" w:cs="宋体"/>
          <w:color w:val="auto"/>
          <w:sz w:val="24"/>
          <w:szCs w:val="24"/>
          <w:highlight w:val="none"/>
        </w:rPr>
        <w:t>4.货物在交付甲方前发生的风险均由乙方负责。</w:t>
      </w:r>
      <w:bookmarkEnd w:id="1267"/>
    </w:p>
    <w:p w14:paraId="4E9E8463">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5.货物在规定的交付期限内由乙方送达甲方指定的地点视为交付，乙方同时需通知甲方货物已送达。</w:t>
      </w:r>
    </w:p>
    <w:p w14:paraId="3772654D">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rPr>
      </w:pPr>
      <w:bookmarkStart w:id="1268" w:name="_Toc32363"/>
      <w:bookmarkStart w:id="1269" w:name="_Toc5439"/>
      <w:bookmarkStart w:id="1270" w:name="_Toc7307"/>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、违约责任</w:t>
      </w:r>
      <w:bookmarkEnd w:id="1268"/>
      <w:bookmarkEnd w:id="1269"/>
      <w:bookmarkEnd w:id="1270"/>
    </w:p>
    <w:p w14:paraId="1372BCF5">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1.甲方无正当理由拒收货物的，甲方向乙方偿付拒收货款总值的</w:t>
      </w: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违约金。</w:t>
      </w:r>
    </w:p>
    <w:p w14:paraId="79A2FF38">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2.甲方无故逾期验收和办理货款支付手续的,甲方应按逾期付款总额每日万分之五向乙方支付违约金。</w:t>
      </w:r>
    </w:p>
    <w:p w14:paraId="3799CE80">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11438A8E">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3CF3D93">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outlineLvl w:val="1"/>
        <w:rPr>
          <w:rFonts w:hint="eastAsia" w:ascii="宋体" w:hAnsi="宋体" w:eastAsia="宋体" w:cs="宋体"/>
          <w:b/>
          <w:bCs/>
          <w:color w:val="auto"/>
          <w:sz w:val="28"/>
          <w:szCs w:val="28"/>
          <w:highlight w:val="none"/>
        </w:rPr>
      </w:pPr>
      <w:bookmarkStart w:id="1271" w:name="_Toc1494"/>
      <w:bookmarkStart w:id="1272" w:name="_Toc27227"/>
      <w:bookmarkStart w:id="1273" w:name="_Toc17901"/>
      <w:r>
        <w:rPr>
          <w:rFonts w:hint="eastAsia" w:ascii="宋体" w:hAnsi="宋体" w:cs="宋体"/>
          <w:b/>
          <w:bCs/>
          <w:color w:val="auto"/>
          <w:sz w:val="24"/>
          <w:szCs w:val="24"/>
          <w:highlight w:val="none"/>
          <w:lang w:val="en-US" w:eastAsia="zh-CN"/>
        </w:rPr>
        <w:t>十七</w:t>
      </w:r>
      <w:r>
        <w:rPr>
          <w:rFonts w:hint="eastAsia" w:ascii="宋体" w:hAnsi="宋体" w:eastAsia="宋体" w:cs="宋体"/>
          <w:b/>
          <w:bCs/>
          <w:color w:val="auto"/>
          <w:sz w:val="24"/>
          <w:szCs w:val="24"/>
          <w:highlight w:val="none"/>
        </w:rPr>
        <w:t>、不可抗力事件处理</w:t>
      </w:r>
      <w:bookmarkEnd w:id="1271"/>
      <w:bookmarkEnd w:id="1272"/>
      <w:bookmarkEnd w:id="1273"/>
    </w:p>
    <w:p w14:paraId="1F3F3C59">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0D63DE7">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0250BF5">
      <w:pPr>
        <w:keepNext w:val="0"/>
        <w:keepLines w:val="0"/>
        <w:pageBreakBefore w:val="0"/>
        <w:widowControl w:val="0"/>
        <w:kinsoku/>
        <w:wordWrap/>
        <w:overflowPunct/>
        <w:topLinePunct w:val="0"/>
        <w:autoSpaceDE/>
        <w:autoSpaceDN/>
        <w:bidi w:val="0"/>
        <w:adjustRightInd/>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CE185CC">
      <w:pPr>
        <w:keepNext w:val="0"/>
        <w:keepLines w:val="0"/>
        <w:pageBreakBefore w:val="0"/>
        <w:kinsoku/>
        <w:wordWrap/>
        <w:overflowPunct/>
        <w:topLinePunct w:val="0"/>
        <w:autoSpaceDE/>
        <w:autoSpaceDN/>
        <w:bidi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rPr>
      </w:pPr>
      <w:bookmarkStart w:id="1274" w:name="_Toc18540"/>
      <w:bookmarkStart w:id="1275" w:name="_Toc29385"/>
      <w:bookmarkStart w:id="1276" w:name="_Toc28101"/>
      <w:r>
        <w:rPr>
          <w:rFonts w:hint="eastAsia" w:ascii="宋体" w:hAnsi="宋体" w:cs="宋体"/>
          <w:b/>
          <w:bCs/>
          <w:color w:val="auto"/>
          <w:sz w:val="24"/>
          <w:szCs w:val="24"/>
          <w:highlight w:val="none"/>
          <w:lang w:val="en-US" w:eastAsia="zh-CN"/>
        </w:rPr>
        <w:t>十八</w:t>
      </w:r>
      <w:r>
        <w:rPr>
          <w:rFonts w:hint="eastAsia" w:ascii="宋体" w:hAnsi="宋体" w:eastAsia="宋体" w:cs="宋体"/>
          <w:b/>
          <w:bCs/>
          <w:color w:val="auto"/>
          <w:sz w:val="24"/>
          <w:szCs w:val="24"/>
          <w:highlight w:val="none"/>
        </w:rPr>
        <w:t>、诉讼</w:t>
      </w:r>
      <w:bookmarkEnd w:id="1274"/>
      <w:bookmarkEnd w:id="1275"/>
      <w:bookmarkEnd w:id="1276"/>
    </w:p>
    <w:p w14:paraId="5478FE14">
      <w:pPr>
        <w:keepNext w:val="0"/>
        <w:keepLines w:val="0"/>
        <w:pageBreakBefore w:val="0"/>
        <w:kinsoku/>
        <w:wordWrap/>
        <w:overflowPunct/>
        <w:topLinePunct w:val="0"/>
        <w:autoSpaceDE/>
        <w:autoSpaceDN/>
        <w:bidi w:val="0"/>
        <w:snapToGrid/>
        <w:spacing w:beforeLines="0" w:afterLines="0" w:line="312"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4AA3A7AE">
      <w:pPr>
        <w:keepNext w:val="0"/>
        <w:keepLines w:val="0"/>
        <w:pageBreakBefore w:val="0"/>
        <w:kinsoku/>
        <w:wordWrap/>
        <w:overflowPunct/>
        <w:topLinePunct w:val="0"/>
        <w:autoSpaceDE/>
        <w:autoSpaceDN/>
        <w:bidi w:val="0"/>
        <w:adjustRightInd w:val="0"/>
        <w:snapToGrid/>
        <w:spacing w:beforeLines="0" w:afterLines="0" w:line="312" w:lineRule="auto"/>
        <w:ind w:firstLine="480"/>
        <w:textAlignment w:val="auto"/>
        <w:outlineLvl w:val="1"/>
        <w:rPr>
          <w:rFonts w:hint="eastAsia" w:ascii="宋体" w:hAnsi="宋体" w:eastAsia="宋体" w:cs="宋体"/>
          <w:b/>
          <w:bCs/>
          <w:color w:val="auto"/>
          <w:sz w:val="24"/>
          <w:szCs w:val="24"/>
          <w:highlight w:val="none"/>
          <w:lang w:eastAsia="zh-CN"/>
        </w:rPr>
      </w:pPr>
      <w:bookmarkStart w:id="1277" w:name="_Toc32585"/>
      <w:bookmarkStart w:id="1278" w:name="_Toc5397"/>
      <w:bookmarkStart w:id="1279" w:name="_Toc8980"/>
      <w:r>
        <w:rPr>
          <w:rFonts w:hint="eastAsia" w:ascii="宋体" w:hAnsi="宋体" w:cs="宋体"/>
          <w:b/>
          <w:bCs/>
          <w:color w:val="auto"/>
          <w:sz w:val="24"/>
          <w:szCs w:val="24"/>
          <w:highlight w:val="none"/>
          <w:lang w:val="en-US" w:eastAsia="zh-CN"/>
        </w:rPr>
        <w:t>十九</w:t>
      </w:r>
      <w:r>
        <w:rPr>
          <w:rFonts w:hint="eastAsia" w:ascii="宋体" w:hAnsi="宋体" w:eastAsia="宋体" w:cs="宋体"/>
          <w:b/>
          <w:bCs/>
          <w:color w:val="auto"/>
          <w:sz w:val="24"/>
          <w:szCs w:val="24"/>
          <w:highlight w:val="none"/>
        </w:rPr>
        <w:t>、合同生效及其</w:t>
      </w:r>
      <w:bookmarkEnd w:id="1277"/>
      <w:bookmarkEnd w:id="1278"/>
      <w:r>
        <w:rPr>
          <w:rFonts w:hint="eastAsia" w:ascii="宋体" w:hAnsi="宋体" w:cs="宋体"/>
          <w:b/>
          <w:bCs/>
          <w:color w:val="auto"/>
          <w:sz w:val="24"/>
          <w:szCs w:val="24"/>
          <w:highlight w:val="none"/>
          <w:lang w:val="en-US" w:eastAsia="zh-CN"/>
        </w:rPr>
        <w:t>他</w:t>
      </w:r>
      <w:bookmarkEnd w:id="1279"/>
    </w:p>
    <w:p w14:paraId="358DD279">
      <w:pPr>
        <w:keepNext w:val="0"/>
        <w:keepLines w:val="0"/>
        <w:widowControl w:val="0"/>
        <w:suppressLineNumbers w:val="0"/>
        <w:spacing w:before="0" w:beforeLines="0" w:beforeAutospacing="0" w:after="0" w:afterLines="0" w:afterAutospacing="0" w:line="312"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1.合同经双方法定代表人签字或授权代表签字并加盖单位公章后生效。</w:t>
      </w:r>
    </w:p>
    <w:p w14:paraId="68F5DA23">
      <w:pPr>
        <w:keepNext w:val="0"/>
        <w:keepLines w:val="0"/>
        <w:widowControl w:val="0"/>
        <w:suppressLineNumbers w:val="0"/>
        <w:spacing w:before="0" w:beforeLines="0" w:beforeAutospacing="0" w:after="0" w:afterLines="0" w:afterAutospacing="0" w:line="312"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2.本合同甲乙双方若发生纠纷应协商解决，协商不成的，由甲方所在地人民法院处理。</w:t>
      </w:r>
    </w:p>
    <w:p w14:paraId="2B94D3C6">
      <w:pPr>
        <w:keepNext w:val="0"/>
        <w:keepLines w:val="0"/>
        <w:pageBreakBefore w:val="0"/>
        <w:widowControl w:val="0"/>
        <w:suppressLineNumbers w:val="0"/>
        <w:shd w:val="clear"/>
        <w:kinsoku/>
        <w:wordWrap/>
        <w:overflowPunct/>
        <w:topLinePunct w:val="0"/>
        <w:bidi w:val="0"/>
        <w:adjustRightInd/>
        <w:snapToGrid/>
        <w:spacing w:before="0" w:beforeLines="0" w:beforeAutospacing="0" w:after="0" w:afterLines="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.本合同未尽事宜，遵照《</w:t>
      </w:r>
      <w:r>
        <w:rPr>
          <w:rFonts w:hint="eastAsia" w:ascii="宋体" w:hAnsi="宋体" w:cs="宋体"/>
          <w:color w:val="auto"/>
          <w:kern w:val="2"/>
          <w:sz w:val="24"/>
          <w:szCs w:val="24"/>
          <w:highlight w:val="none"/>
          <w:lang w:val="en-US" w:eastAsia="zh-CN" w:bidi="ar"/>
        </w:rPr>
        <w:t>中华人民共和国民法典</w:t>
      </w:r>
      <w:r>
        <w:rPr>
          <w:rFonts w:hint="eastAsia" w:ascii="宋体" w:hAnsi="宋体" w:eastAsia="宋体" w:cs="宋体"/>
          <w:color w:val="auto"/>
          <w:kern w:val="2"/>
          <w:sz w:val="24"/>
          <w:szCs w:val="24"/>
          <w:highlight w:val="none"/>
          <w:lang w:val="en-US" w:eastAsia="zh-CN" w:bidi="ar"/>
        </w:rPr>
        <w:t>》有关条文执行。</w:t>
      </w:r>
    </w:p>
    <w:p w14:paraId="382849C0">
      <w:pPr>
        <w:keepNext w:val="0"/>
        <w:keepLines w:val="0"/>
        <w:pageBreakBefore w:val="0"/>
        <w:widowControl w:val="0"/>
        <w:suppressLineNumbers w:val="0"/>
        <w:shd w:val="clear"/>
        <w:kinsoku/>
        <w:wordWrap/>
        <w:overflowPunct/>
        <w:topLinePunct w:val="0"/>
        <w:bidi w:val="0"/>
        <w:adjustRightInd/>
        <w:snapToGrid/>
        <w:spacing w:before="0" w:beforeLines="0" w:beforeAutospacing="0" w:after="0" w:afterLines="0" w:afterAutospacing="0" w:line="312"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r>
        <w:rPr>
          <w:rFonts w:hint="eastAsia" w:ascii="宋体" w:hAnsi="宋体" w:cs="宋体"/>
          <w:color w:val="auto"/>
          <w:highlight w:val="none"/>
        </w:rPr>
        <w:t>本合同一式拾份，具有同等法律效力，甲方执叁份，乙方（牵头人及联合体成员各执叁份）执陆份，</w:t>
      </w:r>
      <w:r>
        <w:rPr>
          <w:rFonts w:hint="eastAsia" w:ascii="宋体" w:hAnsi="宋体" w:cs="宋体"/>
          <w:color w:val="auto"/>
          <w:highlight w:val="none"/>
          <w:lang w:eastAsia="zh-CN"/>
        </w:rPr>
        <w:t>衢州宇信工程咨询有限公司</w:t>
      </w:r>
      <w:r>
        <w:rPr>
          <w:rFonts w:hint="eastAsia" w:ascii="宋体" w:hAnsi="宋体" w:cs="宋体"/>
          <w:color w:val="auto"/>
          <w:highlight w:val="none"/>
        </w:rPr>
        <w:t>执壹份。</w:t>
      </w:r>
    </w:p>
    <w:tbl>
      <w:tblPr>
        <w:tblStyle w:val="4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1"/>
        <w:gridCol w:w="4981"/>
      </w:tblGrid>
      <w:tr w14:paraId="128D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2500" w:type="pct"/>
            <w:tcBorders>
              <w:top w:val="nil"/>
              <w:left w:val="nil"/>
              <w:bottom w:val="nil"/>
              <w:right w:val="nil"/>
            </w:tcBorders>
            <w:shd w:val="clear" w:color="auto" w:fill="auto"/>
            <w:vAlign w:val="center"/>
          </w:tcPr>
          <w:p w14:paraId="0F383292">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12"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甲方（盖章）：</w:t>
            </w:r>
          </w:p>
        </w:tc>
        <w:tc>
          <w:tcPr>
            <w:tcW w:w="2500" w:type="pct"/>
            <w:tcBorders>
              <w:top w:val="nil"/>
              <w:left w:val="nil"/>
              <w:bottom w:val="nil"/>
              <w:right w:val="nil"/>
            </w:tcBorders>
            <w:shd w:val="clear" w:color="auto" w:fill="auto"/>
            <w:vAlign w:val="center"/>
          </w:tcPr>
          <w:p w14:paraId="6C300D94">
            <w:pPr>
              <w:keepNext w:val="0"/>
              <w:keepLines w:val="0"/>
              <w:pageBreakBefore w:val="0"/>
              <w:widowControl/>
              <w:suppressLineNumbers w:val="0"/>
              <w:shd w:val="clear"/>
              <w:kinsoku/>
              <w:wordWrap/>
              <w:overflowPunct/>
              <w:topLinePunct w:val="0"/>
              <w:bidi w:val="0"/>
              <w:adjustRightInd/>
              <w:snapToGrid/>
              <w:spacing w:before="0" w:beforeAutospacing="0" w:after="0" w:afterAutospacing="0" w:line="312"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乙方（盖章）：</w:t>
            </w:r>
          </w:p>
        </w:tc>
      </w:tr>
      <w:tr w14:paraId="710E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2500" w:type="pct"/>
            <w:tcBorders>
              <w:top w:val="nil"/>
              <w:left w:val="nil"/>
              <w:bottom w:val="nil"/>
              <w:right w:val="nil"/>
            </w:tcBorders>
            <w:shd w:val="clear" w:color="auto" w:fill="auto"/>
            <w:vAlign w:val="center"/>
          </w:tcPr>
          <w:p w14:paraId="60D45755">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w:t>
            </w:r>
          </w:p>
          <w:p w14:paraId="366A9DBD">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授权委托人（签字）：</w:t>
            </w:r>
          </w:p>
        </w:tc>
        <w:tc>
          <w:tcPr>
            <w:tcW w:w="2500" w:type="pct"/>
            <w:tcBorders>
              <w:top w:val="nil"/>
              <w:left w:val="nil"/>
              <w:bottom w:val="nil"/>
              <w:right w:val="nil"/>
            </w:tcBorders>
            <w:shd w:val="clear" w:color="auto" w:fill="auto"/>
            <w:vAlign w:val="center"/>
          </w:tcPr>
          <w:p w14:paraId="7AF4CB86">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法定代表人或其</w:t>
            </w:r>
          </w:p>
          <w:p w14:paraId="0F3DAE6E">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授权委托人（签字）：</w:t>
            </w:r>
          </w:p>
        </w:tc>
      </w:tr>
      <w:tr w14:paraId="52C5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500" w:type="pct"/>
            <w:tcBorders>
              <w:top w:val="nil"/>
              <w:left w:val="nil"/>
              <w:bottom w:val="nil"/>
              <w:right w:val="nil"/>
            </w:tcBorders>
            <w:shd w:val="clear" w:color="auto" w:fill="auto"/>
            <w:vAlign w:val="center"/>
          </w:tcPr>
          <w:p w14:paraId="48E4EF98">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p>
        </w:tc>
        <w:tc>
          <w:tcPr>
            <w:tcW w:w="2500" w:type="pct"/>
            <w:tcBorders>
              <w:top w:val="nil"/>
              <w:left w:val="nil"/>
              <w:bottom w:val="nil"/>
              <w:right w:val="nil"/>
            </w:tcBorders>
            <w:shd w:val="clear" w:color="auto" w:fill="auto"/>
            <w:vAlign w:val="center"/>
          </w:tcPr>
          <w:p w14:paraId="4065E803">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p>
          <w:p w14:paraId="02C1500A">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p>
        </w:tc>
      </w:tr>
      <w:tr w14:paraId="08AE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500" w:type="pct"/>
            <w:tcBorders>
              <w:top w:val="nil"/>
              <w:left w:val="nil"/>
              <w:bottom w:val="nil"/>
              <w:right w:val="nil"/>
            </w:tcBorders>
            <w:shd w:val="clear" w:color="auto" w:fill="auto"/>
            <w:vAlign w:val="center"/>
          </w:tcPr>
          <w:p w14:paraId="1E94C676">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c>
          <w:tcPr>
            <w:tcW w:w="2500" w:type="pct"/>
            <w:tcBorders>
              <w:top w:val="nil"/>
              <w:left w:val="nil"/>
              <w:bottom w:val="nil"/>
              <w:right w:val="nil"/>
            </w:tcBorders>
            <w:shd w:val="clear" w:color="auto" w:fill="auto"/>
            <w:vAlign w:val="center"/>
          </w:tcPr>
          <w:p w14:paraId="7D6D4E6D">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电话：</w:t>
            </w:r>
          </w:p>
        </w:tc>
      </w:tr>
      <w:tr w14:paraId="3E05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2500" w:type="pct"/>
            <w:tcBorders>
              <w:top w:val="nil"/>
              <w:left w:val="nil"/>
              <w:bottom w:val="nil"/>
              <w:right w:val="nil"/>
            </w:tcBorders>
            <w:shd w:val="clear" w:color="auto" w:fill="auto"/>
            <w:vAlign w:val="center"/>
          </w:tcPr>
          <w:p w14:paraId="2D7118E6">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c>
          <w:tcPr>
            <w:tcW w:w="2500" w:type="pct"/>
            <w:tcBorders>
              <w:top w:val="nil"/>
              <w:left w:val="nil"/>
              <w:bottom w:val="nil"/>
              <w:right w:val="nil"/>
            </w:tcBorders>
            <w:shd w:val="clear" w:color="auto" w:fill="auto"/>
            <w:vAlign w:val="center"/>
          </w:tcPr>
          <w:p w14:paraId="2AAA85E3">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w:t>
            </w:r>
          </w:p>
        </w:tc>
      </w:tr>
      <w:tr w14:paraId="1E17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500" w:type="pct"/>
            <w:tcBorders>
              <w:top w:val="nil"/>
              <w:left w:val="nil"/>
              <w:bottom w:val="nil"/>
              <w:right w:val="nil"/>
            </w:tcBorders>
            <w:shd w:val="clear" w:color="auto" w:fill="auto"/>
            <w:vAlign w:val="center"/>
          </w:tcPr>
          <w:p w14:paraId="25CFDD4F">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c>
          <w:tcPr>
            <w:tcW w:w="2500" w:type="pct"/>
            <w:tcBorders>
              <w:top w:val="nil"/>
              <w:left w:val="nil"/>
              <w:bottom w:val="nil"/>
              <w:right w:val="nil"/>
            </w:tcBorders>
            <w:shd w:val="clear" w:color="auto" w:fill="auto"/>
            <w:vAlign w:val="center"/>
          </w:tcPr>
          <w:p w14:paraId="5BC8D43B">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账号：</w:t>
            </w:r>
          </w:p>
        </w:tc>
      </w:tr>
      <w:tr w14:paraId="044D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500" w:type="pct"/>
            <w:tcBorders>
              <w:top w:val="nil"/>
              <w:left w:val="nil"/>
              <w:bottom w:val="nil"/>
              <w:right w:val="nil"/>
            </w:tcBorders>
            <w:shd w:val="clear" w:color="auto" w:fill="auto"/>
            <w:vAlign w:val="center"/>
          </w:tcPr>
          <w:p w14:paraId="6E529048">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签字地点：</w:t>
            </w:r>
          </w:p>
        </w:tc>
        <w:tc>
          <w:tcPr>
            <w:tcW w:w="2500" w:type="pct"/>
            <w:tcBorders>
              <w:top w:val="nil"/>
              <w:left w:val="nil"/>
              <w:bottom w:val="nil"/>
              <w:right w:val="nil"/>
            </w:tcBorders>
            <w:shd w:val="clear" w:color="auto" w:fill="auto"/>
            <w:vAlign w:val="center"/>
          </w:tcPr>
          <w:p w14:paraId="4E24244C">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签字日期：    年   月  日</w:t>
            </w:r>
          </w:p>
        </w:tc>
      </w:tr>
      <w:tr w14:paraId="2AA8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000" w:type="pct"/>
            <w:gridSpan w:val="2"/>
            <w:tcBorders>
              <w:top w:val="nil"/>
              <w:left w:val="nil"/>
              <w:bottom w:val="nil"/>
              <w:right w:val="nil"/>
            </w:tcBorders>
            <w:shd w:val="clear" w:color="auto" w:fill="auto"/>
            <w:vAlign w:val="center"/>
          </w:tcPr>
          <w:p w14:paraId="0F2F8FC0">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鉴证方（盖章）：</w:t>
            </w:r>
          </w:p>
        </w:tc>
      </w:tr>
      <w:tr w14:paraId="6EE2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5000" w:type="pct"/>
            <w:gridSpan w:val="2"/>
            <w:tcBorders>
              <w:top w:val="nil"/>
              <w:left w:val="nil"/>
              <w:bottom w:val="nil"/>
              <w:right w:val="nil"/>
            </w:tcBorders>
            <w:shd w:val="clear" w:color="auto" w:fill="auto"/>
            <w:vAlign w:val="center"/>
          </w:tcPr>
          <w:p w14:paraId="20D83F1B">
            <w:pPr>
              <w:keepNext w:val="0"/>
              <w:keepLines w:val="0"/>
              <w:widowControl/>
              <w:suppressLineNumbers w:val="0"/>
              <w:shd w:val="clear"/>
              <w:adjustRightInd w:val="0"/>
              <w:snapToGrid w:val="0"/>
              <w:spacing w:before="0" w:beforeAutospacing="0" w:after="0" w:afterAutospacing="0" w:line="24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合同鉴证日期：    年  月  日</w:t>
            </w:r>
          </w:p>
        </w:tc>
      </w:tr>
      <w:bookmarkEnd w:id="1227"/>
    </w:tbl>
    <w:p w14:paraId="323DDE08">
      <w:pPr>
        <w:shd w:val="clear"/>
        <w:ind w:left="0" w:leftChars="0" w:firstLine="0" w:firstLineChars="0"/>
        <w:rPr>
          <w:rFonts w:hint="eastAsia"/>
          <w:color w:val="auto"/>
          <w:highlight w:val="none"/>
        </w:rPr>
      </w:pPr>
    </w:p>
    <w:p w14:paraId="571020EA">
      <w:pPr>
        <w:shd w:val="clear"/>
        <w:bidi w:val="0"/>
        <w:ind w:left="0" w:leftChars="0" w:firstLine="0" w:firstLineChars="0"/>
        <w:rPr>
          <w:rFonts w:hint="eastAsia"/>
          <w:color w:val="auto"/>
          <w:highlight w:val="none"/>
        </w:rPr>
      </w:pPr>
      <w:bookmarkStart w:id="1280" w:name="_Toc11383"/>
    </w:p>
    <w:p w14:paraId="2816B8F9">
      <w:pPr>
        <w:pStyle w:val="40"/>
        <w:rPr>
          <w:rFonts w:hint="eastAsia"/>
          <w:color w:val="auto"/>
          <w:highlight w:val="none"/>
        </w:rPr>
      </w:pPr>
    </w:p>
    <w:p w14:paraId="54BD7BE1">
      <w:pPr>
        <w:pStyle w:val="40"/>
        <w:ind w:left="0" w:leftChars="0" w:firstLine="0" w:firstLineChars="0"/>
        <w:rPr>
          <w:rFonts w:hint="eastAsia"/>
          <w:color w:val="auto"/>
          <w:highlight w:val="none"/>
        </w:rPr>
      </w:pPr>
    </w:p>
    <w:p w14:paraId="2FCF0639">
      <w:pPr>
        <w:pStyle w:val="5"/>
        <w:numPr>
          <w:ilvl w:val="0"/>
          <w:numId w:val="0"/>
        </w:numPr>
        <w:shd w:val="clear"/>
        <w:spacing w:before="312" w:after="312"/>
        <w:jc w:val="center"/>
        <w:rPr>
          <w:rFonts w:hint="eastAsia" w:ascii="宋体" w:hAnsi="宋体" w:eastAsia="宋体" w:cs="宋体"/>
          <w:color w:val="auto"/>
          <w:highlight w:val="none"/>
        </w:rPr>
      </w:pPr>
      <w:bookmarkStart w:id="1281" w:name="_Toc6114"/>
      <w:bookmarkStart w:id="1282" w:name="_Toc31279"/>
    </w:p>
    <w:p w14:paraId="7A8D92B1">
      <w:pPr>
        <w:pStyle w:val="5"/>
        <w:numPr>
          <w:ilvl w:val="0"/>
          <w:numId w:val="0"/>
        </w:numPr>
        <w:shd w:val="clear"/>
        <w:spacing w:before="312" w:after="312"/>
        <w:jc w:val="center"/>
        <w:rPr>
          <w:rFonts w:hint="eastAsia" w:ascii="宋体" w:hAnsi="宋体" w:eastAsia="宋体" w:cs="宋体"/>
          <w:color w:val="auto"/>
          <w:highlight w:val="none"/>
        </w:rPr>
      </w:pPr>
    </w:p>
    <w:p w14:paraId="322FE900">
      <w:pPr>
        <w:pStyle w:val="5"/>
        <w:numPr>
          <w:ilvl w:val="0"/>
          <w:numId w:val="0"/>
        </w:numPr>
        <w:shd w:val="clear"/>
        <w:spacing w:before="312" w:after="312"/>
        <w:jc w:val="center"/>
        <w:rPr>
          <w:rFonts w:hint="eastAsia" w:ascii="宋体" w:hAnsi="宋体" w:eastAsia="宋体" w:cs="宋体"/>
          <w:color w:val="auto"/>
          <w:highlight w:val="none"/>
        </w:rPr>
      </w:pPr>
    </w:p>
    <w:p w14:paraId="63BAF8FD">
      <w:pPr>
        <w:bidi w:val="0"/>
        <w:rPr>
          <w:rFonts w:hint="eastAsia"/>
          <w:color w:val="auto"/>
          <w:highlight w:val="none"/>
        </w:rPr>
      </w:pPr>
    </w:p>
    <w:p w14:paraId="36E95D96">
      <w:pPr>
        <w:pStyle w:val="5"/>
        <w:numPr>
          <w:ilvl w:val="0"/>
          <w:numId w:val="0"/>
        </w:numPr>
        <w:shd w:val="clear"/>
        <w:spacing w:before="312" w:after="312"/>
        <w:jc w:val="center"/>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1152"/>
      <w:bookmarkEnd w:id="1153"/>
      <w:bookmarkEnd w:id="1154"/>
      <w:bookmarkEnd w:id="1155"/>
      <w:bookmarkEnd w:id="1156"/>
      <w:bookmarkEnd w:id="1157"/>
      <w:bookmarkEnd w:id="1158"/>
      <w:bookmarkEnd w:id="1218"/>
      <w:bookmarkEnd w:id="1219"/>
      <w:bookmarkEnd w:id="1220"/>
      <w:bookmarkEnd w:id="1221"/>
      <w:bookmarkEnd w:id="1222"/>
      <w:bookmarkEnd w:id="1223"/>
      <w:bookmarkEnd w:id="1280"/>
      <w:bookmarkEnd w:id="1281"/>
      <w:bookmarkEnd w:id="1282"/>
    </w:p>
    <w:p w14:paraId="27FD2BD9">
      <w:pPr>
        <w:shd w:val="clear"/>
        <w:spacing w:line="420" w:lineRule="exact"/>
        <w:ind w:firstLine="480"/>
        <w:rPr>
          <w:rFonts w:hint="eastAsia" w:ascii="宋体" w:hAnsi="宋体" w:eastAsia="宋体" w:cs="宋体"/>
          <w:color w:val="auto"/>
          <w:highlight w:val="none"/>
        </w:rPr>
      </w:pPr>
    </w:p>
    <w:tbl>
      <w:tblPr>
        <w:tblStyle w:val="43"/>
        <w:tblW w:w="896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60"/>
      </w:tblGrid>
      <w:tr w14:paraId="49E9A412">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1530" w:hRule="atLeast"/>
          <w:jc w:val="center"/>
        </w:trPr>
        <w:tc>
          <w:tcPr>
            <w:tcW w:w="8960" w:type="dxa"/>
            <w:tcBorders>
              <w:top w:val="double" w:color="666699" w:sz="4" w:space="0"/>
              <w:left w:val="double" w:color="666699" w:sz="4" w:space="0"/>
              <w:bottom w:val="double" w:color="666699" w:sz="4" w:space="0"/>
              <w:right w:val="double" w:color="666699" w:sz="4" w:space="0"/>
            </w:tcBorders>
            <w:shd w:val="clear" w:color="auto" w:fill="FCFEEA"/>
          </w:tcPr>
          <w:p w14:paraId="6A67FAEE">
            <w:pPr>
              <w:keepNext w:val="0"/>
              <w:keepLines w:val="0"/>
              <w:suppressLineNumbers w:val="0"/>
              <w:shd w:val="clear"/>
              <w:snapToGrid w:val="0"/>
              <w:spacing w:before="0" w:beforeAutospacing="0" w:after="0" w:afterAutospacing="0" w:line="420" w:lineRule="exact"/>
              <w:ind w:left="0" w:right="0" w:firstLine="602"/>
              <w:jc w:val="center"/>
              <w:rPr>
                <w:rFonts w:hint="eastAsia" w:ascii="宋体" w:hAnsi="宋体" w:eastAsia="宋体" w:cs="宋体"/>
                <w:b/>
                <w:color w:val="auto"/>
                <w:sz w:val="30"/>
                <w:highlight w:val="none"/>
              </w:rPr>
            </w:pPr>
          </w:p>
          <w:p w14:paraId="2899D332">
            <w:pPr>
              <w:pStyle w:val="3"/>
              <w:keepNext w:val="0"/>
              <w:keepLines w:val="0"/>
              <w:suppressLineNumbers w:val="0"/>
              <w:shd w:val="clear"/>
              <w:spacing w:before="0" w:beforeAutospacing="0" w:after="0" w:afterAutospacing="0"/>
              <w:ind w:left="0" w:right="0" w:firstLine="480"/>
              <w:rPr>
                <w:rFonts w:hint="eastAsia" w:ascii="宋体" w:hAnsi="宋体" w:eastAsia="宋体" w:cs="宋体"/>
                <w:color w:val="auto"/>
                <w:highlight w:val="none"/>
              </w:rPr>
            </w:pPr>
          </w:p>
          <w:p w14:paraId="5972F0F5">
            <w:pPr>
              <w:pStyle w:val="2"/>
              <w:keepNext w:val="0"/>
              <w:keepLines w:val="0"/>
              <w:suppressLineNumbers w:val="0"/>
              <w:shd w:val="clear"/>
              <w:spacing w:before="0" w:beforeAutospacing="0" w:afterAutospacing="0"/>
              <w:ind w:left="0" w:leftChars="0" w:right="0" w:firstLine="0" w:firstLineChars="0"/>
              <w:jc w:val="center"/>
              <w:rPr>
                <w:rFonts w:hint="eastAsia" w:ascii="宋体" w:hAnsi="宋体" w:eastAsia="宋体" w:cs="宋体"/>
                <w:color w:val="auto"/>
                <w:sz w:val="48"/>
                <w:szCs w:val="48"/>
                <w:highlight w:val="none"/>
              </w:rPr>
            </w:pPr>
            <w:r>
              <w:rPr>
                <w:rFonts w:hint="eastAsia" w:ascii="宋体" w:hAnsi="宋体" w:cs="宋体"/>
                <w:b/>
                <w:color w:val="auto"/>
                <w:sz w:val="48"/>
                <w:szCs w:val="48"/>
                <w:highlight w:val="none"/>
                <w:lang w:val="zh-CN"/>
              </w:rPr>
              <w:t>龙游县龙南污水厂建设工程设备采购招标</w:t>
            </w:r>
          </w:p>
          <w:p w14:paraId="296D5B53">
            <w:pPr>
              <w:keepNext w:val="0"/>
              <w:keepLines w:val="0"/>
              <w:suppressLineNumbers w:val="0"/>
              <w:shd w:val="clear"/>
              <w:spacing w:before="0" w:beforeAutospacing="0" w:after="0" w:afterAutospacing="0"/>
              <w:ind w:left="0" w:right="0"/>
              <w:rPr>
                <w:rFonts w:hint="eastAsia"/>
                <w:color w:val="auto"/>
                <w:highlight w:val="none"/>
              </w:rPr>
            </w:pPr>
          </w:p>
          <w:p w14:paraId="78A378AA">
            <w:pPr>
              <w:pStyle w:val="52"/>
              <w:keepNext w:val="0"/>
              <w:keepLines w:val="0"/>
              <w:widowControl/>
              <w:suppressLineNumbers w:val="0"/>
              <w:shd w:val="clear"/>
              <w:spacing w:before="0" w:beforeAutospacing="0" w:after="0" w:afterAutospacing="0"/>
              <w:ind w:left="0" w:right="0"/>
              <w:rPr>
                <w:rFonts w:hint="eastAsia" w:ascii="宋体" w:hAnsi="宋体" w:eastAsia="宋体" w:cs="宋体"/>
                <w:color w:val="auto"/>
                <w:szCs w:val="20"/>
                <w:highlight w:val="none"/>
              </w:rPr>
            </w:pPr>
          </w:p>
          <w:p w14:paraId="0208D809">
            <w:pPr>
              <w:keepNext w:val="0"/>
              <w:keepLines w:val="0"/>
              <w:suppressLineNumbers w:val="0"/>
              <w:shd w:val="clear"/>
              <w:spacing w:before="0" w:beforeAutospacing="0" w:after="0" w:afterAutospacing="0"/>
              <w:ind w:left="0" w:right="0"/>
              <w:rPr>
                <w:rFonts w:hint="eastAsia" w:ascii="宋体" w:hAnsi="宋体" w:eastAsia="宋体" w:cs="宋体"/>
                <w:color w:val="auto"/>
                <w:szCs w:val="20"/>
                <w:highlight w:val="none"/>
              </w:rPr>
            </w:pPr>
          </w:p>
          <w:p w14:paraId="62E3D7FD">
            <w:pPr>
              <w:keepNext w:val="0"/>
              <w:keepLines w:val="0"/>
              <w:suppressLineNumbers w:val="0"/>
              <w:shd w:val="clear"/>
              <w:spacing w:before="0" w:beforeAutospacing="0" w:after="0" w:afterAutospacing="0"/>
              <w:ind w:left="0" w:right="0"/>
              <w:rPr>
                <w:rFonts w:hint="eastAsia" w:ascii="宋体" w:hAnsi="宋体" w:eastAsia="宋体" w:cs="宋体"/>
                <w:color w:val="auto"/>
                <w:szCs w:val="20"/>
                <w:highlight w:val="none"/>
              </w:rPr>
            </w:pPr>
          </w:p>
          <w:p w14:paraId="76EF6668">
            <w:pPr>
              <w:keepNext w:val="0"/>
              <w:keepLines w:val="0"/>
              <w:suppressLineNumbers w:val="0"/>
              <w:shd w:val="clear"/>
              <w:spacing w:before="0" w:beforeAutospacing="0" w:after="0" w:afterAutospacing="0"/>
              <w:ind w:left="0" w:leftChars="0" w:right="0" w:firstLine="0" w:firstLineChars="0"/>
              <w:rPr>
                <w:rFonts w:hint="eastAsia"/>
                <w:color w:val="auto"/>
                <w:highlight w:val="none"/>
              </w:rPr>
            </w:pPr>
          </w:p>
          <w:p w14:paraId="0963B33A">
            <w:pPr>
              <w:pStyle w:val="3"/>
              <w:keepNext w:val="0"/>
              <w:keepLines w:val="0"/>
              <w:suppressLineNumbers w:val="0"/>
              <w:shd w:val="clear"/>
              <w:spacing w:before="0" w:beforeAutospacing="0" w:after="0" w:afterAutospacing="0" w:line="720" w:lineRule="auto"/>
              <w:ind w:left="0" w:right="0"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资格审查文件/资信技术文件/商务报价文件</w:t>
            </w:r>
          </w:p>
          <w:p w14:paraId="199E3001">
            <w:pPr>
              <w:keepNext w:val="0"/>
              <w:keepLines w:val="0"/>
              <w:suppressLineNumbers w:val="0"/>
              <w:shd w:val="clear"/>
              <w:spacing w:before="0" w:beforeAutospacing="0" w:after="0" w:afterAutospacing="0" w:line="420" w:lineRule="exact"/>
              <w:ind w:left="0" w:right="0" w:firstLine="643"/>
              <w:jc w:val="center"/>
              <w:rPr>
                <w:rFonts w:hint="eastAsia" w:ascii="宋体" w:hAnsi="宋体" w:eastAsia="宋体" w:cs="宋体"/>
                <w:b/>
                <w:bCs/>
                <w:color w:val="auto"/>
                <w:kern w:val="2"/>
                <w:sz w:val="32"/>
                <w:szCs w:val="32"/>
                <w:highlight w:val="none"/>
                <w:lang w:val="en-US" w:eastAsia="zh-CN" w:bidi="ar-SA"/>
              </w:rPr>
            </w:pPr>
          </w:p>
          <w:p w14:paraId="3909392B">
            <w:pPr>
              <w:keepNext w:val="0"/>
              <w:keepLines w:val="0"/>
              <w:suppressLineNumbers w:val="0"/>
              <w:shd w:val="clear"/>
              <w:spacing w:before="0" w:beforeAutospacing="0" w:after="0" w:afterAutospacing="0" w:line="420" w:lineRule="exact"/>
              <w:ind w:left="0" w:right="0" w:firstLine="643"/>
              <w:jc w:val="center"/>
              <w:rPr>
                <w:rFonts w:hint="eastAsia" w:ascii="宋体" w:hAnsi="宋体" w:eastAsia="宋体" w:cs="宋体"/>
                <w:b/>
                <w:bCs/>
                <w:color w:val="auto"/>
                <w:kern w:val="2"/>
                <w:sz w:val="32"/>
                <w:szCs w:val="32"/>
                <w:highlight w:val="none"/>
                <w:lang w:val="en-US" w:eastAsia="zh-CN" w:bidi="ar-SA"/>
              </w:rPr>
            </w:pPr>
          </w:p>
          <w:p w14:paraId="64BCCFD9">
            <w:pPr>
              <w:pStyle w:val="24"/>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3175F3C3">
            <w:pPr>
              <w:pStyle w:val="24"/>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4DC8C33D">
            <w:pPr>
              <w:pStyle w:val="24"/>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5CAD86F0">
            <w:pPr>
              <w:pStyle w:val="24"/>
              <w:keepNext w:val="0"/>
              <w:keepLines w:val="0"/>
              <w:suppressLineNumbers w:val="0"/>
              <w:shd w:val="clear"/>
              <w:spacing w:before="0" w:beforeAutospacing="0" w:after="0" w:afterAutospacing="0"/>
              <w:ind w:left="0" w:leftChars="0" w:right="0" w:firstLine="0" w:firstLineChars="0"/>
              <w:rPr>
                <w:rFonts w:hint="eastAsia" w:ascii="宋体" w:hAnsi="宋体" w:eastAsia="宋体" w:cs="宋体"/>
                <w:color w:val="auto"/>
                <w:highlight w:val="none"/>
              </w:rPr>
            </w:pPr>
          </w:p>
          <w:p w14:paraId="7B2C0D1E">
            <w:pPr>
              <w:keepNext w:val="0"/>
              <w:keepLines w:val="0"/>
              <w:suppressLineNumbers w:val="0"/>
              <w:shd w:val="clear"/>
              <w:spacing w:before="0" w:beforeAutospacing="0" w:after="0" w:afterAutospacing="0" w:line="420" w:lineRule="exact"/>
              <w:ind w:left="0" w:right="0" w:firstLine="0" w:firstLineChars="0"/>
              <w:rPr>
                <w:rFonts w:hint="eastAsia" w:ascii="宋体" w:hAnsi="宋体" w:eastAsia="宋体" w:cs="宋体"/>
                <w:b/>
                <w:color w:val="auto"/>
                <w:sz w:val="32"/>
                <w:highlight w:val="none"/>
              </w:rPr>
            </w:pPr>
          </w:p>
          <w:p w14:paraId="72721980">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LYCG2025YX-002</w:t>
            </w:r>
            <w:r>
              <w:rPr>
                <w:rFonts w:hint="eastAsia" w:ascii="宋体" w:hAnsi="宋体" w:eastAsia="宋体" w:cs="宋体"/>
                <w:color w:val="auto"/>
                <w:sz w:val="32"/>
                <w:highlight w:val="none"/>
                <w:u w:val="single"/>
              </w:rPr>
              <w:t xml:space="preserve">                    </w:t>
            </w:r>
          </w:p>
          <w:p w14:paraId="03B0CA26">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6A341D0A">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7AC92933">
            <w:pPr>
              <w:keepNext w:val="0"/>
              <w:keepLines w:val="0"/>
              <w:suppressLineNumbers w:val="0"/>
              <w:shd w:val="clear"/>
              <w:spacing w:before="0" w:beforeAutospacing="0" w:after="0" w:afterAutospacing="0" w:line="360" w:lineRule="auto"/>
              <w:ind w:left="0" w:right="0" w:firstLine="640"/>
              <w:rPr>
                <w:rFonts w:hint="eastAsia" w:ascii="宋体" w:hAnsi="宋体" w:eastAsia="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eastAsia="宋体" w:cs="宋体"/>
                <w:color w:val="auto"/>
                <w:sz w:val="32"/>
                <w:highlight w:val="none"/>
              </w:rPr>
              <w:t>地址：</w:t>
            </w:r>
          </w:p>
          <w:p w14:paraId="67D0A5F6">
            <w:pPr>
              <w:keepNext w:val="0"/>
              <w:keepLines w:val="0"/>
              <w:suppressLineNumbers w:val="0"/>
              <w:shd w:val="clear"/>
              <w:spacing w:before="0" w:beforeAutospacing="0" w:after="0" w:afterAutospacing="0" w:line="360" w:lineRule="auto"/>
              <w:ind w:left="0" w:right="0" w:firstLine="0" w:firstLineChars="0"/>
              <w:jc w:val="center"/>
              <w:rPr>
                <w:rFonts w:hint="eastAsia" w:ascii="宋体" w:hAnsi="宋体" w:eastAsia="宋体" w:cs="宋体"/>
                <w:color w:val="auto"/>
                <w:sz w:val="32"/>
                <w:highlight w:val="none"/>
              </w:rPr>
            </w:pPr>
            <w:r>
              <w:rPr>
                <w:rFonts w:hint="eastAsia" w:ascii="宋体" w:hAnsi="宋体" w:cs="宋体"/>
                <w:color w:val="auto"/>
                <w:sz w:val="32"/>
                <w:highlight w:val="none"/>
                <w:lang w:eastAsia="zh-CN"/>
              </w:rPr>
              <w:t>二  〇 二 五</w:t>
            </w:r>
            <w:r>
              <w:rPr>
                <w:rFonts w:hint="eastAsia" w:ascii="宋体" w:hAnsi="宋体" w:eastAsia="宋体" w:cs="宋体"/>
                <w:color w:val="auto"/>
                <w:sz w:val="32"/>
                <w:highlight w:val="none"/>
              </w:rPr>
              <w:t>年    月    日</w:t>
            </w:r>
          </w:p>
          <w:p w14:paraId="09A4C1CE">
            <w:pPr>
              <w:keepNext w:val="0"/>
              <w:keepLines w:val="0"/>
              <w:suppressLineNumbers w:val="0"/>
              <w:shd w:val="clear"/>
              <w:spacing w:before="0" w:beforeAutospacing="0" w:after="0" w:afterAutospacing="0" w:line="360" w:lineRule="auto"/>
              <w:ind w:left="0" w:right="0" w:firstLine="0" w:firstLineChars="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 xml:space="preserve"> </w:t>
            </w:r>
          </w:p>
          <w:p w14:paraId="689593E8">
            <w:pPr>
              <w:keepNext w:val="0"/>
              <w:keepLines w:val="0"/>
              <w:suppressLineNumbers w:val="0"/>
              <w:shd w:val="clear"/>
              <w:adjustRightInd w:val="0"/>
              <w:snapToGrid w:val="0"/>
              <w:spacing w:before="0" w:beforeAutospacing="0" w:after="0" w:afterAutospacing="0" w:line="360" w:lineRule="auto"/>
              <w:ind w:left="0" w:right="0" w:firstLine="480"/>
              <w:rPr>
                <w:rFonts w:hint="eastAsia" w:ascii="宋体" w:hAnsi="宋体" w:eastAsia="宋体" w:cs="宋体"/>
                <w:color w:val="auto"/>
                <w:highlight w:val="none"/>
              </w:rPr>
            </w:pPr>
          </w:p>
        </w:tc>
      </w:t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tbl>
    <w:p w14:paraId="72825DC7">
      <w:pPr>
        <w:shd w:val="clear"/>
        <w:spacing w:line="420" w:lineRule="exact"/>
        <w:ind w:firstLine="0" w:firstLineChars="0"/>
        <w:jc w:val="center"/>
        <w:outlineLvl w:val="1"/>
        <w:rPr>
          <w:rFonts w:hint="eastAsia" w:ascii="宋体" w:hAnsi="宋体" w:eastAsia="宋体" w:cs="宋体"/>
          <w:b/>
          <w:color w:val="auto"/>
          <w:sz w:val="32"/>
          <w:szCs w:val="32"/>
          <w:highlight w:val="none"/>
        </w:rPr>
      </w:pPr>
      <w:bookmarkStart w:id="1283" w:name="_Toc2846"/>
      <w:bookmarkStart w:id="1284" w:name="_Toc5336"/>
      <w:bookmarkStart w:id="1285" w:name="_Toc200"/>
      <w:bookmarkStart w:id="1286" w:name="_Toc632"/>
      <w:bookmarkStart w:id="1287" w:name="_Toc14603"/>
      <w:bookmarkStart w:id="1288" w:name="_Toc19765"/>
      <w:bookmarkStart w:id="1289" w:name="_Toc1326"/>
      <w:bookmarkStart w:id="1290" w:name="_Toc12435"/>
      <w:bookmarkStart w:id="1291" w:name="_Toc12360"/>
      <w:bookmarkStart w:id="1292" w:name="_Toc19399"/>
      <w:bookmarkStart w:id="1293" w:name="_Toc16669"/>
      <w:bookmarkStart w:id="1294" w:name="_Toc9524"/>
      <w:bookmarkStart w:id="1295" w:name="_Toc21306"/>
      <w:bookmarkStart w:id="1296" w:name="_Toc16833"/>
      <w:bookmarkStart w:id="1297" w:name="_Toc10307"/>
      <w:bookmarkStart w:id="1298" w:name="_Toc10033"/>
      <w:bookmarkStart w:id="1299" w:name="_Toc13672"/>
      <w:bookmarkStart w:id="1300" w:name="_Toc6528"/>
      <w:bookmarkStart w:id="1301" w:name="_Toc11308"/>
      <w:bookmarkStart w:id="1302" w:name="_Toc29704"/>
      <w:bookmarkStart w:id="1303" w:name="_Toc604"/>
      <w:bookmarkStart w:id="1304" w:name="_Toc25875"/>
      <w:bookmarkStart w:id="1305" w:name="_Toc28085"/>
      <w:bookmarkStart w:id="1306" w:name="_Toc7789"/>
      <w:bookmarkStart w:id="1307" w:name="_Toc4689"/>
      <w:bookmarkStart w:id="1308" w:name="_Toc17238"/>
      <w:bookmarkStart w:id="1309" w:name="_Toc15901"/>
      <w:bookmarkStart w:id="1310" w:name="_Toc4817"/>
      <w:bookmarkStart w:id="1311" w:name="_Toc11828"/>
      <w:bookmarkStart w:id="1312" w:name="_Toc30554"/>
      <w:bookmarkStart w:id="1313" w:name="_Toc24445"/>
      <w:bookmarkStart w:id="1314" w:name="_Toc23053"/>
      <w:bookmarkStart w:id="1315" w:name="_Toc11529"/>
      <w:bookmarkStart w:id="1316" w:name="_Toc13206"/>
      <w:bookmarkStart w:id="1317" w:name="_Toc22794"/>
      <w:bookmarkStart w:id="1318" w:name="_Toc11509"/>
      <w:bookmarkStart w:id="1319" w:name="_Toc7350"/>
      <w:bookmarkStart w:id="1320" w:name="_Toc28611"/>
      <w:bookmarkStart w:id="1321" w:name="_Toc28518"/>
      <w:bookmarkStart w:id="1322" w:name="_Toc32303"/>
      <w:bookmarkStart w:id="1323" w:name="_Toc12354"/>
      <w:bookmarkStart w:id="1324" w:name="_Toc5538"/>
      <w:bookmarkStart w:id="1325" w:name="_Toc29180"/>
      <w:bookmarkStart w:id="1326" w:name="_Toc376"/>
      <w:bookmarkStart w:id="1327" w:name="_Toc281"/>
      <w:bookmarkStart w:id="1328" w:name="_Toc7080"/>
      <w:bookmarkStart w:id="1329" w:name="_Toc17212"/>
      <w:bookmarkStart w:id="1330" w:name="_Toc25770"/>
      <w:bookmarkStart w:id="1331" w:name="_Toc28264"/>
      <w:bookmarkStart w:id="1332" w:name="_Toc7501"/>
      <w:bookmarkStart w:id="1333" w:name="_Toc18270"/>
      <w:bookmarkStart w:id="1334" w:name="_Toc12744"/>
      <w:bookmarkStart w:id="1335" w:name="_Toc10659"/>
      <w:bookmarkStart w:id="1336" w:name="_Toc12327"/>
      <w:bookmarkStart w:id="1337" w:name="_Toc8146"/>
      <w:bookmarkStart w:id="1338" w:name="_Toc17646"/>
      <w:bookmarkStart w:id="1339" w:name="_Toc9488"/>
      <w:bookmarkStart w:id="1340" w:name="_Toc17640"/>
      <w:bookmarkStart w:id="1341" w:name="_Toc8049"/>
      <w:bookmarkStart w:id="1342" w:name="_Toc9088"/>
      <w:bookmarkStart w:id="1343" w:name="_Toc3014"/>
      <w:bookmarkStart w:id="1344" w:name="_Toc25350"/>
      <w:bookmarkStart w:id="1345" w:name="_Toc16560"/>
      <w:bookmarkStart w:id="1346" w:name="_Toc3853"/>
      <w:r>
        <w:rPr>
          <w:rFonts w:hint="eastAsia" w:ascii="宋体" w:hAnsi="宋体" w:eastAsia="宋体" w:cs="宋体"/>
          <w:b/>
          <w:color w:val="auto"/>
          <w:sz w:val="32"/>
          <w:szCs w:val="32"/>
          <w:highlight w:val="none"/>
        </w:rPr>
        <w:t>资格审查文件封面格式</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01AE8F1E">
      <w:pPr>
        <w:pStyle w:val="27"/>
        <w:shd w:val="clear"/>
        <w:spacing w:line="420" w:lineRule="exact"/>
        <w:ind w:left="120" w:leftChars="50" w:firstLine="3855" w:firstLineChars="1200"/>
        <w:jc w:val="left"/>
        <w:rPr>
          <w:rFonts w:hint="eastAsia" w:ascii="宋体" w:hAnsi="宋体" w:eastAsia="宋体" w:cs="宋体"/>
          <w:color w:val="auto"/>
          <w:sz w:val="32"/>
          <w:highlight w:val="none"/>
        </w:rPr>
      </w:pPr>
    </w:p>
    <w:p w14:paraId="0A96146A">
      <w:pPr>
        <w:shd w:val="clear"/>
        <w:spacing w:line="420" w:lineRule="exact"/>
        <w:ind w:firstLine="640"/>
        <w:jc w:val="center"/>
        <w:rPr>
          <w:rFonts w:hint="eastAsia" w:ascii="宋体" w:hAnsi="宋体" w:eastAsia="宋体" w:cs="宋体"/>
          <w:color w:val="auto"/>
          <w:sz w:val="32"/>
          <w:szCs w:val="32"/>
          <w:highlight w:val="none"/>
        </w:rPr>
      </w:pPr>
      <w:bookmarkStart w:id="1347" w:name="_Toc3021"/>
      <w:bookmarkStart w:id="1348" w:name="_Toc23596"/>
      <w:bookmarkStart w:id="1349" w:name="_Toc12833"/>
      <w:bookmarkStart w:id="1350" w:name="_Toc9383"/>
      <w:bookmarkStart w:id="1351" w:name="_Toc17517"/>
      <w:bookmarkStart w:id="1352" w:name="_Toc10048"/>
      <w:bookmarkStart w:id="1353" w:name="_Toc24406"/>
      <w:bookmarkStart w:id="1354" w:name="_Toc15243"/>
      <w:bookmarkStart w:id="1355" w:name="_Toc23179"/>
      <w:bookmarkStart w:id="1356" w:name="_Toc11140"/>
      <w:bookmarkStart w:id="1357" w:name="_Toc23167"/>
      <w:bookmarkStart w:id="1358" w:name="_Toc2832"/>
      <w:bookmarkStart w:id="1359" w:name="_Toc11547"/>
    </w:p>
    <w:p w14:paraId="3350C78B">
      <w:pPr>
        <w:shd w:val="clear"/>
        <w:spacing w:line="420" w:lineRule="exact"/>
        <w:ind w:firstLine="0" w:firstLineChars="0"/>
        <w:jc w:val="center"/>
        <w:outlineLvl w:val="0"/>
        <w:rPr>
          <w:rFonts w:hint="eastAsia" w:ascii="宋体" w:hAnsi="宋体" w:eastAsia="宋体" w:cs="宋体"/>
          <w:color w:val="auto"/>
          <w:sz w:val="84"/>
          <w:highlight w:val="none"/>
        </w:rPr>
      </w:pPr>
      <w:bookmarkStart w:id="1360" w:name="_Toc15041"/>
      <w:bookmarkStart w:id="1361" w:name="_Toc22222"/>
      <w:bookmarkStart w:id="1362" w:name="_Toc26916"/>
      <w:bookmarkStart w:id="1363" w:name="_Toc5013"/>
      <w:bookmarkStart w:id="1364" w:name="_Toc6691"/>
      <w:bookmarkStart w:id="1365" w:name="_Toc18581"/>
      <w:bookmarkStart w:id="1366" w:name="_Toc13263"/>
      <w:bookmarkStart w:id="1367" w:name="_Toc10166"/>
      <w:bookmarkStart w:id="1368" w:name="_Toc9325"/>
      <w:bookmarkStart w:id="1369" w:name="_Toc13432"/>
      <w:bookmarkStart w:id="1370" w:name="_Toc7907"/>
      <w:bookmarkStart w:id="1371" w:name="_Toc12516"/>
      <w:bookmarkStart w:id="1372" w:name="_Toc11955"/>
      <w:bookmarkStart w:id="1373" w:name="_Toc21815"/>
      <w:bookmarkStart w:id="1374" w:name="_Toc27636"/>
      <w:bookmarkStart w:id="1375" w:name="_Toc29203"/>
      <w:bookmarkStart w:id="1376" w:name="_Toc24758"/>
      <w:bookmarkStart w:id="1377" w:name="_Toc5295"/>
      <w:bookmarkStart w:id="1378" w:name="_Toc20109"/>
      <w:bookmarkStart w:id="1379" w:name="_Toc23737"/>
      <w:bookmarkStart w:id="1380" w:name="_Toc21045"/>
      <w:bookmarkStart w:id="1381" w:name="_Toc19366"/>
      <w:bookmarkStart w:id="1382" w:name="_Toc12384"/>
      <w:bookmarkStart w:id="1383" w:name="_Toc22746"/>
      <w:bookmarkStart w:id="1384" w:name="_Toc14016"/>
      <w:bookmarkStart w:id="1385" w:name="_Toc3613"/>
      <w:bookmarkStart w:id="1386" w:name="_Toc16708"/>
      <w:bookmarkStart w:id="1387" w:name="_Toc16551"/>
      <w:bookmarkStart w:id="1388" w:name="_Toc4032"/>
      <w:bookmarkStart w:id="1389" w:name="_Toc32643"/>
      <w:bookmarkStart w:id="1390" w:name="_Toc6529"/>
      <w:bookmarkStart w:id="1391" w:name="_Toc31502"/>
      <w:r>
        <w:rPr>
          <w:rFonts w:hint="eastAsia" w:ascii="宋体" w:hAnsi="宋体" w:eastAsia="宋体" w:cs="宋体"/>
          <w:color w:val="auto"/>
          <w:sz w:val="32"/>
          <w:szCs w:val="32"/>
          <w:highlight w:val="none"/>
        </w:rPr>
        <w:t>正本或副本</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4656CBA4">
      <w:pPr>
        <w:shd w:val="clear"/>
        <w:spacing w:line="420" w:lineRule="exact"/>
        <w:ind w:firstLine="883"/>
        <w:rPr>
          <w:rFonts w:hint="eastAsia" w:ascii="宋体" w:hAnsi="宋体" w:eastAsia="宋体" w:cs="宋体"/>
          <w:b/>
          <w:color w:val="auto"/>
          <w:sz w:val="44"/>
          <w:szCs w:val="44"/>
          <w:highlight w:val="none"/>
        </w:rPr>
      </w:pPr>
    </w:p>
    <w:p w14:paraId="4CED67BF">
      <w:pPr>
        <w:shd w:val="clear"/>
        <w:ind w:firstLine="480"/>
        <w:rPr>
          <w:rFonts w:hint="eastAsia" w:ascii="宋体" w:hAnsi="宋体" w:eastAsia="宋体" w:cs="宋体"/>
          <w:color w:val="auto"/>
          <w:highlight w:val="none"/>
        </w:rPr>
      </w:pPr>
    </w:p>
    <w:p w14:paraId="0D0579C0">
      <w:pPr>
        <w:shd w:val="clear"/>
        <w:ind w:firstLine="480"/>
        <w:rPr>
          <w:rFonts w:hint="eastAsia" w:ascii="宋体" w:hAnsi="宋体" w:eastAsia="宋体" w:cs="宋体"/>
          <w:color w:val="auto"/>
          <w:highlight w:val="none"/>
        </w:rPr>
      </w:pPr>
    </w:p>
    <w:p w14:paraId="576E216B">
      <w:pPr>
        <w:shd w:val="clear"/>
        <w:spacing w:line="240" w:lineRule="auto"/>
        <w:ind w:firstLine="0" w:firstLineChars="0"/>
        <w:jc w:val="center"/>
        <w:rPr>
          <w:rFonts w:hint="eastAsia" w:ascii="宋体" w:hAnsi="宋体" w:eastAsia="宋体" w:cs="宋体"/>
          <w:b/>
          <w:bCs/>
          <w:color w:val="auto"/>
          <w:sz w:val="72"/>
          <w:szCs w:val="72"/>
          <w:highlight w:val="none"/>
        </w:rPr>
      </w:pPr>
    </w:p>
    <w:p w14:paraId="0C5F0556">
      <w:pPr>
        <w:shd w:val="clear"/>
        <w:spacing w:line="240" w:lineRule="auto"/>
        <w:ind w:firstLine="0" w:firstLineChars="0"/>
        <w:jc w:val="center"/>
        <w:outlineLvl w:val="9"/>
        <w:rPr>
          <w:rFonts w:hint="eastAsia" w:ascii="宋体" w:hAnsi="宋体" w:eastAsia="宋体" w:cs="宋体"/>
          <w:b/>
          <w:bCs/>
          <w:color w:val="auto"/>
          <w:sz w:val="72"/>
          <w:szCs w:val="72"/>
          <w:highlight w:val="none"/>
        </w:rPr>
      </w:pPr>
      <w:bookmarkStart w:id="1392" w:name="_Toc21130"/>
      <w:bookmarkStart w:id="1393" w:name="_Toc12971"/>
      <w:bookmarkStart w:id="1394" w:name="_Toc20930"/>
      <w:bookmarkStart w:id="1395" w:name="_Toc14388"/>
      <w:bookmarkStart w:id="1396" w:name="_Toc22676"/>
      <w:bookmarkStart w:id="1397" w:name="_Toc24965"/>
      <w:bookmarkStart w:id="1398" w:name="_Toc20980"/>
      <w:bookmarkStart w:id="1399" w:name="_Toc763"/>
      <w:bookmarkStart w:id="1400" w:name="_Toc1203"/>
      <w:bookmarkStart w:id="1401" w:name="_Toc28094"/>
      <w:bookmarkStart w:id="1402" w:name="_Toc3909"/>
      <w:bookmarkStart w:id="1403" w:name="_Toc19225"/>
      <w:bookmarkStart w:id="1404" w:name="_Toc1119"/>
      <w:bookmarkStart w:id="1405" w:name="_Toc18988"/>
      <w:bookmarkStart w:id="1406" w:name="_Toc3356"/>
      <w:bookmarkStart w:id="1407" w:name="_Toc9452"/>
      <w:bookmarkStart w:id="1408" w:name="_Toc13471"/>
      <w:bookmarkStart w:id="1409" w:name="_Toc7385"/>
      <w:bookmarkStart w:id="1410" w:name="_Toc27148"/>
      <w:bookmarkStart w:id="1411" w:name="_Toc9382"/>
      <w:bookmarkStart w:id="1412" w:name="_Toc1679"/>
      <w:bookmarkStart w:id="1413" w:name="_Toc10973"/>
      <w:bookmarkStart w:id="1414" w:name="_Toc25413"/>
      <w:bookmarkStart w:id="1415" w:name="_Toc3004"/>
      <w:bookmarkStart w:id="1416" w:name="_Toc1266"/>
      <w:bookmarkStart w:id="1417" w:name="_Toc6549"/>
      <w:bookmarkStart w:id="1418" w:name="_Toc13778"/>
      <w:bookmarkStart w:id="1419" w:name="_Toc25155"/>
      <w:bookmarkStart w:id="1420" w:name="_Toc28487"/>
      <w:bookmarkStart w:id="1421" w:name="_Toc32671"/>
      <w:bookmarkStart w:id="1422" w:name="_Toc7133"/>
      <w:bookmarkStart w:id="1423" w:name="_Toc32422"/>
      <w:bookmarkStart w:id="1424" w:name="_Toc6503"/>
      <w:bookmarkStart w:id="1425" w:name="_Toc3072"/>
      <w:bookmarkStart w:id="1426" w:name="_Toc9615"/>
      <w:bookmarkStart w:id="1427" w:name="_Toc14717"/>
      <w:bookmarkStart w:id="1428" w:name="_Toc8823"/>
      <w:bookmarkStart w:id="1429" w:name="_Toc23683"/>
      <w:bookmarkStart w:id="1430" w:name="_Toc30482"/>
      <w:bookmarkStart w:id="1431" w:name="_Toc17103"/>
      <w:bookmarkStart w:id="1432" w:name="_Toc29862"/>
    </w:p>
    <w:p w14:paraId="70EC1CA4">
      <w:pPr>
        <w:pStyle w:val="6"/>
        <w:numPr>
          <w:ilvl w:val="1"/>
          <w:numId w:val="0"/>
        </w:numPr>
        <w:shd w:val="clear"/>
        <w:ind w:left="575" w:leftChars="0"/>
        <w:jc w:val="both"/>
        <w:outlineLvl w:val="9"/>
        <w:rPr>
          <w:rFonts w:hint="eastAsia" w:ascii="宋体" w:hAnsi="宋体" w:eastAsia="宋体" w:cs="宋体"/>
          <w:color w:val="auto"/>
          <w:highlight w:val="none"/>
        </w:rPr>
      </w:pPr>
    </w:p>
    <w:p w14:paraId="7BDA7846">
      <w:pPr>
        <w:shd w:val="clear"/>
        <w:spacing w:line="240" w:lineRule="auto"/>
        <w:ind w:firstLine="0" w:firstLineChars="0"/>
        <w:jc w:val="center"/>
        <w:outlineLvl w:val="1"/>
        <w:rPr>
          <w:rFonts w:hint="eastAsia" w:ascii="宋体" w:hAnsi="宋体" w:eastAsia="宋体" w:cs="宋体"/>
          <w:b/>
          <w:bCs/>
          <w:color w:val="auto"/>
          <w:sz w:val="72"/>
          <w:szCs w:val="72"/>
          <w:highlight w:val="none"/>
        </w:rPr>
      </w:pPr>
      <w:bookmarkStart w:id="1433" w:name="_Toc28255"/>
      <w:bookmarkStart w:id="1434" w:name="_Toc15272"/>
      <w:bookmarkStart w:id="1435" w:name="_Toc11098"/>
      <w:bookmarkStart w:id="1436" w:name="_Toc15882"/>
      <w:bookmarkStart w:id="1437" w:name="_Toc7038"/>
      <w:r>
        <w:rPr>
          <w:rFonts w:hint="eastAsia" w:ascii="宋体" w:hAnsi="宋体" w:eastAsia="宋体" w:cs="宋体"/>
          <w:b/>
          <w:bCs/>
          <w:color w:val="auto"/>
          <w:sz w:val="72"/>
          <w:szCs w:val="72"/>
          <w:highlight w:val="none"/>
        </w:rPr>
        <w:t>资格审查文件</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2ABA6145">
      <w:pPr>
        <w:shd w:val="clear"/>
        <w:spacing w:line="240" w:lineRule="auto"/>
        <w:ind w:firstLine="883"/>
        <w:jc w:val="center"/>
        <w:rPr>
          <w:rFonts w:hint="eastAsia" w:ascii="宋体" w:hAnsi="宋体" w:eastAsia="宋体" w:cs="宋体"/>
          <w:b/>
          <w:bCs/>
          <w:color w:val="auto"/>
          <w:sz w:val="44"/>
          <w:szCs w:val="44"/>
          <w:highlight w:val="none"/>
        </w:rPr>
      </w:pPr>
    </w:p>
    <w:p w14:paraId="5EDF4F07">
      <w:pPr>
        <w:shd w:val="clear"/>
        <w:ind w:firstLine="0" w:firstLineChars="0"/>
        <w:rPr>
          <w:rFonts w:hint="eastAsia" w:ascii="宋体" w:hAnsi="宋体" w:eastAsia="宋体" w:cs="宋体"/>
          <w:color w:val="auto"/>
          <w:highlight w:val="none"/>
        </w:rPr>
      </w:pPr>
    </w:p>
    <w:p w14:paraId="10ED3B16">
      <w:pPr>
        <w:pStyle w:val="2"/>
        <w:shd w:val="clear"/>
        <w:ind w:left="0" w:leftChars="0" w:firstLine="0" w:firstLineChars="0"/>
        <w:rPr>
          <w:rFonts w:hint="eastAsia" w:ascii="宋体" w:hAnsi="宋体" w:eastAsia="宋体" w:cs="宋体"/>
          <w:color w:val="auto"/>
          <w:highlight w:val="none"/>
        </w:rPr>
      </w:pPr>
    </w:p>
    <w:p w14:paraId="3DA24FD5">
      <w:pPr>
        <w:shd w:val="clear"/>
        <w:ind w:firstLine="0" w:firstLineChars="0"/>
        <w:rPr>
          <w:rFonts w:hint="eastAsia" w:ascii="宋体" w:hAnsi="宋体" w:eastAsia="宋体" w:cs="宋体"/>
          <w:color w:val="auto"/>
          <w:highlight w:val="none"/>
        </w:rPr>
      </w:pPr>
    </w:p>
    <w:p w14:paraId="7F606738">
      <w:pPr>
        <w:pStyle w:val="3"/>
        <w:shd w:val="clear"/>
        <w:ind w:firstLine="480"/>
        <w:rPr>
          <w:rFonts w:hint="eastAsia" w:ascii="宋体" w:hAnsi="宋体" w:eastAsia="宋体" w:cs="宋体"/>
          <w:color w:val="auto"/>
          <w:highlight w:val="none"/>
        </w:rPr>
      </w:pPr>
    </w:p>
    <w:p w14:paraId="423CFAB9">
      <w:pPr>
        <w:shd w:val="clear"/>
        <w:ind w:firstLine="0" w:firstLineChars="0"/>
        <w:rPr>
          <w:rFonts w:hint="eastAsia" w:ascii="宋体" w:hAnsi="宋体" w:eastAsia="宋体" w:cs="宋体"/>
          <w:color w:val="auto"/>
          <w:highlight w:val="none"/>
        </w:rPr>
      </w:pPr>
    </w:p>
    <w:p w14:paraId="2AB6D097">
      <w:pPr>
        <w:pStyle w:val="24"/>
        <w:shd w:val="clear"/>
        <w:ind w:left="960" w:hanging="480"/>
        <w:rPr>
          <w:rFonts w:hint="eastAsia" w:ascii="宋体" w:hAnsi="宋体" w:eastAsia="宋体" w:cs="宋体"/>
          <w:color w:val="auto"/>
          <w:highlight w:val="none"/>
        </w:rPr>
      </w:pPr>
    </w:p>
    <w:p w14:paraId="1D9810BD">
      <w:pPr>
        <w:shd w:val="clear"/>
        <w:spacing w:line="360" w:lineRule="auto"/>
        <w:ind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LYCG2025YX-002</w:t>
      </w:r>
      <w:r>
        <w:rPr>
          <w:rFonts w:hint="eastAsia" w:ascii="宋体" w:hAnsi="宋体" w:eastAsia="宋体" w:cs="宋体"/>
          <w:color w:val="auto"/>
          <w:sz w:val="32"/>
          <w:highlight w:val="none"/>
          <w:u w:val="single"/>
        </w:rPr>
        <w:t xml:space="preserve">                    </w:t>
      </w:r>
    </w:p>
    <w:p w14:paraId="16214129">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2DBCE011">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058F3B88">
      <w:pPr>
        <w:shd w:val="clear"/>
        <w:spacing w:line="360" w:lineRule="auto"/>
        <w:ind w:firstLine="640"/>
        <w:rPr>
          <w:rFonts w:hint="eastAsia" w:ascii="宋体" w:hAnsi="宋体" w:eastAsia="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eastAsia="宋体" w:cs="宋体"/>
          <w:color w:val="auto"/>
          <w:sz w:val="32"/>
          <w:highlight w:val="none"/>
        </w:rPr>
        <w:t>地址：</w:t>
      </w:r>
    </w:p>
    <w:p w14:paraId="60E7B74E">
      <w:pPr>
        <w:shd w:val="clear"/>
        <w:spacing w:line="360" w:lineRule="auto"/>
        <w:ind w:firstLine="0" w:firstLineChars="0"/>
        <w:jc w:val="center"/>
        <w:rPr>
          <w:rFonts w:hint="eastAsia" w:ascii="宋体" w:hAnsi="宋体" w:eastAsia="宋体" w:cs="宋体"/>
          <w:color w:val="auto"/>
          <w:sz w:val="32"/>
          <w:highlight w:val="none"/>
        </w:rPr>
      </w:pPr>
      <w:r>
        <w:rPr>
          <w:rFonts w:hint="eastAsia" w:ascii="宋体" w:hAnsi="宋体" w:cs="宋体"/>
          <w:color w:val="auto"/>
          <w:sz w:val="32"/>
          <w:highlight w:val="none"/>
          <w:lang w:eastAsia="zh-CN"/>
        </w:rPr>
        <w:t>二  〇 二 五</w:t>
      </w:r>
      <w:r>
        <w:rPr>
          <w:rFonts w:hint="eastAsia" w:ascii="宋体" w:hAnsi="宋体" w:eastAsia="宋体" w:cs="宋体"/>
          <w:color w:val="auto"/>
          <w:sz w:val="32"/>
          <w:highlight w:val="none"/>
        </w:rPr>
        <w:t>年    月    日</w:t>
      </w:r>
      <w:bookmarkStart w:id="1438" w:name="_Toc21837"/>
      <w:bookmarkStart w:id="1439" w:name="_Toc28787"/>
      <w:bookmarkStart w:id="1440" w:name="_Toc32042"/>
      <w:bookmarkStart w:id="1441" w:name="_Toc24235"/>
      <w:bookmarkStart w:id="1442" w:name="_Toc11906"/>
      <w:bookmarkStart w:id="1443" w:name="_Toc7464"/>
      <w:bookmarkStart w:id="1444" w:name="_Toc7719"/>
      <w:bookmarkStart w:id="1445" w:name="_Toc8186"/>
      <w:bookmarkStart w:id="1446" w:name="_Toc25911"/>
      <w:bookmarkStart w:id="1447" w:name="_Toc213"/>
      <w:bookmarkStart w:id="1448" w:name="_Toc30078"/>
      <w:bookmarkStart w:id="1449" w:name="_Toc5606"/>
      <w:bookmarkStart w:id="1450" w:name="_Toc11131"/>
      <w:bookmarkStart w:id="1451" w:name="_Toc10995"/>
      <w:bookmarkStart w:id="1452" w:name="_Toc5390"/>
      <w:bookmarkStart w:id="1453" w:name="_Toc20539"/>
      <w:bookmarkStart w:id="1454" w:name="_Toc9011"/>
      <w:bookmarkStart w:id="1455" w:name="_Toc20500"/>
      <w:bookmarkStart w:id="1456" w:name="_Toc12249"/>
      <w:bookmarkStart w:id="1457" w:name="_Toc12291"/>
      <w:bookmarkStart w:id="1458" w:name="_Toc8370"/>
      <w:bookmarkStart w:id="1459" w:name="_Toc8060"/>
      <w:bookmarkStart w:id="1460" w:name="_Toc15730"/>
      <w:bookmarkStart w:id="1461" w:name="_Toc8034"/>
      <w:bookmarkStart w:id="1462" w:name="_Toc4036"/>
      <w:bookmarkStart w:id="1463" w:name="_Toc11776"/>
      <w:bookmarkStart w:id="1464" w:name="_Toc12011"/>
      <w:bookmarkStart w:id="1465" w:name="_Toc20801"/>
      <w:bookmarkStart w:id="1466" w:name="_Toc19203"/>
      <w:bookmarkStart w:id="1467" w:name="_Toc32566"/>
      <w:bookmarkStart w:id="1468" w:name="_Toc8510"/>
      <w:bookmarkStart w:id="1469" w:name="_Toc20081"/>
      <w:bookmarkStart w:id="1470" w:name="_Toc1232"/>
      <w:bookmarkStart w:id="1471" w:name="_Toc444"/>
      <w:bookmarkStart w:id="1472" w:name="_Toc10122"/>
      <w:bookmarkStart w:id="1473" w:name="_Toc29376"/>
      <w:bookmarkStart w:id="1474" w:name="_Toc17255"/>
      <w:bookmarkStart w:id="1475" w:name="_Toc4371"/>
      <w:bookmarkStart w:id="1476" w:name="_Toc30313"/>
      <w:bookmarkStart w:id="1477" w:name="_Toc17387"/>
      <w:bookmarkStart w:id="1478" w:name="_Toc5796"/>
      <w:bookmarkStart w:id="1479" w:name="_Toc32139"/>
      <w:bookmarkStart w:id="1480" w:name="_Toc4948_WPSOffice_Level1"/>
      <w:bookmarkStart w:id="1481" w:name="_Toc4899"/>
      <w:bookmarkStart w:id="1482" w:name="_Toc17940_WPSOffice_Level1"/>
      <w:bookmarkStart w:id="1483" w:name="_Toc7492_WPSOffice_Level1"/>
      <w:bookmarkStart w:id="1484" w:name="_Toc29011"/>
      <w:bookmarkStart w:id="1485" w:name="_Toc15895"/>
      <w:bookmarkStart w:id="1486" w:name="_Toc17197"/>
      <w:bookmarkStart w:id="1487" w:name="_Toc6738"/>
    </w:p>
    <w:p w14:paraId="253ADD39">
      <w:pPr>
        <w:shd w:val="clear"/>
        <w:spacing w:line="360" w:lineRule="auto"/>
        <w:ind w:firstLine="0" w:firstLineChars="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附件1</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01D9F604">
      <w:pPr>
        <w:shd w:val="clear"/>
        <w:ind w:firstLine="0" w:firstLineChars="0"/>
        <w:jc w:val="center"/>
        <w:rPr>
          <w:rFonts w:hint="eastAsia" w:ascii="宋体" w:hAnsi="宋体" w:eastAsia="宋体" w:cs="宋体"/>
          <w:b/>
          <w:bCs/>
          <w:color w:val="auto"/>
          <w:sz w:val="30"/>
          <w:szCs w:val="30"/>
          <w:highlight w:val="none"/>
          <w:lang w:val="en-GB"/>
        </w:rPr>
      </w:pPr>
      <w:r>
        <w:rPr>
          <w:rFonts w:hint="eastAsia" w:ascii="宋体" w:hAnsi="宋体" w:cs="宋体"/>
          <w:b/>
          <w:bCs/>
          <w:color w:val="auto"/>
          <w:sz w:val="30"/>
          <w:szCs w:val="30"/>
          <w:highlight w:val="none"/>
          <w:lang w:val="en-GB" w:eastAsia="zh-CN"/>
        </w:rPr>
        <w:t>投标人</w:t>
      </w:r>
      <w:r>
        <w:rPr>
          <w:rFonts w:hint="eastAsia" w:ascii="宋体" w:hAnsi="宋体" w:eastAsia="宋体" w:cs="宋体"/>
          <w:b/>
          <w:bCs/>
          <w:color w:val="auto"/>
          <w:sz w:val="30"/>
          <w:szCs w:val="30"/>
          <w:highlight w:val="none"/>
          <w:lang w:val="en-GB"/>
        </w:rPr>
        <w:t>基本情况表</w:t>
      </w:r>
    </w:p>
    <w:tbl>
      <w:tblPr>
        <w:tblStyle w:val="43"/>
        <w:tblW w:w="97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6"/>
        <w:gridCol w:w="1189"/>
        <w:gridCol w:w="1353"/>
        <w:gridCol w:w="742"/>
        <w:gridCol w:w="543"/>
        <w:gridCol w:w="1281"/>
        <w:gridCol w:w="1101"/>
        <w:gridCol w:w="1814"/>
      </w:tblGrid>
      <w:tr w14:paraId="6E728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EE8B21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名称</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855B42E">
            <w:pPr>
              <w:keepNext w:val="0"/>
              <w:keepLines w:val="0"/>
              <w:suppressLineNumbers w:val="0"/>
              <w:shd w:val="clear"/>
              <w:snapToGrid w:val="0"/>
              <w:spacing w:before="0" w:beforeAutospacing="0" w:after="0" w:afterAutospacing="0" w:line="240" w:lineRule="auto"/>
              <w:ind w:left="0" w:right="0" w:firstLine="480"/>
              <w:rPr>
                <w:rFonts w:hint="eastAsia" w:ascii="宋体" w:hAnsi="宋体" w:eastAsia="宋体" w:cs="宋体"/>
                <w:color w:val="auto"/>
                <w:highlight w:val="none"/>
              </w:rPr>
            </w:pPr>
          </w:p>
        </w:tc>
      </w:tr>
      <w:tr w14:paraId="73360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190590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827"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C18079">
            <w:pPr>
              <w:keepNext w:val="0"/>
              <w:keepLines w:val="0"/>
              <w:suppressLineNumbers w:val="0"/>
              <w:shd w:val="clear"/>
              <w:snapToGrid w:val="0"/>
              <w:spacing w:before="0" w:beforeAutospacing="0" w:after="0" w:afterAutospacing="0" w:line="240" w:lineRule="auto"/>
              <w:ind w:left="0" w:right="0" w:firstLine="480"/>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EFAD34">
            <w:pPr>
              <w:keepNext w:val="0"/>
              <w:keepLines w:val="0"/>
              <w:suppressLineNumbers w:val="0"/>
              <w:shd w:val="clear"/>
              <w:snapToGrid w:val="0"/>
              <w:spacing w:before="0" w:beforeAutospacing="0" w:after="0" w:afterAutospacing="0" w:line="240" w:lineRule="auto"/>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51D2AA2">
            <w:pPr>
              <w:keepNext w:val="0"/>
              <w:keepLines w:val="0"/>
              <w:suppressLineNumbers w:val="0"/>
              <w:shd w:val="clear"/>
              <w:snapToGrid w:val="0"/>
              <w:spacing w:before="0" w:beforeAutospacing="0" w:after="0" w:afterAutospacing="0" w:line="240" w:lineRule="auto"/>
              <w:ind w:left="0" w:right="0" w:firstLine="480"/>
              <w:rPr>
                <w:rFonts w:hint="eastAsia" w:ascii="宋体" w:hAnsi="宋体" w:eastAsia="宋体" w:cs="宋体"/>
                <w:color w:val="auto"/>
                <w:highlight w:val="none"/>
              </w:rPr>
            </w:pPr>
          </w:p>
        </w:tc>
      </w:tr>
      <w:tr w14:paraId="632FE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0AF4DB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F0E43D5">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CCF071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0D880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3AFC9F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4E109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right w:val="single" w:color="auto" w:sz="4" w:space="0"/>
            </w:tcBorders>
            <w:tcMar>
              <w:top w:w="113" w:type="dxa"/>
              <w:left w:w="108" w:type="dxa"/>
              <w:bottom w:w="113" w:type="dxa"/>
              <w:right w:w="108" w:type="dxa"/>
            </w:tcMar>
            <w:vAlign w:val="center"/>
          </w:tcPr>
          <w:p w14:paraId="3B4DF622">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676FE1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传    真</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F31C51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BC6E65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移动电话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E48101">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9C60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3F457794">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C40CC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电子邮箱</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E6C93A">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8F6B5E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网    址</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968C65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7AB45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8706BBA">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27E0296">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28315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6ED54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FB3115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3E705B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E4EE3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C2027A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4B8AA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99EBB26">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2FF4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6CD560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65EF42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1E78B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1C618E7">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1EC8F9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B12352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90EE3F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67B24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4108F1">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5134C56">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5481"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61D5B9E">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28F1C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428D2BB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254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ACE827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17CD5147">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2C36B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注册职业资格</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CE804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6D10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FA94007">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tc>
        <w:tc>
          <w:tcPr>
            <w:tcW w:w="254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09E489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2D9721F7">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A0D20C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高级职称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59DE611">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0EB5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DAC5D50">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注册资本</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C6A4C8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1D9E9BE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493FC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中级职称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F1620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0D439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EBBBB3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41A56E">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18F8C23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10025FD">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初级职称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A3D57F4">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263D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C05A8B2">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账    号</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453E69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74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5A3E005">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4C2AFCB">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其    他</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254B558">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r w14:paraId="35F5E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69B860">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E06D4C">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p w14:paraId="5F5FFB1E">
            <w:pPr>
              <w:keepNext w:val="0"/>
              <w:keepLines w:val="0"/>
              <w:suppressLineNumbers w:val="0"/>
              <w:shd w:val="clear"/>
              <w:snapToGrid w:val="0"/>
              <w:spacing w:before="0" w:beforeAutospacing="0" w:after="0" w:afterAutospacing="0" w:line="240" w:lineRule="auto"/>
              <w:ind w:left="0" w:right="0" w:firstLine="480"/>
              <w:jc w:val="left"/>
              <w:rPr>
                <w:rFonts w:hint="eastAsia" w:ascii="宋体" w:hAnsi="宋体" w:eastAsia="宋体" w:cs="宋体"/>
                <w:color w:val="auto"/>
                <w:highlight w:val="none"/>
              </w:rPr>
            </w:pPr>
          </w:p>
          <w:p w14:paraId="2ED51149">
            <w:pPr>
              <w:keepNext w:val="0"/>
              <w:keepLines w:val="0"/>
              <w:suppressLineNumbers w:val="0"/>
              <w:shd w:val="clear"/>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p>
        </w:tc>
      </w:tr>
    </w:tbl>
    <w:p w14:paraId="55F0D297">
      <w:pPr>
        <w:shd w:val="clear"/>
        <w:ind w:firstLine="0" w:firstLineChars="0"/>
        <w:jc w:val="center"/>
        <w:rPr>
          <w:rFonts w:hint="eastAsia" w:ascii="宋体" w:hAnsi="宋体" w:eastAsia="宋体" w:cs="宋体"/>
          <w:b/>
          <w:bCs/>
          <w:color w:val="auto"/>
          <w:sz w:val="30"/>
          <w:szCs w:val="30"/>
          <w:highlight w:val="none"/>
        </w:rPr>
      </w:pPr>
    </w:p>
    <w:p w14:paraId="4A7354AF">
      <w:pPr>
        <w:shd w:val="clear"/>
        <w:ind w:firstLine="4320" w:firstLineChars="180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 xml:space="preserve">全称（盖章）：                         </w:t>
      </w:r>
    </w:p>
    <w:p w14:paraId="7471F21C">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494DA500">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600BAF9D">
      <w:pPr>
        <w:shd w:val="clear"/>
        <w:ind w:firstLine="0" w:firstLineChars="0"/>
        <w:jc w:val="left"/>
        <w:rPr>
          <w:rFonts w:hint="eastAsia" w:ascii="宋体" w:hAnsi="宋体" w:eastAsia="宋体" w:cs="宋体"/>
          <w:b/>
          <w:bCs/>
          <w:color w:val="auto"/>
          <w:highlight w:val="none"/>
        </w:rPr>
      </w:pPr>
      <w:bookmarkStart w:id="1488" w:name="_Toc27191"/>
      <w:bookmarkStart w:id="1489" w:name="_Toc14816"/>
      <w:bookmarkStart w:id="1490" w:name="_Toc28692"/>
      <w:bookmarkStart w:id="1491" w:name="_Toc18350"/>
      <w:bookmarkStart w:id="1492" w:name="_Toc2533"/>
      <w:bookmarkStart w:id="1493" w:name="_Toc675"/>
      <w:bookmarkStart w:id="1494" w:name="_Toc6689"/>
      <w:bookmarkStart w:id="1495" w:name="_Toc2572"/>
      <w:bookmarkStart w:id="1496" w:name="_Toc7082"/>
      <w:bookmarkStart w:id="1497" w:name="_Toc13190"/>
      <w:bookmarkStart w:id="1498" w:name="_Toc24391"/>
      <w:bookmarkStart w:id="1499" w:name="_Toc11280"/>
      <w:bookmarkStart w:id="1500" w:name="_Toc24787"/>
      <w:bookmarkStart w:id="1501" w:name="_Toc11824"/>
      <w:bookmarkStart w:id="1502" w:name="_Toc32311"/>
      <w:bookmarkStart w:id="1503" w:name="_Toc54"/>
      <w:bookmarkStart w:id="1504" w:name="_Toc11920"/>
      <w:bookmarkStart w:id="1505" w:name="_Toc28874"/>
      <w:bookmarkStart w:id="1506" w:name="_Toc11875"/>
    </w:p>
    <w:p w14:paraId="544D55DD">
      <w:pPr>
        <w:shd w:val="clear"/>
        <w:ind w:firstLine="0" w:firstLineChars="0"/>
        <w:jc w:val="left"/>
        <w:rPr>
          <w:rFonts w:hint="eastAsia" w:ascii="宋体" w:hAnsi="宋体" w:eastAsia="宋体" w:cs="宋体"/>
          <w:b/>
          <w:bCs/>
          <w:color w:val="auto"/>
          <w:highlight w:val="none"/>
        </w:rPr>
      </w:pPr>
    </w:p>
    <w:p w14:paraId="59A7DAA5">
      <w:pPr>
        <w:shd w:val="clear"/>
        <w:ind w:firstLine="0" w:firstLineChars="0"/>
        <w:jc w:val="left"/>
        <w:rPr>
          <w:rFonts w:hint="eastAsia" w:ascii="宋体" w:hAnsi="宋体" w:eastAsia="宋体" w:cs="宋体"/>
          <w:b/>
          <w:bCs/>
          <w:color w:val="auto"/>
          <w:highlight w:val="none"/>
        </w:rPr>
      </w:pPr>
    </w:p>
    <w:p w14:paraId="7C5D18B0">
      <w:pPr>
        <w:shd w:val="clear"/>
        <w:ind w:firstLine="0" w:firstLineChars="0"/>
        <w:jc w:val="left"/>
        <w:rPr>
          <w:rFonts w:hint="eastAsia" w:ascii="宋体" w:hAnsi="宋体" w:eastAsia="宋体" w:cs="宋体"/>
          <w:b/>
          <w:bCs/>
          <w:color w:val="auto"/>
          <w:highlight w:val="none"/>
        </w:rPr>
      </w:pPr>
      <w:bookmarkStart w:id="1507" w:name="_Toc32586"/>
    </w:p>
    <w:p w14:paraId="5A16E5A1">
      <w:pPr>
        <w:shd w:val="clear"/>
        <w:ind w:firstLine="0" w:firstLineChars="0"/>
        <w:jc w:val="left"/>
        <w:outlineLvl w:val="1"/>
        <w:rPr>
          <w:rFonts w:hint="eastAsia" w:ascii="宋体" w:hAnsi="宋体" w:eastAsia="宋体" w:cs="宋体"/>
          <w:b/>
          <w:bCs/>
          <w:color w:val="auto"/>
          <w:sz w:val="30"/>
          <w:szCs w:val="30"/>
          <w:highlight w:val="none"/>
        </w:rPr>
      </w:pPr>
      <w:bookmarkStart w:id="1508" w:name="_Toc11480"/>
      <w:bookmarkStart w:id="1509" w:name="_Toc7894"/>
      <w:bookmarkStart w:id="1510" w:name="_Toc18783"/>
      <w:bookmarkStart w:id="1511" w:name="_Toc1629"/>
      <w:bookmarkStart w:id="1512" w:name="_Toc16143"/>
      <w:bookmarkStart w:id="1513" w:name="_Toc984"/>
      <w:bookmarkStart w:id="1514" w:name="_Toc24941"/>
      <w:bookmarkStart w:id="1515" w:name="_Toc13270"/>
      <w:bookmarkStart w:id="1516" w:name="_Toc8652"/>
      <w:bookmarkStart w:id="1517" w:name="_Toc26663"/>
      <w:bookmarkStart w:id="1518" w:name="_Toc30863"/>
      <w:bookmarkStart w:id="1519" w:name="_Toc22502"/>
      <w:bookmarkStart w:id="1520" w:name="_Toc29986"/>
      <w:r>
        <w:rPr>
          <w:rFonts w:hint="eastAsia" w:ascii="宋体" w:hAnsi="宋体" w:eastAsia="宋体" w:cs="宋体"/>
          <w:b/>
          <w:bCs/>
          <w:color w:val="auto"/>
          <w:highlight w:val="none"/>
        </w:rPr>
        <w:t>附件2</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77AF1A62">
      <w:pPr>
        <w:shd w:val="clear"/>
        <w:ind w:firstLine="0" w:firstLineChars="0"/>
        <w:jc w:val="center"/>
        <w:rPr>
          <w:rFonts w:hint="eastAsia" w:ascii="宋体" w:hAnsi="宋体" w:eastAsia="宋体" w:cs="宋体"/>
          <w:b/>
          <w:bCs/>
          <w:color w:val="auto"/>
          <w:sz w:val="30"/>
          <w:szCs w:val="30"/>
          <w:highlight w:val="none"/>
          <w:lang w:val="en-GB"/>
        </w:rPr>
      </w:pPr>
      <w:bookmarkStart w:id="1521" w:name="_Toc22805"/>
      <w:bookmarkStart w:id="1522" w:name="_Toc30725"/>
      <w:r>
        <w:rPr>
          <w:rFonts w:hint="eastAsia" w:ascii="宋体" w:hAnsi="宋体" w:eastAsia="宋体" w:cs="宋体"/>
          <w:b/>
          <w:bCs/>
          <w:color w:val="auto"/>
          <w:sz w:val="30"/>
          <w:szCs w:val="30"/>
          <w:highlight w:val="none"/>
          <w:lang w:val="en-GB"/>
        </w:rPr>
        <w:t>符合参加国企采购活动应当具备的一般条件的承诺函</w:t>
      </w:r>
      <w:bookmarkEnd w:id="1521"/>
      <w:bookmarkEnd w:id="1522"/>
    </w:p>
    <w:p w14:paraId="5507B29F">
      <w:pPr>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w:t>
      </w:r>
      <w:r>
        <w:rPr>
          <w:rFonts w:hint="eastAsia" w:ascii="宋体" w:hAnsi="宋体" w:eastAsia="宋体" w:cs="宋体"/>
          <w:color w:val="auto"/>
          <w:highlight w:val="none"/>
        </w:rPr>
        <w:t>：</w:t>
      </w:r>
    </w:p>
    <w:p w14:paraId="63CD863C">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国企采购活动，郑重承诺：</w:t>
      </w:r>
    </w:p>
    <w:p w14:paraId="35DE6332">
      <w:pPr>
        <w:pStyle w:val="37"/>
        <w:shd w:val="clear"/>
        <w:spacing w:line="360" w:lineRule="auto"/>
        <w:ind w:firstLine="480"/>
        <w:outlineLvl w:val="1"/>
        <w:rPr>
          <w:rFonts w:hint="eastAsia" w:ascii="宋体" w:hAnsi="宋体" w:eastAsia="宋体" w:cs="宋体"/>
          <w:color w:val="auto"/>
          <w:highlight w:val="none"/>
        </w:rPr>
      </w:pPr>
      <w:bookmarkStart w:id="1523" w:name="_Toc9122"/>
      <w:bookmarkStart w:id="1524" w:name="_Toc19682"/>
      <w:bookmarkStart w:id="1525" w:name="_Toc21843"/>
      <w:bookmarkStart w:id="1526" w:name="_Toc12442"/>
      <w:bookmarkStart w:id="1527" w:name="_Toc16964"/>
      <w:bookmarkStart w:id="1528" w:name="_Toc30342"/>
      <w:bookmarkStart w:id="1529" w:name="_Toc25013"/>
      <w:bookmarkStart w:id="1530" w:name="_Toc1673"/>
      <w:bookmarkStart w:id="1531" w:name="_Toc11532"/>
      <w:bookmarkStart w:id="1532" w:name="_Toc3835"/>
      <w:bookmarkStart w:id="1533" w:name="_Toc1454"/>
      <w:bookmarkStart w:id="1534" w:name="_Toc29987"/>
      <w:bookmarkStart w:id="1535" w:name="_Toc30156"/>
      <w:bookmarkStart w:id="1536" w:name="_Toc29125"/>
      <w:bookmarkStart w:id="1537" w:name="_Toc28514"/>
      <w:r>
        <w:rPr>
          <w:rFonts w:hint="eastAsia" w:ascii="宋体" w:hAnsi="宋体" w:eastAsia="宋体" w:cs="宋体"/>
          <w:color w:val="auto"/>
          <w:highlight w:val="none"/>
        </w:rPr>
        <w:t>一、符合《中华人民共和国政府采购法》第二十二条规定的条件：</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6AFE65F0">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3F6FE370">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15B219A">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587DC388">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68F892F8">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5.参加国企采购活动前三年内，在经营活动中没有重大违法记录；</w:t>
      </w:r>
    </w:p>
    <w:p w14:paraId="4B56A32B">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14:paraId="46067B7A">
      <w:pPr>
        <w:shd w:val="clear"/>
        <w:adjustRightInd w:val="0"/>
        <w:snapToGrid w:val="0"/>
        <w:spacing w:line="312"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14:paraId="0D5148D2">
      <w:pPr>
        <w:pStyle w:val="37"/>
        <w:shd w:val="clear"/>
        <w:spacing w:line="360" w:lineRule="auto"/>
        <w:ind w:firstLine="480"/>
        <w:outlineLvl w:val="1"/>
        <w:rPr>
          <w:rFonts w:hint="eastAsia" w:ascii="宋体" w:hAnsi="宋体" w:eastAsia="宋体" w:cs="宋体"/>
          <w:color w:val="auto"/>
          <w:highlight w:val="none"/>
        </w:rPr>
      </w:pPr>
      <w:bookmarkStart w:id="1538" w:name="_Toc23243"/>
      <w:bookmarkStart w:id="1539" w:name="_Toc8236"/>
      <w:bookmarkStart w:id="1540" w:name="_Toc23111"/>
      <w:bookmarkStart w:id="1541" w:name="_Toc5546"/>
      <w:bookmarkStart w:id="1542" w:name="_Toc12965"/>
      <w:bookmarkStart w:id="1543" w:name="_Toc19560"/>
      <w:bookmarkStart w:id="1544" w:name="_Toc24871"/>
      <w:bookmarkStart w:id="1545" w:name="_Toc26374"/>
      <w:bookmarkStart w:id="1546" w:name="_Toc10962"/>
      <w:bookmarkStart w:id="1547" w:name="_Toc7014"/>
      <w:bookmarkStart w:id="1548" w:name="_Toc13844"/>
      <w:bookmarkStart w:id="1549" w:name="_Toc5539"/>
      <w:bookmarkStart w:id="1550" w:name="_Toc6507"/>
      <w:bookmarkStart w:id="1551" w:name="_Toc22036"/>
      <w:bookmarkStart w:id="1552" w:name="_Toc234"/>
      <w:r>
        <w:rPr>
          <w:rFonts w:hint="eastAsia" w:ascii="宋体" w:hAnsi="宋体" w:eastAsia="宋体" w:cs="宋体"/>
          <w:color w:val="auto"/>
          <w:highlight w:val="none"/>
        </w:rPr>
        <w:t>三、没有下列情形：</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35D9E4F5">
      <w:pPr>
        <w:pStyle w:val="37"/>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参加同一合同项下的国企采购活动的；</w:t>
      </w:r>
    </w:p>
    <w:p w14:paraId="02370538">
      <w:pPr>
        <w:pStyle w:val="37"/>
        <w:shd w:val="clear"/>
        <w:spacing w:line="360" w:lineRule="auto"/>
        <w:ind w:firstLine="480"/>
        <w:rPr>
          <w:rFonts w:hint="eastAsia" w:ascii="宋体" w:hAnsi="宋体" w:eastAsia="宋体" w:cs="宋体"/>
          <w:color w:val="auto"/>
          <w:highlight w:val="none"/>
        </w:rPr>
      </w:pPr>
    </w:p>
    <w:p w14:paraId="349EFE42">
      <w:pPr>
        <w:pStyle w:val="37"/>
        <w:shd w:val="clea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highlight w:val="none"/>
        </w:rPr>
        <w:t>我方对上述承诺的内容事项真实性负责，如有虚假，由我方承担相关法律责任。</w:t>
      </w:r>
    </w:p>
    <w:p w14:paraId="2EB7D66D">
      <w:pPr>
        <w:shd w:val="clear"/>
        <w:ind w:firstLine="4320" w:firstLineChars="1800"/>
        <w:rPr>
          <w:rFonts w:hint="eastAsia" w:ascii="宋体" w:hAnsi="宋体" w:eastAsia="宋体" w:cs="宋体"/>
          <w:color w:val="auto"/>
          <w:highlight w:val="none"/>
        </w:rPr>
      </w:pPr>
    </w:p>
    <w:p w14:paraId="5EA71175">
      <w:pPr>
        <w:shd w:val="clear"/>
        <w:ind w:firstLine="4320" w:firstLineChars="180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 xml:space="preserve">全称（盖章）：                         </w:t>
      </w:r>
    </w:p>
    <w:p w14:paraId="70015F08">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24E06FF8">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200B364E">
      <w:pPr>
        <w:shd w:val="clear"/>
        <w:ind w:firstLine="0" w:firstLineChars="0"/>
        <w:jc w:val="center"/>
        <w:rPr>
          <w:rFonts w:hint="eastAsia" w:ascii="宋体" w:hAnsi="宋体" w:eastAsia="宋体" w:cs="宋体"/>
          <w:b/>
          <w:bCs/>
          <w:color w:val="auto"/>
          <w:sz w:val="30"/>
          <w:szCs w:val="30"/>
          <w:highlight w:val="none"/>
        </w:rPr>
      </w:pPr>
    </w:p>
    <w:p w14:paraId="73F407FE">
      <w:pPr>
        <w:pStyle w:val="24"/>
        <w:shd w:val="clear"/>
        <w:ind w:left="1082" w:hanging="602"/>
        <w:rPr>
          <w:rFonts w:hint="eastAsia" w:ascii="宋体" w:hAnsi="宋体" w:eastAsia="宋体" w:cs="宋体"/>
          <w:b/>
          <w:bCs/>
          <w:color w:val="auto"/>
          <w:sz w:val="30"/>
          <w:szCs w:val="30"/>
          <w:highlight w:val="none"/>
        </w:rPr>
      </w:pPr>
    </w:p>
    <w:p w14:paraId="25B076FA">
      <w:pPr>
        <w:pStyle w:val="24"/>
        <w:shd w:val="clear"/>
        <w:ind w:left="1082" w:hanging="602"/>
        <w:rPr>
          <w:rFonts w:hint="eastAsia" w:ascii="宋体" w:hAnsi="宋体" w:eastAsia="宋体" w:cs="宋体"/>
          <w:b/>
          <w:bCs/>
          <w:color w:val="auto"/>
          <w:sz w:val="30"/>
          <w:szCs w:val="30"/>
          <w:highlight w:val="none"/>
        </w:rPr>
      </w:pPr>
    </w:p>
    <w:p w14:paraId="11A9E025">
      <w:pPr>
        <w:pStyle w:val="24"/>
        <w:shd w:val="clear"/>
        <w:ind w:left="0" w:leftChars="0" w:firstLine="0" w:firstLineChars="0"/>
        <w:rPr>
          <w:rFonts w:hint="eastAsia" w:ascii="宋体" w:hAnsi="宋体" w:eastAsia="宋体" w:cs="宋体"/>
          <w:b/>
          <w:bCs/>
          <w:color w:val="auto"/>
          <w:sz w:val="30"/>
          <w:szCs w:val="30"/>
          <w:highlight w:val="none"/>
        </w:rPr>
      </w:pPr>
    </w:p>
    <w:p w14:paraId="61D24AF7">
      <w:pPr>
        <w:shd w:val="clear"/>
        <w:spacing w:line="420" w:lineRule="exact"/>
        <w:ind w:firstLine="0" w:firstLineChars="0"/>
        <w:jc w:val="center"/>
        <w:rPr>
          <w:rFonts w:hint="eastAsia" w:ascii="宋体" w:hAnsi="宋体" w:eastAsia="宋体" w:cs="宋体"/>
          <w:b/>
          <w:color w:val="auto"/>
          <w:sz w:val="32"/>
          <w:szCs w:val="32"/>
          <w:highlight w:val="none"/>
        </w:rPr>
      </w:pPr>
      <w:bookmarkStart w:id="1553" w:name="_Toc2026"/>
      <w:bookmarkStart w:id="1554" w:name="_Toc11177"/>
      <w:bookmarkStart w:id="1555" w:name="_Toc13645"/>
      <w:bookmarkStart w:id="1556" w:name="_Toc6704"/>
      <w:bookmarkStart w:id="1557" w:name="_Toc3537"/>
      <w:bookmarkStart w:id="1558" w:name="_Toc23824"/>
      <w:bookmarkStart w:id="1559" w:name="_Toc1864"/>
      <w:bookmarkStart w:id="1560" w:name="_Toc23415"/>
      <w:bookmarkStart w:id="1561" w:name="_Toc15718"/>
      <w:bookmarkStart w:id="1562" w:name="_Toc16263"/>
      <w:bookmarkStart w:id="1563" w:name="_Toc29188"/>
      <w:bookmarkStart w:id="1564" w:name="_Toc3679"/>
      <w:bookmarkStart w:id="1565" w:name="_Toc23844"/>
      <w:bookmarkStart w:id="1566" w:name="_Toc694"/>
      <w:bookmarkStart w:id="1567" w:name="_Toc22777"/>
      <w:bookmarkStart w:id="1568" w:name="_Toc21736"/>
      <w:bookmarkStart w:id="1569" w:name="_Toc24544"/>
      <w:bookmarkStart w:id="1570" w:name="_Toc9266"/>
      <w:bookmarkStart w:id="1571" w:name="_Toc31494"/>
      <w:bookmarkStart w:id="1572" w:name="_Toc21343"/>
      <w:bookmarkStart w:id="1573" w:name="_Toc13161"/>
      <w:bookmarkStart w:id="1574" w:name="_Toc26305"/>
    </w:p>
    <w:p w14:paraId="632FDA81">
      <w:pPr>
        <w:shd w:val="clear"/>
        <w:spacing w:line="420" w:lineRule="exact"/>
        <w:ind w:firstLine="0" w:firstLineChars="0"/>
        <w:jc w:val="center"/>
        <w:rPr>
          <w:rFonts w:hint="eastAsia" w:ascii="宋体" w:hAnsi="宋体" w:eastAsia="宋体" w:cs="宋体"/>
          <w:b/>
          <w:color w:val="auto"/>
          <w:sz w:val="32"/>
          <w:szCs w:val="32"/>
          <w:highlight w:val="none"/>
        </w:rPr>
      </w:pPr>
    </w:p>
    <w:p w14:paraId="4BEE1A5F">
      <w:pPr>
        <w:shd w:val="clear"/>
        <w:spacing w:line="420" w:lineRule="exact"/>
        <w:ind w:firstLine="0" w:firstLineChars="0"/>
        <w:jc w:val="center"/>
        <w:rPr>
          <w:rFonts w:hint="eastAsia" w:ascii="宋体" w:hAnsi="宋体" w:eastAsia="宋体" w:cs="宋体"/>
          <w:b/>
          <w:color w:val="auto"/>
          <w:sz w:val="32"/>
          <w:szCs w:val="32"/>
          <w:highlight w:val="none"/>
        </w:rPr>
      </w:pPr>
      <w:bookmarkStart w:id="1575" w:name="_Toc26772"/>
      <w:bookmarkStart w:id="1576" w:name="_Toc1142"/>
      <w:bookmarkStart w:id="1577" w:name="_Toc32499"/>
      <w:bookmarkStart w:id="1578" w:name="_Toc3556"/>
    </w:p>
    <w:p w14:paraId="3A011FA5">
      <w:pPr>
        <w:shd w:val="clear"/>
        <w:ind w:firstLine="0" w:firstLineChars="0"/>
        <w:jc w:val="left"/>
        <w:outlineLvl w:val="1"/>
        <w:rPr>
          <w:rFonts w:hint="eastAsia" w:ascii="宋体" w:hAnsi="宋体" w:eastAsia="宋体" w:cs="宋体"/>
          <w:b/>
          <w:bCs/>
          <w:color w:val="auto"/>
          <w:sz w:val="30"/>
          <w:szCs w:val="30"/>
          <w:highlight w:val="none"/>
        </w:rPr>
      </w:pPr>
      <w:bookmarkStart w:id="1579" w:name="_Toc9226"/>
      <w:bookmarkStart w:id="1580" w:name="_Toc28232"/>
      <w:bookmarkStart w:id="1581" w:name="_Toc26617"/>
      <w:bookmarkStart w:id="1582" w:name="_Toc27462"/>
      <w:bookmarkStart w:id="1583" w:name="_Toc19658"/>
      <w:bookmarkStart w:id="1584" w:name="_Toc10280"/>
      <w:bookmarkStart w:id="1585" w:name="_Toc718"/>
      <w:bookmarkStart w:id="1586" w:name="_Toc2784"/>
      <w:bookmarkStart w:id="1587" w:name="_Toc5926"/>
      <w:bookmarkStart w:id="1588" w:name="_Toc20104"/>
      <w:bookmarkStart w:id="1589" w:name="_Toc8127"/>
      <w:bookmarkStart w:id="1590" w:name="_Toc1634"/>
      <w:bookmarkStart w:id="1591" w:name="_Toc31432"/>
      <w:bookmarkStart w:id="1592" w:name="_Toc19930"/>
      <w:bookmarkStart w:id="1593" w:name="_Toc14419"/>
      <w:bookmarkStart w:id="1594" w:name="_Toc26472"/>
      <w:bookmarkStart w:id="1595" w:name="_Toc16681"/>
      <w:bookmarkStart w:id="1596" w:name="_Toc21678"/>
      <w:bookmarkStart w:id="1597" w:name="_Toc22669"/>
      <w:bookmarkStart w:id="1598" w:name="_Toc8007"/>
      <w:bookmarkStart w:id="1599" w:name="_Toc29662"/>
      <w:bookmarkStart w:id="1600" w:name="_Toc23837"/>
      <w:bookmarkStart w:id="1601" w:name="_Toc17787"/>
      <w:bookmarkStart w:id="1602" w:name="_Toc25259"/>
      <w:bookmarkStart w:id="1603" w:name="_Toc30141"/>
      <w:bookmarkStart w:id="1604" w:name="_Toc17325"/>
      <w:bookmarkStart w:id="1605" w:name="_Toc9240"/>
      <w:bookmarkStart w:id="1606" w:name="_Toc15860"/>
      <w:bookmarkStart w:id="1607" w:name="_Toc25736"/>
      <w:bookmarkStart w:id="1608" w:name="_Toc27762"/>
      <w:r>
        <w:rPr>
          <w:rFonts w:hint="eastAsia" w:ascii="宋体" w:hAnsi="宋体" w:eastAsia="宋体" w:cs="宋体"/>
          <w:b/>
          <w:bCs/>
          <w:color w:val="auto"/>
          <w:highlight w:val="none"/>
        </w:rPr>
        <w:t>附件</w:t>
      </w:r>
      <w:bookmarkEnd w:id="1579"/>
      <w:bookmarkEnd w:id="1580"/>
      <w:bookmarkEnd w:id="1581"/>
      <w:bookmarkEnd w:id="1582"/>
      <w:bookmarkEnd w:id="1583"/>
      <w:bookmarkEnd w:id="1584"/>
      <w:bookmarkEnd w:id="1585"/>
      <w:bookmarkEnd w:id="1586"/>
      <w:bookmarkEnd w:id="1587"/>
      <w:bookmarkEnd w:id="1588"/>
      <w:r>
        <w:rPr>
          <w:rFonts w:hint="eastAsia" w:ascii="宋体" w:hAnsi="宋体" w:eastAsia="宋体" w:cs="宋体"/>
          <w:b/>
          <w:bCs/>
          <w:color w:val="auto"/>
          <w:highlight w:val="none"/>
        </w:rPr>
        <w:t>3</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0CC68FC8">
      <w:pPr>
        <w:shd w:val="clear"/>
        <w:ind w:firstLine="0" w:firstLineChars="0"/>
        <w:jc w:val="center"/>
        <w:rPr>
          <w:rFonts w:hint="eastAsia" w:ascii="宋体" w:hAnsi="宋体" w:eastAsia="宋体" w:cs="宋体"/>
          <w:b/>
          <w:bCs/>
          <w:color w:val="auto"/>
          <w:sz w:val="30"/>
          <w:szCs w:val="30"/>
          <w:highlight w:val="none"/>
          <w:lang w:val="en-GB"/>
        </w:rPr>
      </w:pPr>
      <w:r>
        <w:rPr>
          <w:rFonts w:hint="eastAsia" w:ascii="宋体" w:hAnsi="宋体" w:eastAsia="宋体" w:cs="宋体"/>
          <w:b/>
          <w:bCs/>
          <w:color w:val="auto"/>
          <w:sz w:val="30"/>
          <w:szCs w:val="30"/>
          <w:highlight w:val="none"/>
          <w:lang w:val="en-GB"/>
        </w:rPr>
        <w:t>投标函</w:t>
      </w:r>
    </w:p>
    <w:p w14:paraId="56F66DC5">
      <w:pPr>
        <w:shd w:val="clear"/>
        <w:adjustRightInd w:val="0"/>
        <w:snapToGrid w:val="0"/>
        <w:spacing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 ：</w:t>
      </w:r>
    </w:p>
    <w:p w14:paraId="2AB24B97">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ascii="宋体" w:hAnsi="宋体" w:cs="宋体"/>
          <w:color w:val="auto"/>
          <w:highlight w:val="none"/>
          <w:u w:val="single"/>
          <w:lang w:eastAsia="zh-CN"/>
        </w:rPr>
        <w:t>投标人</w:t>
      </w:r>
      <w:r>
        <w:rPr>
          <w:rFonts w:hint="eastAsia" w:ascii="宋体" w:hAnsi="宋体" w:eastAsia="宋体" w:cs="宋体"/>
          <w:color w:val="auto"/>
          <w:highlight w:val="none"/>
          <w:u w:val="single"/>
        </w:rPr>
        <w:t>全称)</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(全权代表姓名)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招标的有关活动，并对此项目进行投标。为此：</w:t>
      </w:r>
    </w:p>
    <w:p w14:paraId="12587743">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1.我方同意在</w:t>
      </w:r>
      <w:r>
        <w:rPr>
          <w:rFonts w:hint="eastAsia" w:ascii="宋体" w:hAnsi="宋体" w:cs="宋体"/>
          <w:color w:val="auto"/>
          <w:highlight w:val="none"/>
          <w:lang w:eastAsia="zh-CN"/>
        </w:rPr>
        <w:t>投标人</w:t>
      </w:r>
      <w:r>
        <w:rPr>
          <w:rFonts w:hint="eastAsia" w:ascii="宋体" w:hAnsi="宋体" w:eastAsia="宋体" w:cs="宋体"/>
          <w:color w:val="auto"/>
          <w:highlight w:val="none"/>
        </w:rPr>
        <w:t>投标须知规定的开标日期起遵守本投标书中的承诺且在投标有效期满之前均具有约束力。</w:t>
      </w:r>
    </w:p>
    <w:p w14:paraId="0115621D">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2.我方承诺已经具备《中华人民共和国政府采购法》中规定的参加国企采购活动的</w:t>
      </w:r>
      <w:r>
        <w:rPr>
          <w:rFonts w:hint="eastAsia" w:ascii="宋体" w:hAnsi="宋体" w:cs="宋体"/>
          <w:color w:val="auto"/>
          <w:highlight w:val="none"/>
          <w:lang w:eastAsia="zh-CN"/>
        </w:rPr>
        <w:t>投标人</w:t>
      </w:r>
      <w:r>
        <w:rPr>
          <w:rFonts w:hint="eastAsia" w:ascii="宋体" w:hAnsi="宋体" w:eastAsia="宋体" w:cs="宋体"/>
          <w:color w:val="auto"/>
          <w:highlight w:val="none"/>
        </w:rPr>
        <w:t>应当具备的条件：</w:t>
      </w:r>
    </w:p>
    <w:p w14:paraId="6B333B5A">
      <w:pPr>
        <w:shd w:val="clear"/>
        <w:ind w:firstLine="480"/>
        <w:rPr>
          <w:rFonts w:hint="eastAsia" w:ascii="宋体" w:hAnsi="宋体" w:eastAsia="宋体" w:cs="宋体"/>
          <w:color w:val="auto"/>
          <w:highlight w:val="none"/>
        </w:rPr>
      </w:pPr>
      <w:bookmarkStart w:id="1609" w:name="_Toc28494_WPSOffice_Level1"/>
      <w:bookmarkStart w:id="1610" w:name="_Toc26282_WPSOffice_Level1"/>
      <w:bookmarkStart w:id="1611" w:name="_Toc28368_WPSOffice_Level1"/>
      <w:r>
        <w:rPr>
          <w:rFonts w:hint="eastAsia" w:ascii="宋体" w:hAnsi="宋体" w:eastAsia="宋体" w:cs="宋体"/>
          <w:color w:val="auto"/>
          <w:highlight w:val="none"/>
        </w:rPr>
        <w:t>(1)具有独立承担民事责任的能力；</w:t>
      </w:r>
      <w:bookmarkEnd w:id="1609"/>
      <w:bookmarkEnd w:id="1610"/>
      <w:bookmarkEnd w:id="1611"/>
    </w:p>
    <w:p w14:paraId="6DD93448">
      <w:pPr>
        <w:shd w:val="clear"/>
        <w:ind w:firstLine="480"/>
        <w:rPr>
          <w:rFonts w:hint="eastAsia" w:ascii="宋体" w:hAnsi="宋体" w:eastAsia="宋体" w:cs="宋体"/>
          <w:color w:val="auto"/>
          <w:highlight w:val="none"/>
        </w:rPr>
      </w:pPr>
      <w:bookmarkStart w:id="1612" w:name="_Toc8560_WPSOffice_Level1"/>
      <w:bookmarkStart w:id="1613" w:name="_Toc7471_WPSOffice_Level1"/>
      <w:bookmarkStart w:id="1614" w:name="_Toc3878_WPSOffice_Level1"/>
      <w:r>
        <w:rPr>
          <w:rFonts w:hint="eastAsia" w:ascii="宋体" w:hAnsi="宋体" w:eastAsia="宋体" w:cs="宋体"/>
          <w:color w:val="auto"/>
          <w:highlight w:val="none"/>
        </w:rPr>
        <w:t>(2)遵守国家法律、行政法规，具有良好的信誉和商业道德；</w:t>
      </w:r>
      <w:bookmarkEnd w:id="1612"/>
      <w:bookmarkEnd w:id="1613"/>
      <w:bookmarkEnd w:id="1614"/>
    </w:p>
    <w:p w14:paraId="7EE8AC72">
      <w:pPr>
        <w:shd w:val="clear"/>
        <w:ind w:firstLine="480"/>
        <w:rPr>
          <w:rFonts w:hint="eastAsia" w:ascii="宋体" w:hAnsi="宋体" w:eastAsia="宋体" w:cs="宋体"/>
          <w:color w:val="auto"/>
          <w:highlight w:val="none"/>
        </w:rPr>
      </w:pPr>
      <w:bookmarkStart w:id="1615" w:name="_Toc19337_WPSOffice_Level1"/>
      <w:bookmarkStart w:id="1616" w:name="_Toc12874_WPSOffice_Level1"/>
      <w:bookmarkStart w:id="1617" w:name="_Toc29658_WPSOffice_Level1"/>
      <w:r>
        <w:rPr>
          <w:rFonts w:hint="eastAsia" w:ascii="宋体" w:hAnsi="宋体" w:eastAsia="宋体" w:cs="宋体"/>
          <w:color w:val="auto"/>
          <w:highlight w:val="none"/>
        </w:rPr>
        <w:t>(3)具有履行合同的能力和良好</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履行合同记录；</w:t>
      </w:r>
      <w:bookmarkEnd w:id="1615"/>
      <w:bookmarkEnd w:id="1616"/>
      <w:bookmarkEnd w:id="1617"/>
    </w:p>
    <w:p w14:paraId="21955C8C">
      <w:pPr>
        <w:shd w:val="clear"/>
        <w:ind w:firstLine="480"/>
        <w:rPr>
          <w:rFonts w:hint="eastAsia" w:ascii="宋体" w:hAnsi="宋体" w:eastAsia="宋体" w:cs="宋体"/>
          <w:color w:val="auto"/>
          <w:highlight w:val="none"/>
        </w:rPr>
      </w:pPr>
      <w:bookmarkStart w:id="1618" w:name="_Toc23978_WPSOffice_Level1"/>
      <w:bookmarkStart w:id="1619" w:name="_Toc14982_WPSOffice_Level1"/>
      <w:bookmarkStart w:id="1620" w:name="_Toc9908_WPSOffice_Level1"/>
      <w:r>
        <w:rPr>
          <w:rFonts w:hint="eastAsia" w:ascii="宋体" w:hAnsi="宋体" w:eastAsia="宋体" w:cs="宋体"/>
          <w:color w:val="auto"/>
          <w:highlight w:val="none"/>
        </w:rPr>
        <w:t>(4)良好的资金、财务状况；</w:t>
      </w:r>
      <w:bookmarkEnd w:id="1618"/>
      <w:bookmarkEnd w:id="1619"/>
      <w:bookmarkEnd w:id="1620"/>
    </w:p>
    <w:p w14:paraId="78DA3F1B">
      <w:pPr>
        <w:shd w:val="clear"/>
        <w:ind w:firstLine="480"/>
        <w:rPr>
          <w:rFonts w:hint="eastAsia" w:ascii="宋体" w:hAnsi="宋体" w:eastAsia="宋体" w:cs="宋体"/>
          <w:color w:val="auto"/>
          <w:highlight w:val="none"/>
        </w:rPr>
      </w:pPr>
      <w:bookmarkStart w:id="1621" w:name="_Toc19486_WPSOffice_Level1"/>
      <w:bookmarkStart w:id="1622" w:name="_Toc14576_WPSOffice_Level1"/>
      <w:bookmarkStart w:id="1623" w:name="_Toc1715_WPSOffice_Level1"/>
      <w:r>
        <w:rPr>
          <w:rFonts w:hint="eastAsia" w:ascii="宋体" w:hAnsi="宋体" w:eastAsia="宋体" w:cs="宋体"/>
          <w:color w:val="auto"/>
          <w:highlight w:val="none"/>
        </w:rPr>
        <w:t>(5)提供的产品和服务符合中国政府规定的相应标准和环保标准；</w:t>
      </w:r>
      <w:bookmarkEnd w:id="1621"/>
      <w:bookmarkEnd w:id="1622"/>
      <w:bookmarkEnd w:id="1623"/>
    </w:p>
    <w:p w14:paraId="59E07524">
      <w:pPr>
        <w:shd w:val="clear"/>
        <w:ind w:firstLine="480"/>
        <w:rPr>
          <w:rFonts w:hint="eastAsia" w:ascii="宋体" w:hAnsi="宋体" w:eastAsia="宋体" w:cs="宋体"/>
          <w:color w:val="auto"/>
          <w:highlight w:val="none"/>
        </w:rPr>
      </w:pPr>
      <w:bookmarkStart w:id="1624" w:name="_Toc31563_WPSOffice_Level1"/>
      <w:bookmarkStart w:id="1625" w:name="_Toc21916_WPSOffice_Level1"/>
      <w:bookmarkStart w:id="1626" w:name="_Toc22738_WPSOffice_Level1"/>
      <w:r>
        <w:rPr>
          <w:rFonts w:hint="eastAsia" w:ascii="宋体" w:hAnsi="宋体" w:eastAsia="宋体" w:cs="宋体"/>
          <w:color w:val="auto"/>
          <w:highlight w:val="none"/>
        </w:rPr>
        <w:t>(6)没有违反国企采购法规、政策的记录；</w:t>
      </w:r>
      <w:bookmarkEnd w:id="1624"/>
      <w:bookmarkEnd w:id="1625"/>
      <w:bookmarkEnd w:id="1626"/>
    </w:p>
    <w:p w14:paraId="1F2430D5">
      <w:pPr>
        <w:shd w:val="clear"/>
        <w:ind w:firstLine="480"/>
        <w:rPr>
          <w:rFonts w:hint="eastAsia" w:ascii="宋体" w:hAnsi="宋体" w:eastAsia="宋体" w:cs="宋体"/>
          <w:color w:val="auto"/>
          <w:highlight w:val="none"/>
        </w:rPr>
      </w:pPr>
      <w:bookmarkStart w:id="1627" w:name="_Toc15073_WPSOffice_Level1"/>
      <w:bookmarkStart w:id="1628" w:name="_Toc12415_WPSOffice_Level1"/>
      <w:bookmarkStart w:id="1629" w:name="_Toc12445_WPSOffice_Level1"/>
      <w:r>
        <w:rPr>
          <w:rFonts w:hint="eastAsia" w:ascii="宋体" w:hAnsi="宋体" w:eastAsia="宋体" w:cs="宋体"/>
          <w:color w:val="auto"/>
          <w:highlight w:val="none"/>
        </w:rPr>
        <w:t>(7)没有发生重大经济纠纷和走私犯罪记录。</w:t>
      </w:r>
      <w:bookmarkEnd w:id="1627"/>
      <w:bookmarkEnd w:id="1628"/>
      <w:bookmarkEnd w:id="1629"/>
    </w:p>
    <w:p w14:paraId="440E0AC2">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3.提供编制和提交招标文件须知规定的电子投标文件，具体内容为：</w:t>
      </w:r>
    </w:p>
    <w:p w14:paraId="1936C3B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(1)资格审查文件；</w:t>
      </w:r>
    </w:p>
    <w:p w14:paraId="0E03666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资信技术</w:t>
      </w:r>
      <w:r>
        <w:rPr>
          <w:rFonts w:hint="eastAsia" w:ascii="宋体" w:hAnsi="宋体" w:eastAsia="宋体" w:cs="宋体"/>
          <w:color w:val="auto"/>
          <w:highlight w:val="none"/>
        </w:rPr>
        <w:t>文件；</w:t>
      </w:r>
    </w:p>
    <w:p w14:paraId="5873AC46">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(3)商务报价</w:t>
      </w:r>
      <w:r>
        <w:rPr>
          <w:rFonts w:hint="eastAsia" w:ascii="宋体" w:hAnsi="宋体" w:eastAsia="宋体" w:cs="宋体"/>
          <w:color w:val="auto"/>
          <w:highlight w:val="none"/>
          <w:lang w:val="zh-CN"/>
        </w:rPr>
        <w:t>文件</w:t>
      </w:r>
      <w:r>
        <w:rPr>
          <w:rFonts w:hint="eastAsia" w:ascii="宋体" w:hAnsi="宋体" w:eastAsia="宋体" w:cs="宋体"/>
          <w:color w:val="auto"/>
          <w:highlight w:val="none"/>
        </w:rPr>
        <w:t>；</w:t>
      </w:r>
    </w:p>
    <w:p w14:paraId="5466757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(4)投标须知要求</w:t>
      </w:r>
      <w:r>
        <w:rPr>
          <w:rFonts w:hint="eastAsia" w:ascii="宋体" w:hAnsi="宋体" w:cs="宋体"/>
          <w:color w:val="auto"/>
          <w:highlight w:val="none"/>
          <w:lang w:eastAsia="zh-CN"/>
        </w:rPr>
        <w:t>投标人</w:t>
      </w:r>
      <w:r>
        <w:rPr>
          <w:rFonts w:hint="eastAsia" w:ascii="宋体" w:hAnsi="宋体" w:eastAsia="宋体" w:cs="宋体"/>
          <w:color w:val="auto"/>
          <w:highlight w:val="none"/>
        </w:rPr>
        <w:t>提交的全部文件；</w:t>
      </w:r>
    </w:p>
    <w:p w14:paraId="01F1D89E">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(5)按招标文件要求提供和交付的货物和服务的投标报价详见开标一览表；</w:t>
      </w:r>
    </w:p>
    <w:p w14:paraId="19C26B3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(6)保证忠实地执行双方所签订的合同，并承担合同规定的责任和义务；</w:t>
      </w:r>
    </w:p>
    <w:p w14:paraId="38B5C0EB">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(7)保证遵守招标文件中的其他有关规定。</w:t>
      </w:r>
    </w:p>
    <w:p w14:paraId="2819D01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4.我方完全理解贵方不一定要接受最低价的投标。</w:t>
      </w:r>
    </w:p>
    <w:p w14:paraId="0A5D493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5.我方愿意向贵方提供任何与该项投标有关的数据、情况和服务资料。若贵方需要，我方愿意提供我方</w:t>
      </w:r>
      <w:r>
        <w:rPr>
          <w:rFonts w:hint="eastAsia" w:ascii="宋体" w:hAnsi="宋体" w:eastAsia="宋体" w:cs="宋体"/>
          <w:color w:val="auto"/>
          <w:highlight w:val="none"/>
          <w:lang w:eastAsia="zh-CN"/>
        </w:rPr>
        <w:t>做出</w:t>
      </w:r>
      <w:r>
        <w:rPr>
          <w:rFonts w:hint="eastAsia" w:ascii="宋体" w:hAnsi="宋体" w:eastAsia="宋体" w:cs="宋体"/>
          <w:color w:val="auto"/>
          <w:highlight w:val="none"/>
        </w:rPr>
        <w:t>的一切承诺的证明材料。</w:t>
      </w:r>
    </w:p>
    <w:p w14:paraId="3CB2BD91">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6.我方已详细审核全部招标文件，包括招标文件修改书（如有的话）、参考资料及有关附件，确认无误。我方完全理解并接受招标文件的各项规定和要求，对招标文件的合理性、合法性不再有异议。</w:t>
      </w:r>
    </w:p>
    <w:p w14:paraId="70B9FD79">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rPr>
        <w:t>7.我方将严格遵守《中华人民共和国政府采购法》第七十七条规定，</w:t>
      </w:r>
      <w:r>
        <w:rPr>
          <w:rFonts w:hint="eastAsia" w:ascii="宋体" w:hAnsi="宋体" w:cs="宋体"/>
          <w:color w:val="auto"/>
          <w:highlight w:val="none"/>
          <w:lang w:eastAsia="zh-CN"/>
        </w:rPr>
        <w:t>投标人</w:t>
      </w:r>
      <w:r>
        <w:rPr>
          <w:rFonts w:hint="eastAsia" w:ascii="宋体" w:hAnsi="宋体" w:eastAsia="宋体" w:cs="宋体"/>
          <w:color w:val="auto"/>
          <w:highlight w:val="none"/>
        </w:rPr>
        <w:t>有下列情形之一的，处以采购金额5‰以上10‰以下的罚款，列入不良行为记录名单，在一至三年内禁止参加国企采购活动；有违法所得的，并处没收违法所得；情节严重的，由市场监督管理机关吊销营业执照；构成犯罪的，依法追究刑事责任：</w:t>
      </w:r>
    </w:p>
    <w:p w14:paraId="0C004F91">
      <w:pPr>
        <w:shd w:val="clear"/>
        <w:ind w:firstLine="480"/>
        <w:rPr>
          <w:rFonts w:hint="eastAsia" w:ascii="宋体" w:hAnsi="宋体" w:eastAsia="宋体" w:cs="宋体"/>
          <w:color w:val="auto"/>
          <w:highlight w:val="none"/>
        </w:rPr>
      </w:pPr>
      <w:bookmarkStart w:id="1630" w:name="_Toc4442_WPSOffice_Level1"/>
      <w:bookmarkStart w:id="1631" w:name="_Toc7856_WPSOffice_Level1"/>
      <w:bookmarkStart w:id="1632" w:name="_Toc25395_WPSOffice_Level1"/>
      <w:r>
        <w:rPr>
          <w:rFonts w:hint="eastAsia" w:ascii="宋体" w:hAnsi="宋体" w:eastAsia="宋体" w:cs="宋体"/>
          <w:color w:val="auto"/>
          <w:highlight w:val="none"/>
        </w:rPr>
        <w:t>(1)提供虚假材料谋取中标、成交的；</w:t>
      </w:r>
      <w:bookmarkEnd w:id="1630"/>
      <w:bookmarkEnd w:id="1631"/>
      <w:bookmarkEnd w:id="1632"/>
    </w:p>
    <w:p w14:paraId="57A0B152">
      <w:pPr>
        <w:shd w:val="clear"/>
        <w:ind w:firstLine="480"/>
        <w:rPr>
          <w:rFonts w:hint="eastAsia" w:ascii="宋体" w:hAnsi="宋体" w:eastAsia="宋体" w:cs="宋体"/>
          <w:color w:val="auto"/>
          <w:highlight w:val="none"/>
        </w:rPr>
      </w:pPr>
      <w:bookmarkStart w:id="1633" w:name="_Toc23417_WPSOffice_Level1"/>
      <w:bookmarkStart w:id="1634" w:name="_Toc17583_WPSOffice_Level1"/>
      <w:bookmarkStart w:id="1635" w:name="_Toc19322_WPSOffice_Level1"/>
      <w:r>
        <w:rPr>
          <w:rFonts w:hint="eastAsia" w:ascii="宋体" w:hAnsi="宋体" w:eastAsia="宋体" w:cs="宋体"/>
          <w:color w:val="auto"/>
          <w:highlight w:val="none"/>
        </w:rPr>
        <w:t>(2)采取不正当手段诋毁、排挤其他</w:t>
      </w:r>
      <w:r>
        <w:rPr>
          <w:rFonts w:hint="eastAsia" w:ascii="宋体" w:hAnsi="宋体" w:cs="宋体"/>
          <w:color w:val="auto"/>
          <w:highlight w:val="none"/>
          <w:lang w:eastAsia="zh-CN"/>
        </w:rPr>
        <w:t>投标人</w:t>
      </w:r>
      <w:r>
        <w:rPr>
          <w:rFonts w:hint="eastAsia" w:ascii="宋体" w:hAnsi="宋体" w:eastAsia="宋体" w:cs="宋体"/>
          <w:color w:val="auto"/>
          <w:highlight w:val="none"/>
        </w:rPr>
        <w:t>的；</w:t>
      </w:r>
      <w:bookmarkEnd w:id="1633"/>
      <w:bookmarkEnd w:id="1634"/>
      <w:bookmarkEnd w:id="1635"/>
    </w:p>
    <w:p w14:paraId="45473C08">
      <w:pPr>
        <w:shd w:val="clear"/>
        <w:ind w:firstLine="480"/>
        <w:rPr>
          <w:rFonts w:hint="eastAsia" w:ascii="宋体" w:hAnsi="宋体" w:eastAsia="宋体" w:cs="宋体"/>
          <w:color w:val="auto"/>
          <w:highlight w:val="none"/>
        </w:rPr>
      </w:pPr>
      <w:bookmarkStart w:id="1636" w:name="_Toc10338_WPSOffice_Level1"/>
      <w:bookmarkStart w:id="1637" w:name="_Toc15532_WPSOffice_Level1"/>
      <w:bookmarkStart w:id="1638" w:name="_Toc2563_WPSOffice_Level1"/>
      <w:r>
        <w:rPr>
          <w:rFonts w:hint="eastAsia" w:ascii="宋体" w:hAnsi="宋体" w:eastAsia="宋体" w:cs="宋体"/>
          <w:color w:val="auto"/>
          <w:highlight w:val="none"/>
        </w:rPr>
        <w:t>(3)与采购人、</w:t>
      </w:r>
      <w:r>
        <w:rPr>
          <w:rFonts w:hint="eastAsia" w:ascii="宋体" w:hAnsi="宋体" w:eastAsia="宋体" w:cs="宋体"/>
          <w:color w:val="auto"/>
          <w:highlight w:val="none"/>
          <w:lang w:eastAsia="zh-CN"/>
        </w:rPr>
        <w:t>其他</w:t>
      </w:r>
      <w:r>
        <w:rPr>
          <w:rFonts w:hint="eastAsia" w:ascii="宋体" w:hAnsi="宋体" w:cs="宋体"/>
          <w:color w:val="auto"/>
          <w:highlight w:val="none"/>
          <w:lang w:eastAsia="zh-CN"/>
        </w:rPr>
        <w:t>投标人</w:t>
      </w:r>
      <w:r>
        <w:rPr>
          <w:rFonts w:hint="eastAsia" w:ascii="宋体" w:hAnsi="宋体" w:eastAsia="宋体" w:cs="宋体"/>
          <w:color w:val="auto"/>
          <w:highlight w:val="none"/>
        </w:rPr>
        <w:t>或者招标代理机构恶意串通的；</w:t>
      </w:r>
      <w:bookmarkEnd w:id="1636"/>
      <w:bookmarkEnd w:id="1637"/>
      <w:bookmarkEnd w:id="1638"/>
    </w:p>
    <w:p w14:paraId="33AD2C43">
      <w:pPr>
        <w:shd w:val="clear"/>
        <w:ind w:firstLine="480"/>
        <w:rPr>
          <w:rFonts w:hint="eastAsia" w:ascii="宋体" w:hAnsi="宋体" w:eastAsia="宋体" w:cs="宋体"/>
          <w:color w:val="auto"/>
          <w:highlight w:val="none"/>
        </w:rPr>
      </w:pPr>
      <w:bookmarkStart w:id="1639" w:name="_Toc8669_WPSOffice_Level1"/>
      <w:bookmarkStart w:id="1640" w:name="_Toc16860_WPSOffice_Level1"/>
      <w:bookmarkStart w:id="1641" w:name="_Toc17925_WPSOffice_Level1"/>
      <w:r>
        <w:rPr>
          <w:rFonts w:hint="eastAsia" w:ascii="宋体" w:hAnsi="宋体" w:eastAsia="宋体" w:cs="宋体"/>
          <w:color w:val="auto"/>
          <w:highlight w:val="none"/>
        </w:rPr>
        <w:t>(4)向采购人、招标代理机构行贿或者提供其他不正当利益的；</w:t>
      </w:r>
      <w:bookmarkEnd w:id="1639"/>
      <w:bookmarkEnd w:id="1640"/>
      <w:bookmarkEnd w:id="1641"/>
    </w:p>
    <w:p w14:paraId="53031754">
      <w:pPr>
        <w:shd w:val="clear"/>
        <w:ind w:firstLine="480"/>
        <w:rPr>
          <w:rFonts w:hint="eastAsia" w:ascii="宋体" w:hAnsi="宋体" w:eastAsia="宋体" w:cs="宋体"/>
          <w:color w:val="auto"/>
          <w:highlight w:val="none"/>
        </w:rPr>
      </w:pPr>
      <w:bookmarkStart w:id="1642" w:name="_Toc10655_WPSOffice_Level1"/>
      <w:bookmarkStart w:id="1643" w:name="_Toc12118_WPSOffice_Level1"/>
      <w:bookmarkStart w:id="1644" w:name="_Toc20834_WPSOffice_Level1"/>
      <w:r>
        <w:rPr>
          <w:rFonts w:hint="eastAsia" w:ascii="宋体" w:hAnsi="宋体" w:eastAsia="宋体" w:cs="宋体"/>
          <w:color w:val="auto"/>
          <w:highlight w:val="none"/>
        </w:rPr>
        <w:t>(5)在招标采购过程中与采购人进行协商谈判的；</w:t>
      </w:r>
      <w:bookmarkEnd w:id="1642"/>
      <w:bookmarkEnd w:id="1643"/>
      <w:bookmarkEnd w:id="1644"/>
    </w:p>
    <w:p w14:paraId="310D7701">
      <w:pPr>
        <w:shd w:val="clear"/>
        <w:ind w:firstLine="480"/>
        <w:rPr>
          <w:rFonts w:hint="eastAsia" w:ascii="宋体" w:hAnsi="宋体" w:eastAsia="宋体" w:cs="宋体"/>
          <w:color w:val="auto"/>
          <w:highlight w:val="none"/>
        </w:rPr>
      </w:pPr>
      <w:bookmarkStart w:id="1645" w:name="_Toc5988_WPSOffice_Level1"/>
      <w:bookmarkStart w:id="1646" w:name="_Toc2385_WPSOffice_Level1"/>
      <w:bookmarkStart w:id="1647" w:name="_Toc14152_WPSOffice_Level1"/>
      <w:r>
        <w:rPr>
          <w:rFonts w:hint="eastAsia" w:ascii="宋体" w:hAnsi="宋体" w:eastAsia="宋体" w:cs="宋体"/>
          <w:color w:val="auto"/>
          <w:highlight w:val="none"/>
        </w:rPr>
        <w:t>(6)拒绝有关部门监督检查或提供虚假情况的。</w:t>
      </w:r>
      <w:bookmarkEnd w:id="1645"/>
      <w:bookmarkEnd w:id="1646"/>
      <w:bookmarkEnd w:id="1647"/>
    </w:p>
    <w:p w14:paraId="2759E5D4">
      <w:pPr>
        <w:shd w:val="clear"/>
        <w:ind w:firstLine="48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有前款第(1)至(4)项情形之一的，中标、成交无效。</w:t>
      </w:r>
    </w:p>
    <w:p w14:paraId="75EBC51F">
      <w:pPr>
        <w:shd w:val="clear"/>
        <w:ind w:firstLine="480"/>
        <w:rPr>
          <w:rFonts w:hint="eastAsia" w:ascii="宋体" w:hAnsi="宋体" w:eastAsia="宋体" w:cs="宋体"/>
          <w:color w:val="auto"/>
          <w:highlight w:val="none"/>
          <w:lang w:val="zh-CN"/>
        </w:rPr>
      </w:pPr>
    </w:p>
    <w:p w14:paraId="64640033">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法定（授权）代表人（签字或盖章）：                    </w:t>
      </w:r>
      <w:r>
        <w:rPr>
          <w:rFonts w:hint="eastAsia" w:ascii="宋体" w:hAnsi="宋体" w:eastAsia="宋体" w:cs="宋体"/>
          <w:color w:val="auto"/>
          <w:highlight w:val="none"/>
        </w:rPr>
        <w:tab/>
      </w:r>
    </w:p>
    <w:p w14:paraId="0650C753">
      <w:pPr>
        <w:shd w:val="clear"/>
        <w:ind w:firstLine="480"/>
        <w:rPr>
          <w:rFonts w:hint="eastAsia" w:ascii="宋体" w:hAnsi="宋体" w:eastAsia="宋体" w:cs="宋体"/>
          <w:color w:val="auto"/>
          <w:highlight w:val="none"/>
          <w:lang w:val="zh-CN"/>
        </w:rPr>
      </w:pP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 xml:space="preserve">盖 章：                       </w:t>
      </w:r>
    </w:p>
    <w:p w14:paraId="7C40C1EB">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联系电话：           传真：              电子邮件：              </w:t>
      </w:r>
    </w:p>
    <w:p w14:paraId="0F5BB19D">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联系地址：                                                    </w:t>
      </w:r>
    </w:p>
    <w:p w14:paraId="68B10165">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邮政编码：                     传真号码：                     </w:t>
      </w:r>
    </w:p>
    <w:p w14:paraId="38A63D39">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月    日</w:t>
      </w:r>
    </w:p>
    <w:p w14:paraId="498391B3">
      <w:pPr>
        <w:shd w:val="clear"/>
        <w:ind w:firstLine="482"/>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注：未按照本投标响应函要求填报的将被视为非实质性响应，从而可能导致该投标文件被拒绝。</w:t>
      </w:r>
    </w:p>
    <w:p w14:paraId="17AFE761">
      <w:pPr>
        <w:shd w:val="clear"/>
        <w:ind w:firstLine="0" w:firstLineChars="0"/>
        <w:jc w:val="left"/>
        <w:rPr>
          <w:rFonts w:hint="eastAsia" w:ascii="宋体" w:hAnsi="宋体" w:eastAsia="宋体" w:cs="宋体"/>
          <w:b/>
          <w:bCs/>
          <w:color w:val="auto"/>
          <w:highlight w:val="none"/>
        </w:rPr>
      </w:pPr>
      <w:bookmarkStart w:id="1648" w:name="_Toc7083"/>
    </w:p>
    <w:p w14:paraId="03F989A6">
      <w:pPr>
        <w:pStyle w:val="40"/>
        <w:shd w:val="clear"/>
        <w:ind w:left="480"/>
        <w:rPr>
          <w:rFonts w:hint="eastAsia" w:ascii="宋体" w:hAnsi="宋体" w:eastAsia="宋体" w:cs="宋体"/>
          <w:color w:val="auto"/>
          <w:highlight w:val="none"/>
        </w:rPr>
      </w:pPr>
    </w:p>
    <w:p w14:paraId="6E63DDF6">
      <w:pPr>
        <w:pStyle w:val="59"/>
        <w:shd w:val="clear"/>
        <w:ind w:left="960" w:firstLine="0" w:firstLineChars="0"/>
        <w:rPr>
          <w:rFonts w:hint="eastAsia" w:ascii="宋体" w:hAnsi="宋体" w:eastAsia="宋体" w:cs="宋体"/>
          <w:b/>
          <w:bCs/>
          <w:color w:val="auto"/>
          <w:highlight w:val="none"/>
        </w:rPr>
      </w:pPr>
    </w:p>
    <w:p w14:paraId="1242D3ED">
      <w:pPr>
        <w:shd w:val="clear"/>
        <w:ind w:left="0" w:leftChars="0" w:firstLine="0" w:firstLineChars="0"/>
        <w:rPr>
          <w:rFonts w:hint="eastAsia" w:ascii="宋体" w:hAnsi="宋体" w:eastAsia="宋体" w:cs="宋体"/>
          <w:color w:val="auto"/>
          <w:highlight w:val="none"/>
        </w:rPr>
      </w:pPr>
    </w:p>
    <w:p w14:paraId="60598BF1">
      <w:pPr>
        <w:shd w:val="clear"/>
        <w:ind w:firstLine="0" w:firstLineChars="0"/>
        <w:jc w:val="left"/>
        <w:outlineLvl w:val="9"/>
        <w:rPr>
          <w:rFonts w:hint="eastAsia" w:ascii="宋体" w:hAnsi="宋体" w:eastAsia="宋体" w:cs="宋体"/>
          <w:b/>
          <w:bCs/>
          <w:color w:val="auto"/>
          <w:highlight w:val="none"/>
        </w:rPr>
      </w:pPr>
      <w:bookmarkStart w:id="1649" w:name="_Toc32109"/>
      <w:bookmarkStart w:id="1650" w:name="_Toc5819"/>
      <w:bookmarkStart w:id="1651" w:name="_Toc12285"/>
      <w:bookmarkStart w:id="1652" w:name="_Toc13698"/>
      <w:bookmarkStart w:id="1653" w:name="_Toc16927"/>
      <w:bookmarkStart w:id="1654" w:name="_Toc23694"/>
      <w:bookmarkStart w:id="1655" w:name="_Toc2705"/>
      <w:bookmarkStart w:id="1656" w:name="_Toc25185"/>
      <w:bookmarkStart w:id="1657" w:name="_Toc1264"/>
      <w:bookmarkStart w:id="1658" w:name="_Toc4735"/>
      <w:bookmarkStart w:id="1659" w:name="_Toc32620"/>
      <w:bookmarkStart w:id="1660" w:name="_Toc17497"/>
      <w:bookmarkStart w:id="1661" w:name="_Toc11943"/>
      <w:bookmarkStart w:id="1662" w:name="_Toc16938"/>
      <w:bookmarkStart w:id="1663" w:name="_Toc20743"/>
      <w:bookmarkStart w:id="1664" w:name="_Toc27813"/>
      <w:bookmarkStart w:id="1665" w:name="_Toc22489"/>
      <w:bookmarkStart w:id="1666" w:name="_Toc15407"/>
      <w:bookmarkStart w:id="1667" w:name="_Toc7182"/>
      <w:bookmarkStart w:id="1668" w:name="_Toc14161"/>
      <w:bookmarkStart w:id="1669" w:name="_Toc2851"/>
      <w:bookmarkStart w:id="1670" w:name="_Toc17303"/>
      <w:bookmarkStart w:id="1671" w:name="_Toc3733"/>
      <w:bookmarkStart w:id="1672" w:name="_Toc27978"/>
      <w:bookmarkStart w:id="1673" w:name="_Toc13378"/>
      <w:bookmarkStart w:id="1674" w:name="_Toc30518"/>
      <w:bookmarkStart w:id="1675" w:name="_Toc14869"/>
      <w:bookmarkStart w:id="1676" w:name="_Toc28030"/>
      <w:bookmarkStart w:id="1677" w:name="_Toc2576"/>
      <w:bookmarkStart w:id="1678" w:name="_Toc31515"/>
    </w:p>
    <w:p w14:paraId="68E6A56C">
      <w:pPr>
        <w:shd w:val="clear"/>
        <w:ind w:firstLine="0" w:firstLineChars="0"/>
        <w:jc w:val="left"/>
        <w:outlineLvl w:val="1"/>
        <w:rPr>
          <w:rFonts w:hint="eastAsia" w:ascii="宋体" w:hAnsi="宋体" w:eastAsia="宋体" w:cs="宋体"/>
          <w:color w:val="auto"/>
          <w:highlight w:val="none"/>
        </w:rPr>
      </w:pPr>
      <w:bookmarkStart w:id="1679" w:name="_Toc381"/>
      <w:bookmarkStart w:id="1680" w:name="_Toc17084"/>
      <w:bookmarkStart w:id="1681" w:name="_Toc12386"/>
      <w:r>
        <w:rPr>
          <w:rFonts w:hint="eastAsia" w:ascii="宋体" w:hAnsi="宋体" w:eastAsia="宋体" w:cs="宋体"/>
          <w:b/>
          <w:bCs/>
          <w:color w:val="auto"/>
          <w:highlight w:val="none"/>
        </w:rPr>
        <w:t>附件</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Fonts w:hint="eastAsia" w:ascii="宋体" w:hAnsi="宋体" w:eastAsia="宋体" w:cs="宋体"/>
          <w:b/>
          <w:bCs/>
          <w:color w:val="auto"/>
          <w:highlight w:val="none"/>
        </w:rPr>
        <w:t>4</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14:paraId="16882A4A">
      <w:pPr>
        <w:pStyle w:val="6"/>
        <w:numPr>
          <w:ilvl w:val="1"/>
          <w:numId w:val="0"/>
        </w:numPr>
        <w:shd w:val="clear"/>
        <w:spacing w:before="156" w:after="156"/>
        <w:rPr>
          <w:rFonts w:hint="eastAsia" w:ascii="宋体" w:hAnsi="宋体" w:eastAsia="宋体" w:cs="宋体"/>
          <w:b/>
          <w:bCs w:val="0"/>
          <w:color w:val="auto"/>
          <w:szCs w:val="30"/>
          <w:highlight w:val="none"/>
        </w:rPr>
      </w:pPr>
      <w:bookmarkStart w:id="1682" w:name="_Toc27216"/>
      <w:bookmarkStart w:id="1683" w:name="_Toc17240"/>
      <w:bookmarkStart w:id="1684" w:name="_Toc12490"/>
      <w:bookmarkStart w:id="1685" w:name="_Toc13710"/>
      <w:bookmarkStart w:id="1686" w:name="_Toc19163"/>
      <w:bookmarkStart w:id="1687" w:name="_Toc24741"/>
      <w:bookmarkStart w:id="1688" w:name="_Toc17718"/>
      <w:bookmarkStart w:id="1689" w:name="_Toc1477"/>
      <w:bookmarkStart w:id="1690" w:name="_Toc11205"/>
      <w:bookmarkStart w:id="1691" w:name="_Toc8666"/>
      <w:bookmarkStart w:id="1692" w:name="_Toc18298"/>
      <w:bookmarkStart w:id="1693" w:name="_Toc20688"/>
      <w:bookmarkStart w:id="1694" w:name="_Toc11654"/>
      <w:bookmarkStart w:id="1695" w:name="_Toc27096"/>
      <w:bookmarkStart w:id="1696" w:name="_Toc27449"/>
      <w:bookmarkStart w:id="1697" w:name="_Toc30349"/>
      <w:bookmarkStart w:id="1698" w:name="_Toc20078"/>
      <w:bookmarkStart w:id="1699" w:name="_Toc32680"/>
      <w:bookmarkStart w:id="1700" w:name="_Toc17525"/>
      <w:bookmarkStart w:id="1701" w:name="_Toc12727"/>
      <w:bookmarkStart w:id="1702" w:name="_Toc21652"/>
      <w:bookmarkStart w:id="1703" w:name="_Toc22352"/>
      <w:bookmarkStart w:id="1704" w:name="_Toc4350"/>
      <w:bookmarkStart w:id="1705" w:name="_Toc28549"/>
      <w:bookmarkStart w:id="1706" w:name="_Toc4289"/>
      <w:bookmarkStart w:id="1707" w:name="_Toc27525"/>
      <w:bookmarkStart w:id="1708" w:name="_Toc4815"/>
      <w:bookmarkStart w:id="1709" w:name="_Toc17742"/>
      <w:bookmarkStart w:id="1710" w:name="_Toc22518"/>
      <w:bookmarkStart w:id="1711" w:name="_Toc27721"/>
      <w:bookmarkStart w:id="1712" w:name="_Toc14716"/>
      <w:bookmarkStart w:id="1713" w:name="_Toc4845"/>
      <w:bookmarkStart w:id="1714" w:name="_Toc5122"/>
      <w:r>
        <w:rPr>
          <w:rFonts w:hint="eastAsia" w:ascii="宋体" w:hAnsi="宋体" w:eastAsia="宋体" w:cs="宋体"/>
          <w:b/>
          <w:bCs w:val="0"/>
          <w:color w:val="auto"/>
          <w:szCs w:val="30"/>
          <w:highlight w:val="none"/>
        </w:rPr>
        <w:t>（一）法定代表人身份证明</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0BF3C2D5">
      <w:pPr>
        <w:shd w:val="clear"/>
        <w:spacing w:line="440" w:lineRule="exact"/>
        <w:ind w:firstLine="400"/>
        <w:rPr>
          <w:rFonts w:hint="eastAsia" w:ascii="宋体" w:hAnsi="宋体" w:eastAsia="宋体" w:cs="宋体"/>
          <w:color w:val="auto"/>
          <w:sz w:val="20"/>
          <w:szCs w:val="20"/>
          <w:highlight w:val="none"/>
        </w:rPr>
      </w:pPr>
    </w:p>
    <w:p w14:paraId="35F3A513">
      <w:pPr>
        <w:shd w:val="clear"/>
        <w:spacing w:line="440" w:lineRule="exact"/>
        <w:ind w:firstLine="480"/>
        <w:rPr>
          <w:rFonts w:hint="eastAsia" w:ascii="宋体" w:hAnsi="宋体" w:eastAsia="宋体" w:cs="宋体"/>
          <w:color w:val="auto"/>
          <w:szCs w:val="21"/>
          <w:highlight w:val="none"/>
        </w:rPr>
      </w:pPr>
    </w:p>
    <w:p w14:paraId="6A43D21A">
      <w:pPr>
        <w:shd w:val="clear"/>
        <w:spacing w:line="440" w:lineRule="exact"/>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5D8CC2B">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42DD7FF">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1527F631">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6A9DBB6">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7EC405DF">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39CD0610">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名称）的法定代表人。</w:t>
      </w:r>
    </w:p>
    <w:p w14:paraId="59B8FB20">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45E8FE1">
      <w:pPr>
        <w:shd w:val="clear"/>
        <w:spacing w:line="440" w:lineRule="exact"/>
        <w:ind w:firstLine="480"/>
        <w:rPr>
          <w:rFonts w:hint="eastAsia" w:ascii="宋体" w:hAnsi="宋体" w:eastAsia="宋体" w:cs="宋体"/>
          <w:color w:val="auto"/>
          <w:szCs w:val="21"/>
          <w:highlight w:val="none"/>
        </w:rPr>
      </w:pPr>
    </w:p>
    <w:p w14:paraId="7CE14E40">
      <w:pPr>
        <w:shd w:val="clear"/>
        <w:spacing w:line="440" w:lineRule="exact"/>
        <w:ind w:firstLine="480"/>
        <w:rPr>
          <w:rFonts w:hint="eastAsia" w:ascii="宋体" w:hAnsi="宋体" w:eastAsia="宋体" w:cs="宋体"/>
          <w:color w:val="auto"/>
          <w:szCs w:val="21"/>
          <w:highlight w:val="none"/>
        </w:rPr>
      </w:pPr>
    </w:p>
    <w:p w14:paraId="262B4958">
      <w:pPr>
        <w:shd w:val="clea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5CE2A3B9">
      <w:pPr>
        <w:shd w:val="clear"/>
        <w:ind w:firstLine="0" w:firstLineChars="0"/>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bookmarkStart w:id="1715" w:name="_Toc29611"/>
      <w:bookmarkStart w:id="1716" w:name="_Toc29612"/>
      <w:bookmarkStart w:id="1717" w:name="_Toc6331"/>
      <w:bookmarkStart w:id="1718" w:name="_Toc9135"/>
      <w:bookmarkStart w:id="1719" w:name="_Toc17015"/>
      <w:bookmarkStart w:id="1720" w:name="_Toc25188"/>
      <w:bookmarkStart w:id="1721" w:name="_Toc6606"/>
      <w:bookmarkStart w:id="1722" w:name="_Toc30289"/>
      <w:bookmarkStart w:id="1723" w:name="_Toc21324"/>
      <w:bookmarkStart w:id="1724" w:name="_Toc28523"/>
      <w:bookmarkStart w:id="1725" w:name="_Toc31160"/>
      <w:bookmarkStart w:id="1726" w:name="_Toc12719"/>
      <w:bookmarkStart w:id="1727" w:name="_Toc29594"/>
      <w:bookmarkStart w:id="1728" w:name="_Toc19917"/>
      <w:bookmarkStart w:id="1729" w:name="_Toc2147"/>
      <w:bookmarkStart w:id="1730" w:name="_Toc25643"/>
      <w:bookmarkStart w:id="1731" w:name="_Toc5923"/>
      <w:bookmarkStart w:id="1732" w:name="_Toc29931"/>
      <w:bookmarkStart w:id="1733" w:name="_Toc20713"/>
      <w:bookmarkStart w:id="1734" w:name="_Toc30751"/>
      <w:bookmarkStart w:id="1735" w:name="_Toc9627"/>
      <w:bookmarkStart w:id="1736" w:name="_Toc25026"/>
      <w:bookmarkStart w:id="1737" w:name="_Toc18941"/>
      <w:bookmarkStart w:id="1738" w:name="_Toc18739"/>
      <w:bookmarkStart w:id="1739" w:name="_Toc23723"/>
      <w:bookmarkStart w:id="1740" w:name="_Toc22110"/>
      <w:bookmarkStart w:id="1741" w:name="_Toc23675"/>
      <w:bookmarkStart w:id="1742" w:name="_Toc19264"/>
      <w:bookmarkStart w:id="1743" w:name="_Toc22275"/>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Pr>
          <w:rFonts w:hint="eastAsia" w:ascii="宋体" w:hAnsi="宋体" w:eastAsia="宋体" w:cs="宋体"/>
          <w:color w:val="auto"/>
          <w:szCs w:val="21"/>
          <w:highlight w:val="none"/>
        </w:rPr>
        <w:t xml:space="preserve">      </w:t>
      </w:r>
    </w:p>
    <w:p w14:paraId="16348B4B">
      <w:pPr>
        <w:shd w:val="clear"/>
        <w:ind w:firstLine="0" w:firstLineChars="0"/>
        <w:jc w:val="center"/>
        <w:rPr>
          <w:rFonts w:hint="eastAsia" w:ascii="宋体" w:hAnsi="宋体" w:eastAsia="宋体" w:cs="宋体"/>
          <w:color w:val="auto"/>
          <w:szCs w:val="21"/>
          <w:highlight w:val="none"/>
        </w:rPr>
      </w:pPr>
    </w:p>
    <w:p w14:paraId="31AE4538">
      <w:pPr>
        <w:shd w:val="clear"/>
        <w:ind w:firstLine="0" w:firstLineChars="0"/>
        <w:jc w:val="center"/>
        <w:rPr>
          <w:rFonts w:hint="eastAsia" w:ascii="宋体" w:hAnsi="宋体" w:eastAsia="宋体" w:cs="宋体"/>
          <w:color w:val="auto"/>
          <w:szCs w:val="21"/>
          <w:highlight w:val="none"/>
        </w:rPr>
      </w:pPr>
    </w:p>
    <w:p w14:paraId="10AF7420">
      <w:pPr>
        <w:pStyle w:val="59"/>
        <w:shd w:val="clear"/>
        <w:ind w:left="960" w:firstLine="560"/>
        <w:rPr>
          <w:rFonts w:hint="eastAsia" w:ascii="宋体" w:hAnsi="宋体" w:eastAsia="宋体" w:cs="宋体"/>
          <w:color w:val="auto"/>
          <w:szCs w:val="21"/>
          <w:highlight w:val="none"/>
        </w:rPr>
      </w:pPr>
    </w:p>
    <w:p w14:paraId="68057232">
      <w:pPr>
        <w:shd w:val="clear"/>
        <w:ind w:firstLine="0" w:firstLineChars="0"/>
        <w:jc w:val="center"/>
        <w:rPr>
          <w:rFonts w:hint="eastAsia" w:ascii="宋体" w:hAnsi="宋体" w:eastAsia="宋体" w:cs="宋体"/>
          <w:color w:val="auto"/>
          <w:szCs w:val="21"/>
          <w:highlight w:val="none"/>
        </w:rPr>
      </w:pPr>
    </w:p>
    <w:p w14:paraId="464E58E7">
      <w:pPr>
        <w:shd w:val="clear"/>
        <w:ind w:firstLine="0" w:firstLineChars="0"/>
        <w:jc w:val="center"/>
        <w:rPr>
          <w:rFonts w:hint="eastAsia" w:ascii="宋体" w:hAnsi="宋体" w:eastAsia="宋体" w:cs="宋体"/>
          <w:color w:val="auto"/>
          <w:szCs w:val="21"/>
          <w:highlight w:val="none"/>
        </w:rPr>
      </w:pPr>
    </w:p>
    <w:p w14:paraId="56DC9653">
      <w:pPr>
        <w:shd w:val="clear"/>
        <w:ind w:firstLine="0" w:firstLineChars="0"/>
        <w:jc w:val="center"/>
        <w:rPr>
          <w:rFonts w:hint="eastAsia" w:ascii="宋体" w:hAnsi="宋体" w:eastAsia="宋体" w:cs="宋体"/>
          <w:color w:val="auto"/>
          <w:szCs w:val="21"/>
          <w:highlight w:val="none"/>
        </w:rPr>
      </w:pPr>
    </w:p>
    <w:p w14:paraId="02DA73D5">
      <w:pPr>
        <w:pStyle w:val="3"/>
        <w:shd w:val="clear"/>
        <w:ind w:firstLine="480"/>
        <w:rPr>
          <w:rFonts w:hint="eastAsia" w:ascii="宋体" w:hAnsi="宋体" w:eastAsia="宋体" w:cs="宋体"/>
          <w:color w:val="auto"/>
          <w:szCs w:val="21"/>
          <w:highlight w:val="none"/>
        </w:rPr>
      </w:pPr>
    </w:p>
    <w:p w14:paraId="559664D8">
      <w:pPr>
        <w:pStyle w:val="2"/>
        <w:shd w:val="clear"/>
        <w:ind w:firstLine="210"/>
        <w:rPr>
          <w:rFonts w:hint="eastAsia" w:ascii="宋体" w:hAnsi="宋体" w:eastAsia="宋体" w:cs="宋体"/>
          <w:color w:val="auto"/>
          <w:highlight w:val="none"/>
        </w:rPr>
      </w:pPr>
    </w:p>
    <w:p w14:paraId="4C76A923">
      <w:pPr>
        <w:shd w:val="clear"/>
        <w:ind w:firstLine="480"/>
        <w:rPr>
          <w:rFonts w:hint="eastAsia" w:ascii="宋体" w:hAnsi="宋体" w:eastAsia="宋体" w:cs="宋体"/>
          <w:color w:val="auto"/>
          <w:highlight w:val="none"/>
        </w:rPr>
      </w:pPr>
    </w:p>
    <w:p w14:paraId="76F7B45E">
      <w:pPr>
        <w:shd w:val="clear"/>
        <w:ind w:firstLine="0" w:firstLineChars="0"/>
        <w:rPr>
          <w:rFonts w:hint="eastAsia" w:ascii="宋体" w:hAnsi="宋体" w:eastAsia="宋体" w:cs="宋体"/>
          <w:color w:val="auto"/>
          <w:szCs w:val="21"/>
          <w:highlight w:val="none"/>
        </w:rPr>
      </w:pPr>
    </w:p>
    <w:p w14:paraId="75A6F42E">
      <w:pPr>
        <w:pStyle w:val="40"/>
        <w:shd w:val="clear"/>
        <w:ind w:left="480"/>
        <w:rPr>
          <w:rFonts w:hint="eastAsia" w:ascii="宋体" w:hAnsi="宋体" w:eastAsia="宋体" w:cs="宋体"/>
          <w:color w:val="auto"/>
          <w:highlight w:val="none"/>
        </w:rPr>
      </w:pPr>
    </w:p>
    <w:p w14:paraId="5C9EA477">
      <w:pPr>
        <w:pStyle w:val="41"/>
        <w:shd w:val="clear"/>
        <w:ind w:firstLine="480"/>
        <w:rPr>
          <w:rFonts w:hint="eastAsia" w:ascii="宋体" w:hAnsi="宋体" w:eastAsia="宋体" w:cs="宋体"/>
          <w:color w:val="auto"/>
          <w:szCs w:val="21"/>
          <w:highlight w:val="none"/>
        </w:rPr>
      </w:pPr>
    </w:p>
    <w:p w14:paraId="6A48D087">
      <w:pPr>
        <w:pStyle w:val="42"/>
        <w:shd w:val="clear"/>
        <w:rPr>
          <w:rFonts w:hint="eastAsia" w:ascii="宋体" w:hAnsi="宋体" w:eastAsia="宋体" w:cs="宋体"/>
          <w:color w:val="auto"/>
          <w:szCs w:val="21"/>
          <w:highlight w:val="none"/>
        </w:rPr>
      </w:pPr>
    </w:p>
    <w:p w14:paraId="34BA6CE3">
      <w:pPr>
        <w:shd w:val="clear"/>
        <w:ind w:firstLine="0" w:firstLineChars="0"/>
        <w:jc w:val="center"/>
        <w:outlineLvl w:val="0"/>
        <w:rPr>
          <w:rFonts w:hint="eastAsia" w:ascii="宋体" w:hAnsi="宋体" w:eastAsia="宋体" w:cs="宋体"/>
          <w:b/>
          <w:bCs/>
          <w:color w:val="auto"/>
          <w:sz w:val="30"/>
          <w:szCs w:val="30"/>
          <w:highlight w:val="none"/>
        </w:rPr>
      </w:pPr>
      <w:bookmarkStart w:id="1744" w:name="_Toc32293"/>
      <w:bookmarkStart w:id="1745" w:name="_Toc7792"/>
      <w:bookmarkStart w:id="1746" w:name="_Toc19482"/>
      <w:bookmarkStart w:id="1747" w:name="_Toc16952"/>
      <w:bookmarkStart w:id="1748" w:name="_Toc31005"/>
      <w:bookmarkStart w:id="1749" w:name="_Toc13630"/>
      <w:bookmarkStart w:id="1750" w:name="_Toc8970"/>
      <w:bookmarkStart w:id="1751" w:name="_Toc8998"/>
      <w:bookmarkStart w:id="1752" w:name="_Toc2818"/>
      <w:bookmarkStart w:id="1753" w:name="_Toc31057"/>
      <w:bookmarkStart w:id="1754" w:name="_Toc28688"/>
      <w:bookmarkStart w:id="1755" w:name="_Toc19975"/>
      <w:bookmarkStart w:id="1756" w:name="_Toc28463"/>
      <w:bookmarkStart w:id="1757" w:name="_Toc3393"/>
      <w:bookmarkStart w:id="1758" w:name="_Toc27519"/>
      <w:bookmarkStart w:id="1759" w:name="_Toc32210"/>
      <w:bookmarkStart w:id="1760" w:name="_Toc2013"/>
      <w:bookmarkStart w:id="1761" w:name="_Toc14722"/>
      <w:bookmarkStart w:id="1762" w:name="_Toc27105"/>
      <w:bookmarkStart w:id="1763" w:name="_Toc9938"/>
      <w:bookmarkStart w:id="1764" w:name="_Toc28833"/>
      <w:bookmarkStart w:id="1765" w:name="_Toc16344"/>
      <w:bookmarkStart w:id="1766" w:name="_Toc3231"/>
      <w:bookmarkStart w:id="1767" w:name="_Toc8844"/>
      <w:bookmarkStart w:id="1768" w:name="_Toc7187"/>
      <w:bookmarkStart w:id="1769" w:name="_Toc23043"/>
      <w:bookmarkStart w:id="1770" w:name="_Toc27753"/>
      <w:bookmarkStart w:id="1771" w:name="_Toc11331"/>
      <w:bookmarkStart w:id="1772" w:name="_Toc23747"/>
      <w:r>
        <w:rPr>
          <w:rFonts w:hint="eastAsia" w:ascii="宋体" w:hAnsi="宋体" w:eastAsia="宋体" w:cs="宋体"/>
          <w:b/>
          <w:bCs/>
          <w:color w:val="auto"/>
          <w:sz w:val="30"/>
          <w:szCs w:val="30"/>
          <w:highlight w:val="none"/>
          <w:lang w:val="en-GB"/>
        </w:rPr>
        <w:t>（二）授权委托书</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14:paraId="65D4045D">
      <w:pPr>
        <w:shd w:val="clear"/>
        <w:snapToGrid w:val="0"/>
        <w:ind w:firstLine="482"/>
        <w:jc w:val="center"/>
        <w:rPr>
          <w:rFonts w:hint="eastAsia" w:ascii="宋体" w:hAnsi="宋体" w:eastAsia="宋体" w:cs="宋体"/>
          <w:b/>
          <w:color w:val="auto"/>
          <w:highlight w:val="none"/>
        </w:rPr>
      </w:pPr>
    </w:p>
    <w:p w14:paraId="4C7615E8">
      <w:pPr>
        <w:shd w:val="clea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本人 </w:t>
      </w:r>
      <w:r>
        <w:rPr>
          <w:rFonts w:hint="eastAsia" w:ascii="宋体" w:hAnsi="宋体" w:eastAsia="宋体" w:cs="宋体"/>
          <w:color w:val="auto"/>
          <w:highlight w:val="none"/>
          <w:u w:val="single"/>
          <w:lang w:val="zh-CN"/>
        </w:rPr>
        <w:t xml:space="preserve">      （姓名）  </w:t>
      </w:r>
      <w:r>
        <w:rPr>
          <w:rFonts w:hint="eastAsia" w:ascii="宋体" w:hAnsi="宋体" w:eastAsia="宋体" w:cs="宋体"/>
          <w:color w:val="auto"/>
          <w:highlight w:val="none"/>
          <w:lang w:val="zh-CN"/>
        </w:rPr>
        <w:t>系</w:t>
      </w:r>
      <w:r>
        <w:rPr>
          <w:rFonts w:hint="eastAsia" w:ascii="宋体" w:hAnsi="宋体" w:eastAsia="宋体" w:cs="宋体"/>
          <w:color w:val="auto"/>
          <w:highlight w:val="none"/>
          <w:u w:val="single"/>
          <w:lang w:val="zh-CN"/>
        </w:rPr>
        <w:t xml:space="preserve">        （</w:t>
      </w:r>
      <w:r>
        <w:rPr>
          <w:rFonts w:hint="eastAsia" w:ascii="宋体" w:hAnsi="宋体" w:cs="宋体"/>
          <w:color w:val="auto"/>
          <w:highlight w:val="none"/>
          <w:u w:val="single"/>
          <w:lang w:val="zh-CN"/>
        </w:rPr>
        <w:t>投标人</w:t>
      </w:r>
      <w:r>
        <w:rPr>
          <w:rFonts w:hint="eastAsia" w:ascii="宋体" w:hAnsi="宋体" w:eastAsia="宋体" w:cs="宋体"/>
          <w:color w:val="auto"/>
          <w:highlight w:val="none"/>
          <w:u w:val="single"/>
          <w:lang w:val="zh-CN"/>
        </w:rPr>
        <w:t xml:space="preserve">名称）      </w:t>
      </w:r>
      <w:r>
        <w:rPr>
          <w:rFonts w:hint="eastAsia" w:ascii="宋体" w:hAnsi="宋体" w:eastAsia="宋体" w:cs="宋体"/>
          <w:color w:val="auto"/>
          <w:highlight w:val="none"/>
          <w:lang w:val="zh-CN"/>
        </w:rPr>
        <w:t>的法定代表人，现授权</w:t>
      </w:r>
    </w:p>
    <w:p w14:paraId="3CFB3BF5">
      <w:pPr>
        <w:shd w:val="clear"/>
        <w:ind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 xml:space="preserve">      （姓名）  （   身份证号码   ）</w:t>
      </w:r>
      <w:r>
        <w:rPr>
          <w:rFonts w:hint="eastAsia" w:ascii="宋体" w:hAnsi="宋体" w:eastAsia="宋体" w:cs="宋体"/>
          <w:color w:val="auto"/>
          <w:highlight w:val="none"/>
          <w:lang w:val="zh-CN"/>
        </w:rPr>
        <w:t>为我方代理人。授权代理人根据授权对</w:t>
      </w:r>
    </w:p>
    <w:p w14:paraId="357CA8B4">
      <w:pPr>
        <w:shd w:val="clear"/>
        <w:ind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 xml:space="preserve">      （项目名称）  投</w:t>
      </w:r>
      <w:r>
        <w:rPr>
          <w:rFonts w:hint="eastAsia" w:ascii="宋体" w:hAnsi="宋体" w:eastAsia="宋体" w:cs="宋体"/>
          <w:color w:val="auto"/>
          <w:highlight w:val="none"/>
          <w:lang w:val="zh-CN"/>
        </w:rPr>
        <w:t>标，以我方名义签署、澄清、说明、补正、提交、撤回、修改投标文件，签订合同和处理有关事宜，其法律后果由我方承担。</w:t>
      </w:r>
    </w:p>
    <w:p w14:paraId="7AAD1BAB">
      <w:pPr>
        <w:shd w:val="clear"/>
        <w:ind w:firstLine="480"/>
        <w:rPr>
          <w:rFonts w:hint="eastAsia" w:ascii="宋体" w:hAnsi="宋体" w:eastAsia="宋体" w:cs="宋体"/>
          <w:color w:val="auto"/>
          <w:highlight w:val="none"/>
          <w:lang w:val="zh-CN"/>
        </w:rPr>
      </w:pPr>
    </w:p>
    <w:p w14:paraId="3974755E">
      <w:pPr>
        <w:shd w:val="clea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委托期限：</w:t>
      </w:r>
      <w:r>
        <w:rPr>
          <w:rFonts w:hint="eastAsia" w:ascii="宋体" w:hAnsi="宋体" w:cs="宋体"/>
          <w:color w:val="auto"/>
          <w:highlight w:val="none"/>
          <w:lang w:val="zh-CN"/>
        </w:rPr>
        <w:t>2025</w:t>
      </w:r>
      <w:r>
        <w:rPr>
          <w:rFonts w:hint="eastAsia" w:ascii="宋体" w:hAnsi="宋体" w:eastAsia="宋体" w:cs="宋体"/>
          <w:color w:val="auto"/>
          <w:highlight w:val="none"/>
          <w:lang w:val="zh-CN"/>
        </w:rPr>
        <w:t>年  月  日—202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rPr>
        <w:t xml:space="preserve">年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 xml:space="preserve"> 月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日止。</w:t>
      </w:r>
    </w:p>
    <w:p w14:paraId="2FD9F5A2">
      <w:pPr>
        <w:shd w:val="clea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授权代理人无转委托权。</w:t>
      </w:r>
    </w:p>
    <w:p w14:paraId="21748435">
      <w:pPr>
        <w:shd w:val="clear"/>
        <w:snapToGrid w:val="0"/>
        <w:spacing w:line="312" w:lineRule="auto"/>
        <w:ind w:firstLine="0" w:firstLineChars="0"/>
        <w:rPr>
          <w:rFonts w:hint="eastAsia" w:ascii="宋体" w:hAnsi="宋体" w:eastAsia="宋体" w:cs="宋体"/>
          <w:color w:val="auto"/>
          <w:highlight w:val="none"/>
          <w:lang w:val="zh-CN"/>
        </w:rPr>
      </w:pPr>
    </w:p>
    <w:p w14:paraId="1C98DB9C">
      <w:pPr>
        <w:shd w:val="clear"/>
        <w:snapToGrid w:val="0"/>
        <w:spacing w:line="312" w:lineRule="auto"/>
        <w:ind w:firstLine="480"/>
        <w:rPr>
          <w:rFonts w:hint="eastAsia" w:ascii="宋体" w:hAnsi="宋体" w:eastAsia="宋体" w:cs="宋体"/>
          <w:color w:val="auto"/>
          <w:highlight w:val="none"/>
          <w:lang w:val="zh-CN"/>
        </w:rPr>
      </w:pPr>
    </w:p>
    <w:p w14:paraId="34275372">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名称（盖章）</w:t>
      </w:r>
      <w:r>
        <w:rPr>
          <w:rFonts w:hint="eastAsia" w:ascii="宋体" w:hAnsi="宋体" w:eastAsia="宋体" w:cs="宋体"/>
          <w:color w:val="auto"/>
          <w:highlight w:val="none"/>
          <w:lang w:eastAsia="zh-CN"/>
        </w:rPr>
        <w:t>：</w:t>
      </w:r>
    </w:p>
    <w:p w14:paraId="64371CEF">
      <w:pPr>
        <w:shd w:val="clear"/>
        <w:adjustRightInd w:val="0"/>
        <w:snapToGrid w:val="0"/>
        <w:spacing w:line="360" w:lineRule="auto"/>
        <w:ind w:firstLine="4080" w:firstLineChars="1700"/>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lang w:eastAsia="zh-CN"/>
        </w:rPr>
        <w:t>：</w:t>
      </w:r>
    </w:p>
    <w:p w14:paraId="7BB21A2A">
      <w:pPr>
        <w:shd w:val="clear"/>
        <w:adjustRightInd w:val="0"/>
        <w:snapToGrid w:val="0"/>
        <w:spacing w:line="360" w:lineRule="auto"/>
        <w:ind w:firstLine="4080" w:firstLineChars="1700"/>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法定代表人移动电话</w:t>
      </w:r>
      <w:r>
        <w:rPr>
          <w:rFonts w:hint="eastAsia" w:ascii="宋体" w:hAnsi="宋体" w:eastAsia="宋体" w:cs="宋体"/>
          <w:color w:val="auto"/>
          <w:highlight w:val="none"/>
          <w:lang w:eastAsia="zh-CN"/>
        </w:rPr>
        <w:t>：</w:t>
      </w:r>
    </w:p>
    <w:p w14:paraId="0F77BE79">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val="zh-CN"/>
        </w:rPr>
      </w:pPr>
      <w:r>
        <w:rPr>
          <w:rFonts w:hint="eastAsia" w:ascii="宋体" w:hAnsi="宋体" w:eastAsia="宋体" w:cs="宋体"/>
          <w:color w:val="auto"/>
          <w:highlight w:val="none"/>
        </w:rPr>
        <w:t>授权代理人移动电话</w:t>
      </w:r>
      <w:r>
        <w:rPr>
          <w:rFonts w:hint="eastAsia" w:ascii="宋体" w:hAnsi="宋体" w:eastAsia="宋体" w:cs="宋体"/>
          <w:color w:val="auto"/>
          <w:highlight w:val="none"/>
          <w:lang w:eastAsia="zh-CN"/>
        </w:rPr>
        <w:t>：</w:t>
      </w:r>
    </w:p>
    <w:p w14:paraId="24756341">
      <w:pPr>
        <w:shd w:val="clear"/>
        <w:ind w:right="440" w:firstLine="4080" w:firstLineChars="1700"/>
        <w:rPr>
          <w:rFonts w:hint="eastAsia" w:ascii="宋体" w:hAnsi="宋体" w:eastAsia="宋体" w:cs="宋体"/>
          <w:b/>
          <w:bCs/>
          <w:color w:val="auto"/>
          <w:highlight w:val="none"/>
        </w:rPr>
      </w:pPr>
      <w:r>
        <w:rPr>
          <w:rFonts w:hint="eastAsia" w:ascii="宋体" w:hAnsi="宋体" w:eastAsia="宋体" w:cs="宋体"/>
          <w:bCs/>
          <w:color w:val="auto"/>
          <w:highlight w:val="none"/>
        </w:rPr>
        <w:t>授权委托日期：</w:t>
      </w:r>
      <w:r>
        <w:rPr>
          <w:rFonts w:hint="eastAsia" w:ascii="宋体" w:hAnsi="宋体" w:cs="宋体"/>
          <w:bCs/>
          <w:color w:val="auto"/>
          <w:highlight w:val="none"/>
          <w:lang w:eastAsia="zh-CN"/>
        </w:rPr>
        <w:t>2025</w:t>
      </w:r>
      <w:r>
        <w:rPr>
          <w:rFonts w:hint="eastAsia" w:ascii="宋体" w:hAnsi="宋体" w:eastAsia="宋体" w:cs="宋体"/>
          <w:bCs/>
          <w:color w:val="auto"/>
          <w:highlight w:val="none"/>
        </w:rPr>
        <w:t>年 月  日</w:t>
      </w:r>
    </w:p>
    <w:p w14:paraId="21D2059F">
      <w:pPr>
        <w:shd w:val="clear"/>
        <w:spacing w:line="360" w:lineRule="exact"/>
        <w:ind w:left="2699" w:firstLine="480"/>
        <w:rPr>
          <w:rFonts w:hint="eastAsia" w:ascii="宋体" w:hAnsi="宋体" w:eastAsia="宋体" w:cs="宋体"/>
          <w:color w:val="auto"/>
          <w:kern w:val="0"/>
          <w:highlight w:val="none"/>
        </w:rPr>
      </w:pP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202C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3AB8E637">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799371D3">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3A589C1D">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粘贴法人授权代表身份证复印影印件</w:t>
            </w:r>
          </w:p>
          <w:p w14:paraId="12120953">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4265510B">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tc>
      </w:tr>
    </w:tbl>
    <w:p w14:paraId="21D9AF4A">
      <w:pPr>
        <w:shd w:val="clear"/>
        <w:adjustRightInd w:val="0"/>
        <w:snapToGrid w:val="0"/>
        <w:spacing w:line="360" w:lineRule="exact"/>
        <w:ind w:firstLine="480"/>
        <w:jc w:val="center"/>
        <w:rPr>
          <w:rFonts w:hint="eastAsia" w:ascii="宋体" w:hAnsi="宋体" w:eastAsia="宋体" w:cs="宋体"/>
          <w:color w:val="auto"/>
          <w:kern w:val="0"/>
          <w:highlight w:val="none"/>
          <w:lang w:val="zh-CN"/>
        </w:rPr>
      </w:pPr>
    </w:p>
    <w:p w14:paraId="57A03743">
      <w:pPr>
        <w:shd w:val="clear"/>
        <w:adjustRightInd w:val="0"/>
        <w:snapToGrid w:val="0"/>
        <w:spacing w:line="360" w:lineRule="exact"/>
        <w:ind w:firstLine="480"/>
        <w:jc w:val="center"/>
        <w:rPr>
          <w:rFonts w:hint="eastAsia" w:ascii="宋体" w:hAnsi="宋体" w:eastAsia="宋体" w:cs="宋体"/>
          <w:color w:val="auto"/>
          <w:kern w:val="0"/>
          <w:highlight w:val="none"/>
          <w:lang w:val="zh-CN"/>
        </w:rPr>
      </w:pP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8A4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0C5998E7">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0ADA0408">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391F8B28">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粘贴法人身份证复印影印件</w:t>
            </w:r>
          </w:p>
          <w:p w14:paraId="22DF3B91">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p w14:paraId="0F6881FD">
            <w:pPr>
              <w:keepNext w:val="0"/>
              <w:keepLines w:val="0"/>
              <w:suppressLineNumbers w:val="0"/>
              <w:shd w:val="clear"/>
              <w:adjustRightInd w:val="0"/>
              <w:snapToGrid w:val="0"/>
              <w:spacing w:before="0" w:beforeAutospacing="0" w:after="0" w:afterAutospacing="0" w:line="360" w:lineRule="exact"/>
              <w:ind w:left="0" w:right="0" w:firstLine="480"/>
              <w:jc w:val="center"/>
              <w:rPr>
                <w:rFonts w:hint="eastAsia" w:ascii="宋体" w:hAnsi="宋体" w:eastAsia="宋体" w:cs="宋体"/>
                <w:color w:val="auto"/>
                <w:kern w:val="0"/>
                <w:highlight w:val="none"/>
              </w:rPr>
            </w:pPr>
          </w:p>
        </w:tc>
      </w:tr>
    </w:tbl>
    <w:p w14:paraId="68AAEC56">
      <w:pPr>
        <w:shd w:val="clear"/>
        <w:spacing w:line="420" w:lineRule="exact"/>
        <w:ind w:firstLine="0" w:firstLineChars="0"/>
        <w:jc w:val="both"/>
        <w:outlineLvl w:val="9"/>
        <w:rPr>
          <w:rFonts w:hint="eastAsia" w:ascii="宋体" w:hAnsi="宋体" w:eastAsia="宋体" w:cs="宋体"/>
          <w:b/>
          <w:color w:val="auto"/>
          <w:sz w:val="32"/>
          <w:szCs w:val="32"/>
          <w:highlight w:val="none"/>
        </w:rPr>
      </w:pPr>
    </w:p>
    <w:p w14:paraId="47307C0C">
      <w:pPr>
        <w:shd w:val="clear"/>
        <w:spacing w:line="420" w:lineRule="exact"/>
        <w:ind w:firstLine="0" w:firstLineChars="0"/>
        <w:jc w:val="center"/>
        <w:outlineLvl w:val="9"/>
        <w:rPr>
          <w:rFonts w:hint="eastAsia" w:ascii="宋体" w:hAnsi="宋体" w:eastAsia="宋体" w:cs="宋体"/>
          <w:b/>
          <w:color w:val="auto"/>
          <w:sz w:val="32"/>
          <w:szCs w:val="32"/>
          <w:highlight w:val="none"/>
        </w:rPr>
      </w:pPr>
    </w:p>
    <w:p w14:paraId="11D720A4">
      <w:pPr>
        <w:shd w:val="clear"/>
        <w:spacing w:line="420" w:lineRule="exact"/>
        <w:ind w:firstLine="0" w:firstLineChars="0"/>
        <w:jc w:val="center"/>
        <w:outlineLvl w:val="9"/>
        <w:rPr>
          <w:rFonts w:hint="eastAsia" w:ascii="宋体" w:hAnsi="宋体" w:eastAsia="宋体" w:cs="宋体"/>
          <w:b/>
          <w:color w:val="auto"/>
          <w:sz w:val="32"/>
          <w:szCs w:val="32"/>
          <w:highlight w:val="none"/>
        </w:rPr>
      </w:pPr>
    </w:p>
    <w:p w14:paraId="06CBD400">
      <w:pPr>
        <w:ind w:firstLine="0" w:firstLineChars="0"/>
        <w:jc w:val="left"/>
        <w:outlineLvl w:val="2"/>
        <w:rPr>
          <w:rFonts w:ascii="宋体" w:hAnsi="宋体" w:cs="宋体"/>
          <w:color w:val="auto"/>
          <w:highlight w:val="none"/>
        </w:rPr>
      </w:pPr>
      <w:bookmarkStart w:id="1773" w:name="_Toc19692"/>
      <w:bookmarkStart w:id="1774" w:name="_Toc18928"/>
      <w:r>
        <w:rPr>
          <w:rFonts w:hint="eastAsia" w:ascii="宋体" w:hAnsi="宋体" w:cs="宋体"/>
          <w:b/>
          <w:bCs/>
          <w:color w:val="auto"/>
          <w:highlight w:val="none"/>
        </w:rPr>
        <w:t>附件5</w:t>
      </w:r>
    </w:p>
    <w:p w14:paraId="78ECCA43">
      <w:pPr>
        <w:spacing w:line="360" w:lineRule="auto"/>
        <w:ind w:firstLine="643"/>
        <w:jc w:val="center"/>
        <w:outlineLvl w:val="1"/>
        <w:rPr>
          <w:rFonts w:ascii="宋体" w:hAnsi="宋体"/>
          <w:b/>
          <w:color w:val="auto"/>
          <w:sz w:val="32"/>
          <w:szCs w:val="32"/>
          <w:highlight w:val="none"/>
        </w:rPr>
      </w:pPr>
      <w:bookmarkStart w:id="1775" w:name="_Toc11283"/>
      <w:bookmarkStart w:id="1776" w:name="_Toc10185"/>
      <w:r>
        <w:rPr>
          <w:rFonts w:hint="eastAsia" w:ascii="宋体" w:hAnsi="宋体" w:cs="宋体"/>
          <w:b/>
          <w:bCs/>
          <w:color w:val="auto"/>
          <w:sz w:val="32"/>
          <w:szCs w:val="32"/>
          <w:highlight w:val="none"/>
        </w:rPr>
        <w:t>联合体协议书</w:t>
      </w:r>
      <w:r>
        <w:rPr>
          <w:rFonts w:hint="eastAsia" w:ascii="宋体" w:hAnsi="宋体"/>
          <w:b/>
          <w:color w:val="auto"/>
          <w:sz w:val="32"/>
          <w:szCs w:val="32"/>
          <w:highlight w:val="none"/>
        </w:rPr>
        <w:t>（如有）</w:t>
      </w:r>
      <w:bookmarkEnd w:id="1775"/>
      <w:bookmarkEnd w:id="1776"/>
    </w:p>
    <w:p w14:paraId="1FF5B82F">
      <w:pPr>
        <w:pStyle w:val="2"/>
        <w:ind w:firstLine="210"/>
        <w:rPr>
          <w:color w:val="auto"/>
          <w:highlight w:val="none"/>
        </w:rPr>
      </w:pPr>
    </w:p>
    <w:p w14:paraId="618C9A7C">
      <w:pPr>
        <w:snapToGrid w:val="0"/>
        <w:spacing w:line="360" w:lineRule="auto"/>
        <w:ind w:firstLine="480"/>
        <w:rPr>
          <w:rFonts w:ascii="宋体" w:hAnsi="宋体"/>
          <w:color w:val="auto"/>
          <w:highlight w:val="none"/>
        </w:rPr>
      </w:pPr>
      <w:r>
        <w:rPr>
          <w:rFonts w:ascii="宋体" w:hAnsi="宋体"/>
          <w:color w:val="auto"/>
          <w:highlight w:val="none"/>
          <w:u w:val="single"/>
        </w:rPr>
        <w:t>（所有成员单位名称）</w:t>
      </w:r>
      <w:r>
        <w:rPr>
          <w:rFonts w:ascii="宋体" w:hAnsi="宋体"/>
          <w:color w:val="auto"/>
          <w:highlight w:val="none"/>
        </w:rPr>
        <w:t>自愿组成联合体，共同参加</w:t>
      </w:r>
      <w:r>
        <w:rPr>
          <w:rFonts w:ascii="宋体" w:hAnsi="宋体"/>
          <w:color w:val="auto"/>
          <w:highlight w:val="none"/>
          <w:u w:val="single"/>
        </w:rPr>
        <w:t xml:space="preserve"> （项目名称）</w:t>
      </w:r>
      <w:r>
        <w:rPr>
          <w:rFonts w:ascii="宋体" w:hAnsi="宋体"/>
          <w:color w:val="auto"/>
          <w:highlight w:val="none"/>
        </w:rPr>
        <w:t>投标。现就联合体投标事宜订立如下协议。</w:t>
      </w:r>
    </w:p>
    <w:p w14:paraId="3484F90A">
      <w:pPr>
        <w:snapToGrid w:val="0"/>
        <w:spacing w:line="360" w:lineRule="auto"/>
        <w:ind w:firstLine="480"/>
        <w:rPr>
          <w:rFonts w:ascii="宋体" w:hAnsi="宋体"/>
          <w:color w:val="auto"/>
          <w:highlight w:val="none"/>
        </w:rPr>
      </w:pPr>
      <w:r>
        <w:rPr>
          <w:rFonts w:ascii="宋体" w:hAnsi="宋体"/>
          <w:color w:val="auto"/>
          <w:highlight w:val="none"/>
        </w:rPr>
        <w:t>1.</w:t>
      </w:r>
      <w:r>
        <w:rPr>
          <w:rFonts w:ascii="宋体" w:hAnsi="宋体"/>
          <w:color w:val="auto"/>
          <w:highlight w:val="none"/>
          <w:u w:val="single"/>
        </w:rPr>
        <w:t>（某成员单位名称）</w:t>
      </w:r>
      <w:r>
        <w:rPr>
          <w:rFonts w:ascii="宋体" w:hAnsi="宋体"/>
          <w:color w:val="auto"/>
          <w:highlight w:val="none"/>
        </w:rPr>
        <w:t>为牵头人。</w:t>
      </w:r>
    </w:p>
    <w:p w14:paraId="359E9E04">
      <w:pPr>
        <w:snapToGrid w:val="0"/>
        <w:spacing w:line="360" w:lineRule="auto"/>
        <w:ind w:firstLine="480"/>
        <w:rPr>
          <w:rFonts w:ascii="宋体" w:hAnsi="宋体"/>
          <w:color w:val="auto"/>
          <w:highlight w:val="none"/>
        </w:rPr>
      </w:pPr>
      <w:r>
        <w:rPr>
          <w:rFonts w:ascii="宋体" w:hAnsi="宋体"/>
          <w:color w:val="auto"/>
          <w:highlight w:val="none"/>
        </w:rPr>
        <w:t>2．联合体牵头人合法代表联合体各成员负责本项目招标文件递交和合同谈判活动，并代表联合体提交和接受相关的资料、信息及指示，并处理与之有关的一切事务，并负责合同实施阶段的主办、组织和协调工作。</w:t>
      </w:r>
    </w:p>
    <w:p w14:paraId="0ED0A9ED">
      <w:pPr>
        <w:snapToGrid w:val="0"/>
        <w:spacing w:line="360" w:lineRule="auto"/>
        <w:ind w:firstLine="480"/>
        <w:rPr>
          <w:rFonts w:ascii="宋体" w:hAnsi="宋体"/>
          <w:color w:val="auto"/>
          <w:highlight w:val="none"/>
        </w:rPr>
      </w:pPr>
      <w:r>
        <w:rPr>
          <w:rFonts w:ascii="宋体" w:hAnsi="宋体"/>
          <w:color w:val="auto"/>
          <w:highlight w:val="none"/>
        </w:rPr>
        <w:t>3.联合体将严格按照招标文件的各项要求，递交投标文件，履行合同，并对外承担连带责任。</w:t>
      </w:r>
    </w:p>
    <w:p w14:paraId="322D565D">
      <w:pPr>
        <w:snapToGrid w:val="0"/>
        <w:spacing w:line="360" w:lineRule="auto"/>
        <w:ind w:firstLine="480"/>
        <w:rPr>
          <w:rFonts w:ascii="宋体" w:hAnsi="宋体"/>
          <w:color w:val="auto"/>
          <w:highlight w:val="none"/>
        </w:rPr>
      </w:pPr>
      <w:r>
        <w:rPr>
          <w:rFonts w:ascii="宋体" w:hAnsi="宋体"/>
          <w:color w:val="auto"/>
          <w:highlight w:val="none"/>
        </w:rPr>
        <w:t>4.联合体牵头人代表联合体签署投标文件，联合体牵头人的所有承诺均认为代表了联合体各成员。</w:t>
      </w:r>
    </w:p>
    <w:p w14:paraId="370634E2">
      <w:pPr>
        <w:wordWrap w:val="0"/>
        <w:snapToGrid w:val="0"/>
        <w:spacing w:line="360" w:lineRule="auto"/>
        <w:ind w:firstLine="480"/>
        <w:rPr>
          <w:rFonts w:ascii="宋体" w:hAnsi="宋体"/>
          <w:color w:val="auto"/>
          <w:highlight w:val="none"/>
        </w:rPr>
      </w:pPr>
      <w:r>
        <w:rPr>
          <w:rFonts w:ascii="宋体" w:hAnsi="宋体"/>
          <w:color w:val="auto"/>
          <w:highlight w:val="none"/>
        </w:rPr>
        <w:t>5.联合体各成员单位内部的职责分工如下：</w:t>
      </w:r>
      <w:r>
        <w:rPr>
          <w:rFonts w:ascii="宋体" w:hAnsi="宋体"/>
          <w:color w:val="auto"/>
          <w:highlight w:val="none"/>
          <w:u w:val="single"/>
        </w:rPr>
        <w:t xml:space="preserve"> （牵头人名称） </w:t>
      </w:r>
      <w:r>
        <w:rPr>
          <w:rFonts w:ascii="宋体" w:hAnsi="宋体"/>
          <w:color w:val="auto"/>
          <w:highlight w:val="none"/>
        </w:rPr>
        <w:t>承担</w:t>
      </w:r>
      <w:r>
        <w:rPr>
          <w:rFonts w:hint="eastAsia" w:ascii="宋体" w:hAnsi="宋体"/>
          <w:color w:val="auto"/>
          <w:highlight w:val="none"/>
        </w:rPr>
        <w:t>的</w:t>
      </w:r>
      <w:r>
        <w:rPr>
          <w:rFonts w:ascii="宋体" w:hAnsi="宋体"/>
          <w:color w:val="auto"/>
          <w:highlight w:val="none"/>
        </w:rPr>
        <w:t>工作内容</w:t>
      </w:r>
      <w:r>
        <w:rPr>
          <w:rFonts w:hint="eastAsia" w:ascii="宋体" w:hAnsi="宋体"/>
          <w:color w:val="auto"/>
          <w:highlight w:val="none"/>
        </w:rPr>
        <w:t>：</w:t>
      </w:r>
      <w:r>
        <w:rPr>
          <w:rFonts w:hint="eastAsia"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（成员名称） </w:t>
      </w:r>
      <w:r>
        <w:rPr>
          <w:rFonts w:ascii="宋体" w:hAnsi="宋体"/>
          <w:color w:val="auto"/>
          <w:highlight w:val="none"/>
        </w:rPr>
        <w:t>承担</w:t>
      </w:r>
      <w:r>
        <w:rPr>
          <w:rFonts w:hint="eastAsia" w:ascii="宋体" w:hAnsi="宋体"/>
          <w:color w:val="auto"/>
          <w:highlight w:val="none"/>
        </w:rPr>
        <w:t>的</w:t>
      </w:r>
      <w:r>
        <w:rPr>
          <w:rFonts w:ascii="宋体" w:hAnsi="宋体"/>
          <w:color w:val="auto"/>
          <w:highlight w:val="none"/>
        </w:rPr>
        <w:t>工作内容</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w:t>
      </w:r>
    </w:p>
    <w:p w14:paraId="5A49091D">
      <w:pPr>
        <w:snapToGrid w:val="0"/>
        <w:spacing w:line="360" w:lineRule="auto"/>
        <w:ind w:firstLine="480"/>
        <w:rPr>
          <w:rFonts w:ascii="宋体" w:hAnsi="宋体"/>
          <w:color w:val="auto"/>
          <w:highlight w:val="none"/>
        </w:rPr>
      </w:pPr>
      <w:r>
        <w:rPr>
          <w:rFonts w:ascii="宋体" w:hAnsi="宋体"/>
          <w:color w:val="auto"/>
          <w:highlight w:val="none"/>
        </w:rPr>
        <w:t>6.投标工作和联合体在中标后工程实施过程中的有关费用按各自承担的工作量分摊。</w:t>
      </w:r>
    </w:p>
    <w:p w14:paraId="71C0A129">
      <w:pPr>
        <w:snapToGrid w:val="0"/>
        <w:spacing w:line="360" w:lineRule="auto"/>
        <w:ind w:firstLine="480"/>
        <w:rPr>
          <w:rFonts w:ascii="宋体" w:hAnsi="宋体"/>
          <w:color w:val="auto"/>
          <w:highlight w:val="none"/>
        </w:rPr>
      </w:pPr>
      <w:r>
        <w:rPr>
          <w:rFonts w:ascii="宋体" w:hAnsi="宋体"/>
          <w:color w:val="auto"/>
          <w:highlight w:val="none"/>
        </w:rPr>
        <w:t>7.本协议书自签署之日起生效，合同履行完毕后自动失效。</w:t>
      </w:r>
    </w:p>
    <w:p w14:paraId="4453A8E0">
      <w:pPr>
        <w:snapToGrid w:val="0"/>
        <w:spacing w:line="360" w:lineRule="auto"/>
        <w:ind w:firstLine="480"/>
        <w:rPr>
          <w:rFonts w:ascii="宋体" w:hAnsi="宋体"/>
          <w:color w:val="auto"/>
          <w:highlight w:val="none"/>
        </w:rPr>
      </w:pPr>
      <w:r>
        <w:rPr>
          <w:rFonts w:ascii="宋体" w:hAnsi="宋体"/>
          <w:color w:val="auto"/>
          <w:highlight w:val="none"/>
        </w:rPr>
        <w:t>8.本协议一式</w:t>
      </w:r>
      <w:r>
        <w:rPr>
          <w:rFonts w:hint="eastAsia" w:ascii="宋体" w:hAnsi="宋体"/>
          <w:color w:val="auto"/>
          <w:highlight w:val="none"/>
          <w:u w:val="single"/>
        </w:rPr>
        <w:t xml:space="preserve">    </w:t>
      </w:r>
      <w:r>
        <w:rPr>
          <w:rFonts w:ascii="宋体" w:hAnsi="宋体"/>
          <w:color w:val="auto"/>
          <w:highlight w:val="none"/>
        </w:rPr>
        <w:t>份，联合体成员和</w:t>
      </w:r>
      <w:r>
        <w:rPr>
          <w:rFonts w:hint="eastAsia" w:ascii="宋体" w:hAnsi="宋体"/>
          <w:color w:val="auto"/>
          <w:highlight w:val="none"/>
          <w:lang w:eastAsia="zh-CN"/>
        </w:rPr>
        <w:t>采购人</w:t>
      </w:r>
      <w:r>
        <w:rPr>
          <w:rFonts w:ascii="宋体" w:hAnsi="宋体"/>
          <w:color w:val="auto"/>
          <w:highlight w:val="none"/>
        </w:rPr>
        <w:t>各执</w:t>
      </w:r>
      <w:r>
        <w:rPr>
          <w:rFonts w:hint="eastAsia" w:ascii="宋体" w:hAnsi="宋体"/>
          <w:color w:val="auto"/>
          <w:highlight w:val="none"/>
          <w:u w:val="single"/>
        </w:rPr>
        <w:t xml:space="preserve">    </w:t>
      </w:r>
      <w:r>
        <w:rPr>
          <w:rFonts w:ascii="宋体" w:hAnsi="宋体"/>
          <w:color w:val="auto"/>
          <w:highlight w:val="none"/>
        </w:rPr>
        <w:t>份。</w:t>
      </w:r>
    </w:p>
    <w:p w14:paraId="2D6859BB">
      <w:pPr>
        <w:snapToGrid w:val="0"/>
        <w:ind w:firstLine="480"/>
        <w:rPr>
          <w:rFonts w:ascii="宋体" w:hAnsi="宋体"/>
          <w:color w:val="auto"/>
          <w:highlight w:val="none"/>
        </w:rPr>
      </w:pPr>
      <w:r>
        <w:rPr>
          <w:rFonts w:ascii="宋体" w:hAnsi="宋体"/>
          <w:color w:val="auto"/>
          <w:highlight w:val="none"/>
        </w:rPr>
        <w:t>牵头人名称：（盖章单位）</w:t>
      </w:r>
    </w:p>
    <w:p w14:paraId="418472D8">
      <w:pPr>
        <w:snapToGrid w:val="0"/>
        <w:ind w:firstLine="480"/>
        <w:rPr>
          <w:rFonts w:ascii="宋体" w:hAnsi="宋体"/>
          <w:color w:val="auto"/>
          <w:highlight w:val="none"/>
        </w:rPr>
      </w:pPr>
      <w:r>
        <w:rPr>
          <w:rFonts w:ascii="宋体" w:hAnsi="宋体"/>
          <w:color w:val="auto"/>
          <w:highlight w:val="none"/>
        </w:rPr>
        <w:t>法定代表人：（盖章）</w:t>
      </w:r>
    </w:p>
    <w:p w14:paraId="2C7FCFA7">
      <w:pPr>
        <w:snapToGrid w:val="0"/>
        <w:ind w:firstLine="480"/>
        <w:rPr>
          <w:rFonts w:ascii="宋体" w:hAnsi="宋体"/>
          <w:color w:val="auto"/>
          <w:highlight w:val="none"/>
        </w:rPr>
      </w:pPr>
    </w:p>
    <w:p w14:paraId="7388FB47">
      <w:pPr>
        <w:snapToGrid w:val="0"/>
        <w:ind w:firstLine="480"/>
        <w:rPr>
          <w:rFonts w:ascii="宋体" w:hAnsi="宋体"/>
          <w:color w:val="auto"/>
          <w:highlight w:val="none"/>
        </w:rPr>
      </w:pPr>
      <w:r>
        <w:rPr>
          <w:rFonts w:ascii="宋体" w:hAnsi="宋体"/>
          <w:color w:val="auto"/>
          <w:highlight w:val="none"/>
        </w:rPr>
        <w:t>成员名称：（盖章单位）</w:t>
      </w:r>
    </w:p>
    <w:p w14:paraId="1E12C91E">
      <w:pPr>
        <w:snapToGrid w:val="0"/>
        <w:ind w:firstLine="480"/>
        <w:rPr>
          <w:rFonts w:ascii="宋体" w:hAnsi="宋体"/>
          <w:color w:val="auto"/>
          <w:highlight w:val="none"/>
        </w:rPr>
      </w:pPr>
      <w:r>
        <w:rPr>
          <w:rFonts w:ascii="宋体" w:hAnsi="宋体"/>
          <w:color w:val="auto"/>
          <w:highlight w:val="none"/>
        </w:rPr>
        <w:t>法定代表人：（盖章）</w:t>
      </w:r>
    </w:p>
    <w:p w14:paraId="1C4787FE">
      <w:pPr>
        <w:snapToGrid w:val="0"/>
        <w:ind w:firstLine="6000" w:firstLineChars="2500"/>
        <w:rPr>
          <w:rFonts w:ascii="宋体" w:hAnsi="宋体"/>
          <w:color w:val="auto"/>
          <w:highlight w:val="none"/>
        </w:rPr>
      </w:pPr>
      <w:r>
        <w:rPr>
          <w:rFonts w:ascii="宋体" w:hAnsi="宋体"/>
          <w:color w:val="auto"/>
          <w:highlight w:val="none"/>
        </w:rPr>
        <w:t>年     月       日</w:t>
      </w:r>
    </w:p>
    <w:p w14:paraId="3FD59870">
      <w:pPr>
        <w:ind w:firstLine="5688" w:firstLineChars="2370"/>
        <w:rPr>
          <w:rFonts w:ascii="宋体" w:hAnsi="宋体" w:cs="宋体"/>
          <w:color w:val="auto"/>
          <w:highlight w:val="none"/>
        </w:rPr>
      </w:pPr>
    </w:p>
    <w:p w14:paraId="38112628">
      <w:pPr>
        <w:pStyle w:val="24"/>
        <w:ind w:left="0" w:leftChars="0" w:firstLine="0" w:firstLineChars="0"/>
        <w:rPr>
          <w:b/>
          <w:bCs/>
          <w:color w:val="auto"/>
          <w:sz w:val="30"/>
          <w:szCs w:val="30"/>
          <w:highlight w:val="none"/>
        </w:rPr>
      </w:pPr>
      <w:r>
        <w:rPr>
          <w:rFonts w:hint="eastAsia"/>
          <w:b/>
          <w:bCs/>
          <w:color w:val="auto"/>
          <w:highlight w:val="none"/>
        </w:rPr>
        <w:t>注：各联合体成员共同盖章后，再扫描上传由联合体牵头人加盖法定代表人电子章和单位电子公章。</w:t>
      </w:r>
    </w:p>
    <w:p w14:paraId="2728DE79">
      <w:pPr>
        <w:shd w:val="clear"/>
        <w:spacing w:line="420" w:lineRule="exact"/>
        <w:ind w:firstLine="0" w:firstLineChars="0"/>
        <w:jc w:val="center"/>
        <w:outlineLvl w:val="9"/>
        <w:rPr>
          <w:rFonts w:hint="eastAsia" w:ascii="宋体" w:hAnsi="宋体" w:eastAsia="宋体" w:cs="宋体"/>
          <w:b/>
          <w:color w:val="auto"/>
          <w:sz w:val="32"/>
          <w:szCs w:val="32"/>
          <w:highlight w:val="none"/>
        </w:rPr>
      </w:pPr>
    </w:p>
    <w:p w14:paraId="3E6BC44D">
      <w:pPr>
        <w:shd w:val="clear"/>
        <w:spacing w:line="420" w:lineRule="exact"/>
        <w:ind w:firstLine="0" w:firstLineChars="0"/>
        <w:jc w:val="center"/>
        <w:outlineLvl w:val="0"/>
        <w:rPr>
          <w:rFonts w:hint="eastAsia" w:ascii="宋体" w:hAnsi="宋体" w:eastAsia="宋体" w:cs="宋体"/>
          <w:b/>
          <w:color w:val="auto"/>
          <w:sz w:val="32"/>
          <w:szCs w:val="32"/>
          <w:highlight w:val="none"/>
        </w:rPr>
      </w:pPr>
      <w:bookmarkStart w:id="1777" w:name="_Toc11834"/>
      <w:r>
        <w:rPr>
          <w:rFonts w:hint="eastAsia" w:ascii="宋体" w:hAnsi="宋体" w:eastAsia="宋体" w:cs="宋体"/>
          <w:b/>
          <w:color w:val="auto"/>
          <w:sz w:val="32"/>
          <w:szCs w:val="32"/>
          <w:highlight w:val="none"/>
        </w:rPr>
        <w:t>资信技术文件封面格式</w:t>
      </w:r>
      <w:bookmarkEnd w:id="1553"/>
      <w:bookmarkEnd w:id="1554"/>
      <w:bookmarkEnd w:id="1555"/>
      <w:bookmarkEnd w:id="1556"/>
      <w:bookmarkEnd w:id="1557"/>
      <w:bookmarkEnd w:id="1558"/>
      <w:bookmarkEnd w:id="1559"/>
      <w:bookmarkEnd w:id="1560"/>
      <w:bookmarkEnd w:id="1561"/>
      <w:bookmarkEnd w:id="1562"/>
      <w:bookmarkEnd w:id="1563"/>
      <w:bookmarkEnd w:id="1575"/>
      <w:bookmarkEnd w:id="1576"/>
      <w:bookmarkEnd w:id="1577"/>
      <w:bookmarkEnd w:id="1578"/>
      <w:bookmarkEnd w:id="1603"/>
      <w:bookmarkEnd w:id="1604"/>
      <w:bookmarkEnd w:id="1605"/>
      <w:bookmarkEnd w:id="1606"/>
      <w:bookmarkEnd w:id="1607"/>
      <w:bookmarkEnd w:id="1608"/>
      <w:bookmarkEnd w:id="1773"/>
      <w:bookmarkEnd w:id="1774"/>
      <w:bookmarkEnd w:id="1777"/>
    </w:p>
    <w:p w14:paraId="42052061">
      <w:pPr>
        <w:pStyle w:val="27"/>
        <w:shd w:val="clear"/>
        <w:spacing w:line="420" w:lineRule="exact"/>
        <w:ind w:left="120" w:leftChars="50" w:firstLine="3855" w:firstLineChars="1200"/>
        <w:jc w:val="left"/>
        <w:rPr>
          <w:rFonts w:hint="eastAsia" w:ascii="宋体" w:hAnsi="宋体" w:eastAsia="宋体" w:cs="宋体"/>
          <w:color w:val="auto"/>
          <w:sz w:val="32"/>
          <w:highlight w:val="none"/>
        </w:rPr>
      </w:pPr>
    </w:p>
    <w:p w14:paraId="50BEB78E">
      <w:pPr>
        <w:shd w:val="clear"/>
        <w:spacing w:line="420" w:lineRule="exact"/>
        <w:ind w:firstLine="640"/>
        <w:jc w:val="center"/>
        <w:rPr>
          <w:rFonts w:hint="eastAsia" w:ascii="宋体" w:hAnsi="宋体" w:eastAsia="宋体" w:cs="宋体"/>
          <w:color w:val="auto"/>
          <w:sz w:val="32"/>
          <w:szCs w:val="32"/>
          <w:highlight w:val="none"/>
        </w:rPr>
      </w:pPr>
    </w:p>
    <w:p w14:paraId="2DBB1699">
      <w:pPr>
        <w:shd w:val="clear"/>
        <w:spacing w:line="420" w:lineRule="exact"/>
        <w:ind w:firstLine="0" w:firstLineChars="0"/>
        <w:jc w:val="center"/>
        <w:outlineLvl w:val="0"/>
        <w:rPr>
          <w:rFonts w:hint="eastAsia" w:ascii="宋体" w:hAnsi="宋体" w:eastAsia="宋体" w:cs="宋体"/>
          <w:color w:val="auto"/>
          <w:sz w:val="84"/>
          <w:highlight w:val="none"/>
        </w:rPr>
      </w:pPr>
      <w:bookmarkStart w:id="1778" w:name="_Toc32632"/>
      <w:bookmarkStart w:id="1779" w:name="_Toc24510"/>
      <w:bookmarkStart w:id="1780" w:name="_Toc18951"/>
      <w:bookmarkStart w:id="1781" w:name="_Toc16298"/>
      <w:bookmarkStart w:id="1782" w:name="_Toc31402"/>
      <w:bookmarkStart w:id="1783" w:name="_Toc17716"/>
      <w:bookmarkStart w:id="1784" w:name="_Toc5060"/>
      <w:bookmarkStart w:id="1785" w:name="_Toc26504"/>
      <w:bookmarkStart w:id="1786" w:name="_Toc25462"/>
      <w:bookmarkStart w:id="1787" w:name="_Toc27400"/>
      <w:bookmarkStart w:id="1788" w:name="_Toc4476"/>
      <w:bookmarkStart w:id="1789" w:name="_Toc26748"/>
      <w:bookmarkStart w:id="1790" w:name="_Toc2791"/>
      <w:bookmarkStart w:id="1791" w:name="_Toc25944"/>
      <w:bookmarkStart w:id="1792" w:name="_Toc22913"/>
      <w:bookmarkStart w:id="1793" w:name="_Toc8725"/>
      <w:bookmarkStart w:id="1794" w:name="_Toc20172"/>
      <w:bookmarkStart w:id="1795" w:name="_Toc28777"/>
      <w:bookmarkStart w:id="1796" w:name="_Toc7283"/>
      <w:bookmarkStart w:id="1797" w:name="_Toc8237"/>
      <w:bookmarkStart w:id="1798" w:name="_Toc31578"/>
      <w:bookmarkStart w:id="1799" w:name="_Toc9534"/>
      <w:bookmarkStart w:id="1800" w:name="_Toc27765"/>
      <w:bookmarkStart w:id="1801" w:name="_Toc12123"/>
      <w:r>
        <w:rPr>
          <w:rFonts w:hint="eastAsia" w:ascii="宋体" w:hAnsi="宋体" w:eastAsia="宋体" w:cs="宋体"/>
          <w:color w:val="auto"/>
          <w:sz w:val="32"/>
          <w:szCs w:val="32"/>
          <w:highlight w:val="none"/>
        </w:rPr>
        <w:t>正本或副本</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2C91D366">
      <w:pPr>
        <w:shd w:val="clear"/>
        <w:spacing w:line="420" w:lineRule="exact"/>
        <w:ind w:firstLine="883"/>
        <w:rPr>
          <w:rFonts w:hint="eastAsia" w:ascii="宋体" w:hAnsi="宋体" w:eastAsia="宋体" w:cs="宋体"/>
          <w:b/>
          <w:color w:val="auto"/>
          <w:sz w:val="44"/>
          <w:szCs w:val="44"/>
          <w:highlight w:val="none"/>
        </w:rPr>
      </w:pPr>
    </w:p>
    <w:p w14:paraId="04010DC5">
      <w:pPr>
        <w:shd w:val="clear"/>
        <w:ind w:firstLine="480"/>
        <w:rPr>
          <w:rFonts w:hint="eastAsia" w:ascii="宋体" w:hAnsi="宋体" w:eastAsia="宋体" w:cs="宋体"/>
          <w:color w:val="auto"/>
          <w:highlight w:val="none"/>
        </w:rPr>
      </w:pPr>
    </w:p>
    <w:p w14:paraId="61EBD824">
      <w:pPr>
        <w:pStyle w:val="6"/>
        <w:numPr>
          <w:ilvl w:val="255"/>
          <w:numId w:val="0"/>
        </w:numPr>
        <w:shd w:val="clear"/>
        <w:spacing w:before="156" w:after="156"/>
        <w:jc w:val="both"/>
        <w:outlineLvl w:val="9"/>
        <w:rPr>
          <w:rFonts w:hint="eastAsia" w:ascii="宋体" w:hAnsi="宋体" w:eastAsia="宋体" w:cs="宋体"/>
          <w:color w:val="auto"/>
          <w:highlight w:val="none"/>
        </w:rPr>
      </w:pPr>
    </w:p>
    <w:p w14:paraId="5053DA5D">
      <w:pPr>
        <w:shd w:val="clear"/>
        <w:ind w:firstLine="480"/>
        <w:rPr>
          <w:rFonts w:hint="eastAsia" w:ascii="宋体" w:hAnsi="宋体" w:eastAsia="宋体" w:cs="宋体"/>
          <w:color w:val="auto"/>
          <w:highlight w:val="none"/>
        </w:rPr>
      </w:pPr>
    </w:p>
    <w:p w14:paraId="7DFAD7CF">
      <w:pPr>
        <w:shd w:val="clear"/>
        <w:spacing w:line="240" w:lineRule="auto"/>
        <w:ind w:firstLine="0" w:firstLineChars="0"/>
        <w:jc w:val="center"/>
        <w:rPr>
          <w:rFonts w:hint="eastAsia" w:ascii="宋体" w:hAnsi="宋体" w:eastAsia="宋体" w:cs="宋体"/>
          <w:b/>
          <w:bCs/>
          <w:color w:val="auto"/>
          <w:sz w:val="72"/>
          <w:szCs w:val="72"/>
          <w:highlight w:val="none"/>
        </w:rPr>
      </w:pPr>
    </w:p>
    <w:p w14:paraId="1B791F9F">
      <w:pPr>
        <w:shd w:val="clear"/>
        <w:spacing w:line="240" w:lineRule="auto"/>
        <w:ind w:firstLine="0" w:firstLineChars="0"/>
        <w:jc w:val="center"/>
        <w:outlineLvl w:val="1"/>
        <w:rPr>
          <w:rFonts w:hint="eastAsia" w:ascii="宋体" w:hAnsi="宋体" w:eastAsia="宋体" w:cs="宋体"/>
          <w:b/>
          <w:bCs/>
          <w:color w:val="auto"/>
          <w:sz w:val="72"/>
          <w:szCs w:val="72"/>
          <w:highlight w:val="none"/>
        </w:rPr>
      </w:pPr>
      <w:bookmarkStart w:id="1802" w:name="_Toc32267"/>
      <w:bookmarkStart w:id="1803" w:name="_Toc19963"/>
      <w:bookmarkStart w:id="1804" w:name="_Toc8940"/>
      <w:bookmarkStart w:id="1805" w:name="_Toc32535"/>
      <w:bookmarkStart w:id="1806" w:name="_Toc4711"/>
      <w:bookmarkStart w:id="1807" w:name="_Toc18271"/>
      <w:bookmarkStart w:id="1808" w:name="_Toc16188"/>
      <w:bookmarkStart w:id="1809" w:name="_Toc19735"/>
      <w:bookmarkStart w:id="1810" w:name="_Toc15101"/>
      <w:bookmarkStart w:id="1811" w:name="_Toc10699"/>
      <w:bookmarkStart w:id="1812" w:name="_Toc25142"/>
      <w:bookmarkStart w:id="1813" w:name="_Toc13019"/>
      <w:bookmarkStart w:id="1814" w:name="_Toc23904"/>
      <w:bookmarkStart w:id="1815" w:name="_Toc11388"/>
      <w:bookmarkStart w:id="1816" w:name="_Toc4088"/>
      <w:bookmarkStart w:id="1817" w:name="_Toc11763"/>
      <w:bookmarkStart w:id="1818" w:name="_Toc4708"/>
      <w:bookmarkStart w:id="1819" w:name="_Toc8607"/>
      <w:bookmarkStart w:id="1820" w:name="_Toc5741"/>
      <w:bookmarkStart w:id="1821" w:name="_Toc22307"/>
      <w:bookmarkStart w:id="1822" w:name="_Toc22051"/>
      <w:bookmarkStart w:id="1823" w:name="_Toc26716"/>
      <w:bookmarkStart w:id="1824" w:name="_Toc17105"/>
      <w:bookmarkStart w:id="1825" w:name="_Toc29401"/>
      <w:r>
        <w:rPr>
          <w:rFonts w:hint="eastAsia" w:ascii="宋体" w:hAnsi="宋体" w:eastAsia="宋体" w:cs="宋体"/>
          <w:b/>
          <w:bCs/>
          <w:color w:val="auto"/>
          <w:sz w:val="72"/>
          <w:szCs w:val="72"/>
          <w:highlight w:val="none"/>
        </w:rPr>
        <w:t>资信技术文件</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46C86AC9">
      <w:pPr>
        <w:shd w:val="clear"/>
        <w:spacing w:line="240" w:lineRule="auto"/>
        <w:ind w:firstLine="883"/>
        <w:jc w:val="center"/>
        <w:rPr>
          <w:rFonts w:hint="eastAsia" w:ascii="宋体" w:hAnsi="宋体" w:eastAsia="宋体" w:cs="宋体"/>
          <w:b/>
          <w:bCs/>
          <w:color w:val="auto"/>
          <w:sz w:val="44"/>
          <w:szCs w:val="44"/>
          <w:highlight w:val="none"/>
        </w:rPr>
      </w:pPr>
    </w:p>
    <w:p w14:paraId="697D0597">
      <w:pPr>
        <w:shd w:val="clear"/>
        <w:ind w:firstLine="0" w:firstLineChars="0"/>
        <w:rPr>
          <w:rFonts w:hint="eastAsia" w:ascii="宋体" w:hAnsi="宋体" w:eastAsia="宋体" w:cs="宋体"/>
          <w:color w:val="auto"/>
          <w:highlight w:val="none"/>
        </w:rPr>
      </w:pPr>
    </w:p>
    <w:p w14:paraId="5260BE14">
      <w:pPr>
        <w:pStyle w:val="2"/>
        <w:shd w:val="clear"/>
        <w:ind w:firstLine="0" w:firstLineChars="0"/>
        <w:rPr>
          <w:rFonts w:hint="eastAsia" w:ascii="宋体" w:hAnsi="宋体" w:eastAsia="宋体" w:cs="宋体"/>
          <w:color w:val="auto"/>
          <w:highlight w:val="none"/>
        </w:rPr>
      </w:pPr>
    </w:p>
    <w:p w14:paraId="0D8F81C4">
      <w:pPr>
        <w:pStyle w:val="2"/>
        <w:shd w:val="clear"/>
        <w:ind w:firstLine="0" w:firstLineChars="0"/>
        <w:rPr>
          <w:rFonts w:hint="eastAsia" w:ascii="宋体" w:hAnsi="宋体" w:eastAsia="宋体" w:cs="宋体"/>
          <w:color w:val="auto"/>
          <w:highlight w:val="none"/>
        </w:rPr>
      </w:pPr>
    </w:p>
    <w:p w14:paraId="77758D7E">
      <w:pPr>
        <w:shd w:val="clear"/>
        <w:ind w:firstLine="480"/>
        <w:rPr>
          <w:rFonts w:hint="eastAsia" w:ascii="宋体" w:hAnsi="宋体" w:eastAsia="宋体" w:cs="宋体"/>
          <w:color w:val="auto"/>
          <w:highlight w:val="none"/>
        </w:rPr>
      </w:pPr>
    </w:p>
    <w:p w14:paraId="2F431F32">
      <w:pPr>
        <w:pStyle w:val="3"/>
        <w:shd w:val="clear"/>
        <w:ind w:firstLine="480"/>
        <w:rPr>
          <w:rFonts w:hint="eastAsia" w:ascii="宋体" w:hAnsi="宋体" w:eastAsia="宋体" w:cs="宋体"/>
          <w:color w:val="auto"/>
          <w:highlight w:val="none"/>
        </w:rPr>
      </w:pPr>
    </w:p>
    <w:p w14:paraId="72E87293">
      <w:pPr>
        <w:pStyle w:val="54"/>
        <w:shd w:val="clear"/>
        <w:ind w:firstLine="480"/>
        <w:rPr>
          <w:rFonts w:hint="eastAsia" w:ascii="宋体" w:hAnsi="宋体" w:eastAsia="宋体" w:cs="宋体"/>
          <w:color w:val="auto"/>
          <w:highlight w:val="none"/>
        </w:rPr>
      </w:pPr>
    </w:p>
    <w:p w14:paraId="458EE7E9">
      <w:pPr>
        <w:shd w:val="clear"/>
        <w:ind w:firstLine="0" w:firstLineChars="0"/>
        <w:rPr>
          <w:rFonts w:hint="eastAsia" w:ascii="宋体" w:hAnsi="宋体" w:eastAsia="宋体" w:cs="宋体"/>
          <w:color w:val="auto"/>
          <w:highlight w:val="none"/>
        </w:rPr>
      </w:pPr>
    </w:p>
    <w:p w14:paraId="580059AE">
      <w:pPr>
        <w:pStyle w:val="24"/>
        <w:shd w:val="clear"/>
        <w:ind w:left="960" w:hanging="480"/>
        <w:rPr>
          <w:rFonts w:hint="eastAsia" w:ascii="宋体" w:hAnsi="宋体" w:eastAsia="宋体" w:cs="宋体"/>
          <w:color w:val="auto"/>
          <w:highlight w:val="none"/>
        </w:rPr>
      </w:pPr>
    </w:p>
    <w:p w14:paraId="6991E5B6">
      <w:pPr>
        <w:shd w:val="clear"/>
        <w:spacing w:line="360" w:lineRule="auto"/>
        <w:ind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LYCG2025YX-002</w:t>
      </w:r>
      <w:r>
        <w:rPr>
          <w:rFonts w:hint="eastAsia" w:ascii="宋体" w:hAnsi="宋体" w:eastAsia="宋体" w:cs="宋体"/>
          <w:color w:val="auto"/>
          <w:sz w:val="32"/>
          <w:highlight w:val="none"/>
          <w:u w:val="single"/>
        </w:rPr>
        <w:t xml:space="preserve">                    </w:t>
      </w:r>
    </w:p>
    <w:p w14:paraId="3599D2E5">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711B6844">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5C3F6F03">
      <w:pPr>
        <w:shd w:val="clear"/>
        <w:spacing w:line="360" w:lineRule="auto"/>
        <w:ind w:firstLine="640"/>
        <w:rPr>
          <w:rFonts w:hint="eastAsia" w:ascii="宋体" w:hAnsi="宋体" w:eastAsia="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eastAsia="宋体" w:cs="宋体"/>
          <w:color w:val="auto"/>
          <w:sz w:val="32"/>
          <w:highlight w:val="none"/>
        </w:rPr>
        <w:t>地址：</w:t>
      </w:r>
    </w:p>
    <w:p w14:paraId="2E4669E6">
      <w:pPr>
        <w:shd w:val="clear"/>
        <w:spacing w:line="360" w:lineRule="auto"/>
        <w:ind w:firstLine="0" w:firstLineChars="0"/>
        <w:jc w:val="center"/>
        <w:rPr>
          <w:rFonts w:hint="eastAsia" w:ascii="宋体" w:hAnsi="宋体" w:eastAsia="宋体" w:cs="宋体"/>
          <w:b/>
          <w:bCs/>
          <w:color w:val="auto"/>
          <w:highlight w:val="none"/>
        </w:rPr>
      </w:pPr>
      <w:r>
        <w:rPr>
          <w:rFonts w:hint="eastAsia" w:ascii="宋体" w:hAnsi="宋体" w:cs="宋体"/>
          <w:color w:val="auto"/>
          <w:sz w:val="32"/>
          <w:highlight w:val="none"/>
          <w:lang w:eastAsia="zh-CN"/>
        </w:rPr>
        <w:t>二  〇 二 五</w:t>
      </w:r>
      <w:r>
        <w:rPr>
          <w:rFonts w:hint="eastAsia" w:ascii="宋体" w:hAnsi="宋体" w:eastAsia="宋体" w:cs="宋体"/>
          <w:color w:val="auto"/>
          <w:sz w:val="32"/>
          <w:highlight w:val="none"/>
        </w:rPr>
        <w:t>年    月    日</w:t>
      </w:r>
    </w:p>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480"/>
    <w:bookmarkEnd w:id="1481"/>
    <w:bookmarkEnd w:id="1482"/>
    <w:bookmarkEnd w:id="1483"/>
    <w:bookmarkEnd w:id="1484"/>
    <w:bookmarkEnd w:id="1485"/>
    <w:bookmarkEnd w:id="1486"/>
    <w:bookmarkEnd w:id="1487"/>
    <w:bookmarkEnd w:id="1564"/>
    <w:bookmarkEnd w:id="1565"/>
    <w:bookmarkEnd w:id="1566"/>
    <w:bookmarkEnd w:id="1567"/>
    <w:bookmarkEnd w:id="1568"/>
    <w:bookmarkEnd w:id="1569"/>
    <w:bookmarkEnd w:id="1570"/>
    <w:bookmarkEnd w:id="1571"/>
    <w:bookmarkEnd w:id="1572"/>
    <w:bookmarkEnd w:id="1573"/>
    <w:bookmarkEnd w:id="1574"/>
    <w:p w14:paraId="34835650">
      <w:pPr>
        <w:pageBreakBefore w:val="0"/>
        <w:shd w:val="clear"/>
        <w:kinsoku/>
        <w:overflowPunct/>
        <w:bidi w:val="0"/>
        <w:ind w:left="0" w:leftChars="0" w:firstLine="0" w:firstLineChars="0"/>
        <w:jc w:val="center"/>
        <w:rPr>
          <w:rFonts w:hint="eastAsia" w:ascii="宋体" w:hAnsi="宋体" w:eastAsia="宋体" w:cs="宋体"/>
          <w:b/>
          <w:bCs/>
          <w:color w:val="auto"/>
          <w:sz w:val="30"/>
          <w:szCs w:val="30"/>
          <w:highlight w:val="none"/>
          <w:lang w:val="zh-CN" w:eastAsia="zh-CN"/>
        </w:rPr>
      </w:pPr>
      <w:bookmarkStart w:id="1826" w:name="_Toc14811"/>
      <w:bookmarkStart w:id="1827" w:name="_Toc13617"/>
      <w:bookmarkStart w:id="1828" w:name="_Toc18562"/>
      <w:bookmarkStart w:id="1829" w:name="_Toc13048"/>
      <w:bookmarkStart w:id="1830" w:name="_Toc12288"/>
      <w:bookmarkStart w:id="1831" w:name="_Toc7665"/>
      <w:bookmarkStart w:id="1832" w:name="_Toc20431"/>
      <w:bookmarkStart w:id="1833" w:name="_Toc17004"/>
      <w:bookmarkStart w:id="1834" w:name="_Toc29581"/>
      <w:bookmarkStart w:id="1835" w:name="_Toc23735"/>
      <w:bookmarkStart w:id="1836" w:name="_Toc11793"/>
      <w:bookmarkStart w:id="1837" w:name="_Toc20561"/>
      <w:bookmarkStart w:id="1838" w:name="_Toc31244"/>
      <w:bookmarkStart w:id="1839" w:name="_Toc18677"/>
      <w:bookmarkStart w:id="1840" w:name="_Toc3610"/>
      <w:bookmarkStart w:id="1841" w:name="_Toc28788"/>
      <w:bookmarkStart w:id="1842" w:name="_Toc12407"/>
      <w:bookmarkStart w:id="1843" w:name="_Toc20509"/>
      <w:bookmarkStart w:id="1844" w:name="_Toc17803"/>
      <w:bookmarkStart w:id="1845" w:name="_Toc32506"/>
      <w:bookmarkStart w:id="1846" w:name="_Toc294166745"/>
      <w:bookmarkStart w:id="1847" w:name="_Toc1322"/>
      <w:bookmarkStart w:id="1848" w:name="_Toc60021277"/>
      <w:bookmarkStart w:id="1849" w:name="_Toc28144"/>
      <w:bookmarkStart w:id="1850" w:name="_Toc27481"/>
      <w:bookmarkStart w:id="1851" w:name="_Toc15176"/>
      <w:bookmarkStart w:id="1852" w:name="_Toc16332"/>
      <w:bookmarkStart w:id="1853" w:name="_Toc55379715"/>
      <w:bookmarkStart w:id="1854" w:name="_Toc2307"/>
      <w:bookmarkStart w:id="1855" w:name="_Toc37493332"/>
      <w:bookmarkStart w:id="1856" w:name="_Toc4312"/>
      <w:bookmarkStart w:id="1857" w:name="_Toc2143"/>
      <w:bookmarkStart w:id="1858" w:name="_Toc19191"/>
      <w:bookmarkStart w:id="1859" w:name="_Toc28132"/>
      <w:bookmarkStart w:id="1860" w:name="_Toc16975"/>
      <w:bookmarkStart w:id="1861" w:name="_Toc27830"/>
      <w:r>
        <w:rPr>
          <w:rFonts w:hint="eastAsia" w:ascii="宋体" w:hAnsi="宋体" w:eastAsia="宋体" w:cs="宋体"/>
          <w:b/>
          <w:bCs/>
          <w:color w:val="auto"/>
          <w:sz w:val="30"/>
          <w:szCs w:val="30"/>
          <w:highlight w:val="none"/>
          <w:lang w:val="zh-CN" w:eastAsia="zh-CN"/>
        </w:rPr>
        <w:t>自评分表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368"/>
        <w:gridCol w:w="1930"/>
        <w:gridCol w:w="1448"/>
        <w:gridCol w:w="1055"/>
        <w:gridCol w:w="1309"/>
      </w:tblGrid>
      <w:tr w14:paraId="1650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68" w:type="dxa"/>
            <w:noWrap w:val="0"/>
            <w:vAlign w:val="center"/>
          </w:tcPr>
          <w:p w14:paraId="23565F70">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8" w:type="dxa"/>
            <w:noWrap w:val="0"/>
            <w:vAlign w:val="center"/>
          </w:tcPr>
          <w:p w14:paraId="2E3E3C3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1930" w:type="dxa"/>
            <w:noWrap w:val="0"/>
            <w:vAlign w:val="center"/>
          </w:tcPr>
          <w:p w14:paraId="3145B09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标准分</w:t>
            </w:r>
          </w:p>
        </w:tc>
        <w:tc>
          <w:tcPr>
            <w:tcW w:w="1448" w:type="dxa"/>
            <w:noWrap w:val="0"/>
            <w:vAlign w:val="center"/>
          </w:tcPr>
          <w:p w14:paraId="5972045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c>
          <w:tcPr>
            <w:tcW w:w="1055" w:type="dxa"/>
            <w:noWrap w:val="0"/>
            <w:vAlign w:val="center"/>
          </w:tcPr>
          <w:p w14:paraId="19A816C2">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w:t>
            </w:r>
          </w:p>
          <w:p w14:paraId="3FCF44B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w:t>
            </w:r>
          </w:p>
        </w:tc>
        <w:tc>
          <w:tcPr>
            <w:tcW w:w="1309" w:type="dxa"/>
            <w:noWrap w:val="0"/>
            <w:vAlign w:val="center"/>
          </w:tcPr>
          <w:p w14:paraId="78D2A8A0">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在投标文件中所对应的页码</w:t>
            </w:r>
          </w:p>
        </w:tc>
      </w:tr>
      <w:tr w14:paraId="3293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F51F436">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p>
        </w:tc>
        <w:tc>
          <w:tcPr>
            <w:tcW w:w="3368" w:type="dxa"/>
            <w:noWrap w:val="0"/>
            <w:vAlign w:val="center"/>
          </w:tcPr>
          <w:p w14:paraId="04CBCCE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5B4FC73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45BDAF6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5B638D2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06C1F73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7CFA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3AD7DD2C">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w:t>
            </w:r>
          </w:p>
        </w:tc>
        <w:tc>
          <w:tcPr>
            <w:tcW w:w="3368" w:type="dxa"/>
            <w:noWrap w:val="0"/>
            <w:vAlign w:val="center"/>
          </w:tcPr>
          <w:p w14:paraId="2799BF3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1748184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5B3AB25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227A598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234E25B7">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4618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8404324">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p>
        </w:tc>
        <w:tc>
          <w:tcPr>
            <w:tcW w:w="3368" w:type="dxa"/>
            <w:noWrap w:val="0"/>
            <w:vAlign w:val="center"/>
          </w:tcPr>
          <w:p w14:paraId="0C516E9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0751195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3C0685E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3F22984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77BF112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4064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4E6F9C50">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p>
        </w:tc>
        <w:tc>
          <w:tcPr>
            <w:tcW w:w="3368" w:type="dxa"/>
            <w:noWrap w:val="0"/>
            <w:vAlign w:val="center"/>
          </w:tcPr>
          <w:p w14:paraId="49715DF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54810CC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3C03CDB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485531D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32FB8636">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6CAC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719F59B4">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w:t>
            </w:r>
          </w:p>
        </w:tc>
        <w:tc>
          <w:tcPr>
            <w:tcW w:w="3368" w:type="dxa"/>
            <w:noWrap w:val="0"/>
            <w:vAlign w:val="center"/>
          </w:tcPr>
          <w:p w14:paraId="4410214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3C27B731">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7C80CB4F">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1CFDAA8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54F7B63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0C3B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0F7C7731">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6</w:t>
            </w:r>
          </w:p>
        </w:tc>
        <w:tc>
          <w:tcPr>
            <w:tcW w:w="3368" w:type="dxa"/>
            <w:noWrap w:val="0"/>
            <w:vAlign w:val="center"/>
          </w:tcPr>
          <w:p w14:paraId="051F8051">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kern w:val="0"/>
                <w:sz w:val="24"/>
                <w:szCs w:val="24"/>
                <w:highlight w:val="none"/>
              </w:rPr>
            </w:pPr>
          </w:p>
        </w:tc>
        <w:tc>
          <w:tcPr>
            <w:tcW w:w="1930" w:type="dxa"/>
            <w:noWrap w:val="0"/>
            <w:vAlign w:val="center"/>
          </w:tcPr>
          <w:p w14:paraId="4F60BDE2">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07B588C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39BFD2C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6DB967C9">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3B4D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02A5A8E">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w:t>
            </w:r>
          </w:p>
        </w:tc>
        <w:tc>
          <w:tcPr>
            <w:tcW w:w="3368" w:type="dxa"/>
            <w:noWrap w:val="0"/>
            <w:vAlign w:val="center"/>
          </w:tcPr>
          <w:p w14:paraId="2F43A74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snapToGrid w:val="0"/>
                <w:color w:val="auto"/>
                <w:sz w:val="24"/>
                <w:szCs w:val="24"/>
                <w:highlight w:val="none"/>
              </w:rPr>
            </w:pPr>
          </w:p>
        </w:tc>
        <w:tc>
          <w:tcPr>
            <w:tcW w:w="1930" w:type="dxa"/>
            <w:noWrap w:val="0"/>
            <w:vAlign w:val="center"/>
          </w:tcPr>
          <w:p w14:paraId="254C550D">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p>
        </w:tc>
        <w:tc>
          <w:tcPr>
            <w:tcW w:w="1448" w:type="dxa"/>
            <w:noWrap w:val="0"/>
            <w:vAlign w:val="center"/>
          </w:tcPr>
          <w:p w14:paraId="09C1E1E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143E3B4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4F1DC18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5E96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459C4F9C">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8</w:t>
            </w:r>
          </w:p>
        </w:tc>
        <w:tc>
          <w:tcPr>
            <w:tcW w:w="3368" w:type="dxa"/>
            <w:noWrap w:val="0"/>
            <w:vAlign w:val="center"/>
          </w:tcPr>
          <w:p w14:paraId="2AD7A14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7D88394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p>
        </w:tc>
        <w:tc>
          <w:tcPr>
            <w:tcW w:w="1448" w:type="dxa"/>
            <w:noWrap w:val="0"/>
            <w:vAlign w:val="center"/>
          </w:tcPr>
          <w:p w14:paraId="26E5D9A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7CE362D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7627E128">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1C8F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1D3B8873">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9</w:t>
            </w:r>
          </w:p>
        </w:tc>
        <w:tc>
          <w:tcPr>
            <w:tcW w:w="3368" w:type="dxa"/>
            <w:noWrap w:val="0"/>
            <w:vAlign w:val="center"/>
          </w:tcPr>
          <w:p w14:paraId="4672E770">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4634C76A">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67261DE4">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5D6D88AB">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45E63C53">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r w14:paraId="76B6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D39C7B7">
            <w:pPr>
              <w:keepNext w:val="0"/>
              <w:keepLines w:val="0"/>
              <w:pageBreakBefore w:val="0"/>
              <w:suppressLineNumbers w:val="0"/>
              <w:shd w:val="clear"/>
              <w:kinsoku/>
              <w:overflowPunct/>
              <w:bidi w:val="0"/>
              <w:adjustRightInd w:val="0"/>
              <w:snapToGrid w:val="0"/>
              <w:spacing w:before="0" w:beforeAutospacing="0" w:after="0" w:afterAutospacing="0" w:line="360" w:lineRule="exact"/>
              <w:ind w:left="0" w:leftChars="0" w:right="0" w:firstLine="0" w:firstLineChars="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10</w:t>
            </w:r>
          </w:p>
        </w:tc>
        <w:tc>
          <w:tcPr>
            <w:tcW w:w="3368" w:type="dxa"/>
            <w:noWrap w:val="0"/>
            <w:vAlign w:val="center"/>
          </w:tcPr>
          <w:p w14:paraId="4BCB5C2C">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b/>
                <w:color w:val="auto"/>
                <w:sz w:val="24"/>
                <w:szCs w:val="24"/>
                <w:highlight w:val="none"/>
              </w:rPr>
            </w:pPr>
          </w:p>
        </w:tc>
        <w:tc>
          <w:tcPr>
            <w:tcW w:w="1930" w:type="dxa"/>
            <w:noWrap w:val="0"/>
            <w:vAlign w:val="center"/>
          </w:tcPr>
          <w:p w14:paraId="1FBB83E5">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jc w:val="center"/>
              <w:rPr>
                <w:rFonts w:hint="eastAsia" w:ascii="宋体" w:hAnsi="宋体" w:eastAsia="宋体" w:cs="宋体"/>
                <w:color w:val="auto"/>
                <w:sz w:val="24"/>
                <w:szCs w:val="24"/>
                <w:highlight w:val="none"/>
              </w:rPr>
            </w:pPr>
          </w:p>
        </w:tc>
        <w:tc>
          <w:tcPr>
            <w:tcW w:w="1448" w:type="dxa"/>
            <w:noWrap w:val="0"/>
            <w:vAlign w:val="center"/>
          </w:tcPr>
          <w:p w14:paraId="4CD2876E">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055" w:type="dxa"/>
            <w:noWrap w:val="0"/>
            <w:vAlign w:val="center"/>
          </w:tcPr>
          <w:p w14:paraId="423E77CC">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c>
          <w:tcPr>
            <w:tcW w:w="1309" w:type="dxa"/>
            <w:noWrap w:val="0"/>
            <w:vAlign w:val="center"/>
          </w:tcPr>
          <w:p w14:paraId="490B6287">
            <w:pPr>
              <w:keepNext w:val="0"/>
              <w:keepLines w:val="0"/>
              <w:pageBreakBefore w:val="0"/>
              <w:suppressLineNumbers w:val="0"/>
              <w:shd w:val="clear"/>
              <w:kinsoku/>
              <w:overflowPunct/>
              <w:bidi w:val="0"/>
              <w:spacing w:before="0" w:beforeAutospacing="0" w:after="0" w:afterAutospacing="0" w:line="360" w:lineRule="exact"/>
              <w:ind w:left="0" w:leftChars="0" w:right="0" w:firstLine="0" w:firstLineChars="0"/>
              <w:rPr>
                <w:rFonts w:hint="eastAsia" w:ascii="宋体" w:hAnsi="宋体" w:eastAsia="宋体" w:cs="宋体"/>
                <w:color w:val="auto"/>
                <w:sz w:val="24"/>
                <w:szCs w:val="24"/>
                <w:highlight w:val="none"/>
              </w:rPr>
            </w:pPr>
          </w:p>
        </w:tc>
      </w:tr>
    </w:tbl>
    <w:p w14:paraId="57B18387">
      <w:pPr>
        <w:keepNext w:val="0"/>
        <w:keepLines w:val="0"/>
        <w:pageBreakBefore w:val="0"/>
        <w:widowControl w:val="0"/>
        <w:shd w:val="clear"/>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自</w:t>
      </w:r>
      <w:r>
        <w:rPr>
          <w:rFonts w:hint="eastAsia" w:ascii="宋体" w:hAnsi="宋体" w:eastAsia="宋体" w:cs="宋体"/>
          <w:color w:val="auto"/>
          <w:highlight w:val="none"/>
        </w:rPr>
        <w:t>评分表” 提供在资信技术文件首页。投标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应认真填写相关内容在投标文件中所对应的页码，否则有可能影响</w:t>
      </w:r>
      <w:r>
        <w:rPr>
          <w:rFonts w:hint="eastAsia" w:ascii="宋体" w:hAnsi="宋体" w:eastAsia="宋体" w:cs="宋体"/>
          <w:color w:val="auto"/>
          <w:highlight w:val="none"/>
          <w:lang w:val="en-US" w:eastAsia="zh-CN"/>
        </w:rPr>
        <w:t>相应</w:t>
      </w:r>
      <w:r>
        <w:rPr>
          <w:rFonts w:hint="eastAsia" w:ascii="宋体" w:hAnsi="宋体" w:eastAsia="宋体" w:cs="宋体"/>
          <w:color w:val="auto"/>
          <w:highlight w:val="none"/>
        </w:rPr>
        <w:t>得分。</w:t>
      </w:r>
    </w:p>
    <w:p w14:paraId="785D5355">
      <w:pPr>
        <w:pageBreakBefore w:val="0"/>
        <w:shd w:val="clear"/>
        <w:kinsoku/>
        <w:overflowPunct/>
        <w:bidi w:val="0"/>
        <w:ind w:left="0" w:leftChars="0" w:firstLine="0" w:firstLineChars="0"/>
        <w:jc w:val="center"/>
        <w:rPr>
          <w:rFonts w:hint="eastAsia" w:ascii="宋体" w:hAnsi="宋体" w:eastAsia="宋体" w:cs="宋体"/>
          <w:b/>
          <w:bCs/>
          <w:color w:val="auto"/>
          <w:sz w:val="30"/>
          <w:szCs w:val="30"/>
          <w:highlight w:val="none"/>
          <w:lang w:val="en-GB"/>
        </w:rPr>
      </w:pPr>
    </w:p>
    <w:p w14:paraId="512DBDB0">
      <w:pPr>
        <w:pageBreakBefore w:val="0"/>
        <w:shd w:val="clear"/>
        <w:kinsoku/>
        <w:overflowPunct/>
        <w:bidi w:val="0"/>
        <w:ind w:left="0" w:leftChars="0" w:firstLine="0" w:firstLineChars="0"/>
        <w:jc w:val="left"/>
        <w:outlineLvl w:val="9"/>
        <w:rPr>
          <w:rFonts w:hint="eastAsia" w:ascii="宋体" w:hAnsi="宋体" w:eastAsia="宋体" w:cs="宋体"/>
          <w:b/>
          <w:bCs/>
          <w:color w:val="auto"/>
          <w:highlight w:val="none"/>
        </w:rPr>
      </w:pPr>
    </w:p>
    <w:p w14:paraId="0F8B10C3">
      <w:pPr>
        <w:pageBreakBefore w:val="0"/>
        <w:shd w:val="clear"/>
        <w:kinsoku/>
        <w:overflowPunct/>
        <w:bidi w:val="0"/>
        <w:ind w:left="0" w:leftChars="0" w:firstLine="0" w:firstLineChars="0"/>
        <w:rPr>
          <w:rFonts w:hint="eastAsia" w:ascii="宋体" w:hAnsi="宋体" w:eastAsia="宋体" w:cs="宋体"/>
          <w:color w:val="auto"/>
          <w:highlight w:val="none"/>
        </w:rPr>
      </w:pPr>
    </w:p>
    <w:p w14:paraId="108260C0">
      <w:pPr>
        <w:pageBreakBefore w:val="0"/>
        <w:shd w:val="clear"/>
        <w:kinsoku/>
        <w:overflowPunct/>
        <w:bidi w:val="0"/>
        <w:ind w:left="0" w:leftChars="0" w:firstLine="3360" w:firstLineChars="14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投标人全称（盖章）：                         </w:t>
      </w:r>
    </w:p>
    <w:p w14:paraId="1A2DED8A">
      <w:pPr>
        <w:pageBreakBefore w:val="0"/>
        <w:shd w:val="clear"/>
        <w:kinsoku/>
        <w:overflowPunct/>
        <w:bidi w:val="0"/>
        <w:ind w:left="0" w:leftChars="0" w:firstLine="3360" w:firstLineChars="14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530C710C">
      <w:pPr>
        <w:pageBreakBefore w:val="0"/>
        <w:shd w:val="clear"/>
        <w:kinsoku/>
        <w:overflowPunct/>
        <w:bidi w:val="0"/>
        <w:ind w:left="0" w:leftChars="0" w:firstLine="3360" w:firstLineChars="1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6134B88B">
      <w:pPr>
        <w:shd w:val="clear"/>
        <w:ind w:firstLine="0" w:firstLineChars="0"/>
        <w:jc w:val="left"/>
        <w:outlineLvl w:val="9"/>
        <w:rPr>
          <w:rFonts w:hint="eastAsia" w:ascii="宋体" w:hAnsi="宋体" w:eastAsia="宋体" w:cs="宋体"/>
          <w:b/>
          <w:bCs/>
          <w:color w:val="auto"/>
          <w:highlight w:val="none"/>
        </w:rPr>
      </w:pPr>
    </w:p>
    <w:p w14:paraId="7454A52B">
      <w:pPr>
        <w:shd w:val="clear"/>
        <w:ind w:firstLine="0" w:firstLineChars="0"/>
        <w:jc w:val="left"/>
        <w:outlineLvl w:val="9"/>
        <w:rPr>
          <w:rFonts w:hint="eastAsia" w:ascii="宋体" w:hAnsi="宋体" w:eastAsia="宋体" w:cs="宋体"/>
          <w:b/>
          <w:bCs/>
          <w:color w:val="auto"/>
          <w:highlight w:val="none"/>
        </w:rPr>
      </w:pPr>
    </w:p>
    <w:p w14:paraId="5CC227A4">
      <w:pPr>
        <w:shd w:val="clear"/>
        <w:ind w:firstLine="0" w:firstLineChars="0"/>
        <w:jc w:val="left"/>
        <w:outlineLvl w:val="9"/>
        <w:rPr>
          <w:rFonts w:hint="eastAsia" w:ascii="宋体" w:hAnsi="宋体" w:eastAsia="宋体" w:cs="宋体"/>
          <w:b/>
          <w:bCs/>
          <w:color w:val="auto"/>
          <w:highlight w:val="none"/>
        </w:rPr>
      </w:pPr>
    </w:p>
    <w:p w14:paraId="06B86EC6">
      <w:pPr>
        <w:shd w:val="clear"/>
        <w:ind w:firstLine="0" w:firstLineChars="0"/>
        <w:jc w:val="left"/>
        <w:outlineLvl w:val="0"/>
        <w:rPr>
          <w:rFonts w:hint="eastAsia" w:ascii="宋体" w:hAnsi="宋体" w:eastAsia="宋体" w:cs="宋体"/>
          <w:color w:val="auto"/>
          <w:highlight w:val="none"/>
          <w:lang w:eastAsia="zh-CN"/>
        </w:rPr>
      </w:pPr>
      <w:bookmarkStart w:id="1862" w:name="_Toc4008"/>
      <w:bookmarkStart w:id="1863" w:name="_Toc20343"/>
      <w:bookmarkStart w:id="1864" w:name="_Toc6134"/>
      <w:r>
        <w:rPr>
          <w:rFonts w:hint="eastAsia" w:ascii="宋体" w:hAnsi="宋体" w:eastAsia="宋体" w:cs="宋体"/>
          <w:b/>
          <w:bCs/>
          <w:color w:val="auto"/>
          <w:highlight w:val="none"/>
        </w:rPr>
        <w:t>附件</w:t>
      </w:r>
      <w:bookmarkEnd w:id="1826"/>
      <w:bookmarkEnd w:id="1827"/>
      <w:bookmarkEnd w:id="1862"/>
      <w:bookmarkEnd w:id="1863"/>
      <w:bookmarkEnd w:id="1864"/>
      <w:r>
        <w:rPr>
          <w:rFonts w:hint="eastAsia" w:ascii="宋体" w:hAnsi="宋体" w:cs="宋体"/>
          <w:b/>
          <w:bCs/>
          <w:color w:val="auto"/>
          <w:highlight w:val="none"/>
          <w:lang w:val="en-US" w:eastAsia="zh-CN"/>
        </w:rPr>
        <w:t>6</w:t>
      </w:r>
    </w:p>
    <w:p w14:paraId="28A30326">
      <w:pPr>
        <w:shd w:val="clear"/>
        <w:ind w:firstLine="0" w:firstLineChars="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bidi="ar"/>
        </w:rPr>
        <w:t>类似业绩一览表</w:t>
      </w:r>
    </w:p>
    <w:p w14:paraId="08B1F14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p w14:paraId="557C8B0A">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项目编号：</w:t>
      </w:r>
    </w:p>
    <w:tbl>
      <w:tblPr>
        <w:tblStyle w:val="43"/>
        <w:tblW w:w="95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4"/>
        <w:gridCol w:w="1243"/>
        <w:gridCol w:w="1832"/>
        <w:gridCol w:w="1425"/>
        <w:gridCol w:w="1565"/>
        <w:gridCol w:w="1767"/>
      </w:tblGrid>
      <w:tr w14:paraId="6C81D3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12"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4CEDF35F">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采购人名称</w:t>
            </w:r>
          </w:p>
        </w:tc>
        <w:tc>
          <w:tcPr>
            <w:tcW w:w="1243" w:type="dxa"/>
            <w:tcBorders>
              <w:top w:val="single" w:color="auto" w:sz="4" w:space="0"/>
              <w:left w:val="nil"/>
              <w:bottom w:val="single" w:color="auto" w:sz="4" w:space="0"/>
              <w:right w:val="single" w:color="auto" w:sz="4" w:space="0"/>
            </w:tcBorders>
            <w:shd w:val="clear" w:color="auto" w:fill="auto"/>
            <w:vAlign w:val="center"/>
          </w:tcPr>
          <w:p w14:paraId="4FCEAE37">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tc>
        <w:tc>
          <w:tcPr>
            <w:tcW w:w="1832" w:type="dxa"/>
            <w:tcBorders>
              <w:top w:val="single" w:color="auto" w:sz="4" w:space="0"/>
              <w:left w:val="nil"/>
              <w:bottom w:val="nil"/>
              <w:right w:val="single" w:color="auto" w:sz="4" w:space="0"/>
            </w:tcBorders>
            <w:shd w:val="clear" w:color="auto" w:fill="auto"/>
            <w:vAlign w:val="center"/>
          </w:tcPr>
          <w:p w14:paraId="7FBD737A">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项目简要描述</w:t>
            </w:r>
          </w:p>
        </w:tc>
        <w:tc>
          <w:tcPr>
            <w:tcW w:w="1425" w:type="dxa"/>
            <w:tcBorders>
              <w:top w:val="single" w:color="auto" w:sz="4" w:space="0"/>
              <w:left w:val="nil"/>
              <w:bottom w:val="single" w:color="auto" w:sz="4" w:space="0"/>
              <w:right w:val="single" w:color="auto" w:sz="4" w:space="0"/>
            </w:tcBorders>
            <w:shd w:val="clear" w:color="auto" w:fill="auto"/>
            <w:vAlign w:val="center"/>
          </w:tcPr>
          <w:p w14:paraId="710C77BA">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合同价格</w:t>
            </w:r>
          </w:p>
        </w:tc>
        <w:tc>
          <w:tcPr>
            <w:tcW w:w="1565" w:type="dxa"/>
            <w:tcBorders>
              <w:top w:val="single" w:color="auto" w:sz="4" w:space="0"/>
              <w:left w:val="nil"/>
              <w:bottom w:val="nil"/>
              <w:right w:val="single" w:color="auto" w:sz="4" w:space="0"/>
            </w:tcBorders>
            <w:shd w:val="clear" w:color="auto" w:fill="auto"/>
            <w:vAlign w:val="center"/>
          </w:tcPr>
          <w:p w14:paraId="2841A3A8">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合同签订时间</w:t>
            </w:r>
          </w:p>
        </w:tc>
        <w:tc>
          <w:tcPr>
            <w:tcW w:w="1767" w:type="dxa"/>
            <w:tcBorders>
              <w:top w:val="single" w:color="auto" w:sz="4" w:space="0"/>
              <w:left w:val="nil"/>
              <w:bottom w:val="single" w:color="auto" w:sz="4" w:space="0"/>
              <w:right w:val="single" w:color="auto" w:sz="4" w:space="0"/>
            </w:tcBorders>
            <w:shd w:val="clear" w:color="auto" w:fill="auto"/>
            <w:vAlign w:val="center"/>
          </w:tcPr>
          <w:p w14:paraId="597A1F5A">
            <w:pPr>
              <w:keepNext w:val="0"/>
              <w:keepLines w:val="0"/>
              <w:suppressLineNumbers w:val="0"/>
              <w:shd w:val="clear"/>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采购人联系人及联系电话</w:t>
            </w:r>
          </w:p>
        </w:tc>
      </w:tr>
      <w:tr w14:paraId="790700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03150B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058C1CCD">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2F94A76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249069A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9765F6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3247A48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29EFA2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0032C58">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3F10314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27524D0">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307C2A9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9FC159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679EB96">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0A20B0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32D577A0">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0B461E6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7726EA6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D29468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1F59EC1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2A5C5A2">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0E27CC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0857357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56AC80B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0739D16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6D338B62">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740236A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4A77FE3A">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3A865B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1D4B6E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6A8E29E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32CF66F">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2EBD629A">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11C3715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531BB647">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550C16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293E09E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7511014">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F594CA7">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7C80155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24C36D1">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89F366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r w14:paraId="58048B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BBB296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1C38555">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6BFE4CF3">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7C93C2BB">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06153B09">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29ACD03C">
            <w:pPr>
              <w:keepNext w:val="0"/>
              <w:keepLines w:val="0"/>
              <w:suppressLineNumbers w:val="0"/>
              <w:shd w:val="clear"/>
              <w:snapToGrid w:val="0"/>
              <w:spacing w:before="50" w:beforeAutospacing="0" w:after="156" w:afterLines="50" w:afterAutospacing="0"/>
              <w:ind w:left="0" w:right="0" w:firstLine="480"/>
              <w:jc w:val="center"/>
              <w:rPr>
                <w:rFonts w:hint="eastAsia" w:ascii="宋体" w:hAnsi="宋体" w:eastAsia="宋体" w:cs="宋体"/>
                <w:color w:val="auto"/>
                <w:highlight w:val="none"/>
              </w:rPr>
            </w:pPr>
          </w:p>
        </w:tc>
      </w:tr>
    </w:tbl>
    <w:p w14:paraId="43EA5ECB">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注：投标人可按上述的格式自行编制。</w:t>
      </w:r>
    </w:p>
    <w:p w14:paraId="7899AE87">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6F56AF1B">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75CB1F86">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37CC5A84">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765F7C90">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0236FA0E">
      <w:pPr>
        <w:shd w:val="clear"/>
        <w:ind w:firstLine="200" w:firstLineChars="0"/>
        <w:jc w:val="center"/>
        <w:rPr>
          <w:rFonts w:hint="eastAsia" w:ascii="宋体" w:hAnsi="宋体" w:eastAsia="宋体" w:cs="宋体"/>
          <w:b/>
          <w:bCs/>
          <w:color w:val="auto"/>
          <w:sz w:val="30"/>
          <w:szCs w:val="30"/>
          <w:highlight w:val="none"/>
          <w:lang w:bidi="ar"/>
        </w:rPr>
      </w:pPr>
    </w:p>
    <w:p w14:paraId="71A3FC58">
      <w:pPr>
        <w:shd w:val="clear"/>
        <w:ind w:firstLine="200" w:firstLineChars="0"/>
        <w:jc w:val="center"/>
        <w:rPr>
          <w:rFonts w:hint="eastAsia" w:ascii="宋体" w:hAnsi="宋体" w:eastAsia="宋体" w:cs="宋体"/>
          <w:b/>
          <w:bCs/>
          <w:color w:val="auto"/>
          <w:sz w:val="30"/>
          <w:szCs w:val="30"/>
          <w:highlight w:val="none"/>
          <w:lang w:bidi="ar"/>
        </w:rPr>
      </w:pPr>
    </w:p>
    <w:p w14:paraId="707C6B36">
      <w:pPr>
        <w:shd w:val="clear"/>
        <w:ind w:firstLine="200" w:firstLineChars="0"/>
        <w:jc w:val="center"/>
        <w:rPr>
          <w:rFonts w:hint="eastAsia" w:ascii="宋体" w:hAnsi="宋体" w:eastAsia="宋体" w:cs="宋体"/>
          <w:b/>
          <w:bCs/>
          <w:color w:val="auto"/>
          <w:sz w:val="30"/>
          <w:szCs w:val="30"/>
          <w:highlight w:val="none"/>
          <w:lang w:bidi="ar"/>
        </w:rPr>
      </w:pPr>
    </w:p>
    <w:p w14:paraId="160AFE89">
      <w:pPr>
        <w:shd w:val="clear"/>
        <w:ind w:firstLine="200" w:firstLineChars="0"/>
        <w:jc w:val="center"/>
        <w:rPr>
          <w:rFonts w:hint="eastAsia" w:ascii="宋体" w:hAnsi="宋体" w:eastAsia="宋体" w:cs="宋体"/>
          <w:b/>
          <w:bCs/>
          <w:color w:val="auto"/>
          <w:sz w:val="30"/>
          <w:szCs w:val="30"/>
          <w:highlight w:val="none"/>
          <w:lang w:bidi="ar"/>
        </w:rPr>
      </w:pPr>
    </w:p>
    <w:p w14:paraId="0A2F5306">
      <w:pPr>
        <w:shd w:val="clear"/>
        <w:ind w:firstLine="200" w:firstLineChars="0"/>
        <w:jc w:val="center"/>
        <w:rPr>
          <w:rFonts w:hint="eastAsia" w:ascii="宋体" w:hAnsi="宋体" w:eastAsia="宋体" w:cs="宋体"/>
          <w:b/>
          <w:bCs/>
          <w:color w:val="auto"/>
          <w:sz w:val="30"/>
          <w:szCs w:val="30"/>
          <w:highlight w:val="none"/>
          <w:lang w:bidi="ar"/>
        </w:rPr>
      </w:pPr>
    </w:p>
    <w:p w14:paraId="5F34BEE8">
      <w:pPr>
        <w:shd w:val="clear"/>
        <w:ind w:firstLine="0" w:firstLineChars="0"/>
        <w:jc w:val="left"/>
        <w:outlineLvl w:val="0"/>
        <w:rPr>
          <w:rFonts w:hint="eastAsia" w:ascii="宋体" w:hAnsi="宋体" w:eastAsia="宋体" w:cs="宋体"/>
          <w:b/>
          <w:bCs/>
          <w:color w:val="auto"/>
          <w:highlight w:val="none"/>
          <w:lang w:val="en-US" w:eastAsia="zh-CN"/>
        </w:rPr>
      </w:pPr>
      <w:bookmarkStart w:id="1865" w:name="_Toc13354"/>
      <w:bookmarkStart w:id="1866" w:name="_Toc17424"/>
      <w:bookmarkStart w:id="1867" w:name="_Toc27275"/>
      <w:bookmarkStart w:id="1868" w:name="_Toc7955"/>
      <w:bookmarkStart w:id="1869" w:name="_Toc24505"/>
      <w:r>
        <w:rPr>
          <w:rFonts w:hint="eastAsia" w:ascii="宋体" w:hAnsi="宋体" w:eastAsia="宋体" w:cs="宋体"/>
          <w:b/>
          <w:bCs/>
          <w:color w:val="auto"/>
          <w:highlight w:val="none"/>
        </w:rPr>
        <w:t>附件</w:t>
      </w:r>
      <w:bookmarkEnd w:id="1865"/>
      <w:bookmarkEnd w:id="1866"/>
      <w:bookmarkEnd w:id="1867"/>
      <w:r>
        <w:rPr>
          <w:rFonts w:hint="eastAsia" w:ascii="宋体" w:hAnsi="宋体" w:cs="宋体"/>
          <w:b/>
          <w:bCs/>
          <w:color w:val="auto"/>
          <w:highlight w:val="none"/>
          <w:lang w:val="en-US" w:eastAsia="zh-CN"/>
        </w:rPr>
        <w:t>7</w:t>
      </w:r>
    </w:p>
    <w:p w14:paraId="6E3184CA">
      <w:pPr>
        <w:shd w:val="clear"/>
        <w:snapToGrid w:val="0"/>
        <w:ind w:firstLine="0" w:firstLineChars="0"/>
        <w:jc w:val="center"/>
        <w:outlineLvl w:val="9"/>
        <w:rPr>
          <w:rFonts w:hint="eastAsia" w:ascii="宋体" w:hAnsi="宋体" w:eastAsia="宋体" w:cs="宋体"/>
          <w:b/>
          <w:bCs/>
          <w:color w:val="auto"/>
          <w:sz w:val="30"/>
          <w:szCs w:val="30"/>
          <w:highlight w:val="none"/>
        </w:rPr>
      </w:pPr>
      <w:bookmarkStart w:id="1870" w:name="_Toc19920"/>
      <w:bookmarkStart w:id="1871" w:name="_Toc21050"/>
      <w:bookmarkStart w:id="1872" w:name="_Toc27517"/>
      <w:bookmarkStart w:id="1873" w:name="_Toc26095"/>
      <w:r>
        <w:rPr>
          <w:rFonts w:hint="eastAsia" w:ascii="宋体" w:hAnsi="宋体" w:eastAsia="宋体" w:cs="宋体"/>
          <w:b/>
          <w:bCs/>
          <w:color w:val="auto"/>
          <w:sz w:val="30"/>
          <w:szCs w:val="30"/>
          <w:highlight w:val="none"/>
          <w:lang w:val="en-US" w:eastAsia="zh-CN"/>
        </w:rPr>
        <w:t>拟派</w:t>
      </w:r>
      <w:r>
        <w:rPr>
          <w:rFonts w:hint="eastAsia" w:ascii="宋体" w:hAnsi="宋体" w:eastAsia="宋体" w:cs="宋体"/>
          <w:b/>
          <w:bCs/>
          <w:color w:val="auto"/>
          <w:sz w:val="30"/>
          <w:szCs w:val="30"/>
          <w:highlight w:val="none"/>
        </w:rPr>
        <w:t>项目负责人情况表</w:t>
      </w:r>
      <w:bookmarkEnd w:id="1870"/>
      <w:bookmarkEnd w:id="1871"/>
      <w:bookmarkEnd w:id="1872"/>
      <w:bookmarkEnd w:id="1873"/>
    </w:p>
    <w:p w14:paraId="18A8E8C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p w14:paraId="40BEFE8C">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项目编号：</w:t>
      </w:r>
    </w:p>
    <w:tbl>
      <w:tblPr>
        <w:tblStyle w:val="43"/>
        <w:tblpPr w:leftFromText="180" w:rightFromText="180" w:vertAnchor="text" w:tblpXSpec="center" w:tblpY="1"/>
        <w:tblOverlap w:val="never"/>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289"/>
        <w:gridCol w:w="1129"/>
        <w:gridCol w:w="1422"/>
        <w:gridCol w:w="3515"/>
      </w:tblGrid>
      <w:tr w14:paraId="635791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tcBorders>
              <w:top w:val="thinThickSmallGap" w:color="auto" w:sz="12" w:space="0"/>
            </w:tcBorders>
            <w:vAlign w:val="center"/>
          </w:tcPr>
          <w:p w14:paraId="43D68FCC">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3418" w:type="dxa"/>
            <w:gridSpan w:val="2"/>
            <w:tcBorders>
              <w:top w:val="thinThickSmallGap" w:color="auto" w:sz="12" w:space="0"/>
            </w:tcBorders>
            <w:vAlign w:val="center"/>
          </w:tcPr>
          <w:p w14:paraId="217E128F">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tcBorders>
              <w:top w:val="thinThickSmallGap" w:color="auto" w:sz="12" w:space="0"/>
            </w:tcBorders>
            <w:vAlign w:val="center"/>
          </w:tcPr>
          <w:p w14:paraId="573C20E1">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3515" w:type="dxa"/>
            <w:tcBorders>
              <w:top w:val="thinThickSmallGap" w:color="auto" w:sz="12" w:space="0"/>
            </w:tcBorders>
            <w:vAlign w:val="center"/>
          </w:tcPr>
          <w:p w14:paraId="7E51793A">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7E834FB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37B0C2F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出生年月</w:t>
            </w:r>
          </w:p>
        </w:tc>
        <w:tc>
          <w:tcPr>
            <w:tcW w:w="3418" w:type="dxa"/>
            <w:gridSpan w:val="2"/>
            <w:vAlign w:val="center"/>
          </w:tcPr>
          <w:p w14:paraId="65383B6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vAlign w:val="center"/>
          </w:tcPr>
          <w:p w14:paraId="253D9F62">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3515" w:type="dxa"/>
            <w:vAlign w:val="center"/>
          </w:tcPr>
          <w:p w14:paraId="1A10C19D">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3C9AC3B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51D243B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3418" w:type="dxa"/>
            <w:gridSpan w:val="2"/>
            <w:vAlign w:val="center"/>
          </w:tcPr>
          <w:p w14:paraId="097E1930">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vAlign w:val="center"/>
          </w:tcPr>
          <w:p w14:paraId="5EEFC345">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移动电话</w:t>
            </w:r>
          </w:p>
        </w:tc>
        <w:tc>
          <w:tcPr>
            <w:tcW w:w="3515" w:type="dxa"/>
            <w:vAlign w:val="center"/>
          </w:tcPr>
          <w:p w14:paraId="3F3877F2">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1E75472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4D03FA2B">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注册资格</w:t>
            </w:r>
          </w:p>
        </w:tc>
        <w:tc>
          <w:tcPr>
            <w:tcW w:w="8355" w:type="dxa"/>
            <w:gridSpan w:val="4"/>
            <w:vAlign w:val="center"/>
          </w:tcPr>
          <w:p w14:paraId="19285F4E">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502AD3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394C12ED">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8355" w:type="dxa"/>
            <w:gridSpan w:val="4"/>
            <w:vAlign w:val="center"/>
          </w:tcPr>
          <w:p w14:paraId="3C0B28C2">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5653E33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45A7DD66">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8355" w:type="dxa"/>
            <w:gridSpan w:val="4"/>
            <w:vAlign w:val="center"/>
          </w:tcPr>
          <w:p w14:paraId="73F20EF7">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027768F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648212F4">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本项目拟担任工作</w:t>
            </w:r>
          </w:p>
        </w:tc>
        <w:tc>
          <w:tcPr>
            <w:tcW w:w="8355" w:type="dxa"/>
            <w:gridSpan w:val="4"/>
            <w:vAlign w:val="center"/>
          </w:tcPr>
          <w:p w14:paraId="1E63A504">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p>
        </w:tc>
      </w:tr>
      <w:tr w14:paraId="043ECB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6" w:type="dxa"/>
            <w:gridSpan w:val="2"/>
            <w:tcBorders>
              <w:bottom w:val="thinThickSmallGap" w:color="auto" w:sz="12" w:space="0"/>
            </w:tcBorders>
            <w:vAlign w:val="center"/>
          </w:tcPr>
          <w:p w14:paraId="5AF01244">
            <w:pPr>
              <w:keepNext w:val="0"/>
              <w:keepLines w:val="0"/>
              <w:suppressLineNumbers w:val="0"/>
              <w:shd w:val="clear"/>
              <w:adjustRightInd w:val="0"/>
              <w:snapToGrid w:val="0"/>
              <w:spacing w:before="120" w:beforeAutospacing="0" w:after="120" w:afterAutospacing="0" w:line="360" w:lineRule="exact"/>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曾参与本项目类似的工作业绩获奖情况、担任的主要工作</w:t>
            </w:r>
          </w:p>
        </w:tc>
        <w:tc>
          <w:tcPr>
            <w:tcW w:w="6066" w:type="dxa"/>
            <w:gridSpan w:val="3"/>
            <w:tcBorders>
              <w:bottom w:val="thinThickSmallGap" w:color="auto" w:sz="12" w:space="0"/>
            </w:tcBorders>
            <w:vAlign w:val="center"/>
          </w:tcPr>
          <w:p w14:paraId="4A481F66">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p>
        </w:tc>
      </w:tr>
    </w:tbl>
    <w:p w14:paraId="14B9F875">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2307F272">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54A444EB">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78B4808C">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6EAFB0DD">
      <w:pPr>
        <w:shd w:val="clear"/>
        <w:ind w:firstLine="0" w:firstLineChars="0"/>
        <w:jc w:val="left"/>
        <w:outlineLvl w:val="9"/>
        <w:rPr>
          <w:rFonts w:hint="eastAsia" w:ascii="宋体" w:hAnsi="宋体" w:eastAsia="宋体" w:cs="宋体"/>
          <w:b/>
          <w:bCs/>
          <w:color w:val="auto"/>
          <w:highlight w:val="none"/>
        </w:rPr>
      </w:pPr>
    </w:p>
    <w:p w14:paraId="389D4D21">
      <w:pPr>
        <w:shd w:val="clear"/>
        <w:ind w:firstLine="0" w:firstLineChars="0"/>
        <w:jc w:val="left"/>
        <w:outlineLvl w:val="9"/>
        <w:rPr>
          <w:rFonts w:hint="eastAsia" w:ascii="宋体" w:hAnsi="宋体" w:eastAsia="宋体" w:cs="宋体"/>
          <w:b/>
          <w:bCs/>
          <w:color w:val="auto"/>
          <w:highlight w:val="none"/>
        </w:rPr>
      </w:pPr>
    </w:p>
    <w:p w14:paraId="18A644BB">
      <w:pPr>
        <w:shd w:val="clear"/>
        <w:ind w:firstLine="0" w:firstLineChars="0"/>
        <w:jc w:val="left"/>
        <w:outlineLvl w:val="9"/>
        <w:rPr>
          <w:rFonts w:hint="eastAsia" w:ascii="宋体" w:hAnsi="宋体" w:eastAsia="宋体" w:cs="宋体"/>
          <w:b/>
          <w:bCs/>
          <w:color w:val="auto"/>
          <w:highlight w:val="none"/>
        </w:rPr>
      </w:pPr>
    </w:p>
    <w:p w14:paraId="7CCE9DBD">
      <w:pPr>
        <w:shd w:val="clear"/>
        <w:ind w:firstLine="0" w:firstLineChars="0"/>
        <w:jc w:val="left"/>
        <w:outlineLvl w:val="9"/>
        <w:rPr>
          <w:rFonts w:hint="eastAsia" w:ascii="宋体" w:hAnsi="宋体" w:eastAsia="宋体" w:cs="宋体"/>
          <w:b/>
          <w:bCs/>
          <w:color w:val="auto"/>
          <w:highlight w:val="none"/>
        </w:rPr>
      </w:pPr>
    </w:p>
    <w:p w14:paraId="7682DFA5">
      <w:pPr>
        <w:shd w:val="clear"/>
        <w:ind w:firstLine="0" w:firstLineChars="0"/>
        <w:jc w:val="left"/>
        <w:outlineLvl w:val="9"/>
        <w:rPr>
          <w:rFonts w:hint="eastAsia" w:ascii="宋体" w:hAnsi="宋体" w:eastAsia="宋体" w:cs="宋体"/>
          <w:b/>
          <w:bCs/>
          <w:color w:val="auto"/>
          <w:highlight w:val="none"/>
        </w:rPr>
      </w:pPr>
    </w:p>
    <w:p w14:paraId="679A1156">
      <w:pPr>
        <w:shd w:val="clear"/>
        <w:ind w:firstLine="0" w:firstLineChars="0"/>
        <w:jc w:val="left"/>
        <w:outlineLvl w:val="9"/>
        <w:rPr>
          <w:rFonts w:hint="eastAsia" w:ascii="宋体" w:hAnsi="宋体" w:eastAsia="宋体" w:cs="宋体"/>
          <w:b/>
          <w:bCs/>
          <w:color w:val="auto"/>
          <w:highlight w:val="none"/>
        </w:rPr>
      </w:pPr>
    </w:p>
    <w:p w14:paraId="683E80CD">
      <w:pPr>
        <w:shd w:val="clear"/>
        <w:ind w:firstLine="0" w:firstLineChars="0"/>
        <w:jc w:val="left"/>
        <w:outlineLvl w:val="9"/>
        <w:rPr>
          <w:rFonts w:hint="eastAsia" w:ascii="宋体" w:hAnsi="宋体" w:eastAsia="宋体" w:cs="宋体"/>
          <w:b/>
          <w:bCs/>
          <w:color w:val="auto"/>
          <w:highlight w:val="none"/>
        </w:rPr>
      </w:pPr>
    </w:p>
    <w:p w14:paraId="360FD314">
      <w:pPr>
        <w:shd w:val="clear"/>
        <w:ind w:firstLine="0" w:firstLineChars="0"/>
        <w:jc w:val="left"/>
        <w:outlineLvl w:val="0"/>
        <w:rPr>
          <w:rFonts w:hint="eastAsia" w:ascii="宋体" w:hAnsi="宋体" w:eastAsia="宋体" w:cs="宋体"/>
          <w:b/>
          <w:bCs/>
          <w:color w:val="auto"/>
          <w:highlight w:val="none"/>
          <w:lang w:val="en-US" w:eastAsia="zh-CN"/>
        </w:rPr>
      </w:pPr>
      <w:bookmarkStart w:id="1874" w:name="_Toc5237"/>
      <w:bookmarkStart w:id="1875" w:name="_Toc1754"/>
      <w:bookmarkStart w:id="1876" w:name="_Toc27243"/>
      <w:r>
        <w:rPr>
          <w:rFonts w:hint="eastAsia" w:ascii="宋体" w:hAnsi="宋体" w:eastAsia="宋体" w:cs="宋体"/>
          <w:b/>
          <w:bCs/>
          <w:color w:val="auto"/>
          <w:highlight w:val="none"/>
        </w:rPr>
        <w:t>附件</w:t>
      </w:r>
      <w:r>
        <w:rPr>
          <w:rFonts w:hint="eastAsia" w:ascii="宋体" w:hAnsi="宋体" w:cs="宋体"/>
          <w:b/>
          <w:bCs/>
          <w:color w:val="auto"/>
          <w:highlight w:val="none"/>
          <w:lang w:val="en-US" w:eastAsia="zh-CN"/>
        </w:rPr>
        <w:t>8</w:t>
      </w:r>
    </w:p>
    <w:p w14:paraId="6ED17486">
      <w:pPr>
        <w:shd w:val="clear"/>
        <w:snapToGrid w:val="0"/>
        <w:ind w:firstLine="0" w:firstLineChars="0"/>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拟派技术</w:t>
      </w:r>
      <w:r>
        <w:rPr>
          <w:rFonts w:hint="eastAsia" w:ascii="宋体" w:hAnsi="宋体" w:eastAsia="宋体" w:cs="宋体"/>
          <w:b/>
          <w:bCs/>
          <w:color w:val="auto"/>
          <w:sz w:val="30"/>
          <w:szCs w:val="30"/>
          <w:highlight w:val="none"/>
        </w:rPr>
        <w:t>负责人情况表</w:t>
      </w:r>
    </w:p>
    <w:p w14:paraId="08A2A961">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p w14:paraId="5F8772A1">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项目编号：</w:t>
      </w:r>
    </w:p>
    <w:tbl>
      <w:tblPr>
        <w:tblStyle w:val="43"/>
        <w:tblpPr w:leftFromText="180" w:rightFromText="180" w:vertAnchor="text" w:tblpXSpec="center" w:tblpY="1"/>
        <w:tblOverlap w:val="never"/>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289"/>
        <w:gridCol w:w="1129"/>
        <w:gridCol w:w="1422"/>
        <w:gridCol w:w="3515"/>
      </w:tblGrid>
      <w:tr w14:paraId="6529CF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tcBorders>
              <w:top w:val="thinThickSmallGap" w:color="auto" w:sz="12" w:space="0"/>
            </w:tcBorders>
            <w:vAlign w:val="center"/>
          </w:tcPr>
          <w:p w14:paraId="1B8AD8A9">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3418" w:type="dxa"/>
            <w:gridSpan w:val="2"/>
            <w:tcBorders>
              <w:top w:val="thinThickSmallGap" w:color="auto" w:sz="12" w:space="0"/>
            </w:tcBorders>
            <w:vAlign w:val="center"/>
          </w:tcPr>
          <w:p w14:paraId="5A025B6B">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tcBorders>
              <w:top w:val="thinThickSmallGap" w:color="auto" w:sz="12" w:space="0"/>
            </w:tcBorders>
            <w:vAlign w:val="center"/>
          </w:tcPr>
          <w:p w14:paraId="2A83D752">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3515" w:type="dxa"/>
            <w:tcBorders>
              <w:top w:val="thinThickSmallGap" w:color="auto" w:sz="12" w:space="0"/>
            </w:tcBorders>
            <w:vAlign w:val="center"/>
          </w:tcPr>
          <w:p w14:paraId="24926F30">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7FE31E2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59E8C144">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出生年月</w:t>
            </w:r>
          </w:p>
        </w:tc>
        <w:tc>
          <w:tcPr>
            <w:tcW w:w="3418" w:type="dxa"/>
            <w:gridSpan w:val="2"/>
            <w:vAlign w:val="center"/>
          </w:tcPr>
          <w:p w14:paraId="034CDABC">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vAlign w:val="center"/>
          </w:tcPr>
          <w:p w14:paraId="509DD31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3515" w:type="dxa"/>
            <w:vAlign w:val="center"/>
          </w:tcPr>
          <w:p w14:paraId="0FC8E1DE">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61BB77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61EB03EC">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3418" w:type="dxa"/>
            <w:gridSpan w:val="2"/>
            <w:vAlign w:val="center"/>
          </w:tcPr>
          <w:p w14:paraId="010900E4">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c>
          <w:tcPr>
            <w:tcW w:w="1422" w:type="dxa"/>
            <w:vAlign w:val="center"/>
          </w:tcPr>
          <w:p w14:paraId="1FBC7614">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移动电话</w:t>
            </w:r>
          </w:p>
        </w:tc>
        <w:tc>
          <w:tcPr>
            <w:tcW w:w="3515" w:type="dxa"/>
            <w:vAlign w:val="center"/>
          </w:tcPr>
          <w:p w14:paraId="0DF9898A">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66ED9BD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1C5050FF">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注册资格</w:t>
            </w:r>
          </w:p>
        </w:tc>
        <w:tc>
          <w:tcPr>
            <w:tcW w:w="8355" w:type="dxa"/>
            <w:gridSpan w:val="4"/>
            <w:vAlign w:val="center"/>
          </w:tcPr>
          <w:p w14:paraId="43F6E9C1">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0DCB93D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1E43FB28">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8355" w:type="dxa"/>
            <w:gridSpan w:val="4"/>
            <w:vAlign w:val="center"/>
          </w:tcPr>
          <w:p w14:paraId="7E1BC9B3">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41A3201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14FC2EF7">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8355" w:type="dxa"/>
            <w:gridSpan w:val="4"/>
            <w:vAlign w:val="center"/>
          </w:tcPr>
          <w:p w14:paraId="4774AA59">
            <w:pPr>
              <w:keepNext w:val="0"/>
              <w:keepLines w:val="0"/>
              <w:suppressLineNumbers w:val="0"/>
              <w:shd w:val="clear"/>
              <w:snapToGrid w:val="0"/>
              <w:spacing w:before="168" w:beforeAutospacing="0" w:after="168" w:afterAutospacing="0" w:line="360" w:lineRule="exact"/>
              <w:ind w:left="0" w:right="0" w:firstLine="0" w:firstLineChars="0"/>
              <w:jc w:val="center"/>
              <w:rPr>
                <w:rFonts w:hint="eastAsia" w:ascii="宋体" w:hAnsi="宋体" w:eastAsia="宋体" w:cs="宋体"/>
                <w:color w:val="auto"/>
                <w:highlight w:val="none"/>
              </w:rPr>
            </w:pPr>
          </w:p>
        </w:tc>
      </w:tr>
      <w:tr w14:paraId="7907919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7" w:type="dxa"/>
            <w:vAlign w:val="center"/>
          </w:tcPr>
          <w:p w14:paraId="11797113">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本项目拟担任工作</w:t>
            </w:r>
          </w:p>
        </w:tc>
        <w:tc>
          <w:tcPr>
            <w:tcW w:w="8355" w:type="dxa"/>
            <w:gridSpan w:val="4"/>
            <w:vAlign w:val="center"/>
          </w:tcPr>
          <w:p w14:paraId="6AE779FB">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p>
        </w:tc>
      </w:tr>
      <w:tr w14:paraId="1B7261F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96" w:type="dxa"/>
            <w:gridSpan w:val="2"/>
            <w:tcBorders>
              <w:bottom w:val="thinThickSmallGap" w:color="auto" w:sz="12" w:space="0"/>
            </w:tcBorders>
            <w:vAlign w:val="center"/>
          </w:tcPr>
          <w:p w14:paraId="6D149B2F">
            <w:pPr>
              <w:keepNext w:val="0"/>
              <w:keepLines w:val="0"/>
              <w:suppressLineNumbers w:val="0"/>
              <w:shd w:val="clear"/>
              <w:adjustRightInd w:val="0"/>
              <w:snapToGrid w:val="0"/>
              <w:spacing w:before="120" w:beforeAutospacing="0" w:after="120" w:afterAutospacing="0" w:line="360" w:lineRule="exact"/>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曾参与本项目类似的工作业绩获奖情况、担任的主要工作</w:t>
            </w:r>
          </w:p>
        </w:tc>
        <w:tc>
          <w:tcPr>
            <w:tcW w:w="6066" w:type="dxa"/>
            <w:gridSpan w:val="3"/>
            <w:tcBorders>
              <w:bottom w:val="thinThickSmallGap" w:color="auto" w:sz="12" w:space="0"/>
            </w:tcBorders>
            <w:vAlign w:val="center"/>
          </w:tcPr>
          <w:p w14:paraId="043B6104">
            <w:pPr>
              <w:keepNext w:val="0"/>
              <w:keepLines w:val="0"/>
              <w:suppressLineNumbers w:val="0"/>
              <w:shd w:val="clear"/>
              <w:snapToGrid w:val="0"/>
              <w:spacing w:before="120" w:beforeAutospacing="0" w:after="120" w:afterAutospacing="0" w:line="360" w:lineRule="exact"/>
              <w:ind w:left="0" w:right="0" w:firstLine="0" w:firstLineChars="0"/>
              <w:jc w:val="center"/>
              <w:rPr>
                <w:rFonts w:hint="eastAsia" w:ascii="宋体" w:hAnsi="宋体" w:eastAsia="宋体" w:cs="宋体"/>
                <w:color w:val="auto"/>
                <w:highlight w:val="none"/>
              </w:rPr>
            </w:pPr>
          </w:p>
        </w:tc>
      </w:tr>
    </w:tbl>
    <w:p w14:paraId="48E407EC">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1B46DFF6">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1922E185">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6F9CD435">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38B65CFD">
      <w:pPr>
        <w:shd w:val="clear"/>
        <w:ind w:firstLine="0" w:firstLineChars="0"/>
        <w:jc w:val="left"/>
        <w:outlineLvl w:val="0"/>
        <w:rPr>
          <w:rFonts w:hint="eastAsia" w:ascii="宋体" w:hAnsi="宋体" w:eastAsia="宋体" w:cs="宋体"/>
          <w:b/>
          <w:bCs/>
          <w:color w:val="auto"/>
          <w:highlight w:val="none"/>
        </w:rPr>
      </w:pPr>
    </w:p>
    <w:p w14:paraId="48C49A8A">
      <w:pPr>
        <w:shd w:val="clear"/>
        <w:ind w:firstLine="0" w:firstLineChars="0"/>
        <w:jc w:val="left"/>
        <w:outlineLvl w:val="0"/>
        <w:rPr>
          <w:rFonts w:hint="eastAsia" w:ascii="宋体" w:hAnsi="宋体" w:eastAsia="宋体" w:cs="宋体"/>
          <w:b/>
          <w:bCs/>
          <w:color w:val="auto"/>
          <w:highlight w:val="none"/>
        </w:rPr>
      </w:pPr>
    </w:p>
    <w:p w14:paraId="3952F221">
      <w:pPr>
        <w:shd w:val="clear"/>
        <w:ind w:firstLine="0" w:firstLineChars="0"/>
        <w:jc w:val="left"/>
        <w:outlineLvl w:val="0"/>
        <w:rPr>
          <w:rFonts w:hint="eastAsia" w:ascii="宋体" w:hAnsi="宋体" w:eastAsia="宋体" w:cs="宋体"/>
          <w:b/>
          <w:bCs/>
          <w:color w:val="auto"/>
          <w:highlight w:val="none"/>
        </w:rPr>
      </w:pPr>
    </w:p>
    <w:p w14:paraId="056D909D">
      <w:pPr>
        <w:shd w:val="clear"/>
        <w:ind w:firstLine="0" w:firstLineChars="0"/>
        <w:jc w:val="left"/>
        <w:outlineLvl w:val="0"/>
        <w:rPr>
          <w:rFonts w:hint="eastAsia" w:ascii="宋体" w:hAnsi="宋体" w:eastAsia="宋体" w:cs="宋体"/>
          <w:b/>
          <w:bCs/>
          <w:color w:val="auto"/>
          <w:highlight w:val="none"/>
        </w:rPr>
      </w:pPr>
    </w:p>
    <w:p w14:paraId="15094C66">
      <w:pPr>
        <w:shd w:val="clear"/>
        <w:ind w:firstLine="0" w:firstLineChars="0"/>
        <w:jc w:val="left"/>
        <w:outlineLvl w:val="0"/>
        <w:rPr>
          <w:rFonts w:hint="eastAsia" w:ascii="宋体" w:hAnsi="宋体" w:eastAsia="宋体" w:cs="宋体"/>
          <w:b/>
          <w:bCs/>
          <w:color w:val="auto"/>
          <w:highlight w:val="none"/>
        </w:rPr>
      </w:pPr>
    </w:p>
    <w:p w14:paraId="601FB0FF">
      <w:pPr>
        <w:shd w:val="clear"/>
        <w:ind w:firstLine="0" w:firstLineChars="0"/>
        <w:jc w:val="left"/>
        <w:outlineLvl w:val="0"/>
        <w:rPr>
          <w:rFonts w:hint="eastAsia" w:ascii="宋体" w:hAnsi="宋体" w:eastAsia="宋体" w:cs="宋体"/>
          <w:b/>
          <w:bCs/>
          <w:color w:val="auto"/>
          <w:highlight w:val="none"/>
        </w:rPr>
      </w:pPr>
    </w:p>
    <w:p w14:paraId="4EDE2009">
      <w:pPr>
        <w:shd w:val="clear"/>
        <w:ind w:firstLine="0" w:firstLineChars="0"/>
        <w:jc w:val="left"/>
        <w:outlineLvl w:val="0"/>
        <w:rPr>
          <w:rFonts w:hint="eastAsia" w:ascii="宋体" w:hAnsi="宋体" w:eastAsia="宋体" w:cs="宋体"/>
          <w:b/>
          <w:bCs/>
          <w:color w:val="auto"/>
          <w:highlight w:val="none"/>
        </w:rPr>
      </w:pPr>
    </w:p>
    <w:p w14:paraId="273192D7">
      <w:pPr>
        <w:shd w:val="clear"/>
        <w:ind w:firstLine="0" w:firstLineChars="0"/>
        <w:jc w:val="left"/>
        <w:outlineLvl w:val="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附件</w:t>
      </w:r>
      <w:bookmarkEnd w:id="1868"/>
      <w:bookmarkEnd w:id="1869"/>
      <w:bookmarkEnd w:id="1874"/>
      <w:bookmarkEnd w:id="1875"/>
      <w:bookmarkEnd w:id="1876"/>
      <w:r>
        <w:rPr>
          <w:rFonts w:hint="eastAsia" w:ascii="宋体" w:hAnsi="宋体" w:cs="宋体"/>
          <w:b/>
          <w:bCs/>
          <w:color w:val="auto"/>
          <w:highlight w:val="none"/>
          <w:lang w:val="en-US" w:eastAsia="zh-CN"/>
        </w:rPr>
        <w:t>9</w:t>
      </w:r>
    </w:p>
    <w:p w14:paraId="4C43AD6D">
      <w:pPr>
        <w:pStyle w:val="38"/>
        <w:keepNext w:val="0"/>
        <w:keepLines w:val="0"/>
        <w:widowControl w:val="0"/>
        <w:suppressLineNumbers w:val="0"/>
        <w:shd w:val="clear"/>
        <w:spacing w:before="0" w:beforeAutospacing="0" w:after="0" w:afterAutospacing="0" w:line="360" w:lineRule="auto"/>
        <w:ind w:left="0" w:leftChars="0" w:right="0" w:firstLine="0" w:firstLineChars="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bidi="ar"/>
        </w:rPr>
        <w:t>拟投入项目组成员一览表</w:t>
      </w:r>
    </w:p>
    <w:p w14:paraId="297A8A68">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项目名称：</w:t>
      </w:r>
    </w:p>
    <w:p w14:paraId="38CF8EBB">
      <w:pPr>
        <w:shd w:val="clea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bidi="ar"/>
        </w:rPr>
        <w:t>项目编号：</w:t>
      </w:r>
    </w:p>
    <w:tbl>
      <w:tblPr>
        <w:tblStyle w:val="43"/>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23"/>
        <w:gridCol w:w="1365"/>
        <w:gridCol w:w="2040"/>
        <w:gridCol w:w="1620"/>
        <w:gridCol w:w="1585"/>
        <w:gridCol w:w="1521"/>
      </w:tblGrid>
      <w:tr w14:paraId="4A1D6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10D1">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姓名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1E33">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职务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F937">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职称或资格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940">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等级</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D947">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学历</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E2CC">
            <w:pPr>
              <w:keepNext w:val="0"/>
              <w:keepLines w:val="0"/>
              <w:suppressLineNumbers w:val="0"/>
              <w:shd w:val="clear"/>
              <w:spacing w:before="0" w:beforeAutospacing="0" w:after="0" w:afterAutospacing="0"/>
              <w:ind w:left="0" w:leftChars="0" w:right="0" w:firstLine="0" w:firstLineChars="0"/>
              <w:jc w:val="center"/>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专业</w:t>
            </w:r>
          </w:p>
        </w:tc>
      </w:tr>
      <w:tr w14:paraId="5433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9A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0D49">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A21C">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E730">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F198">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4AA2">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r w14:paraId="79E8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DA38">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C6ED">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626D">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4F3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EB29">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281E">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r w14:paraId="5BFB1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F0F8">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7B31">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F6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61D4">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325F">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5336">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r w14:paraId="13F71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9552">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1103">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8641">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A71C">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96D2">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D196">
            <w:pPr>
              <w:keepNext w:val="0"/>
              <w:keepLines w:val="0"/>
              <w:widowControl w:val="0"/>
              <w:suppressLineNumbers w:val="0"/>
              <w:shd w:val="clear"/>
              <w:adjustRightInd w:val="0"/>
              <w:snapToGrid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p>
        </w:tc>
      </w:tr>
    </w:tbl>
    <w:p w14:paraId="6A301AE8">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6EED7FF7">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66598C4F">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51AC9038">
      <w:pPr>
        <w:shd w:val="clear"/>
        <w:ind w:firstLine="0" w:firstLineChars="0"/>
        <w:jc w:val="left"/>
        <w:outlineLvl w:val="9"/>
        <w:rPr>
          <w:rFonts w:hint="eastAsia" w:ascii="宋体" w:hAnsi="宋体" w:eastAsia="宋体" w:cs="宋体"/>
          <w:b/>
          <w:bCs/>
          <w:color w:val="auto"/>
          <w:highlight w:val="none"/>
        </w:rPr>
      </w:pPr>
    </w:p>
    <w:p w14:paraId="67F373E5">
      <w:pPr>
        <w:shd w:val="clear"/>
        <w:ind w:firstLine="0" w:firstLineChars="0"/>
        <w:jc w:val="left"/>
        <w:outlineLvl w:val="9"/>
        <w:rPr>
          <w:rFonts w:hint="eastAsia" w:ascii="宋体" w:hAnsi="宋体" w:eastAsia="宋体" w:cs="宋体"/>
          <w:b/>
          <w:bCs/>
          <w:color w:val="auto"/>
          <w:highlight w:val="none"/>
        </w:rPr>
      </w:pPr>
    </w:p>
    <w:p w14:paraId="24BF885C">
      <w:pPr>
        <w:shd w:val="clear"/>
        <w:ind w:firstLine="0" w:firstLineChars="0"/>
        <w:jc w:val="left"/>
        <w:outlineLvl w:val="9"/>
        <w:rPr>
          <w:rFonts w:hint="eastAsia" w:ascii="宋体" w:hAnsi="宋体" w:eastAsia="宋体" w:cs="宋体"/>
          <w:b/>
          <w:bCs/>
          <w:color w:val="auto"/>
          <w:highlight w:val="none"/>
        </w:rPr>
      </w:pPr>
    </w:p>
    <w:p w14:paraId="3BA8EEDF">
      <w:pPr>
        <w:shd w:val="clear"/>
        <w:ind w:firstLine="0" w:firstLineChars="0"/>
        <w:jc w:val="left"/>
        <w:outlineLvl w:val="9"/>
        <w:rPr>
          <w:rFonts w:hint="eastAsia" w:ascii="宋体" w:hAnsi="宋体" w:eastAsia="宋体" w:cs="宋体"/>
          <w:b/>
          <w:bCs/>
          <w:color w:val="auto"/>
          <w:highlight w:val="none"/>
        </w:rPr>
      </w:pPr>
    </w:p>
    <w:p w14:paraId="6359DCEF">
      <w:pPr>
        <w:shd w:val="clear"/>
        <w:ind w:firstLine="0" w:firstLineChars="0"/>
        <w:jc w:val="left"/>
        <w:outlineLvl w:val="9"/>
        <w:rPr>
          <w:rFonts w:hint="eastAsia" w:ascii="宋体" w:hAnsi="宋体" w:eastAsia="宋体" w:cs="宋体"/>
          <w:b/>
          <w:bCs/>
          <w:color w:val="auto"/>
          <w:highlight w:val="none"/>
        </w:rPr>
      </w:pPr>
    </w:p>
    <w:p w14:paraId="718F4D27">
      <w:pPr>
        <w:shd w:val="clear"/>
        <w:ind w:firstLine="0" w:firstLineChars="0"/>
        <w:jc w:val="left"/>
        <w:outlineLvl w:val="9"/>
        <w:rPr>
          <w:rFonts w:hint="eastAsia" w:ascii="宋体" w:hAnsi="宋体" w:eastAsia="宋体" w:cs="宋体"/>
          <w:b/>
          <w:bCs/>
          <w:color w:val="auto"/>
          <w:highlight w:val="none"/>
        </w:rPr>
      </w:pPr>
    </w:p>
    <w:p w14:paraId="17BDC5CE">
      <w:pPr>
        <w:shd w:val="clear"/>
        <w:ind w:firstLine="0" w:firstLineChars="0"/>
        <w:jc w:val="left"/>
        <w:outlineLvl w:val="9"/>
        <w:rPr>
          <w:rFonts w:hint="eastAsia" w:ascii="宋体" w:hAnsi="宋体" w:eastAsia="宋体" w:cs="宋体"/>
          <w:b/>
          <w:bCs/>
          <w:color w:val="auto"/>
          <w:highlight w:val="none"/>
        </w:rPr>
      </w:pPr>
      <w:bookmarkStart w:id="1877" w:name="_Toc16809"/>
      <w:bookmarkStart w:id="1878" w:name="_Toc18267"/>
    </w:p>
    <w:p w14:paraId="77A1D1C0">
      <w:pPr>
        <w:shd w:val="clear"/>
        <w:ind w:firstLine="0" w:firstLineChars="0"/>
        <w:jc w:val="left"/>
        <w:outlineLvl w:val="9"/>
        <w:rPr>
          <w:rFonts w:hint="eastAsia" w:ascii="宋体" w:hAnsi="宋体" w:eastAsia="宋体" w:cs="宋体"/>
          <w:b/>
          <w:bCs/>
          <w:color w:val="auto"/>
          <w:highlight w:val="none"/>
        </w:rPr>
      </w:pPr>
    </w:p>
    <w:p w14:paraId="7AB1BFFA">
      <w:pPr>
        <w:pStyle w:val="79"/>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10EA282D">
      <w:pPr>
        <w:pStyle w:val="79"/>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4A2A97FA">
      <w:pPr>
        <w:pStyle w:val="79"/>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23708E17">
      <w:pPr>
        <w:pStyle w:val="79"/>
        <w:shd w:val="clear"/>
        <w:adjustRightInd w:val="0"/>
        <w:snapToGrid w:val="0"/>
        <w:spacing w:after="156" w:afterLines="50" w:line="240" w:lineRule="auto"/>
        <w:ind w:left="0" w:leftChars="0" w:right="0" w:firstLine="0" w:firstLineChars="0"/>
        <w:jc w:val="left"/>
        <w:rPr>
          <w:rFonts w:hint="eastAsia" w:ascii="宋体" w:hAnsi="宋体" w:eastAsia="宋体" w:cs="宋体"/>
          <w:b/>
          <w:bCs/>
          <w:color w:val="auto"/>
          <w:highlight w:val="none"/>
        </w:rPr>
      </w:pPr>
    </w:p>
    <w:p w14:paraId="7254FB8E">
      <w:pPr>
        <w:pStyle w:val="79"/>
        <w:shd w:val="clear"/>
        <w:adjustRightInd w:val="0"/>
        <w:snapToGrid w:val="0"/>
        <w:spacing w:after="156" w:afterLines="50" w:line="240" w:lineRule="auto"/>
        <w:ind w:left="0" w:leftChars="0" w:right="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附件</w:t>
      </w:r>
      <w:bookmarkEnd w:id="1877"/>
      <w:bookmarkEnd w:id="1878"/>
      <w:r>
        <w:rPr>
          <w:rFonts w:hint="eastAsia" w:ascii="宋体" w:hAnsi="宋体" w:cs="宋体"/>
          <w:b/>
          <w:bCs/>
          <w:color w:val="auto"/>
          <w:highlight w:val="none"/>
          <w:lang w:val="en-US" w:eastAsia="zh-CN"/>
        </w:rPr>
        <w:t>10</w:t>
      </w:r>
    </w:p>
    <w:p w14:paraId="321D0502">
      <w:pPr>
        <w:snapToGrid w:val="0"/>
        <w:spacing w:before="72" w:after="72" w:line="360" w:lineRule="exact"/>
        <w:ind w:firstLine="301" w:firstLineChars="100"/>
        <w:jc w:val="center"/>
        <w:rPr>
          <w:rFonts w:hint="eastAsia" w:ascii="宋体" w:hAnsi="宋体" w:cs="宋体"/>
          <w:b/>
          <w:bCs/>
          <w:color w:val="auto"/>
          <w:kern w:val="2"/>
          <w:sz w:val="30"/>
          <w:szCs w:val="30"/>
          <w:highlight w:val="none"/>
          <w:lang w:val="en-US" w:eastAsia="zh-CN" w:bidi="ar-SA"/>
        </w:rPr>
      </w:pPr>
      <w:bookmarkStart w:id="1879" w:name="_Toc26273"/>
      <w:bookmarkStart w:id="1880" w:name="_Toc22205"/>
      <w:bookmarkStart w:id="1881" w:name="_Toc20565"/>
      <w:bookmarkStart w:id="1882" w:name="_Toc5825"/>
      <w:bookmarkStart w:id="1883" w:name="_Toc20206"/>
      <w:bookmarkStart w:id="1884" w:name="_Toc334"/>
      <w:bookmarkStart w:id="1885" w:name="_Toc19507"/>
      <w:bookmarkStart w:id="1886" w:name="_Toc30571"/>
      <w:bookmarkStart w:id="1887" w:name="_Toc30602"/>
      <w:bookmarkStart w:id="1888" w:name="_Toc18978"/>
      <w:bookmarkStart w:id="1889" w:name="_Toc14311"/>
      <w:bookmarkStart w:id="1890" w:name="_Toc5955"/>
      <w:bookmarkStart w:id="1891" w:name="_Toc5829"/>
      <w:bookmarkStart w:id="1892" w:name="_Toc3709"/>
      <w:bookmarkStart w:id="1893" w:name="_Toc30377"/>
      <w:bookmarkStart w:id="1894" w:name="_Toc22456"/>
      <w:bookmarkStart w:id="1895" w:name="_Toc8735"/>
      <w:bookmarkStart w:id="1896" w:name="_Toc3800"/>
      <w:bookmarkStart w:id="1897" w:name="_Toc28057"/>
      <w:bookmarkStart w:id="1898" w:name="_Toc10746"/>
      <w:bookmarkStart w:id="1899" w:name="_Toc904"/>
      <w:bookmarkStart w:id="1900" w:name="_Toc6746"/>
      <w:bookmarkStart w:id="1901" w:name="_Toc2545"/>
      <w:bookmarkStart w:id="1902" w:name="_Toc15273"/>
      <w:bookmarkStart w:id="1903" w:name="_Toc12871"/>
      <w:bookmarkStart w:id="1904" w:name="_Toc7624"/>
      <w:bookmarkStart w:id="1905" w:name="_Toc19562"/>
      <w:r>
        <w:rPr>
          <w:rFonts w:hint="eastAsia" w:ascii="宋体" w:hAnsi="宋体" w:cs="宋体"/>
          <w:b/>
          <w:bCs/>
          <w:color w:val="auto"/>
          <w:kern w:val="2"/>
          <w:sz w:val="30"/>
          <w:szCs w:val="30"/>
          <w:highlight w:val="none"/>
          <w:lang w:val="en-US" w:eastAsia="zh-CN" w:bidi="ar-SA"/>
        </w:rPr>
        <w:t>产品配置清单</w:t>
      </w:r>
    </w:p>
    <w:p w14:paraId="509D6FCD">
      <w:pPr>
        <w:snapToGrid w:val="0"/>
        <w:spacing w:before="72" w:after="72" w:line="36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项目名称：                                             </w:t>
      </w:r>
    </w:p>
    <w:p w14:paraId="23E3499A">
      <w:pPr>
        <w:snapToGrid w:val="0"/>
        <w:spacing w:before="72" w:after="72" w:line="36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lang w:bidi="ar"/>
        </w:rPr>
        <w:t>项目编号：</w:t>
      </w:r>
    </w:p>
    <w:tbl>
      <w:tblPr>
        <w:tblStyle w:val="4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175"/>
        <w:gridCol w:w="1281"/>
      </w:tblGrid>
      <w:tr w14:paraId="0D49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F67E749">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序号</w:t>
            </w:r>
          </w:p>
        </w:tc>
        <w:tc>
          <w:tcPr>
            <w:tcW w:w="1369" w:type="dxa"/>
            <w:tcBorders>
              <w:top w:val="single" w:color="auto" w:sz="4" w:space="0"/>
              <w:left w:val="nil"/>
              <w:bottom w:val="single" w:color="auto" w:sz="4" w:space="0"/>
              <w:right w:val="single" w:color="auto" w:sz="4" w:space="0"/>
            </w:tcBorders>
            <w:shd w:val="clear" w:color="auto" w:fill="auto"/>
            <w:vAlign w:val="center"/>
          </w:tcPr>
          <w:p w14:paraId="748BEF31">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名称</w:t>
            </w:r>
          </w:p>
        </w:tc>
        <w:tc>
          <w:tcPr>
            <w:tcW w:w="1114" w:type="dxa"/>
            <w:tcBorders>
              <w:top w:val="single" w:color="auto" w:sz="4" w:space="0"/>
              <w:left w:val="nil"/>
              <w:bottom w:val="single" w:color="auto" w:sz="4" w:space="0"/>
              <w:right w:val="single" w:color="auto" w:sz="4" w:space="0"/>
            </w:tcBorders>
            <w:shd w:val="clear" w:color="auto" w:fill="auto"/>
            <w:vAlign w:val="center"/>
          </w:tcPr>
          <w:p w14:paraId="55FD2343">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品牌（如果有）</w:t>
            </w:r>
          </w:p>
        </w:tc>
        <w:tc>
          <w:tcPr>
            <w:tcW w:w="1260" w:type="dxa"/>
            <w:tcBorders>
              <w:top w:val="single" w:color="auto" w:sz="4" w:space="0"/>
              <w:left w:val="nil"/>
              <w:bottom w:val="single" w:color="auto" w:sz="4" w:space="0"/>
              <w:right w:val="single" w:color="auto" w:sz="4" w:space="0"/>
            </w:tcBorders>
            <w:shd w:val="clear" w:color="auto" w:fill="auto"/>
            <w:vAlign w:val="center"/>
          </w:tcPr>
          <w:p w14:paraId="349D19E9">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型号（如果有）</w:t>
            </w:r>
          </w:p>
        </w:tc>
        <w:tc>
          <w:tcPr>
            <w:tcW w:w="2775" w:type="dxa"/>
            <w:tcBorders>
              <w:top w:val="single" w:color="auto" w:sz="4" w:space="0"/>
              <w:left w:val="nil"/>
              <w:bottom w:val="single" w:color="auto" w:sz="4" w:space="0"/>
              <w:right w:val="single" w:color="auto" w:sz="4" w:space="0"/>
            </w:tcBorders>
            <w:shd w:val="clear" w:color="auto" w:fill="auto"/>
            <w:vAlign w:val="center"/>
          </w:tcPr>
          <w:p w14:paraId="7D9ABFAA">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规格配置详细说明</w:t>
            </w:r>
          </w:p>
        </w:tc>
        <w:tc>
          <w:tcPr>
            <w:tcW w:w="1175" w:type="dxa"/>
            <w:tcBorders>
              <w:top w:val="single" w:color="auto" w:sz="4" w:space="0"/>
              <w:left w:val="nil"/>
              <w:bottom w:val="single" w:color="auto" w:sz="4" w:space="0"/>
              <w:right w:val="single" w:color="auto" w:sz="4" w:space="0"/>
            </w:tcBorders>
            <w:shd w:val="clear" w:color="auto" w:fill="auto"/>
            <w:vAlign w:val="center"/>
          </w:tcPr>
          <w:p w14:paraId="7A0AE603">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数量</w:t>
            </w:r>
          </w:p>
        </w:tc>
        <w:tc>
          <w:tcPr>
            <w:tcW w:w="1281" w:type="dxa"/>
            <w:tcBorders>
              <w:top w:val="single" w:color="auto" w:sz="4" w:space="0"/>
              <w:left w:val="nil"/>
              <w:bottom w:val="single" w:color="auto" w:sz="4" w:space="0"/>
              <w:right w:val="single" w:color="auto" w:sz="4" w:space="0"/>
            </w:tcBorders>
            <w:shd w:val="clear" w:color="auto" w:fill="auto"/>
            <w:vAlign w:val="center"/>
          </w:tcPr>
          <w:p w14:paraId="210D394A">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eastAsia="zh-CN" w:bidi="ar"/>
              </w:rPr>
            </w:pPr>
            <w:r>
              <w:rPr>
                <w:rFonts w:hint="eastAsia" w:ascii="宋体" w:hAnsi="宋体" w:cs="宋体"/>
                <w:color w:val="auto"/>
                <w:highlight w:val="none"/>
                <w:lang w:val="en-US" w:eastAsia="zh-CN" w:bidi="ar"/>
              </w:rPr>
              <w:t>单位</w:t>
            </w:r>
          </w:p>
        </w:tc>
      </w:tr>
      <w:tr w14:paraId="3A61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36E5AC2">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1</w:t>
            </w:r>
          </w:p>
        </w:tc>
        <w:tc>
          <w:tcPr>
            <w:tcW w:w="1369" w:type="dxa"/>
            <w:tcBorders>
              <w:top w:val="single" w:color="auto" w:sz="4" w:space="0"/>
              <w:left w:val="nil"/>
              <w:bottom w:val="single" w:color="auto" w:sz="4" w:space="0"/>
              <w:right w:val="single" w:color="auto" w:sz="4" w:space="0"/>
            </w:tcBorders>
            <w:shd w:val="clear" w:color="auto" w:fill="auto"/>
            <w:vAlign w:val="center"/>
          </w:tcPr>
          <w:p w14:paraId="18A075D1">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p>
        </w:tc>
        <w:tc>
          <w:tcPr>
            <w:tcW w:w="1114" w:type="dxa"/>
            <w:tcBorders>
              <w:top w:val="single" w:color="auto" w:sz="4" w:space="0"/>
              <w:left w:val="nil"/>
              <w:bottom w:val="single" w:color="auto" w:sz="4" w:space="0"/>
              <w:right w:val="single" w:color="auto" w:sz="4" w:space="0"/>
            </w:tcBorders>
            <w:shd w:val="clear" w:color="auto" w:fill="auto"/>
            <w:vAlign w:val="center"/>
          </w:tcPr>
          <w:p w14:paraId="4C16D8FF">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074D56C9">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2775" w:type="dxa"/>
            <w:tcBorders>
              <w:top w:val="single" w:color="auto" w:sz="4" w:space="0"/>
              <w:left w:val="nil"/>
              <w:bottom w:val="single" w:color="auto" w:sz="4" w:space="0"/>
              <w:right w:val="single" w:color="auto" w:sz="4" w:space="0"/>
            </w:tcBorders>
            <w:shd w:val="clear" w:color="auto" w:fill="auto"/>
            <w:vAlign w:val="center"/>
          </w:tcPr>
          <w:p w14:paraId="03609F1C">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175" w:type="dxa"/>
            <w:tcBorders>
              <w:top w:val="single" w:color="auto" w:sz="4" w:space="0"/>
              <w:left w:val="nil"/>
              <w:bottom w:val="single" w:color="auto" w:sz="4" w:space="0"/>
              <w:right w:val="single" w:color="auto" w:sz="4" w:space="0"/>
            </w:tcBorders>
            <w:shd w:val="clear" w:color="auto" w:fill="auto"/>
            <w:vAlign w:val="center"/>
          </w:tcPr>
          <w:p w14:paraId="45D04C7A">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81" w:type="dxa"/>
            <w:tcBorders>
              <w:top w:val="single" w:color="auto" w:sz="4" w:space="0"/>
              <w:left w:val="nil"/>
              <w:bottom w:val="single" w:color="auto" w:sz="4" w:space="0"/>
              <w:right w:val="single" w:color="auto" w:sz="4" w:space="0"/>
            </w:tcBorders>
            <w:shd w:val="clear" w:color="auto" w:fill="auto"/>
            <w:vAlign w:val="center"/>
          </w:tcPr>
          <w:p w14:paraId="75369BF7">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r>
      <w:tr w14:paraId="456A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E429E8E">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2</w:t>
            </w:r>
          </w:p>
        </w:tc>
        <w:tc>
          <w:tcPr>
            <w:tcW w:w="1369" w:type="dxa"/>
            <w:tcBorders>
              <w:top w:val="single" w:color="auto" w:sz="4" w:space="0"/>
              <w:left w:val="nil"/>
              <w:bottom w:val="single" w:color="auto" w:sz="4" w:space="0"/>
              <w:right w:val="single" w:color="auto" w:sz="4" w:space="0"/>
            </w:tcBorders>
            <w:shd w:val="clear" w:color="auto" w:fill="auto"/>
            <w:vAlign w:val="center"/>
          </w:tcPr>
          <w:p w14:paraId="3FF566D8">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p>
        </w:tc>
        <w:tc>
          <w:tcPr>
            <w:tcW w:w="1114" w:type="dxa"/>
            <w:tcBorders>
              <w:top w:val="single" w:color="auto" w:sz="4" w:space="0"/>
              <w:left w:val="nil"/>
              <w:bottom w:val="single" w:color="auto" w:sz="4" w:space="0"/>
              <w:right w:val="single" w:color="auto" w:sz="4" w:space="0"/>
            </w:tcBorders>
            <w:shd w:val="clear" w:color="auto" w:fill="auto"/>
            <w:vAlign w:val="center"/>
          </w:tcPr>
          <w:p w14:paraId="74961110">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276F0183">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2775" w:type="dxa"/>
            <w:tcBorders>
              <w:top w:val="single" w:color="auto" w:sz="4" w:space="0"/>
              <w:left w:val="nil"/>
              <w:bottom w:val="single" w:color="auto" w:sz="4" w:space="0"/>
              <w:right w:val="single" w:color="auto" w:sz="4" w:space="0"/>
            </w:tcBorders>
            <w:shd w:val="clear" w:color="auto" w:fill="auto"/>
            <w:vAlign w:val="center"/>
          </w:tcPr>
          <w:p w14:paraId="0A37022C">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175" w:type="dxa"/>
            <w:tcBorders>
              <w:top w:val="single" w:color="auto" w:sz="4" w:space="0"/>
              <w:left w:val="nil"/>
              <w:bottom w:val="single" w:color="auto" w:sz="4" w:space="0"/>
              <w:right w:val="single" w:color="auto" w:sz="4" w:space="0"/>
            </w:tcBorders>
            <w:shd w:val="clear" w:color="auto" w:fill="auto"/>
            <w:vAlign w:val="center"/>
          </w:tcPr>
          <w:p w14:paraId="5E8B9823">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81" w:type="dxa"/>
            <w:tcBorders>
              <w:top w:val="single" w:color="auto" w:sz="4" w:space="0"/>
              <w:left w:val="nil"/>
              <w:bottom w:val="single" w:color="auto" w:sz="4" w:space="0"/>
              <w:right w:val="single" w:color="auto" w:sz="4" w:space="0"/>
            </w:tcBorders>
            <w:shd w:val="clear" w:color="auto" w:fill="auto"/>
            <w:vAlign w:val="center"/>
          </w:tcPr>
          <w:p w14:paraId="02AC264C">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r>
      <w:tr w14:paraId="57B0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16F36925">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3</w:t>
            </w:r>
          </w:p>
        </w:tc>
        <w:tc>
          <w:tcPr>
            <w:tcW w:w="1369" w:type="dxa"/>
            <w:tcBorders>
              <w:top w:val="single" w:color="auto" w:sz="4" w:space="0"/>
              <w:left w:val="nil"/>
              <w:bottom w:val="single" w:color="auto" w:sz="4" w:space="0"/>
              <w:right w:val="single" w:color="auto" w:sz="4" w:space="0"/>
            </w:tcBorders>
            <w:shd w:val="clear" w:color="auto" w:fill="auto"/>
            <w:vAlign w:val="center"/>
          </w:tcPr>
          <w:p w14:paraId="7937C3FB">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p>
        </w:tc>
        <w:tc>
          <w:tcPr>
            <w:tcW w:w="1114" w:type="dxa"/>
            <w:tcBorders>
              <w:top w:val="single" w:color="auto" w:sz="4" w:space="0"/>
              <w:left w:val="nil"/>
              <w:bottom w:val="single" w:color="auto" w:sz="4" w:space="0"/>
              <w:right w:val="single" w:color="auto" w:sz="4" w:space="0"/>
            </w:tcBorders>
            <w:shd w:val="clear" w:color="auto" w:fill="auto"/>
            <w:vAlign w:val="center"/>
          </w:tcPr>
          <w:p w14:paraId="153D70E7">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39D276B4">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2775" w:type="dxa"/>
            <w:tcBorders>
              <w:top w:val="single" w:color="auto" w:sz="4" w:space="0"/>
              <w:left w:val="nil"/>
              <w:bottom w:val="single" w:color="auto" w:sz="4" w:space="0"/>
              <w:right w:val="single" w:color="auto" w:sz="4" w:space="0"/>
            </w:tcBorders>
            <w:shd w:val="clear" w:color="auto" w:fill="auto"/>
            <w:vAlign w:val="center"/>
          </w:tcPr>
          <w:p w14:paraId="02CF33CF">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175" w:type="dxa"/>
            <w:tcBorders>
              <w:top w:val="single" w:color="auto" w:sz="4" w:space="0"/>
              <w:left w:val="nil"/>
              <w:bottom w:val="single" w:color="auto" w:sz="4" w:space="0"/>
              <w:right w:val="single" w:color="auto" w:sz="4" w:space="0"/>
            </w:tcBorders>
            <w:shd w:val="clear" w:color="auto" w:fill="auto"/>
            <w:vAlign w:val="center"/>
          </w:tcPr>
          <w:p w14:paraId="733D7CE0">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81" w:type="dxa"/>
            <w:tcBorders>
              <w:top w:val="single" w:color="auto" w:sz="4" w:space="0"/>
              <w:left w:val="nil"/>
              <w:bottom w:val="single" w:color="auto" w:sz="4" w:space="0"/>
              <w:right w:val="single" w:color="auto" w:sz="4" w:space="0"/>
            </w:tcBorders>
            <w:shd w:val="clear" w:color="auto" w:fill="auto"/>
            <w:vAlign w:val="center"/>
          </w:tcPr>
          <w:p w14:paraId="65C5584B">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r>
      <w:tr w14:paraId="216E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29AD17D">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4</w:t>
            </w:r>
          </w:p>
        </w:tc>
        <w:tc>
          <w:tcPr>
            <w:tcW w:w="1369" w:type="dxa"/>
            <w:tcBorders>
              <w:top w:val="single" w:color="auto" w:sz="4" w:space="0"/>
              <w:left w:val="nil"/>
              <w:bottom w:val="single" w:color="auto" w:sz="4" w:space="0"/>
              <w:right w:val="single" w:color="auto" w:sz="4" w:space="0"/>
            </w:tcBorders>
            <w:shd w:val="clear" w:color="auto" w:fill="auto"/>
            <w:vAlign w:val="center"/>
          </w:tcPr>
          <w:p w14:paraId="797BD844">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p>
        </w:tc>
        <w:tc>
          <w:tcPr>
            <w:tcW w:w="1114" w:type="dxa"/>
            <w:tcBorders>
              <w:top w:val="single" w:color="auto" w:sz="4" w:space="0"/>
              <w:left w:val="nil"/>
              <w:bottom w:val="single" w:color="auto" w:sz="4" w:space="0"/>
              <w:right w:val="single" w:color="auto" w:sz="4" w:space="0"/>
            </w:tcBorders>
            <w:shd w:val="clear" w:color="auto" w:fill="auto"/>
            <w:vAlign w:val="center"/>
          </w:tcPr>
          <w:p w14:paraId="66FA712E">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18796433">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2775" w:type="dxa"/>
            <w:tcBorders>
              <w:top w:val="single" w:color="auto" w:sz="4" w:space="0"/>
              <w:left w:val="nil"/>
              <w:bottom w:val="single" w:color="auto" w:sz="4" w:space="0"/>
              <w:right w:val="single" w:color="auto" w:sz="4" w:space="0"/>
            </w:tcBorders>
            <w:shd w:val="clear" w:color="auto" w:fill="auto"/>
            <w:vAlign w:val="center"/>
          </w:tcPr>
          <w:p w14:paraId="72F8CA1A">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175" w:type="dxa"/>
            <w:tcBorders>
              <w:top w:val="single" w:color="auto" w:sz="4" w:space="0"/>
              <w:left w:val="nil"/>
              <w:bottom w:val="single" w:color="auto" w:sz="4" w:space="0"/>
              <w:right w:val="single" w:color="auto" w:sz="4" w:space="0"/>
            </w:tcBorders>
            <w:shd w:val="clear" w:color="auto" w:fill="auto"/>
            <w:vAlign w:val="center"/>
          </w:tcPr>
          <w:p w14:paraId="7EEC1D40">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81" w:type="dxa"/>
            <w:tcBorders>
              <w:top w:val="single" w:color="auto" w:sz="4" w:space="0"/>
              <w:left w:val="nil"/>
              <w:bottom w:val="single" w:color="auto" w:sz="4" w:space="0"/>
              <w:right w:val="single" w:color="auto" w:sz="4" w:space="0"/>
            </w:tcBorders>
            <w:shd w:val="clear" w:color="auto" w:fill="auto"/>
            <w:vAlign w:val="center"/>
          </w:tcPr>
          <w:p w14:paraId="63DF8137">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r>
      <w:tr w14:paraId="25E0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5864526">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5</w:t>
            </w:r>
          </w:p>
        </w:tc>
        <w:tc>
          <w:tcPr>
            <w:tcW w:w="1369" w:type="dxa"/>
            <w:tcBorders>
              <w:top w:val="single" w:color="auto" w:sz="4" w:space="0"/>
              <w:left w:val="nil"/>
              <w:bottom w:val="single" w:color="auto" w:sz="4" w:space="0"/>
              <w:right w:val="single" w:color="auto" w:sz="4" w:space="0"/>
            </w:tcBorders>
            <w:shd w:val="clear" w:color="auto" w:fill="auto"/>
            <w:vAlign w:val="center"/>
          </w:tcPr>
          <w:p w14:paraId="2B4DCDA4">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p>
        </w:tc>
        <w:tc>
          <w:tcPr>
            <w:tcW w:w="1114" w:type="dxa"/>
            <w:tcBorders>
              <w:top w:val="single" w:color="auto" w:sz="4" w:space="0"/>
              <w:left w:val="nil"/>
              <w:bottom w:val="single" w:color="auto" w:sz="4" w:space="0"/>
              <w:right w:val="single" w:color="auto" w:sz="4" w:space="0"/>
            </w:tcBorders>
            <w:shd w:val="clear" w:color="auto" w:fill="auto"/>
            <w:vAlign w:val="center"/>
          </w:tcPr>
          <w:p w14:paraId="0D14086B">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97D5B26">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2775" w:type="dxa"/>
            <w:tcBorders>
              <w:top w:val="single" w:color="auto" w:sz="4" w:space="0"/>
              <w:left w:val="nil"/>
              <w:bottom w:val="single" w:color="auto" w:sz="4" w:space="0"/>
              <w:right w:val="single" w:color="auto" w:sz="4" w:space="0"/>
            </w:tcBorders>
            <w:shd w:val="clear" w:color="auto" w:fill="auto"/>
            <w:vAlign w:val="center"/>
          </w:tcPr>
          <w:p w14:paraId="7B37CC3C">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175" w:type="dxa"/>
            <w:tcBorders>
              <w:top w:val="single" w:color="auto" w:sz="4" w:space="0"/>
              <w:left w:val="nil"/>
              <w:bottom w:val="single" w:color="auto" w:sz="4" w:space="0"/>
              <w:right w:val="single" w:color="auto" w:sz="4" w:space="0"/>
            </w:tcBorders>
            <w:shd w:val="clear" w:color="auto" w:fill="auto"/>
            <w:vAlign w:val="center"/>
          </w:tcPr>
          <w:p w14:paraId="4C5F67BE">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81" w:type="dxa"/>
            <w:tcBorders>
              <w:top w:val="single" w:color="auto" w:sz="4" w:space="0"/>
              <w:left w:val="nil"/>
              <w:bottom w:val="single" w:color="auto" w:sz="4" w:space="0"/>
              <w:right w:val="single" w:color="auto" w:sz="4" w:space="0"/>
            </w:tcBorders>
            <w:shd w:val="clear" w:color="auto" w:fill="auto"/>
            <w:vAlign w:val="center"/>
          </w:tcPr>
          <w:p w14:paraId="077E07F1">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r>
      <w:tr w14:paraId="1B1E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A031952">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6</w:t>
            </w:r>
          </w:p>
        </w:tc>
        <w:tc>
          <w:tcPr>
            <w:tcW w:w="1369" w:type="dxa"/>
            <w:tcBorders>
              <w:top w:val="single" w:color="auto" w:sz="4" w:space="0"/>
              <w:left w:val="nil"/>
              <w:bottom w:val="single" w:color="auto" w:sz="4" w:space="0"/>
              <w:right w:val="single" w:color="auto" w:sz="4" w:space="0"/>
            </w:tcBorders>
            <w:shd w:val="clear" w:color="auto" w:fill="auto"/>
            <w:vAlign w:val="center"/>
          </w:tcPr>
          <w:p w14:paraId="0E0CDFAF">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p>
        </w:tc>
        <w:tc>
          <w:tcPr>
            <w:tcW w:w="1114" w:type="dxa"/>
            <w:tcBorders>
              <w:top w:val="single" w:color="auto" w:sz="4" w:space="0"/>
              <w:left w:val="nil"/>
              <w:bottom w:val="single" w:color="auto" w:sz="4" w:space="0"/>
              <w:right w:val="single" w:color="auto" w:sz="4" w:space="0"/>
            </w:tcBorders>
            <w:shd w:val="clear" w:color="auto" w:fill="auto"/>
            <w:vAlign w:val="center"/>
          </w:tcPr>
          <w:p w14:paraId="7B8469D6">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5C304D40">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2775" w:type="dxa"/>
            <w:tcBorders>
              <w:top w:val="single" w:color="auto" w:sz="4" w:space="0"/>
              <w:left w:val="nil"/>
              <w:bottom w:val="single" w:color="auto" w:sz="4" w:space="0"/>
              <w:right w:val="single" w:color="auto" w:sz="4" w:space="0"/>
            </w:tcBorders>
            <w:shd w:val="clear" w:color="auto" w:fill="auto"/>
            <w:vAlign w:val="center"/>
          </w:tcPr>
          <w:p w14:paraId="66BD10F3">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175" w:type="dxa"/>
            <w:tcBorders>
              <w:top w:val="single" w:color="auto" w:sz="4" w:space="0"/>
              <w:left w:val="nil"/>
              <w:bottom w:val="single" w:color="auto" w:sz="4" w:space="0"/>
              <w:right w:val="single" w:color="auto" w:sz="4" w:space="0"/>
            </w:tcBorders>
            <w:shd w:val="clear" w:color="auto" w:fill="auto"/>
            <w:vAlign w:val="center"/>
          </w:tcPr>
          <w:p w14:paraId="71CCC7D2">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81" w:type="dxa"/>
            <w:tcBorders>
              <w:top w:val="single" w:color="auto" w:sz="4" w:space="0"/>
              <w:left w:val="nil"/>
              <w:bottom w:val="single" w:color="auto" w:sz="4" w:space="0"/>
              <w:right w:val="single" w:color="auto" w:sz="4" w:space="0"/>
            </w:tcBorders>
            <w:shd w:val="clear" w:color="auto" w:fill="auto"/>
            <w:vAlign w:val="center"/>
          </w:tcPr>
          <w:p w14:paraId="7E0D32C6">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r>
      <w:tr w14:paraId="216C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3183C17">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r>
              <w:rPr>
                <w:rFonts w:hint="eastAsia" w:ascii="宋体" w:hAnsi="宋体" w:cs="宋体"/>
                <w:color w:val="auto"/>
                <w:highlight w:val="none"/>
                <w:lang w:bidi="ar"/>
              </w:rPr>
              <w:t>……</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445193">
            <w:pPr>
              <w:keepNext w:val="0"/>
              <w:keepLines w:val="0"/>
              <w:widowControl/>
              <w:suppressLineNumbers w:val="0"/>
              <w:shd w:val="clear"/>
              <w:snapToGrid w:val="0"/>
              <w:spacing w:before="0" w:beforeAutospacing="0" w:after="0" w:afterAutospacing="0" w:line="240" w:lineRule="auto"/>
              <w:ind w:left="0" w:right="0" w:firstLine="0" w:firstLineChars="0"/>
              <w:jc w:val="center"/>
              <w:rPr>
                <w:rFonts w:hint="default" w:ascii="宋体" w:hAnsi="宋体" w:cs="宋体"/>
                <w:color w:val="auto"/>
                <w:highlight w:val="none"/>
                <w:lang w:bidi="ar"/>
              </w:rPr>
            </w:pPr>
          </w:p>
        </w:tc>
        <w:tc>
          <w:tcPr>
            <w:tcW w:w="1114" w:type="dxa"/>
            <w:tcBorders>
              <w:top w:val="single" w:color="auto" w:sz="4" w:space="0"/>
              <w:left w:val="nil"/>
              <w:bottom w:val="single" w:color="auto" w:sz="4" w:space="0"/>
              <w:right w:val="single" w:color="auto" w:sz="4" w:space="0"/>
            </w:tcBorders>
            <w:shd w:val="clear" w:color="auto" w:fill="auto"/>
            <w:vAlign w:val="center"/>
          </w:tcPr>
          <w:p w14:paraId="7A9D9DE6">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5ABBF11E">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2775" w:type="dxa"/>
            <w:tcBorders>
              <w:top w:val="single" w:color="auto" w:sz="4" w:space="0"/>
              <w:left w:val="nil"/>
              <w:bottom w:val="single" w:color="auto" w:sz="4" w:space="0"/>
              <w:right w:val="single" w:color="auto" w:sz="4" w:space="0"/>
            </w:tcBorders>
            <w:shd w:val="clear" w:color="auto" w:fill="auto"/>
            <w:vAlign w:val="center"/>
          </w:tcPr>
          <w:p w14:paraId="4CDDCEE6">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175" w:type="dxa"/>
            <w:tcBorders>
              <w:top w:val="single" w:color="auto" w:sz="4" w:space="0"/>
              <w:left w:val="nil"/>
              <w:bottom w:val="single" w:color="auto" w:sz="4" w:space="0"/>
              <w:right w:val="single" w:color="auto" w:sz="4" w:space="0"/>
            </w:tcBorders>
            <w:shd w:val="clear" w:color="auto" w:fill="auto"/>
            <w:vAlign w:val="center"/>
          </w:tcPr>
          <w:p w14:paraId="62FAFF98">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c>
          <w:tcPr>
            <w:tcW w:w="1281" w:type="dxa"/>
            <w:tcBorders>
              <w:top w:val="single" w:color="auto" w:sz="4" w:space="0"/>
              <w:left w:val="nil"/>
              <w:bottom w:val="single" w:color="auto" w:sz="4" w:space="0"/>
              <w:right w:val="single" w:color="auto" w:sz="4" w:space="0"/>
            </w:tcBorders>
            <w:shd w:val="clear" w:color="auto" w:fill="auto"/>
            <w:vAlign w:val="center"/>
          </w:tcPr>
          <w:p w14:paraId="56ED4314">
            <w:pPr>
              <w:keepNext w:val="0"/>
              <w:keepLines w:val="0"/>
              <w:widowControl/>
              <w:suppressLineNumbers w:val="0"/>
              <w:shd w:val="clear"/>
              <w:snapToGrid w:val="0"/>
              <w:spacing w:before="0" w:beforeAutospacing="0" w:after="0" w:afterAutospacing="0" w:line="240" w:lineRule="auto"/>
              <w:ind w:left="0" w:right="0" w:firstLine="480"/>
              <w:rPr>
                <w:rFonts w:hint="default" w:ascii="宋体" w:hAnsi="宋体" w:cs="宋体"/>
                <w:color w:val="auto"/>
                <w:highlight w:val="none"/>
                <w:lang w:bidi="ar"/>
              </w:rPr>
            </w:pPr>
          </w:p>
        </w:tc>
      </w:tr>
    </w:tbl>
    <w:p w14:paraId="4ACC9A02">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7E6276AD">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4A6739CC">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25E70B73">
      <w:pPr>
        <w:ind w:left="0" w:leftChars="0" w:firstLine="0" w:firstLineChars="0"/>
        <w:rPr>
          <w:rFonts w:hint="eastAsia" w:ascii="宋体" w:hAnsi="宋体" w:cs="宋体"/>
          <w:b/>
          <w:bCs/>
          <w:color w:val="auto"/>
          <w:highlight w:val="none"/>
          <w:lang w:bidi="ar"/>
        </w:rPr>
      </w:pPr>
    </w:p>
    <w:p w14:paraId="29425464">
      <w:pPr>
        <w:ind w:left="0" w:leftChars="0" w:firstLine="0" w:firstLineChars="0"/>
        <w:rPr>
          <w:rFonts w:hint="eastAsia" w:ascii="宋体" w:hAnsi="宋体" w:cs="宋体"/>
          <w:b/>
          <w:bCs/>
          <w:color w:val="auto"/>
          <w:highlight w:val="none"/>
          <w:lang w:bidi="ar"/>
        </w:rPr>
      </w:pPr>
    </w:p>
    <w:p w14:paraId="500AE637">
      <w:pPr>
        <w:ind w:left="0" w:leftChars="0" w:firstLine="0" w:firstLineChars="0"/>
        <w:rPr>
          <w:rFonts w:hint="eastAsia" w:ascii="宋体" w:hAnsi="宋体" w:cs="宋体"/>
          <w:b/>
          <w:bCs/>
          <w:color w:val="auto"/>
          <w:highlight w:val="none"/>
          <w:lang w:bidi="ar"/>
        </w:rPr>
      </w:pPr>
    </w:p>
    <w:p w14:paraId="55024DB4">
      <w:pPr>
        <w:ind w:left="0" w:leftChars="0" w:firstLine="0" w:firstLineChars="0"/>
        <w:rPr>
          <w:rFonts w:hint="eastAsia" w:ascii="宋体" w:hAnsi="宋体" w:cs="宋体"/>
          <w:b/>
          <w:bCs/>
          <w:color w:val="auto"/>
          <w:highlight w:val="none"/>
          <w:lang w:bidi="ar"/>
        </w:rPr>
      </w:pPr>
    </w:p>
    <w:p w14:paraId="5A846F5F">
      <w:pPr>
        <w:ind w:left="0" w:leftChars="0" w:firstLine="0" w:firstLineChars="0"/>
        <w:rPr>
          <w:rFonts w:hint="eastAsia" w:ascii="宋体" w:hAnsi="宋体" w:cs="宋体"/>
          <w:b/>
          <w:bCs/>
          <w:color w:val="auto"/>
          <w:highlight w:val="none"/>
          <w:lang w:bidi="ar"/>
        </w:rPr>
      </w:pPr>
    </w:p>
    <w:p w14:paraId="541313EF">
      <w:pPr>
        <w:ind w:left="0" w:leftChars="0" w:firstLine="0" w:firstLineChars="0"/>
        <w:rPr>
          <w:rFonts w:hint="eastAsia" w:ascii="宋体" w:hAnsi="宋体" w:cs="宋体"/>
          <w:b/>
          <w:bCs/>
          <w:color w:val="auto"/>
          <w:highlight w:val="none"/>
          <w:lang w:bidi="ar"/>
        </w:rPr>
      </w:pPr>
    </w:p>
    <w:p w14:paraId="2550CF05">
      <w:pPr>
        <w:ind w:left="0" w:leftChars="0" w:firstLine="0" w:firstLineChars="0"/>
        <w:rPr>
          <w:rFonts w:hint="eastAsia" w:ascii="宋体" w:hAnsi="宋体" w:cs="宋体"/>
          <w:b/>
          <w:bCs/>
          <w:color w:val="auto"/>
          <w:highlight w:val="none"/>
          <w:lang w:bidi="ar"/>
        </w:rPr>
      </w:pPr>
    </w:p>
    <w:p w14:paraId="5E7EB254">
      <w:pPr>
        <w:ind w:left="0" w:leftChars="0" w:firstLine="0" w:firstLineChars="0"/>
        <w:rPr>
          <w:rFonts w:hint="eastAsia" w:ascii="宋体" w:hAnsi="宋体" w:cs="宋体"/>
          <w:b/>
          <w:bCs/>
          <w:color w:val="auto"/>
          <w:highlight w:val="none"/>
          <w:lang w:bidi="ar"/>
        </w:rPr>
      </w:pPr>
    </w:p>
    <w:p w14:paraId="285174D7">
      <w:pPr>
        <w:ind w:left="0" w:leftChars="0" w:firstLine="0" w:firstLineChars="0"/>
        <w:rPr>
          <w:rFonts w:hint="eastAsia" w:ascii="宋体" w:hAnsi="宋体" w:cs="宋体"/>
          <w:b/>
          <w:bCs/>
          <w:color w:val="auto"/>
          <w:highlight w:val="none"/>
          <w:lang w:bidi="ar"/>
        </w:rPr>
      </w:pPr>
    </w:p>
    <w:p w14:paraId="4CF26AD9">
      <w:pPr>
        <w:ind w:left="0" w:leftChars="0" w:firstLine="0" w:firstLineChars="0"/>
        <w:rPr>
          <w:rFonts w:hint="eastAsia" w:ascii="宋体" w:hAnsi="宋体" w:cs="宋体"/>
          <w:b/>
          <w:bCs/>
          <w:color w:val="auto"/>
          <w:highlight w:val="none"/>
          <w:lang w:bidi="ar"/>
        </w:rPr>
      </w:pPr>
    </w:p>
    <w:p w14:paraId="0ED800F8">
      <w:pPr>
        <w:ind w:left="0" w:leftChars="0" w:firstLine="0" w:firstLineChars="0"/>
        <w:rPr>
          <w:rFonts w:hint="eastAsia" w:ascii="宋体" w:hAnsi="宋体" w:cs="宋体"/>
          <w:b/>
          <w:bCs/>
          <w:color w:val="auto"/>
          <w:highlight w:val="none"/>
          <w:lang w:bidi="ar"/>
        </w:rPr>
      </w:pPr>
    </w:p>
    <w:p w14:paraId="445A50F0">
      <w:pPr>
        <w:ind w:left="0" w:leftChars="0" w:firstLine="0" w:firstLineChars="0"/>
        <w:rPr>
          <w:rFonts w:hint="eastAsia" w:ascii="宋体" w:hAnsi="宋体" w:cs="宋体"/>
          <w:b/>
          <w:bCs/>
          <w:color w:val="auto"/>
          <w:highlight w:val="none"/>
          <w:lang w:bidi="ar"/>
        </w:rPr>
      </w:pPr>
    </w:p>
    <w:p w14:paraId="6B151A2B">
      <w:pPr>
        <w:ind w:left="0" w:leftChars="0" w:firstLine="0" w:firstLineChars="0"/>
        <w:rPr>
          <w:rFonts w:hint="eastAsia" w:ascii="宋体" w:hAnsi="宋体" w:cs="宋体"/>
          <w:b/>
          <w:bCs/>
          <w:color w:val="auto"/>
          <w:highlight w:val="none"/>
          <w:lang w:bidi="ar"/>
        </w:rPr>
      </w:pPr>
    </w:p>
    <w:p w14:paraId="70205B70">
      <w:pPr>
        <w:ind w:left="0" w:leftChars="0" w:firstLine="0" w:firstLineChars="0"/>
        <w:rPr>
          <w:rFonts w:hint="eastAsia" w:ascii="宋体" w:hAnsi="宋体" w:eastAsia="宋体" w:cs="宋体"/>
          <w:b/>
          <w:bCs/>
          <w:color w:val="auto"/>
          <w:kern w:val="0"/>
          <w:sz w:val="30"/>
          <w:szCs w:val="30"/>
          <w:highlight w:val="none"/>
          <w:lang w:val="en-US" w:eastAsia="zh-CN" w:bidi="ar"/>
        </w:rPr>
      </w:pPr>
      <w:r>
        <w:rPr>
          <w:rFonts w:hint="eastAsia" w:ascii="宋体" w:hAnsi="宋体" w:cs="宋体"/>
          <w:b/>
          <w:bCs/>
          <w:color w:val="auto"/>
          <w:highlight w:val="none"/>
          <w:lang w:bidi="ar"/>
        </w:rPr>
        <w:t>附件</w:t>
      </w:r>
      <w:r>
        <w:rPr>
          <w:rFonts w:hint="eastAsia" w:ascii="宋体" w:hAnsi="宋体" w:cs="宋体"/>
          <w:b/>
          <w:bCs/>
          <w:color w:val="auto"/>
          <w:highlight w:val="none"/>
          <w:lang w:val="en-US" w:eastAsia="zh-CN" w:bidi="ar"/>
        </w:rPr>
        <w:t>11</w:t>
      </w:r>
    </w:p>
    <w:p w14:paraId="41543491">
      <w:pPr>
        <w:shd w:val="clear"/>
        <w:snapToGrid w:val="0"/>
        <w:spacing w:line="480" w:lineRule="auto"/>
        <w:ind w:left="0" w:leftChars="0" w:firstLine="0" w:firstLineChars="0"/>
        <w:jc w:val="center"/>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cs="宋体"/>
          <w:b/>
          <w:bCs/>
          <w:color w:val="auto"/>
          <w:kern w:val="0"/>
          <w:sz w:val="30"/>
          <w:szCs w:val="30"/>
          <w:highlight w:val="none"/>
          <w:lang w:val="en-US" w:eastAsia="zh-CN" w:bidi="ar"/>
        </w:rPr>
        <w:t>技术偏离表</w:t>
      </w:r>
    </w:p>
    <w:p w14:paraId="36247420">
      <w:pPr>
        <w:shd w:val="clear"/>
        <w:spacing w:line="360" w:lineRule="auto"/>
        <w:ind w:firstLine="42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w:t>
      </w:r>
    </w:p>
    <w:tbl>
      <w:tblPr>
        <w:tblStyle w:val="43"/>
        <w:tblpPr w:leftFromText="180" w:rightFromText="180" w:vertAnchor="text" w:horzAnchor="page" w:tblpX="1128"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60"/>
        <w:gridCol w:w="3037"/>
        <w:gridCol w:w="2745"/>
      </w:tblGrid>
      <w:tr w14:paraId="7A81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6736F2CA">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序号</w:t>
            </w:r>
          </w:p>
        </w:tc>
        <w:tc>
          <w:tcPr>
            <w:tcW w:w="3060" w:type="dxa"/>
            <w:noWrap w:val="0"/>
            <w:vAlign w:val="center"/>
          </w:tcPr>
          <w:p w14:paraId="0C86644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采购要求</w:t>
            </w:r>
          </w:p>
        </w:tc>
        <w:tc>
          <w:tcPr>
            <w:tcW w:w="3037" w:type="dxa"/>
            <w:noWrap w:val="0"/>
            <w:vAlign w:val="center"/>
          </w:tcPr>
          <w:p w14:paraId="0550555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投标响应</w:t>
            </w:r>
          </w:p>
        </w:tc>
        <w:tc>
          <w:tcPr>
            <w:tcW w:w="2745" w:type="dxa"/>
            <w:noWrap w:val="0"/>
            <w:vAlign w:val="center"/>
          </w:tcPr>
          <w:p w14:paraId="27AEC075">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说明（正/负/无偏离）</w:t>
            </w:r>
          </w:p>
        </w:tc>
      </w:tr>
      <w:tr w14:paraId="0828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51A86674">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4812DFD">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707C22DA">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1BFE79E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7442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05F7F4A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443E0FE">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53E99601">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2C4C495D">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7151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5E1C27EE">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770E5791">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3A8D1BA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169F62C2">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33FB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26A161F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18C3E14E">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73836A98">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4552BF69">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2D4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4AD6E350">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6C2462D">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2DFBF34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2CDCA968">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5960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632CF5AB">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359C180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1A20186F">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7203894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bl>
    <w:p w14:paraId="280E0CA1">
      <w:pPr>
        <w:shd w:val="clear"/>
        <w:spacing w:line="360" w:lineRule="auto"/>
        <w:ind w:firstLine="42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项目编号：</w:t>
      </w:r>
    </w:p>
    <w:p w14:paraId="31B1319C">
      <w:pPr>
        <w:pageBreakBefore w:val="0"/>
        <w:widowControl w:val="0"/>
        <w:shd w:val="clear"/>
        <w:kinsoku/>
        <w:wordWrap/>
        <w:overflowPunct/>
        <w:topLinePunct w:val="0"/>
        <w:autoSpaceDE/>
        <w:autoSpaceDN/>
        <w:bidi w:val="0"/>
        <w:adjustRightInd/>
        <w:snapToGrid/>
        <w:spacing w:before="0" w:line="312"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zh-CN" w:eastAsia="zh-CN" w:bidi="ar"/>
        </w:rPr>
        <w:t>注：</w:t>
      </w:r>
      <w:r>
        <w:rPr>
          <w:rFonts w:hint="eastAsia" w:ascii="宋体" w:hAnsi="宋体" w:eastAsia="宋体" w:cs="宋体"/>
          <w:color w:val="auto"/>
          <w:kern w:val="2"/>
          <w:sz w:val="24"/>
          <w:szCs w:val="24"/>
          <w:highlight w:val="none"/>
          <w:lang w:val="en-US" w:eastAsia="zh-CN" w:bidi="ar"/>
        </w:rPr>
        <w:t>在填写其中的技术响应内容时，投标人必须对照本采购文件“项目采购需求”中各指标项逐条说明，写出各自响应内容且不局限于本采购文件技术要求，不得以“符合”或“满足”等词语作简单回答，否则评标委员会有权视其投标文件未实质响应采购文件要求；</w:t>
      </w:r>
    </w:p>
    <w:p w14:paraId="5A6D7D09">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3BEF25F6">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3E0E5E3B">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2B68D358">
      <w:pPr>
        <w:shd w:val="clear"/>
        <w:adjustRightInd w:val="0"/>
        <w:snapToGrid w:val="0"/>
        <w:spacing w:line="360" w:lineRule="auto"/>
        <w:ind w:firstLine="4080" w:firstLineChars="17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法定代表人或授权代理人（签字或盖章）</w:t>
      </w:r>
      <w:r>
        <w:rPr>
          <w:rFonts w:hint="eastAsia" w:ascii="宋体" w:hAnsi="宋体" w:eastAsia="宋体" w:cs="宋体"/>
          <w:color w:val="auto"/>
          <w:highlight w:val="none"/>
          <w:lang w:eastAsia="zh-CN" w:bidi="ar"/>
        </w:rPr>
        <w:t>：</w:t>
      </w:r>
    </w:p>
    <w:p w14:paraId="61E330DB">
      <w:pPr>
        <w:widowControl/>
        <w:shd w:val="clear"/>
        <w:adjustRightInd w:val="0"/>
        <w:snapToGrid w:val="0"/>
        <w:spacing w:line="360" w:lineRule="auto"/>
        <w:ind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049888E9">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58147ECA">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56200180">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2B9C4CFB">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1E02C11D">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7BB0109F">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76A9752A">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default" w:ascii="宋体" w:hAnsi="宋体" w:eastAsia="宋体" w:cs="宋体"/>
          <w:b/>
          <w:bCs/>
          <w:color w:val="auto"/>
          <w:kern w:val="2"/>
          <w:sz w:val="24"/>
          <w:szCs w:val="24"/>
          <w:highlight w:val="none"/>
          <w:lang w:val="en-US"/>
        </w:rPr>
      </w:pPr>
      <w:r>
        <w:rPr>
          <w:rFonts w:hint="eastAsia" w:ascii="宋体" w:hAnsi="宋体" w:eastAsia="宋体" w:cs="宋体"/>
          <w:b/>
          <w:bCs/>
          <w:color w:val="auto"/>
          <w:kern w:val="2"/>
          <w:sz w:val="24"/>
          <w:szCs w:val="24"/>
          <w:highlight w:val="none"/>
          <w:lang w:val="en-US" w:eastAsia="zh-CN" w:bidi="ar"/>
        </w:rPr>
        <w:t>附件</w:t>
      </w:r>
      <w:r>
        <w:rPr>
          <w:rFonts w:hint="eastAsia" w:cs="宋体"/>
          <w:b/>
          <w:bCs/>
          <w:color w:val="auto"/>
          <w:kern w:val="2"/>
          <w:sz w:val="24"/>
          <w:szCs w:val="24"/>
          <w:highlight w:val="none"/>
          <w:lang w:val="en-US" w:eastAsia="zh-CN" w:bidi="ar"/>
        </w:rPr>
        <w:t>12</w:t>
      </w:r>
    </w:p>
    <w:p w14:paraId="3546D333">
      <w:pPr>
        <w:shd w:val="clear"/>
        <w:spacing w:line="360" w:lineRule="auto"/>
        <w:ind w:firstLine="0" w:firstLineChars="0"/>
        <w:jc w:val="center"/>
        <w:outlineLvl w:val="0"/>
        <w:rPr>
          <w:rFonts w:hint="eastAsia" w:ascii="宋体" w:hAnsi="宋体" w:eastAsia="宋体" w:cs="宋体"/>
          <w:b/>
          <w:color w:val="auto"/>
          <w:sz w:val="30"/>
          <w:szCs w:val="30"/>
          <w:highlight w:val="none"/>
        </w:rPr>
      </w:pPr>
      <w:bookmarkStart w:id="1906" w:name="_Toc18081"/>
      <w:bookmarkStart w:id="1907" w:name="_Toc29096"/>
      <w:bookmarkStart w:id="1908" w:name="_Toc12081"/>
      <w:r>
        <w:rPr>
          <w:rFonts w:hint="eastAsia" w:ascii="宋体" w:hAnsi="宋体" w:eastAsia="宋体" w:cs="宋体"/>
          <w:b/>
          <w:color w:val="auto"/>
          <w:sz w:val="30"/>
          <w:szCs w:val="30"/>
          <w:highlight w:val="none"/>
          <w:lang w:bidi="ar"/>
        </w:rPr>
        <w:t>商务响应承诺函</w:t>
      </w:r>
      <w:bookmarkEnd w:id="1879"/>
      <w:bookmarkEnd w:id="1880"/>
      <w:bookmarkEnd w:id="1881"/>
      <w:bookmarkEnd w:id="1882"/>
      <w:bookmarkEnd w:id="1883"/>
      <w:bookmarkEnd w:id="1884"/>
      <w:bookmarkEnd w:id="1885"/>
      <w:bookmarkEnd w:id="1886"/>
      <w:bookmarkEnd w:id="1906"/>
      <w:bookmarkEnd w:id="1907"/>
      <w:bookmarkEnd w:id="1908"/>
    </w:p>
    <w:p w14:paraId="257C8A86">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14:paraId="3F014737">
      <w:pPr>
        <w:pStyle w:val="38"/>
        <w:widowControl w:val="0"/>
        <w:shd w:val="clear"/>
        <w:spacing w:before="60" w:beforeAutospacing="0" w:after="60" w:afterAutospacing="0"/>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我方参与的</w:t>
      </w:r>
      <w:r>
        <w:rPr>
          <w:rFonts w:hint="eastAsia" w:ascii="宋体" w:hAnsi="宋体" w:eastAsia="宋体" w:cs="宋体"/>
          <w:color w:val="auto"/>
          <w:kern w:val="2"/>
          <w:highlight w:val="none"/>
          <w:u w:val="single"/>
          <w:lang w:bidi="ar"/>
        </w:rPr>
        <w:t xml:space="preserve"> （项目名称）（项目编号） </w:t>
      </w:r>
      <w:r>
        <w:rPr>
          <w:rFonts w:hint="eastAsia" w:ascii="宋体" w:hAnsi="宋体" w:eastAsia="宋体" w:cs="宋体"/>
          <w:color w:val="auto"/>
          <w:kern w:val="2"/>
          <w:highlight w:val="none"/>
          <w:lang w:bidi="ar"/>
        </w:rPr>
        <w:t xml:space="preserve"> 的招标活动，我方郑重承诺，我方承诺对招标文件中的商务要求完全响应。</w:t>
      </w:r>
    </w:p>
    <w:p w14:paraId="4811C2A7">
      <w:pPr>
        <w:pStyle w:val="38"/>
        <w:widowControl w:val="0"/>
        <w:shd w:val="clear"/>
        <w:spacing w:before="60" w:beforeAutospacing="0" w:after="60" w:afterAutospacing="0"/>
        <w:ind w:firstLine="48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lang w:bidi="ar"/>
        </w:rPr>
        <w:t>如本公司对以上条款提供虚假承诺，愿承担一切法律责任。</w:t>
      </w:r>
    </w:p>
    <w:p w14:paraId="4AEF0396">
      <w:pPr>
        <w:widowControl/>
        <w:shd w:val="clear"/>
        <w:adjustRightInd w:val="0"/>
        <w:snapToGrid w:val="0"/>
        <w:spacing w:line="360" w:lineRule="auto"/>
        <w:ind w:firstLine="4080" w:firstLineChars="1700"/>
        <w:jc w:val="left"/>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68C6C41E">
      <w:pPr>
        <w:pStyle w:val="38"/>
        <w:widowControl w:val="0"/>
        <w:shd w:val="clear"/>
        <w:spacing w:before="0" w:beforeAutospacing="0" w:after="0" w:afterAutospacing="0"/>
        <w:ind w:firstLine="480"/>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bidi="ar"/>
        </w:rPr>
        <w:t xml:space="preserve"> </w:t>
      </w:r>
    </w:p>
    <w:p w14:paraId="792B1124">
      <w:pPr>
        <w:shd w:val="clear"/>
        <w:ind w:firstLine="480"/>
        <w:rPr>
          <w:rFonts w:hint="eastAsia" w:ascii="宋体" w:hAnsi="宋体" w:eastAsia="宋体" w:cs="宋体"/>
          <w:color w:val="auto"/>
          <w:highlight w:val="none"/>
        </w:rPr>
      </w:pPr>
      <w:r>
        <w:rPr>
          <w:rFonts w:hint="eastAsia" w:ascii="宋体" w:hAnsi="宋体" w:eastAsia="宋体" w:cs="宋体"/>
          <w:color w:val="auto"/>
          <w:highlight w:val="none"/>
          <w:lang w:bidi="ar"/>
        </w:rPr>
        <w:t xml:space="preserve"> </w:t>
      </w:r>
    </w:p>
    <w:p w14:paraId="4B828EB9">
      <w:pPr>
        <w:shd w:val="clear"/>
        <w:ind w:firstLine="3780" w:firstLineChars="180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highlight w:val="none"/>
          <w:lang w:eastAsia="zh-CN"/>
        </w:rPr>
        <w:t>投标人</w:t>
      </w:r>
      <w:r>
        <w:rPr>
          <w:rFonts w:hint="eastAsia" w:ascii="宋体" w:hAnsi="宋体" w:eastAsia="宋体" w:cs="宋体"/>
          <w:color w:val="auto"/>
          <w:highlight w:val="none"/>
        </w:rPr>
        <w:t xml:space="preserve">全称（盖章）：                         </w:t>
      </w:r>
    </w:p>
    <w:p w14:paraId="75915DD4">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796667A3">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09F63EB4">
      <w:pPr>
        <w:pStyle w:val="40"/>
        <w:shd w:val="clear"/>
        <w:ind w:left="0" w:leftChars="0" w:firstLine="0" w:firstLineChars="0"/>
        <w:rPr>
          <w:rFonts w:hint="eastAsia" w:ascii="宋体" w:hAnsi="宋体" w:eastAsia="宋体" w:cs="宋体"/>
          <w:color w:val="auto"/>
          <w:highlight w:val="none"/>
        </w:rPr>
      </w:pPr>
    </w:p>
    <w:p w14:paraId="05ECC7DF">
      <w:pPr>
        <w:shd w:val="clear"/>
        <w:ind w:firstLine="0" w:firstLineChars="0"/>
        <w:jc w:val="center"/>
        <w:rPr>
          <w:rFonts w:hint="eastAsia" w:ascii="宋体" w:hAnsi="宋体" w:eastAsia="宋体" w:cs="宋体"/>
          <w:b/>
          <w:bCs/>
          <w:color w:val="auto"/>
          <w:sz w:val="30"/>
          <w:szCs w:val="30"/>
          <w:highlight w:val="none"/>
        </w:rPr>
      </w:pPr>
      <w:bookmarkStart w:id="1909" w:name="_Toc21012"/>
      <w:bookmarkStart w:id="1910" w:name="_Toc25994"/>
      <w:bookmarkStart w:id="1911" w:name="_Toc18159"/>
    </w:p>
    <w:p w14:paraId="7D065E8B">
      <w:pPr>
        <w:shd w:val="clear"/>
        <w:ind w:firstLine="0" w:firstLineChars="0"/>
        <w:jc w:val="center"/>
        <w:rPr>
          <w:rFonts w:hint="eastAsia" w:ascii="宋体" w:hAnsi="宋体" w:eastAsia="宋体" w:cs="宋体"/>
          <w:b/>
          <w:bCs/>
          <w:color w:val="auto"/>
          <w:sz w:val="30"/>
          <w:szCs w:val="30"/>
          <w:highlight w:val="none"/>
        </w:rPr>
      </w:pPr>
    </w:p>
    <w:p w14:paraId="4D06E20B">
      <w:pPr>
        <w:shd w:val="clear"/>
        <w:ind w:firstLine="0" w:firstLineChars="0"/>
        <w:jc w:val="center"/>
        <w:rPr>
          <w:rFonts w:hint="eastAsia" w:ascii="宋体" w:hAnsi="宋体" w:eastAsia="宋体" w:cs="宋体"/>
          <w:b/>
          <w:bCs/>
          <w:color w:val="auto"/>
          <w:sz w:val="30"/>
          <w:szCs w:val="30"/>
          <w:highlight w:val="none"/>
        </w:rPr>
      </w:pPr>
    </w:p>
    <w:p w14:paraId="475FCDE0">
      <w:pPr>
        <w:shd w:val="clear"/>
        <w:ind w:firstLine="0" w:firstLineChars="0"/>
        <w:jc w:val="center"/>
        <w:rPr>
          <w:rFonts w:hint="eastAsia" w:ascii="宋体" w:hAnsi="宋体" w:eastAsia="宋体" w:cs="宋体"/>
          <w:b/>
          <w:bCs/>
          <w:color w:val="auto"/>
          <w:sz w:val="30"/>
          <w:szCs w:val="30"/>
          <w:highlight w:val="none"/>
        </w:rPr>
      </w:pPr>
    </w:p>
    <w:p w14:paraId="4DE17D3F">
      <w:pPr>
        <w:shd w:val="clear"/>
        <w:ind w:firstLine="0" w:firstLineChars="0"/>
        <w:jc w:val="center"/>
        <w:rPr>
          <w:rFonts w:hint="eastAsia" w:ascii="宋体" w:hAnsi="宋体" w:eastAsia="宋体" w:cs="宋体"/>
          <w:b/>
          <w:bCs/>
          <w:color w:val="auto"/>
          <w:sz w:val="30"/>
          <w:szCs w:val="30"/>
          <w:highlight w:val="none"/>
        </w:rPr>
      </w:pPr>
    </w:p>
    <w:p w14:paraId="46C69AD6">
      <w:pPr>
        <w:shd w:val="clear"/>
        <w:ind w:firstLine="0" w:firstLineChars="0"/>
        <w:jc w:val="center"/>
        <w:rPr>
          <w:rFonts w:hint="eastAsia" w:ascii="宋体" w:hAnsi="宋体" w:eastAsia="宋体" w:cs="宋体"/>
          <w:b/>
          <w:bCs/>
          <w:color w:val="auto"/>
          <w:sz w:val="30"/>
          <w:szCs w:val="30"/>
          <w:highlight w:val="none"/>
        </w:rPr>
      </w:pPr>
    </w:p>
    <w:p w14:paraId="508506F5">
      <w:pPr>
        <w:shd w:val="clear"/>
        <w:ind w:firstLine="0" w:firstLineChars="0"/>
        <w:jc w:val="center"/>
        <w:rPr>
          <w:rFonts w:hint="eastAsia" w:ascii="宋体" w:hAnsi="宋体" w:eastAsia="宋体" w:cs="宋体"/>
          <w:b/>
          <w:bCs/>
          <w:color w:val="auto"/>
          <w:sz w:val="30"/>
          <w:szCs w:val="30"/>
          <w:highlight w:val="none"/>
        </w:rPr>
      </w:pPr>
    </w:p>
    <w:p w14:paraId="3FD82AF9">
      <w:pPr>
        <w:shd w:val="clear"/>
        <w:ind w:firstLine="0" w:firstLineChars="0"/>
        <w:jc w:val="center"/>
        <w:rPr>
          <w:rFonts w:hint="eastAsia" w:ascii="宋体" w:hAnsi="宋体" w:eastAsia="宋体" w:cs="宋体"/>
          <w:b/>
          <w:bCs/>
          <w:color w:val="auto"/>
          <w:sz w:val="30"/>
          <w:szCs w:val="30"/>
          <w:highlight w:val="none"/>
        </w:rPr>
      </w:pPr>
    </w:p>
    <w:p w14:paraId="021EEB58">
      <w:pPr>
        <w:shd w:val="clear"/>
        <w:ind w:firstLine="0" w:firstLineChars="0"/>
        <w:jc w:val="center"/>
        <w:rPr>
          <w:rFonts w:hint="eastAsia" w:ascii="宋体" w:hAnsi="宋体" w:eastAsia="宋体" w:cs="宋体"/>
          <w:b/>
          <w:bCs/>
          <w:color w:val="auto"/>
          <w:sz w:val="30"/>
          <w:szCs w:val="30"/>
          <w:highlight w:val="none"/>
        </w:rPr>
      </w:pPr>
    </w:p>
    <w:p w14:paraId="2CF970FB">
      <w:pPr>
        <w:shd w:val="clear"/>
        <w:ind w:firstLine="0" w:firstLineChars="0"/>
        <w:jc w:val="center"/>
        <w:rPr>
          <w:rFonts w:hint="eastAsia" w:ascii="宋体" w:hAnsi="宋体" w:eastAsia="宋体" w:cs="宋体"/>
          <w:b/>
          <w:bCs/>
          <w:color w:val="auto"/>
          <w:sz w:val="30"/>
          <w:szCs w:val="30"/>
          <w:highlight w:val="none"/>
        </w:rPr>
      </w:pPr>
    </w:p>
    <w:p w14:paraId="0258A4F2">
      <w:pPr>
        <w:shd w:val="clear"/>
        <w:ind w:firstLine="0" w:firstLineChars="0"/>
        <w:jc w:val="center"/>
        <w:rPr>
          <w:rFonts w:hint="eastAsia" w:ascii="宋体" w:hAnsi="宋体" w:eastAsia="宋体" w:cs="宋体"/>
          <w:b/>
          <w:bCs/>
          <w:color w:val="auto"/>
          <w:sz w:val="30"/>
          <w:szCs w:val="30"/>
          <w:highlight w:val="none"/>
        </w:rPr>
      </w:pPr>
    </w:p>
    <w:p w14:paraId="2FB8E42A">
      <w:pPr>
        <w:shd w:val="clear"/>
        <w:ind w:firstLine="0" w:firstLineChars="0"/>
        <w:jc w:val="center"/>
        <w:rPr>
          <w:rFonts w:hint="eastAsia" w:ascii="宋体" w:hAnsi="宋体" w:eastAsia="宋体" w:cs="宋体"/>
          <w:b/>
          <w:bCs/>
          <w:color w:val="auto"/>
          <w:sz w:val="30"/>
          <w:szCs w:val="30"/>
          <w:highlight w:val="none"/>
        </w:rPr>
      </w:pPr>
    </w:p>
    <w:p w14:paraId="6089D28E">
      <w:pPr>
        <w:shd w:val="clear"/>
        <w:ind w:firstLine="0" w:firstLineChars="0"/>
        <w:jc w:val="center"/>
        <w:rPr>
          <w:rFonts w:hint="eastAsia" w:ascii="宋体" w:hAnsi="宋体" w:eastAsia="宋体" w:cs="宋体"/>
          <w:b/>
          <w:bCs/>
          <w:color w:val="auto"/>
          <w:sz w:val="30"/>
          <w:szCs w:val="30"/>
          <w:highlight w:val="none"/>
        </w:rPr>
      </w:pPr>
    </w:p>
    <w:p w14:paraId="5622EC71">
      <w:pPr>
        <w:shd w:val="clear"/>
        <w:ind w:firstLine="0" w:firstLineChars="0"/>
        <w:jc w:val="center"/>
        <w:rPr>
          <w:rFonts w:hint="eastAsia" w:ascii="宋体" w:hAnsi="宋体" w:eastAsia="宋体" w:cs="宋体"/>
          <w:b/>
          <w:bCs/>
          <w:color w:val="auto"/>
          <w:sz w:val="30"/>
          <w:szCs w:val="30"/>
          <w:highlight w:val="none"/>
        </w:rPr>
      </w:pPr>
    </w:p>
    <w:p w14:paraId="0ADD1E3D">
      <w:pPr>
        <w:ind w:left="0" w:leftChars="0" w:firstLine="0" w:firstLineChars="0"/>
        <w:rPr>
          <w:rFonts w:hint="default" w:ascii="宋体" w:hAnsi="宋体" w:eastAsia="宋体" w:cs="宋体"/>
          <w:b/>
          <w:bCs/>
          <w:color w:val="auto"/>
          <w:highlight w:val="none"/>
          <w:lang w:val="en-US" w:eastAsia="zh-CN"/>
        </w:rPr>
      </w:pPr>
      <w:bookmarkStart w:id="1912" w:name="_Toc29541"/>
      <w:bookmarkStart w:id="1913" w:name="_Toc27202"/>
      <w:bookmarkStart w:id="1914" w:name="_Toc16356"/>
      <w:bookmarkStart w:id="1915" w:name="_Toc14352"/>
      <w:bookmarkStart w:id="1916" w:name="_Toc7710"/>
      <w:bookmarkStart w:id="1917" w:name="_Toc16950"/>
      <w:bookmarkStart w:id="1918" w:name="_Toc11447"/>
      <w:bookmarkStart w:id="1919" w:name="_Toc16019"/>
      <w:bookmarkStart w:id="1920" w:name="_Toc28986"/>
      <w:r>
        <w:rPr>
          <w:rFonts w:hint="eastAsia" w:ascii="宋体" w:hAnsi="宋体" w:cs="宋体"/>
          <w:b/>
          <w:bCs/>
          <w:color w:val="auto"/>
          <w:highlight w:val="none"/>
          <w:lang w:bidi="ar"/>
        </w:rPr>
        <w:t>附件</w:t>
      </w:r>
      <w:r>
        <w:rPr>
          <w:rFonts w:hint="eastAsia" w:ascii="宋体" w:hAnsi="宋体" w:cs="宋体"/>
          <w:b/>
          <w:bCs/>
          <w:color w:val="auto"/>
          <w:highlight w:val="none"/>
          <w:lang w:val="en-US" w:eastAsia="zh-CN" w:bidi="ar"/>
        </w:rPr>
        <w:t>13</w:t>
      </w:r>
    </w:p>
    <w:p w14:paraId="43979404">
      <w:pPr>
        <w:widowControl/>
        <w:shd w:val="clear"/>
        <w:spacing w:line="440" w:lineRule="exact"/>
        <w:ind w:left="0" w:leftChars="0" w:firstLine="0" w:firstLineChars="0"/>
        <w:jc w:val="center"/>
        <w:rPr>
          <w:rFonts w:hint="eastAsia" w:ascii="宋体" w:hAnsi="宋体" w:cs="宋体"/>
          <w:b/>
          <w:bCs w:val="0"/>
          <w:color w:val="auto"/>
          <w:kern w:val="2"/>
          <w:sz w:val="30"/>
          <w:szCs w:val="30"/>
          <w:highlight w:val="none"/>
          <w:lang w:val="zh-CN" w:eastAsia="zh-CN" w:bidi="ar-SA"/>
        </w:rPr>
      </w:pPr>
      <w:r>
        <w:rPr>
          <w:rFonts w:hint="eastAsia" w:ascii="宋体" w:hAnsi="宋体" w:cs="宋体"/>
          <w:b/>
          <w:bCs w:val="0"/>
          <w:color w:val="auto"/>
          <w:kern w:val="2"/>
          <w:sz w:val="30"/>
          <w:szCs w:val="30"/>
          <w:highlight w:val="none"/>
          <w:lang w:val="zh-CN" w:eastAsia="zh-CN" w:bidi="ar-SA"/>
        </w:rPr>
        <w:t>随机标准附件、备品备件、零配件、专用工具清单</w:t>
      </w:r>
    </w:p>
    <w:p w14:paraId="006BF2B9">
      <w:pPr>
        <w:widowControl/>
        <w:shd w:val="clear"/>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项目名称：                                  </w:t>
      </w:r>
    </w:p>
    <w:p w14:paraId="5024542B">
      <w:pPr>
        <w:shd w:val="clear"/>
        <w:rPr>
          <w:rFonts w:hint="default"/>
          <w:color w:val="auto"/>
          <w:highlight w:val="none"/>
          <w:lang w:val="zh-CN"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sz w:val="21"/>
          <w:szCs w:val="21"/>
          <w:highlight w:val="none"/>
        </w:rPr>
        <w:t xml:space="preserve"> </w:t>
      </w:r>
    </w:p>
    <w:tbl>
      <w:tblPr>
        <w:tblStyle w:val="4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1890"/>
        <w:gridCol w:w="1260"/>
        <w:gridCol w:w="1080"/>
        <w:gridCol w:w="1440"/>
        <w:gridCol w:w="1080"/>
        <w:gridCol w:w="1080"/>
      </w:tblGrid>
      <w:tr w14:paraId="61D822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56024CC4">
            <w:pPr>
              <w:keepNext w:val="0"/>
              <w:keepLines w:val="0"/>
              <w:suppressLineNumbers w:val="0"/>
              <w:shd w:val="clear"/>
              <w:snapToGrid w:val="0"/>
              <w:spacing w:before="0" w:beforeAutospacing="0" w:after="0" w:afterAutospacing="0" w:line="300" w:lineRule="auto"/>
              <w:ind w:left="0" w:right="0" w:firstLine="0" w:firstLineChars="0"/>
              <w:jc w:val="center"/>
              <w:rPr>
                <w:rFonts w:hint="default" w:ascii="宋体" w:hAnsi="宋体" w:cs="宋体"/>
                <w:color w:val="auto"/>
                <w:sz w:val="21"/>
                <w:highlight w:val="none"/>
              </w:rPr>
            </w:pPr>
            <w:r>
              <w:rPr>
                <w:rFonts w:hint="eastAsia" w:ascii="宋体" w:hAnsi="宋体" w:cs="宋体"/>
                <w:color w:val="auto"/>
                <w:highlight w:val="none"/>
              </w:rPr>
              <w:t>序号</w:t>
            </w:r>
          </w:p>
        </w:tc>
        <w:tc>
          <w:tcPr>
            <w:tcW w:w="1890" w:type="dxa"/>
            <w:vAlign w:val="center"/>
          </w:tcPr>
          <w:p w14:paraId="3118FF6F">
            <w:pPr>
              <w:keepNext w:val="0"/>
              <w:keepLines w:val="0"/>
              <w:suppressLineNumbers w:val="0"/>
              <w:shd w:val="clear"/>
              <w:snapToGrid w:val="0"/>
              <w:spacing w:before="0" w:beforeAutospacing="0" w:after="0" w:afterAutospacing="0" w:line="300" w:lineRule="auto"/>
              <w:ind w:left="0" w:right="0" w:firstLine="0" w:firstLineChars="0"/>
              <w:jc w:val="center"/>
              <w:rPr>
                <w:rFonts w:hint="default" w:ascii="宋体" w:hAnsi="宋体" w:cs="宋体"/>
                <w:color w:val="auto"/>
                <w:sz w:val="21"/>
                <w:highlight w:val="none"/>
              </w:rPr>
            </w:pPr>
            <w:r>
              <w:rPr>
                <w:rFonts w:hint="eastAsia" w:ascii="宋体" w:hAnsi="宋体" w:cs="宋体"/>
                <w:color w:val="auto"/>
                <w:highlight w:val="none"/>
              </w:rPr>
              <w:t>名称</w:t>
            </w:r>
          </w:p>
        </w:tc>
        <w:tc>
          <w:tcPr>
            <w:tcW w:w="1260" w:type="dxa"/>
            <w:vAlign w:val="center"/>
          </w:tcPr>
          <w:p w14:paraId="3A326EA1">
            <w:pPr>
              <w:keepNext w:val="0"/>
              <w:keepLines w:val="0"/>
              <w:suppressLineNumbers w:val="0"/>
              <w:shd w:val="clear"/>
              <w:snapToGrid w:val="0"/>
              <w:spacing w:before="0" w:beforeAutospacing="0" w:after="0" w:afterAutospacing="0" w:line="300" w:lineRule="auto"/>
              <w:ind w:left="0" w:right="0" w:firstLine="0" w:firstLineChars="0"/>
              <w:jc w:val="center"/>
              <w:rPr>
                <w:rFonts w:hint="default" w:ascii="宋体" w:hAnsi="宋体" w:cs="宋体"/>
                <w:color w:val="auto"/>
                <w:sz w:val="21"/>
                <w:highlight w:val="none"/>
              </w:rPr>
            </w:pPr>
            <w:r>
              <w:rPr>
                <w:rFonts w:hint="eastAsia" w:ascii="宋体" w:hAnsi="宋体" w:cs="宋体"/>
                <w:color w:val="auto"/>
                <w:highlight w:val="none"/>
              </w:rPr>
              <w:t>主要技术指标</w:t>
            </w:r>
          </w:p>
        </w:tc>
        <w:tc>
          <w:tcPr>
            <w:tcW w:w="1080" w:type="dxa"/>
            <w:vAlign w:val="center"/>
          </w:tcPr>
          <w:p w14:paraId="27844050">
            <w:pPr>
              <w:keepNext w:val="0"/>
              <w:keepLines w:val="0"/>
              <w:suppressLineNumbers w:val="0"/>
              <w:shd w:val="clear"/>
              <w:snapToGrid w:val="0"/>
              <w:spacing w:before="0" w:beforeAutospacing="0" w:after="0" w:afterAutospacing="0" w:line="300" w:lineRule="auto"/>
              <w:ind w:left="0" w:right="0" w:firstLine="0" w:firstLineChars="0"/>
              <w:jc w:val="center"/>
              <w:rPr>
                <w:rFonts w:hint="default" w:ascii="宋体" w:hAnsi="宋体" w:cs="宋体"/>
                <w:color w:val="auto"/>
                <w:sz w:val="21"/>
                <w:highlight w:val="none"/>
              </w:rPr>
            </w:pPr>
            <w:r>
              <w:rPr>
                <w:rFonts w:hint="eastAsia" w:ascii="宋体" w:hAnsi="宋体" w:cs="宋体"/>
                <w:color w:val="auto"/>
                <w:highlight w:val="none"/>
              </w:rPr>
              <w:t>规格型号</w:t>
            </w:r>
          </w:p>
        </w:tc>
        <w:tc>
          <w:tcPr>
            <w:tcW w:w="1440" w:type="dxa"/>
            <w:vAlign w:val="center"/>
          </w:tcPr>
          <w:p w14:paraId="33B5D468">
            <w:pPr>
              <w:keepNext w:val="0"/>
              <w:keepLines w:val="0"/>
              <w:suppressLineNumbers w:val="0"/>
              <w:shd w:val="clear"/>
              <w:snapToGrid w:val="0"/>
              <w:spacing w:before="0" w:beforeAutospacing="0" w:after="0" w:afterAutospacing="0" w:line="300" w:lineRule="auto"/>
              <w:ind w:left="0" w:right="0" w:firstLine="0" w:firstLineChars="0"/>
              <w:jc w:val="center"/>
              <w:rPr>
                <w:rFonts w:hint="default" w:ascii="宋体" w:hAnsi="宋体" w:cs="宋体"/>
                <w:color w:val="auto"/>
                <w:sz w:val="21"/>
                <w:highlight w:val="none"/>
              </w:rPr>
            </w:pPr>
            <w:r>
              <w:rPr>
                <w:rFonts w:hint="eastAsia" w:ascii="宋体" w:hAnsi="宋体" w:cs="宋体"/>
                <w:color w:val="auto"/>
                <w:highlight w:val="none"/>
              </w:rPr>
              <w:t>品牌/产地</w:t>
            </w:r>
          </w:p>
        </w:tc>
        <w:tc>
          <w:tcPr>
            <w:tcW w:w="1080" w:type="dxa"/>
            <w:vAlign w:val="center"/>
          </w:tcPr>
          <w:p w14:paraId="58E32C3A">
            <w:pPr>
              <w:keepNext w:val="0"/>
              <w:keepLines w:val="0"/>
              <w:suppressLineNumbers w:val="0"/>
              <w:shd w:val="clear"/>
              <w:snapToGrid w:val="0"/>
              <w:spacing w:before="0" w:beforeAutospacing="0" w:after="0" w:afterAutospacing="0" w:line="300" w:lineRule="auto"/>
              <w:ind w:left="0" w:right="0" w:firstLine="0" w:firstLineChars="0"/>
              <w:jc w:val="center"/>
              <w:rPr>
                <w:rFonts w:hint="default" w:ascii="宋体" w:hAnsi="宋体" w:cs="宋体"/>
                <w:color w:val="auto"/>
                <w:sz w:val="21"/>
                <w:highlight w:val="none"/>
              </w:rPr>
            </w:pPr>
            <w:r>
              <w:rPr>
                <w:rFonts w:hint="eastAsia" w:ascii="宋体" w:hAnsi="宋体" w:cs="宋体"/>
                <w:color w:val="auto"/>
                <w:highlight w:val="none"/>
              </w:rPr>
              <w:t>数量</w:t>
            </w:r>
          </w:p>
        </w:tc>
        <w:tc>
          <w:tcPr>
            <w:tcW w:w="1080" w:type="dxa"/>
            <w:vAlign w:val="center"/>
          </w:tcPr>
          <w:p w14:paraId="1BDA7020">
            <w:pPr>
              <w:keepNext w:val="0"/>
              <w:keepLines w:val="0"/>
              <w:suppressLineNumbers w:val="0"/>
              <w:shd w:val="clear"/>
              <w:snapToGrid w:val="0"/>
              <w:spacing w:before="0" w:beforeAutospacing="0" w:after="0" w:afterAutospacing="0" w:line="300" w:lineRule="auto"/>
              <w:ind w:left="0" w:right="0" w:firstLine="0" w:firstLineChars="0"/>
              <w:jc w:val="center"/>
              <w:rPr>
                <w:rFonts w:hint="default" w:ascii="宋体" w:hAnsi="宋体" w:cs="宋体"/>
                <w:color w:val="auto"/>
                <w:sz w:val="21"/>
                <w:highlight w:val="none"/>
              </w:rPr>
            </w:pPr>
            <w:r>
              <w:rPr>
                <w:rFonts w:hint="eastAsia" w:ascii="宋体" w:hAnsi="宋体" w:cs="宋体"/>
                <w:color w:val="auto"/>
                <w:highlight w:val="none"/>
              </w:rPr>
              <w:t>备注</w:t>
            </w:r>
          </w:p>
        </w:tc>
      </w:tr>
      <w:tr w14:paraId="623102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03464574">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2EB50727">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50C2F5CE">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500C88EB">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55427395">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774A757F">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0B9482FB">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r w14:paraId="1C9A30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546EFA60">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1A53BFC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61D1047F">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00878077">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08B2E643">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0057290E">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764969B1">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r w14:paraId="7DC33C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44610C1D">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6CC3DFE7">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6A49879F">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6E9C4C60">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0EC6091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71DF7539">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2D31DAF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r w14:paraId="79B32B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7DB14794">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33BB6D9D">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7056F443">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7517CC48">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61828DFE">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3C9820D9">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254D6F76">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r w14:paraId="149492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39A3007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77E827B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1B684797">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25891E59">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44201FD0">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1BD87F73">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217267F9">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r w14:paraId="513D0A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13F90DE8">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13388D77">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12E6143F">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2C565586">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7B592FD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0AC59133">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794364FB">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r w14:paraId="055ACD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72B4957D">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69D17B13">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7EC2EA65">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54B01506">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4135A345">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20DAEA35">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738DA148">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r w14:paraId="1C58F3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8" w:type="dxa"/>
            <w:vAlign w:val="center"/>
          </w:tcPr>
          <w:p w14:paraId="0948D6D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890" w:type="dxa"/>
            <w:vAlign w:val="center"/>
          </w:tcPr>
          <w:p w14:paraId="59AD8657">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260" w:type="dxa"/>
            <w:vAlign w:val="center"/>
          </w:tcPr>
          <w:p w14:paraId="1EE0D55D">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096F7BE0">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440" w:type="dxa"/>
            <w:vAlign w:val="center"/>
          </w:tcPr>
          <w:p w14:paraId="57088DFA">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738C00EE">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c>
          <w:tcPr>
            <w:tcW w:w="1080" w:type="dxa"/>
            <w:vAlign w:val="center"/>
          </w:tcPr>
          <w:p w14:paraId="6D8572E2">
            <w:pPr>
              <w:keepNext w:val="0"/>
              <w:keepLines w:val="0"/>
              <w:suppressLineNumbers w:val="0"/>
              <w:shd w:val="clear"/>
              <w:spacing w:before="0" w:beforeAutospacing="0" w:after="0" w:afterAutospacing="0"/>
              <w:ind w:left="0" w:right="0" w:firstLine="420"/>
              <w:jc w:val="center"/>
              <w:rPr>
                <w:rFonts w:hint="default" w:ascii="宋体" w:hAnsi="宋体" w:cs="宋体"/>
                <w:color w:val="auto"/>
                <w:sz w:val="21"/>
                <w:szCs w:val="21"/>
                <w:highlight w:val="none"/>
              </w:rPr>
            </w:pPr>
          </w:p>
        </w:tc>
      </w:tr>
    </w:tbl>
    <w:p w14:paraId="22940E17">
      <w:pPr>
        <w:keepNext w:val="0"/>
        <w:keepLines w:val="0"/>
        <w:pageBreakBefore w:val="0"/>
        <w:widowControl w:val="0"/>
        <w:shd w:val="clea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olor w:val="auto"/>
          <w:highlight w:val="none"/>
          <w:lang w:val="zh-CN" w:eastAsia="zh-CN"/>
        </w:rPr>
      </w:pPr>
      <w:r>
        <w:rPr>
          <w:rFonts w:hint="default" w:ascii="Times New Roman" w:hAnsi="Times New Roman" w:eastAsia="宋体"/>
          <w:color w:val="auto"/>
          <w:highlight w:val="none"/>
          <w:lang w:val="zh-CN" w:eastAsia="zh-CN"/>
        </w:rPr>
        <w:t>注：此表在不改变表式的情况下可自行制作。</w:t>
      </w:r>
    </w:p>
    <w:p w14:paraId="65DA9FAC">
      <w:pPr>
        <w:shd w:val="clear"/>
        <w:ind w:firstLine="3780" w:firstLineChars="180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AFF091D">
      <w:pPr>
        <w:shd w:val="clear"/>
        <w:ind w:firstLine="3780" w:firstLineChars="1800"/>
        <w:jc w:val="both"/>
        <w:rPr>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14:paraId="16AFB5E1">
      <w:pPr>
        <w:shd w:val="clear"/>
        <w:ind w:firstLine="4320" w:firstLineChars="1800"/>
        <w:jc w:val="both"/>
        <w:rPr>
          <w:color w:val="auto"/>
          <w:highlight w:val="none"/>
        </w:rPr>
      </w:pPr>
      <w:r>
        <w:rPr>
          <w:rFonts w:hint="eastAsia"/>
          <w:color w:val="auto"/>
          <w:highlight w:val="none"/>
        </w:rPr>
        <w:t>法定代表人或授权代理人（签字或盖章）：</w:t>
      </w:r>
    </w:p>
    <w:p w14:paraId="0F9B87C7">
      <w:pPr>
        <w:shd w:val="clear"/>
        <w:ind w:firstLine="4320" w:firstLineChars="1800"/>
        <w:jc w:val="both"/>
        <w:rPr>
          <w:color w:val="auto"/>
          <w:highlight w:val="none"/>
        </w:rPr>
      </w:pPr>
      <w:r>
        <w:rPr>
          <w:rFonts w:hint="eastAsia"/>
          <w:color w:val="auto"/>
          <w:highlight w:val="none"/>
        </w:rPr>
        <w:t>日期：</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4791676C">
      <w:pPr>
        <w:shd w:val="clear"/>
        <w:ind w:firstLine="0" w:firstLineChars="0"/>
        <w:jc w:val="center"/>
        <w:outlineLvl w:val="0"/>
        <w:rPr>
          <w:rFonts w:hint="eastAsia" w:ascii="宋体" w:hAnsi="宋体" w:eastAsia="宋体" w:cs="宋体"/>
          <w:b/>
          <w:bCs/>
          <w:color w:val="auto"/>
          <w:sz w:val="30"/>
          <w:szCs w:val="30"/>
          <w:highlight w:val="none"/>
        </w:rPr>
      </w:pPr>
    </w:p>
    <w:p w14:paraId="5E7FBF59">
      <w:pPr>
        <w:shd w:val="clear"/>
        <w:ind w:firstLine="0" w:firstLineChars="0"/>
        <w:jc w:val="center"/>
        <w:outlineLvl w:val="0"/>
        <w:rPr>
          <w:rFonts w:hint="eastAsia" w:ascii="宋体" w:hAnsi="宋体" w:eastAsia="宋体" w:cs="宋体"/>
          <w:b/>
          <w:bCs/>
          <w:color w:val="auto"/>
          <w:sz w:val="30"/>
          <w:szCs w:val="30"/>
          <w:highlight w:val="none"/>
        </w:rPr>
      </w:pPr>
    </w:p>
    <w:p w14:paraId="02C3E887">
      <w:pPr>
        <w:shd w:val="clear"/>
        <w:ind w:firstLine="0" w:firstLineChars="0"/>
        <w:jc w:val="center"/>
        <w:outlineLvl w:val="0"/>
        <w:rPr>
          <w:rFonts w:hint="eastAsia" w:ascii="宋体" w:hAnsi="宋体" w:eastAsia="宋体" w:cs="宋体"/>
          <w:b/>
          <w:bCs/>
          <w:color w:val="auto"/>
          <w:sz w:val="30"/>
          <w:szCs w:val="30"/>
          <w:highlight w:val="none"/>
        </w:rPr>
      </w:pPr>
    </w:p>
    <w:p w14:paraId="15721D43">
      <w:pPr>
        <w:shd w:val="clear"/>
        <w:ind w:firstLine="0" w:firstLineChars="0"/>
        <w:jc w:val="center"/>
        <w:outlineLvl w:val="0"/>
        <w:rPr>
          <w:rFonts w:hint="eastAsia" w:ascii="宋体" w:hAnsi="宋体" w:eastAsia="宋体" w:cs="宋体"/>
          <w:b/>
          <w:bCs/>
          <w:color w:val="auto"/>
          <w:sz w:val="30"/>
          <w:szCs w:val="30"/>
          <w:highlight w:val="none"/>
        </w:rPr>
      </w:pPr>
    </w:p>
    <w:p w14:paraId="73593777">
      <w:pPr>
        <w:shd w:val="clear"/>
        <w:ind w:firstLine="0" w:firstLineChars="0"/>
        <w:jc w:val="center"/>
        <w:outlineLvl w:val="0"/>
        <w:rPr>
          <w:rFonts w:hint="eastAsia" w:ascii="宋体" w:hAnsi="宋体" w:eastAsia="宋体" w:cs="宋体"/>
          <w:b/>
          <w:bCs/>
          <w:color w:val="auto"/>
          <w:sz w:val="30"/>
          <w:szCs w:val="30"/>
          <w:highlight w:val="none"/>
        </w:rPr>
      </w:pPr>
    </w:p>
    <w:p w14:paraId="3DBC7C92">
      <w:pPr>
        <w:shd w:val="clear"/>
        <w:ind w:firstLine="0" w:firstLineChars="0"/>
        <w:jc w:val="center"/>
        <w:outlineLvl w:val="0"/>
        <w:rPr>
          <w:rFonts w:hint="eastAsia" w:ascii="宋体" w:hAnsi="宋体" w:eastAsia="宋体" w:cs="宋体"/>
          <w:b/>
          <w:bCs/>
          <w:color w:val="auto"/>
          <w:sz w:val="30"/>
          <w:szCs w:val="30"/>
          <w:highlight w:val="none"/>
        </w:rPr>
      </w:pPr>
    </w:p>
    <w:p w14:paraId="077AC06F">
      <w:pPr>
        <w:shd w:val="clear"/>
        <w:ind w:firstLine="0" w:firstLineChars="0"/>
        <w:jc w:val="center"/>
        <w:outlineLvl w:val="0"/>
        <w:rPr>
          <w:rFonts w:hint="eastAsia" w:ascii="宋体" w:hAnsi="宋体" w:eastAsia="宋体" w:cs="宋体"/>
          <w:b/>
          <w:bCs/>
          <w:color w:val="auto"/>
          <w:sz w:val="30"/>
          <w:szCs w:val="30"/>
          <w:highlight w:val="none"/>
        </w:rPr>
      </w:pPr>
    </w:p>
    <w:p w14:paraId="0D54803A">
      <w:pPr>
        <w:shd w:val="clear"/>
        <w:ind w:firstLine="0" w:firstLineChars="0"/>
        <w:jc w:val="center"/>
        <w:outlineLvl w:val="0"/>
        <w:rPr>
          <w:rFonts w:hint="eastAsia" w:ascii="宋体" w:hAnsi="宋体" w:eastAsia="宋体" w:cs="宋体"/>
          <w:b/>
          <w:bCs/>
          <w:color w:val="auto"/>
          <w:sz w:val="30"/>
          <w:szCs w:val="30"/>
          <w:highlight w:val="none"/>
        </w:rPr>
      </w:pPr>
    </w:p>
    <w:p w14:paraId="118A6A2D">
      <w:pPr>
        <w:shd w:val="clear"/>
        <w:ind w:firstLine="0" w:firstLineChars="0"/>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商务报价文件封面格式</w:t>
      </w:r>
      <w:bookmarkEnd w:id="1828"/>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9"/>
      <w:bookmarkEnd w:id="1910"/>
      <w:bookmarkEnd w:id="1911"/>
      <w:bookmarkEnd w:id="1912"/>
      <w:bookmarkEnd w:id="1913"/>
      <w:bookmarkEnd w:id="1914"/>
      <w:bookmarkEnd w:id="1915"/>
      <w:bookmarkEnd w:id="1916"/>
      <w:bookmarkEnd w:id="1917"/>
      <w:bookmarkEnd w:id="1918"/>
      <w:bookmarkEnd w:id="1919"/>
      <w:bookmarkEnd w:id="1920"/>
    </w:p>
    <w:p w14:paraId="36E32C31">
      <w:pPr>
        <w:shd w:val="clear"/>
        <w:ind w:firstLine="0" w:firstLineChars="0"/>
        <w:jc w:val="center"/>
        <w:rPr>
          <w:rFonts w:hint="eastAsia" w:ascii="宋体" w:hAnsi="宋体" w:eastAsia="宋体" w:cs="宋体"/>
          <w:b/>
          <w:bCs/>
          <w:color w:val="auto"/>
          <w:sz w:val="30"/>
          <w:szCs w:val="30"/>
          <w:highlight w:val="none"/>
        </w:rPr>
      </w:pPr>
    </w:p>
    <w:p w14:paraId="06A1FBC5">
      <w:pPr>
        <w:shd w:val="clear"/>
        <w:spacing w:line="420" w:lineRule="exact"/>
        <w:ind w:firstLine="0" w:firstLineChars="0"/>
        <w:jc w:val="center"/>
        <w:rPr>
          <w:rFonts w:hint="eastAsia" w:ascii="宋体" w:hAnsi="宋体" w:eastAsia="宋体" w:cs="宋体"/>
          <w:color w:val="auto"/>
          <w:sz w:val="32"/>
          <w:szCs w:val="32"/>
          <w:highlight w:val="none"/>
        </w:rPr>
      </w:pPr>
      <w:bookmarkStart w:id="1921" w:name="_Toc27134"/>
      <w:bookmarkStart w:id="1922" w:name="_Toc15531"/>
      <w:bookmarkStart w:id="1923" w:name="_Toc10177"/>
      <w:bookmarkStart w:id="1924" w:name="_Toc29757"/>
      <w:bookmarkStart w:id="1925" w:name="_Toc32301"/>
      <w:bookmarkStart w:id="1926" w:name="_Toc7104"/>
      <w:bookmarkStart w:id="1927" w:name="_Toc5863"/>
      <w:bookmarkStart w:id="1928" w:name="_Toc7316"/>
      <w:bookmarkStart w:id="1929" w:name="_Toc16937"/>
      <w:bookmarkStart w:id="1930" w:name="_Toc13941"/>
      <w:bookmarkStart w:id="1931" w:name="_Toc30696"/>
      <w:bookmarkStart w:id="1932" w:name="_Toc1215"/>
      <w:bookmarkStart w:id="1933" w:name="_Toc433"/>
      <w:bookmarkStart w:id="1934" w:name="_Toc8432"/>
      <w:bookmarkStart w:id="1935" w:name="_Toc20933"/>
      <w:bookmarkStart w:id="1936" w:name="_Toc17415"/>
      <w:bookmarkStart w:id="1937" w:name="_Toc5460"/>
      <w:bookmarkStart w:id="1938" w:name="_Toc9459"/>
      <w:bookmarkStart w:id="1939" w:name="_Toc19820"/>
      <w:bookmarkStart w:id="1940" w:name="_Toc24987"/>
      <w:bookmarkStart w:id="1941" w:name="_Toc29389"/>
      <w:bookmarkStart w:id="1942" w:name="_Toc22455"/>
      <w:bookmarkStart w:id="1943" w:name="_Toc7681"/>
      <w:bookmarkStart w:id="1944" w:name="_Toc12003"/>
      <w:bookmarkStart w:id="1945" w:name="_Toc27002"/>
    </w:p>
    <w:p w14:paraId="2B720747">
      <w:pPr>
        <w:shd w:val="clear"/>
        <w:spacing w:line="420" w:lineRule="exact"/>
        <w:ind w:firstLine="0" w:firstLineChars="0"/>
        <w:jc w:val="center"/>
        <w:outlineLvl w:val="0"/>
        <w:rPr>
          <w:rFonts w:hint="eastAsia" w:ascii="宋体" w:hAnsi="宋体" w:eastAsia="宋体" w:cs="宋体"/>
          <w:color w:val="auto"/>
          <w:sz w:val="32"/>
          <w:szCs w:val="32"/>
          <w:highlight w:val="none"/>
        </w:rPr>
      </w:pPr>
      <w:bookmarkStart w:id="1946" w:name="_Toc32493"/>
      <w:bookmarkStart w:id="1947" w:name="_Toc28839"/>
      <w:bookmarkStart w:id="1948" w:name="_Toc11975"/>
      <w:bookmarkStart w:id="1949" w:name="_Toc32494"/>
      <w:bookmarkStart w:id="1950" w:name="_Toc16210"/>
      <w:bookmarkStart w:id="1951" w:name="_Toc8967"/>
      <w:bookmarkStart w:id="1952" w:name="_Toc14373"/>
      <w:bookmarkStart w:id="1953" w:name="_Toc12379"/>
      <w:bookmarkStart w:id="1954" w:name="_Toc19998"/>
      <w:bookmarkStart w:id="1955" w:name="_Toc6437"/>
      <w:bookmarkStart w:id="1956" w:name="_Toc7256"/>
      <w:bookmarkStart w:id="1957" w:name="_Toc26080"/>
      <w:bookmarkStart w:id="1958" w:name="_Toc3414"/>
      <w:bookmarkStart w:id="1959" w:name="_Toc27239"/>
      <w:bookmarkStart w:id="1960" w:name="_Toc8638"/>
      <w:bookmarkStart w:id="1961" w:name="_Toc1384"/>
      <w:bookmarkStart w:id="1962" w:name="_Toc2387"/>
      <w:bookmarkStart w:id="1963" w:name="_Toc7763"/>
      <w:bookmarkStart w:id="1964" w:name="_Toc3228"/>
      <w:bookmarkStart w:id="1965" w:name="_Toc32351"/>
      <w:bookmarkStart w:id="1966" w:name="_Toc20242"/>
      <w:r>
        <w:rPr>
          <w:rFonts w:hint="eastAsia" w:ascii="宋体" w:hAnsi="宋体" w:eastAsia="宋体" w:cs="宋体"/>
          <w:color w:val="auto"/>
          <w:sz w:val="32"/>
          <w:szCs w:val="32"/>
          <w:highlight w:val="none"/>
        </w:rPr>
        <w:t>正本或副本</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14:paraId="2B104A64">
      <w:pPr>
        <w:shd w:val="clear"/>
        <w:spacing w:line="420" w:lineRule="exact"/>
        <w:ind w:firstLine="883"/>
        <w:rPr>
          <w:rFonts w:hint="eastAsia" w:ascii="宋体" w:hAnsi="宋体" w:eastAsia="宋体" w:cs="宋体"/>
          <w:b/>
          <w:color w:val="auto"/>
          <w:sz w:val="44"/>
          <w:szCs w:val="44"/>
          <w:highlight w:val="none"/>
        </w:rPr>
      </w:pPr>
    </w:p>
    <w:p w14:paraId="37430715">
      <w:pPr>
        <w:pStyle w:val="3"/>
        <w:shd w:val="clear"/>
        <w:ind w:firstLine="480"/>
        <w:rPr>
          <w:rFonts w:hint="eastAsia" w:ascii="宋体" w:hAnsi="宋体" w:eastAsia="宋体" w:cs="宋体"/>
          <w:color w:val="auto"/>
          <w:highlight w:val="none"/>
        </w:rPr>
      </w:pPr>
    </w:p>
    <w:p w14:paraId="6CBD6F03">
      <w:pPr>
        <w:pStyle w:val="2"/>
        <w:shd w:val="clear"/>
        <w:rPr>
          <w:rFonts w:hint="eastAsia" w:ascii="宋体" w:hAnsi="宋体" w:eastAsia="宋体" w:cs="宋体"/>
          <w:color w:val="auto"/>
          <w:highlight w:val="none"/>
        </w:rPr>
      </w:pPr>
    </w:p>
    <w:p w14:paraId="5C9E07BC">
      <w:pPr>
        <w:pStyle w:val="3"/>
        <w:shd w:val="clear"/>
        <w:ind w:firstLine="883"/>
        <w:rPr>
          <w:rFonts w:hint="eastAsia" w:ascii="宋体" w:hAnsi="宋体" w:eastAsia="宋体" w:cs="宋体"/>
          <w:b/>
          <w:color w:val="auto"/>
          <w:sz w:val="44"/>
          <w:szCs w:val="44"/>
          <w:highlight w:val="none"/>
        </w:rPr>
      </w:pPr>
    </w:p>
    <w:p w14:paraId="2590C2A9">
      <w:pPr>
        <w:pStyle w:val="3"/>
        <w:shd w:val="clear"/>
        <w:ind w:firstLine="883"/>
        <w:rPr>
          <w:rFonts w:hint="eastAsia" w:ascii="宋体" w:hAnsi="宋体" w:eastAsia="宋体" w:cs="宋体"/>
          <w:b/>
          <w:color w:val="auto"/>
          <w:sz w:val="44"/>
          <w:szCs w:val="44"/>
          <w:highlight w:val="none"/>
        </w:rPr>
      </w:pPr>
    </w:p>
    <w:p w14:paraId="79240D53">
      <w:pPr>
        <w:pStyle w:val="40"/>
        <w:shd w:val="clear"/>
        <w:ind w:left="0" w:leftChars="0" w:firstLine="0" w:firstLineChars="0"/>
        <w:rPr>
          <w:rFonts w:hint="eastAsia" w:ascii="宋体" w:hAnsi="宋体" w:eastAsia="宋体" w:cs="宋体"/>
          <w:color w:val="auto"/>
          <w:highlight w:val="none"/>
        </w:rPr>
      </w:pPr>
    </w:p>
    <w:p w14:paraId="3B674192">
      <w:pPr>
        <w:shd w:val="clear"/>
        <w:spacing w:line="240" w:lineRule="auto"/>
        <w:ind w:firstLine="0" w:firstLineChars="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商务报价文件</w:t>
      </w:r>
    </w:p>
    <w:p w14:paraId="58612C53">
      <w:pPr>
        <w:shd w:val="clear"/>
        <w:spacing w:line="240" w:lineRule="auto"/>
        <w:ind w:firstLine="883"/>
        <w:jc w:val="center"/>
        <w:rPr>
          <w:rFonts w:hint="eastAsia" w:ascii="宋体" w:hAnsi="宋体" w:eastAsia="宋体" w:cs="宋体"/>
          <w:b/>
          <w:bCs/>
          <w:color w:val="auto"/>
          <w:sz w:val="44"/>
          <w:szCs w:val="44"/>
          <w:highlight w:val="none"/>
        </w:rPr>
      </w:pPr>
    </w:p>
    <w:p w14:paraId="05989B4B">
      <w:pPr>
        <w:pStyle w:val="3"/>
        <w:shd w:val="clear"/>
        <w:ind w:firstLine="0" w:firstLineChars="0"/>
        <w:rPr>
          <w:rFonts w:hint="eastAsia" w:ascii="宋体" w:hAnsi="宋体" w:eastAsia="宋体" w:cs="宋体"/>
          <w:color w:val="auto"/>
          <w:highlight w:val="none"/>
        </w:rPr>
      </w:pPr>
    </w:p>
    <w:p w14:paraId="5EA55003">
      <w:pPr>
        <w:pStyle w:val="3"/>
        <w:shd w:val="clear"/>
        <w:ind w:firstLine="0" w:firstLineChars="0"/>
        <w:rPr>
          <w:rFonts w:hint="eastAsia" w:ascii="宋体" w:hAnsi="宋体" w:eastAsia="宋体" w:cs="宋体"/>
          <w:color w:val="auto"/>
          <w:highlight w:val="none"/>
        </w:rPr>
      </w:pPr>
    </w:p>
    <w:p w14:paraId="420BEA15">
      <w:pPr>
        <w:shd w:val="clear"/>
        <w:ind w:firstLine="480"/>
        <w:rPr>
          <w:rFonts w:hint="eastAsia" w:ascii="宋体" w:hAnsi="宋体" w:eastAsia="宋体" w:cs="宋体"/>
          <w:color w:val="auto"/>
          <w:highlight w:val="none"/>
        </w:rPr>
      </w:pPr>
    </w:p>
    <w:p w14:paraId="29E63C35">
      <w:pPr>
        <w:pStyle w:val="67"/>
        <w:shd w:val="clear"/>
        <w:ind w:firstLine="320"/>
        <w:rPr>
          <w:rFonts w:hint="eastAsia" w:ascii="宋体" w:hAnsi="宋体" w:eastAsia="宋体" w:cs="宋体"/>
          <w:color w:val="auto"/>
          <w:highlight w:val="none"/>
        </w:rPr>
      </w:pPr>
    </w:p>
    <w:p w14:paraId="1CE8E467">
      <w:pPr>
        <w:pStyle w:val="24"/>
        <w:shd w:val="clear"/>
        <w:ind w:left="0" w:leftChars="0" w:firstLine="0" w:firstLineChars="0"/>
        <w:rPr>
          <w:rFonts w:hint="eastAsia" w:ascii="宋体" w:hAnsi="宋体" w:eastAsia="宋体" w:cs="宋体"/>
          <w:color w:val="auto"/>
          <w:highlight w:val="none"/>
        </w:rPr>
      </w:pPr>
    </w:p>
    <w:p w14:paraId="52BC3269">
      <w:pPr>
        <w:pStyle w:val="67"/>
        <w:shd w:val="clear"/>
        <w:ind w:firstLine="320"/>
        <w:rPr>
          <w:rFonts w:hint="eastAsia" w:ascii="宋体" w:hAnsi="宋体" w:eastAsia="宋体" w:cs="宋体"/>
          <w:color w:val="auto"/>
          <w:highlight w:val="none"/>
        </w:rPr>
      </w:pPr>
    </w:p>
    <w:p w14:paraId="70211654">
      <w:pPr>
        <w:pStyle w:val="67"/>
        <w:shd w:val="clear"/>
        <w:ind w:firstLine="320"/>
        <w:rPr>
          <w:rFonts w:hint="eastAsia" w:ascii="宋体" w:hAnsi="宋体" w:eastAsia="宋体" w:cs="宋体"/>
          <w:color w:val="auto"/>
          <w:highlight w:val="none"/>
        </w:rPr>
      </w:pPr>
    </w:p>
    <w:p w14:paraId="1A422876">
      <w:pPr>
        <w:pStyle w:val="67"/>
        <w:shd w:val="clear"/>
        <w:ind w:left="0" w:leftChars="0" w:firstLine="0" w:firstLineChars="0"/>
        <w:rPr>
          <w:rFonts w:hint="eastAsia" w:ascii="宋体" w:hAnsi="宋体" w:eastAsia="宋体" w:cs="宋体"/>
          <w:color w:val="auto"/>
          <w:highlight w:val="none"/>
        </w:rPr>
      </w:pPr>
    </w:p>
    <w:p w14:paraId="77F4FA6D">
      <w:pPr>
        <w:pStyle w:val="67"/>
        <w:shd w:val="clear"/>
        <w:ind w:firstLine="320"/>
        <w:rPr>
          <w:rFonts w:hint="eastAsia" w:ascii="宋体" w:hAnsi="宋体" w:eastAsia="宋体" w:cs="宋体"/>
          <w:color w:val="auto"/>
          <w:highlight w:val="none"/>
        </w:rPr>
      </w:pPr>
    </w:p>
    <w:p w14:paraId="61FEB8A5">
      <w:pPr>
        <w:shd w:val="clear"/>
        <w:spacing w:line="360" w:lineRule="auto"/>
        <w:ind w:firstLine="640"/>
        <w:rPr>
          <w:rFonts w:hint="eastAsia" w:ascii="宋体" w:hAnsi="宋体" w:eastAsia="宋体" w:cs="宋体"/>
          <w:color w:val="auto"/>
          <w:sz w:val="32"/>
          <w:highlight w:val="none"/>
        </w:rPr>
      </w:pPr>
      <w:r>
        <w:rPr>
          <w:rFonts w:hint="eastAsia" w:ascii="宋体" w:hAnsi="宋体" w:eastAsia="宋体" w:cs="宋体"/>
          <w:color w:val="auto"/>
          <w:sz w:val="32"/>
          <w:highlight w:val="none"/>
        </w:rPr>
        <w:t>项目编号：</w:t>
      </w:r>
      <w:r>
        <w:rPr>
          <w:rFonts w:hint="eastAsia" w:ascii="宋体" w:hAnsi="宋体" w:cs="宋体"/>
          <w:color w:val="auto"/>
          <w:sz w:val="32"/>
          <w:highlight w:val="none"/>
          <w:u w:val="single"/>
          <w:lang w:eastAsia="zh-CN"/>
        </w:rPr>
        <w:t>LYCG2025YX-002</w:t>
      </w:r>
      <w:r>
        <w:rPr>
          <w:rFonts w:hint="eastAsia" w:ascii="宋体" w:hAnsi="宋体" w:eastAsia="宋体" w:cs="宋体"/>
          <w:color w:val="auto"/>
          <w:sz w:val="32"/>
          <w:highlight w:val="none"/>
          <w:u w:val="single"/>
        </w:rPr>
        <w:t xml:space="preserve">                    </w:t>
      </w:r>
    </w:p>
    <w:p w14:paraId="331A5121">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投 标 人：</w:t>
      </w:r>
      <w:r>
        <w:rPr>
          <w:rFonts w:hint="eastAsia" w:ascii="宋体" w:hAnsi="宋体" w:eastAsia="宋体" w:cs="宋体"/>
          <w:color w:val="auto"/>
          <w:sz w:val="32"/>
          <w:highlight w:val="none"/>
          <w:u w:val="single"/>
        </w:rPr>
        <w:t xml:space="preserve">        （全称）（加盖公章）          </w:t>
      </w:r>
    </w:p>
    <w:p w14:paraId="23AB1352">
      <w:pPr>
        <w:shd w:val="clear"/>
        <w:spacing w:line="360" w:lineRule="auto"/>
        <w:ind w:firstLine="64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法定代表人或授权代表人签字或盖章：</w:t>
      </w:r>
    </w:p>
    <w:p w14:paraId="1FA51A32">
      <w:pPr>
        <w:shd w:val="clear"/>
        <w:spacing w:line="360" w:lineRule="auto"/>
        <w:ind w:firstLine="640"/>
        <w:rPr>
          <w:rFonts w:hint="eastAsia" w:ascii="宋体" w:hAnsi="宋体" w:eastAsia="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eastAsia="宋体" w:cs="宋体"/>
          <w:color w:val="auto"/>
          <w:sz w:val="32"/>
          <w:highlight w:val="none"/>
        </w:rPr>
        <w:t>地址：</w:t>
      </w:r>
    </w:p>
    <w:p w14:paraId="313E1881">
      <w:pPr>
        <w:shd w:val="clear"/>
        <w:spacing w:line="360" w:lineRule="auto"/>
        <w:ind w:firstLine="0" w:firstLineChars="0"/>
        <w:jc w:val="center"/>
        <w:outlineLvl w:val="0"/>
        <w:rPr>
          <w:rFonts w:hint="eastAsia" w:ascii="宋体" w:hAnsi="宋体" w:eastAsia="宋体" w:cs="宋体"/>
          <w:b/>
          <w:bCs/>
          <w:color w:val="auto"/>
          <w:highlight w:val="none"/>
        </w:rPr>
      </w:pPr>
      <w:bookmarkStart w:id="1967" w:name="_Toc14093"/>
      <w:bookmarkStart w:id="1968" w:name="_Toc13352"/>
      <w:bookmarkStart w:id="1969" w:name="_Toc220"/>
      <w:bookmarkStart w:id="1970" w:name="_Toc2130"/>
      <w:bookmarkStart w:id="1971" w:name="_Toc4344"/>
      <w:r>
        <w:rPr>
          <w:rFonts w:hint="eastAsia" w:ascii="宋体" w:hAnsi="宋体" w:eastAsia="宋体" w:cs="宋体"/>
          <w:color w:val="auto"/>
          <w:sz w:val="32"/>
          <w:highlight w:val="none"/>
        </w:rPr>
        <w:t xml:space="preserve">二 〇 二 </w:t>
      </w:r>
      <w:r>
        <w:rPr>
          <w:rFonts w:hint="eastAsia" w:ascii="宋体" w:hAnsi="宋体" w:cs="宋体"/>
          <w:color w:val="auto"/>
          <w:sz w:val="32"/>
          <w:highlight w:val="none"/>
          <w:lang w:val="en-US" w:eastAsia="zh-CN"/>
        </w:rPr>
        <w:t>五</w:t>
      </w:r>
      <w:r>
        <w:rPr>
          <w:rFonts w:hint="eastAsia" w:ascii="宋体" w:hAnsi="宋体" w:eastAsia="宋体" w:cs="宋体"/>
          <w:color w:val="auto"/>
          <w:sz w:val="32"/>
          <w:highlight w:val="none"/>
        </w:rPr>
        <w:t xml:space="preserve"> 年    月    日</w:t>
      </w:r>
      <w:bookmarkEnd w:id="1967"/>
      <w:bookmarkEnd w:id="1968"/>
      <w:bookmarkEnd w:id="1969"/>
      <w:bookmarkEnd w:id="1970"/>
      <w:bookmarkEnd w:id="1971"/>
    </w:p>
    <w:p w14:paraId="70CE9624">
      <w:pPr>
        <w:shd w:val="clear"/>
        <w:ind w:firstLine="0" w:firstLineChars="0"/>
        <w:outlineLvl w:val="0"/>
        <w:rPr>
          <w:rFonts w:hint="default" w:ascii="宋体" w:hAnsi="宋体" w:eastAsia="宋体" w:cs="宋体"/>
          <w:b/>
          <w:bCs/>
          <w:color w:val="auto"/>
          <w:highlight w:val="none"/>
          <w:lang w:val="en-US" w:eastAsia="zh-CN"/>
        </w:rPr>
      </w:pPr>
      <w:bookmarkStart w:id="1972" w:name="_Toc13634"/>
      <w:bookmarkStart w:id="1973" w:name="_Toc5255"/>
      <w:bookmarkStart w:id="1974" w:name="_Toc31946"/>
      <w:bookmarkStart w:id="1975" w:name="_Toc31913"/>
      <w:bookmarkStart w:id="1976" w:name="_Toc20468"/>
      <w:bookmarkStart w:id="1977" w:name="_Toc4594"/>
      <w:bookmarkStart w:id="1978" w:name="_Toc24432"/>
      <w:bookmarkStart w:id="1979" w:name="_Toc4535"/>
      <w:bookmarkStart w:id="1980" w:name="_Toc22863"/>
      <w:bookmarkStart w:id="1981" w:name="_Toc5211"/>
      <w:bookmarkStart w:id="1982" w:name="_Toc20433"/>
      <w:bookmarkStart w:id="1983" w:name="_Toc2628"/>
      <w:bookmarkStart w:id="1984" w:name="_Toc18208"/>
      <w:bookmarkStart w:id="1985" w:name="_Toc6661"/>
      <w:bookmarkStart w:id="1986" w:name="_Toc14293"/>
      <w:bookmarkStart w:id="1987" w:name="_Toc29549"/>
      <w:bookmarkStart w:id="1988" w:name="_Toc594"/>
      <w:bookmarkStart w:id="1989" w:name="_Toc4847"/>
      <w:bookmarkStart w:id="1990" w:name="_Toc19302"/>
      <w:bookmarkStart w:id="1991" w:name="_Toc13333"/>
      <w:bookmarkStart w:id="1992" w:name="_Toc24948"/>
      <w:bookmarkStart w:id="1993" w:name="_Toc6584"/>
      <w:bookmarkStart w:id="1994" w:name="_Toc5894"/>
      <w:bookmarkStart w:id="1995" w:name="_Toc16261"/>
      <w:bookmarkStart w:id="1996" w:name="_Toc19624"/>
      <w:bookmarkStart w:id="1997" w:name="_Toc8609"/>
      <w:bookmarkStart w:id="1998" w:name="_Toc18194"/>
      <w:bookmarkStart w:id="1999" w:name="_Toc16798"/>
      <w:bookmarkStart w:id="2000" w:name="_Toc28977"/>
      <w:bookmarkStart w:id="2001" w:name="_Toc20474"/>
      <w:bookmarkStart w:id="2002" w:name="_Toc2822"/>
      <w:bookmarkStart w:id="2003" w:name="_Toc27894"/>
      <w:bookmarkStart w:id="2004" w:name="_Toc21607"/>
      <w:bookmarkStart w:id="2005" w:name="_Toc4376"/>
      <w:bookmarkStart w:id="2006" w:name="_Toc18452"/>
      <w:bookmarkStart w:id="2007" w:name="_Toc31451"/>
      <w:bookmarkStart w:id="2008" w:name="_Toc24177"/>
      <w:bookmarkStart w:id="2009" w:name="_Toc24825"/>
      <w:bookmarkStart w:id="2010" w:name="_Toc27025"/>
      <w:bookmarkStart w:id="2011" w:name="_Toc25710"/>
      <w:r>
        <w:rPr>
          <w:rFonts w:hint="eastAsia" w:ascii="宋体" w:hAnsi="宋体" w:eastAsia="宋体" w:cs="宋体"/>
          <w:b/>
          <w:bCs/>
          <w:color w:val="auto"/>
          <w:highlight w:val="none"/>
        </w:rPr>
        <w:t>附件</w:t>
      </w:r>
      <w:bookmarkEnd w:id="1972"/>
      <w:bookmarkEnd w:id="1973"/>
      <w:bookmarkEnd w:id="1974"/>
      <w:bookmarkEnd w:id="1975"/>
      <w:bookmarkEnd w:id="1976"/>
      <w:bookmarkEnd w:id="1977"/>
      <w:bookmarkEnd w:id="1978"/>
      <w:bookmarkEnd w:id="1979"/>
      <w:bookmarkEnd w:id="1980"/>
      <w:bookmarkEnd w:id="1981"/>
      <w:bookmarkEnd w:id="1982"/>
      <w:r>
        <w:rPr>
          <w:rFonts w:hint="eastAsia" w:ascii="宋体" w:hAnsi="宋体" w:cs="宋体"/>
          <w:b/>
          <w:bCs/>
          <w:color w:val="auto"/>
          <w:highlight w:val="none"/>
          <w:lang w:val="en-US" w:eastAsia="zh-CN"/>
        </w:rPr>
        <w:t>14</w:t>
      </w:r>
    </w:p>
    <w:p w14:paraId="08E7EA8C">
      <w:pPr>
        <w:shd w:val="clear"/>
        <w:tabs>
          <w:tab w:val="left" w:pos="900"/>
        </w:tabs>
        <w:spacing w:line="360" w:lineRule="auto"/>
        <w:ind w:firstLine="0" w:firstLineChars="0"/>
        <w:jc w:val="center"/>
        <w:outlineLvl w:val="0"/>
        <w:rPr>
          <w:rFonts w:hint="eastAsia" w:ascii="宋体" w:hAnsi="宋体" w:eastAsia="宋体" w:cs="宋体"/>
          <w:color w:val="auto"/>
          <w:spacing w:val="-4"/>
          <w:highlight w:val="none"/>
        </w:rPr>
      </w:pPr>
      <w:bookmarkStart w:id="2012" w:name="_Toc12629"/>
      <w:bookmarkStart w:id="2013" w:name="_Toc13841"/>
      <w:bookmarkStart w:id="2014" w:name="_Toc4217"/>
      <w:bookmarkStart w:id="2015" w:name="_Toc24802"/>
      <w:bookmarkStart w:id="2016" w:name="_Toc14250"/>
      <w:bookmarkStart w:id="2017" w:name="_Toc22225"/>
      <w:bookmarkStart w:id="2018" w:name="_Toc10230"/>
      <w:bookmarkStart w:id="2019" w:name="_Toc22137"/>
      <w:bookmarkStart w:id="2020" w:name="_Toc15021"/>
      <w:bookmarkStart w:id="2021" w:name="_Toc9695"/>
      <w:bookmarkStart w:id="2022" w:name="_Toc23768"/>
      <w:r>
        <w:rPr>
          <w:rFonts w:hint="eastAsia" w:ascii="宋体" w:hAnsi="宋体" w:eastAsia="宋体" w:cs="宋体"/>
          <w:b/>
          <w:color w:val="auto"/>
          <w:spacing w:val="-4"/>
          <w:sz w:val="32"/>
          <w:szCs w:val="32"/>
          <w:highlight w:val="none"/>
        </w:rPr>
        <w:t>开标一览表</w:t>
      </w:r>
      <w:bookmarkEnd w:id="2012"/>
      <w:bookmarkEnd w:id="2013"/>
      <w:bookmarkEnd w:id="2014"/>
      <w:bookmarkEnd w:id="2015"/>
      <w:bookmarkEnd w:id="2016"/>
      <w:bookmarkEnd w:id="2017"/>
      <w:bookmarkEnd w:id="2018"/>
      <w:bookmarkEnd w:id="2019"/>
      <w:bookmarkEnd w:id="2020"/>
      <w:bookmarkEnd w:id="2021"/>
      <w:bookmarkEnd w:id="2022"/>
    </w:p>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14:paraId="7E0D1732">
      <w:pPr>
        <w:pStyle w:val="26"/>
        <w:shd w:val="clear"/>
        <w:adjustRightInd w:val="0"/>
        <w:snapToGrid w:val="0"/>
        <w:spacing w:line="360" w:lineRule="auto"/>
        <w:ind w:firstLine="420"/>
        <w:rPr>
          <w:rFonts w:hint="eastAsia" w:ascii="宋体" w:hAnsi="宋体" w:eastAsia="宋体" w:cs="宋体"/>
          <w:color w:val="auto"/>
          <w:highlight w:val="none"/>
        </w:rPr>
      </w:pPr>
      <w:bookmarkStart w:id="2023" w:name="_Toc23912"/>
      <w:bookmarkStart w:id="2024" w:name="_Toc12429"/>
      <w:r>
        <w:rPr>
          <w:rFonts w:hint="eastAsia" w:ascii="宋体" w:hAnsi="宋体" w:eastAsia="宋体" w:cs="宋体"/>
          <w:color w:val="auto"/>
          <w:highlight w:val="none"/>
        </w:rPr>
        <w:t>项目名称：</w:t>
      </w:r>
    </w:p>
    <w:p w14:paraId="44EA1B13">
      <w:pPr>
        <w:pStyle w:val="26"/>
        <w:shd w:val="clear"/>
        <w:adjustRightInd w:val="0"/>
        <w:snapToGrid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项目编号：  </w:t>
      </w:r>
    </w:p>
    <w:p w14:paraId="3AA443E3">
      <w:pPr>
        <w:pStyle w:val="26"/>
        <w:shd w:val="clear"/>
        <w:adjustRightInd w:val="0"/>
        <w:snapToGrid w:val="0"/>
        <w:spacing w:line="360" w:lineRule="auto"/>
        <w:ind w:firstLine="420"/>
        <w:jc w:val="right"/>
        <w:rPr>
          <w:rFonts w:hint="eastAsia" w:ascii="宋体" w:hAnsi="宋体" w:eastAsia="宋体" w:cs="宋体"/>
          <w:color w:val="auto"/>
          <w:highlight w:val="none"/>
        </w:rPr>
      </w:pPr>
      <w:r>
        <w:rPr>
          <w:rFonts w:hint="eastAsia" w:ascii="宋体" w:hAnsi="宋体" w:eastAsia="宋体" w:cs="宋体"/>
          <w:color w:val="auto"/>
          <w:highlight w:val="none"/>
        </w:rPr>
        <w:t>（价格单位：元</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人民币）</w:t>
      </w:r>
    </w:p>
    <w:tbl>
      <w:tblPr>
        <w:tblStyle w:val="43"/>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737"/>
        <w:gridCol w:w="1639"/>
        <w:gridCol w:w="1496"/>
        <w:gridCol w:w="2316"/>
      </w:tblGrid>
      <w:tr w14:paraId="240C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0" w:type="dxa"/>
            <w:noWrap w:val="0"/>
            <w:vAlign w:val="center"/>
          </w:tcPr>
          <w:p w14:paraId="56A16ECB">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737" w:type="dxa"/>
            <w:noWrap w:val="0"/>
            <w:vAlign w:val="center"/>
          </w:tcPr>
          <w:p w14:paraId="024E8012">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639" w:type="dxa"/>
            <w:noWrap w:val="0"/>
            <w:vAlign w:val="center"/>
          </w:tcPr>
          <w:p w14:paraId="33F7D6DE">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496" w:type="dxa"/>
            <w:noWrap w:val="0"/>
            <w:vAlign w:val="center"/>
          </w:tcPr>
          <w:p w14:paraId="155BDDF1">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2316" w:type="dxa"/>
            <w:noWrap w:val="0"/>
            <w:vAlign w:val="center"/>
          </w:tcPr>
          <w:p w14:paraId="7F7E7A9C">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项目负责人</w:t>
            </w:r>
          </w:p>
        </w:tc>
      </w:tr>
      <w:tr w14:paraId="5FF9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0" w:type="dxa"/>
            <w:noWrap w:val="0"/>
            <w:vAlign w:val="center"/>
          </w:tcPr>
          <w:p w14:paraId="5169BD52">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737" w:type="dxa"/>
            <w:noWrap w:val="0"/>
            <w:vAlign w:val="center"/>
          </w:tcPr>
          <w:p w14:paraId="65278F2A">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hAnsi="宋体" w:cs="宋体"/>
                <w:color w:val="auto"/>
                <w:highlight w:val="none"/>
                <w:lang w:eastAsia="zh-CN"/>
              </w:rPr>
              <w:t>龙游县龙南污水厂建设工程设备采购招标</w:t>
            </w:r>
            <w:r>
              <w:rPr>
                <w:rFonts w:hint="eastAsia" w:ascii="宋体" w:hAnsi="宋体" w:eastAsia="宋体" w:cs="宋体"/>
                <w:color w:val="auto"/>
                <w:highlight w:val="none"/>
              </w:rPr>
              <w:t xml:space="preserve"> </w:t>
            </w:r>
          </w:p>
        </w:tc>
        <w:tc>
          <w:tcPr>
            <w:tcW w:w="1639" w:type="dxa"/>
            <w:noWrap w:val="0"/>
            <w:vAlign w:val="center"/>
          </w:tcPr>
          <w:p w14:paraId="3DB1A4C5">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96" w:type="dxa"/>
            <w:noWrap w:val="0"/>
            <w:vAlign w:val="center"/>
          </w:tcPr>
          <w:p w14:paraId="53ECD4CC">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lang w:eastAsia="zh-CN"/>
              </w:rPr>
            </w:pPr>
            <w:r>
              <w:rPr>
                <w:rFonts w:hint="eastAsia" w:hAnsi="宋体" w:cs="宋体"/>
                <w:color w:val="auto"/>
                <w:highlight w:val="none"/>
                <w:lang w:val="en-US" w:eastAsia="zh-CN"/>
              </w:rPr>
              <w:t>批</w:t>
            </w:r>
          </w:p>
        </w:tc>
        <w:tc>
          <w:tcPr>
            <w:tcW w:w="2316" w:type="dxa"/>
            <w:noWrap w:val="0"/>
            <w:vAlign w:val="center"/>
          </w:tcPr>
          <w:p w14:paraId="61DF54FD">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p>
        </w:tc>
      </w:tr>
      <w:tr w14:paraId="3D99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4547" w:type="dxa"/>
            <w:gridSpan w:val="2"/>
            <w:noWrap w:val="0"/>
            <w:vAlign w:val="center"/>
          </w:tcPr>
          <w:p w14:paraId="36A793EC">
            <w:pPr>
              <w:pStyle w:val="26"/>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lang w:eastAsia="zh-CN"/>
              </w:rPr>
            </w:pPr>
            <w:r>
              <w:rPr>
                <w:rFonts w:hint="eastAsia" w:hAnsi="宋体" w:cs="宋体"/>
                <w:color w:val="auto"/>
                <w:highlight w:val="none"/>
                <w:lang w:val="en-US" w:eastAsia="zh-CN"/>
              </w:rPr>
              <w:t>投标报价</w:t>
            </w:r>
          </w:p>
        </w:tc>
        <w:tc>
          <w:tcPr>
            <w:tcW w:w="5451" w:type="dxa"/>
            <w:gridSpan w:val="3"/>
            <w:noWrap w:val="0"/>
            <w:vAlign w:val="center"/>
          </w:tcPr>
          <w:p w14:paraId="3A2C2279">
            <w:pPr>
              <w:pStyle w:val="26"/>
              <w:keepNext w:val="0"/>
              <w:keepLines w:val="0"/>
              <w:suppressLineNumbers w:val="0"/>
              <w:shd w:val="clear"/>
              <w:adjustRightInd w:val="0"/>
              <w:snapToGrid w:val="0"/>
              <w:spacing w:before="0" w:beforeAutospacing="0" w:after="0" w:afterAutospacing="0"/>
              <w:ind w:left="0" w:right="0" w:firstLine="0" w:firstLineChars="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元；</w:t>
            </w:r>
          </w:p>
          <w:p w14:paraId="3623DC73">
            <w:pPr>
              <w:pStyle w:val="26"/>
              <w:keepNext w:val="0"/>
              <w:keepLines w:val="0"/>
              <w:suppressLineNumbers w:val="0"/>
              <w:shd w:val="clear"/>
              <w:adjustRightInd w:val="0"/>
              <w:snapToGrid w:val="0"/>
              <w:spacing w:before="0" w:beforeAutospacing="0" w:after="0" w:afterAutospacing="0"/>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u w:val="none"/>
              </w:rPr>
              <w:t xml:space="preserve">小写：￥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元。</w:t>
            </w:r>
          </w:p>
        </w:tc>
      </w:tr>
    </w:tbl>
    <w:p w14:paraId="4F5EDF8F">
      <w:pPr>
        <w:pStyle w:val="26"/>
        <w:shd w:val="clear"/>
        <w:adjustRightInd w:val="0"/>
        <w:snapToGrid w:val="0"/>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报价说明：</w:t>
      </w:r>
    </w:p>
    <w:p w14:paraId="0C16C74A">
      <w:pPr>
        <w:pStyle w:val="26"/>
        <w:shd w:val="clear"/>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1.本表内容完整填写，不得随意改变格式，采用印刷体打印，字迹清晰，否则以无效报价处理；</w:t>
      </w:r>
    </w:p>
    <w:p w14:paraId="57F3D489">
      <w:pPr>
        <w:pStyle w:val="26"/>
        <w:shd w:val="clear"/>
        <w:adjustRightInd w:val="0"/>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2.大写金额与小写金额不一致时，以大写金额为准。</w:t>
      </w:r>
    </w:p>
    <w:p w14:paraId="759E7647">
      <w:pPr>
        <w:shd w:val="clear"/>
        <w:snapToGrid w:val="0"/>
        <w:spacing w:line="480" w:lineRule="auto"/>
        <w:ind w:firstLine="42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78604CD2">
      <w:pPr>
        <w:shd w:val="clear"/>
        <w:ind w:firstLine="3780" w:firstLineChars="180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highlight w:val="none"/>
          <w:lang w:eastAsia="zh-CN"/>
        </w:rPr>
        <w:t>投标人</w:t>
      </w:r>
      <w:r>
        <w:rPr>
          <w:rFonts w:hint="eastAsia" w:ascii="宋体" w:hAnsi="宋体" w:eastAsia="宋体" w:cs="宋体"/>
          <w:color w:val="auto"/>
          <w:highlight w:val="none"/>
        </w:rPr>
        <w:t xml:space="preserve">全称（盖章）：                         </w:t>
      </w:r>
    </w:p>
    <w:p w14:paraId="67F72B2C">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5CA350AB">
      <w:pPr>
        <w:shd w:val="clear"/>
        <w:ind w:firstLine="4320" w:firstLineChars="18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eastAsia="zh-CN"/>
        </w:rPr>
        <w:t>2025</w:t>
      </w:r>
      <w:r>
        <w:rPr>
          <w:rFonts w:hint="eastAsia" w:ascii="宋体" w:hAnsi="宋体" w:eastAsia="宋体" w:cs="宋体"/>
          <w:color w:val="auto"/>
          <w:highlight w:val="none"/>
        </w:rPr>
        <w:t>年   月   日</w:t>
      </w:r>
    </w:p>
    <w:p w14:paraId="13F9F720">
      <w:pPr>
        <w:shd w:val="clear"/>
        <w:wordWrap w:val="0"/>
        <w:ind w:firstLine="420"/>
        <w:jc w:val="center"/>
        <w:rPr>
          <w:rFonts w:hint="eastAsia" w:ascii="宋体" w:hAnsi="宋体" w:eastAsia="宋体" w:cs="宋体"/>
          <w:b/>
          <w:color w:val="auto"/>
          <w:highlight w:val="none"/>
        </w:rPr>
      </w:pPr>
      <w:r>
        <w:rPr>
          <w:rFonts w:hint="eastAsia" w:ascii="宋体" w:hAnsi="宋体" w:eastAsia="宋体" w:cs="宋体"/>
          <w:color w:val="auto"/>
          <w:kern w:val="2"/>
          <w:sz w:val="24"/>
          <w:szCs w:val="20"/>
          <w:highlight w:val="none"/>
          <w:lang w:val="en-US" w:eastAsia="zh-CN" w:bidi="ar-SA"/>
        </w:rPr>
        <w:t xml:space="preserve">     </w:t>
      </w:r>
      <w:r>
        <w:rPr>
          <w:rFonts w:hint="eastAsia" w:ascii="宋体" w:hAnsi="宋体" w:eastAsia="宋体" w:cs="宋体"/>
          <w:color w:val="auto"/>
          <w:highlight w:val="none"/>
        </w:rPr>
        <w:t xml:space="preserve">    </w:t>
      </w:r>
    </w:p>
    <w:p w14:paraId="0E0E75EF">
      <w:pPr>
        <w:pStyle w:val="56"/>
        <w:shd w:val="clear"/>
        <w:rPr>
          <w:rFonts w:hint="eastAsia" w:ascii="宋体" w:hAnsi="宋体" w:eastAsia="宋体" w:cs="宋体"/>
          <w:b/>
          <w:color w:val="auto"/>
          <w:highlight w:val="none"/>
        </w:rPr>
      </w:pPr>
    </w:p>
    <w:p w14:paraId="750B5B16">
      <w:pPr>
        <w:shd w:val="clear"/>
        <w:spacing w:before="55"/>
        <w:ind w:firstLine="560"/>
        <w:rPr>
          <w:rFonts w:hint="eastAsia" w:ascii="宋体" w:hAnsi="宋体" w:eastAsia="宋体" w:cs="宋体"/>
          <w:color w:val="auto"/>
          <w:sz w:val="28"/>
          <w:szCs w:val="28"/>
          <w:highlight w:val="none"/>
        </w:rPr>
      </w:pPr>
      <w:bookmarkStart w:id="2025" w:name="_Toc293916986"/>
    </w:p>
    <w:p w14:paraId="7729FD37">
      <w:pPr>
        <w:shd w:val="clear"/>
        <w:spacing w:before="55"/>
        <w:ind w:left="0" w:leftChars="0" w:firstLine="0" w:firstLineChars="0"/>
        <w:rPr>
          <w:rFonts w:hint="eastAsia" w:ascii="宋体" w:hAnsi="宋体" w:eastAsia="宋体" w:cs="宋体"/>
          <w:color w:val="auto"/>
          <w:sz w:val="28"/>
          <w:szCs w:val="28"/>
          <w:highlight w:val="none"/>
        </w:rPr>
      </w:pPr>
    </w:p>
    <w:p w14:paraId="1C8E0C80">
      <w:pPr>
        <w:shd w:val="clear"/>
        <w:ind w:firstLine="0" w:firstLineChars="0"/>
        <w:outlineLvl w:val="9"/>
        <w:rPr>
          <w:rFonts w:hint="eastAsia" w:ascii="宋体" w:hAnsi="宋体" w:eastAsia="宋体" w:cs="宋体"/>
          <w:b/>
          <w:bCs/>
          <w:color w:val="auto"/>
          <w:highlight w:val="none"/>
        </w:rPr>
      </w:pPr>
      <w:bookmarkStart w:id="2026" w:name="_Toc9797"/>
    </w:p>
    <w:bookmarkEnd w:id="2025"/>
    <w:bookmarkEnd w:id="2026"/>
    <w:p w14:paraId="39BB7419">
      <w:pPr>
        <w:shd w:val="clear"/>
        <w:spacing w:line="400" w:lineRule="exact"/>
        <w:ind w:firstLine="0" w:firstLineChars="0"/>
        <w:jc w:val="left"/>
        <w:outlineLvl w:val="9"/>
        <w:rPr>
          <w:rFonts w:hint="eastAsia" w:ascii="宋体" w:hAnsi="宋体" w:eastAsia="宋体" w:cs="宋体"/>
          <w:b/>
          <w:color w:val="auto"/>
          <w:highlight w:val="none"/>
          <w:lang w:val="en-GB"/>
        </w:rPr>
      </w:pPr>
      <w:bookmarkStart w:id="2027" w:name="_Toc15056"/>
    </w:p>
    <w:p w14:paraId="34C27A23">
      <w:pPr>
        <w:shd w:val="clear"/>
        <w:spacing w:line="400" w:lineRule="exact"/>
        <w:ind w:firstLine="0" w:firstLineChars="0"/>
        <w:jc w:val="left"/>
        <w:outlineLvl w:val="9"/>
        <w:rPr>
          <w:rFonts w:hint="eastAsia" w:ascii="宋体" w:hAnsi="宋体" w:eastAsia="宋体" w:cs="宋体"/>
          <w:b/>
          <w:color w:val="auto"/>
          <w:highlight w:val="none"/>
          <w:lang w:val="en-GB"/>
        </w:rPr>
      </w:pPr>
    </w:p>
    <w:p w14:paraId="7263B04E">
      <w:pPr>
        <w:shd w:val="clear"/>
        <w:spacing w:line="400" w:lineRule="exact"/>
        <w:ind w:firstLine="0" w:firstLineChars="0"/>
        <w:jc w:val="left"/>
        <w:outlineLvl w:val="9"/>
        <w:rPr>
          <w:rFonts w:hint="eastAsia" w:ascii="宋体" w:hAnsi="宋体" w:eastAsia="宋体" w:cs="宋体"/>
          <w:b/>
          <w:color w:val="auto"/>
          <w:highlight w:val="none"/>
          <w:lang w:val="en-GB"/>
        </w:rPr>
      </w:pPr>
    </w:p>
    <w:p w14:paraId="2CF7C17B">
      <w:pPr>
        <w:shd w:val="clear"/>
        <w:spacing w:line="400" w:lineRule="exact"/>
        <w:ind w:firstLine="0" w:firstLineChars="0"/>
        <w:jc w:val="left"/>
        <w:outlineLvl w:val="9"/>
        <w:rPr>
          <w:rFonts w:hint="eastAsia" w:ascii="宋体" w:hAnsi="宋体" w:eastAsia="宋体" w:cs="宋体"/>
          <w:b/>
          <w:color w:val="auto"/>
          <w:highlight w:val="none"/>
          <w:lang w:val="en-GB"/>
        </w:rPr>
      </w:pPr>
    </w:p>
    <w:p w14:paraId="703A2B6C">
      <w:pPr>
        <w:shd w:val="clear"/>
        <w:spacing w:line="400" w:lineRule="exact"/>
        <w:ind w:firstLine="0" w:firstLineChars="0"/>
        <w:jc w:val="left"/>
        <w:outlineLvl w:val="9"/>
        <w:rPr>
          <w:rFonts w:hint="eastAsia" w:ascii="宋体" w:hAnsi="宋体" w:eastAsia="宋体" w:cs="宋体"/>
          <w:b/>
          <w:color w:val="auto"/>
          <w:highlight w:val="none"/>
          <w:lang w:val="en-GB"/>
        </w:rPr>
      </w:pPr>
    </w:p>
    <w:p w14:paraId="2B1E0C44">
      <w:pPr>
        <w:shd w:val="clear"/>
        <w:spacing w:line="400" w:lineRule="exact"/>
        <w:ind w:firstLine="0" w:firstLineChars="0"/>
        <w:jc w:val="left"/>
        <w:outlineLvl w:val="0"/>
        <w:rPr>
          <w:rFonts w:hint="default" w:ascii="宋体" w:hAnsi="宋体" w:eastAsia="宋体" w:cs="宋体"/>
          <w:b/>
          <w:color w:val="auto"/>
          <w:sz w:val="30"/>
          <w:szCs w:val="30"/>
          <w:highlight w:val="none"/>
          <w:lang w:val="en-US"/>
        </w:rPr>
      </w:pPr>
      <w:bookmarkStart w:id="2028" w:name="_Toc20481"/>
      <w:bookmarkStart w:id="2029" w:name="_Toc31042"/>
      <w:r>
        <w:rPr>
          <w:rFonts w:hint="eastAsia" w:ascii="宋体" w:hAnsi="宋体" w:eastAsia="宋体" w:cs="宋体"/>
          <w:b/>
          <w:color w:val="auto"/>
          <w:highlight w:val="none"/>
          <w:lang w:val="en-GB"/>
        </w:rPr>
        <w:t>附件</w:t>
      </w:r>
      <w:bookmarkEnd w:id="2023"/>
      <w:bookmarkEnd w:id="2024"/>
      <w:bookmarkEnd w:id="2027"/>
      <w:bookmarkEnd w:id="2028"/>
      <w:r>
        <w:rPr>
          <w:rFonts w:hint="eastAsia" w:ascii="宋体" w:hAnsi="宋体" w:cs="宋体"/>
          <w:b/>
          <w:color w:val="auto"/>
          <w:highlight w:val="none"/>
          <w:lang w:val="en-US" w:eastAsia="zh-CN"/>
        </w:rPr>
        <w:t>1</w:t>
      </w:r>
      <w:bookmarkEnd w:id="2029"/>
      <w:r>
        <w:rPr>
          <w:rFonts w:hint="eastAsia" w:ascii="宋体" w:hAnsi="宋体" w:cs="宋体"/>
          <w:b/>
          <w:color w:val="auto"/>
          <w:highlight w:val="none"/>
          <w:lang w:val="en-US" w:eastAsia="zh-CN"/>
        </w:rPr>
        <w:t>5</w:t>
      </w:r>
    </w:p>
    <w:p w14:paraId="59D89B81">
      <w:pPr>
        <w:ind w:firstLine="0" w:firstLineChars="0"/>
        <w:jc w:val="center"/>
        <w:outlineLvl w:val="0"/>
        <w:rPr>
          <w:rFonts w:hint="default" w:ascii="宋体" w:hAnsi="宋体" w:cs="宋体"/>
          <w:b/>
          <w:bCs/>
          <w:color w:val="auto"/>
          <w:highlight w:val="none"/>
          <w:lang w:val="en-US" w:eastAsia="zh-CN"/>
        </w:rPr>
      </w:pPr>
      <w:bookmarkStart w:id="2030" w:name="_Toc2402"/>
      <w:r>
        <w:rPr>
          <w:rFonts w:hint="eastAsia" w:ascii="宋体" w:hAnsi="宋体" w:eastAsia="宋体"/>
          <w:b/>
          <w:color w:val="auto"/>
          <w:spacing w:val="-4"/>
          <w:sz w:val="32"/>
          <w:szCs w:val="32"/>
          <w:highlight w:val="none"/>
          <w:lang w:val="en-US" w:eastAsia="zh-CN"/>
        </w:rPr>
        <w:t>清单报价明细表</w:t>
      </w:r>
      <w:bookmarkEnd w:id="2030"/>
    </w:p>
    <w:p w14:paraId="2F02DE9A">
      <w:pPr>
        <w:tabs>
          <w:tab w:val="left" w:pos="900"/>
        </w:tabs>
        <w:spacing w:line="360" w:lineRule="auto"/>
        <w:ind w:firstLine="0" w:firstLineChars="0"/>
        <w:jc w:val="center"/>
        <w:outlineLvl w:val="9"/>
        <w:rPr>
          <w:rFonts w:ascii="宋体" w:hAnsi="宋体"/>
          <w:color w:val="auto"/>
          <w:spacing w:val="-4"/>
          <w:highlight w:val="none"/>
        </w:rPr>
      </w:pPr>
    </w:p>
    <w:p w14:paraId="457C4124">
      <w:pPr>
        <w:pStyle w:val="26"/>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755FEC9C">
      <w:pPr>
        <w:pStyle w:val="26"/>
        <w:adjustRightInd w:val="0"/>
        <w:snapToGrid w:val="0"/>
        <w:spacing w:line="360" w:lineRule="auto"/>
        <w:ind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项目编号：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（价格单位：元</w:t>
      </w:r>
      <w:r>
        <w:rPr>
          <w:rFonts w:hint="eastAsia" w:hAnsi="宋体" w:cs="宋体"/>
          <w:color w:val="auto"/>
          <w:highlight w:val="none"/>
          <w:lang w:val="en-US" w:eastAsia="zh-CN"/>
        </w:rPr>
        <w:t>/</w:t>
      </w:r>
      <w:r>
        <w:rPr>
          <w:rFonts w:hint="eastAsia" w:ascii="宋体" w:hAnsi="宋体" w:eastAsia="宋体" w:cs="宋体"/>
          <w:color w:val="auto"/>
          <w:highlight w:val="none"/>
        </w:rPr>
        <w:t>人民币）</w:t>
      </w:r>
    </w:p>
    <w:tbl>
      <w:tblPr>
        <w:tblStyle w:val="43"/>
        <w:tblW w:w="10378"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0"/>
        <w:gridCol w:w="1075"/>
        <w:gridCol w:w="1211"/>
        <w:gridCol w:w="1060"/>
        <w:gridCol w:w="1087"/>
        <w:gridCol w:w="1366"/>
        <w:gridCol w:w="1243"/>
        <w:gridCol w:w="1726"/>
      </w:tblGrid>
      <w:tr w14:paraId="4D31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0" w:type="dxa"/>
            <w:vAlign w:val="center"/>
          </w:tcPr>
          <w:p w14:paraId="4C080688">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860" w:type="dxa"/>
            <w:vAlign w:val="center"/>
          </w:tcPr>
          <w:p w14:paraId="3CC9B52F">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075" w:type="dxa"/>
          </w:tcPr>
          <w:p w14:paraId="54BD1A01">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cs="宋体"/>
                <w:b/>
                <w:color w:val="auto"/>
                <w:sz w:val="24"/>
                <w:highlight w:val="none"/>
              </w:rPr>
            </w:pPr>
          </w:p>
          <w:p w14:paraId="492E6C95">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品牌</w:t>
            </w:r>
          </w:p>
        </w:tc>
        <w:tc>
          <w:tcPr>
            <w:tcW w:w="1211" w:type="dxa"/>
            <w:vAlign w:val="center"/>
          </w:tcPr>
          <w:p w14:paraId="2EB5826B">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规格型号</w:t>
            </w:r>
          </w:p>
        </w:tc>
        <w:tc>
          <w:tcPr>
            <w:tcW w:w="1060" w:type="dxa"/>
            <w:vAlign w:val="center"/>
          </w:tcPr>
          <w:p w14:paraId="2BCA2C21">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产地</w:t>
            </w:r>
          </w:p>
        </w:tc>
        <w:tc>
          <w:tcPr>
            <w:tcW w:w="1087" w:type="dxa"/>
            <w:vAlign w:val="center"/>
          </w:tcPr>
          <w:p w14:paraId="26B0D799">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数量</w:t>
            </w:r>
            <w:r>
              <w:rPr>
                <w:rFonts w:hint="eastAsia" w:ascii="宋体" w:hAnsi="宋体" w:cs="宋体"/>
                <w:b/>
                <w:color w:val="auto"/>
                <w:sz w:val="24"/>
                <w:highlight w:val="none"/>
                <w:lang w:val="en-US" w:eastAsia="zh-CN"/>
              </w:rPr>
              <w:t>及单位</w:t>
            </w:r>
          </w:p>
        </w:tc>
        <w:tc>
          <w:tcPr>
            <w:tcW w:w="1366" w:type="dxa"/>
            <w:vAlign w:val="center"/>
          </w:tcPr>
          <w:p w14:paraId="39602280">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单价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1243" w:type="dxa"/>
            <w:vAlign w:val="center"/>
          </w:tcPr>
          <w:p w14:paraId="2707F349">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合计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1726" w:type="dxa"/>
            <w:vAlign w:val="center"/>
          </w:tcPr>
          <w:p w14:paraId="54DEE9C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p w14:paraId="269376D8">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cs="宋体"/>
                <w:b/>
                <w:color w:val="auto"/>
                <w:sz w:val="24"/>
                <w:highlight w:val="none"/>
              </w:rPr>
            </w:pPr>
            <w:r>
              <w:rPr>
                <w:rFonts w:hint="eastAsia" w:ascii="宋体" w:hAnsi="宋体" w:cs="宋体"/>
                <w:b/>
                <w:color w:val="auto"/>
                <w:sz w:val="24"/>
                <w:highlight w:val="none"/>
              </w:rPr>
              <w:t>备注（如果有）</w:t>
            </w:r>
          </w:p>
          <w:p w14:paraId="2FFB5DD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p>
        </w:tc>
      </w:tr>
      <w:tr w14:paraId="229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0" w:type="dxa"/>
            <w:vAlign w:val="center"/>
          </w:tcPr>
          <w:p w14:paraId="7629B470">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860" w:type="dxa"/>
            <w:vAlign w:val="center"/>
          </w:tcPr>
          <w:p w14:paraId="697064AC">
            <w:pPr>
              <w:keepNext w:val="0"/>
              <w:keepLines w:val="0"/>
              <w:suppressLineNumbers w:val="0"/>
              <w:snapToGrid w:val="0"/>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075" w:type="dxa"/>
            <w:vAlign w:val="center"/>
          </w:tcPr>
          <w:p w14:paraId="41EC8A3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3409C5F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1E35153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17157D6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3FA0671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621D047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0B2F42D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299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27FD873C">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860" w:type="dxa"/>
            <w:vAlign w:val="center"/>
          </w:tcPr>
          <w:p w14:paraId="41BCE995">
            <w:pPr>
              <w:keepNext w:val="0"/>
              <w:keepLines w:val="0"/>
              <w:suppressLineNumbers w:val="0"/>
              <w:snapToGrid w:val="0"/>
              <w:spacing w:before="0" w:beforeAutospacing="0" w:after="0" w:afterAutospacing="0" w:line="360" w:lineRule="auto"/>
              <w:ind w:left="0" w:leftChars="0" w:right="0" w:firstLine="0" w:firstLineChars="0"/>
              <w:jc w:val="center"/>
              <w:rPr>
                <w:rFonts w:hint="default" w:ascii="宋体" w:hAnsi="宋体" w:cs="宋体"/>
                <w:color w:val="auto"/>
                <w:sz w:val="24"/>
                <w:highlight w:val="none"/>
              </w:rPr>
            </w:pPr>
            <w:r>
              <w:rPr>
                <w:rFonts w:hint="eastAsia" w:ascii="宋体" w:hAnsi="宋体" w:cs="宋体"/>
                <w:color w:val="auto"/>
                <w:sz w:val="24"/>
                <w:highlight w:val="none"/>
              </w:rPr>
              <w:t>X</w:t>
            </w:r>
            <w:r>
              <w:rPr>
                <w:rFonts w:hint="default" w:ascii="宋体" w:hAnsi="宋体" w:cs="宋体"/>
                <w:color w:val="auto"/>
                <w:sz w:val="24"/>
                <w:highlight w:val="none"/>
              </w:rPr>
              <w:t>X</w:t>
            </w:r>
          </w:p>
        </w:tc>
        <w:tc>
          <w:tcPr>
            <w:tcW w:w="1075" w:type="dxa"/>
            <w:vAlign w:val="center"/>
          </w:tcPr>
          <w:p w14:paraId="269348A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60EB97A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0477BB4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168A641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5F572EF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13B90D8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6985252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0D71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4BF4CBAA">
            <w:pPr>
              <w:keepNext w:val="0"/>
              <w:keepLines w:val="0"/>
              <w:suppressLineNumbers w:val="0"/>
              <w:spacing w:before="0" w:beforeAutospacing="0" w:after="0" w:afterAutospacing="0" w:line="360" w:lineRule="auto"/>
              <w:ind w:left="0" w:leftChars="0" w:right="0" w:firstLine="0" w:firstLineChars="0"/>
              <w:jc w:val="both"/>
              <w:rPr>
                <w:rFonts w:hint="default" w:ascii="宋体" w:hAnsi="宋体" w:cs="宋体"/>
                <w:color w:val="auto"/>
                <w:sz w:val="24"/>
                <w:highlight w:val="none"/>
              </w:rPr>
            </w:pPr>
            <w:r>
              <w:rPr>
                <w:rFonts w:hint="eastAsia" w:ascii="宋体" w:hAnsi="宋体" w:cs="宋体"/>
                <w:color w:val="auto"/>
                <w:sz w:val="24"/>
                <w:highlight w:val="none"/>
                <w:lang w:eastAsia="zh-CN"/>
              </w:rPr>
              <w:t>……</w:t>
            </w:r>
          </w:p>
        </w:tc>
        <w:tc>
          <w:tcPr>
            <w:tcW w:w="860" w:type="dxa"/>
            <w:vAlign w:val="center"/>
          </w:tcPr>
          <w:p w14:paraId="0625DB1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75" w:type="dxa"/>
            <w:vAlign w:val="center"/>
          </w:tcPr>
          <w:p w14:paraId="161AA51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1236874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7D43F95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51F9728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50293A4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6786534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201A532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14B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3E1F28C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60" w:type="dxa"/>
            <w:vAlign w:val="center"/>
          </w:tcPr>
          <w:p w14:paraId="0A48CE4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75" w:type="dxa"/>
            <w:vAlign w:val="center"/>
          </w:tcPr>
          <w:p w14:paraId="749A515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26006F0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72A49CF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766098A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789403F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1F7639F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61380EF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A27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381F42F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60" w:type="dxa"/>
            <w:vAlign w:val="center"/>
          </w:tcPr>
          <w:p w14:paraId="7CD52D2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75" w:type="dxa"/>
            <w:vAlign w:val="center"/>
          </w:tcPr>
          <w:p w14:paraId="318DBC1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211" w:type="dxa"/>
            <w:vAlign w:val="center"/>
          </w:tcPr>
          <w:p w14:paraId="6C5C45F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60" w:type="dxa"/>
            <w:vAlign w:val="center"/>
          </w:tcPr>
          <w:p w14:paraId="6165F2E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087" w:type="dxa"/>
            <w:vAlign w:val="center"/>
          </w:tcPr>
          <w:p w14:paraId="6C9B355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366" w:type="dxa"/>
            <w:vAlign w:val="center"/>
          </w:tcPr>
          <w:p w14:paraId="6D92C0D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243" w:type="dxa"/>
            <w:vAlign w:val="center"/>
          </w:tcPr>
          <w:p w14:paraId="1C670B8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726" w:type="dxa"/>
            <w:vAlign w:val="center"/>
          </w:tcPr>
          <w:p w14:paraId="6E2C7E1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61C3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956" w:type="dxa"/>
            <w:gridSpan w:val="5"/>
            <w:vAlign w:val="center"/>
          </w:tcPr>
          <w:p w14:paraId="7DAA3A4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报价合计（小写）</w:t>
            </w:r>
          </w:p>
        </w:tc>
        <w:tc>
          <w:tcPr>
            <w:tcW w:w="5422" w:type="dxa"/>
            <w:gridSpan w:val="4"/>
            <w:vAlign w:val="center"/>
          </w:tcPr>
          <w:p w14:paraId="5A04451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BDE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56" w:type="dxa"/>
            <w:gridSpan w:val="5"/>
            <w:vAlign w:val="center"/>
          </w:tcPr>
          <w:p w14:paraId="2597F5C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报价合计（大写）</w:t>
            </w:r>
          </w:p>
        </w:tc>
        <w:tc>
          <w:tcPr>
            <w:tcW w:w="5422" w:type="dxa"/>
            <w:gridSpan w:val="4"/>
            <w:vAlign w:val="center"/>
          </w:tcPr>
          <w:p w14:paraId="3EC1C79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62903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注：1. 本表为《开标一览表》所述内容的报价明细清单，如有缺项、漏项，视为投标报价中已包含相关费用，采购人无需另外支付任何费用。</w:t>
      </w:r>
    </w:p>
    <w:p w14:paraId="55980CD5">
      <w:pPr>
        <w:keepNext w:val="0"/>
        <w:keepLines w:val="0"/>
        <w:pageBreakBefore w:val="0"/>
        <w:widowControl w:val="0"/>
        <w:numPr>
          <w:ilvl w:val="0"/>
          <w:numId w:val="37"/>
        </w:numPr>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“报价明细表”中的报价合计应与“开标一览表”中的投标报价相一致，不一致时，以开标一览表为准。</w:t>
      </w:r>
    </w:p>
    <w:p w14:paraId="04D869EE">
      <w:pPr>
        <w:numPr>
          <w:ilvl w:val="0"/>
          <w:numId w:val="37"/>
        </w:numPr>
        <w:spacing w:after="0"/>
        <w:ind w:firstLine="480" w:firstLineChars="200"/>
        <w:rPr>
          <w:rFonts w:hint="eastAsia" w:ascii="宋体" w:hAnsi="宋体" w:cs="宋体"/>
          <w:color w:val="auto"/>
          <w:highlight w:val="none"/>
          <w:lang w:val="en-US" w:eastAsia="zh-CN" w:bidi="ar"/>
        </w:rPr>
      </w:pPr>
      <w:r>
        <w:rPr>
          <w:rFonts w:hint="eastAsia" w:ascii="宋体" w:hAnsi="宋体" w:cs="宋体"/>
          <w:color w:val="auto"/>
          <w:kern w:val="2"/>
          <w:sz w:val="24"/>
          <w:szCs w:val="24"/>
          <w:highlight w:val="none"/>
          <w:lang w:val="en-US" w:eastAsia="zh-CN" w:bidi="ar"/>
        </w:rPr>
        <w:t>投标人须结合施工图综合考虑进行报价。</w:t>
      </w:r>
    </w:p>
    <w:p w14:paraId="485A3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320" w:firstLineChars="1800"/>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投标人全称（盖章）：</w:t>
      </w:r>
      <w:r>
        <w:rPr>
          <w:rFonts w:hint="default" w:ascii="Times New Roman" w:hAnsi="Times New Roman" w:eastAsia="宋体" w:cs="Times New Roman"/>
          <w:color w:val="auto"/>
          <w:kern w:val="2"/>
          <w:sz w:val="24"/>
          <w:szCs w:val="24"/>
          <w:highlight w:val="none"/>
          <w:lang w:val="en-US" w:eastAsia="zh-CN" w:bidi="ar"/>
        </w:rPr>
        <w:t xml:space="preserve">                         </w:t>
      </w:r>
    </w:p>
    <w:p w14:paraId="1A08C901">
      <w:pPr>
        <w:keepNext w:val="0"/>
        <w:keepLines w:val="0"/>
        <w:widowControl w:val="0"/>
        <w:suppressLineNumbers w:val="0"/>
        <w:spacing w:before="0" w:beforeAutospacing="0" w:after="0" w:afterAutospacing="0" w:line="500" w:lineRule="exact"/>
        <w:ind w:left="0" w:right="0" w:firstLine="4320" w:firstLineChars="18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法定代表人或授权代理人（签字或盖章）：</w:t>
      </w:r>
    </w:p>
    <w:p w14:paraId="28248759">
      <w:pPr>
        <w:keepNext w:val="0"/>
        <w:keepLines w:val="0"/>
        <w:widowControl w:val="0"/>
        <w:suppressLineNumbers w:val="0"/>
        <w:spacing w:before="0" w:beforeAutospacing="0" w:after="0" w:afterAutospacing="0" w:line="500" w:lineRule="exact"/>
        <w:ind w:left="0" w:right="0" w:firstLine="4320" w:firstLineChars="18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日期：</w:t>
      </w:r>
      <w:r>
        <w:rPr>
          <w:rFonts w:hint="eastAsia" w:ascii="宋体" w:hAnsi="宋体" w:cs="宋体"/>
          <w:color w:val="auto"/>
          <w:kern w:val="2"/>
          <w:sz w:val="24"/>
          <w:szCs w:val="24"/>
          <w:highlight w:val="non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F5AF741">
      <w:pPr>
        <w:shd w:val="clear"/>
        <w:spacing w:line="360" w:lineRule="auto"/>
        <w:ind w:firstLine="0" w:firstLineChars="0"/>
        <w:jc w:val="center"/>
        <w:rPr>
          <w:rFonts w:hint="eastAsia" w:ascii="宋体" w:hAnsi="宋体" w:eastAsia="宋体" w:cs="宋体"/>
          <w:b/>
          <w:color w:val="auto"/>
          <w:sz w:val="30"/>
          <w:szCs w:val="30"/>
          <w:highlight w:val="none"/>
          <w:lang w:val="en-GB"/>
        </w:rPr>
      </w:pPr>
    </w:p>
    <w:p w14:paraId="3D56DEFA">
      <w:pPr>
        <w:shd w:val="clear"/>
        <w:spacing w:line="360" w:lineRule="auto"/>
        <w:ind w:firstLine="0" w:firstLineChars="0"/>
        <w:jc w:val="center"/>
        <w:rPr>
          <w:rFonts w:hint="eastAsia" w:ascii="宋体" w:hAnsi="宋体" w:eastAsia="宋体" w:cs="宋体"/>
          <w:b/>
          <w:color w:val="auto"/>
          <w:sz w:val="30"/>
          <w:szCs w:val="30"/>
          <w:highlight w:val="none"/>
          <w:lang w:val="en-GB"/>
        </w:rPr>
      </w:pPr>
    </w:p>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14:paraId="3462C9D6">
      <w:pPr>
        <w:shd w:val="clear"/>
        <w:spacing w:line="360" w:lineRule="auto"/>
        <w:ind w:firstLine="0" w:firstLineChars="0"/>
        <w:jc w:val="both"/>
        <w:rPr>
          <w:rFonts w:hint="eastAsia" w:ascii="宋体" w:hAnsi="宋体" w:eastAsia="宋体" w:cs="宋体"/>
          <w:b/>
          <w:color w:val="auto"/>
          <w:sz w:val="30"/>
          <w:szCs w:val="30"/>
          <w:highlight w:val="none"/>
          <w:lang w:val="en-GB"/>
        </w:rPr>
      </w:pPr>
    </w:p>
    <w:sectPr>
      <w:headerReference r:id="rId5" w:type="default"/>
      <w:footerReference r:id="rId6"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7CFF">
    <w:pPr>
      <w:pStyle w:val="30"/>
      <w:ind w:firstLine="361"/>
    </w:pPr>
    <w:r>
      <mc:AlternateContent>
        <mc:Choice Requires="wps">
          <w:drawing>
            <wp:anchor distT="0" distB="0" distL="114300" distR="114300" simplePos="0" relativeHeight="251660288" behindDoc="1" locked="0" layoutInCell="1" allowOverlap="1">
              <wp:simplePos x="0" y="0"/>
              <wp:positionH relativeFrom="margin">
                <wp:posOffset>2372995</wp:posOffset>
              </wp:positionH>
              <wp:positionV relativeFrom="page">
                <wp:posOffset>9830435</wp:posOffset>
              </wp:positionV>
              <wp:extent cx="1442085" cy="498475"/>
              <wp:effectExtent l="0" t="0" r="0" b="0"/>
              <wp:wrapTight wrapText="bothSides">
                <wp:wrapPolygon>
                  <wp:start x="48" y="138"/>
                  <wp:lineTo x="21552" y="138"/>
                  <wp:lineTo x="21552" y="21462"/>
                  <wp:lineTo x="48" y="21462"/>
                  <wp:lineTo x="48" y="138"/>
                </wp:wrapPolygon>
              </wp:wrapTight>
              <wp:docPr id="1" name="文本框 1"/>
              <wp:cNvGraphicFramePr/>
              <a:graphic xmlns:a="http://schemas.openxmlformats.org/drawingml/2006/main">
                <a:graphicData uri="http://schemas.microsoft.com/office/word/2010/wordprocessingShape">
                  <wps:wsp>
                    <wps:cNvSpPr txBox="1"/>
                    <wps:spPr>
                      <a:xfrm>
                        <a:off x="0" y="0"/>
                        <a:ext cx="1442085" cy="498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DAB43">
                          <w:pPr>
                            <w:pStyle w:val="30"/>
                            <w:ind w:firstLine="361"/>
                            <w:rPr>
                              <w:rFonts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2</w:t>
                          </w:r>
                          <w:r>
                            <w:rPr>
                              <w:rFonts w:ascii="宋体" w:hAnsi="宋体" w:cs="宋体"/>
                              <w:b/>
                              <w:bCs/>
                            </w:rPr>
                            <w:fldChar w:fldCharType="end"/>
                          </w:r>
                          <w:r>
                            <w:rPr>
                              <w:rFonts w:ascii="宋体" w:hAnsi="宋体" w:cs="宋体"/>
                              <w:b/>
                              <w:bCs/>
                            </w:rPr>
                            <w:t xml:space="preserve"> 页 共 </w:t>
                          </w:r>
                          <w:r>
                            <w:rPr>
                              <w:rFonts w:ascii="宋体" w:hAnsi="宋体" w:cs="宋体"/>
                              <w:b/>
                              <w:bCs/>
                            </w:rPr>
                            <w:fldChar w:fldCharType="begin"/>
                          </w:r>
                          <w:r>
                            <w:rPr>
                              <w:rFonts w:ascii="宋体" w:hAnsi="宋体" w:cs="宋体"/>
                              <w:b/>
                              <w:bCs/>
                            </w:rPr>
                            <w:instrText xml:space="preserve"> NUMPAGES  \* MERGEFORMAT </w:instrText>
                          </w:r>
                          <w:r>
                            <w:rPr>
                              <w:rFonts w:ascii="宋体" w:hAnsi="宋体" w:cs="宋体"/>
                              <w:b/>
                              <w:bCs/>
                            </w:rPr>
                            <w:fldChar w:fldCharType="separate"/>
                          </w:r>
                          <w:r>
                            <w:rPr>
                              <w:rFonts w:ascii="宋体" w:hAnsi="宋体" w:cs="宋体"/>
                              <w:b/>
                              <w:bCs/>
                            </w:rPr>
                            <w:t>70</w:t>
                          </w:r>
                          <w:r>
                            <w:rPr>
                              <w:rFonts w:ascii="宋体" w:hAnsi="宋体" w:cs="宋体"/>
                              <w:b/>
                              <w:bCs/>
                            </w:rPr>
                            <w:fldChar w:fldCharType="end"/>
                          </w:r>
                          <w:r>
                            <w:rPr>
                              <w:rFonts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6.85pt;margin-top:774.05pt;height:39.25pt;width:113.55pt;mso-position-horizontal-relative:margin;mso-position-vertical-relative:page;mso-wrap-distance-left:9pt;mso-wrap-distance-right:9pt;z-index:-251656192;mso-width-relative:page;mso-height-relative:page;" filled="f" stroked="f" coordsize="21600,21600" wrapcoords="48 138 21552 138 21552 21462 48 21462 48 138" o:gfxdata="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0qsS9oAAAANAQAADwAAAAAAAAABACAAAAAiAAAAZHJzL2Rvd25yZXYu&#10;eG1sUEsBAhQAFAAAAAgAh07iQJ27wKkyAgAAVgQAAA4AAAAAAAAAAQAgAAAAKQEAAGRycy9lMm9E&#10;b2MueG1sUEsFBgAAAAAGAAYAWQEAAM0FAAAAAA==&#10;">
              <v:fill on="f" focussize="0,0"/>
              <v:stroke on="f" weight="0.5pt"/>
              <v:imagedata o:title=""/>
              <o:lock v:ext="edit" aspectratio="f"/>
              <v:textbox inset="0mm,0mm,0mm,0mm">
                <w:txbxContent>
                  <w:p w14:paraId="687DAB43">
                    <w:pPr>
                      <w:pStyle w:val="30"/>
                      <w:ind w:firstLine="361"/>
                      <w:rPr>
                        <w:rFonts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2</w:t>
                    </w:r>
                    <w:r>
                      <w:rPr>
                        <w:rFonts w:ascii="宋体" w:hAnsi="宋体" w:cs="宋体"/>
                        <w:b/>
                        <w:bCs/>
                      </w:rPr>
                      <w:fldChar w:fldCharType="end"/>
                    </w:r>
                    <w:r>
                      <w:rPr>
                        <w:rFonts w:ascii="宋体" w:hAnsi="宋体" w:cs="宋体"/>
                        <w:b/>
                        <w:bCs/>
                      </w:rPr>
                      <w:t xml:space="preserve"> 页 共 </w:t>
                    </w:r>
                    <w:r>
                      <w:rPr>
                        <w:rFonts w:ascii="宋体" w:hAnsi="宋体" w:cs="宋体"/>
                        <w:b/>
                        <w:bCs/>
                      </w:rPr>
                      <w:fldChar w:fldCharType="begin"/>
                    </w:r>
                    <w:r>
                      <w:rPr>
                        <w:rFonts w:ascii="宋体" w:hAnsi="宋体" w:cs="宋体"/>
                        <w:b/>
                        <w:bCs/>
                      </w:rPr>
                      <w:instrText xml:space="preserve"> NUMPAGES  \* MERGEFORMAT </w:instrText>
                    </w:r>
                    <w:r>
                      <w:rPr>
                        <w:rFonts w:ascii="宋体" w:hAnsi="宋体" w:cs="宋体"/>
                        <w:b/>
                        <w:bCs/>
                      </w:rPr>
                      <w:fldChar w:fldCharType="separate"/>
                    </w:r>
                    <w:r>
                      <w:rPr>
                        <w:rFonts w:ascii="宋体" w:hAnsi="宋体" w:cs="宋体"/>
                        <w:b/>
                        <w:bCs/>
                      </w:rPr>
                      <w:t>70</w:t>
                    </w:r>
                    <w:r>
                      <w:rPr>
                        <w:rFonts w:ascii="宋体" w:hAnsi="宋体" w:cs="宋体"/>
                        <w:b/>
                        <w:bCs/>
                      </w:rPr>
                      <w:fldChar w:fldCharType="end"/>
                    </w:r>
                    <w:r>
                      <w:rPr>
                        <w:rFonts w:ascii="宋体" w:hAnsi="宋体" w:cs="宋体"/>
                        <w:b/>
                        <w:bCs/>
                      </w:rPr>
                      <w:t xml:space="preserve"> 页</w:t>
                    </w:r>
                  </w:p>
                </w:txbxContent>
              </v:textbox>
              <w10:wrap type="tight"/>
            </v:shape>
          </w:pict>
        </mc:Fallback>
      </mc:AlternateContent>
    </w:r>
    <w:r>
      <w:rPr>
        <w:rFonts w:ascii="宋体" w:hAnsi="宋体"/>
        <w:b/>
        <w:bCs/>
        <w:i/>
        <w:iCs/>
        <w:color w:val="00B050"/>
      </w:rPr>
      <w:drawing>
        <wp:anchor distT="0" distB="0" distL="114300" distR="114300" simplePos="0" relativeHeight="251659264" behindDoc="0" locked="0" layoutInCell="1" allowOverlap="1">
          <wp:simplePos x="0" y="0"/>
          <wp:positionH relativeFrom="column">
            <wp:posOffset>47625</wp:posOffset>
          </wp:positionH>
          <wp:positionV relativeFrom="page">
            <wp:posOffset>9939655</wp:posOffset>
          </wp:positionV>
          <wp:extent cx="807085" cy="184785"/>
          <wp:effectExtent l="0" t="0" r="12065" b="5715"/>
          <wp:wrapSquare wrapText="bothSides"/>
          <wp:docPr id="4" name="图片 4"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0788654(1)"/>
                  <pic:cNvPicPr>
                    <a:picLocks noChangeAspect="1"/>
                  </pic:cNvPicPr>
                </pic:nvPicPr>
                <pic:blipFill>
                  <a:blip r:embed="rId1"/>
                  <a:stretch>
                    <a:fillRect/>
                  </a:stretch>
                </pic:blipFill>
                <pic:spPr>
                  <a:xfrm>
                    <a:off x="0" y="0"/>
                    <a:ext cx="807085" cy="1847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669B">
    <w:pPr>
      <w:pStyle w:val="31"/>
      <w:pBdr>
        <w:bottom w:val="none" w:color="auto" w:sz="0" w:space="1"/>
      </w:pBdr>
      <w:ind w:firstLine="0" w:firstLineChars="0"/>
      <w:jc w:val="left"/>
    </w:pPr>
    <w:r>
      <w:rPr>
        <w:rFonts w:hint="eastAsia" w:ascii="宋体" w:hAnsi="宋体" w:cs="宋体"/>
        <w:sz w:val="15"/>
        <w:szCs w:val="15"/>
        <w:lang w:eastAsia="zh-CN"/>
      </w:rPr>
      <w:t>龙游县龙南污水厂建设工程设备采购招标</w:t>
    </w:r>
    <w:r>
      <w:rPr>
        <w:rFonts w:hint="eastAsia" w:ascii="宋体" w:hAnsi="宋体" w:cs="宋体"/>
        <w:sz w:val="15"/>
        <w:szCs w:val="15"/>
      </w:rPr>
      <w:t>的公开招标文件</w:t>
    </w:r>
    <w:r>
      <w:rPr>
        <w:rFonts w:hint="eastAsia" w:ascii="宋体" w:hAnsi="宋体" w:cs="宋体"/>
        <w:sz w:val="15"/>
        <w:szCs w:val="15"/>
        <w:lang w:val="en-US" w:eastAsia="zh-CN"/>
      </w:rPr>
      <w:t xml:space="preserve">   </w:t>
    </w:r>
    <w:r>
      <w:rPr>
        <w:rFonts w:hint="eastAsia" w:ascii="宋体" w:hAnsi="宋体" w:cs="宋体"/>
        <w:sz w:val="15"/>
        <w:szCs w:val="15"/>
      </w:rPr>
      <w:t xml:space="preserve"> </w:t>
    </w:r>
    <w:r>
      <w:rPr>
        <w:rFonts w:hint="eastAsia" w:ascii="宋体" w:hAnsi="宋体" w:cs="宋体"/>
        <w:sz w:val="15"/>
        <w:szCs w:val="15"/>
        <w:lang w:val="en-US" w:eastAsia="zh-CN"/>
      </w:rPr>
      <w:t xml:space="preserve">                                                             </w:t>
    </w:r>
    <w:r>
      <w:rPr>
        <w:rFonts w:hint="eastAsia" w:ascii="宋体" w:hAnsi="宋体" w:cs="宋体"/>
        <w:sz w:val="15"/>
        <w:szCs w:val="15"/>
        <w:lang w:eastAsia="zh-CN"/>
      </w:rPr>
      <w:t>LYCG2025YX-002</w:t>
    </w:r>
    <w:r>
      <w:rPr>
        <w:rFonts w:hint="eastAsia" w:ascii="宋体" w:hAnsi="宋体" w:cs="宋体"/>
        <w:sz w:val="15"/>
        <w:szCs w:val="15"/>
        <w:lang w:val="en-US" w:eastAsia="zh-CN"/>
      </w:rPr>
      <w:t xml:space="preserve">        </w:t>
    </w:r>
    <w:r>
      <w:rPr>
        <w:rFonts w:hint="eastAsia" w:ascii="宋体" w:hAnsi="宋体" w:cs="宋体"/>
        <w:sz w:val="15"/>
        <w:szCs w:val="15"/>
        <w:lang w:eastAsia="zh-CN"/>
      </w:rPr>
      <w:t xml:space="preserve"> </w:t>
    </w:r>
    <w:r>
      <w:rPr>
        <w:rFonts w:hint="eastAsia" w:ascii="宋体" w:hAnsi="宋体" w:cs="宋体"/>
        <w:sz w:val="15"/>
        <w:szCs w:val="15"/>
      </w:rPr>
      <w:t xml:space="preserve">  </w:t>
    </w:r>
    <w:r>
      <w:rPr>
        <w:rFonts w:hint="eastAsia" w:ascii="宋体" w:hAnsi="宋体" w:cs="宋体"/>
        <w:sz w:val="15"/>
        <w:szCs w:val="15"/>
        <w:lang w:val="en-US" w:eastAsia="zh-CN"/>
      </w:rPr>
      <w:t xml:space="preserve">                                  </w:t>
    </w:r>
    <w:r>
      <w:rPr>
        <w:rFonts w:hint="eastAsia" w:ascii="宋体" w:hAnsi="宋体" w:cs="宋体"/>
        <w:sz w:val="15"/>
        <w:szCs w:val="15"/>
        <w:lang w:eastAsia="zh-CN"/>
      </w:rPr>
      <w:t xml:space="preserve"> </w:t>
    </w:r>
    <w:r>
      <w:rPr>
        <w:rFonts w:hint="eastAsia" w:ascii="宋体" w:hAnsi="宋体" w:cs="宋体"/>
        <w:sz w:val="15"/>
        <w:szCs w:val="15"/>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70516"/>
    <w:multiLevelType w:val="multilevel"/>
    <w:tmpl w:val="8E870516"/>
    <w:lvl w:ilvl="0" w:tentative="0">
      <w:start w:val="3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
    <w:nsid w:val="947EBF98"/>
    <w:multiLevelType w:val="multilevel"/>
    <w:tmpl w:val="947EBF98"/>
    <w:lvl w:ilvl="0" w:tentative="0">
      <w:start w:val="2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bCs/>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
    <w:nsid w:val="96C99190"/>
    <w:multiLevelType w:val="multilevel"/>
    <w:tmpl w:val="96C99190"/>
    <w:lvl w:ilvl="0" w:tentative="0">
      <w:start w:val="25"/>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
    <w:nsid w:val="9BB90EE9"/>
    <w:multiLevelType w:val="multilevel"/>
    <w:tmpl w:val="9BB90EE9"/>
    <w:lvl w:ilvl="0" w:tentative="0">
      <w:start w:val="3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4">
    <w:nsid w:val="AB3B11DE"/>
    <w:multiLevelType w:val="multilevel"/>
    <w:tmpl w:val="AB3B11DE"/>
    <w:lvl w:ilvl="0" w:tentative="0">
      <w:start w:val="22"/>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5">
    <w:nsid w:val="C6FCDB65"/>
    <w:multiLevelType w:val="multilevel"/>
    <w:tmpl w:val="C6FCDB65"/>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6">
    <w:nsid w:val="C74380A4"/>
    <w:multiLevelType w:val="singleLevel"/>
    <w:tmpl w:val="C74380A4"/>
    <w:lvl w:ilvl="0" w:tentative="0">
      <w:start w:val="1"/>
      <w:numFmt w:val="lowerLetter"/>
      <w:lvlText w:val="%1."/>
      <w:lvlJc w:val="left"/>
      <w:pPr>
        <w:ind w:left="-229" w:hanging="425"/>
      </w:pPr>
      <w:rPr>
        <w:rFonts w:hint="default"/>
      </w:rPr>
    </w:lvl>
  </w:abstractNum>
  <w:abstractNum w:abstractNumId="7">
    <w:nsid w:val="C9E241E8"/>
    <w:multiLevelType w:val="multilevel"/>
    <w:tmpl w:val="C9E241E8"/>
    <w:lvl w:ilvl="0" w:tentative="0">
      <w:start w:val="11"/>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宋体" w:hAnsi="宋体" w:eastAsia="宋体" w:cs="宋体"/>
        <w:sz w:val="24"/>
        <w:szCs w:val="24"/>
      </w:rPr>
    </w:lvl>
    <w:lvl w:ilvl="2" w:tentative="0">
      <w:start w:val="1"/>
      <w:numFmt w:val="decimal"/>
      <w:suff w:val="nothing"/>
      <w:lvlText w:val="%1.%2.%3."/>
      <w:lvlJc w:val="left"/>
      <w:pPr>
        <w:tabs>
          <w:tab w:val="left" w:pos="0"/>
        </w:tabs>
        <w:ind w:left="709" w:hanging="709"/>
      </w:pPr>
      <w:rPr>
        <w:rFonts w:hint="default" w:ascii="黑体" w:hAnsi="黑体" w:eastAsia="黑体"/>
      </w:rPr>
    </w:lvl>
    <w:lvl w:ilvl="3" w:tentative="0">
      <w:start w:val="1"/>
      <w:numFmt w:val="decimal"/>
      <w:suff w:val="nothing"/>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D5B8C7FA"/>
    <w:multiLevelType w:val="multilevel"/>
    <w:tmpl w:val="D5B8C7FA"/>
    <w:lvl w:ilvl="0" w:tentative="0">
      <w:start w:val="2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9">
    <w:nsid w:val="DA13D165"/>
    <w:multiLevelType w:val="multilevel"/>
    <w:tmpl w:val="DA13D165"/>
    <w:lvl w:ilvl="0" w:tentative="0">
      <w:start w:val="5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0">
    <w:nsid w:val="DB5FE334"/>
    <w:multiLevelType w:val="multilevel"/>
    <w:tmpl w:val="DB5FE334"/>
    <w:lvl w:ilvl="0" w:tentative="0">
      <w:start w:val="1"/>
      <w:numFmt w:val="chineseCounting"/>
      <w:pStyle w:val="5"/>
      <w:suff w:val="nothing"/>
      <w:lvlText w:val="第%1章 "/>
      <w:lvlJc w:val="left"/>
      <w:pPr>
        <w:ind w:left="432" w:hanging="432"/>
      </w:pPr>
      <w:rPr>
        <w:rFonts w:hint="eastAsia"/>
      </w:rPr>
    </w:lvl>
    <w:lvl w:ilvl="1" w:tentative="0">
      <w:start w:val="1"/>
      <w:numFmt w:val="decimal"/>
      <w:pStyle w:val="6"/>
      <w:isLgl/>
      <w:lvlText w:val="%1.%2."/>
      <w:lvlJc w:val="left"/>
      <w:pPr>
        <w:ind w:left="575" w:hanging="575"/>
      </w:pPr>
      <w:rPr>
        <w:rFonts w:hint="eastAsia"/>
      </w:rPr>
    </w:lvl>
    <w:lvl w:ilvl="2" w:tentative="0">
      <w:start w:val="1"/>
      <w:numFmt w:val="decimal"/>
      <w:pStyle w:val="7"/>
      <w:isLgl/>
      <w:lvlText w:val="%1.%2.%3."/>
      <w:lvlJc w:val="left"/>
      <w:pPr>
        <w:ind w:left="720" w:hanging="720"/>
      </w:pPr>
      <w:rPr>
        <w:rFonts w:hint="eastAsia"/>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abstractNum w:abstractNumId="11">
    <w:nsid w:val="F11A53AA"/>
    <w:multiLevelType w:val="multilevel"/>
    <w:tmpl w:val="F11A53AA"/>
    <w:lvl w:ilvl="0" w:tentative="0">
      <w:start w:val="5"/>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黑体" w:hAnsi="黑体" w:eastAsia="黑体" w:cs="黑体"/>
        <w:sz w:val="22"/>
      </w:rPr>
    </w:lvl>
    <w:lvl w:ilvl="2" w:tentative="0">
      <w:start w:val="1"/>
      <w:numFmt w:val="decimal"/>
      <w:suff w:val="nothing"/>
      <w:lvlText w:val="%1.%2.%3."/>
      <w:lvlJc w:val="left"/>
      <w:pPr>
        <w:tabs>
          <w:tab w:val="left" w:pos="0"/>
        </w:tabs>
        <w:ind w:left="709" w:hanging="709"/>
      </w:pPr>
      <w:rPr>
        <w:rFonts w:hint="default" w:ascii="宋体" w:hAnsi="宋体" w:eastAsia="宋体" w:cs="宋体"/>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0000001C"/>
    <w:multiLevelType w:val="singleLevel"/>
    <w:tmpl w:val="0000001C"/>
    <w:lvl w:ilvl="0" w:tentative="0">
      <w:start w:val="1"/>
      <w:numFmt w:val="decimal"/>
      <w:pStyle w:val="126"/>
      <w:lvlText w:val="(%1)"/>
      <w:lvlJc w:val="left"/>
      <w:pPr>
        <w:tabs>
          <w:tab w:val="left" w:pos="750"/>
        </w:tabs>
        <w:ind w:left="750" w:hanging="270"/>
      </w:pPr>
      <w:rPr>
        <w:rFonts w:hint="default"/>
      </w:rPr>
    </w:lvl>
  </w:abstractNum>
  <w:abstractNum w:abstractNumId="13">
    <w:nsid w:val="03526A12"/>
    <w:multiLevelType w:val="singleLevel"/>
    <w:tmpl w:val="03526A12"/>
    <w:lvl w:ilvl="0" w:tentative="0">
      <w:start w:val="1"/>
      <w:numFmt w:val="decimal"/>
      <w:pStyle w:val="14"/>
      <w:lvlText w:val="%1."/>
      <w:lvlJc w:val="left"/>
      <w:pPr>
        <w:tabs>
          <w:tab w:val="left" w:pos="360"/>
        </w:tabs>
        <w:ind w:left="360" w:hanging="360"/>
      </w:pPr>
    </w:lvl>
  </w:abstractNum>
  <w:abstractNum w:abstractNumId="14">
    <w:nsid w:val="0818F3E6"/>
    <w:multiLevelType w:val="multilevel"/>
    <w:tmpl w:val="0818F3E6"/>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5">
    <w:nsid w:val="195B5AE1"/>
    <w:multiLevelType w:val="multilevel"/>
    <w:tmpl w:val="195B5AE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1C9D5F28"/>
    <w:multiLevelType w:val="multilevel"/>
    <w:tmpl w:val="1C9D5F28"/>
    <w:lvl w:ilvl="0" w:tentative="0">
      <w:start w:val="1"/>
      <w:numFmt w:val="decimal"/>
      <w:lvlText w:val="%1."/>
      <w:lvlJc w:val="left"/>
      <w:pPr>
        <w:tabs>
          <w:tab w:val="left" w:pos="593"/>
        </w:tabs>
        <w:ind w:left="593" w:hanging="360"/>
      </w:pPr>
      <w:rPr>
        <w:rFonts w:hint="eastAsia"/>
      </w:rPr>
    </w:lvl>
    <w:lvl w:ilvl="1" w:tentative="0">
      <w:start w:val="1"/>
      <w:numFmt w:val="lowerLetter"/>
      <w:lvlText w:val="%2)"/>
      <w:lvlJc w:val="left"/>
      <w:pPr>
        <w:tabs>
          <w:tab w:val="left" w:pos="1073"/>
        </w:tabs>
        <w:ind w:left="1073" w:hanging="420"/>
      </w:pPr>
    </w:lvl>
    <w:lvl w:ilvl="2" w:tentative="0">
      <w:start w:val="1"/>
      <w:numFmt w:val="lowerRoman"/>
      <w:lvlText w:val="%3."/>
      <w:lvlJc w:val="right"/>
      <w:pPr>
        <w:tabs>
          <w:tab w:val="left" w:pos="1493"/>
        </w:tabs>
        <w:ind w:left="1493" w:hanging="420"/>
      </w:pPr>
    </w:lvl>
    <w:lvl w:ilvl="3" w:tentative="0">
      <w:start w:val="1"/>
      <w:numFmt w:val="decimal"/>
      <w:lvlText w:val="%4."/>
      <w:lvlJc w:val="left"/>
      <w:pPr>
        <w:tabs>
          <w:tab w:val="left" w:pos="1913"/>
        </w:tabs>
        <w:ind w:left="1913" w:hanging="420"/>
      </w:pPr>
    </w:lvl>
    <w:lvl w:ilvl="4" w:tentative="0">
      <w:start w:val="1"/>
      <w:numFmt w:val="lowerLetter"/>
      <w:lvlText w:val="%5)"/>
      <w:lvlJc w:val="left"/>
      <w:pPr>
        <w:tabs>
          <w:tab w:val="left" w:pos="2333"/>
        </w:tabs>
        <w:ind w:left="2333" w:hanging="420"/>
      </w:pPr>
    </w:lvl>
    <w:lvl w:ilvl="5" w:tentative="0">
      <w:start w:val="1"/>
      <w:numFmt w:val="lowerRoman"/>
      <w:lvlText w:val="%6."/>
      <w:lvlJc w:val="right"/>
      <w:pPr>
        <w:tabs>
          <w:tab w:val="left" w:pos="2753"/>
        </w:tabs>
        <w:ind w:left="2753" w:hanging="420"/>
      </w:pPr>
    </w:lvl>
    <w:lvl w:ilvl="6" w:tentative="0">
      <w:start w:val="1"/>
      <w:numFmt w:val="decimal"/>
      <w:lvlText w:val="%7."/>
      <w:lvlJc w:val="left"/>
      <w:pPr>
        <w:tabs>
          <w:tab w:val="left" w:pos="3173"/>
        </w:tabs>
        <w:ind w:left="3173" w:hanging="420"/>
      </w:pPr>
    </w:lvl>
    <w:lvl w:ilvl="7" w:tentative="0">
      <w:start w:val="1"/>
      <w:numFmt w:val="lowerLetter"/>
      <w:lvlText w:val="%8)"/>
      <w:lvlJc w:val="left"/>
      <w:pPr>
        <w:tabs>
          <w:tab w:val="left" w:pos="3593"/>
        </w:tabs>
        <w:ind w:left="3593" w:hanging="420"/>
      </w:pPr>
    </w:lvl>
    <w:lvl w:ilvl="8" w:tentative="0">
      <w:start w:val="1"/>
      <w:numFmt w:val="lowerRoman"/>
      <w:lvlText w:val="%9."/>
      <w:lvlJc w:val="right"/>
      <w:pPr>
        <w:tabs>
          <w:tab w:val="left" w:pos="4013"/>
        </w:tabs>
        <w:ind w:left="4013" w:hanging="420"/>
      </w:pPr>
    </w:lvl>
  </w:abstractNum>
  <w:abstractNum w:abstractNumId="17">
    <w:nsid w:val="1F3C1DAA"/>
    <w:multiLevelType w:val="multilevel"/>
    <w:tmpl w:val="1F3C1DAA"/>
    <w:lvl w:ilvl="0" w:tentative="0">
      <w:start w:val="34"/>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8">
    <w:nsid w:val="2A498524"/>
    <w:multiLevelType w:val="multilevel"/>
    <w:tmpl w:val="2A498524"/>
    <w:lvl w:ilvl="0" w:tentative="0">
      <w:start w:val="3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9">
    <w:nsid w:val="2A89B273"/>
    <w:multiLevelType w:val="singleLevel"/>
    <w:tmpl w:val="2A89B273"/>
    <w:lvl w:ilvl="0" w:tentative="0">
      <w:start w:val="1"/>
      <w:numFmt w:val="decimal"/>
      <w:suff w:val="nothing"/>
      <w:lvlText w:val="(%1)"/>
      <w:lvlJc w:val="left"/>
      <w:pPr>
        <w:tabs>
          <w:tab w:val="left" w:pos="420"/>
        </w:tabs>
        <w:ind w:left="425" w:hanging="425"/>
      </w:pPr>
      <w:rPr>
        <w:rFonts w:hint="default" w:ascii="宋体" w:hAnsi="宋体" w:eastAsia="宋体" w:cs="宋体"/>
        <w:sz w:val="22"/>
        <w:szCs w:val="22"/>
      </w:rPr>
    </w:lvl>
  </w:abstractNum>
  <w:abstractNum w:abstractNumId="20">
    <w:nsid w:val="2F5BE3B0"/>
    <w:multiLevelType w:val="singleLevel"/>
    <w:tmpl w:val="2F5BE3B0"/>
    <w:lvl w:ilvl="0" w:tentative="0">
      <w:start w:val="1"/>
      <w:numFmt w:val="lowerLetter"/>
      <w:lvlText w:val="%1."/>
      <w:lvlJc w:val="left"/>
      <w:pPr>
        <w:ind w:left="-229" w:hanging="425"/>
      </w:pPr>
      <w:rPr>
        <w:rFonts w:hint="default"/>
      </w:rPr>
    </w:lvl>
  </w:abstractNum>
  <w:abstractNum w:abstractNumId="21">
    <w:nsid w:val="30BF2976"/>
    <w:multiLevelType w:val="multilevel"/>
    <w:tmpl w:val="30BF2976"/>
    <w:lvl w:ilvl="0" w:tentative="0">
      <w:start w:val="2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2">
    <w:nsid w:val="31BBF289"/>
    <w:multiLevelType w:val="singleLevel"/>
    <w:tmpl w:val="31BBF289"/>
    <w:lvl w:ilvl="0" w:tentative="0">
      <w:start w:val="1"/>
      <w:numFmt w:val="decimal"/>
      <w:lvlText w:val="%1."/>
      <w:lvlJc w:val="left"/>
      <w:pPr>
        <w:tabs>
          <w:tab w:val="left" w:pos="312"/>
        </w:tabs>
      </w:pPr>
    </w:lvl>
  </w:abstractNum>
  <w:abstractNum w:abstractNumId="23">
    <w:nsid w:val="32116B1C"/>
    <w:multiLevelType w:val="multilevel"/>
    <w:tmpl w:val="32116B1C"/>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4">
    <w:nsid w:val="3B053898"/>
    <w:multiLevelType w:val="multilevel"/>
    <w:tmpl w:val="3B053898"/>
    <w:lvl w:ilvl="0" w:tentative="0">
      <w:start w:val="29"/>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5">
    <w:nsid w:val="42AD7AA0"/>
    <w:multiLevelType w:val="multilevel"/>
    <w:tmpl w:val="42AD7AA0"/>
    <w:lvl w:ilvl="0" w:tentative="0">
      <w:start w:val="5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6">
    <w:nsid w:val="435328E5"/>
    <w:multiLevelType w:val="singleLevel"/>
    <w:tmpl w:val="435328E5"/>
    <w:lvl w:ilvl="0" w:tentative="0">
      <w:start w:val="3"/>
      <w:numFmt w:val="chineseCounting"/>
      <w:suff w:val="space"/>
      <w:lvlText w:val="第%1章"/>
      <w:lvlJc w:val="left"/>
      <w:rPr>
        <w:rFonts w:hint="eastAsia"/>
      </w:rPr>
    </w:lvl>
  </w:abstractNum>
  <w:abstractNum w:abstractNumId="27">
    <w:nsid w:val="45360877"/>
    <w:multiLevelType w:val="singleLevel"/>
    <w:tmpl w:val="45360877"/>
    <w:lvl w:ilvl="0" w:tentative="0">
      <w:start w:val="1"/>
      <w:numFmt w:val="lowerLetter"/>
      <w:lvlText w:val="%1."/>
      <w:lvlJc w:val="left"/>
      <w:pPr>
        <w:ind w:left="-229" w:hanging="425"/>
      </w:pPr>
      <w:rPr>
        <w:rFonts w:hint="default"/>
      </w:rPr>
    </w:lvl>
  </w:abstractNum>
  <w:abstractNum w:abstractNumId="28">
    <w:nsid w:val="47BDF845"/>
    <w:multiLevelType w:val="multilevel"/>
    <w:tmpl w:val="47BDF845"/>
    <w:lvl w:ilvl="0" w:tentative="0">
      <w:start w:val="3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9">
    <w:nsid w:val="521D00D8"/>
    <w:multiLevelType w:val="singleLevel"/>
    <w:tmpl w:val="521D00D8"/>
    <w:lvl w:ilvl="0" w:tentative="0">
      <w:start w:val="1"/>
      <w:numFmt w:val="lowerLetter"/>
      <w:lvlText w:val="%1."/>
      <w:lvlJc w:val="left"/>
      <w:pPr>
        <w:ind w:left="-229" w:hanging="425"/>
      </w:pPr>
      <w:rPr>
        <w:rFonts w:hint="default"/>
      </w:rPr>
    </w:lvl>
  </w:abstractNum>
  <w:abstractNum w:abstractNumId="30">
    <w:nsid w:val="584A6597"/>
    <w:multiLevelType w:val="multilevel"/>
    <w:tmpl w:val="584A6597"/>
    <w:lvl w:ilvl="0" w:tentative="0">
      <w:start w:val="45"/>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1">
    <w:nsid w:val="5ABB7CDF"/>
    <w:multiLevelType w:val="multilevel"/>
    <w:tmpl w:val="5ABB7CDF"/>
    <w:lvl w:ilvl="0" w:tentative="0">
      <w:start w:val="2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2">
    <w:nsid w:val="621669EB"/>
    <w:multiLevelType w:val="multilevel"/>
    <w:tmpl w:val="621669EB"/>
    <w:lvl w:ilvl="0" w:tentative="0">
      <w:start w:val="1"/>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3">
    <w:nsid w:val="63C6A213"/>
    <w:multiLevelType w:val="multilevel"/>
    <w:tmpl w:val="63C6A213"/>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4">
    <w:nsid w:val="644B3BDB"/>
    <w:multiLevelType w:val="singleLevel"/>
    <w:tmpl w:val="644B3BDB"/>
    <w:lvl w:ilvl="0" w:tentative="0">
      <w:start w:val="1"/>
      <w:numFmt w:val="lowerLetter"/>
      <w:lvlText w:val="%1."/>
      <w:lvlJc w:val="left"/>
      <w:pPr>
        <w:ind w:left="425" w:hanging="425"/>
      </w:pPr>
      <w:rPr>
        <w:rFonts w:hint="default"/>
      </w:rPr>
    </w:lvl>
  </w:abstractNum>
  <w:abstractNum w:abstractNumId="35">
    <w:nsid w:val="758A98E8"/>
    <w:multiLevelType w:val="multilevel"/>
    <w:tmpl w:val="758A98E8"/>
    <w:lvl w:ilvl="0" w:tentative="0">
      <w:start w:val="4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6">
    <w:nsid w:val="78C7DEC1"/>
    <w:multiLevelType w:val="singleLevel"/>
    <w:tmpl w:val="78C7DEC1"/>
    <w:lvl w:ilvl="0" w:tentative="0">
      <w:start w:val="2"/>
      <w:numFmt w:val="decimal"/>
      <w:suff w:val="nothing"/>
      <w:lvlText w:val="%1、"/>
      <w:lvlJc w:val="left"/>
    </w:lvl>
  </w:abstractNum>
  <w:num w:numId="1">
    <w:abstractNumId w:val="10"/>
  </w:num>
  <w:num w:numId="2">
    <w:abstractNumId w:val="13"/>
  </w:num>
  <w:num w:numId="3">
    <w:abstractNumId w:val="12"/>
  </w:num>
  <w:num w:numId="4">
    <w:abstractNumId w:val="32"/>
  </w:num>
  <w:num w:numId="5">
    <w:abstractNumId w:val="11"/>
  </w:num>
  <w:num w:numId="6">
    <w:abstractNumId w:val="19"/>
  </w:num>
  <w:num w:numId="7">
    <w:abstractNumId w:val="7"/>
  </w:num>
  <w:num w:numId="8">
    <w:abstractNumId w:val="1"/>
  </w:num>
  <w:num w:numId="9">
    <w:abstractNumId w:val="14"/>
  </w:num>
  <w:num w:numId="10">
    <w:abstractNumId w:val="33"/>
  </w:num>
  <w:num w:numId="11">
    <w:abstractNumId w:val="4"/>
  </w:num>
  <w:num w:numId="12">
    <w:abstractNumId w:val="31"/>
  </w:num>
  <w:num w:numId="13">
    <w:abstractNumId w:val="2"/>
  </w:num>
  <w:num w:numId="14">
    <w:abstractNumId w:val="8"/>
  </w:num>
  <w:num w:numId="15">
    <w:abstractNumId w:val="21"/>
  </w:num>
  <w:num w:numId="16">
    <w:abstractNumId w:val="24"/>
  </w:num>
  <w:num w:numId="17">
    <w:abstractNumId w:val="3"/>
  </w:num>
  <w:num w:numId="18">
    <w:abstractNumId w:val="0"/>
  </w:num>
  <w:num w:numId="19">
    <w:abstractNumId w:val="17"/>
  </w:num>
  <w:num w:numId="20">
    <w:abstractNumId w:val="28"/>
  </w:num>
  <w:num w:numId="21">
    <w:abstractNumId w:val="18"/>
  </w:num>
  <w:num w:numId="22">
    <w:abstractNumId w:val="30"/>
  </w:num>
  <w:num w:numId="23">
    <w:abstractNumId w:val="35"/>
  </w:num>
  <w:num w:numId="24">
    <w:abstractNumId w:val="25"/>
  </w:num>
  <w:num w:numId="25">
    <w:abstractNumId w:val="5"/>
  </w:num>
  <w:num w:numId="26">
    <w:abstractNumId w:val="9"/>
  </w:num>
  <w:num w:numId="27">
    <w:abstractNumId w:val="26"/>
  </w:num>
  <w:num w:numId="28">
    <w:abstractNumId w:val="36"/>
  </w:num>
  <w:num w:numId="29">
    <w:abstractNumId w:val="6"/>
  </w:num>
  <w:num w:numId="30">
    <w:abstractNumId w:val="29"/>
  </w:num>
  <w:num w:numId="31">
    <w:abstractNumId w:val="27"/>
  </w:num>
  <w:num w:numId="32">
    <w:abstractNumId w:val="20"/>
  </w:num>
  <w:num w:numId="33">
    <w:abstractNumId w:val="23"/>
  </w:num>
  <w:num w:numId="34">
    <w:abstractNumId w:val="15"/>
  </w:num>
  <w:num w:numId="35">
    <w:abstractNumId w:val="16"/>
  </w:num>
  <w:num w:numId="36">
    <w:abstractNumId w:val="3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jIzYjQ1MjY3NTQzOGE4ZDA2N2NhY2U0ZDI0Y2IifQ=="/>
    <w:docVar w:name="KSO_WPS_MARK_KEY" w:val="957c998e-d817-4e86-9d49-1648f64c691d"/>
  </w:docVars>
  <w:rsids>
    <w:rsidRoot w:val="00172A27"/>
    <w:rsid w:val="00001B86"/>
    <w:rsid w:val="0001574A"/>
    <w:rsid w:val="00030CA1"/>
    <w:rsid w:val="000720FD"/>
    <w:rsid w:val="000749E3"/>
    <w:rsid w:val="00075658"/>
    <w:rsid w:val="00087E9B"/>
    <w:rsid w:val="00095BB3"/>
    <w:rsid w:val="000B12C4"/>
    <w:rsid w:val="000B4D49"/>
    <w:rsid w:val="000C1FF9"/>
    <w:rsid w:val="000D001F"/>
    <w:rsid w:val="000E6CB8"/>
    <w:rsid w:val="000F4724"/>
    <w:rsid w:val="00110020"/>
    <w:rsid w:val="001135EF"/>
    <w:rsid w:val="00131DED"/>
    <w:rsid w:val="00134482"/>
    <w:rsid w:val="00160C00"/>
    <w:rsid w:val="00166B83"/>
    <w:rsid w:val="00172A27"/>
    <w:rsid w:val="00174D1F"/>
    <w:rsid w:val="001B43B8"/>
    <w:rsid w:val="001B669C"/>
    <w:rsid w:val="001D2A2C"/>
    <w:rsid w:val="001D3AC9"/>
    <w:rsid w:val="001E3818"/>
    <w:rsid w:val="0023244A"/>
    <w:rsid w:val="00240CE3"/>
    <w:rsid w:val="00244B1B"/>
    <w:rsid w:val="00250784"/>
    <w:rsid w:val="00280EB2"/>
    <w:rsid w:val="002A3277"/>
    <w:rsid w:val="002B06D1"/>
    <w:rsid w:val="002B5669"/>
    <w:rsid w:val="002B6923"/>
    <w:rsid w:val="002C2150"/>
    <w:rsid w:val="002C6DBF"/>
    <w:rsid w:val="003206DB"/>
    <w:rsid w:val="00321511"/>
    <w:rsid w:val="0032359B"/>
    <w:rsid w:val="00324240"/>
    <w:rsid w:val="0034086A"/>
    <w:rsid w:val="003532FE"/>
    <w:rsid w:val="00356D83"/>
    <w:rsid w:val="003661AC"/>
    <w:rsid w:val="00372743"/>
    <w:rsid w:val="00393AC1"/>
    <w:rsid w:val="003A1C52"/>
    <w:rsid w:val="003D28DF"/>
    <w:rsid w:val="003E3AC5"/>
    <w:rsid w:val="003F163D"/>
    <w:rsid w:val="003F28D5"/>
    <w:rsid w:val="00417EF4"/>
    <w:rsid w:val="00434F99"/>
    <w:rsid w:val="00442E9B"/>
    <w:rsid w:val="00456C36"/>
    <w:rsid w:val="00464A79"/>
    <w:rsid w:val="004A6B6E"/>
    <w:rsid w:val="004B29DF"/>
    <w:rsid w:val="004C0647"/>
    <w:rsid w:val="004C1068"/>
    <w:rsid w:val="004D68B1"/>
    <w:rsid w:val="004D6CFA"/>
    <w:rsid w:val="004E2821"/>
    <w:rsid w:val="005067AA"/>
    <w:rsid w:val="00517DE5"/>
    <w:rsid w:val="00530FC5"/>
    <w:rsid w:val="005A5587"/>
    <w:rsid w:val="005A66C9"/>
    <w:rsid w:val="005C620B"/>
    <w:rsid w:val="005D65F3"/>
    <w:rsid w:val="00615EA1"/>
    <w:rsid w:val="00637F97"/>
    <w:rsid w:val="00656C7F"/>
    <w:rsid w:val="00665BAD"/>
    <w:rsid w:val="00666327"/>
    <w:rsid w:val="00681239"/>
    <w:rsid w:val="00682233"/>
    <w:rsid w:val="00687FD5"/>
    <w:rsid w:val="00691733"/>
    <w:rsid w:val="00695207"/>
    <w:rsid w:val="006D2E0A"/>
    <w:rsid w:val="006D5C1D"/>
    <w:rsid w:val="006F1760"/>
    <w:rsid w:val="006F7D98"/>
    <w:rsid w:val="00712D43"/>
    <w:rsid w:val="007170A5"/>
    <w:rsid w:val="00720531"/>
    <w:rsid w:val="007271D6"/>
    <w:rsid w:val="00732090"/>
    <w:rsid w:val="00741652"/>
    <w:rsid w:val="00741A6D"/>
    <w:rsid w:val="00745A51"/>
    <w:rsid w:val="00771A04"/>
    <w:rsid w:val="00794D0F"/>
    <w:rsid w:val="00796568"/>
    <w:rsid w:val="007A53BE"/>
    <w:rsid w:val="007A7EC2"/>
    <w:rsid w:val="007B5D5A"/>
    <w:rsid w:val="007B6021"/>
    <w:rsid w:val="007D6C87"/>
    <w:rsid w:val="0081086A"/>
    <w:rsid w:val="00826647"/>
    <w:rsid w:val="008332A0"/>
    <w:rsid w:val="0087167F"/>
    <w:rsid w:val="008A56F1"/>
    <w:rsid w:val="008A7D2D"/>
    <w:rsid w:val="008B1210"/>
    <w:rsid w:val="00911744"/>
    <w:rsid w:val="00914E9F"/>
    <w:rsid w:val="009301A9"/>
    <w:rsid w:val="00951D06"/>
    <w:rsid w:val="0095235D"/>
    <w:rsid w:val="00954876"/>
    <w:rsid w:val="00960603"/>
    <w:rsid w:val="00961809"/>
    <w:rsid w:val="009722FA"/>
    <w:rsid w:val="00977B14"/>
    <w:rsid w:val="0099154C"/>
    <w:rsid w:val="009E7C52"/>
    <w:rsid w:val="009F1C84"/>
    <w:rsid w:val="00A04C1C"/>
    <w:rsid w:val="00A101EE"/>
    <w:rsid w:val="00A17AD8"/>
    <w:rsid w:val="00A37ED3"/>
    <w:rsid w:val="00A65FA9"/>
    <w:rsid w:val="00A73D7D"/>
    <w:rsid w:val="00A9539D"/>
    <w:rsid w:val="00AD217A"/>
    <w:rsid w:val="00AE043D"/>
    <w:rsid w:val="00B23941"/>
    <w:rsid w:val="00B25D5D"/>
    <w:rsid w:val="00B32474"/>
    <w:rsid w:val="00B34E87"/>
    <w:rsid w:val="00B41252"/>
    <w:rsid w:val="00B61F45"/>
    <w:rsid w:val="00B9055E"/>
    <w:rsid w:val="00BA4C66"/>
    <w:rsid w:val="00BE5EAE"/>
    <w:rsid w:val="00C05CBB"/>
    <w:rsid w:val="00C12965"/>
    <w:rsid w:val="00C25FE8"/>
    <w:rsid w:val="00C324D2"/>
    <w:rsid w:val="00C34DAD"/>
    <w:rsid w:val="00C358F9"/>
    <w:rsid w:val="00C41BE3"/>
    <w:rsid w:val="00C65E39"/>
    <w:rsid w:val="00C77BA6"/>
    <w:rsid w:val="00C82755"/>
    <w:rsid w:val="00C85511"/>
    <w:rsid w:val="00C95363"/>
    <w:rsid w:val="00D047D9"/>
    <w:rsid w:val="00D27920"/>
    <w:rsid w:val="00D4030B"/>
    <w:rsid w:val="00D46B8D"/>
    <w:rsid w:val="00D553F0"/>
    <w:rsid w:val="00D735A6"/>
    <w:rsid w:val="00D82BEA"/>
    <w:rsid w:val="00DB32A1"/>
    <w:rsid w:val="00DC6BD3"/>
    <w:rsid w:val="00DD51F1"/>
    <w:rsid w:val="00DD5630"/>
    <w:rsid w:val="00DE3A1B"/>
    <w:rsid w:val="00DF0E7E"/>
    <w:rsid w:val="00DF4EE0"/>
    <w:rsid w:val="00E02C38"/>
    <w:rsid w:val="00E12664"/>
    <w:rsid w:val="00E14CA4"/>
    <w:rsid w:val="00E27EAD"/>
    <w:rsid w:val="00E367D5"/>
    <w:rsid w:val="00E57A29"/>
    <w:rsid w:val="00E6702C"/>
    <w:rsid w:val="00E76D46"/>
    <w:rsid w:val="00E80370"/>
    <w:rsid w:val="00E80E0C"/>
    <w:rsid w:val="00E92EA4"/>
    <w:rsid w:val="00EA263A"/>
    <w:rsid w:val="00EA78D6"/>
    <w:rsid w:val="00EB51E8"/>
    <w:rsid w:val="00ED68A7"/>
    <w:rsid w:val="00F05400"/>
    <w:rsid w:val="00F148F7"/>
    <w:rsid w:val="00F166FD"/>
    <w:rsid w:val="00F453C0"/>
    <w:rsid w:val="00F46DAC"/>
    <w:rsid w:val="00F8095F"/>
    <w:rsid w:val="00F85681"/>
    <w:rsid w:val="00F96F51"/>
    <w:rsid w:val="00F9798D"/>
    <w:rsid w:val="00FA023A"/>
    <w:rsid w:val="00FA7BB3"/>
    <w:rsid w:val="00FB3CEF"/>
    <w:rsid w:val="00FC6550"/>
    <w:rsid w:val="00FE08C8"/>
    <w:rsid w:val="00FE4E96"/>
    <w:rsid w:val="00FF2AB9"/>
    <w:rsid w:val="01023BF0"/>
    <w:rsid w:val="0103164E"/>
    <w:rsid w:val="010333FC"/>
    <w:rsid w:val="01057174"/>
    <w:rsid w:val="010B405F"/>
    <w:rsid w:val="010C27DA"/>
    <w:rsid w:val="01192C1F"/>
    <w:rsid w:val="011E7A06"/>
    <w:rsid w:val="012045F7"/>
    <w:rsid w:val="0134060D"/>
    <w:rsid w:val="013435B5"/>
    <w:rsid w:val="013637D1"/>
    <w:rsid w:val="0136616B"/>
    <w:rsid w:val="013864CB"/>
    <w:rsid w:val="01457570"/>
    <w:rsid w:val="014C6B51"/>
    <w:rsid w:val="0150385C"/>
    <w:rsid w:val="015B4FE6"/>
    <w:rsid w:val="016B421D"/>
    <w:rsid w:val="01706634"/>
    <w:rsid w:val="01714809"/>
    <w:rsid w:val="01757B4B"/>
    <w:rsid w:val="017D14D2"/>
    <w:rsid w:val="018B23A4"/>
    <w:rsid w:val="018C1643"/>
    <w:rsid w:val="018D431C"/>
    <w:rsid w:val="01906A31"/>
    <w:rsid w:val="01944054"/>
    <w:rsid w:val="0196601E"/>
    <w:rsid w:val="019B0ED7"/>
    <w:rsid w:val="019C2519"/>
    <w:rsid w:val="019D55FE"/>
    <w:rsid w:val="01A25893"/>
    <w:rsid w:val="01A56261"/>
    <w:rsid w:val="01A802A3"/>
    <w:rsid w:val="01A96691"/>
    <w:rsid w:val="01AD47CF"/>
    <w:rsid w:val="01AF4639"/>
    <w:rsid w:val="01B11310"/>
    <w:rsid w:val="01C033CB"/>
    <w:rsid w:val="01C2347D"/>
    <w:rsid w:val="01C34A92"/>
    <w:rsid w:val="01CF32DE"/>
    <w:rsid w:val="01D42A2B"/>
    <w:rsid w:val="01D61657"/>
    <w:rsid w:val="01E176EE"/>
    <w:rsid w:val="01E7687A"/>
    <w:rsid w:val="01E84AF7"/>
    <w:rsid w:val="01ED1932"/>
    <w:rsid w:val="01FF1E15"/>
    <w:rsid w:val="02014380"/>
    <w:rsid w:val="0204567E"/>
    <w:rsid w:val="020B3367"/>
    <w:rsid w:val="021A0D6B"/>
    <w:rsid w:val="022D6C8F"/>
    <w:rsid w:val="023702FD"/>
    <w:rsid w:val="023D73FF"/>
    <w:rsid w:val="02443B62"/>
    <w:rsid w:val="02471622"/>
    <w:rsid w:val="024C71F6"/>
    <w:rsid w:val="02533F0F"/>
    <w:rsid w:val="02557D02"/>
    <w:rsid w:val="0258475E"/>
    <w:rsid w:val="025A0DEA"/>
    <w:rsid w:val="02632EF4"/>
    <w:rsid w:val="02685B24"/>
    <w:rsid w:val="026C6D7F"/>
    <w:rsid w:val="026F1557"/>
    <w:rsid w:val="027619AC"/>
    <w:rsid w:val="02801659"/>
    <w:rsid w:val="028B5457"/>
    <w:rsid w:val="02923524"/>
    <w:rsid w:val="0295277A"/>
    <w:rsid w:val="029640FE"/>
    <w:rsid w:val="0299656C"/>
    <w:rsid w:val="029F0F02"/>
    <w:rsid w:val="02A05AD0"/>
    <w:rsid w:val="02A12ECC"/>
    <w:rsid w:val="02A4249C"/>
    <w:rsid w:val="02A73BBD"/>
    <w:rsid w:val="02A76009"/>
    <w:rsid w:val="02A93B2F"/>
    <w:rsid w:val="02B96C5E"/>
    <w:rsid w:val="02C866AB"/>
    <w:rsid w:val="02CE3596"/>
    <w:rsid w:val="02D037B2"/>
    <w:rsid w:val="02D07463"/>
    <w:rsid w:val="02D22B2F"/>
    <w:rsid w:val="02E132C9"/>
    <w:rsid w:val="02E96323"/>
    <w:rsid w:val="02EC044F"/>
    <w:rsid w:val="02EC3DA4"/>
    <w:rsid w:val="030B22E9"/>
    <w:rsid w:val="030F59F5"/>
    <w:rsid w:val="030F6088"/>
    <w:rsid w:val="03101E00"/>
    <w:rsid w:val="03123DCA"/>
    <w:rsid w:val="0313544C"/>
    <w:rsid w:val="0317378E"/>
    <w:rsid w:val="0321400D"/>
    <w:rsid w:val="03282B7E"/>
    <w:rsid w:val="03284B8C"/>
    <w:rsid w:val="032C73AC"/>
    <w:rsid w:val="0333397C"/>
    <w:rsid w:val="03337D64"/>
    <w:rsid w:val="0339068B"/>
    <w:rsid w:val="033B3E59"/>
    <w:rsid w:val="033C431B"/>
    <w:rsid w:val="033D6C49"/>
    <w:rsid w:val="033E7C14"/>
    <w:rsid w:val="034A5312"/>
    <w:rsid w:val="0353648E"/>
    <w:rsid w:val="035B4572"/>
    <w:rsid w:val="035C5C24"/>
    <w:rsid w:val="0361024E"/>
    <w:rsid w:val="03676838"/>
    <w:rsid w:val="03725FE8"/>
    <w:rsid w:val="037405E1"/>
    <w:rsid w:val="03773D39"/>
    <w:rsid w:val="037C1244"/>
    <w:rsid w:val="037E4FBC"/>
    <w:rsid w:val="038B23A2"/>
    <w:rsid w:val="039676A9"/>
    <w:rsid w:val="039850D9"/>
    <w:rsid w:val="039B54A3"/>
    <w:rsid w:val="03A323A1"/>
    <w:rsid w:val="03B33B11"/>
    <w:rsid w:val="03BB0082"/>
    <w:rsid w:val="03C6116F"/>
    <w:rsid w:val="03CB00BA"/>
    <w:rsid w:val="03CC3F79"/>
    <w:rsid w:val="03DD1CE2"/>
    <w:rsid w:val="03E64263"/>
    <w:rsid w:val="03E700DD"/>
    <w:rsid w:val="03EA2651"/>
    <w:rsid w:val="03F85B2F"/>
    <w:rsid w:val="03FC232D"/>
    <w:rsid w:val="04021749"/>
    <w:rsid w:val="0402799B"/>
    <w:rsid w:val="04065EFF"/>
    <w:rsid w:val="04114082"/>
    <w:rsid w:val="04164480"/>
    <w:rsid w:val="04221DEB"/>
    <w:rsid w:val="0424106F"/>
    <w:rsid w:val="043438CC"/>
    <w:rsid w:val="043D4E77"/>
    <w:rsid w:val="045301F6"/>
    <w:rsid w:val="0458580D"/>
    <w:rsid w:val="045A77D7"/>
    <w:rsid w:val="045D7CA1"/>
    <w:rsid w:val="04640655"/>
    <w:rsid w:val="0472058F"/>
    <w:rsid w:val="047F2D99"/>
    <w:rsid w:val="048E122E"/>
    <w:rsid w:val="04901171"/>
    <w:rsid w:val="04901414"/>
    <w:rsid w:val="049116C0"/>
    <w:rsid w:val="04934A97"/>
    <w:rsid w:val="04936A23"/>
    <w:rsid w:val="04983E5B"/>
    <w:rsid w:val="049B4192"/>
    <w:rsid w:val="049D08B8"/>
    <w:rsid w:val="049F168E"/>
    <w:rsid w:val="04A143E4"/>
    <w:rsid w:val="04A276AB"/>
    <w:rsid w:val="04B41B16"/>
    <w:rsid w:val="04B47F34"/>
    <w:rsid w:val="04B72CCE"/>
    <w:rsid w:val="04B751A7"/>
    <w:rsid w:val="04BA64C7"/>
    <w:rsid w:val="04C1395E"/>
    <w:rsid w:val="04C9495C"/>
    <w:rsid w:val="04CC1D57"/>
    <w:rsid w:val="04D97DDC"/>
    <w:rsid w:val="04DF4324"/>
    <w:rsid w:val="04F05A45"/>
    <w:rsid w:val="04F90435"/>
    <w:rsid w:val="04FC088E"/>
    <w:rsid w:val="04FD05F7"/>
    <w:rsid w:val="04FD7C2A"/>
    <w:rsid w:val="050B2FCD"/>
    <w:rsid w:val="051341F3"/>
    <w:rsid w:val="05156EEC"/>
    <w:rsid w:val="051712DA"/>
    <w:rsid w:val="051C1E78"/>
    <w:rsid w:val="051D78E1"/>
    <w:rsid w:val="05235E1B"/>
    <w:rsid w:val="052971A9"/>
    <w:rsid w:val="052C3B6E"/>
    <w:rsid w:val="052E77A1"/>
    <w:rsid w:val="053172CC"/>
    <w:rsid w:val="0539563E"/>
    <w:rsid w:val="053C11CD"/>
    <w:rsid w:val="0543026B"/>
    <w:rsid w:val="05441FF6"/>
    <w:rsid w:val="05492F7F"/>
    <w:rsid w:val="05540C99"/>
    <w:rsid w:val="055B3C3D"/>
    <w:rsid w:val="05654685"/>
    <w:rsid w:val="056567AD"/>
    <w:rsid w:val="056C0D1F"/>
    <w:rsid w:val="057934E6"/>
    <w:rsid w:val="057A4A8F"/>
    <w:rsid w:val="05827F45"/>
    <w:rsid w:val="058A5E99"/>
    <w:rsid w:val="058B37B8"/>
    <w:rsid w:val="058E5FA2"/>
    <w:rsid w:val="059B1E55"/>
    <w:rsid w:val="059B3313"/>
    <w:rsid w:val="059E28D3"/>
    <w:rsid w:val="05A04E96"/>
    <w:rsid w:val="05A131E3"/>
    <w:rsid w:val="05AE18D3"/>
    <w:rsid w:val="05AE31EB"/>
    <w:rsid w:val="05B147D4"/>
    <w:rsid w:val="05B81D48"/>
    <w:rsid w:val="05C8457A"/>
    <w:rsid w:val="05CA098C"/>
    <w:rsid w:val="05CC7F08"/>
    <w:rsid w:val="05CF3AC9"/>
    <w:rsid w:val="05E530D0"/>
    <w:rsid w:val="05EB4E16"/>
    <w:rsid w:val="05EC0902"/>
    <w:rsid w:val="06094F71"/>
    <w:rsid w:val="060F3F53"/>
    <w:rsid w:val="061609DC"/>
    <w:rsid w:val="0619721E"/>
    <w:rsid w:val="062067FE"/>
    <w:rsid w:val="06227002"/>
    <w:rsid w:val="062430A3"/>
    <w:rsid w:val="06270B33"/>
    <w:rsid w:val="06272FEA"/>
    <w:rsid w:val="062F6A28"/>
    <w:rsid w:val="063127B9"/>
    <w:rsid w:val="06400C4E"/>
    <w:rsid w:val="0640428E"/>
    <w:rsid w:val="06541E3A"/>
    <w:rsid w:val="06603A00"/>
    <w:rsid w:val="0661460E"/>
    <w:rsid w:val="067032E2"/>
    <w:rsid w:val="06731BEF"/>
    <w:rsid w:val="0680729D"/>
    <w:rsid w:val="06896151"/>
    <w:rsid w:val="068D7C64"/>
    <w:rsid w:val="068E5516"/>
    <w:rsid w:val="068F128E"/>
    <w:rsid w:val="069A210C"/>
    <w:rsid w:val="069B03E5"/>
    <w:rsid w:val="069B0F45"/>
    <w:rsid w:val="069B307B"/>
    <w:rsid w:val="069D39AB"/>
    <w:rsid w:val="06A7132C"/>
    <w:rsid w:val="06AD1A86"/>
    <w:rsid w:val="06AD1B15"/>
    <w:rsid w:val="06B31420"/>
    <w:rsid w:val="06B50CF4"/>
    <w:rsid w:val="06BB3D5C"/>
    <w:rsid w:val="06BD5D71"/>
    <w:rsid w:val="06C23411"/>
    <w:rsid w:val="06C61153"/>
    <w:rsid w:val="06C62F02"/>
    <w:rsid w:val="06CB676A"/>
    <w:rsid w:val="06D575E9"/>
    <w:rsid w:val="06D8039E"/>
    <w:rsid w:val="06DB2355"/>
    <w:rsid w:val="06DC0977"/>
    <w:rsid w:val="06F400A7"/>
    <w:rsid w:val="06FF4174"/>
    <w:rsid w:val="07025814"/>
    <w:rsid w:val="07093827"/>
    <w:rsid w:val="070C28DE"/>
    <w:rsid w:val="071E2F3F"/>
    <w:rsid w:val="072D11D3"/>
    <w:rsid w:val="07337778"/>
    <w:rsid w:val="074104B4"/>
    <w:rsid w:val="07416A2C"/>
    <w:rsid w:val="074309F6"/>
    <w:rsid w:val="074602F4"/>
    <w:rsid w:val="074B4CEF"/>
    <w:rsid w:val="074C6649"/>
    <w:rsid w:val="07511973"/>
    <w:rsid w:val="07561F05"/>
    <w:rsid w:val="07623294"/>
    <w:rsid w:val="076B1CFB"/>
    <w:rsid w:val="076D2D2B"/>
    <w:rsid w:val="07741E75"/>
    <w:rsid w:val="07750484"/>
    <w:rsid w:val="077A1300"/>
    <w:rsid w:val="077F1302"/>
    <w:rsid w:val="078828AD"/>
    <w:rsid w:val="078C71BF"/>
    <w:rsid w:val="079052BE"/>
    <w:rsid w:val="07921036"/>
    <w:rsid w:val="07A95C73"/>
    <w:rsid w:val="07AB7DE9"/>
    <w:rsid w:val="07AD40C1"/>
    <w:rsid w:val="07B214E9"/>
    <w:rsid w:val="07B567B5"/>
    <w:rsid w:val="07C5140B"/>
    <w:rsid w:val="07CF2B0E"/>
    <w:rsid w:val="07D72A16"/>
    <w:rsid w:val="07DA303C"/>
    <w:rsid w:val="07DD160C"/>
    <w:rsid w:val="07DE69F8"/>
    <w:rsid w:val="07E1193E"/>
    <w:rsid w:val="07E35D35"/>
    <w:rsid w:val="07E775D3"/>
    <w:rsid w:val="07F24573"/>
    <w:rsid w:val="07F72BA6"/>
    <w:rsid w:val="07F7358F"/>
    <w:rsid w:val="07F8458B"/>
    <w:rsid w:val="07F92E63"/>
    <w:rsid w:val="07FB3286"/>
    <w:rsid w:val="07FC0BA5"/>
    <w:rsid w:val="08075E2A"/>
    <w:rsid w:val="080C1275"/>
    <w:rsid w:val="080F08D8"/>
    <w:rsid w:val="080F2EBC"/>
    <w:rsid w:val="080F30D9"/>
    <w:rsid w:val="081C4DA3"/>
    <w:rsid w:val="08232C66"/>
    <w:rsid w:val="082757A5"/>
    <w:rsid w:val="08306989"/>
    <w:rsid w:val="08387E2F"/>
    <w:rsid w:val="083E12EC"/>
    <w:rsid w:val="08406CE4"/>
    <w:rsid w:val="084B2667"/>
    <w:rsid w:val="084F33CB"/>
    <w:rsid w:val="08512AD9"/>
    <w:rsid w:val="08560F6B"/>
    <w:rsid w:val="08564759"/>
    <w:rsid w:val="08566507"/>
    <w:rsid w:val="085B1B32"/>
    <w:rsid w:val="085D7896"/>
    <w:rsid w:val="08670714"/>
    <w:rsid w:val="086F1377"/>
    <w:rsid w:val="08722947"/>
    <w:rsid w:val="0878647D"/>
    <w:rsid w:val="087D1CE6"/>
    <w:rsid w:val="08812363"/>
    <w:rsid w:val="088A5836"/>
    <w:rsid w:val="088C71AD"/>
    <w:rsid w:val="08917363"/>
    <w:rsid w:val="089474E5"/>
    <w:rsid w:val="08962DA7"/>
    <w:rsid w:val="08A13C26"/>
    <w:rsid w:val="08A7323A"/>
    <w:rsid w:val="08AC1E89"/>
    <w:rsid w:val="08BA6A96"/>
    <w:rsid w:val="08C37475"/>
    <w:rsid w:val="08C47915"/>
    <w:rsid w:val="08C96CD9"/>
    <w:rsid w:val="08CC463A"/>
    <w:rsid w:val="08D06CD2"/>
    <w:rsid w:val="08E5207E"/>
    <w:rsid w:val="08EA14B6"/>
    <w:rsid w:val="08EB1612"/>
    <w:rsid w:val="08EF5980"/>
    <w:rsid w:val="08F20C25"/>
    <w:rsid w:val="08F22AA0"/>
    <w:rsid w:val="08FC0E5C"/>
    <w:rsid w:val="09011900"/>
    <w:rsid w:val="09047D11"/>
    <w:rsid w:val="09077801"/>
    <w:rsid w:val="090D60CD"/>
    <w:rsid w:val="09154475"/>
    <w:rsid w:val="091C32AD"/>
    <w:rsid w:val="091F0D16"/>
    <w:rsid w:val="093051ED"/>
    <w:rsid w:val="093E76C7"/>
    <w:rsid w:val="093F343F"/>
    <w:rsid w:val="093F6F9B"/>
    <w:rsid w:val="09436A8B"/>
    <w:rsid w:val="09455276"/>
    <w:rsid w:val="094D501E"/>
    <w:rsid w:val="09540C99"/>
    <w:rsid w:val="0955056D"/>
    <w:rsid w:val="096F5AD2"/>
    <w:rsid w:val="09722120"/>
    <w:rsid w:val="097906FF"/>
    <w:rsid w:val="09931921"/>
    <w:rsid w:val="0994504E"/>
    <w:rsid w:val="09951BEF"/>
    <w:rsid w:val="099579E7"/>
    <w:rsid w:val="09A86984"/>
    <w:rsid w:val="09B554AF"/>
    <w:rsid w:val="09B74D83"/>
    <w:rsid w:val="09C26F59"/>
    <w:rsid w:val="09C46E19"/>
    <w:rsid w:val="09CC2D1E"/>
    <w:rsid w:val="09D122E9"/>
    <w:rsid w:val="09D32D2B"/>
    <w:rsid w:val="09D46050"/>
    <w:rsid w:val="09D608DD"/>
    <w:rsid w:val="09D75580"/>
    <w:rsid w:val="09DA6E2A"/>
    <w:rsid w:val="09DE4A06"/>
    <w:rsid w:val="09E702DD"/>
    <w:rsid w:val="09EA5159"/>
    <w:rsid w:val="09F2225F"/>
    <w:rsid w:val="0A00672A"/>
    <w:rsid w:val="0A104A65"/>
    <w:rsid w:val="0A12645E"/>
    <w:rsid w:val="0A14667A"/>
    <w:rsid w:val="0A242C6D"/>
    <w:rsid w:val="0A25744F"/>
    <w:rsid w:val="0A283998"/>
    <w:rsid w:val="0A2A5EEF"/>
    <w:rsid w:val="0A2E773B"/>
    <w:rsid w:val="0A342E64"/>
    <w:rsid w:val="0A3463D4"/>
    <w:rsid w:val="0A414455"/>
    <w:rsid w:val="0A4347C8"/>
    <w:rsid w:val="0A454634"/>
    <w:rsid w:val="0A4707FD"/>
    <w:rsid w:val="0A4E393A"/>
    <w:rsid w:val="0A595E3B"/>
    <w:rsid w:val="0A5A4272"/>
    <w:rsid w:val="0A613063"/>
    <w:rsid w:val="0A621193"/>
    <w:rsid w:val="0A694687"/>
    <w:rsid w:val="0A6A0048"/>
    <w:rsid w:val="0A6C7BC6"/>
    <w:rsid w:val="0A723725"/>
    <w:rsid w:val="0A784EBD"/>
    <w:rsid w:val="0A785488"/>
    <w:rsid w:val="0A7B2E0A"/>
    <w:rsid w:val="0A801619"/>
    <w:rsid w:val="0A83110A"/>
    <w:rsid w:val="0A8448A0"/>
    <w:rsid w:val="0A8455AD"/>
    <w:rsid w:val="0A856C30"/>
    <w:rsid w:val="0A883255"/>
    <w:rsid w:val="0A8B26E5"/>
    <w:rsid w:val="0A913826"/>
    <w:rsid w:val="0A9F0EAA"/>
    <w:rsid w:val="0A9F3102"/>
    <w:rsid w:val="0AAC48A7"/>
    <w:rsid w:val="0AAE06DA"/>
    <w:rsid w:val="0AB37545"/>
    <w:rsid w:val="0AB424D0"/>
    <w:rsid w:val="0AB45767"/>
    <w:rsid w:val="0AB90398"/>
    <w:rsid w:val="0ABA506A"/>
    <w:rsid w:val="0ABC5B35"/>
    <w:rsid w:val="0ABC5BC4"/>
    <w:rsid w:val="0ABF0C3B"/>
    <w:rsid w:val="0ACA0AE6"/>
    <w:rsid w:val="0AD13CC7"/>
    <w:rsid w:val="0AE24082"/>
    <w:rsid w:val="0AEB73DB"/>
    <w:rsid w:val="0AEC4F01"/>
    <w:rsid w:val="0AEC6CAF"/>
    <w:rsid w:val="0AEE0C79"/>
    <w:rsid w:val="0AEE5CC9"/>
    <w:rsid w:val="0AEF7E7E"/>
    <w:rsid w:val="0AF142C5"/>
    <w:rsid w:val="0AF26D60"/>
    <w:rsid w:val="0B00170D"/>
    <w:rsid w:val="0B0C55A3"/>
    <w:rsid w:val="0B0F11BF"/>
    <w:rsid w:val="0B195DEC"/>
    <w:rsid w:val="0B230CAC"/>
    <w:rsid w:val="0B2B61AC"/>
    <w:rsid w:val="0B320A29"/>
    <w:rsid w:val="0B330D82"/>
    <w:rsid w:val="0B375A37"/>
    <w:rsid w:val="0B37608B"/>
    <w:rsid w:val="0B462863"/>
    <w:rsid w:val="0B491D94"/>
    <w:rsid w:val="0B507DED"/>
    <w:rsid w:val="0B5558F0"/>
    <w:rsid w:val="0B584344"/>
    <w:rsid w:val="0B5C5BE2"/>
    <w:rsid w:val="0B5F3925"/>
    <w:rsid w:val="0B5F71F3"/>
    <w:rsid w:val="0B6131F9"/>
    <w:rsid w:val="0B662015"/>
    <w:rsid w:val="0B6B7431"/>
    <w:rsid w:val="0B78464D"/>
    <w:rsid w:val="0B7D5340"/>
    <w:rsid w:val="0B815649"/>
    <w:rsid w:val="0B8213C1"/>
    <w:rsid w:val="0B9D4CB5"/>
    <w:rsid w:val="0BA23811"/>
    <w:rsid w:val="0BA45365"/>
    <w:rsid w:val="0BAB69EC"/>
    <w:rsid w:val="0BAD643E"/>
    <w:rsid w:val="0BB26C0D"/>
    <w:rsid w:val="0BB61C22"/>
    <w:rsid w:val="0BB84DE3"/>
    <w:rsid w:val="0BC77592"/>
    <w:rsid w:val="0BD56F10"/>
    <w:rsid w:val="0BDF124C"/>
    <w:rsid w:val="0BDF2CAC"/>
    <w:rsid w:val="0BE66D02"/>
    <w:rsid w:val="0BF2478A"/>
    <w:rsid w:val="0BF60CFA"/>
    <w:rsid w:val="0BF65F60"/>
    <w:rsid w:val="0BF75417"/>
    <w:rsid w:val="0BF87C3C"/>
    <w:rsid w:val="0BF978D5"/>
    <w:rsid w:val="0BFA07CA"/>
    <w:rsid w:val="0C0054E2"/>
    <w:rsid w:val="0C061FF2"/>
    <w:rsid w:val="0C075659"/>
    <w:rsid w:val="0C090D3D"/>
    <w:rsid w:val="0C0A5DFC"/>
    <w:rsid w:val="0C2E0D0E"/>
    <w:rsid w:val="0C2F1549"/>
    <w:rsid w:val="0C332F3F"/>
    <w:rsid w:val="0C353FE5"/>
    <w:rsid w:val="0C3703FE"/>
    <w:rsid w:val="0C3A4DF1"/>
    <w:rsid w:val="0C4245AA"/>
    <w:rsid w:val="0C4A6383"/>
    <w:rsid w:val="0C4D19CF"/>
    <w:rsid w:val="0C4E2B00"/>
    <w:rsid w:val="0C4F67E2"/>
    <w:rsid w:val="0C522348"/>
    <w:rsid w:val="0C523489"/>
    <w:rsid w:val="0C542D5E"/>
    <w:rsid w:val="0C654F6B"/>
    <w:rsid w:val="0C6E2563"/>
    <w:rsid w:val="0C6F136A"/>
    <w:rsid w:val="0C721436"/>
    <w:rsid w:val="0C755305"/>
    <w:rsid w:val="0C7767A9"/>
    <w:rsid w:val="0C7B29E0"/>
    <w:rsid w:val="0C8B4B82"/>
    <w:rsid w:val="0C8C49FD"/>
    <w:rsid w:val="0C8C4C5A"/>
    <w:rsid w:val="0CA05FA3"/>
    <w:rsid w:val="0CB01370"/>
    <w:rsid w:val="0CB07099"/>
    <w:rsid w:val="0CB25637"/>
    <w:rsid w:val="0CBF36BB"/>
    <w:rsid w:val="0CD84A23"/>
    <w:rsid w:val="0CDF4D1D"/>
    <w:rsid w:val="0CEE78D1"/>
    <w:rsid w:val="0CF100B4"/>
    <w:rsid w:val="0CF35DAA"/>
    <w:rsid w:val="0CFE2CC9"/>
    <w:rsid w:val="0D0B3AEB"/>
    <w:rsid w:val="0D0D6F08"/>
    <w:rsid w:val="0D110C4F"/>
    <w:rsid w:val="0D1C7D1F"/>
    <w:rsid w:val="0D21323C"/>
    <w:rsid w:val="0D240982"/>
    <w:rsid w:val="0D270472"/>
    <w:rsid w:val="0D2C3CDA"/>
    <w:rsid w:val="0D2F4203"/>
    <w:rsid w:val="0D3112F1"/>
    <w:rsid w:val="0D3E2F48"/>
    <w:rsid w:val="0D411534"/>
    <w:rsid w:val="0D440F4F"/>
    <w:rsid w:val="0D4E13AE"/>
    <w:rsid w:val="0D533015"/>
    <w:rsid w:val="0D5374B9"/>
    <w:rsid w:val="0D556D8D"/>
    <w:rsid w:val="0D5A43A4"/>
    <w:rsid w:val="0D6A65BF"/>
    <w:rsid w:val="0D6B5D0D"/>
    <w:rsid w:val="0D6D3186"/>
    <w:rsid w:val="0D725B91"/>
    <w:rsid w:val="0D72790F"/>
    <w:rsid w:val="0D902199"/>
    <w:rsid w:val="0D995086"/>
    <w:rsid w:val="0DA3593E"/>
    <w:rsid w:val="0DAB4895"/>
    <w:rsid w:val="0DAE46EF"/>
    <w:rsid w:val="0DAF2891"/>
    <w:rsid w:val="0DB25F8E"/>
    <w:rsid w:val="0DB8731C"/>
    <w:rsid w:val="0DB937C0"/>
    <w:rsid w:val="0DC0193D"/>
    <w:rsid w:val="0DC141F2"/>
    <w:rsid w:val="0DC51A08"/>
    <w:rsid w:val="0DC65EDD"/>
    <w:rsid w:val="0DCD4F6C"/>
    <w:rsid w:val="0DD02F0F"/>
    <w:rsid w:val="0DD405FA"/>
    <w:rsid w:val="0DD4472D"/>
    <w:rsid w:val="0DD8076D"/>
    <w:rsid w:val="0DDB451D"/>
    <w:rsid w:val="0DE10191"/>
    <w:rsid w:val="0DF04D08"/>
    <w:rsid w:val="0DF20A80"/>
    <w:rsid w:val="0DF3323F"/>
    <w:rsid w:val="0DF376DD"/>
    <w:rsid w:val="0DF90060"/>
    <w:rsid w:val="0DFC59CE"/>
    <w:rsid w:val="0E0E45D2"/>
    <w:rsid w:val="0E19425F"/>
    <w:rsid w:val="0E237841"/>
    <w:rsid w:val="0E2844A2"/>
    <w:rsid w:val="0E29730F"/>
    <w:rsid w:val="0E2D7BE3"/>
    <w:rsid w:val="0E320E7D"/>
    <w:rsid w:val="0E342E47"/>
    <w:rsid w:val="0E3A5F83"/>
    <w:rsid w:val="0E3D06A0"/>
    <w:rsid w:val="0E462C4C"/>
    <w:rsid w:val="0E4B1A1C"/>
    <w:rsid w:val="0E4D215A"/>
    <w:rsid w:val="0E504189"/>
    <w:rsid w:val="0E536E32"/>
    <w:rsid w:val="0E5556B2"/>
    <w:rsid w:val="0E561CB2"/>
    <w:rsid w:val="0E583303"/>
    <w:rsid w:val="0E5C693D"/>
    <w:rsid w:val="0E6179B4"/>
    <w:rsid w:val="0E680D42"/>
    <w:rsid w:val="0E8012D9"/>
    <w:rsid w:val="0E810684"/>
    <w:rsid w:val="0E833B53"/>
    <w:rsid w:val="0E836136"/>
    <w:rsid w:val="0E8813E4"/>
    <w:rsid w:val="0E8C1749"/>
    <w:rsid w:val="0E9059C9"/>
    <w:rsid w:val="0E957C7E"/>
    <w:rsid w:val="0E972E44"/>
    <w:rsid w:val="0EA7314F"/>
    <w:rsid w:val="0EAE0E4B"/>
    <w:rsid w:val="0EBC360E"/>
    <w:rsid w:val="0EC3752D"/>
    <w:rsid w:val="0ECA7307"/>
    <w:rsid w:val="0ECC307F"/>
    <w:rsid w:val="0ECE4A09"/>
    <w:rsid w:val="0ED57430"/>
    <w:rsid w:val="0ED71A24"/>
    <w:rsid w:val="0ED729EE"/>
    <w:rsid w:val="0EDC5E02"/>
    <w:rsid w:val="0EDE2DB2"/>
    <w:rsid w:val="0EDF706C"/>
    <w:rsid w:val="0EE6424E"/>
    <w:rsid w:val="0EEC1973"/>
    <w:rsid w:val="0EF146A7"/>
    <w:rsid w:val="0EF31966"/>
    <w:rsid w:val="0EF83E74"/>
    <w:rsid w:val="0EF93AF3"/>
    <w:rsid w:val="0EFA4090"/>
    <w:rsid w:val="0EFB1BB6"/>
    <w:rsid w:val="0F040A6B"/>
    <w:rsid w:val="0F046CBD"/>
    <w:rsid w:val="0F056591"/>
    <w:rsid w:val="0F0942D3"/>
    <w:rsid w:val="0F0A1DF9"/>
    <w:rsid w:val="0F1133CB"/>
    <w:rsid w:val="0F1173AD"/>
    <w:rsid w:val="0F234C69"/>
    <w:rsid w:val="0F244060"/>
    <w:rsid w:val="0F3B6457"/>
    <w:rsid w:val="0F405BCB"/>
    <w:rsid w:val="0F4444D7"/>
    <w:rsid w:val="0F454276"/>
    <w:rsid w:val="0F4C41C0"/>
    <w:rsid w:val="0F4E5368"/>
    <w:rsid w:val="0F5D698D"/>
    <w:rsid w:val="0F5F5CA1"/>
    <w:rsid w:val="0F672DA8"/>
    <w:rsid w:val="0F6874B0"/>
    <w:rsid w:val="0F73799F"/>
    <w:rsid w:val="0F847DFE"/>
    <w:rsid w:val="0F881ACB"/>
    <w:rsid w:val="0F890F70"/>
    <w:rsid w:val="0F8C5688"/>
    <w:rsid w:val="0F911ACA"/>
    <w:rsid w:val="0F915CF4"/>
    <w:rsid w:val="0F93489A"/>
    <w:rsid w:val="0F9B0CA3"/>
    <w:rsid w:val="0FA97864"/>
    <w:rsid w:val="0FAB0EE6"/>
    <w:rsid w:val="0FAC06D9"/>
    <w:rsid w:val="0FAD016D"/>
    <w:rsid w:val="0FAF0058"/>
    <w:rsid w:val="0FB104C7"/>
    <w:rsid w:val="0FBD5F7F"/>
    <w:rsid w:val="0FC1744F"/>
    <w:rsid w:val="0FC226D4"/>
    <w:rsid w:val="0FC63BDB"/>
    <w:rsid w:val="0FC64AEA"/>
    <w:rsid w:val="0FD41D0C"/>
    <w:rsid w:val="0FDF6DE2"/>
    <w:rsid w:val="0FE66BBE"/>
    <w:rsid w:val="0FED0C0B"/>
    <w:rsid w:val="0FEF5F5D"/>
    <w:rsid w:val="0FF02D9D"/>
    <w:rsid w:val="0FF0673A"/>
    <w:rsid w:val="0FF42037"/>
    <w:rsid w:val="0FF54080"/>
    <w:rsid w:val="0FF65639"/>
    <w:rsid w:val="0FF7412C"/>
    <w:rsid w:val="100B407B"/>
    <w:rsid w:val="100F142D"/>
    <w:rsid w:val="101229E9"/>
    <w:rsid w:val="101565F4"/>
    <w:rsid w:val="10156CA8"/>
    <w:rsid w:val="101A3E7C"/>
    <w:rsid w:val="101C0036"/>
    <w:rsid w:val="102313C5"/>
    <w:rsid w:val="1025642B"/>
    <w:rsid w:val="1027514F"/>
    <w:rsid w:val="10285F85"/>
    <w:rsid w:val="102B29FC"/>
    <w:rsid w:val="102D1D40"/>
    <w:rsid w:val="10304C1F"/>
    <w:rsid w:val="10305890"/>
    <w:rsid w:val="103A2396"/>
    <w:rsid w:val="10455091"/>
    <w:rsid w:val="10473C4E"/>
    <w:rsid w:val="10497F6A"/>
    <w:rsid w:val="104A6951"/>
    <w:rsid w:val="104F6378"/>
    <w:rsid w:val="10516984"/>
    <w:rsid w:val="10572E1C"/>
    <w:rsid w:val="105B5D70"/>
    <w:rsid w:val="105C0433"/>
    <w:rsid w:val="105C7C29"/>
    <w:rsid w:val="105F3958"/>
    <w:rsid w:val="105F7F23"/>
    <w:rsid w:val="10627D00"/>
    <w:rsid w:val="106663EC"/>
    <w:rsid w:val="10670626"/>
    <w:rsid w:val="106A6FF4"/>
    <w:rsid w:val="106E056B"/>
    <w:rsid w:val="1072039F"/>
    <w:rsid w:val="10825804"/>
    <w:rsid w:val="10855BDB"/>
    <w:rsid w:val="10867E54"/>
    <w:rsid w:val="1088747A"/>
    <w:rsid w:val="108A4A7A"/>
    <w:rsid w:val="109113BA"/>
    <w:rsid w:val="10914580"/>
    <w:rsid w:val="109802C9"/>
    <w:rsid w:val="109A1D19"/>
    <w:rsid w:val="10A122E9"/>
    <w:rsid w:val="10A15A4A"/>
    <w:rsid w:val="10A2678D"/>
    <w:rsid w:val="10A83678"/>
    <w:rsid w:val="10AF4A06"/>
    <w:rsid w:val="10B169D0"/>
    <w:rsid w:val="10B448AF"/>
    <w:rsid w:val="10B77B5F"/>
    <w:rsid w:val="10BA1685"/>
    <w:rsid w:val="10BA6FC7"/>
    <w:rsid w:val="10BE10ED"/>
    <w:rsid w:val="10C03740"/>
    <w:rsid w:val="10C62793"/>
    <w:rsid w:val="10E01064"/>
    <w:rsid w:val="10E137BD"/>
    <w:rsid w:val="10E16330"/>
    <w:rsid w:val="10E24DDC"/>
    <w:rsid w:val="10E304B7"/>
    <w:rsid w:val="10E51C43"/>
    <w:rsid w:val="10EC7A09"/>
    <w:rsid w:val="10FB1CFE"/>
    <w:rsid w:val="10FB57F0"/>
    <w:rsid w:val="11020FDA"/>
    <w:rsid w:val="11054F59"/>
    <w:rsid w:val="111451B1"/>
    <w:rsid w:val="11161E06"/>
    <w:rsid w:val="111B4847"/>
    <w:rsid w:val="11221ADC"/>
    <w:rsid w:val="11241AA9"/>
    <w:rsid w:val="11266649"/>
    <w:rsid w:val="11297EC9"/>
    <w:rsid w:val="11381CFF"/>
    <w:rsid w:val="113969C6"/>
    <w:rsid w:val="113E2E5F"/>
    <w:rsid w:val="114430CC"/>
    <w:rsid w:val="1149532B"/>
    <w:rsid w:val="114E421F"/>
    <w:rsid w:val="11513D10"/>
    <w:rsid w:val="11537A88"/>
    <w:rsid w:val="11673533"/>
    <w:rsid w:val="11687794"/>
    <w:rsid w:val="116E041E"/>
    <w:rsid w:val="11761FC4"/>
    <w:rsid w:val="11777E64"/>
    <w:rsid w:val="11795660"/>
    <w:rsid w:val="117A4ECD"/>
    <w:rsid w:val="117B268D"/>
    <w:rsid w:val="117F6ACF"/>
    <w:rsid w:val="118529A6"/>
    <w:rsid w:val="11877731"/>
    <w:rsid w:val="11880F61"/>
    <w:rsid w:val="11902A8A"/>
    <w:rsid w:val="11913A5E"/>
    <w:rsid w:val="11954167"/>
    <w:rsid w:val="11AB27E4"/>
    <w:rsid w:val="11AB3900"/>
    <w:rsid w:val="11AE2F10"/>
    <w:rsid w:val="11B62E1B"/>
    <w:rsid w:val="11B76268"/>
    <w:rsid w:val="11BA71FD"/>
    <w:rsid w:val="11BF7BE1"/>
    <w:rsid w:val="11D54941"/>
    <w:rsid w:val="11D90AD7"/>
    <w:rsid w:val="11E44B84"/>
    <w:rsid w:val="11E9219A"/>
    <w:rsid w:val="11F500D0"/>
    <w:rsid w:val="11FE3E97"/>
    <w:rsid w:val="1207193D"/>
    <w:rsid w:val="12080872"/>
    <w:rsid w:val="120A52F6"/>
    <w:rsid w:val="120A5FBD"/>
    <w:rsid w:val="120F1501"/>
    <w:rsid w:val="121012A0"/>
    <w:rsid w:val="1211524D"/>
    <w:rsid w:val="12131DF4"/>
    <w:rsid w:val="12166633"/>
    <w:rsid w:val="121D56EB"/>
    <w:rsid w:val="12255C44"/>
    <w:rsid w:val="12282E23"/>
    <w:rsid w:val="122E063D"/>
    <w:rsid w:val="12340914"/>
    <w:rsid w:val="123632B2"/>
    <w:rsid w:val="12374CB3"/>
    <w:rsid w:val="12415B32"/>
    <w:rsid w:val="12445D62"/>
    <w:rsid w:val="124878CD"/>
    <w:rsid w:val="124C3DA0"/>
    <w:rsid w:val="1255782F"/>
    <w:rsid w:val="125B6724"/>
    <w:rsid w:val="125C7FF5"/>
    <w:rsid w:val="125E66E4"/>
    <w:rsid w:val="1260465A"/>
    <w:rsid w:val="12641E84"/>
    <w:rsid w:val="126420E9"/>
    <w:rsid w:val="126924BD"/>
    <w:rsid w:val="126D2DCB"/>
    <w:rsid w:val="126D63D9"/>
    <w:rsid w:val="127E28A6"/>
    <w:rsid w:val="127F665A"/>
    <w:rsid w:val="127F754C"/>
    <w:rsid w:val="128B4FFF"/>
    <w:rsid w:val="128C11D9"/>
    <w:rsid w:val="128E689D"/>
    <w:rsid w:val="12986019"/>
    <w:rsid w:val="129A025D"/>
    <w:rsid w:val="129F0AAB"/>
    <w:rsid w:val="12AC3A9D"/>
    <w:rsid w:val="12BD0474"/>
    <w:rsid w:val="12BD412E"/>
    <w:rsid w:val="12C61325"/>
    <w:rsid w:val="12D322B2"/>
    <w:rsid w:val="12D40754"/>
    <w:rsid w:val="12DB4D5B"/>
    <w:rsid w:val="12DE5A77"/>
    <w:rsid w:val="12E55783"/>
    <w:rsid w:val="12E806A4"/>
    <w:rsid w:val="12EA7F78"/>
    <w:rsid w:val="12F217F1"/>
    <w:rsid w:val="130A100F"/>
    <w:rsid w:val="131A6229"/>
    <w:rsid w:val="131D3F6B"/>
    <w:rsid w:val="13205400"/>
    <w:rsid w:val="13262314"/>
    <w:rsid w:val="13271C39"/>
    <w:rsid w:val="132971BE"/>
    <w:rsid w:val="1332514D"/>
    <w:rsid w:val="133905DA"/>
    <w:rsid w:val="1356560D"/>
    <w:rsid w:val="135936B5"/>
    <w:rsid w:val="135B7C44"/>
    <w:rsid w:val="135C4646"/>
    <w:rsid w:val="13637D2A"/>
    <w:rsid w:val="136441CE"/>
    <w:rsid w:val="136715C8"/>
    <w:rsid w:val="136A6D5A"/>
    <w:rsid w:val="137150A6"/>
    <w:rsid w:val="13751FD7"/>
    <w:rsid w:val="138C4596"/>
    <w:rsid w:val="138E2FF9"/>
    <w:rsid w:val="13912AE9"/>
    <w:rsid w:val="13914897"/>
    <w:rsid w:val="139D6DE1"/>
    <w:rsid w:val="13A35760"/>
    <w:rsid w:val="13A605C4"/>
    <w:rsid w:val="13A91BE1"/>
    <w:rsid w:val="13AE71F7"/>
    <w:rsid w:val="13B14F39"/>
    <w:rsid w:val="13B231DF"/>
    <w:rsid w:val="13B42D6D"/>
    <w:rsid w:val="13BF593A"/>
    <w:rsid w:val="13C36B5C"/>
    <w:rsid w:val="13C403B4"/>
    <w:rsid w:val="13C509A3"/>
    <w:rsid w:val="13C62793"/>
    <w:rsid w:val="13C70B45"/>
    <w:rsid w:val="13CC5951"/>
    <w:rsid w:val="13CF716E"/>
    <w:rsid w:val="13D84274"/>
    <w:rsid w:val="13DD188A"/>
    <w:rsid w:val="13E0137B"/>
    <w:rsid w:val="13EE2074"/>
    <w:rsid w:val="13F416E5"/>
    <w:rsid w:val="13F57B76"/>
    <w:rsid w:val="13F624FF"/>
    <w:rsid w:val="13FB15C8"/>
    <w:rsid w:val="14036DAA"/>
    <w:rsid w:val="1404577A"/>
    <w:rsid w:val="140C5DFC"/>
    <w:rsid w:val="14112514"/>
    <w:rsid w:val="1416601D"/>
    <w:rsid w:val="141A780C"/>
    <w:rsid w:val="141B2DFD"/>
    <w:rsid w:val="141B5B83"/>
    <w:rsid w:val="141D25CF"/>
    <w:rsid w:val="14213E6D"/>
    <w:rsid w:val="1423576F"/>
    <w:rsid w:val="14263231"/>
    <w:rsid w:val="1427164E"/>
    <w:rsid w:val="142C52A1"/>
    <w:rsid w:val="1438051E"/>
    <w:rsid w:val="14397409"/>
    <w:rsid w:val="143C2A55"/>
    <w:rsid w:val="143D7C6D"/>
    <w:rsid w:val="143F42F3"/>
    <w:rsid w:val="14426230"/>
    <w:rsid w:val="14450686"/>
    <w:rsid w:val="145062A0"/>
    <w:rsid w:val="14554F87"/>
    <w:rsid w:val="145767D9"/>
    <w:rsid w:val="14581832"/>
    <w:rsid w:val="145F25C9"/>
    <w:rsid w:val="14643764"/>
    <w:rsid w:val="14643D5A"/>
    <w:rsid w:val="146C5A05"/>
    <w:rsid w:val="14765768"/>
    <w:rsid w:val="147B7480"/>
    <w:rsid w:val="147E74D6"/>
    <w:rsid w:val="14853605"/>
    <w:rsid w:val="148D26ED"/>
    <w:rsid w:val="14901E99"/>
    <w:rsid w:val="14943B26"/>
    <w:rsid w:val="14963666"/>
    <w:rsid w:val="149B5BB4"/>
    <w:rsid w:val="149D34E2"/>
    <w:rsid w:val="14A04957"/>
    <w:rsid w:val="14A1565E"/>
    <w:rsid w:val="14A34882"/>
    <w:rsid w:val="14A5684C"/>
    <w:rsid w:val="14A62D61"/>
    <w:rsid w:val="14B44CE1"/>
    <w:rsid w:val="14B65343"/>
    <w:rsid w:val="14BC76F2"/>
    <w:rsid w:val="14C30A80"/>
    <w:rsid w:val="14C341FF"/>
    <w:rsid w:val="14C92AA1"/>
    <w:rsid w:val="14D233B9"/>
    <w:rsid w:val="14D26F15"/>
    <w:rsid w:val="14D34889"/>
    <w:rsid w:val="14E07884"/>
    <w:rsid w:val="14E354DA"/>
    <w:rsid w:val="14E60C13"/>
    <w:rsid w:val="14EF3F6B"/>
    <w:rsid w:val="14EF5D19"/>
    <w:rsid w:val="14F670A8"/>
    <w:rsid w:val="14F7137E"/>
    <w:rsid w:val="15000D6C"/>
    <w:rsid w:val="150115A9"/>
    <w:rsid w:val="1501324B"/>
    <w:rsid w:val="15035321"/>
    <w:rsid w:val="150455D1"/>
    <w:rsid w:val="15091012"/>
    <w:rsid w:val="15136330"/>
    <w:rsid w:val="15233018"/>
    <w:rsid w:val="152B6F63"/>
    <w:rsid w:val="152D0EF1"/>
    <w:rsid w:val="152F7206"/>
    <w:rsid w:val="15314A2C"/>
    <w:rsid w:val="153B22BF"/>
    <w:rsid w:val="153E788E"/>
    <w:rsid w:val="15447FF0"/>
    <w:rsid w:val="154C7EE7"/>
    <w:rsid w:val="1558225D"/>
    <w:rsid w:val="155E69FB"/>
    <w:rsid w:val="155F58F6"/>
    <w:rsid w:val="156E0F20"/>
    <w:rsid w:val="1571257F"/>
    <w:rsid w:val="157224A6"/>
    <w:rsid w:val="15842905"/>
    <w:rsid w:val="15852C95"/>
    <w:rsid w:val="159D14F7"/>
    <w:rsid w:val="15AA1C40"/>
    <w:rsid w:val="15AD04C1"/>
    <w:rsid w:val="15B45973"/>
    <w:rsid w:val="15B74140"/>
    <w:rsid w:val="15B8101F"/>
    <w:rsid w:val="15B825AF"/>
    <w:rsid w:val="15BC293A"/>
    <w:rsid w:val="15BD6FF9"/>
    <w:rsid w:val="15C90318"/>
    <w:rsid w:val="15CA0E7F"/>
    <w:rsid w:val="15CA22E2"/>
    <w:rsid w:val="15D81EF7"/>
    <w:rsid w:val="15DD3DC4"/>
    <w:rsid w:val="15DE174F"/>
    <w:rsid w:val="15E2762C"/>
    <w:rsid w:val="15E3366A"/>
    <w:rsid w:val="16010AFE"/>
    <w:rsid w:val="16063AA0"/>
    <w:rsid w:val="16092E0B"/>
    <w:rsid w:val="16117F11"/>
    <w:rsid w:val="16134D55"/>
    <w:rsid w:val="161A6DC6"/>
    <w:rsid w:val="161C0D90"/>
    <w:rsid w:val="16241D49"/>
    <w:rsid w:val="162972B9"/>
    <w:rsid w:val="162B2D81"/>
    <w:rsid w:val="162B4B2F"/>
    <w:rsid w:val="16347871"/>
    <w:rsid w:val="163C065A"/>
    <w:rsid w:val="163D73D7"/>
    <w:rsid w:val="16430362"/>
    <w:rsid w:val="164901B2"/>
    <w:rsid w:val="16534086"/>
    <w:rsid w:val="165406D0"/>
    <w:rsid w:val="165A18B8"/>
    <w:rsid w:val="166813E7"/>
    <w:rsid w:val="16687394"/>
    <w:rsid w:val="16711794"/>
    <w:rsid w:val="167469B2"/>
    <w:rsid w:val="167A6959"/>
    <w:rsid w:val="168240D2"/>
    <w:rsid w:val="16826719"/>
    <w:rsid w:val="1686191E"/>
    <w:rsid w:val="1686445B"/>
    <w:rsid w:val="16873D30"/>
    <w:rsid w:val="16893979"/>
    <w:rsid w:val="168A13B6"/>
    <w:rsid w:val="168E1562"/>
    <w:rsid w:val="168E4F39"/>
    <w:rsid w:val="16A4068F"/>
    <w:rsid w:val="16A62408"/>
    <w:rsid w:val="16A9014A"/>
    <w:rsid w:val="16AB6DCA"/>
    <w:rsid w:val="16B533FE"/>
    <w:rsid w:val="16B56757"/>
    <w:rsid w:val="16BF2C26"/>
    <w:rsid w:val="16C65FA2"/>
    <w:rsid w:val="16C808CD"/>
    <w:rsid w:val="16C91141"/>
    <w:rsid w:val="16CD208A"/>
    <w:rsid w:val="16CD3E38"/>
    <w:rsid w:val="16D30323"/>
    <w:rsid w:val="16DD1801"/>
    <w:rsid w:val="16DE20A4"/>
    <w:rsid w:val="16DE7170"/>
    <w:rsid w:val="16E42F30"/>
    <w:rsid w:val="16EC15B1"/>
    <w:rsid w:val="16ED44DA"/>
    <w:rsid w:val="16F54E7E"/>
    <w:rsid w:val="16F64EA3"/>
    <w:rsid w:val="1703785A"/>
    <w:rsid w:val="1703788F"/>
    <w:rsid w:val="170749A4"/>
    <w:rsid w:val="17084E70"/>
    <w:rsid w:val="170D692B"/>
    <w:rsid w:val="171A4B88"/>
    <w:rsid w:val="172004E9"/>
    <w:rsid w:val="172C5BE5"/>
    <w:rsid w:val="17326391"/>
    <w:rsid w:val="173D00AC"/>
    <w:rsid w:val="174F0CF1"/>
    <w:rsid w:val="1759391E"/>
    <w:rsid w:val="17600902"/>
    <w:rsid w:val="17602EFE"/>
    <w:rsid w:val="176A5686"/>
    <w:rsid w:val="176B0033"/>
    <w:rsid w:val="176C5A33"/>
    <w:rsid w:val="17712A16"/>
    <w:rsid w:val="177A6F24"/>
    <w:rsid w:val="177E3384"/>
    <w:rsid w:val="17827370"/>
    <w:rsid w:val="17836BED"/>
    <w:rsid w:val="178C3191"/>
    <w:rsid w:val="178D1819"/>
    <w:rsid w:val="178E022A"/>
    <w:rsid w:val="179235A8"/>
    <w:rsid w:val="17926D92"/>
    <w:rsid w:val="17932454"/>
    <w:rsid w:val="17973558"/>
    <w:rsid w:val="179761F4"/>
    <w:rsid w:val="17A20C6B"/>
    <w:rsid w:val="17AC1A7D"/>
    <w:rsid w:val="17AC1CA0"/>
    <w:rsid w:val="17AE0DB1"/>
    <w:rsid w:val="17AE3C6A"/>
    <w:rsid w:val="17B002FD"/>
    <w:rsid w:val="17B747D9"/>
    <w:rsid w:val="17C37A7E"/>
    <w:rsid w:val="17C57205"/>
    <w:rsid w:val="17CD2F28"/>
    <w:rsid w:val="17D86098"/>
    <w:rsid w:val="17DB3497"/>
    <w:rsid w:val="17DF7A9B"/>
    <w:rsid w:val="17E01949"/>
    <w:rsid w:val="17E62C77"/>
    <w:rsid w:val="17EC0950"/>
    <w:rsid w:val="17F35B20"/>
    <w:rsid w:val="17F92A0B"/>
    <w:rsid w:val="18007FB7"/>
    <w:rsid w:val="180514C3"/>
    <w:rsid w:val="18057779"/>
    <w:rsid w:val="18083C32"/>
    <w:rsid w:val="180E582C"/>
    <w:rsid w:val="18105B6F"/>
    <w:rsid w:val="181250C7"/>
    <w:rsid w:val="181B0BD3"/>
    <w:rsid w:val="18297794"/>
    <w:rsid w:val="18300B23"/>
    <w:rsid w:val="184620F4"/>
    <w:rsid w:val="186802BC"/>
    <w:rsid w:val="187148A9"/>
    <w:rsid w:val="187A1D9E"/>
    <w:rsid w:val="187D188E"/>
    <w:rsid w:val="188326D7"/>
    <w:rsid w:val="188B3FAB"/>
    <w:rsid w:val="188B645A"/>
    <w:rsid w:val="189152F2"/>
    <w:rsid w:val="189C1D14"/>
    <w:rsid w:val="18A706B9"/>
    <w:rsid w:val="18A8690B"/>
    <w:rsid w:val="18AB2506"/>
    <w:rsid w:val="18AB4F78"/>
    <w:rsid w:val="18B51CE9"/>
    <w:rsid w:val="18C96988"/>
    <w:rsid w:val="18D45946"/>
    <w:rsid w:val="18D771F0"/>
    <w:rsid w:val="18E53E06"/>
    <w:rsid w:val="18E831AB"/>
    <w:rsid w:val="18E851E1"/>
    <w:rsid w:val="18EB67F8"/>
    <w:rsid w:val="18EC510F"/>
    <w:rsid w:val="18F75BB9"/>
    <w:rsid w:val="18FA2EDF"/>
    <w:rsid w:val="18FC27B3"/>
    <w:rsid w:val="18FE29CF"/>
    <w:rsid w:val="19081158"/>
    <w:rsid w:val="19103F29"/>
    <w:rsid w:val="19117AEC"/>
    <w:rsid w:val="19173A91"/>
    <w:rsid w:val="19177273"/>
    <w:rsid w:val="19185113"/>
    <w:rsid w:val="1919248B"/>
    <w:rsid w:val="192352E4"/>
    <w:rsid w:val="192A633A"/>
    <w:rsid w:val="192C2D2A"/>
    <w:rsid w:val="19346A48"/>
    <w:rsid w:val="193527BE"/>
    <w:rsid w:val="19363C15"/>
    <w:rsid w:val="193742C8"/>
    <w:rsid w:val="193A2C96"/>
    <w:rsid w:val="193F21E0"/>
    <w:rsid w:val="19404D95"/>
    <w:rsid w:val="19434886"/>
    <w:rsid w:val="194523AD"/>
    <w:rsid w:val="19481E9C"/>
    <w:rsid w:val="194E0E5A"/>
    <w:rsid w:val="19512905"/>
    <w:rsid w:val="19543ABE"/>
    <w:rsid w:val="19566367"/>
    <w:rsid w:val="195B5233"/>
    <w:rsid w:val="195B559E"/>
    <w:rsid w:val="196A4428"/>
    <w:rsid w:val="196C557D"/>
    <w:rsid w:val="197113F3"/>
    <w:rsid w:val="19754608"/>
    <w:rsid w:val="197B7B7C"/>
    <w:rsid w:val="197C0D71"/>
    <w:rsid w:val="199926F8"/>
    <w:rsid w:val="199B6A17"/>
    <w:rsid w:val="19A64A85"/>
    <w:rsid w:val="19AC1A4C"/>
    <w:rsid w:val="19AF7825"/>
    <w:rsid w:val="19BC195B"/>
    <w:rsid w:val="19C64D56"/>
    <w:rsid w:val="19CB567A"/>
    <w:rsid w:val="19D86F64"/>
    <w:rsid w:val="19DB4ABE"/>
    <w:rsid w:val="19EB7A42"/>
    <w:rsid w:val="19EC0A79"/>
    <w:rsid w:val="19EF6A61"/>
    <w:rsid w:val="19F32962"/>
    <w:rsid w:val="19F32E2F"/>
    <w:rsid w:val="19F978BA"/>
    <w:rsid w:val="19FD1C49"/>
    <w:rsid w:val="1A023DF9"/>
    <w:rsid w:val="1A08042B"/>
    <w:rsid w:val="1A0F5222"/>
    <w:rsid w:val="1A111A09"/>
    <w:rsid w:val="1A136006"/>
    <w:rsid w:val="1A152F2F"/>
    <w:rsid w:val="1A1621C7"/>
    <w:rsid w:val="1A18186E"/>
    <w:rsid w:val="1A1A6026"/>
    <w:rsid w:val="1A1C2C19"/>
    <w:rsid w:val="1A202A12"/>
    <w:rsid w:val="1A204BC7"/>
    <w:rsid w:val="1A24540D"/>
    <w:rsid w:val="1A2A3350"/>
    <w:rsid w:val="1A2A59B6"/>
    <w:rsid w:val="1A345F7C"/>
    <w:rsid w:val="1A37758D"/>
    <w:rsid w:val="1A3E71FD"/>
    <w:rsid w:val="1A422994"/>
    <w:rsid w:val="1A4C59BC"/>
    <w:rsid w:val="1A542310"/>
    <w:rsid w:val="1A6C1BBA"/>
    <w:rsid w:val="1A7647E7"/>
    <w:rsid w:val="1A7E3DE6"/>
    <w:rsid w:val="1A8018D6"/>
    <w:rsid w:val="1A8A15D9"/>
    <w:rsid w:val="1A911621"/>
    <w:rsid w:val="1A9133CF"/>
    <w:rsid w:val="1A962E09"/>
    <w:rsid w:val="1A967D99"/>
    <w:rsid w:val="1A9F7BE2"/>
    <w:rsid w:val="1AA43102"/>
    <w:rsid w:val="1AA50C28"/>
    <w:rsid w:val="1AA66E7A"/>
    <w:rsid w:val="1AAE21D3"/>
    <w:rsid w:val="1AB07CF9"/>
    <w:rsid w:val="1AB231D3"/>
    <w:rsid w:val="1AB26E57"/>
    <w:rsid w:val="1AB51FEC"/>
    <w:rsid w:val="1AB86F6A"/>
    <w:rsid w:val="1ABA0B77"/>
    <w:rsid w:val="1ABB08E4"/>
    <w:rsid w:val="1ABD5F72"/>
    <w:rsid w:val="1ABF7F3C"/>
    <w:rsid w:val="1AC56101"/>
    <w:rsid w:val="1AD11A1D"/>
    <w:rsid w:val="1AD5775F"/>
    <w:rsid w:val="1AD734D7"/>
    <w:rsid w:val="1AD90B28"/>
    <w:rsid w:val="1AE5074D"/>
    <w:rsid w:val="1AFA54C9"/>
    <w:rsid w:val="1B0167A6"/>
    <w:rsid w:val="1B060372"/>
    <w:rsid w:val="1B067919"/>
    <w:rsid w:val="1B0A2D61"/>
    <w:rsid w:val="1B0D70EF"/>
    <w:rsid w:val="1B134833"/>
    <w:rsid w:val="1B170CA1"/>
    <w:rsid w:val="1B1D009E"/>
    <w:rsid w:val="1B216501"/>
    <w:rsid w:val="1B240AD9"/>
    <w:rsid w:val="1B267FBB"/>
    <w:rsid w:val="1B3A53E7"/>
    <w:rsid w:val="1B3C5CF6"/>
    <w:rsid w:val="1B3F1E98"/>
    <w:rsid w:val="1B44346C"/>
    <w:rsid w:val="1B447883"/>
    <w:rsid w:val="1B481EA2"/>
    <w:rsid w:val="1B542D7A"/>
    <w:rsid w:val="1B5468D6"/>
    <w:rsid w:val="1B555DD3"/>
    <w:rsid w:val="1B5F3E2D"/>
    <w:rsid w:val="1B662AAD"/>
    <w:rsid w:val="1B6947EA"/>
    <w:rsid w:val="1B713592"/>
    <w:rsid w:val="1B7156DA"/>
    <w:rsid w:val="1B7818DE"/>
    <w:rsid w:val="1B7F1479"/>
    <w:rsid w:val="1B803EA7"/>
    <w:rsid w:val="1B810C12"/>
    <w:rsid w:val="1B8D3B96"/>
    <w:rsid w:val="1B9A62B3"/>
    <w:rsid w:val="1B9A6B18"/>
    <w:rsid w:val="1B9C027D"/>
    <w:rsid w:val="1BA96CA8"/>
    <w:rsid w:val="1BAA7852"/>
    <w:rsid w:val="1BAF1D5E"/>
    <w:rsid w:val="1BBD01E0"/>
    <w:rsid w:val="1BBD091F"/>
    <w:rsid w:val="1BC33A5C"/>
    <w:rsid w:val="1BC44079"/>
    <w:rsid w:val="1BCA4F7A"/>
    <w:rsid w:val="1BD45C69"/>
    <w:rsid w:val="1BD605F3"/>
    <w:rsid w:val="1BDB0DA5"/>
    <w:rsid w:val="1BDC422A"/>
    <w:rsid w:val="1BE75189"/>
    <w:rsid w:val="1BEA548C"/>
    <w:rsid w:val="1BF01FFA"/>
    <w:rsid w:val="1BF06CD1"/>
    <w:rsid w:val="1BF115FF"/>
    <w:rsid w:val="1BF9122C"/>
    <w:rsid w:val="1BFA1DAE"/>
    <w:rsid w:val="1BFB31F6"/>
    <w:rsid w:val="1C013A85"/>
    <w:rsid w:val="1C0A00B2"/>
    <w:rsid w:val="1C0D72D6"/>
    <w:rsid w:val="1C194EA0"/>
    <w:rsid w:val="1C2072E4"/>
    <w:rsid w:val="1C2107F5"/>
    <w:rsid w:val="1C2A7637"/>
    <w:rsid w:val="1C2D7127"/>
    <w:rsid w:val="1C36422E"/>
    <w:rsid w:val="1C4454C3"/>
    <w:rsid w:val="1C4671C1"/>
    <w:rsid w:val="1C49566C"/>
    <w:rsid w:val="1C4B61CA"/>
    <w:rsid w:val="1C4B6499"/>
    <w:rsid w:val="1C521ECE"/>
    <w:rsid w:val="1C5446B4"/>
    <w:rsid w:val="1C551849"/>
    <w:rsid w:val="1C5773CB"/>
    <w:rsid w:val="1C5F6D67"/>
    <w:rsid w:val="1C646FED"/>
    <w:rsid w:val="1C766D20"/>
    <w:rsid w:val="1C7C60E2"/>
    <w:rsid w:val="1C861D86"/>
    <w:rsid w:val="1CB12E70"/>
    <w:rsid w:val="1CB54FBC"/>
    <w:rsid w:val="1CB67720"/>
    <w:rsid w:val="1CB7443F"/>
    <w:rsid w:val="1CBF2475"/>
    <w:rsid w:val="1CC00F43"/>
    <w:rsid w:val="1CC27F18"/>
    <w:rsid w:val="1CCE2454"/>
    <w:rsid w:val="1CCE70FA"/>
    <w:rsid w:val="1CCF2131"/>
    <w:rsid w:val="1CD31210"/>
    <w:rsid w:val="1CD51C99"/>
    <w:rsid w:val="1CD6156D"/>
    <w:rsid w:val="1CD80D2E"/>
    <w:rsid w:val="1CDA5429"/>
    <w:rsid w:val="1CDA7C08"/>
    <w:rsid w:val="1CDC3027"/>
    <w:rsid w:val="1CDF5444"/>
    <w:rsid w:val="1CE33463"/>
    <w:rsid w:val="1CEE68B6"/>
    <w:rsid w:val="1CF245F9"/>
    <w:rsid w:val="1CF53848"/>
    <w:rsid w:val="1CFA525B"/>
    <w:rsid w:val="1CFC330C"/>
    <w:rsid w:val="1CFE7CC5"/>
    <w:rsid w:val="1CFF32CC"/>
    <w:rsid w:val="1D0428D1"/>
    <w:rsid w:val="1D087914"/>
    <w:rsid w:val="1D0D796C"/>
    <w:rsid w:val="1D0E51AB"/>
    <w:rsid w:val="1D0F292C"/>
    <w:rsid w:val="1D0F39CD"/>
    <w:rsid w:val="1D100F23"/>
    <w:rsid w:val="1D1628DD"/>
    <w:rsid w:val="1D183933"/>
    <w:rsid w:val="1D187DD7"/>
    <w:rsid w:val="1D247B2E"/>
    <w:rsid w:val="1D306ECF"/>
    <w:rsid w:val="1D3D6E21"/>
    <w:rsid w:val="1D440BCC"/>
    <w:rsid w:val="1D4A104F"/>
    <w:rsid w:val="1D5105FE"/>
    <w:rsid w:val="1D566256"/>
    <w:rsid w:val="1D5744D2"/>
    <w:rsid w:val="1D5A219E"/>
    <w:rsid w:val="1D5D57EA"/>
    <w:rsid w:val="1D5E2B68"/>
    <w:rsid w:val="1D682760"/>
    <w:rsid w:val="1D684BFF"/>
    <w:rsid w:val="1D70376F"/>
    <w:rsid w:val="1D756FD8"/>
    <w:rsid w:val="1D773AAF"/>
    <w:rsid w:val="1D7777EA"/>
    <w:rsid w:val="1D790876"/>
    <w:rsid w:val="1D7C0366"/>
    <w:rsid w:val="1D81450B"/>
    <w:rsid w:val="1D8151DC"/>
    <w:rsid w:val="1D827D4F"/>
    <w:rsid w:val="1D84721B"/>
    <w:rsid w:val="1D862C10"/>
    <w:rsid w:val="1D8B7007"/>
    <w:rsid w:val="1D9236E6"/>
    <w:rsid w:val="1D9317D5"/>
    <w:rsid w:val="1D980D8A"/>
    <w:rsid w:val="1D990F18"/>
    <w:rsid w:val="1D994785"/>
    <w:rsid w:val="1D9C1C9E"/>
    <w:rsid w:val="1DA17DCD"/>
    <w:rsid w:val="1DA83D78"/>
    <w:rsid w:val="1DAA1FCD"/>
    <w:rsid w:val="1DAE7300"/>
    <w:rsid w:val="1DB37F40"/>
    <w:rsid w:val="1DC94A18"/>
    <w:rsid w:val="1DCA7323"/>
    <w:rsid w:val="1DCF11AF"/>
    <w:rsid w:val="1DD43CFE"/>
    <w:rsid w:val="1DD737EE"/>
    <w:rsid w:val="1DDB508D"/>
    <w:rsid w:val="1DE71932"/>
    <w:rsid w:val="1DE71C83"/>
    <w:rsid w:val="1DE877AA"/>
    <w:rsid w:val="1E010982"/>
    <w:rsid w:val="1E067FD0"/>
    <w:rsid w:val="1E0839A8"/>
    <w:rsid w:val="1E131252"/>
    <w:rsid w:val="1E1C296E"/>
    <w:rsid w:val="1E220F0E"/>
    <w:rsid w:val="1E2527AC"/>
    <w:rsid w:val="1E254DA8"/>
    <w:rsid w:val="1E2B296F"/>
    <w:rsid w:val="1E3B1FCF"/>
    <w:rsid w:val="1E3B3DBE"/>
    <w:rsid w:val="1E455902"/>
    <w:rsid w:val="1E482113"/>
    <w:rsid w:val="1E4A0224"/>
    <w:rsid w:val="1E4A0464"/>
    <w:rsid w:val="1E5135AB"/>
    <w:rsid w:val="1E566A9B"/>
    <w:rsid w:val="1E5B11C2"/>
    <w:rsid w:val="1E625BA4"/>
    <w:rsid w:val="1E672DC4"/>
    <w:rsid w:val="1E685343"/>
    <w:rsid w:val="1E6C2189"/>
    <w:rsid w:val="1E6F1C79"/>
    <w:rsid w:val="1E8411D7"/>
    <w:rsid w:val="1E860D4B"/>
    <w:rsid w:val="1E884A2B"/>
    <w:rsid w:val="1E8B091C"/>
    <w:rsid w:val="1E911BEF"/>
    <w:rsid w:val="1E933BB9"/>
    <w:rsid w:val="1EA17CFA"/>
    <w:rsid w:val="1EA2204E"/>
    <w:rsid w:val="1EA731C1"/>
    <w:rsid w:val="1EA85C77"/>
    <w:rsid w:val="1EA94266"/>
    <w:rsid w:val="1EAC638B"/>
    <w:rsid w:val="1EAF2075"/>
    <w:rsid w:val="1EB37DB8"/>
    <w:rsid w:val="1EB549B3"/>
    <w:rsid w:val="1EBB6C6C"/>
    <w:rsid w:val="1EBD29E4"/>
    <w:rsid w:val="1EC21DA9"/>
    <w:rsid w:val="1EC732BD"/>
    <w:rsid w:val="1ECB59D2"/>
    <w:rsid w:val="1ECC0E79"/>
    <w:rsid w:val="1ED76559"/>
    <w:rsid w:val="1EE9292A"/>
    <w:rsid w:val="1EE93F77"/>
    <w:rsid w:val="1EEC6E65"/>
    <w:rsid w:val="1F010B23"/>
    <w:rsid w:val="1F065805"/>
    <w:rsid w:val="1F0717E1"/>
    <w:rsid w:val="1F095C2A"/>
    <w:rsid w:val="1F0B6573"/>
    <w:rsid w:val="1F10520A"/>
    <w:rsid w:val="1F122490"/>
    <w:rsid w:val="1F1866B4"/>
    <w:rsid w:val="1F222A6E"/>
    <w:rsid w:val="1F274071"/>
    <w:rsid w:val="1F2D3EE7"/>
    <w:rsid w:val="1F3031B6"/>
    <w:rsid w:val="1F306B65"/>
    <w:rsid w:val="1F3429E6"/>
    <w:rsid w:val="1F390EF0"/>
    <w:rsid w:val="1F394761"/>
    <w:rsid w:val="1F42113B"/>
    <w:rsid w:val="1F433F60"/>
    <w:rsid w:val="1F453CAA"/>
    <w:rsid w:val="1F4C5B16"/>
    <w:rsid w:val="1F510CDC"/>
    <w:rsid w:val="1F55375D"/>
    <w:rsid w:val="1F57306A"/>
    <w:rsid w:val="1F58672D"/>
    <w:rsid w:val="1F5C21FD"/>
    <w:rsid w:val="1F5F3A9B"/>
    <w:rsid w:val="1F621928"/>
    <w:rsid w:val="1F6826DC"/>
    <w:rsid w:val="1F705CA9"/>
    <w:rsid w:val="1F721A21"/>
    <w:rsid w:val="1F75506D"/>
    <w:rsid w:val="1F772570"/>
    <w:rsid w:val="1F7F116C"/>
    <w:rsid w:val="1F837CBF"/>
    <w:rsid w:val="1F8E49CC"/>
    <w:rsid w:val="1F975732"/>
    <w:rsid w:val="1F9A2CFD"/>
    <w:rsid w:val="1F9C1C18"/>
    <w:rsid w:val="1F9C64CE"/>
    <w:rsid w:val="1F9D6372"/>
    <w:rsid w:val="1FA40111"/>
    <w:rsid w:val="1FA82BC2"/>
    <w:rsid w:val="1FAB4F33"/>
    <w:rsid w:val="1FB137B2"/>
    <w:rsid w:val="1FB45C7C"/>
    <w:rsid w:val="1FBA6F24"/>
    <w:rsid w:val="1FBF6C2C"/>
    <w:rsid w:val="1FC73B9A"/>
    <w:rsid w:val="1FD06747"/>
    <w:rsid w:val="1FD20DA4"/>
    <w:rsid w:val="1FE44B36"/>
    <w:rsid w:val="1FEE637A"/>
    <w:rsid w:val="1FEF26C4"/>
    <w:rsid w:val="1FF42436"/>
    <w:rsid w:val="1FF56E00"/>
    <w:rsid w:val="1FF959D3"/>
    <w:rsid w:val="20022A1A"/>
    <w:rsid w:val="20063D1F"/>
    <w:rsid w:val="200C67DD"/>
    <w:rsid w:val="200F101E"/>
    <w:rsid w:val="20120B0E"/>
    <w:rsid w:val="20127FCD"/>
    <w:rsid w:val="201362E7"/>
    <w:rsid w:val="20157DC4"/>
    <w:rsid w:val="20182154"/>
    <w:rsid w:val="201A0C7D"/>
    <w:rsid w:val="201F2DDD"/>
    <w:rsid w:val="202069BA"/>
    <w:rsid w:val="202F2518"/>
    <w:rsid w:val="203109E5"/>
    <w:rsid w:val="203117E9"/>
    <w:rsid w:val="20314407"/>
    <w:rsid w:val="20322137"/>
    <w:rsid w:val="203B6958"/>
    <w:rsid w:val="203D0CD3"/>
    <w:rsid w:val="204B5225"/>
    <w:rsid w:val="20522205"/>
    <w:rsid w:val="20564E9E"/>
    <w:rsid w:val="205D090C"/>
    <w:rsid w:val="20682939"/>
    <w:rsid w:val="20721DF5"/>
    <w:rsid w:val="207C0588"/>
    <w:rsid w:val="208512E0"/>
    <w:rsid w:val="20856C7D"/>
    <w:rsid w:val="208C3AFA"/>
    <w:rsid w:val="208F03B0"/>
    <w:rsid w:val="209239FD"/>
    <w:rsid w:val="209617EF"/>
    <w:rsid w:val="20971013"/>
    <w:rsid w:val="20A4708F"/>
    <w:rsid w:val="20B006CB"/>
    <w:rsid w:val="20B97912"/>
    <w:rsid w:val="20BA4E89"/>
    <w:rsid w:val="20BB11A5"/>
    <w:rsid w:val="20BD1908"/>
    <w:rsid w:val="20BE47F2"/>
    <w:rsid w:val="20C63AE1"/>
    <w:rsid w:val="20C742D6"/>
    <w:rsid w:val="20C91B14"/>
    <w:rsid w:val="20D31457"/>
    <w:rsid w:val="20D83B05"/>
    <w:rsid w:val="20E029BA"/>
    <w:rsid w:val="20E802BA"/>
    <w:rsid w:val="20EA01C4"/>
    <w:rsid w:val="20EA1F62"/>
    <w:rsid w:val="20EA55E7"/>
    <w:rsid w:val="20EB02CA"/>
    <w:rsid w:val="20EB4E1A"/>
    <w:rsid w:val="20EF35E8"/>
    <w:rsid w:val="20EF4493"/>
    <w:rsid w:val="20F070A1"/>
    <w:rsid w:val="210A7749"/>
    <w:rsid w:val="210D73EA"/>
    <w:rsid w:val="21115269"/>
    <w:rsid w:val="21121E38"/>
    <w:rsid w:val="2112799E"/>
    <w:rsid w:val="2113462E"/>
    <w:rsid w:val="211A0471"/>
    <w:rsid w:val="212C4C52"/>
    <w:rsid w:val="21323553"/>
    <w:rsid w:val="213663E1"/>
    <w:rsid w:val="213960B7"/>
    <w:rsid w:val="213C47A6"/>
    <w:rsid w:val="213D197A"/>
    <w:rsid w:val="214617D8"/>
    <w:rsid w:val="214A6377"/>
    <w:rsid w:val="214B42B4"/>
    <w:rsid w:val="214B6D4C"/>
    <w:rsid w:val="215277DE"/>
    <w:rsid w:val="21547189"/>
    <w:rsid w:val="21576A6A"/>
    <w:rsid w:val="215D5254"/>
    <w:rsid w:val="215E2E66"/>
    <w:rsid w:val="21630741"/>
    <w:rsid w:val="217016BE"/>
    <w:rsid w:val="21741D06"/>
    <w:rsid w:val="217961F5"/>
    <w:rsid w:val="217A2887"/>
    <w:rsid w:val="218A7CDE"/>
    <w:rsid w:val="218B39F0"/>
    <w:rsid w:val="21902632"/>
    <w:rsid w:val="21967DBF"/>
    <w:rsid w:val="219B4CCB"/>
    <w:rsid w:val="219D08AB"/>
    <w:rsid w:val="21AB4A3D"/>
    <w:rsid w:val="21B836A9"/>
    <w:rsid w:val="21BA4448"/>
    <w:rsid w:val="21C04848"/>
    <w:rsid w:val="21CE1561"/>
    <w:rsid w:val="21D94524"/>
    <w:rsid w:val="21D97B35"/>
    <w:rsid w:val="21E21860"/>
    <w:rsid w:val="21F22A09"/>
    <w:rsid w:val="21F8464F"/>
    <w:rsid w:val="21FB3E29"/>
    <w:rsid w:val="21FF3314"/>
    <w:rsid w:val="22006ABB"/>
    <w:rsid w:val="22036CED"/>
    <w:rsid w:val="22065492"/>
    <w:rsid w:val="22086D5F"/>
    <w:rsid w:val="220A23E4"/>
    <w:rsid w:val="220A4192"/>
    <w:rsid w:val="220B6F2C"/>
    <w:rsid w:val="22105521"/>
    <w:rsid w:val="22127D94"/>
    <w:rsid w:val="2219008B"/>
    <w:rsid w:val="221943D6"/>
    <w:rsid w:val="22197164"/>
    <w:rsid w:val="221E6AC9"/>
    <w:rsid w:val="222734EC"/>
    <w:rsid w:val="22291DDB"/>
    <w:rsid w:val="222D60D3"/>
    <w:rsid w:val="2237485C"/>
    <w:rsid w:val="223B689D"/>
    <w:rsid w:val="223C5356"/>
    <w:rsid w:val="224D22D1"/>
    <w:rsid w:val="22576CAC"/>
    <w:rsid w:val="22577E9D"/>
    <w:rsid w:val="225A171B"/>
    <w:rsid w:val="225A547C"/>
    <w:rsid w:val="225B5797"/>
    <w:rsid w:val="225C1B8B"/>
    <w:rsid w:val="226A7B50"/>
    <w:rsid w:val="226B29C3"/>
    <w:rsid w:val="226C2CA6"/>
    <w:rsid w:val="2273006A"/>
    <w:rsid w:val="22735ACB"/>
    <w:rsid w:val="2274108A"/>
    <w:rsid w:val="22765CAC"/>
    <w:rsid w:val="22791318"/>
    <w:rsid w:val="227B471A"/>
    <w:rsid w:val="227C4964"/>
    <w:rsid w:val="227D1357"/>
    <w:rsid w:val="227F3541"/>
    <w:rsid w:val="227F5DD8"/>
    <w:rsid w:val="228D6B72"/>
    <w:rsid w:val="22971DEB"/>
    <w:rsid w:val="229D5613"/>
    <w:rsid w:val="229E5854"/>
    <w:rsid w:val="229F30BB"/>
    <w:rsid w:val="229F6964"/>
    <w:rsid w:val="22A243CB"/>
    <w:rsid w:val="22A73404"/>
    <w:rsid w:val="22AA1450"/>
    <w:rsid w:val="22AA194C"/>
    <w:rsid w:val="22AA7E1E"/>
    <w:rsid w:val="22B45EAC"/>
    <w:rsid w:val="22B60711"/>
    <w:rsid w:val="22C52EB2"/>
    <w:rsid w:val="22CF3CDA"/>
    <w:rsid w:val="22D629CA"/>
    <w:rsid w:val="22E319F7"/>
    <w:rsid w:val="22E92FB8"/>
    <w:rsid w:val="22EC6B17"/>
    <w:rsid w:val="22EF2060"/>
    <w:rsid w:val="22EF5136"/>
    <w:rsid w:val="22F15272"/>
    <w:rsid w:val="22FE5379"/>
    <w:rsid w:val="23005595"/>
    <w:rsid w:val="2303009E"/>
    <w:rsid w:val="2305495A"/>
    <w:rsid w:val="230D7B6D"/>
    <w:rsid w:val="231132FF"/>
    <w:rsid w:val="23183019"/>
    <w:rsid w:val="231F5D2B"/>
    <w:rsid w:val="232079E6"/>
    <w:rsid w:val="23243032"/>
    <w:rsid w:val="232F3BA6"/>
    <w:rsid w:val="23307C29"/>
    <w:rsid w:val="23321A81"/>
    <w:rsid w:val="234B6811"/>
    <w:rsid w:val="235012F5"/>
    <w:rsid w:val="23531B69"/>
    <w:rsid w:val="23581DF3"/>
    <w:rsid w:val="2358717F"/>
    <w:rsid w:val="23623B5A"/>
    <w:rsid w:val="23636E2B"/>
    <w:rsid w:val="236A6CF0"/>
    <w:rsid w:val="23704BA9"/>
    <w:rsid w:val="23767606"/>
    <w:rsid w:val="237678AA"/>
    <w:rsid w:val="2379775D"/>
    <w:rsid w:val="238F24D8"/>
    <w:rsid w:val="23944A7B"/>
    <w:rsid w:val="239864BD"/>
    <w:rsid w:val="239947B9"/>
    <w:rsid w:val="239B10BB"/>
    <w:rsid w:val="239C706C"/>
    <w:rsid w:val="239E2206"/>
    <w:rsid w:val="23AD0555"/>
    <w:rsid w:val="23B148E2"/>
    <w:rsid w:val="23C21C08"/>
    <w:rsid w:val="23C44815"/>
    <w:rsid w:val="23D5257E"/>
    <w:rsid w:val="23D82812"/>
    <w:rsid w:val="23D8346C"/>
    <w:rsid w:val="23D84773"/>
    <w:rsid w:val="23D8777A"/>
    <w:rsid w:val="23E52427"/>
    <w:rsid w:val="23E85E15"/>
    <w:rsid w:val="23EF2B7E"/>
    <w:rsid w:val="23F016A2"/>
    <w:rsid w:val="23F376B7"/>
    <w:rsid w:val="23F44ED4"/>
    <w:rsid w:val="23FD2161"/>
    <w:rsid w:val="23FD6E50"/>
    <w:rsid w:val="23FE3401"/>
    <w:rsid w:val="24013373"/>
    <w:rsid w:val="240F5C1B"/>
    <w:rsid w:val="240F5CB6"/>
    <w:rsid w:val="241A44CC"/>
    <w:rsid w:val="241D402C"/>
    <w:rsid w:val="2423778D"/>
    <w:rsid w:val="24392B0D"/>
    <w:rsid w:val="243D1692"/>
    <w:rsid w:val="244008F1"/>
    <w:rsid w:val="244140D2"/>
    <w:rsid w:val="24467E41"/>
    <w:rsid w:val="24491132"/>
    <w:rsid w:val="24507E57"/>
    <w:rsid w:val="245B3B5C"/>
    <w:rsid w:val="245C4A4D"/>
    <w:rsid w:val="246C3480"/>
    <w:rsid w:val="246F652F"/>
    <w:rsid w:val="247023F2"/>
    <w:rsid w:val="24704055"/>
    <w:rsid w:val="24733DEA"/>
    <w:rsid w:val="247578BD"/>
    <w:rsid w:val="2477721B"/>
    <w:rsid w:val="247E2C16"/>
    <w:rsid w:val="247E6772"/>
    <w:rsid w:val="24833D88"/>
    <w:rsid w:val="24861ACA"/>
    <w:rsid w:val="249004F0"/>
    <w:rsid w:val="24985DA7"/>
    <w:rsid w:val="249A1A6B"/>
    <w:rsid w:val="249A6118"/>
    <w:rsid w:val="24A969C4"/>
    <w:rsid w:val="24AA7567"/>
    <w:rsid w:val="24B77ED6"/>
    <w:rsid w:val="24BB1FD8"/>
    <w:rsid w:val="24BD373E"/>
    <w:rsid w:val="24BF215E"/>
    <w:rsid w:val="24C05D6D"/>
    <w:rsid w:val="24CF38A9"/>
    <w:rsid w:val="24D23C9C"/>
    <w:rsid w:val="24ED6857"/>
    <w:rsid w:val="24EE6FBD"/>
    <w:rsid w:val="24F001C4"/>
    <w:rsid w:val="24F353B2"/>
    <w:rsid w:val="24F904EE"/>
    <w:rsid w:val="24FA4BE3"/>
    <w:rsid w:val="24FB6014"/>
    <w:rsid w:val="2501017D"/>
    <w:rsid w:val="2501732F"/>
    <w:rsid w:val="25042435"/>
    <w:rsid w:val="250A5532"/>
    <w:rsid w:val="25162E4E"/>
    <w:rsid w:val="25195BF6"/>
    <w:rsid w:val="251B0465"/>
    <w:rsid w:val="252D30DC"/>
    <w:rsid w:val="252F0691"/>
    <w:rsid w:val="25315EDA"/>
    <w:rsid w:val="25393756"/>
    <w:rsid w:val="253C2302"/>
    <w:rsid w:val="253E63EB"/>
    <w:rsid w:val="254B4E37"/>
    <w:rsid w:val="254F0B82"/>
    <w:rsid w:val="25537674"/>
    <w:rsid w:val="25565941"/>
    <w:rsid w:val="255676EF"/>
    <w:rsid w:val="255F11D7"/>
    <w:rsid w:val="256242E5"/>
    <w:rsid w:val="25673A5B"/>
    <w:rsid w:val="257768A5"/>
    <w:rsid w:val="25787665"/>
    <w:rsid w:val="258904E5"/>
    <w:rsid w:val="25951FC5"/>
    <w:rsid w:val="259F2E44"/>
    <w:rsid w:val="25A05602"/>
    <w:rsid w:val="25A302BA"/>
    <w:rsid w:val="25A62424"/>
    <w:rsid w:val="25AA2900"/>
    <w:rsid w:val="25B82B80"/>
    <w:rsid w:val="25BB35C5"/>
    <w:rsid w:val="25C1499B"/>
    <w:rsid w:val="25C56630"/>
    <w:rsid w:val="25C603D0"/>
    <w:rsid w:val="25CE08CA"/>
    <w:rsid w:val="25D1537F"/>
    <w:rsid w:val="25DB5394"/>
    <w:rsid w:val="25E604E0"/>
    <w:rsid w:val="25ED5E58"/>
    <w:rsid w:val="25F077EA"/>
    <w:rsid w:val="25F464C3"/>
    <w:rsid w:val="25F47529"/>
    <w:rsid w:val="25FA62CC"/>
    <w:rsid w:val="2601765A"/>
    <w:rsid w:val="26026E9C"/>
    <w:rsid w:val="260D4251"/>
    <w:rsid w:val="260F68D2"/>
    <w:rsid w:val="2616406B"/>
    <w:rsid w:val="261E3E24"/>
    <w:rsid w:val="26233A75"/>
    <w:rsid w:val="26241C37"/>
    <w:rsid w:val="26297314"/>
    <w:rsid w:val="26301CEE"/>
    <w:rsid w:val="263D7F73"/>
    <w:rsid w:val="264634D2"/>
    <w:rsid w:val="26530E12"/>
    <w:rsid w:val="265A4FBD"/>
    <w:rsid w:val="265E4AAD"/>
    <w:rsid w:val="26617176"/>
    <w:rsid w:val="26655E3B"/>
    <w:rsid w:val="266A5EAB"/>
    <w:rsid w:val="266B71CA"/>
    <w:rsid w:val="267017DF"/>
    <w:rsid w:val="267243CA"/>
    <w:rsid w:val="2677489A"/>
    <w:rsid w:val="267B07EE"/>
    <w:rsid w:val="267C13D7"/>
    <w:rsid w:val="267E5188"/>
    <w:rsid w:val="268732F1"/>
    <w:rsid w:val="26964247"/>
    <w:rsid w:val="2698180C"/>
    <w:rsid w:val="269A360B"/>
    <w:rsid w:val="269B6CA4"/>
    <w:rsid w:val="26B2676D"/>
    <w:rsid w:val="26B648E9"/>
    <w:rsid w:val="26BB2FF0"/>
    <w:rsid w:val="26CC6DAE"/>
    <w:rsid w:val="26DB1108"/>
    <w:rsid w:val="26DD3326"/>
    <w:rsid w:val="26E07A13"/>
    <w:rsid w:val="26EB31A9"/>
    <w:rsid w:val="26FB7E82"/>
    <w:rsid w:val="26FE0477"/>
    <w:rsid w:val="270278E7"/>
    <w:rsid w:val="27062D33"/>
    <w:rsid w:val="270A253F"/>
    <w:rsid w:val="270A5E16"/>
    <w:rsid w:val="271C6CEB"/>
    <w:rsid w:val="27247AA4"/>
    <w:rsid w:val="27264508"/>
    <w:rsid w:val="27275308"/>
    <w:rsid w:val="272B69DA"/>
    <w:rsid w:val="27300FF9"/>
    <w:rsid w:val="27306961"/>
    <w:rsid w:val="273121C1"/>
    <w:rsid w:val="27346B8F"/>
    <w:rsid w:val="273E7F40"/>
    <w:rsid w:val="27435A51"/>
    <w:rsid w:val="27452AAD"/>
    <w:rsid w:val="27477FF9"/>
    <w:rsid w:val="275D2FB6"/>
    <w:rsid w:val="27627884"/>
    <w:rsid w:val="276471EB"/>
    <w:rsid w:val="276C144B"/>
    <w:rsid w:val="276C6AAD"/>
    <w:rsid w:val="276F1C0A"/>
    <w:rsid w:val="277A535B"/>
    <w:rsid w:val="27815711"/>
    <w:rsid w:val="27921D05"/>
    <w:rsid w:val="27B11893"/>
    <w:rsid w:val="27B25C5D"/>
    <w:rsid w:val="27B301F5"/>
    <w:rsid w:val="27B343EB"/>
    <w:rsid w:val="27B917D9"/>
    <w:rsid w:val="27BB67F2"/>
    <w:rsid w:val="27C2106B"/>
    <w:rsid w:val="27CB7F20"/>
    <w:rsid w:val="27CE17BE"/>
    <w:rsid w:val="27D112AE"/>
    <w:rsid w:val="27D66A0D"/>
    <w:rsid w:val="27D75C67"/>
    <w:rsid w:val="27D95470"/>
    <w:rsid w:val="27DD3E45"/>
    <w:rsid w:val="27DF1C1D"/>
    <w:rsid w:val="27E03472"/>
    <w:rsid w:val="27E7741F"/>
    <w:rsid w:val="27E965F8"/>
    <w:rsid w:val="27EE38FE"/>
    <w:rsid w:val="27EE440B"/>
    <w:rsid w:val="27EF7920"/>
    <w:rsid w:val="27F0062F"/>
    <w:rsid w:val="27F01B2B"/>
    <w:rsid w:val="27F33EE4"/>
    <w:rsid w:val="27F356C9"/>
    <w:rsid w:val="27F409D5"/>
    <w:rsid w:val="27F76F67"/>
    <w:rsid w:val="27FA3C0E"/>
    <w:rsid w:val="28017DE6"/>
    <w:rsid w:val="280612FE"/>
    <w:rsid w:val="280C5045"/>
    <w:rsid w:val="280D0DD8"/>
    <w:rsid w:val="280D43ED"/>
    <w:rsid w:val="28125B4F"/>
    <w:rsid w:val="281774F5"/>
    <w:rsid w:val="281F026C"/>
    <w:rsid w:val="282615FA"/>
    <w:rsid w:val="282B60D9"/>
    <w:rsid w:val="282F4953"/>
    <w:rsid w:val="28304227"/>
    <w:rsid w:val="28342F2F"/>
    <w:rsid w:val="2845433C"/>
    <w:rsid w:val="28464198"/>
    <w:rsid w:val="28480BD5"/>
    <w:rsid w:val="284A1C4B"/>
    <w:rsid w:val="284B2E0F"/>
    <w:rsid w:val="284C629E"/>
    <w:rsid w:val="285409FA"/>
    <w:rsid w:val="285443B9"/>
    <w:rsid w:val="28575C58"/>
    <w:rsid w:val="285D1191"/>
    <w:rsid w:val="285F1FD2"/>
    <w:rsid w:val="286345FC"/>
    <w:rsid w:val="286839C1"/>
    <w:rsid w:val="28690923"/>
    <w:rsid w:val="28771E56"/>
    <w:rsid w:val="287F70C8"/>
    <w:rsid w:val="288051AE"/>
    <w:rsid w:val="28822F06"/>
    <w:rsid w:val="2886653D"/>
    <w:rsid w:val="28880DF6"/>
    <w:rsid w:val="28921CDC"/>
    <w:rsid w:val="289D1D9F"/>
    <w:rsid w:val="289E0BE5"/>
    <w:rsid w:val="28A07DA6"/>
    <w:rsid w:val="28A12C95"/>
    <w:rsid w:val="28B041DE"/>
    <w:rsid w:val="28B96D7F"/>
    <w:rsid w:val="28BB61E6"/>
    <w:rsid w:val="28BC3D0D"/>
    <w:rsid w:val="28C4446D"/>
    <w:rsid w:val="28C50E13"/>
    <w:rsid w:val="28C976D2"/>
    <w:rsid w:val="28CD36A6"/>
    <w:rsid w:val="28E05C4D"/>
    <w:rsid w:val="28E868B0"/>
    <w:rsid w:val="28EA2628"/>
    <w:rsid w:val="28EF49A4"/>
    <w:rsid w:val="28F33BD2"/>
    <w:rsid w:val="28F507E0"/>
    <w:rsid w:val="28F82711"/>
    <w:rsid w:val="28FE0A0E"/>
    <w:rsid w:val="28FF1471"/>
    <w:rsid w:val="28FF3418"/>
    <w:rsid w:val="29015BC3"/>
    <w:rsid w:val="290424DB"/>
    <w:rsid w:val="290731DA"/>
    <w:rsid w:val="290C43B0"/>
    <w:rsid w:val="290D7D10"/>
    <w:rsid w:val="291612ED"/>
    <w:rsid w:val="29180602"/>
    <w:rsid w:val="29192F0D"/>
    <w:rsid w:val="292178F6"/>
    <w:rsid w:val="292264E0"/>
    <w:rsid w:val="29286333"/>
    <w:rsid w:val="292A728C"/>
    <w:rsid w:val="29332221"/>
    <w:rsid w:val="29386107"/>
    <w:rsid w:val="29394CEC"/>
    <w:rsid w:val="294D5D35"/>
    <w:rsid w:val="294F692F"/>
    <w:rsid w:val="29501316"/>
    <w:rsid w:val="29613FA7"/>
    <w:rsid w:val="296F1718"/>
    <w:rsid w:val="29720F92"/>
    <w:rsid w:val="29725FA9"/>
    <w:rsid w:val="297C3C21"/>
    <w:rsid w:val="297D16EE"/>
    <w:rsid w:val="29826D04"/>
    <w:rsid w:val="298A5BB9"/>
    <w:rsid w:val="29905D8B"/>
    <w:rsid w:val="2991644E"/>
    <w:rsid w:val="29964799"/>
    <w:rsid w:val="2999687A"/>
    <w:rsid w:val="29A22E9A"/>
    <w:rsid w:val="29A22F02"/>
    <w:rsid w:val="29AC3294"/>
    <w:rsid w:val="29AF6A79"/>
    <w:rsid w:val="29B15C29"/>
    <w:rsid w:val="29BA46F0"/>
    <w:rsid w:val="29C53C70"/>
    <w:rsid w:val="29C664AF"/>
    <w:rsid w:val="29C70BBB"/>
    <w:rsid w:val="29C966E1"/>
    <w:rsid w:val="29D42826"/>
    <w:rsid w:val="29D659C5"/>
    <w:rsid w:val="29E17ECF"/>
    <w:rsid w:val="29E26E7A"/>
    <w:rsid w:val="29E7769C"/>
    <w:rsid w:val="29EB19A2"/>
    <w:rsid w:val="29EC7864"/>
    <w:rsid w:val="29EF7509"/>
    <w:rsid w:val="29F06E6F"/>
    <w:rsid w:val="29F174B1"/>
    <w:rsid w:val="29FD282F"/>
    <w:rsid w:val="2A0911D4"/>
    <w:rsid w:val="2A0A1BE0"/>
    <w:rsid w:val="2A106F1F"/>
    <w:rsid w:val="2A110088"/>
    <w:rsid w:val="2A143BA5"/>
    <w:rsid w:val="2A16738C"/>
    <w:rsid w:val="2A17569E"/>
    <w:rsid w:val="2A1F176D"/>
    <w:rsid w:val="2A216FA0"/>
    <w:rsid w:val="2A261D85"/>
    <w:rsid w:val="2A2978A7"/>
    <w:rsid w:val="2A2C5E20"/>
    <w:rsid w:val="2A2F1F1E"/>
    <w:rsid w:val="2A3E0295"/>
    <w:rsid w:val="2A3F69A3"/>
    <w:rsid w:val="2A401D9D"/>
    <w:rsid w:val="2A443655"/>
    <w:rsid w:val="2A467D32"/>
    <w:rsid w:val="2A473AAA"/>
    <w:rsid w:val="2A475858"/>
    <w:rsid w:val="2A510485"/>
    <w:rsid w:val="2A5E426D"/>
    <w:rsid w:val="2A61691A"/>
    <w:rsid w:val="2A663F30"/>
    <w:rsid w:val="2A713C7F"/>
    <w:rsid w:val="2A7147D9"/>
    <w:rsid w:val="2A742AF1"/>
    <w:rsid w:val="2A78126D"/>
    <w:rsid w:val="2A783938"/>
    <w:rsid w:val="2A7E4C21"/>
    <w:rsid w:val="2A7F214F"/>
    <w:rsid w:val="2A816DE6"/>
    <w:rsid w:val="2A8416C3"/>
    <w:rsid w:val="2A873F66"/>
    <w:rsid w:val="2A8947DB"/>
    <w:rsid w:val="2A8D1AFD"/>
    <w:rsid w:val="2A8E3487"/>
    <w:rsid w:val="2A8F6FEE"/>
    <w:rsid w:val="2A921248"/>
    <w:rsid w:val="2A922F77"/>
    <w:rsid w:val="2A9271E7"/>
    <w:rsid w:val="2A965385"/>
    <w:rsid w:val="2A97233B"/>
    <w:rsid w:val="2A972457"/>
    <w:rsid w:val="2A981BB1"/>
    <w:rsid w:val="2AA1140C"/>
    <w:rsid w:val="2AA8279A"/>
    <w:rsid w:val="2AB41D0B"/>
    <w:rsid w:val="2AB7478C"/>
    <w:rsid w:val="2AE17A5A"/>
    <w:rsid w:val="2AE632C3"/>
    <w:rsid w:val="2AE729DA"/>
    <w:rsid w:val="2AEE0A48"/>
    <w:rsid w:val="2AF1047D"/>
    <w:rsid w:val="2AF91248"/>
    <w:rsid w:val="2AFE060C"/>
    <w:rsid w:val="2AFE7F0C"/>
    <w:rsid w:val="2B0379D1"/>
    <w:rsid w:val="2B0A3ECC"/>
    <w:rsid w:val="2B1971F4"/>
    <w:rsid w:val="2B22254D"/>
    <w:rsid w:val="2B294DB1"/>
    <w:rsid w:val="2B33447D"/>
    <w:rsid w:val="2B3C0196"/>
    <w:rsid w:val="2B3E5D0E"/>
    <w:rsid w:val="2B5621F6"/>
    <w:rsid w:val="2B567AF0"/>
    <w:rsid w:val="2B5C5333"/>
    <w:rsid w:val="2B603075"/>
    <w:rsid w:val="2B610732"/>
    <w:rsid w:val="2B7D025F"/>
    <w:rsid w:val="2B886128"/>
    <w:rsid w:val="2B9335DC"/>
    <w:rsid w:val="2B983ECA"/>
    <w:rsid w:val="2B9B22FF"/>
    <w:rsid w:val="2B9E76FA"/>
    <w:rsid w:val="2BA75ECB"/>
    <w:rsid w:val="2BAA2542"/>
    <w:rsid w:val="2BB84C5F"/>
    <w:rsid w:val="2BBD71D9"/>
    <w:rsid w:val="2BCB64AE"/>
    <w:rsid w:val="2BCC1169"/>
    <w:rsid w:val="2BCD7BD5"/>
    <w:rsid w:val="2BD56AC3"/>
    <w:rsid w:val="2BD92CCC"/>
    <w:rsid w:val="2BE3340F"/>
    <w:rsid w:val="2BE73D2C"/>
    <w:rsid w:val="2BEA0B91"/>
    <w:rsid w:val="2BEB6DE3"/>
    <w:rsid w:val="2BEE1499"/>
    <w:rsid w:val="2BEE5CA9"/>
    <w:rsid w:val="2BF612E4"/>
    <w:rsid w:val="2BF71D69"/>
    <w:rsid w:val="2BFB575E"/>
    <w:rsid w:val="2BFC5AF1"/>
    <w:rsid w:val="2C035777"/>
    <w:rsid w:val="2C066AE0"/>
    <w:rsid w:val="2C0E6DA4"/>
    <w:rsid w:val="2C0E70A9"/>
    <w:rsid w:val="2C0E7286"/>
    <w:rsid w:val="2C1F1AC9"/>
    <w:rsid w:val="2C236410"/>
    <w:rsid w:val="2C251BC9"/>
    <w:rsid w:val="2C275941"/>
    <w:rsid w:val="2C2A243C"/>
    <w:rsid w:val="2C304F8C"/>
    <w:rsid w:val="2C4A329A"/>
    <w:rsid w:val="2C4B0C83"/>
    <w:rsid w:val="2C4B162F"/>
    <w:rsid w:val="2C4E1904"/>
    <w:rsid w:val="2C4F180B"/>
    <w:rsid w:val="2C5016D4"/>
    <w:rsid w:val="2C567FD4"/>
    <w:rsid w:val="2C623873"/>
    <w:rsid w:val="2C6E286E"/>
    <w:rsid w:val="2C6F788B"/>
    <w:rsid w:val="2C7963E8"/>
    <w:rsid w:val="2C7F39CF"/>
    <w:rsid w:val="2C817F6A"/>
    <w:rsid w:val="2C82199F"/>
    <w:rsid w:val="2C822C4A"/>
    <w:rsid w:val="2C8479B6"/>
    <w:rsid w:val="2C88209B"/>
    <w:rsid w:val="2C8949FE"/>
    <w:rsid w:val="2C90798A"/>
    <w:rsid w:val="2C9A4365"/>
    <w:rsid w:val="2CA54C62"/>
    <w:rsid w:val="2CAA1BF4"/>
    <w:rsid w:val="2CB24425"/>
    <w:rsid w:val="2CB82A3D"/>
    <w:rsid w:val="2CBE62A5"/>
    <w:rsid w:val="2CC1414B"/>
    <w:rsid w:val="2CC901ED"/>
    <w:rsid w:val="2CCB451E"/>
    <w:rsid w:val="2CD56B9F"/>
    <w:rsid w:val="2CD63A16"/>
    <w:rsid w:val="2CE37ABA"/>
    <w:rsid w:val="2CE675AA"/>
    <w:rsid w:val="2CE7730B"/>
    <w:rsid w:val="2CEE1257"/>
    <w:rsid w:val="2CEF2903"/>
    <w:rsid w:val="2D020066"/>
    <w:rsid w:val="2D042986"/>
    <w:rsid w:val="2D0C1B61"/>
    <w:rsid w:val="2D186DEB"/>
    <w:rsid w:val="2D1E19DF"/>
    <w:rsid w:val="2D320D31"/>
    <w:rsid w:val="2D354363"/>
    <w:rsid w:val="2D3F044C"/>
    <w:rsid w:val="2D47136C"/>
    <w:rsid w:val="2D4744ED"/>
    <w:rsid w:val="2D546C0A"/>
    <w:rsid w:val="2D5504D7"/>
    <w:rsid w:val="2D5664DE"/>
    <w:rsid w:val="2D626C0E"/>
    <w:rsid w:val="2D636E4D"/>
    <w:rsid w:val="2D6410DD"/>
    <w:rsid w:val="2D6918FE"/>
    <w:rsid w:val="2D722E96"/>
    <w:rsid w:val="2D780B50"/>
    <w:rsid w:val="2D7D7839"/>
    <w:rsid w:val="2D875713"/>
    <w:rsid w:val="2D8C01F5"/>
    <w:rsid w:val="2D8D245B"/>
    <w:rsid w:val="2D8D5C78"/>
    <w:rsid w:val="2D92328E"/>
    <w:rsid w:val="2D937732"/>
    <w:rsid w:val="2D962D7E"/>
    <w:rsid w:val="2D9A6AF9"/>
    <w:rsid w:val="2D9B7F27"/>
    <w:rsid w:val="2DA03BFD"/>
    <w:rsid w:val="2DAC25A2"/>
    <w:rsid w:val="2DAC3CE4"/>
    <w:rsid w:val="2DB24C88"/>
    <w:rsid w:val="2DBB08D7"/>
    <w:rsid w:val="2DC2044B"/>
    <w:rsid w:val="2DC62405"/>
    <w:rsid w:val="2DCA69B9"/>
    <w:rsid w:val="2DD32494"/>
    <w:rsid w:val="2DE00249"/>
    <w:rsid w:val="2DE51610"/>
    <w:rsid w:val="2DE955A4"/>
    <w:rsid w:val="2DEE2BBA"/>
    <w:rsid w:val="2DF94BAE"/>
    <w:rsid w:val="2DFA6269"/>
    <w:rsid w:val="2E0221C2"/>
    <w:rsid w:val="2E022272"/>
    <w:rsid w:val="2E03257A"/>
    <w:rsid w:val="2E041285"/>
    <w:rsid w:val="2E0979F4"/>
    <w:rsid w:val="2E0A5E8E"/>
    <w:rsid w:val="2E0C560D"/>
    <w:rsid w:val="2E0F1BDF"/>
    <w:rsid w:val="2E0F5C61"/>
    <w:rsid w:val="2E2170F9"/>
    <w:rsid w:val="2E262354"/>
    <w:rsid w:val="2E2760CC"/>
    <w:rsid w:val="2E291E44"/>
    <w:rsid w:val="2E301AD7"/>
    <w:rsid w:val="2E385BE3"/>
    <w:rsid w:val="2E393A97"/>
    <w:rsid w:val="2E3A195C"/>
    <w:rsid w:val="2E3A2E51"/>
    <w:rsid w:val="2E3D4AF1"/>
    <w:rsid w:val="2E402CEA"/>
    <w:rsid w:val="2E4D2C29"/>
    <w:rsid w:val="2E501652"/>
    <w:rsid w:val="2E514DC3"/>
    <w:rsid w:val="2E520D92"/>
    <w:rsid w:val="2E531F01"/>
    <w:rsid w:val="2E532A1D"/>
    <w:rsid w:val="2E5C3FC8"/>
    <w:rsid w:val="2E60513A"/>
    <w:rsid w:val="2E690493"/>
    <w:rsid w:val="2E6C1D31"/>
    <w:rsid w:val="2E741287"/>
    <w:rsid w:val="2E770CDA"/>
    <w:rsid w:val="2E7F0376"/>
    <w:rsid w:val="2E924F48"/>
    <w:rsid w:val="2E9279E9"/>
    <w:rsid w:val="2E975000"/>
    <w:rsid w:val="2E9A064C"/>
    <w:rsid w:val="2E9A566C"/>
    <w:rsid w:val="2E9B0AC6"/>
    <w:rsid w:val="2EA43279"/>
    <w:rsid w:val="2EA63495"/>
    <w:rsid w:val="2EB401C1"/>
    <w:rsid w:val="2EC04955"/>
    <w:rsid w:val="2EC102CF"/>
    <w:rsid w:val="2EC41B6D"/>
    <w:rsid w:val="2EC753D2"/>
    <w:rsid w:val="2ECF29DE"/>
    <w:rsid w:val="2ED26BAD"/>
    <w:rsid w:val="2EDA40AD"/>
    <w:rsid w:val="2EDF0755"/>
    <w:rsid w:val="2EEA497C"/>
    <w:rsid w:val="2EEB0EA8"/>
    <w:rsid w:val="2EF444CA"/>
    <w:rsid w:val="2EF75A9F"/>
    <w:rsid w:val="2EFB298B"/>
    <w:rsid w:val="2F01691D"/>
    <w:rsid w:val="2F0A4903"/>
    <w:rsid w:val="2F0B0FAD"/>
    <w:rsid w:val="2F0E1FB4"/>
    <w:rsid w:val="2F0E4F72"/>
    <w:rsid w:val="2F1679A2"/>
    <w:rsid w:val="2F174C3D"/>
    <w:rsid w:val="2F206E4A"/>
    <w:rsid w:val="2F250E3B"/>
    <w:rsid w:val="2F2B157A"/>
    <w:rsid w:val="2F451C2D"/>
    <w:rsid w:val="2F454A5C"/>
    <w:rsid w:val="2F513423"/>
    <w:rsid w:val="2F541C99"/>
    <w:rsid w:val="2F565A42"/>
    <w:rsid w:val="2F57046A"/>
    <w:rsid w:val="2F5A089B"/>
    <w:rsid w:val="2F612A17"/>
    <w:rsid w:val="2F672985"/>
    <w:rsid w:val="2F682106"/>
    <w:rsid w:val="2F692858"/>
    <w:rsid w:val="2F6A2714"/>
    <w:rsid w:val="2F6D5D61"/>
    <w:rsid w:val="2F7B66D0"/>
    <w:rsid w:val="2F8376E0"/>
    <w:rsid w:val="2F89769B"/>
    <w:rsid w:val="2F8F20DF"/>
    <w:rsid w:val="2F940399"/>
    <w:rsid w:val="2F9C21A2"/>
    <w:rsid w:val="2FA01C92"/>
    <w:rsid w:val="2FAD69F4"/>
    <w:rsid w:val="2FB2219A"/>
    <w:rsid w:val="2FB43990"/>
    <w:rsid w:val="2FB63AAC"/>
    <w:rsid w:val="2FBD4A1A"/>
    <w:rsid w:val="2FC0489B"/>
    <w:rsid w:val="2FC46619"/>
    <w:rsid w:val="2FCC0CD9"/>
    <w:rsid w:val="2FCF694B"/>
    <w:rsid w:val="2FD472F4"/>
    <w:rsid w:val="2FDA5E67"/>
    <w:rsid w:val="2FDB009E"/>
    <w:rsid w:val="2FDD1780"/>
    <w:rsid w:val="2FE34275"/>
    <w:rsid w:val="2FE9706B"/>
    <w:rsid w:val="2FFB1A6A"/>
    <w:rsid w:val="2FFE7458"/>
    <w:rsid w:val="30000983"/>
    <w:rsid w:val="30006BD5"/>
    <w:rsid w:val="30055990"/>
    <w:rsid w:val="30063EE1"/>
    <w:rsid w:val="300940E0"/>
    <w:rsid w:val="300B6158"/>
    <w:rsid w:val="300C2CDA"/>
    <w:rsid w:val="300D700E"/>
    <w:rsid w:val="30126B4E"/>
    <w:rsid w:val="30143EEF"/>
    <w:rsid w:val="30153346"/>
    <w:rsid w:val="301C0738"/>
    <w:rsid w:val="301D445D"/>
    <w:rsid w:val="30233B2A"/>
    <w:rsid w:val="302D30A6"/>
    <w:rsid w:val="30376DDC"/>
    <w:rsid w:val="3039312C"/>
    <w:rsid w:val="30403C29"/>
    <w:rsid w:val="30405223"/>
    <w:rsid w:val="304A55B1"/>
    <w:rsid w:val="304E05AC"/>
    <w:rsid w:val="305807BF"/>
    <w:rsid w:val="305B3A4A"/>
    <w:rsid w:val="30644772"/>
    <w:rsid w:val="30722FEE"/>
    <w:rsid w:val="307A6987"/>
    <w:rsid w:val="307B25E8"/>
    <w:rsid w:val="308642B3"/>
    <w:rsid w:val="309537C1"/>
    <w:rsid w:val="3095556F"/>
    <w:rsid w:val="30A62585"/>
    <w:rsid w:val="30AA3658"/>
    <w:rsid w:val="30AE2286"/>
    <w:rsid w:val="30B644A3"/>
    <w:rsid w:val="30CE166B"/>
    <w:rsid w:val="30CE4078"/>
    <w:rsid w:val="30DB50D5"/>
    <w:rsid w:val="30DD0CC4"/>
    <w:rsid w:val="30DD2A72"/>
    <w:rsid w:val="30DD3F27"/>
    <w:rsid w:val="30E107B4"/>
    <w:rsid w:val="30EC089E"/>
    <w:rsid w:val="30F006F7"/>
    <w:rsid w:val="30F304E8"/>
    <w:rsid w:val="30F52CFA"/>
    <w:rsid w:val="30FA7AC8"/>
    <w:rsid w:val="31014620"/>
    <w:rsid w:val="310149B3"/>
    <w:rsid w:val="31017ADC"/>
    <w:rsid w:val="310B6B56"/>
    <w:rsid w:val="310E68AD"/>
    <w:rsid w:val="3118459C"/>
    <w:rsid w:val="311917B6"/>
    <w:rsid w:val="311A453C"/>
    <w:rsid w:val="31231DD2"/>
    <w:rsid w:val="31263806"/>
    <w:rsid w:val="31274909"/>
    <w:rsid w:val="312F5B44"/>
    <w:rsid w:val="3131279D"/>
    <w:rsid w:val="313A3321"/>
    <w:rsid w:val="313A6116"/>
    <w:rsid w:val="313D15C5"/>
    <w:rsid w:val="313F19C4"/>
    <w:rsid w:val="31465BAC"/>
    <w:rsid w:val="314B257E"/>
    <w:rsid w:val="314B328A"/>
    <w:rsid w:val="315045FA"/>
    <w:rsid w:val="31523460"/>
    <w:rsid w:val="315630E8"/>
    <w:rsid w:val="31574285"/>
    <w:rsid w:val="31597B9A"/>
    <w:rsid w:val="315E3A28"/>
    <w:rsid w:val="315F5803"/>
    <w:rsid w:val="3160383C"/>
    <w:rsid w:val="31695273"/>
    <w:rsid w:val="316A2F37"/>
    <w:rsid w:val="316B62D0"/>
    <w:rsid w:val="316C03DF"/>
    <w:rsid w:val="317062B6"/>
    <w:rsid w:val="31725D9D"/>
    <w:rsid w:val="3179289B"/>
    <w:rsid w:val="31795FC2"/>
    <w:rsid w:val="317F50EB"/>
    <w:rsid w:val="31864FFD"/>
    <w:rsid w:val="318869AB"/>
    <w:rsid w:val="318D6246"/>
    <w:rsid w:val="319B4E07"/>
    <w:rsid w:val="319B5AB3"/>
    <w:rsid w:val="319E48F7"/>
    <w:rsid w:val="31A65BBC"/>
    <w:rsid w:val="31AD4B3A"/>
    <w:rsid w:val="31B00187"/>
    <w:rsid w:val="31BB24EE"/>
    <w:rsid w:val="31BC3137"/>
    <w:rsid w:val="31BD1974"/>
    <w:rsid w:val="31C27FA8"/>
    <w:rsid w:val="31CE331C"/>
    <w:rsid w:val="31D418BD"/>
    <w:rsid w:val="31D450D2"/>
    <w:rsid w:val="31D57C0E"/>
    <w:rsid w:val="31D641D8"/>
    <w:rsid w:val="31DD71CE"/>
    <w:rsid w:val="31E00A6C"/>
    <w:rsid w:val="31E340B8"/>
    <w:rsid w:val="31E61640"/>
    <w:rsid w:val="31EC5663"/>
    <w:rsid w:val="31ED6B4D"/>
    <w:rsid w:val="31F50B96"/>
    <w:rsid w:val="31F57241"/>
    <w:rsid w:val="32013206"/>
    <w:rsid w:val="3201418F"/>
    <w:rsid w:val="320704FF"/>
    <w:rsid w:val="32075FF9"/>
    <w:rsid w:val="320843AF"/>
    <w:rsid w:val="32191325"/>
    <w:rsid w:val="321B7CF6"/>
    <w:rsid w:val="321D3A6E"/>
    <w:rsid w:val="32244DFC"/>
    <w:rsid w:val="32245A6E"/>
    <w:rsid w:val="32263DE0"/>
    <w:rsid w:val="322842EF"/>
    <w:rsid w:val="322E468E"/>
    <w:rsid w:val="323443E6"/>
    <w:rsid w:val="32351D9D"/>
    <w:rsid w:val="323A2CC6"/>
    <w:rsid w:val="32430E48"/>
    <w:rsid w:val="32470AEB"/>
    <w:rsid w:val="324A4137"/>
    <w:rsid w:val="324C7EAF"/>
    <w:rsid w:val="324D0BFE"/>
    <w:rsid w:val="32503088"/>
    <w:rsid w:val="32516877"/>
    <w:rsid w:val="3252061C"/>
    <w:rsid w:val="32586854"/>
    <w:rsid w:val="325D3E6B"/>
    <w:rsid w:val="32607DFF"/>
    <w:rsid w:val="326276D3"/>
    <w:rsid w:val="32634ED6"/>
    <w:rsid w:val="326351F9"/>
    <w:rsid w:val="326805FE"/>
    <w:rsid w:val="326F3B9E"/>
    <w:rsid w:val="32722C3D"/>
    <w:rsid w:val="32736509"/>
    <w:rsid w:val="327B181C"/>
    <w:rsid w:val="327B1FC7"/>
    <w:rsid w:val="328E671A"/>
    <w:rsid w:val="32902319"/>
    <w:rsid w:val="32976BE6"/>
    <w:rsid w:val="32981347"/>
    <w:rsid w:val="32A71F93"/>
    <w:rsid w:val="32AB773A"/>
    <w:rsid w:val="32B024C8"/>
    <w:rsid w:val="32B06690"/>
    <w:rsid w:val="32B75C71"/>
    <w:rsid w:val="32B954BB"/>
    <w:rsid w:val="32BE6D38"/>
    <w:rsid w:val="32C959A4"/>
    <w:rsid w:val="32C97752"/>
    <w:rsid w:val="32CE034A"/>
    <w:rsid w:val="32CE37B6"/>
    <w:rsid w:val="32CE3F9C"/>
    <w:rsid w:val="32D103B5"/>
    <w:rsid w:val="32D14ADB"/>
    <w:rsid w:val="32D417A9"/>
    <w:rsid w:val="32DC3334"/>
    <w:rsid w:val="32DF2BCE"/>
    <w:rsid w:val="32E35176"/>
    <w:rsid w:val="32E427DE"/>
    <w:rsid w:val="32ED1692"/>
    <w:rsid w:val="32ED5BC4"/>
    <w:rsid w:val="32FE389F"/>
    <w:rsid w:val="33016D23"/>
    <w:rsid w:val="33061DB1"/>
    <w:rsid w:val="330771D2"/>
    <w:rsid w:val="3308789D"/>
    <w:rsid w:val="330B38C7"/>
    <w:rsid w:val="330B463D"/>
    <w:rsid w:val="331108DD"/>
    <w:rsid w:val="33155ECA"/>
    <w:rsid w:val="3316226B"/>
    <w:rsid w:val="33177600"/>
    <w:rsid w:val="3323216C"/>
    <w:rsid w:val="332535FA"/>
    <w:rsid w:val="33270F22"/>
    <w:rsid w:val="332C0FF0"/>
    <w:rsid w:val="3333106F"/>
    <w:rsid w:val="333371F3"/>
    <w:rsid w:val="33360887"/>
    <w:rsid w:val="333D0637"/>
    <w:rsid w:val="333D0CEC"/>
    <w:rsid w:val="333F17C2"/>
    <w:rsid w:val="33423060"/>
    <w:rsid w:val="334A3A91"/>
    <w:rsid w:val="334C5311"/>
    <w:rsid w:val="334D56E0"/>
    <w:rsid w:val="334E5EA9"/>
    <w:rsid w:val="3350065B"/>
    <w:rsid w:val="33547F33"/>
    <w:rsid w:val="3362288A"/>
    <w:rsid w:val="33631E0B"/>
    <w:rsid w:val="33641F81"/>
    <w:rsid w:val="336A4256"/>
    <w:rsid w:val="336B6A5B"/>
    <w:rsid w:val="3374417F"/>
    <w:rsid w:val="33774F37"/>
    <w:rsid w:val="33872C3D"/>
    <w:rsid w:val="338A5133"/>
    <w:rsid w:val="33973635"/>
    <w:rsid w:val="33995376"/>
    <w:rsid w:val="339A10EE"/>
    <w:rsid w:val="339A78CE"/>
    <w:rsid w:val="339B73B9"/>
    <w:rsid w:val="33A32227"/>
    <w:rsid w:val="33A361F5"/>
    <w:rsid w:val="33A67108"/>
    <w:rsid w:val="33B273BE"/>
    <w:rsid w:val="33B95251"/>
    <w:rsid w:val="33BF2903"/>
    <w:rsid w:val="33C50529"/>
    <w:rsid w:val="33D04B10"/>
    <w:rsid w:val="33D75164"/>
    <w:rsid w:val="33D94875"/>
    <w:rsid w:val="33DF6B01"/>
    <w:rsid w:val="33E12879"/>
    <w:rsid w:val="33ED121E"/>
    <w:rsid w:val="33EF3432"/>
    <w:rsid w:val="33FA125E"/>
    <w:rsid w:val="33FA5772"/>
    <w:rsid w:val="33FC5A09"/>
    <w:rsid w:val="34007024"/>
    <w:rsid w:val="34045D2D"/>
    <w:rsid w:val="34052A0C"/>
    <w:rsid w:val="34067514"/>
    <w:rsid w:val="34086C8B"/>
    <w:rsid w:val="34136117"/>
    <w:rsid w:val="341B222F"/>
    <w:rsid w:val="341D307C"/>
    <w:rsid w:val="341E106E"/>
    <w:rsid w:val="341E4DC2"/>
    <w:rsid w:val="3423623B"/>
    <w:rsid w:val="34270BD4"/>
    <w:rsid w:val="34272E4C"/>
    <w:rsid w:val="342A5F2C"/>
    <w:rsid w:val="343126B5"/>
    <w:rsid w:val="34337579"/>
    <w:rsid w:val="34346E4D"/>
    <w:rsid w:val="3441181F"/>
    <w:rsid w:val="344233E9"/>
    <w:rsid w:val="345A2A58"/>
    <w:rsid w:val="345E3ECA"/>
    <w:rsid w:val="34623692"/>
    <w:rsid w:val="34665642"/>
    <w:rsid w:val="346C2A8B"/>
    <w:rsid w:val="346D124D"/>
    <w:rsid w:val="34796F56"/>
    <w:rsid w:val="34800EF9"/>
    <w:rsid w:val="3480243A"/>
    <w:rsid w:val="34847DD4"/>
    <w:rsid w:val="3486019B"/>
    <w:rsid w:val="348C03ED"/>
    <w:rsid w:val="3491604D"/>
    <w:rsid w:val="34931A96"/>
    <w:rsid w:val="349561DB"/>
    <w:rsid w:val="34993154"/>
    <w:rsid w:val="349D086A"/>
    <w:rsid w:val="349F7FDC"/>
    <w:rsid w:val="34A03348"/>
    <w:rsid w:val="34A22009"/>
    <w:rsid w:val="34AA5361"/>
    <w:rsid w:val="34AF629B"/>
    <w:rsid w:val="34B02D58"/>
    <w:rsid w:val="34D649FE"/>
    <w:rsid w:val="34DB5BDC"/>
    <w:rsid w:val="34DF2FA2"/>
    <w:rsid w:val="34E16FD5"/>
    <w:rsid w:val="34E206E1"/>
    <w:rsid w:val="34E263DB"/>
    <w:rsid w:val="34EC3AC9"/>
    <w:rsid w:val="34F14D3E"/>
    <w:rsid w:val="34F2533E"/>
    <w:rsid w:val="34F656CE"/>
    <w:rsid w:val="34F67C2F"/>
    <w:rsid w:val="34F767F8"/>
    <w:rsid w:val="34FE7ED8"/>
    <w:rsid w:val="350157B8"/>
    <w:rsid w:val="35080B6E"/>
    <w:rsid w:val="351533ED"/>
    <w:rsid w:val="3519008F"/>
    <w:rsid w:val="351C4BF8"/>
    <w:rsid w:val="351D7AE8"/>
    <w:rsid w:val="351F3659"/>
    <w:rsid w:val="35275802"/>
    <w:rsid w:val="352944D8"/>
    <w:rsid w:val="352B46F4"/>
    <w:rsid w:val="35301EC3"/>
    <w:rsid w:val="35393682"/>
    <w:rsid w:val="353C420B"/>
    <w:rsid w:val="354168C4"/>
    <w:rsid w:val="3548790C"/>
    <w:rsid w:val="354E3F3E"/>
    <w:rsid w:val="355A6D87"/>
    <w:rsid w:val="355D42E6"/>
    <w:rsid w:val="355E6877"/>
    <w:rsid w:val="35654127"/>
    <w:rsid w:val="356B2D42"/>
    <w:rsid w:val="357557F7"/>
    <w:rsid w:val="357A4D33"/>
    <w:rsid w:val="357D1B56"/>
    <w:rsid w:val="357F52BC"/>
    <w:rsid w:val="357F56BE"/>
    <w:rsid w:val="35843E04"/>
    <w:rsid w:val="35861D2A"/>
    <w:rsid w:val="359258CF"/>
    <w:rsid w:val="359779FE"/>
    <w:rsid w:val="35984047"/>
    <w:rsid w:val="359E6503"/>
    <w:rsid w:val="359F479A"/>
    <w:rsid w:val="35A3159E"/>
    <w:rsid w:val="35A86C4A"/>
    <w:rsid w:val="35B0680E"/>
    <w:rsid w:val="35B6181A"/>
    <w:rsid w:val="35BC4AD1"/>
    <w:rsid w:val="35BD0D23"/>
    <w:rsid w:val="35BD7658"/>
    <w:rsid w:val="35BE11A8"/>
    <w:rsid w:val="35CD3B05"/>
    <w:rsid w:val="35CE07E8"/>
    <w:rsid w:val="35D2691D"/>
    <w:rsid w:val="35D450FC"/>
    <w:rsid w:val="35D723E7"/>
    <w:rsid w:val="35E23E2E"/>
    <w:rsid w:val="35E7439C"/>
    <w:rsid w:val="35E96725"/>
    <w:rsid w:val="35EC4FB4"/>
    <w:rsid w:val="35ED2F28"/>
    <w:rsid w:val="35F1149A"/>
    <w:rsid w:val="35F418C0"/>
    <w:rsid w:val="35F42D38"/>
    <w:rsid w:val="36025A84"/>
    <w:rsid w:val="36034D29"/>
    <w:rsid w:val="360867E3"/>
    <w:rsid w:val="360A255B"/>
    <w:rsid w:val="361138EA"/>
    <w:rsid w:val="36147018"/>
    <w:rsid w:val="362A0508"/>
    <w:rsid w:val="362D52F2"/>
    <w:rsid w:val="36315D3A"/>
    <w:rsid w:val="3632560E"/>
    <w:rsid w:val="36360607"/>
    <w:rsid w:val="36392990"/>
    <w:rsid w:val="363C4DE7"/>
    <w:rsid w:val="363D2F83"/>
    <w:rsid w:val="363E3FB3"/>
    <w:rsid w:val="36455341"/>
    <w:rsid w:val="36486BE0"/>
    <w:rsid w:val="364907A3"/>
    <w:rsid w:val="364A0BAA"/>
    <w:rsid w:val="36571E8A"/>
    <w:rsid w:val="365924BA"/>
    <w:rsid w:val="365E430D"/>
    <w:rsid w:val="36603F29"/>
    <w:rsid w:val="366559E4"/>
    <w:rsid w:val="3667669B"/>
    <w:rsid w:val="36706B22"/>
    <w:rsid w:val="36753638"/>
    <w:rsid w:val="367865FB"/>
    <w:rsid w:val="367E35EC"/>
    <w:rsid w:val="36835E6A"/>
    <w:rsid w:val="36877708"/>
    <w:rsid w:val="369333B7"/>
    <w:rsid w:val="369F5C48"/>
    <w:rsid w:val="36A04C6E"/>
    <w:rsid w:val="36A35C8D"/>
    <w:rsid w:val="36BE73B3"/>
    <w:rsid w:val="36BF714A"/>
    <w:rsid w:val="36C41988"/>
    <w:rsid w:val="36C546D4"/>
    <w:rsid w:val="36CC43AF"/>
    <w:rsid w:val="36D04FAA"/>
    <w:rsid w:val="36D13079"/>
    <w:rsid w:val="36DC35FA"/>
    <w:rsid w:val="36DE12F2"/>
    <w:rsid w:val="36E0221D"/>
    <w:rsid w:val="36E0288E"/>
    <w:rsid w:val="36E112E0"/>
    <w:rsid w:val="36E345A3"/>
    <w:rsid w:val="36E56469"/>
    <w:rsid w:val="36E67111"/>
    <w:rsid w:val="36E67C80"/>
    <w:rsid w:val="36F2632E"/>
    <w:rsid w:val="37022F00"/>
    <w:rsid w:val="3709636F"/>
    <w:rsid w:val="370F5BF3"/>
    <w:rsid w:val="37117919"/>
    <w:rsid w:val="371F6FE6"/>
    <w:rsid w:val="372B776E"/>
    <w:rsid w:val="372C3876"/>
    <w:rsid w:val="372E2279"/>
    <w:rsid w:val="373762B5"/>
    <w:rsid w:val="373D426B"/>
    <w:rsid w:val="373F01CE"/>
    <w:rsid w:val="37400F91"/>
    <w:rsid w:val="37405B09"/>
    <w:rsid w:val="37441A9D"/>
    <w:rsid w:val="37455673"/>
    <w:rsid w:val="374B03F6"/>
    <w:rsid w:val="375901B0"/>
    <w:rsid w:val="37592C62"/>
    <w:rsid w:val="375B2943"/>
    <w:rsid w:val="375F1848"/>
    <w:rsid w:val="37672250"/>
    <w:rsid w:val="37695EFA"/>
    <w:rsid w:val="376A7405"/>
    <w:rsid w:val="376B527C"/>
    <w:rsid w:val="376B62D4"/>
    <w:rsid w:val="377063EE"/>
    <w:rsid w:val="37751C56"/>
    <w:rsid w:val="377834F5"/>
    <w:rsid w:val="377C4D93"/>
    <w:rsid w:val="377D6D5D"/>
    <w:rsid w:val="377E2FB7"/>
    <w:rsid w:val="37803CC9"/>
    <w:rsid w:val="378656E9"/>
    <w:rsid w:val="378C0712"/>
    <w:rsid w:val="378C393B"/>
    <w:rsid w:val="378D61E4"/>
    <w:rsid w:val="378F6E97"/>
    <w:rsid w:val="37910951"/>
    <w:rsid w:val="379320DC"/>
    <w:rsid w:val="379561F9"/>
    <w:rsid w:val="379A653D"/>
    <w:rsid w:val="379E7954"/>
    <w:rsid w:val="37A54D04"/>
    <w:rsid w:val="37A75B88"/>
    <w:rsid w:val="37A974A4"/>
    <w:rsid w:val="37AF7EE0"/>
    <w:rsid w:val="37B51B38"/>
    <w:rsid w:val="37BE08A2"/>
    <w:rsid w:val="37C87AAE"/>
    <w:rsid w:val="37CD3B9E"/>
    <w:rsid w:val="37CF1981"/>
    <w:rsid w:val="37D2440C"/>
    <w:rsid w:val="37D52435"/>
    <w:rsid w:val="37DB599D"/>
    <w:rsid w:val="37DF5322"/>
    <w:rsid w:val="37E07A38"/>
    <w:rsid w:val="37E22162"/>
    <w:rsid w:val="37E312B6"/>
    <w:rsid w:val="37F2136C"/>
    <w:rsid w:val="37F561E6"/>
    <w:rsid w:val="37F81D85"/>
    <w:rsid w:val="37FA274B"/>
    <w:rsid w:val="37FE1162"/>
    <w:rsid w:val="380940D8"/>
    <w:rsid w:val="380B6117"/>
    <w:rsid w:val="38105348"/>
    <w:rsid w:val="381730A5"/>
    <w:rsid w:val="381E22EE"/>
    <w:rsid w:val="381F29FC"/>
    <w:rsid w:val="38206AF7"/>
    <w:rsid w:val="3825731A"/>
    <w:rsid w:val="382A3096"/>
    <w:rsid w:val="382A6E0F"/>
    <w:rsid w:val="382D42DF"/>
    <w:rsid w:val="383D6DF5"/>
    <w:rsid w:val="384653A1"/>
    <w:rsid w:val="384818BA"/>
    <w:rsid w:val="38563D6C"/>
    <w:rsid w:val="385B6EE5"/>
    <w:rsid w:val="385C2E16"/>
    <w:rsid w:val="385D0CEB"/>
    <w:rsid w:val="385E3DF5"/>
    <w:rsid w:val="3866173D"/>
    <w:rsid w:val="386D6DD1"/>
    <w:rsid w:val="3870241E"/>
    <w:rsid w:val="3870318F"/>
    <w:rsid w:val="38740160"/>
    <w:rsid w:val="38770423"/>
    <w:rsid w:val="387D5F26"/>
    <w:rsid w:val="38877407"/>
    <w:rsid w:val="388B06CF"/>
    <w:rsid w:val="388B5B4D"/>
    <w:rsid w:val="388D4D7E"/>
    <w:rsid w:val="38931E37"/>
    <w:rsid w:val="38936CED"/>
    <w:rsid w:val="389F684B"/>
    <w:rsid w:val="38A32936"/>
    <w:rsid w:val="38A81BB8"/>
    <w:rsid w:val="38B467AE"/>
    <w:rsid w:val="38BD1B07"/>
    <w:rsid w:val="38BD38B5"/>
    <w:rsid w:val="38C35493"/>
    <w:rsid w:val="38C81386"/>
    <w:rsid w:val="38C81E6C"/>
    <w:rsid w:val="38C92DDF"/>
    <w:rsid w:val="38CC3AF8"/>
    <w:rsid w:val="38D147F0"/>
    <w:rsid w:val="38D84F92"/>
    <w:rsid w:val="38DE382B"/>
    <w:rsid w:val="38E2156D"/>
    <w:rsid w:val="38E452E6"/>
    <w:rsid w:val="38E52E0C"/>
    <w:rsid w:val="38EA7D3C"/>
    <w:rsid w:val="38F6617B"/>
    <w:rsid w:val="38F90665"/>
    <w:rsid w:val="38F961F6"/>
    <w:rsid w:val="39007C46"/>
    <w:rsid w:val="391332F6"/>
    <w:rsid w:val="391667AB"/>
    <w:rsid w:val="391B05DB"/>
    <w:rsid w:val="391D4354"/>
    <w:rsid w:val="391E1AF1"/>
    <w:rsid w:val="391E7723"/>
    <w:rsid w:val="3922196A"/>
    <w:rsid w:val="39225AD9"/>
    <w:rsid w:val="3922727F"/>
    <w:rsid w:val="392F4087"/>
    <w:rsid w:val="3932023F"/>
    <w:rsid w:val="39363667"/>
    <w:rsid w:val="3947616A"/>
    <w:rsid w:val="3947680D"/>
    <w:rsid w:val="394A0EC1"/>
    <w:rsid w:val="394C69E7"/>
    <w:rsid w:val="394F7C70"/>
    <w:rsid w:val="39512953"/>
    <w:rsid w:val="39516275"/>
    <w:rsid w:val="39534219"/>
    <w:rsid w:val="395B30CE"/>
    <w:rsid w:val="395D1391"/>
    <w:rsid w:val="395D6313"/>
    <w:rsid w:val="396525B5"/>
    <w:rsid w:val="39660B6F"/>
    <w:rsid w:val="39676A46"/>
    <w:rsid w:val="396B18F5"/>
    <w:rsid w:val="396E6BFE"/>
    <w:rsid w:val="39711B5A"/>
    <w:rsid w:val="397F31CA"/>
    <w:rsid w:val="39894B3E"/>
    <w:rsid w:val="399F745E"/>
    <w:rsid w:val="39A20CFD"/>
    <w:rsid w:val="39A75E83"/>
    <w:rsid w:val="39A77A0B"/>
    <w:rsid w:val="39B37E38"/>
    <w:rsid w:val="39B62978"/>
    <w:rsid w:val="39C26CA9"/>
    <w:rsid w:val="39CC0F50"/>
    <w:rsid w:val="39F23A32"/>
    <w:rsid w:val="39F30880"/>
    <w:rsid w:val="39F96B6F"/>
    <w:rsid w:val="39FB4D8F"/>
    <w:rsid w:val="39FC040D"/>
    <w:rsid w:val="39FE4EB6"/>
    <w:rsid w:val="39FF3A59"/>
    <w:rsid w:val="3A03179B"/>
    <w:rsid w:val="3A067163"/>
    <w:rsid w:val="3A0E43A9"/>
    <w:rsid w:val="3A131647"/>
    <w:rsid w:val="3A1F5EA9"/>
    <w:rsid w:val="3A207BDC"/>
    <w:rsid w:val="3A255BB6"/>
    <w:rsid w:val="3A287AFD"/>
    <w:rsid w:val="3A2B0CF2"/>
    <w:rsid w:val="3A2B5401"/>
    <w:rsid w:val="3A2B7F6D"/>
    <w:rsid w:val="3A3B7187"/>
    <w:rsid w:val="3A4E7A20"/>
    <w:rsid w:val="3A4F49E1"/>
    <w:rsid w:val="3A5262EA"/>
    <w:rsid w:val="3A543DA5"/>
    <w:rsid w:val="3A5C62C1"/>
    <w:rsid w:val="3A5F274A"/>
    <w:rsid w:val="3A5F7D57"/>
    <w:rsid w:val="3A63048C"/>
    <w:rsid w:val="3A687850"/>
    <w:rsid w:val="3A6A7A6C"/>
    <w:rsid w:val="3A6B3DFF"/>
    <w:rsid w:val="3A6D1460"/>
    <w:rsid w:val="3A711271"/>
    <w:rsid w:val="3A7152A8"/>
    <w:rsid w:val="3A7B3A28"/>
    <w:rsid w:val="3A7F3C43"/>
    <w:rsid w:val="3A830B2E"/>
    <w:rsid w:val="3A860255"/>
    <w:rsid w:val="3A8D375B"/>
    <w:rsid w:val="3A924750"/>
    <w:rsid w:val="3AA0348E"/>
    <w:rsid w:val="3AA15401"/>
    <w:rsid w:val="3AA20FB4"/>
    <w:rsid w:val="3AA700A1"/>
    <w:rsid w:val="3AA7481D"/>
    <w:rsid w:val="3AAA6FAD"/>
    <w:rsid w:val="3AAF6D39"/>
    <w:rsid w:val="3AAF7279"/>
    <w:rsid w:val="3AB502B9"/>
    <w:rsid w:val="3AB947E1"/>
    <w:rsid w:val="3AC32CD9"/>
    <w:rsid w:val="3AC727C9"/>
    <w:rsid w:val="3ACA22B9"/>
    <w:rsid w:val="3ACA4067"/>
    <w:rsid w:val="3ADB2718"/>
    <w:rsid w:val="3ADD7E34"/>
    <w:rsid w:val="3ADE5D64"/>
    <w:rsid w:val="3AE32D17"/>
    <w:rsid w:val="3AE671D5"/>
    <w:rsid w:val="3AF17846"/>
    <w:rsid w:val="3AF21490"/>
    <w:rsid w:val="3AF216B0"/>
    <w:rsid w:val="3AF843A2"/>
    <w:rsid w:val="3AFA7DAE"/>
    <w:rsid w:val="3B044EA2"/>
    <w:rsid w:val="3B0752BB"/>
    <w:rsid w:val="3B097803"/>
    <w:rsid w:val="3B0E03F8"/>
    <w:rsid w:val="3B1F5D8D"/>
    <w:rsid w:val="3B2E2848"/>
    <w:rsid w:val="3B3616FD"/>
    <w:rsid w:val="3B390A93"/>
    <w:rsid w:val="3B3A575C"/>
    <w:rsid w:val="3B3C5B1D"/>
    <w:rsid w:val="3B3F4A55"/>
    <w:rsid w:val="3B4410FC"/>
    <w:rsid w:val="3B4A5BBF"/>
    <w:rsid w:val="3B4E14F1"/>
    <w:rsid w:val="3B526BD4"/>
    <w:rsid w:val="3B5A31DA"/>
    <w:rsid w:val="3B5F50F7"/>
    <w:rsid w:val="3B60677A"/>
    <w:rsid w:val="3B614F1D"/>
    <w:rsid w:val="3B643511"/>
    <w:rsid w:val="3B691AD2"/>
    <w:rsid w:val="3B781D15"/>
    <w:rsid w:val="3B820DE6"/>
    <w:rsid w:val="3B916465"/>
    <w:rsid w:val="3B9B15AF"/>
    <w:rsid w:val="3B9C6D88"/>
    <w:rsid w:val="3B9D5C20"/>
    <w:rsid w:val="3B9E45CE"/>
    <w:rsid w:val="3BA30D13"/>
    <w:rsid w:val="3BA50630"/>
    <w:rsid w:val="3BA63804"/>
    <w:rsid w:val="3BB84807"/>
    <w:rsid w:val="3BB95282"/>
    <w:rsid w:val="3BBA0580"/>
    <w:rsid w:val="3BC15248"/>
    <w:rsid w:val="3BC44F5A"/>
    <w:rsid w:val="3BC72FEC"/>
    <w:rsid w:val="3BC85C37"/>
    <w:rsid w:val="3BCE402B"/>
    <w:rsid w:val="3BDE524C"/>
    <w:rsid w:val="3BE26AE1"/>
    <w:rsid w:val="3BE439CC"/>
    <w:rsid w:val="3BF22375"/>
    <w:rsid w:val="3BF35840"/>
    <w:rsid w:val="3BF375EE"/>
    <w:rsid w:val="3BFF2436"/>
    <w:rsid w:val="3C0161AE"/>
    <w:rsid w:val="3C141845"/>
    <w:rsid w:val="3C1E4473"/>
    <w:rsid w:val="3C212249"/>
    <w:rsid w:val="3C277DB9"/>
    <w:rsid w:val="3C2F4ACA"/>
    <w:rsid w:val="3C326368"/>
    <w:rsid w:val="3C405832"/>
    <w:rsid w:val="3C410359"/>
    <w:rsid w:val="3C516AEC"/>
    <w:rsid w:val="3C537E81"/>
    <w:rsid w:val="3C555A1E"/>
    <w:rsid w:val="3C575AEB"/>
    <w:rsid w:val="3C5B317F"/>
    <w:rsid w:val="3C651580"/>
    <w:rsid w:val="3C676344"/>
    <w:rsid w:val="3C712360"/>
    <w:rsid w:val="3C7523A0"/>
    <w:rsid w:val="3C770CF1"/>
    <w:rsid w:val="3C7954BD"/>
    <w:rsid w:val="3C7F0E81"/>
    <w:rsid w:val="3C850B8E"/>
    <w:rsid w:val="3C871E4B"/>
    <w:rsid w:val="3C892371"/>
    <w:rsid w:val="3C9506A5"/>
    <w:rsid w:val="3C987704"/>
    <w:rsid w:val="3C9C1A33"/>
    <w:rsid w:val="3CA16BA3"/>
    <w:rsid w:val="3CA35A73"/>
    <w:rsid w:val="3CA619B1"/>
    <w:rsid w:val="3CAA05F4"/>
    <w:rsid w:val="3CAF3139"/>
    <w:rsid w:val="3CB13731"/>
    <w:rsid w:val="3CB27919"/>
    <w:rsid w:val="3CB60D47"/>
    <w:rsid w:val="3CC80C7F"/>
    <w:rsid w:val="3CCA034E"/>
    <w:rsid w:val="3CD66F1D"/>
    <w:rsid w:val="3CD916F6"/>
    <w:rsid w:val="3CDE3DFA"/>
    <w:rsid w:val="3CE70DB8"/>
    <w:rsid w:val="3CE83692"/>
    <w:rsid w:val="3CEA565D"/>
    <w:rsid w:val="3CEC364C"/>
    <w:rsid w:val="3CF35A94"/>
    <w:rsid w:val="3CF41400"/>
    <w:rsid w:val="3CF815A0"/>
    <w:rsid w:val="3CFC17D0"/>
    <w:rsid w:val="3CFE624A"/>
    <w:rsid w:val="3D037D04"/>
    <w:rsid w:val="3D053A7C"/>
    <w:rsid w:val="3D09356D"/>
    <w:rsid w:val="3D0D2931"/>
    <w:rsid w:val="3D0D2FB0"/>
    <w:rsid w:val="3D1513A5"/>
    <w:rsid w:val="3D1617E6"/>
    <w:rsid w:val="3D180148"/>
    <w:rsid w:val="3D1825A2"/>
    <w:rsid w:val="3D191A51"/>
    <w:rsid w:val="3D1B6DFC"/>
    <w:rsid w:val="3D2A5291"/>
    <w:rsid w:val="3D2E3149"/>
    <w:rsid w:val="3D346474"/>
    <w:rsid w:val="3D3D01B2"/>
    <w:rsid w:val="3D3F340A"/>
    <w:rsid w:val="3D424389"/>
    <w:rsid w:val="3D430983"/>
    <w:rsid w:val="3D4358D5"/>
    <w:rsid w:val="3D467644"/>
    <w:rsid w:val="3D55447E"/>
    <w:rsid w:val="3D5642D8"/>
    <w:rsid w:val="3D581DFE"/>
    <w:rsid w:val="3D5A3DC8"/>
    <w:rsid w:val="3D6562C9"/>
    <w:rsid w:val="3D6F73FC"/>
    <w:rsid w:val="3D73400A"/>
    <w:rsid w:val="3D766F81"/>
    <w:rsid w:val="3D7A1FE6"/>
    <w:rsid w:val="3D7B3D3F"/>
    <w:rsid w:val="3D8E3A72"/>
    <w:rsid w:val="3D8F57D6"/>
    <w:rsid w:val="3D8F7BCA"/>
    <w:rsid w:val="3D9034BE"/>
    <w:rsid w:val="3D917CF4"/>
    <w:rsid w:val="3D923A7F"/>
    <w:rsid w:val="3D9C187B"/>
    <w:rsid w:val="3DA037A5"/>
    <w:rsid w:val="3DA9286A"/>
    <w:rsid w:val="3DAD45E9"/>
    <w:rsid w:val="3DB652AD"/>
    <w:rsid w:val="3DB8289D"/>
    <w:rsid w:val="3DBE0321"/>
    <w:rsid w:val="3DC47494"/>
    <w:rsid w:val="3DC7543B"/>
    <w:rsid w:val="3DCF03F9"/>
    <w:rsid w:val="3DDF423F"/>
    <w:rsid w:val="3DE85EB5"/>
    <w:rsid w:val="3DEA07D5"/>
    <w:rsid w:val="3DEF41EA"/>
    <w:rsid w:val="3DF136A1"/>
    <w:rsid w:val="3DF16CDF"/>
    <w:rsid w:val="3DF60BBB"/>
    <w:rsid w:val="3DFB09DB"/>
    <w:rsid w:val="3E014687"/>
    <w:rsid w:val="3E1D08B5"/>
    <w:rsid w:val="3E2239FA"/>
    <w:rsid w:val="3E2B7513"/>
    <w:rsid w:val="3E2F5AF8"/>
    <w:rsid w:val="3E342DF1"/>
    <w:rsid w:val="3E377C66"/>
    <w:rsid w:val="3E3846C5"/>
    <w:rsid w:val="3E3A0201"/>
    <w:rsid w:val="3E3A59A8"/>
    <w:rsid w:val="3E3C150D"/>
    <w:rsid w:val="3E42660A"/>
    <w:rsid w:val="3E4920FF"/>
    <w:rsid w:val="3E4A5B2A"/>
    <w:rsid w:val="3E554590"/>
    <w:rsid w:val="3E5C147A"/>
    <w:rsid w:val="3E5C4D5B"/>
    <w:rsid w:val="3E647817"/>
    <w:rsid w:val="3E654263"/>
    <w:rsid w:val="3E7B46E8"/>
    <w:rsid w:val="3E7D64DF"/>
    <w:rsid w:val="3E7E66BF"/>
    <w:rsid w:val="3E88226F"/>
    <w:rsid w:val="3E9029A1"/>
    <w:rsid w:val="3E9514D0"/>
    <w:rsid w:val="3E9A368F"/>
    <w:rsid w:val="3E9E6530"/>
    <w:rsid w:val="3EA42E21"/>
    <w:rsid w:val="3EA6303D"/>
    <w:rsid w:val="3EAC1607"/>
    <w:rsid w:val="3EAD30B6"/>
    <w:rsid w:val="3EB43064"/>
    <w:rsid w:val="3EB81A14"/>
    <w:rsid w:val="3EB85781"/>
    <w:rsid w:val="3EB922F6"/>
    <w:rsid w:val="3EBA3015"/>
    <w:rsid w:val="3EBC016B"/>
    <w:rsid w:val="3EBF0C71"/>
    <w:rsid w:val="3EC52C0E"/>
    <w:rsid w:val="3ECC4F11"/>
    <w:rsid w:val="3ED6747E"/>
    <w:rsid w:val="3ED90C96"/>
    <w:rsid w:val="3ED951C1"/>
    <w:rsid w:val="3EDE3962"/>
    <w:rsid w:val="3EE55332"/>
    <w:rsid w:val="3EEB139D"/>
    <w:rsid w:val="3EF11F0E"/>
    <w:rsid w:val="3EF21DDE"/>
    <w:rsid w:val="3EF6342D"/>
    <w:rsid w:val="3EF9316D"/>
    <w:rsid w:val="3EFB0C93"/>
    <w:rsid w:val="3EFE75EF"/>
    <w:rsid w:val="3F0B2EA0"/>
    <w:rsid w:val="3F104137"/>
    <w:rsid w:val="3F1400B3"/>
    <w:rsid w:val="3F152851"/>
    <w:rsid w:val="3F153934"/>
    <w:rsid w:val="3F1925D1"/>
    <w:rsid w:val="3F2006FA"/>
    <w:rsid w:val="3F2C52F0"/>
    <w:rsid w:val="3F340649"/>
    <w:rsid w:val="3F3643C1"/>
    <w:rsid w:val="3F3A0789"/>
    <w:rsid w:val="3F4168C2"/>
    <w:rsid w:val="3F433B90"/>
    <w:rsid w:val="3F456272"/>
    <w:rsid w:val="3F4A5777"/>
    <w:rsid w:val="3F4F0FDF"/>
    <w:rsid w:val="3F507894"/>
    <w:rsid w:val="3F553CBB"/>
    <w:rsid w:val="3F563324"/>
    <w:rsid w:val="3F5B3E28"/>
    <w:rsid w:val="3F6F342F"/>
    <w:rsid w:val="3F702A77"/>
    <w:rsid w:val="3F704041"/>
    <w:rsid w:val="3F7222FD"/>
    <w:rsid w:val="3F731171"/>
    <w:rsid w:val="3F744EE9"/>
    <w:rsid w:val="3F774D39"/>
    <w:rsid w:val="3F88428B"/>
    <w:rsid w:val="3F92608C"/>
    <w:rsid w:val="3F997779"/>
    <w:rsid w:val="3FA0183A"/>
    <w:rsid w:val="3FA26DC7"/>
    <w:rsid w:val="3FB42F10"/>
    <w:rsid w:val="3FB84DD6"/>
    <w:rsid w:val="3FBD4CDE"/>
    <w:rsid w:val="3FC27A03"/>
    <w:rsid w:val="3FC67A28"/>
    <w:rsid w:val="3FC7326B"/>
    <w:rsid w:val="3FC96FE3"/>
    <w:rsid w:val="3FCB2D5B"/>
    <w:rsid w:val="3FD85478"/>
    <w:rsid w:val="3FD87226"/>
    <w:rsid w:val="3FD95BA1"/>
    <w:rsid w:val="3FDE235C"/>
    <w:rsid w:val="3FE0432D"/>
    <w:rsid w:val="3FE17B5F"/>
    <w:rsid w:val="3FE63C5F"/>
    <w:rsid w:val="3FEF1759"/>
    <w:rsid w:val="3FEF50DC"/>
    <w:rsid w:val="3FF43FD3"/>
    <w:rsid w:val="3FF676AC"/>
    <w:rsid w:val="400A3D6D"/>
    <w:rsid w:val="400F2C87"/>
    <w:rsid w:val="401225C0"/>
    <w:rsid w:val="40155D85"/>
    <w:rsid w:val="401C5365"/>
    <w:rsid w:val="401D04E8"/>
    <w:rsid w:val="40200374"/>
    <w:rsid w:val="40302BBE"/>
    <w:rsid w:val="40354679"/>
    <w:rsid w:val="403673E9"/>
    <w:rsid w:val="40373AAA"/>
    <w:rsid w:val="403C641F"/>
    <w:rsid w:val="4044724F"/>
    <w:rsid w:val="40462F23"/>
    <w:rsid w:val="40464542"/>
    <w:rsid w:val="404A2EC7"/>
    <w:rsid w:val="40545F0C"/>
    <w:rsid w:val="40550877"/>
    <w:rsid w:val="40572841"/>
    <w:rsid w:val="405C1C05"/>
    <w:rsid w:val="40645C96"/>
    <w:rsid w:val="4067459F"/>
    <w:rsid w:val="40694322"/>
    <w:rsid w:val="407056B1"/>
    <w:rsid w:val="40774DD8"/>
    <w:rsid w:val="407F3756"/>
    <w:rsid w:val="40890521"/>
    <w:rsid w:val="4092255F"/>
    <w:rsid w:val="40924E1B"/>
    <w:rsid w:val="4093332D"/>
    <w:rsid w:val="409E0E32"/>
    <w:rsid w:val="40A04D80"/>
    <w:rsid w:val="40A05362"/>
    <w:rsid w:val="40A11D0E"/>
    <w:rsid w:val="40AB27D1"/>
    <w:rsid w:val="40AB66E9"/>
    <w:rsid w:val="40B662AE"/>
    <w:rsid w:val="40BF3F42"/>
    <w:rsid w:val="40C1308E"/>
    <w:rsid w:val="40C13412"/>
    <w:rsid w:val="40CA06EF"/>
    <w:rsid w:val="40D72B2C"/>
    <w:rsid w:val="40DE2279"/>
    <w:rsid w:val="40DE42E4"/>
    <w:rsid w:val="40E02249"/>
    <w:rsid w:val="40E21AD4"/>
    <w:rsid w:val="40E83499"/>
    <w:rsid w:val="40E86F57"/>
    <w:rsid w:val="40EA121D"/>
    <w:rsid w:val="40EC2411"/>
    <w:rsid w:val="40EF4827"/>
    <w:rsid w:val="40F462E2"/>
    <w:rsid w:val="40F7192E"/>
    <w:rsid w:val="40F77B80"/>
    <w:rsid w:val="40FA4F7A"/>
    <w:rsid w:val="40FA7F99"/>
    <w:rsid w:val="40FC3E1B"/>
    <w:rsid w:val="41033741"/>
    <w:rsid w:val="41034E0B"/>
    <w:rsid w:val="41120516"/>
    <w:rsid w:val="41125455"/>
    <w:rsid w:val="411566A8"/>
    <w:rsid w:val="411B561D"/>
    <w:rsid w:val="411B7EAC"/>
    <w:rsid w:val="41212130"/>
    <w:rsid w:val="41275362"/>
    <w:rsid w:val="412768C3"/>
    <w:rsid w:val="412828F9"/>
    <w:rsid w:val="41306979"/>
    <w:rsid w:val="41340BD4"/>
    <w:rsid w:val="413B567A"/>
    <w:rsid w:val="413E755D"/>
    <w:rsid w:val="414B2885"/>
    <w:rsid w:val="414D154E"/>
    <w:rsid w:val="41555735"/>
    <w:rsid w:val="415A48B5"/>
    <w:rsid w:val="4162149D"/>
    <w:rsid w:val="41646EE2"/>
    <w:rsid w:val="41651C42"/>
    <w:rsid w:val="4167521D"/>
    <w:rsid w:val="41681C6B"/>
    <w:rsid w:val="416C134E"/>
    <w:rsid w:val="416C231C"/>
    <w:rsid w:val="416D4A6A"/>
    <w:rsid w:val="416E4340"/>
    <w:rsid w:val="416F4EB9"/>
    <w:rsid w:val="41727207"/>
    <w:rsid w:val="41752637"/>
    <w:rsid w:val="4176435E"/>
    <w:rsid w:val="417A606C"/>
    <w:rsid w:val="41840C10"/>
    <w:rsid w:val="418469BC"/>
    <w:rsid w:val="418A2804"/>
    <w:rsid w:val="418F0F7A"/>
    <w:rsid w:val="41906AC2"/>
    <w:rsid w:val="419F015A"/>
    <w:rsid w:val="41A01FC6"/>
    <w:rsid w:val="41A360B9"/>
    <w:rsid w:val="41AA5E40"/>
    <w:rsid w:val="41AE2B8A"/>
    <w:rsid w:val="41AE4427"/>
    <w:rsid w:val="41BB2ECC"/>
    <w:rsid w:val="41BE7E42"/>
    <w:rsid w:val="41BF3E63"/>
    <w:rsid w:val="41D63F61"/>
    <w:rsid w:val="41D93F3F"/>
    <w:rsid w:val="41DC1B54"/>
    <w:rsid w:val="41DC7E80"/>
    <w:rsid w:val="41EA3241"/>
    <w:rsid w:val="41F57B8B"/>
    <w:rsid w:val="42022339"/>
    <w:rsid w:val="42031997"/>
    <w:rsid w:val="42072A91"/>
    <w:rsid w:val="42104B67"/>
    <w:rsid w:val="42130539"/>
    <w:rsid w:val="4217035F"/>
    <w:rsid w:val="42205707"/>
    <w:rsid w:val="42253C46"/>
    <w:rsid w:val="422961A5"/>
    <w:rsid w:val="422F6DE7"/>
    <w:rsid w:val="42326E07"/>
    <w:rsid w:val="42356728"/>
    <w:rsid w:val="42387954"/>
    <w:rsid w:val="423C4A11"/>
    <w:rsid w:val="423F5835"/>
    <w:rsid w:val="4240597B"/>
    <w:rsid w:val="4246491B"/>
    <w:rsid w:val="424665ED"/>
    <w:rsid w:val="42497F67"/>
    <w:rsid w:val="42513B85"/>
    <w:rsid w:val="425C413F"/>
    <w:rsid w:val="42671DAC"/>
    <w:rsid w:val="42687EB7"/>
    <w:rsid w:val="426A0AD7"/>
    <w:rsid w:val="426B6130"/>
    <w:rsid w:val="427D161B"/>
    <w:rsid w:val="42864D18"/>
    <w:rsid w:val="42870A90"/>
    <w:rsid w:val="42882FE1"/>
    <w:rsid w:val="42884F34"/>
    <w:rsid w:val="428972CE"/>
    <w:rsid w:val="428D4F27"/>
    <w:rsid w:val="42911747"/>
    <w:rsid w:val="42966B25"/>
    <w:rsid w:val="4299172F"/>
    <w:rsid w:val="42994B53"/>
    <w:rsid w:val="42996CD2"/>
    <w:rsid w:val="429B5BBB"/>
    <w:rsid w:val="42A13A3B"/>
    <w:rsid w:val="42A94EAA"/>
    <w:rsid w:val="42AB02FE"/>
    <w:rsid w:val="42B33603"/>
    <w:rsid w:val="42B429A1"/>
    <w:rsid w:val="42B5034E"/>
    <w:rsid w:val="42B77749"/>
    <w:rsid w:val="42BB1E4A"/>
    <w:rsid w:val="42C53343"/>
    <w:rsid w:val="42CD6DEA"/>
    <w:rsid w:val="42CF2B62"/>
    <w:rsid w:val="42D53EF1"/>
    <w:rsid w:val="42D67C1B"/>
    <w:rsid w:val="42D9385C"/>
    <w:rsid w:val="42D948AF"/>
    <w:rsid w:val="42DE686E"/>
    <w:rsid w:val="42E36494"/>
    <w:rsid w:val="42E3660E"/>
    <w:rsid w:val="42E47468"/>
    <w:rsid w:val="42E9367D"/>
    <w:rsid w:val="42EE327C"/>
    <w:rsid w:val="42F44377"/>
    <w:rsid w:val="42FA7493"/>
    <w:rsid w:val="42FC155B"/>
    <w:rsid w:val="42FE51F6"/>
    <w:rsid w:val="4304511C"/>
    <w:rsid w:val="43056584"/>
    <w:rsid w:val="430B02DB"/>
    <w:rsid w:val="430B16C1"/>
    <w:rsid w:val="43156BD0"/>
    <w:rsid w:val="431B5DA8"/>
    <w:rsid w:val="43237164"/>
    <w:rsid w:val="4324422F"/>
    <w:rsid w:val="432A3E57"/>
    <w:rsid w:val="432B58BF"/>
    <w:rsid w:val="432F1853"/>
    <w:rsid w:val="43305F01"/>
    <w:rsid w:val="43373E19"/>
    <w:rsid w:val="43374264"/>
    <w:rsid w:val="43394480"/>
    <w:rsid w:val="433C187A"/>
    <w:rsid w:val="4341056B"/>
    <w:rsid w:val="434F5A51"/>
    <w:rsid w:val="435172B7"/>
    <w:rsid w:val="43580B32"/>
    <w:rsid w:val="436112E1"/>
    <w:rsid w:val="43617EE7"/>
    <w:rsid w:val="43641EB1"/>
    <w:rsid w:val="43653B74"/>
    <w:rsid w:val="4365448B"/>
    <w:rsid w:val="436F0A2F"/>
    <w:rsid w:val="437159C8"/>
    <w:rsid w:val="43747266"/>
    <w:rsid w:val="4379487C"/>
    <w:rsid w:val="43825A45"/>
    <w:rsid w:val="43876962"/>
    <w:rsid w:val="438A6B52"/>
    <w:rsid w:val="438B2C9E"/>
    <w:rsid w:val="438E177B"/>
    <w:rsid w:val="438E6981"/>
    <w:rsid w:val="43943464"/>
    <w:rsid w:val="439B47F3"/>
    <w:rsid w:val="43A318F9"/>
    <w:rsid w:val="43A44928"/>
    <w:rsid w:val="43A455EE"/>
    <w:rsid w:val="43A85162"/>
    <w:rsid w:val="43AF4ABE"/>
    <w:rsid w:val="43B20393"/>
    <w:rsid w:val="43B27D8E"/>
    <w:rsid w:val="43B47DBF"/>
    <w:rsid w:val="43B50C33"/>
    <w:rsid w:val="43B807E2"/>
    <w:rsid w:val="43C567F0"/>
    <w:rsid w:val="43CA57C8"/>
    <w:rsid w:val="43CF26EE"/>
    <w:rsid w:val="43D16466"/>
    <w:rsid w:val="43E443EC"/>
    <w:rsid w:val="43E51F12"/>
    <w:rsid w:val="43E84655"/>
    <w:rsid w:val="43EA7BD7"/>
    <w:rsid w:val="43EC11EF"/>
    <w:rsid w:val="43F860E9"/>
    <w:rsid w:val="43F87A6B"/>
    <w:rsid w:val="43F87E97"/>
    <w:rsid w:val="44077C63"/>
    <w:rsid w:val="440B1E2F"/>
    <w:rsid w:val="440C3942"/>
    <w:rsid w:val="441402FB"/>
    <w:rsid w:val="44202F4A"/>
    <w:rsid w:val="442A5B77"/>
    <w:rsid w:val="442E2670"/>
    <w:rsid w:val="44313C40"/>
    <w:rsid w:val="443D2B78"/>
    <w:rsid w:val="44466BA0"/>
    <w:rsid w:val="444F63D4"/>
    <w:rsid w:val="4453331F"/>
    <w:rsid w:val="44550E45"/>
    <w:rsid w:val="44573F66"/>
    <w:rsid w:val="44587A26"/>
    <w:rsid w:val="446058AE"/>
    <w:rsid w:val="446537FA"/>
    <w:rsid w:val="4467501D"/>
    <w:rsid w:val="44730537"/>
    <w:rsid w:val="447339C1"/>
    <w:rsid w:val="44741875"/>
    <w:rsid w:val="44770043"/>
    <w:rsid w:val="447D7693"/>
    <w:rsid w:val="447F5EC2"/>
    <w:rsid w:val="448524A9"/>
    <w:rsid w:val="44856A0F"/>
    <w:rsid w:val="4488746D"/>
    <w:rsid w:val="44966287"/>
    <w:rsid w:val="44986F84"/>
    <w:rsid w:val="449E610E"/>
    <w:rsid w:val="44AC72BB"/>
    <w:rsid w:val="44B17E57"/>
    <w:rsid w:val="44B31A22"/>
    <w:rsid w:val="44B8098A"/>
    <w:rsid w:val="44BA339E"/>
    <w:rsid w:val="44BB2766"/>
    <w:rsid w:val="44C775FA"/>
    <w:rsid w:val="44CA3141"/>
    <w:rsid w:val="44D012CD"/>
    <w:rsid w:val="44D523E6"/>
    <w:rsid w:val="44DE1F09"/>
    <w:rsid w:val="44EE129A"/>
    <w:rsid w:val="44EE4DF6"/>
    <w:rsid w:val="44F96329"/>
    <w:rsid w:val="44FD0994"/>
    <w:rsid w:val="450D212B"/>
    <w:rsid w:val="450D7972"/>
    <w:rsid w:val="45164116"/>
    <w:rsid w:val="45186B8F"/>
    <w:rsid w:val="451F0756"/>
    <w:rsid w:val="452162C7"/>
    <w:rsid w:val="45253CC8"/>
    <w:rsid w:val="452751D7"/>
    <w:rsid w:val="452B716C"/>
    <w:rsid w:val="452F5D1D"/>
    <w:rsid w:val="453018B3"/>
    <w:rsid w:val="45301F07"/>
    <w:rsid w:val="45343151"/>
    <w:rsid w:val="45370A88"/>
    <w:rsid w:val="453B51F9"/>
    <w:rsid w:val="453E6E0B"/>
    <w:rsid w:val="453F236B"/>
    <w:rsid w:val="454113CA"/>
    <w:rsid w:val="454315E6"/>
    <w:rsid w:val="45454D35"/>
    <w:rsid w:val="45462260"/>
    <w:rsid w:val="45486BFC"/>
    <w:rsid w:val="454C31E3"/>
    <w:rsid w:val="454C58BC"/>
    <w:rsid w:val="455410FD"/>
    <w:rsid w:val="455B5D37"/>
    <w:rsid w:val="455E3D2A"/>
    <w:rsid w:val="4561381A"/>
    <w:rsid w:val="456A0921"/>
    <w:rsid w:val="456A18F5"/>
    <w:rsid w:val="456D21BF"/>
    <w:rsid w:val="456D40D6"/>
    <w:rsid w:val="4570237F"/>
    <w:rsid w:val="4571013B"/>
    <w:rsid w:val="457556F4"/>
    <w:rsid w:val="4577128F"/>
    <w:rsid w:val="45795008"/>
    <w:rsid w:val="457C0E68"/>
    <w:rsid w:val="457C0F3F"/>
    <w:rsid w:val="457E261E"/>
    <w:rsid w:val="458539AC"/>
    <w:rsid w:val="458C0701"/>
    <w:rsid w:val="458F0387"/>
    <w:rsid w:val="45924862"/>
    <w:rsid w:val="45A71B75"/>
    <w:rsid w:val="45B55914"/>
    <w:rsid w:val="45B86804"/>
    <w:rsid w:val="45BE6EBE"/>
    <w:rsid w:val="45C51FFB"/>
    <w:rsid w:val="45CD0A54"/>
    <w:rsid w:val="45CF2E79"/>
    <w:rsid w:val="45D71243"/>
    <w:rsid w:val="45E52D76"/>
    <w:rsid w:val="45E87A97"/>
    <w:rsid w:val="45F56F89"/>
    <w:rsid w:val="45F75F2C"/>
    <w:rsid w:val="45F77A60"/>
    <w:rsid w:val="45F81C62"/>
    <w:rsid w:val="4605689B"/>
    <w:rsid w:val="46063770"/>
    <w:rsid w:val="460A47DD"/>
    <w:rsid w:val="460F14C8"/>
    <w:rsid w:val="46122350"/>
    <w:rsid w:val="461261E1"/>
    <w:rsid w:val="46132D66"/>
    <w:rsid w:val="46222FA9"/>
    <w:rsid w:val="46230DFA"/>
    <w:rsid w:val="462A6D85"/>
    <w:rsid w:val="46301D24"/>
    <w:rsid w:val="46333AFF"/>
    <w:rsid w:val="46413BF9"/>
    <w:rsid w:val="464A3A20"/>
    <w:rsid w:val="464C7EEC"/>
    <w:rsid w:val="464F0520"/>
    <w:rsid w:val="46535859"/>
    <w:rsid w:val="4657234D"/>
    <w:rsid w:val="465869CB"/>
    <w:rsid w:val="465A74D8"/>
    <w:rsid w:val="46622454"/>
    <w:rsid w:val="466261C9"/>
    <w:rsid w:val="46647A66"/>
    <w:rsid w:val="466510A1"/>
    <w:rsid w:val="466A4950"/>
    <w:rsid w:val="4670640B"/>
    <w:rsid w:val="46743E55"/>
    <w:rsid w:val="467B090B"/>
    <w:rsid w:val="467D0B27"/>
    <w:rsid w:val="469638D6"/>
    <w:rsid w:val="469B3E0F"/>
    <w:rsid w:val="469C7CE9"/>
    <w:rsid w:val="46A85FD1"/>
    <w:rsid w:val="46A911C0"/>
    <w:rsid w:val="46B03E5E"/>
    <w:rsid w:val="46BA1434"/>
    <w:rsid w:val="46C422B2"/>
    <w:rsid w:val="46C44060"/>
    <w:rsid w:val="46C50352"/>
    <w:rsid w:val="46D67E95"/>
    <w:rsid w:val="46DB13AA"/>
    <w:rsid w:val="46DC75FC"/>
    <w:rsid w:val="46E05A91"/>
    <w:rsid w:val="46E453C3"/>
    <w:rsid w:val="46E81FDA"/>
    <w:rsid w:val="46E85CFA"/>
    <w:rsid w:val="46EB5A91"/>
    <w:rsid w:val="46ED6157"/>
    <w:rsid w:val="46F03039"/>
    <w:rsid w:val="46F247B0"/>
    <w:rsid w:val="46F47709"/>
    <w:rsid w:val="46F54B62"/>
    <w:rsid w:val="46F55484"/>
    <w:rsid w:val="46FB611D"/>
    <w:rsid w:val="47000EBA"/>
    <w:rsid w:val="4700324F"/>
    <w:rsid w:val="470335AD"/>
    <w:rsid w:val="470531BC"/>
    <w:rsid w:val="47094169"/>
    <w:rsid w:val="470B1C8F"/>
    <w:rsid w:val="470C6BD5"/>
    <w:rsid w:val="470D474B"/>
    <w:rsid w:val="47121268"/>
    <w:rsid w:val="47147829"/>
    <w:rsid w:val="47161613"/>
    <w:rsid w:val="47197F94"/>
    <w:rsid w:val="471A45C8"/>
    <w:rsid w:val="471E1980"/>
    <w:rsid w:val="472D60AA"/>
    <w:rsid w:val="472E1965"/>
    <w:rsid w:val="47325952"/>
    <w:rsid w:val="473311E6"/>
    <w:rsid w:val="47392CA0"/>
    <w:rsid w:val="473C62ED"/>
    <w:rsid w:val="4744717E"/>
    <w:rsid w:val="4751080C"/>
    <w:rsid w:val="4754272C"/>
    <w:rsid w:val="47580F9C"/>
    <w:rsid w:val="475B0A29"/>
    <w:rsid w:val="47657CF1"/>
    <w:rsid w:val="476D215C"/>
    <w:rsid w:val="476D46F8"/>
    <w:rsid w:val="4771702F"/>
    <w:rsid w:val="477240C5"/>
    <w:rsid w:val="477564FB"/>
    <w:rsid w:val="47797FC1"/>
    <w:rsid w:val="477A1E2D"/>
    <w:rsid w:val="478A34FC"/>
    <w:rsid w:val="478C70C4"/>
    <w:rsid w:val="47917A70"/>
    <w:rsid w:val="47A6205D"/>
    <w:rsid w:val="47A82D59"/>
    <w:rsid w:val="47B176A2"/>
    <w:rsid w:val="47B2035D"/>
    <w:rsid w:val="47B839DD"/>
    <w:rsid w:val="47BB36B5"/>
    <w:rsid w:val="47C336F1"/>
    <w:rsid w:val="47D47AA7"/>
    <w:rsid w:val="47D96D05"/>
    <w:rsid w:val="47D97FDF"/>
    <w:rsid w:val="47DB5B06"/>
    <w:rsid w:val="47DC7C21"/>
    <w:rsid w:val="47DE621E"/>
    <w:rsid w:val="47DF5582"/>
    <w:rsid w:val="47E623BE"/>
    <w:rsid w:val="47EA2147"/>
    <w:rsid w:val="47F64CDE"/>
    <w:rsid w:val="47F92430"/>
    <w:rsid w:val="47F96FE2"/>
    <w:rsid w:val="47FB6455"/>
    <w:rsid w:val="47FC06F6"/>
    <w:rsid w:val="47FC5A7C"/>
    <w:rsid w:val="480144DA"/>
    <w:rsid w:val="48014FD9"/>
    <w:rsid w:val="4804261B"/>
    <w:rsid w:val="480A7EDF"/>
    <w:rsid w:val="480C3F11"/>
    <w:rsid w:val="480F1C53"/>
    <w:rsid w:val="48116838"/>
    <w:rsid w:val="481B05F8"/>
    <w:rsid w:val="48217D2F"/>
    <w:rsid w:val="482C18D6"/>
    <w:rsid w:val="482E20D9"/>
    <w:rsid w:val="4831012F"/>
    <w:rsid w:val="483314F5"/>
    <w:rsid w:val="48337643"/>
    <w:rsid w:val="483E64A8"/>
    <w:rsid w:val="4840038A"/>
    <w:rsid w:val="48482A6B"/>
    <w:rsid w:val="48507027"/>
    <w:rsid w:val="48517B76"/>
    <w:rsid w:val="485350A5"/>
    <w:rsid w:val="485B6C46"/>
    <w:rsid w:val="485C1BAB"/>
    <w:rsid w:val="485D29BF"/>
    <w:rsid w:val="48627FD5"/>
    <w:rsid w:val="4867383D"/>
    <w:rsid w:val="48733F90"/>
    <w:rsid w:val="487B1097"/>
    <w:rsid w:val="487B4BF3"/>
    <w:rsid w:val="488A3088"/>
    <w:rsid w:val="489C49CE"/>
    <w:rsid w:val="48AC1250"/>
    <w:rsid w:val="48B33A52"/>
    <w:rsid w:val="48B55000"/>
    <w:rsid w:val="48BA1BBF"/>
    <w:rsid w:val="48BF2D31"/>
    <w:rsid w:val="48C06AA9"/>
    <w:rsid w:val="48C742DC"/>
    <w:rsid w:val="48C87033"/>
    <w:rsid w:val="48C91E02"/>
    <w:rsid w:val="48CE297D"/>
    <w:rsid w:val="48CF6744"/>
    <w:rsid w:val="48D81613"/>
    <w:rsid w:val="48D9080D"/>
    <w:rsid w:val="48E46C3C"/>
    <w:rsid w:val="48E94164"/>
    <w:rsid w:val="48EA5F1D"/>
    <w:rsid w:val="48EC3D42"/>
    <w:rsid w:val="48EC40CC"/>
    <w:rsid w:val="48EC71F7"/>
    <w:rsid w:val="48EE43F2"/>
    <w:rsid w:val="48F03833"/>
    <w:rsid w:val="48F14EB5"/>
    <w:rsid w:val="48F15CCF"/>
    <w:rsid w:val="48F30756"/>
    <w:rsid w:val="48FD385A"/>
    <w:rsid w:val="490A460A"/>
    <w:rsid w:val="490C51FD"/>
    <w:rsid w:val="491D5B42"/>
    <w:rsid w:val="491E5F31"/>
    <w:rsid w:val="492B486B"/>
    <w:rsid w:val="492D638D"/>
    <w:rsid w:val="492F7855"/>
    <w:rsid w:val="49303C2F"/>
    <w:rsid w:val="49373210"/>
    <w:rsid w:val="493915B4"/>
    <w:rsid w:val="493A5E87"/>
    <w:rsid w:val="493B3321"/>
    <w:rsid w:val="49404E3D"/>
    <w:rsid w:val="49455160"/>
    <w:rsid w:val="494B3609"/>
    <w:rsid w:val="494E2307"/>
    <w:rsid w:val="4950607F"/>
    <w:rsid w:val="4958673A"/>
    <w:rsid w:val="496164DE"/>
    <w:rsid w:val="496436C2"/>
    <w:rsid w:val="49697141"/>
    <w:rsid w:val="496B2EB9"/>
    <w:rsid w:val="496D072A"/>
    <w:rsid w:val="49731300"/>
    <w:rsid w:val="4977360C"/>
    <w:rsid w:val="497C6E74"/>
    <w:rsid w:val="498C5EA9"/>
    <w:rsid w:val="499833AA"/>
    <w:rsid w:val="49997FE4"/>
    <w:rsid w:val="49A07007"/>
    <w:rsid w:val="49A10689"/>
    <w:rsid w:val="49A563CB"/>
    <w:rsid w:val="49A65473"/>
    <w:rsid w:val="49A941EB"/>
    <w:rsid w:val="49AD05AC"/>
    <w:rsid w:val="49AF0FF8"/>
    <w:rsid w:val="49B70B21"/>
    <w:rsid w:val="49BC1967"/>
    <w:rsid w:val="49BC23EF"/>
    <w:rsid w:val="49BF6D61"/>
    <w:rsid w:val="49C03205"/>
    <w:rsid w:val="49C302EC"/>
    <w:rsid w:val="49C64593"/>
    <w:rsid w:val="49CA5E32"/>
    <w:rsid w:val="49CA7BE0"/>
    <w:rsid w:val="49CF3448"/>
    <w:rsid w:val="49D104C6"/>
    <w:rsid w:val="49D339AC"/>
    <w:rsid w:val="49E16C2E"/>
    <w:rsid w:val="49E54A1A"/>
    <w:rsid w:val="49E76045"/>
    <w:rsid w:val="49E92BC2"/>
    <w:rsid w:val="49ED7E45"/>
    <w:rsid w:val="49EF60DA"/>
    <w:rsid w:val="49F67044"/>
    <w:rsid w:val="49FB7CC2"/>
    <w:rsid w:val="49FD5757"/>
    <w:rsid w:val="4A0045CB"/>
    <w:rsid w:val="4A0155CC"/>
    <w:rsid w:val="4A0A430E"/>
    <w:rsid w:val="4A0D5D1E"/>
    <w:rsid w:val="4A1672C9"/>
    <w:rsid w:val="4A190449"/>
    <w:rsid w:val="4A19137E"/>
    <w:rsid w:val="4A1E1CDA"/>
    <w:rsid w:val="4A1E617D"/>
    <w:rsid w:val="4A203CA4"/>
    <w:rsid w:val="4A260D4B"/>
    <w:rsid w:val="4A275032"/>
    <w:rsid w:val="4A3A0FE8"/>
    <w:rsid w:val="4A3E794E"/>
    <w:rsid w:val="4A407FFE"/>
    <w:rsid w:val="4A435BE4"/>
    <w:rsid w:val="4A45001D"/>
    <w:rsid w:val="4A477482"/>
    <w:rsid w:val="4A5B2F2E"/>
    <w:rsid w:val="4A5E7F48"/>
    <w:rsid w:val="4A607D77"/>
    <w:rsid w:val="4A6326F0"/>
    <w:rsid w:val="4A6609C3"/>
    <w:rsid w:val="4A6C59EA"/>
    <w:rsid w:val="4A6F0787"/>
    <w:rsid w:val="4A750DD0"/>
    <w:rsid w:val="4A761B16"/>
    <w:rsid w:val="4A7B537E"/>
    <w:rsid w:val="4A8119DE"/>
    <w:rsid w:val="4A816BF6"/>
    <w:rsid w:val="4A851FE2"/>
    <w:rsid w:val="4A8A7705"/>
    <w:rsid w:val="4A915B36"/>
    <w:rsid w:val="4A926343"/>
    <w:rsid w:val="4A954692"/>
    <w:rsid w:val="4A987CDE"/>
    <w:rsid w:val="4A9B1E46"/>
    <w:rsid w:val="4AA409BB"/>
    <w:rsid w:val="4AA5206A"/>
    <w:rsid w:val="4AAA5C63"/>
    <w:rsid w:val="4AB21186"/>
    <w:rsid w:val="4ABA5EA6"/>
    <w:rsid w:val="4ABB58F0"/>
    <w:rsid w:val="4ABD1B22"/>
    <w:rsid w:val="4ACF60CC"/>
    <w:rsid w:val="4AD35751"/>
    <w:rsid w:val="4AD468AE"/>
    <w:rsid w:val="4ADA6548"/>
    <w:rsid w:val="4AE178D7"/>
    <w:rsid w:val="4AE44CD1"/>
    <w:rsid w:val="4AE747C1"/>
    <w:rsid w:val="4AE82413"/>
    <w:rsid w:val="4AE91D72"/>
    <w:rsid w:val="4AEF38E4"/>
    <w:rsid w:val="4AEF7CB9"/>
    <w:rsid w:val="4AF56EDE"/>
    <w:rsid w:val="4AF60EA8"/>
    <w:rsid w:val="4AFB0F23"/>
    <w:rsid w:val="4AFD1366"/>
    <w:rsid w:val="4AFF792F"/>
    <w:rsid w:val="4B02784D"/>
    <w:rsid w:val="4B0435C5"/>
    <w:rsid w:val="4B053908"/>
    <w:rsid w:val="4B0C61BF"/>
    <w:rsid w:val="4B125CE2"/>
    <w:rsid w:val="4B1F21AD"/>
    <w:rsid w:val="4B2952C4"/>
    <w:rsid w:val="4B2E23F0"/>
    <w:rsid w:val="4B3612A5"/>
    <w:rsid w:val="4B362460"/>
    <w:rsid w:val="4B3F36B0"/>
    <w:rsid w:val="4B3F45FD"/>
    <w:rsid w:val="4B400C48"/>
    <w:rsid w:val="4B4277BB"/>
    <w:rsid w:val="4B432E15"/>
    <w:rsid w:val="4B4734B2"/>
    <w:rsid w:val="4B5C5FAA"/>
    <w:rsid w:val="4B5E0F27"/>
    <w:rsid w:val="4B611731"/>
    <w:rsid w:val="4B640C01"/>
    <w:rsid w:val="4B72052F"/>
    <w:rsid w:val="4B793EB9"/>
    <w:rsid w:val="4B7D0C82"/>
    <w:rsid w:val="4B841097"/>
    <w:rsid w:val="4B864A5F"/>
    <w:rsid w:val="4B8E0948"/>
    <w:rsid w:val="4B992311"/>
    <w:rsid w:val="4BA26746"/>
    <w:rsid w:val="4BA43605"/>
    <w:rsid w:val="4BA66BB3"/>
    <w:rsid w:val="4BAB57EF"/>
    <w:rsid w:val="4BAD1567"/>
    <w:rsid w:val="4BBE2AEB"/>
    <w:rsid w:val="4BBF74EC"/>
    <w:rsid w:val="4BCB75EB"/>
    <w:rsid w:val="4BD028C4"/>
    <w:rsid w:val="4BD4433C"/>
    <w:rsid w:val="4BDC1831"/>
    <w:rsid w:val="4BE05D3B"/>
    <w:rsid w:val="4BE154E9"/>
    <w:rsid w:val="4BE62CCB"/>
    <w:rsid w:val="4BEA41FD"/>
    <w:rsid w:val="4BED6D03"/>
    <w:rsid w:val="4BF0670A"/>
    <w:rsid w:val="4BF13385"/>
    <w:rsid w:val="4BF60993"/>
    <w:rsid w:val="4BF6222F"/>
    <w:rsid w:val="4BFC429C"/>
    <w:rsid w:val="4C0A4C0B"/>
    <w:rsid w:val="4C1527C5"/>
    <w:rsid w:val="4C18651C"/>
    <w:rsid w:val="4C1F5620"/>
    <w:rsid w:val="4C282812"/>
    <w:rsid w:val="4C2D08FA"/>
    <w:rsid w:val="4C2D5106"/>
    <w:rsid w:val="4C2F01CE"/>
    <w:rsid w:val="4C343A36"/>
    <w:rsid w:val="4C35155C"/>
    <w:rsid w:val="4C3A68AE"/>
    <w:rsid w:val="4C497E6E"/>
    <w:rsid w:val="4C4A5008"/>
    <w:rsid w:val="4C561A87"/>
    <w:rsid w:val="4C594500"/>
    <w:rsid w:val="4C5C21C4"/>
    <w:rsid w:val="4C5C2F8D"/>
    <w:rsid w:val="4C5D11DF"/>
    <w:rsid w:val="4C616357"/>
    <w:rsid w:val="4C67500F"/>
    <w:rsid w:val="4C742FDA"/>
    <w:rsid w:val="4C8853C2"/>
    <w:rsid w:val="4C8A3125"/>
    <w:rsid w:val="4C8B1EE4"/>
    <w:rsid w:val="4C8E7373"/>
    <w:rsid w:val="4C8F3363"/>
    <w:rsid w:val="4C9046DD"/>
    <w:rsid w:val="4C9B5863"/>
    <w:rsid w:val="4C9F3A4C"/>
    <w:rsid w:val="4CB30DFF"/>
    <w:rsid w:val="4CB74274"/>
    <w:rsid w:val="4CB85689"/>
    <w:rsid w:val="4CB86415"/>
    <w:rsid w:val="4CBE2D6A"/>
    <w:rsid w:val="4CC63A4B"/>
    <w:rsid w:val="4CC81333"/>
    <w:rsid w:val="4CC92202"/>
    <w:rsid w:val="4CCA4576"/>
    <w:rsid w:val="4CCA5655"/>
    <w:rsid w:val="4CD77BB3"/>
    <w:rsid w:val="4CDE5D7E"/>
    <w:rsid w:val="4CDE7960"/>
    <w:rsid w:val="4CEA0599"/>
    <w:rsid w:val="4CEC7A64"/>
    <w:rsid w:val="4CF5242E"/>
    <w:rsid w:val="4CF569C8"/>
    <w:rsid w:val="4CF60CEC"/>
    <w:rsid w:val="4CFB09F8"/>
    <w:rsid w:val="4CFF4044"/>
    <w:rsid w:val="4CFF6B5B"/>
    <w:rsid w:val="4D0A1810"/>
    <w:rsid w:val="4D0A3706"/>
    <w:rsid w:val="4D0F059F"/>
    <w:rsid w:val="4D1B69A4"/>
    <w:rsid w:val="4D1E1728"/>
    <w:rsid w:val="4D1F6804"/>
    <w:rsid w:val="4D252975"/>
    <w:rsid w:val="4D2770F7"/>
    <w:rsid w:val="4D2E6AE0"/>
    <w:rsid w:val="4D34761C"/>
    <w:rsid w:val="4D5325E2"/>
    <w:rsid w:val="4D536117"/>
    <w:rsid w:val="4D53613E"/>
    <w:rsid w:val="4D5657A3"/>
    <w:rsid w:val="4D573E80"/>
    <w:rsid w:val="4D5B3250"/>
    <w:rsid w:val="4D720058"/>
    <w:rsid w:val="4D7215A8"/>
    <w:rsid w:val="4D765CAE"/>
    <w:rsid w:val="4D770AC3"/>
    <w:rsid w:val="4D784C61"/>
    <w:rsid w:val="4D79113C"/>
    <w:rsid w:val="4D7A4E0D"/>
    <w:rsid w:val="4D7B6D5F"/>
    <w:rsid w:val="4D7D194A"/>
    <w:rsid w:val="4D7E765F"/>
    <w:rsid w:val="4D7F5185"/>
    <w:rsid w:val="4D8330FD"/>
    <w:rsid w:val="4D8B58D8"/>
    <w:rsid w:val="4D8D78A2"/>
    <w:rsid w:val="4D8F614E"/>
    <w:rsid w:val="4D987FF5"/>
    <w:rsid w:val="4D9A4ACC"/>
    <w:rsid w:val="4D9A7089"/>
    <w:rsid w:val="4DA65614"/>
    <w:rsid w:val="4DAA3E85"/>
    <w:rsid w:val="4DB36BDD"/>
    <w:rsid w:val="4DBB2F63"/>
    <w:rsid w:val="4DBC6F01"/>
    <w:rsid w:val="4DBD5EE2"/>
    <w:rsid w:val="4DBD6446"/>
    <w:rsid w:val="4DBE68BB"/>
    <w:rsid w:val="4DC332C4"/>
    <w:rsid w:val="4DC7118D"/>
    <w:rsid w:val="4DCC1EF1"/>
    <w:rsid w:val="4DD454D1"/>
    <w:rsid w:val="4DDB4ED1"/>
    <w:rsid w:val="4DE02888"/>
    <w:rsid w:val="4DE53D67"/>
    <w:rsid w:val="4DE90850"/>
    <w:rsid w:val="4DE96862"/>
    <w:rsid w:val="4DEB15BA"/>
    <w:rsid w:val="4DEC260A"/>
    <w:rsid w:val="4DF13C53"/>
    <w:rsid w:val="4DF23BA9"/>
    <w:rsid w:val="4DF7368F"/>
    <w:rsid w:val="4DF7375A"/>
    <w:rsid w:val="4E037EC3"/>
    <w:rsid w:val="4E0452F6"/>
    <w:rsid w:val="4E1213FF"/>
    <w:rsid w:val="4E151983"/>
    <w:rsid w:val="4E1C5480"/>
    <w:rsid w:val="4E1F4EB6"/>
    <w:rsid w:val="4E223347"/>
    <w:rsid w:val="4E235B10"/>
    <w:rsid w:val="4E287DAD"/>
    <w:rsid w:val="4E2A50F1"/>
    <w:rsid w:val="4E31591A"/>
    <w:rsid w:val="4E35781A"/>
    <w:rsid w:val="4E385522"/>
    <w:rsid w:val="4E396368"/>
    <w:rsid w:val="4E4168DE"/>
    <w:rsid w:val="4E4A7BCF"/>
    <w:rsid w:val="4E54712C"/>
    <w:rsid w:val="4E606D65"/>
    <w:rsid w:val="4E683E6B"/>
    <w:rsid w:val="4E685894"/>
    <w:rsid w:val="4E7A3016"/>
    <w:rsid w:val="4E7B3B9E"/>
    <w:rsid w:val="4E8A5B90"/>
    <w:rsid w:val="4E943B74"/>
    <w:rsid w:val="4E9514C2"/>
    <w:rsid w:val="4E9D7BB0"/>
    <w:rsid w:val="4E9F52F3"/>
    <w:rsid w:val="4E9F6CDA"/>
    <w:rsid w:val="4EA12ED9"/>
    <w:rsid w:val="4EA65FA5"/>
    <w:rsid w:val="4EAA2AF5"/>
    <w:rsid w:val="4EAA6232"/>
    <w:rsid w:val="4EAD4A8B"/>
    <w:rsid w:val="4EB653D7"/>
    <w:rsid w:val="4EB90223"/>
    <w:rsid w:val="4EB97C9C"/>
    <w:rsid w:val="4EC05A5D"/>
    <w:rsid w:val="4EC33AFC"/>
    <w:rsid w:val="4EC372F3"/>
    <w:rsid w:val="4EC7378F"/>
    <w:rsid w:val="4ECD1F20"/>
    <w:rsid w:val="4ECE001C"/>
    <w:rsid w:val="4ECF54AB"/>
    <w:rsid w:val="4ED11A10"/>
    <w:rsid w:val="4ED92673"/>
    <w:rsid w:val="4EDE4C8A"/>
    <w:rsid w:val="4EE00EC5"/>
    <w:rsid w:val="4EF74E7E"/>
    <w:rsid w:val="4EF851EF"/>
    <w:rsid w:val="4EFA0F67"/>
    <w:rsid w:val="4F0065C6"/>
    <w:rsid w:val="4F0E67C1"/>
    <w:rsid w:val="4F1157D8"/>
    <w:rsid w:val="4F1B20E2"/>
    <w:rsid w:val="4F247867"/>
    <w:rsid w:val="4F275AD4"/>
    <w:rsid w:val="4F2B5646"/>
    <w:rsid w:val="4F356E50"/>
    <w:rsid w:val="4F363A2B"/>
    <w:rsid w:val="4F4626F3"/>
    <w:rsid w:val="4F4B17C3"/>
    <w:rsid w:val="4F4E3061"/>
    <w:rsid w:val="4F562E5E"/>
    <w:rsid w:val="4F586999"/>
    <w:rsid w:val="4F5D14F6"/>
    <w:rsid w:val="4F5D32A4"/>
    <w:rsid w:val="4F6102D1"/>
    <w:rsid w:val="4F665099"/>
    <w:rsid w:val="4F786A15"/>
    <w:rsid w:val="4F7C239F"/>
    <w:rsid w:val="4F8115BD"/>
    <w:rsid w:val="4F813436"/>
    <w:rsid w:val="4F8D7575"/>
    <w:rsid w:val="4F974A08"/>
    <w:rsid w:val="4F980780"/>
    <w:rsid w:val="4F9C4764"/>
    <w:rsid w:val="4FA00D06"/>
    <w:rsid w:val="4FA91400"/>
    <w:rsid w:val="4FAB09B6"/>
    <w:rsid w:val="4FAB2261"/>
    <w:rsid w:val="4FAE6A0C"/>
    <w:rsid w:val="4FB159EC"/>
    <w:rsid w:val="4FB23A3B"/>
    <w:rsid w:val="4FB57E74"/>
    <w:rsid w:val="4FBB7878"/>
    <w:rsid w:val="4FBC621D"/>
    <w:rsid w:val="4FBD09B0"/>
    <w:rsid w:val="4FBD1088"/>
    <w:rsid w:val="4FBD4BBB"/>
    <w:rsid w:val="4FBF7ABB"/>
    <w:rsid w:val="4FC652ED"/>
    <w:rsid w:val="4FCB6460"/>
    <w:rsid w:val="4FD16062"/>
    <w:rsid w:val="4FD5108C"/>
    <w:rsid w:val="4FD77DC0"/>
    <w:rsid w:val="4FE11744"/>
    <w:rsid w:val="4FE17A31"/>
    <w:rsid w:val="4FE22A38"/>
    <w:rsid w:val="4FE439C5"/>
    <w:rsid w:val="4FE77CEF"/>
    <w:rsid w:val="4FF17B27"/>
    <w:rsid w:val="4FF57980"/>
    <w:rsid w:val="4FFC645A"/>
    <w:rsid w:val="4FFF435B"/>
    <w:rsid w:val="50041972"/>
    <w:rsid w:val="50046123"/>
    <w:rsid w:val="50050846"/>
    <w:rsid w:val="500C0B37"/>
    <w:rsid w:val="500F2E98"/>
    <w:rsid w:val="50112786"/>
    <w:rsid w:val="502412EE"/>
    <w:rsid w:val="502845FF"/>
    <w:rsid w:val="502E571C"/>
    <w:rsid w:val="50304F7E"/>
    <w:rsid w:val="50462262"/>
    <w:rsid w:val="504F4A7B"/>
    <w:rsid w:val="50500713"/>
    <w:rsid w:val="505B3C87"/>
    <w:rsid w:val="5060129E"/>
    <w:rsid w:val="50645117"/>
    <w:rsid w:val="5066033B"/>
    <w:rsid w:val="50663C75"/>
    <w:rsid w:val="506D5769"/>
    <w:rsid w:val="50764D94"/>
    <w:rsid w:val="507F0E7D"/>
    <w:rsid w:val="50817100"/>
    <w:rsid w:val="50845B41"/>
    <w:rsid w:val="50852AB2"/>
    <w:rsid w:val="508E078E"/>
    <w:rsid w:val="509168AF"/>
    <w:rsid w:val="509349BC"/>
    <w:rsid w:val="509C5AF8"/>
    <w:rsid w:val="509C604E"/>
    <w:rsid w:val="50A069B5"/>
    <w:rsid w:val="50A8223C"/>
    <w:rsid w:val="50A96514"/>
    <w:rsid w:val="50AA076B"/>
    <w:rsid w:val="50AA2519"/>
    <w:rsid w:val="50AC5050"/>
    <w:rsid w:val="50AD2009"/>
    <w:rsid w:val="50AF7B2F"/>
    <w:rsid w:val="50B109A1"/>
    <w:rsid w:val="50B41422"/>
    <w:rsid w:val="50C07F8E"/>
    <w:rsid w:val="50C21B20"/>
    <w:rsid w:val="50C36206"/>
    <w:rsid w:val="50C52BEE"/>
    <w:rsid w:val="50C57353"/>
    <w:rsid w:val="50C90D77"/>
    <w:rsid w:val="50D94BAC"/>
    <w:rsid w:val="50ED7F4D"/>
    <w:rsid w:val="50F11EF6"/>
    <w:rsid w:val="50F145FC"/>
    <w:rsid w:val="50FA0581"/>
    <w:rsid w:val="50FA5805"/>
    <w:rsid w:val="50FA6E95"/>
    <w:rsid w:val="50FB0CEF"/>
    <w:rsid w:val="50FB33AC"/>
    <w:rsid w:val="50FD015E"/>
    <w:rsid w:val="511E7880"/>
    <w:rsid w:val="511F2F07"/>
    <w:rsid w:val="512027DB"/>
    <w:rsid w:val="514211CD"/>
    <w:rsid w:val="51451D9E"/>
    <w:rsid w:val="51452242"/>
    <w:rsid w:val="51543BA9"/>
    <w:rsid w:val="51566BAA"/>
    <w:rsid w:val="515A24AA"/>
    <w:rsid w:val="515E50B1"/>
    <w:rsid w:val="51677198"/>
    <w:rsid w:val="51696C3D"/>
    <w:rsid w:val="516B2E85"/>
    <w:rsid w:val="517111FF"/>
    <w:rsid w:val="51713037"/>
    <w:rsid w:val="51722E6E"/>
    <w:rsid w:val="517374E0"/>
    <w:rsid w:val="51750350"/>
    <w:rsid w:val="51793207"/>
    <w:rsid w:val="51827E68"/>
    <w:rsid w:val="51937451"/>
    <w:rsid w:val="51955B7D"/>
    <w:rsid w:val="519568F3"/>
    <w:rsid w:val="51986815"/>
    <w:rsid w:val="51993FF5"/>
    <w:rsid w:val="519F3032"/>
    <w:rsid w:val="51AB4B91"/>
    <w:rsid w:val="51B01DB1"/>
    <w:rsid w:val="51B178D7"/>
    <w:rsid w:val="51BA1DFF"/>
    <w:rsid w:val="51BC2848"/>
    <w:rsid w:val="51BF3DA2"/>
    <w:rsid w:val="51C3412D"/>
    <w:rsid w:val="51CC4711"/>
    <w:rsid w:val="51CF3F45"/>
    <w:rsid w:val="51D07D5D"/>
    <w:rsid w:val="51DA01C5"/>
    <w:rsid w:val="51DB6FFE"/>
    <w:rsid w:val="51E152DC"/>
    <w:rsid w:val="51E406C2"/>
    <w:rsid w:val="51E47232"/>
    <w:rsid w:val="51E63A25"/>
    <w:rsid w:val="51ED15F6"/>
    <w:rsid w:val="51F83758"/>
    <w:rsid w:val="51F9337C"/>
    <w:rsid w:val="51FC1391"/>
    <w:rsid w:val="51FD48CA"/>
    <w:rsid w:val="52015F60"/>
    <w:rsid w:val="520370FC"/>
    <w:rsid w:val="52081B54"/>
    <w:rsid w:val="520C4C6B"/>
    <w:rsid w:val="52146746"/>
    <w:rsid w:val="5226558C"/>
    <w:rsid w:val="522E2CD6"/>
    <w:rsid w:val="523061C0"/>
    <w:rsid w:val="523233FB"/>
    <w:rsid w:val="52326C6A"/>
    <w:rsid w:val="523302EC"/>
    <w:rsid w:val="523F6E00"/>
    <w:rsid w:val="52462A72"/>
    <w:rsid w:val="524D78D0"/>
    <w:rsid w:val="525077B8"/>
    <w:rsid w:val="52687C58"/>
    <w:rsid w:val="526A78D5"/>
    <w:rsid w:val="527B5EF3"/>
    <w:rsid w:val="527E5EBE"/>
    <w:rsid w:val="5288688A"/>
    <w:rsid w:val="529B480F"/>
    <w:rsid w:val="52AB0D5A"/>
    <w:rsid w:val="52AD3580"/>
    <w:rsid w:val="52B04B3F"/>
    <w:rsid w:val="52B46657"/>
    <w:rsid w:val="52B61649"/>
    <w:rsid w:val="52BA3273"/>
    <w:rsid w:val="52BA5BDE"/>
    <w:rsid w:val="52BB0A0D"/>
    <w:rsid w:val="52BB31BE"/>
    <w:rsid w:val="52BC4786"/>
    <w:rsid w:val="52CD60C9"/>
    <w:rsid w:val="52D25F4F"/>
    <w:rsid w:val="52D816BB"/>
    <w:rsid w:val="52D834A1"/>
    <w:rsid w:val="52D86965"/>
    <w:rsid w:val="52D90E94"/>
    <w:rsid w:val="52E066C6"/>
    <w:rsid w:val="52E87329"/>
    <w:rsid w:val="52E873D0"/>
    <w:rsid w:val="52FA31DE"/>
    <w:rsid w:val="52FC4B82"/>
    <w:rsid w:val="52FE1B35"/>
    <w:rsid w:val="52FE6B4C"/>
    <w:rsid w:val="53111940"/>
    <w:rsid w:val="531776E2"/>
    <w:rsid w:val="531C1D5C"/>
    <w:rsid w:val="53207C88"/>
    <w:rsid w:val="5326161A"/>
    <w:rsid w:val="53263C79"/>
    <w:rsid w:val="53275D9B"/>
    <w:rsid w:val="533D4C44"/>
    <w:rsid w:val="533F3014"/>
    <w:rsid w:val="534810C4"/>
    <w:rsid w:val="534869C7"/>
    <w:rsid w:val="535078F5"/>
    <w:rsid w:val="53586AA4"/>
    <w:rsid w:val="535C6B19"/>
    <w:rsid w:val="536F35A6"/>
    <w:rsid w:val="537138C7"/>
    <w:rsid w:val="53761013"/>
    <w:rsid w:val="537B5AAA"/>
    <w:rsid w:val="537E4ACA"/>
    <w:rsid w:val="537F629B"/>
    <w:rsid w:val="53822C25"/>
    <w:rsid w:val="5385053F"/>
    <w:rsid w:val="53861605"/>
    <w:rsid w:val="538C4314"/>
    <w:rsid w:val="53933738"/>
    <w:rsid w:val="53976292"/>
    <w:rsid w:val="539F050B"/>
    <w:rsid w:val="539F4F04"/>
    <w:rsid w:val="53A150D9"/>
    <w:rsid w:val="53A21BCD"/>
    <w:rsid w:val="53A92F5C"/>
    <w:rsid w:val="53AF7E46"/>
    <w:rsid w:val="53B645B0"/>
    <w:rsid w:val="53BB6616"/>
    <w:rsid w:val="53BC6E3E"/>
    <w:rsid w:val="53C03E02"/>
    <w:rsid w:val="53C27B7A"/>
    <w:rsid w:val="53C30DAF"/>
    <w:rsid w:val="53C50E71"/>
    <w:rsid w:val="53C743DD"/>
    <w:rsid w:val="53CA4C80"/>
    <w:rsid w:val="53CC6C4A"/>
    <w:rsid w:val="53D578AD"/>
    <w:rsid w:val="53D76D2B"/>
    <w:rsid w:val="53F4213D"/>
    <w:rsid w:val="53F71F19"/>
    <w:rsid w:val="53FB0B46"/>
    <w:rsid w:val="540A3A96"/>
    <w:rsid w:val="5415239F"/>
    <w:rsid w:val="541C48A5"/>
    <w:rsid w:val="542E16B3"/>
    <w:rsid w:val="54375B73"/>
    <w:rsid w:val="54411FA2"/>
    <w:rsid w:val="54466335"/>
    <w:rsid w:val="54484523"/>
    <w:rsid w:val="546213C7"/>
    <w:rsid w:val="5483293F"/>
    <w:rsid w:val="5496746D"/>
    <w:rsid w:val="549F610D"/>
    <w:rsid w:val="54AE41A3"/>
    <w:rsid w:val="54AF522D"/>
    <w:rsid w:val="54B42CDF"/>
    <w:rsid w:val="54B716A8"/>
    <w:rsid w:val="54C55B73"/>
    <w:rsid w:val="54CB7CD3"/>
    <w:rsid w:val="54CF345E"/>
    <w:rsid w:val="54D2203E"/>
    <w:rsid w:val="54DD36E3"/>
    <w:rsid w:val="54DE7E84"/>
    <w:rsid w:val="54E51D72"/>
    <w:rsid w:val="54E66A4D"/>
    <w:rsid w:val="54E77313"/>
    <w:rsid w:val="54E824C4"/>
    <w:rsid w:val="54EA03CE"/>
    <w:rsid w:val="54EB3100"/>
    <w:rsid w:val="54FA797C"/>
    <w:rsid w:val="55017C9A"/>
    <w:rsid w:val="55021383"/>
    <w:rsid w:val="550815AD"/>
    <w:rsid w:val="55083E20"/>
    <w:rsid w:val="550B6A5E"/>
    <w:rsid w:val="55160A03"/>
    <w:rsid w:val="55172B07"/>
    <w:rsid w:val="551F7930"/>
    <w:rsid w:val="5523460A"/>
    <w:rsid w:val="55236D3E"/>
    <w:rsid w:val="55274B8B"/>
    <w:rsid w:val="552A24B9"/>
    <w:rsid w:val="552A2DFC"/>
    <w:rsid w:val="553920BD"/>
    <w:rsid w:val="553A5BDD"/>
    <w:rsid w:val="553C1510"/>
    <w:rsid w:val="553D7BAB"/>
    <w:rsid w:val="553E34B3"/>
    <w:rsid w:val="554538AF"/>
    <w:rsid w:val="55484B22"/>
    <w:rsid w:val="55490415"/>
    <w:rsid w:val="554C1057"/>
    <w:rsid w:val="55547B4D"/>
    <w:rsid w:val="55564A1D"/>
    <w:rsid w:val="555C7B5A"/>
    <w:rsid w:val="55653051"/>
    <w:rsid w:val="55674E7D"/>
    <w:rsid w:val="556A7BF9"/>
    <w:rsid w:val="55787B0F"/>
    <w:rsid w:val="557E721F"/>
    <w:rsid w:val="55872E29"/>
    <w:rsid w:val="558F2D83"/>
    <w:rsid w:val="559973BE"/>
    <w:rsid w:val="559E2882"/>
    <w:rsid w:val="55A25378"/>
    <w:rsid w:val="55A27C63"/>
    <w:rsid w:val="55AA1478"/>
    <w:rsid w:val="55B31E70"/>
    <w:rsid w:val="55B82787"/>
    <w:rsid w:val="55B900D0"/>
    <w:rsid w:val="55BB0D24"/>
    <w:rsid w:val="55BB3F38"/>
    <w:rsid w:val="55C025A8"/>
    <w:rsid w:val="55C0458D"/>
    <w:rsid w:val="55C27729"/>
    <w:rsid w:val="55CC4CE0"/>
    <w:rsid w:val="55CE0A58"/>
    <w:rsid w:val="55DB4F23"/>
    <w:rsid w:val="55E03708"/>
    <w:rsid w:val="55E65FDC"/>
    <w:rsid w:val="55F174E6"/>
    <w:rsid w:val="55F21B08"/>
    <w:rsid w:val="56091A90"/>
    <w:rsid w:val="560E6B90"/>
    <w:rsid w:val="56114DE8"/>
    <w:rsid w:val="562B40FC"/>
    <w:rsid w:val="56347138"/>
    <w:rsid w:val="563A5842"/>
    <w:rsid w:val="563E11C8"/>
    <w:rsid w:val="563F0EE4"/>
    <w:rsid w:val="563F54B2"/>
    <w:rsid w:val="564330AF"/>
    <w:rsid w:val="564B20A8"/>
    <w:rsid w:val="56503B63"/>
    <w:rsid w:val="56676126"/>
    <w:rsid w:val="566D4782"/>
    <w:rsid w:val="567048C3"/>
    <w:rsid w:val="56737851"/>
    <w:rsid w:val="56773959"/>
    <w:rsid w:val="56783B41"/>
    <w:rsid w:val="567A7A0A"/>
    <w:rsid w:val="567E247E"/>
    <w:rsid w:val="56804250"/>
    <w:rsid w:val="569C6DA8"/>
    <w:rsid w:val="569D48C4"/>
    <w:rsid w:val="569F23F4"/>
    <w:rsid w:val="56A570FE"/>
    <w:rsid w:val="56AA39DF"/>
    <w:rsid w:val="56B167A5"/>
    <w:rsid w:val="56B22127"/>
    <w:rsid w:val="56B57101"/>
    <w:rsid w:val="56B64591"/>
    <w:rsid w:val="56B97322"/>
    <w:rsid w:val="56C55F1E"/>
    <w:rsid w:val="56CD0598"/>
    <w:rsid w:val="56D20E7B"/>
    <w:rsid w:val="56D26FEF"/>
    <w:rsid w:val="56D40104"/>
    <w:rsid w:val="56D504FC"/>
    <w:rsid w:val="56DF58C0"/>
    <w:rsid w:val="56E74337"/>
    <w:rsid w:val="56E9366F"/>
    <w:rsid w:val="56F13B6C"/>
    <w:rsid w:val="56F24197"/>
    <w:rsid w:val="56F72230"/>
    <w:rsid w:val="56FC7846"/>
    <w:rsid w:val="56FE711B"/>
    <w:rsid w:val="57013134"/>
    <w:rsid w:val="570255EE"/>
    <w:rsid w:val="57047E91"/>
    <w:rsid w:val="570D3802"/>
    <w:rsid w:val="57160E80"/>
    <w:rsid w:val="571903F8"/>
    <w:rsid w:val="57280E28"/>
    <w:rsid w:val="573A44C2"/>
    <w:rsid w:val="57492E02"/>
    <w:rsid w:val="574A6804"/>
    <w:rsid w:val="575136EE"/>
    <w:rsid w:val="57541992"/>
    <w:rsid w:val="5759180F"/>
    <w:rsid w:val="575D64F8"/>
    <w:rsid w:val="57671164"/>
    <w:rsid w:val="576E7A69"/>
    <w:rsid w:val="57711101"/>
    <w:rsid w:val="57734909"/>
    <w:rsid w:val="577C44E3"/>
    <w:rsid w:val="5780605D"/>
    <w:rsid w:val="57840BFE"/>
    <w:rsid w:val="5784697D"/>
    <w:rsid w:val="57874BC1"/>
    <w:rsid w:val="57895DA7"/>
    <w:rsid w:val="578A487E"/>
    <w:rsid w:val="57A53A3A"/>
    <w:rsid w:val="57A8352A"/>
    <w:rsid w:val="57AD449F"/>
    <w:rsid w:val="57D24312"/>
    <w:rsid w:val="57D4682F"/>
    <w:rsid w:val="57DF040E"/>
    <w:rsid w:val="57E04A72"/>
    <w:rsid w:val="57E521BA"/>
    <w:rsid w:val="57EB2F39"/>
    <w:rsid w:val="57EB5809"/>
    <w:rsid w:val="57F45209"/>
    <w:rsid w:val="57F675D1"/>
    <w:rsid w:val="57FF139C"/>
    <w:rsid w:val="57FF1CF3"/>
    <w:rsid w:val="58005114"/>
    <w:rsid w:val="58030761"/>
    <w:rsid w:val="580469B3"/>
    <w:rsid w:val="58092ACC"/>
    <w:rsid w:val="58136982"/>
    <w:rsid w:val="581B3CFC"/>
    <w:rsid w:val="581D6813"/>
    <w:rsid w:val="58226D2A"/>
    <w:rsid w:val="582316B5"/>
    <w:rsid w:val="582368E1"/>
    <w:rsid w:val="58253C3E"/>
    <w:rsid w:val="58294CBE"/>
    <w:rsid w:val="582D4846"/>
    <w:rsid w:val="58346D28"/>
    <w:rsid w:val="5838762D"/>
    <w:rsid w:val="583B12A8"/>
    <w:rsid w:val="58411733"/>
    <w:rsid w:val="584414A5"/>
    <w:rsid w:val="584944DE"/>
    <w:rsid w:val="58513CB5"/>
    <w:rsid w:val="585766E9"/>
    <w:rsid w:val="585A65D3"/>
    <w:rsid w:val="585D2255"/>
    <w:rsid w:val="585D4315"/>
    <w:rsid w:val="58613E05"/>
    <w:rsid w:val="58625BCC"/>
    <w:rsid w:val="58663BE5"/>
    <w:rsid w:val="5868282C"/>
    <w:rsid w:val="586B764B"/>
    <w:rsid w:val="587E182B"/>
    <w:rsid w:val="5882708A"/>
    <w:rsid w:val="588C69A8"/>
    <w:rsid w:val="58900246"/>
    <w:rsid w:val="5898359F"/>
    <w:rsid w:val="589A10C5"/>
    <w:rsid w:val="58AB7214"/>
    <w:rsid w:val="58AD02DF"/>
    <w:rsid w:val="58B17390"/>
    <w:rsid w:val="58B57CAD"/>
    <w:rsid w:val="58B909C7"/>
    <w:rsid w:val="58BB2E28"/>
    <w:rsid w:val="58BF6D7E"/>
    <w:rsid w:val="58BF7AF2"/>
    <w:rsid w:val="58C817A8"/>
    <w:rsid w:val="58C8591B"/>
    <w:rsid w:val="58CE6FC1"/>
    <w:rsid w:val="58D663CC"/>
    <w:rsid w:val="58DE20A4"/>
    <w:rsid w:val="58DF354B"/>
    <w:rsid w:val="58EF7663"/>
    <w:rsid w:val="58F00CE5"/>
    <w:rsid w:val="58F509F1"/>
    <w:rsid w:val="58FA005E"/>
    <w:rsid w:val="58FA7DB6"/>
    <w:rsid w:val="58FB4971"/>
    <w:rsid w:val="590039E6"/>
    <w:rsid w:val="590315FB"/>
    <w:rsid w:val="59103135"/>
    <w:rsid w:val="59103CDB"/>
    <w:rsid w:val="591231C6"/>
    <w:rsid w:val="59190C7F"/>
    <w:rsid w:val="591F15CA"/>
    <w:rsid w:val="59223548"/>
    <w:rsid w:val="592554A0"/>
    <w:rsid w:val="593244F7"/>
    <w:rsid w:val="593439E9"/>
    <w:rsid w:val="59345076"/>
    <w:rsid w:val="593E7CA2"/>
    <w:rsid w:val="59402C3A"/>
    <w:rsid w:val="594149BA"/>
    <w:rsid w:val="5947124D"/>
    <w:rsid w:val="594A1371"/>
    <w:rsid w:val="595125BE"/>
    <w:rsid w:val="596040BD"/>
    <w:rsid w:val="59607878"/>
    <w:rsid w:val="59611BE3"/>
    <w:rsid w:val="596A13DB"/>
    <w:rsid w:val="596A685A"/>
    <w:rsid w:val="596B480F"/>
    <w:rsid w:val="596D0A4F"/>
    <w:rsid w:val="597B59E0"/>
    <w:rsid w:val="597E7CD2"/>
    <w:rsid w:val="598730EE"/>
    <w:rsid w:val="598D6AC3"/>
    <w:rsid w:val="59910483"/>
    <w:rsid w:val="599B0EFC"/>
    <w:rsid w:val="599B6EA3"/>
    <w:rsid w:val="59A07700"/>
    <w:rsid w:val="59A41DA7"/>
    <w:rsid w:val="59B03041"/>
    <w:rsid w:val="59B60D7B"/>
    <w:rsid w:val="59B65BAF"/>
    <w:rsid w:val="59B86896"/>
    <w:rsid w:val="59BA6CB3"/>
    <w:rsid w:val="59BB12F3"/>
    <w:rsid w:val="59BD3A9E"/>
    <w:rsid w:val="59C25EAF"/>
    <w:rsid w:val="59C26B25"/>
    <w:rsid w:val="59C469A8"/>
    <w:rsid w:val="59CD1026"/>
    <w:rsid w:val="59D67CEC"/>
    <w:rsid w:val="59DA6D1C"/>
    <w:rsid w:val="59E036D4"/>
    <w:rsid w:val="59E06FAB"/>
    <w:rsid w:val="59E07580"/>
    <w:rsid w:val="59E10BC6"/>
    <w:rsid w:val="59E30A31"/>
    <w:rsid w:val="59E54492"/>
    <w:rsid w:val="59E5617B"/>
    <w:rsid w:val="59EA607C"/>
    <w:rsid w:val="59EF06CC"/>
    <w:rsid w:val="59F51CFC"/>
    <w:rsid w:val="5A06315C"/>
    <w:rsid w:val="5A0709DC"/>
    <w:rsid w:val="5A1E1882"/>
    <w:rsid w:val="5A1F0F30"/>
    <w:rsid w:val="5A290775"/>
    <w:rsid w:val="5A2908F2"/>
    <w:rsid w:val="5A2E64FD"/>
    <w:rsid w:val="5A32309C"/>
    <w:rsid w:val="5A33357F"/>
    <w:rsid w:val="5A3643B2"/>
    <w:rsid w:val="5A484022"/>
    <w:rsid w:val="5A487EB0"/>
    <w:rsid w:val="5A4F7C8D"/>
    <w:rsid w:val="5A557999"/>
    <w:rsid w:val="5A56726E"/>
    <w:rsid w:val="5A5F25C6"/>
    <w:rsid w:val="5A614E09"/>
    <w:rsid w:val="5A63069A"/>
    <w:rsid w:val="5A6574B1"/>
    <w:rsid w:val="5A6D4478"/>
    <w:rsid w:val="5A897643"/>
    <w:rsid w:val="5A8C2C8F"/>
    <w:rsid w:val="5A915ACF"/>
    <w:rsid w:val="5A9164F8"/>
    <w:rsid w:val="5A9234A3"/>
    <w:rsid w:val="5AA131CC"/>
    <w:rsid w:val="5AA601F5"/>
    <w:rsid w:val="5AA8188C"/>
    <w:rsid w:val="5AA91877"/>
    <w:rsid w:val="5ABB5323"/>
    <w:rsid w:val="5AC44642"/>
    <w:rsid w:val="5AC92D10"/>
    <w:rsid w:val="5ACB0984"/>
    <w:rsid w:val="5ACB4289"/>
    <w:rsid w:val="5ACB74F1"/>
    <w:rsid w:val="5ACC3540"/>
    <w:rsid w:val="5ACC583F"/>
    <w:rsid w:val="5ACF7EA7"/>
    <w:rsid w:val="5AD67599"/>
    <w:rsid w:val="5AD924D5"/>
    <w:rsid w:val="5ADA39FB"/>
    <w:rsid w:val="5AE34FA5"/>
    <w:rsid w:val="5AE8436A"/>
    <w:rsid w:val="5AE919DD"/>
    <w:rsid w:val="5AF2343A"/>
    <w:rsid w:val="5B01542B"/>
    <w:rsid w:val="5B056A50"/>
    <w:rsid w:val="5B0A5CED"/>
    <w:rsid w:val="5B0B44FC"/>
    <w:rsid w:val="5B0D0525"/>
    <w:rsid w:val="5B0D2022"/>
    <w:rsid w:val="5B0E47D7"/>
    <w:rsid w:val="5B17446F"/>
    <w:rsid w:val="5B182775"/>
    <w:rsid w:val="5B1F1D55"/>
    <w:rsid w:val="5B2024B3"/>
    <w:rsid w:val="5B242EC8"/>
    <w:rsid w:val="5B2D369A"/>
    <w:rsid w:val="5B2E1C8E"/>
    <w:rsid w:val="5B321A89"/>
    <w:rsid w:val="5B386773"/>
    <w:rsid w:val="5B3A6B8F"/>
    <w:rsid w:val="5B3F2FF0"/>
    <w:rsid w:val="5B4578E7"/>
    <w:rsid w:val="5B5A5CD8"/>
    <w:rsid w:val="5B69661C"/>
    <w:rsid w:val="5B6C0858"/>
    <w:rsid w:val="5B6E783F"/>
    <w:rsid w:val="5B797F42"/>
    <w:rsid w:val="5B7C04A8"/>
    <w:rsid w:val="5B8337E5"/>
    <w:rsid w:val="5B855579"/>
    <w:rsid w:val="5B867AC2"/>
    <w:rsid w:val="5B8743CF"/>
    <w:rsid w:val="5B8837FD"/>
    <w:rsid w:val="5B8D4F11"/>
    <w:rsid w:val="5B8F6EDB"/>
    <w:rsid w:val="5B90523D"/>
    <w:rsid w:val="5B9E4722"/>
    <w:rsid w:val="5BA26C0E"/>
    <w:rsid w:val="5BA81D4B"/>
    <w:rsid w:val="5BAB6D76"/>
    <w:rsid w:val="5BC03DE2"/>
    <w:rsid w:val="5BCA73D9"/>
    <w:rsid w:val="5BD97C6B"/>
    <w:rsid w:val="5BE070DC"/>
    <w:rsid w:val="5BE7170C"/>
    <w:rsid w:val="5BEC5D3A"/>
    <w:rsid w:val="5BEF41F8"/>
    <w:rsid w:val="5BF64864"/>
    <w:rsid w:val="5BFF7E6A"/>
    <w:rsid w:val="5C04435B"/>
    <w:rsid w:val="5C052CF9"/>
    <w:rsid w:val="5C142F3C"/>
    <w:rsid w:val="5C186CD5"/>
    <w:rsid w:val="5C1A6677"/>
    <w:rsid w:val="5C1C5927"/>
    <w:rsid w:val="5C1F25FB"/>
    <w:rsid w:val="5C261656"/>
    <w:rsid w:val="5C270EC2"/>
    <w:rsid w:val="5C2C2344"/>
    <w:rsid w:val="5C307FE1"/>
    <w:rsid w:val="5C321615"/>
    <w:rsid w:val="5C3B671B"/>
    <w:rsid w:val="5C3D172A"/>
    <w:rsid w:val="5C4004DF"/>
    <w:rsid w:val="5C43235A"/>
    <w:rsid w:val="5C481C4C"/>
    <w:rsid w:val="5C4F21B0"/>
    <w:rsid w:val="5C51136D"/>
    <w:rsid w:val="5C530162"/>
    <w:rsid w:val="5C550F13"/>
    <w:rsid w:val="5C552A3C"/>
    <w:rsid w:val="5C556EA6"/>
    <w:rsid w:val="5C58107B"/>
    <w:rsid w:val="5C5B500F"/>
    <w:rsid w:val="5C650FB0"/>
    <w:rsid w:val="5C702869"/>
    <w:rsid w:val="5C743C34"/>
    <w:rsid w:val="5C7A4279"/>
    <w:rsid w:val="5C7B5266"/>
    <w:rsid w:val="5C8E17F7"/>
    <w:rsid w:val="5C8F0E4B"/>
    <w:rsid w:val="5C913139"/>
    <w:rsid w:val="5CA26B23"/>
    <w:rsid w:val="5CA354AC"/>
    <w:rsid w:val="5CB45F05"/>
    <w:rsid w:val="5CB55CD5"/>
    <w:rsid w:val="5CBC31B2"/>
    <w:rsid w:val="5CBC678C"/>
    <w:rsid w:val="5CBF3BEB"/>
    <w:rsid w:val="5CC77597"/>
    <w:rsid w:val="5CC834AE"/>
    <w:rsid w:val="5CC9106E"/>
    <w:rsid w:val="5CCB5CF1"/>
    <w:rsid w:val="5CD50321"/>
    <w:rsid w:val="5CD50908"/>
    <w:rsid w:val="5CE172C2"/>
    <w:rsid w:val="5CEE5E83"/>
    <w:rsid w:val="5CF934A1"/>
    <w:rsid w:val="5D011713"/>
    <w:rsid w:val="5D0336DD"/>
    <w:rsid w:val="5D041203"/>
    <w:rsid w:val="5D043BDE"/>
    <w:rsid w:val="5D0638C7"/>
    <w:rsid w:val="5D0B274A"/>
    <w:rsid w:val="5D2071FB"/>
    <w:rsid w:val="5D253F3F"/>
    <w:rsid w:val="5D2573D0"/>
    <w:rsid w:val="5D283143"/>
    <w:rsid w:val="5D2A5237"/>
    <w:rsid w:val="5D2B6EAA"/>
    <w:rsid w:val="5D2E3846"/>
    <w:rsid w:val="5D395FE0"/>
    <w:rsid w:val="5D3C6BEF"/>
    <w:rsid w:val="5D413506"/>
    <w:rsid w:val="5D453167"/>
    <w:rsid w:val="5D656145"/>
    <w:rsid w:val="5D683540"/>
    <w:rsid w:val="5D740137"/>
    <w:rsid w:val="5D7661BB"/>
    <w:rsid w:val="5D8052EC"/>
    <w:rsid w:val="5D811D91"/>
    <w:rsid w:val="5D8331ED"/>
    <w:rsid w:val="5D84646B"/>
    <w:rsid w:val="5D8547EA"/>
    <w:rsid w:val="5D861C18"/>
    <w:rsid w:val="5D865943"/>
    <w:rsid w:val="5D892330"/>
    <w:rsid w:val="5D8C1B29"/>
    <w:rsid w:val="5D940211"/>
    <w:rsid w:val="5D9562FF"/>
    <w:rsid w:val="5D9761AF"/>
    <w:rsid w:val="5D9A027D"/>
    <w:rsid w:val="5DA97B86"/>
    <w:rsid w:val="5DB06C95"/>
    <w:rsid w:val="5DB865F0"/>
    <w:rsid w:val="5DB873CE"/>
    <w:rsid w:val="5DBC68D6"/>
    <w:rsid w:val="5DBE5C60"/>
    <w:rsid w:val="5DC7295C"/>
    <w:rsid w:val="5DC801B2"/>
    <w:rsid w:val="5DC92D73"/>
    <w:rsid w:val="5DCB1D21"/>
    <w:rsid w:val="5DCC4C82"/>
    <w:rsid w:val="5DCD5A99"/>
    <w:rsid w:val="5DD17991"/>
    <w:rsid w:val="5DD62B9F"/>
    <w:rsid w:val="5DD91735"/>
    <w:rsid w:val="5DDC7A8A"/>
    <w:rsid w:val="5DDE1A54"/>
    <w:rsid w:val="5DE033F9"/>
    <w:rsid w:val="5DE54B90"/>
    <w:rsid w:val="5DE66C20"/>
    <w:rsid w:val="5DE7566D"/>
    <w:rsid w:val="5DF10618"/>
    <w:rsid w:val="5DF10B47"/>
    <w:rsid w:val="5DFB0858"/>
    <w:rsid w:val="5E046A15"/>
    <w:rsid w:val="5E056147"/>
    <w:rsid w:val="5E084D23"/>
    <w:rsid w:val="5E0A45F7"/>
    <w:rsid w:val="5E1E4A95"/>
    <w:rsid w:val="5E2A6BBC"/>
    <w:rsid w:val="5E3A3003"/>
    <w:rsid w:val="5E3A3ABF"/>
    <w:rsid w:val="5E4107AB"/>
    <w:rsid w:val="5E45554E"/>
    <w:rsid w:val="5E473A9D"/>
    <w:rsid w:val="5E484188"/>
    <w:rsid w:val="5E48511F"/>
    <w:rsid w:val="5E4A5AF6"/>
    <w:rsid w:val="5E573E48"/>
    <w:rsid w:val="5E59597F"/>
    <w:rsid w:val="5E597ADD"/>
    <w:rsid w:val="5E5F64F0"/>
    <w:rsid w:val="5E6036C0"/>
    <w:rsid w:val="5E6107E9"/>
    <w:rsid w:val="5E6C52B2"/>
    <w:rsid w:val="5E706AC9"/>
    <w:rsid w:val="5E785A05"/>
    <w:rsid w:val="5E792416"/>
    <w:rsid w:val="5E7A5C21"/>
    <w:rsid w:val="5E84084D"/>
    <w:rsid w:val="5E8817D8"/>
    <w:rsid w:val="5E8F570F"/>
    <w:rsid w:val="5E9255DC"/>
    <w:rsid w:val="5E935F94"/>
    <w:rsid w:val="5E96029E"/>
    <w:rsid w:val="5E9622BA"/>
    <w:rsid w:val="5E9A3E64"/>
    <w:rsid w:val="5E9B254F"/>
    <w:rsid w:val="5EA52572"/>
    <w:rsid w:val="5EA7453C"/>
    <w:rsid w:val="5EA8071D"/>
    <w:rsid w:val="5EAB0A16"/>
    <w:rsid w:val="5EAF519E"/>
    <w:rsid w:val="5EB33CDC"/>
    <w:rsid w:val="5EB84053"/>
    <w:rsid w:val="5EC3244B"/>
    <w:rsid w:val="5EC8397E"/>
    <w:rsid w:val="5ECB2990"/>
    <w:rsid w:val="5ED66053"/>
    <w:rsid w:val="5ED80DC1"/>
    <w:rsid w:val="5ED9084B"/>
    <w:rsid w:val="5EDF0ADA"/>
    <w:rsid w:val="5EE10235"/>
    <w:rsid w:val="5EED7FF0"/>
    <w:rsid w:val="5EF7101F"/>
    <w:rsid w:val="5EFC7E35"/>
    <w:rsid w:val="5F021772"/>
    <w:rsid w:val="5F070A50"/>
    <w:rsid w:val="5F0813F1"/>
    <w:rsid w:val="5F0F2476"/>
    <w:rsid w:val="5F134BF5"/>
    <w:rsid w:val="5F142521"/>
    <w:rsid w:val="5F261904"/>
    <w:rsid w:val="5F265461"/>
    <w:rsid w:val="5F365651"/>
    <w:rsid w:val="5F39021E"/>
    <w:rsid w:val="5F471F31"/>
    <w:rsid w:val="5F481892"/>
    <w:rsid w:val="5F4959FC"/>
    <w:rsid w:val="5F4B5F0B"/>
    <w:rsid w:val="5F506981"/>
    <w:rsid w:val="5F52038F"/>
    <w:rsid w:val="5F5854AC"/>
    <w:rsid w:val="5F6274AD"/>
    <w:rsid w:val="5F664883"/>
    <w:rsid w:val="5F6C7812"/>
    <w:rsid w:val="5F7B08DC"/>
    <w:rsid w:val="5F7B19F7"/>
    <w:rsid w:val="5F814D8D"/>
    <w:rsid w:val="5F893C41"/>
    <w:rsid w:val="5F8D54E0"/>
    <w:rsid w:val="5F9144A0"/>
    <w:rsid w:val="5F9745B0"/>
    <w:rsid w:val="5F9C0158"/>
    <w:rsid w:val="5F9C45C2"/>
    <w:rsid w:val="5F9D2510"/>
    <w:rsid w:val="5F9E593F"/>
    <w:rsid w:val="5FA12D39"/>
    <w:rsid w:val="5FB16998"/>
    <w:rsid w:val="5FB310AE"/>
    <w:rsid w:val="5FBC7B73"/>
    <w:rsid w:val="5FBE06A9"/>
    <w:rsid w:val="5FC36ABF"/>
    <w:rsid w:val="5FC41A99"/>
    <w:rsid w:val="5FCA669A"/>
    <w:rsid w:val="5FCB3F5F"/>
    <w:rsid w:val="5FCB59BA"/>
    <w:rsid w:val="5FCD2D18"/>
    <w:rsid w:val="5FCF78A6"/>
    <w:rsid w:val="5FD43F14"/>
    <w:rsid w:val="5FD82F7C"/>
    <w:rsid w:val="5FE002F9"/>
    <w:rsid w:val="5FEB0458"/>
    <w:rsid w:val="5FEF4E02"/>
    <w:rsid w:val="5FF62290"/>
    <w:rsid w:val="5FFD062D"/>
    <w:rsid w:val="600129B9"/>
    <w:rsid w:val="600357A2"/>
    <w:rsid w:val="600F4147"/>
    <w:rsid w:val="601B0D3D"/>
    <w:rsid w:val="601D1CCD"/>
    <w:rsid w:val="60237F71"/>
    <w:rsid w:val="602816AC"/>
    <w:rsid w:val="602906AE"/>
    <w:rsid w:val="60290E01"/>
    <w:rsid w:val="602C19B8"/>
    <w:rsid w:val="602E3115"/>
    <w:rsid w:val="602F758B"/>
    <w:rsid w:val="6037369D"/>
    <w:rsid w:val="603911C4"/>
    <w:rsid w:val="60394B3D"/>
    <w:rsid w:val="603E4A2C"/>
    <w:rsid w:val="60483AFC"/>
    <w:rsid w:val="604A35BC"/>
    <w:rsid w:val="604C2094"/>
    <w:rsid w:val="604F6C39"/>
    <w:rsid w:val="605072BF"/>
    <w:rsid w:val="605424A1"/>
    <w:rsid w:val="60593614"/>
    <w:rsid w:val="60636240"/>
    <w:rsid w:val="606647BC"/>
    <w:rsid w:val="6074044E"/>
    <w:rsid w:val="607C0D31"/>
    <w:rsid w:val="607D1EBB"/>
    <w:rsid w:val="60894CFD"/>
    <w:rsid w:val="608F69DA"/>
    <w:rsid w:val="60904C36"/>
    <w:rsid w:val="60911000"/>
    <w:rsid w:val="60916139"/>
    <w:rsid w:val="609D1752"/>
    <w:rsid w:val="609D32FC"/>
    <w:rsid w:val="60A109EB"/>
    <w:rsid w:val="60A46028"/>
    <w:rsid w:val="60B90EC4"/>
    <w:rsid w:val="60BC53FD"/>
    <w:rsid w:val="60C07B37"/>
    <w:rsid w:val="60C16719"/>
    <w:rsid w:val="60C929A8"/>
    <w:rsid w:val="60CB2763"/>
    <w:rsid w:val="60D66C58"/>
    <w:rsid w:val="60DE2AF7"/>
    <w:rsid w:val="60E229A9"/>
    <w:rsid w:val="60E708D0"/>
    <w:rsid w:val="60ED166D"/>
    <w:rsid w:val="60F31D02"/>
    <w:rsid w:val="60F66586"/>
    <w:rsid w:val="60F831B7"/>
    <w:rsid w:val="61027F57"/>
    <w:rsid w:val="61082A81"/>
    <w:rsid w:val="610A4290"/>
    <w:rsid w:val="610B6D0D"/>
    <w:rsid w:val="610E47E7"/>
    <w:rsid w:val="61125A96"/>
    <w:rsid w:val="61157B25"/>
    <w:rsid w:val="6122434D"/>
    <w:rsid w:val="61247B2F"/>
    <w:rsid w:val="612C0D28"/>
    <w:rsid w:val="612E2CF2"/>
    <w:rsid w:val="613B2EC6"/>
    <w:rsid w:val="613D7AC0"/>
    <w:rsid w:val="613E5097"/>
    <w:rsid w:val="613F7BEC"/>
    <w:rsid w:val="61412A26"/>
    <w:rsid w:val="614372F4"/>
    <w:rsid w:val="61440E6E"/>
    <w:rsid w:val="61457884"/>
    <w:rsid w:val="6147112D"/>
    <w:rsid w:val="614A7148"/>
    <w:rsid w:val="614B5652"/>
    <w:rsid w:val="6151253D"/>
    <w:rsid w:val="6160135D"/>
    <w:rsid w:val="6162474A"/>
    <w:rsid w:val="61631912"/>
    <w:rsid w:val="61655970"/>
    <w:rsid w:val="616936E8"/>
    <w:rsid w:val="616F1841"/>
    <w:rsid w:val="61706E67"/>
    <w:rsid w:val="61767CB3"/>
    <w:rsid w:val="617952FC"/>
    <w:rsid w:val="617C53D9"/>
    <w:rsid w:val="61812E22"/>
    <w:rsid w:val="61834DEC"/>
    <w:rsid w:val="618C7139"/>
    <w:rsid w:val="6190308F"/>
    <w:rsid w:val="61936D8B"/>
    <w:rsid w:val="619F774C"/>
    <w:rsid w:val="61A56914"/>
    <w:rsid w:val="61AA6062"/>
    <w:rsid w:val="61B27CA1"/>
    <w:rsid w:val="61B3707D"/>
    <w:rsid w:val="61B72CE8"/>
    <w:rsid w:val="61BA6334"/>
    <w:rsid w:val="61C001CC"/>
    <w:rsid w:val="61C3343B"/>
    <w:rsid w:val="61C952DF"/>
    <w:rsid w:val="61D244C5"/>
    <w:rsid w:val="61D513C0"/>
    <w:rsid w:val="61DA7EB5"/>
    <w:rsid w:val="61EF0440"/>
    <w:rsid w:val="61F21F72"/>
    <w:rsid w:val="61F45CEA"/>
    <w:rsid w:val="61FA1656"/>
    <w:rsid w:val="61FF27FC"/>
    <w:rsid w:val="620B4DE2"/>
    <w:rsid w:val="620C2033"/>
    <w:rsid w:val="620F48D2"/>
    <w:rsid w:val="620F6F18"/>
    <w:rsid w:val="62117EBD"/>
    <w:rsid w:val="62127F1E"/>
    <w:rsid w:val="62145A44"/>
    <w:rsid w:val="621912AD"/>
    <w:rsid w:val="621C0778"/>
    <w:rsid w:val="621D05DD"/>
    <w:rsid w:val="621D42E1"/>
    <w:rsid w:val="62286FA5"/>
    <w:rsid w:val="622C4470"/>
    <w:rsid w:val="622D2E99"/>
    <w:rsid w:val="623163A7"/>
    <w:rsid w:val="62360473"/>
    <w:rsid w:val="623E6F65"/>
    <w:rsid w:val="623F2EA5"/>
    <w:rsid w:val="625130FB"/>
    <w:rsid w:val="62514EEA"/>
    <w:rsid w:val="62556940"/>
    <w:rsid w:val="625C563D"/>
    <w:rsid w:val="625C615E"/>
    <w:rsid w:val="625F7ED6"/>
    <w:rsid w:val="626256DD"/>
    <w:rsid w:val="62683FE2"/>
    <w:rsid w:val="626B762E"/>
    <w:rsid w:val="626C0398"/>
    <w:rsid w:val="626D33A6"/>
    <w:rsid w:val="6271444B"/>
    <w:rsid w:val="627225DB"/>
    <w:rsid w:val="627E55B4"/>
    <w:rsid w:val="62864468"/>
    <w:rsid w:val="628935EF"/>
    <w:rsid w:val="629870A2"/>
    <w:rsid w:val="629C61EA"/>
    <w:rsid w:val="629D3C8C"/>
    <w:rsid w:val="62A212A2"/>
    <w:rsid w:val="62A63DB0"/>
    <w:rsid w:val="62A74B0A"/>
    <w:rsid w:val="62AA63A9"/>
    <w:rsid w:val="62AE6250"/>
    <w:rsid w:val="62B1643E"/>
    <w:rsid w:val="62B45479"/>
    <w:rsid w:val="62BF209A"/>
    <w:rsid w:val="62C014B3"/>
    <w:rsid w:val="62C84A81"/>
    <w:rsid w:val="62CA2184"/>
    <w:rsid w:val="62CF5E0F"/>
    <w:rsid w:val="62D2496B"/>
    <w:rsid w:val="62EB733F"/>
    <w:rsid w:val="62FA03DF"/>
    <w:rsid w:val="62FD472A"/>
    <w:rsid w:val="63007776"/>
    <w:rsid w:val="63011F0B"/>
    <w:rsid w:val="63027F93"/>
    <w:rsid w:val="6305370E"/>
    <w:rsid w:val="630D3399"/>
    <w:rsid w:val="630E7347"/>
    <w:rsid w:val="631F0B45"/>
    <w:rsid w:val="631F28F3"/>
    <w:rsid w:val="63220635"/>
    <w:rsid w:val="63221DE5"/>
    <w:rsid w:val="63230C1F"/>
    <w:rsid w:val="63253C81"/>
    <w:rsid w:val="632720A3"/>
    <w:rsid w:val="63295C3E"/>
    <w:rsid w:val="63367D3F"/>
    <w:rsid w:val="6337605A"/>
    <w:rsid w:val="63384BF1"/>
    <w:rsid w:val="633F11E7"/>
    <w:rsid w:val="633F3CAA"/>
    <w:rsid w:val="6347009B"/>
    <w:rsid w:val="634A36E8"/>
    <w:rsid w:val="634C3904"/>
    <w:rsid w:val="63584057"/>
    <w:rsid w:val="635A392B"/>
    <w:rsid w:val="635E6E8C"/>
    <w:rsid w:val="635F6D2C"/>
    <w:rsid w:val="63624ED5"/>
    <w:rsid w:val="63690012"/>
    <w:rsid w:val="636F24BB"/>
    <w:rsid w:val="6381535B"/>
    <w:rsid w:val="63890E28"/>
    <w:rsid w:val="639170EF"/>
    <w:rsid w:val="639332E1"/>
    <w:rsid w:val="6395692D"/>
    <w:rsid w:val="639A01CB"/>
    <w:rsid w:val="63A1155A"/>
    <w:rsid w:val="63A8695F"/>
    <w:rsid w:val="63AB23D8"/>
    <w:rsid w:val="63B53257"/>
    <w:rsid w:val="63BA169B"/>
    <w:rsid w:val="63BE035D"/>
    <w:rsid w:val="63C15836"/>
    <w:rsid w:val="63C455F9"/>
    <w:rsid w:val="63D02078"/>
    <w:rsid w:val="63D062E3"/>
    <w:rsid w:val="63D119F0"/>
    <w:rsid w:val="63D27BE3"/>
    <w:rsid w:val="63DA2CBD"/>
    <w:rsid w:val="63DC1055"/>
    <w:rsid w:val="63DD33CD"/>
    <w:rsid w:val="63E458EA"/>
    <w:rsid w:val="63E8362C"/>
    <w:rsid w:val="63E90FE0"/>
    <w:rsid w:val="63EE6769"/>
    <w:rsid w:val="63EF49BB"/>
    <w:rsid w:val="63F26259"/>
    <w:rsid w:val="63F55D49"/>
    <w:rsid w:val="63F749B9"/>
    <w:rsid w:val="63FB7C3B"/>
    <w:rsid w:val="63FC70D8"/>
    <w:rsid w:val="63FE4BFE"/>
    <w:rsid w:val="6404729C"/>
    <w:rsid w:val="64080705"/>
    <w:rsid w:val="640E2A8B"/>
    <w:rsid w:val="640F5CFD"/>
    <w:rsid w:val="64120C1E"/>
    <w:rsid w:val="64124205"/>
    <w:rsid w:val="642632AF"/>
    <w:rsid w:val="6428256E"/>
    <w:rsid w:val="64382901"/>
    <w:rsid w:val="643979E4"/>
    <w:rsid w:val="643A1643"/>
    <w:rsid w:val="643E2670"/>
    <w:rsid w:val="64430863"/>
    <w:rsid w:val="6445778C"/>
    <w:rsid w:val="644C515F"/>
    <w:rsid w:val="644C6871"/>
    <w:rsid w:val="644D348F"/>
    <w:rsid w:val="644F37C5"/>
    <w:rsid w:val="64515ACD"/>
    <w:rsid w:val="645D6438"/>
    <w:rsid w:val="645D7C18"/>
    <w:rsid w:val="645E390D"/>
    <w:rsid w:val="64604B5D"/>
    <w:rsid w:val="64646D06"/>
    <w:rsid w:val="64654DEB"/>
    <w:rsid w:val="64682077"/>
    <w:rsid w:val="647A412F"/>
    <w:rsid w:val="647C4325"/>
    <w:rsid w:val="647F055B"/>
    <w:rsid w:val="64915A72"/>
    <w:rsid w:val="649607A0"/>
    <w:rsid w:val="64A82548"/>
    <w:rsid w:val="64AF1213"/>
    <w:rsid w:val="64B477E8"/>
    <w:rsid w:val="64B703EC"/>
    <w:rsid w:val="64B81266"/>
    <w:rsid w:val="64B84F5C"/>
    <w:rsid w:val="64C431C0"/>
    <w:rsid w:val="64CF569C"/>
    <w:rsid w:val="64D44922"/>
    <w:rsid w:val="64D92F75"/>
    <w:rsid w:val="64E00662"/>
    <w:rsid w:val="64E9096A"/>
    <w:rsid w:val="64E969EC"/>
    <w:rsid w:val="64EB37CD"/>
    <w:rsid w:val="64F6723F"/>
    <w:rsid w:val="64F7097C"/>
    <w:rsid w:val="64F728D5"/>
    <w:rsid w:val="65042353"/>
    <w:rsid w:val="650E0E71"/>
    <w:rsid w:val="651144BD"/>
    <w:rsid w:val="6513691A"/>
    <w:rsid w:val="651641C9"/>
    <w:rsid w:val="65173519"/>
    <w:rsid w:val="65283DC6"/>
    <w:rsid w:val="65284CCE"/>
    <w:rsid w:val="652F0DE7"/>
    <w:rsid w:val="653B5EE5"/>
    <w:rsid w:val="654523B9"/>
    <w:rsid w:val="65515201"/>
    <w:rsid w:val="656B40C4"/>
    <w:rsid w:val="657049D2"/>
    <w:rsid w:val="6575295A"/>
    <w:rsid w:val="657C227E"/>
    <w:rsid w:val="657D21FF"/>
    <w:rsid w:val="65875458"/>
    <w:rsid w:val="658904F7"/>
    <w:rsid w:val="658A4348"/>
    <w:rsid w:val="658E1491"/>
    <w:rsid w:val="6593581A"/>
    <w:rsid w:val="65947427"/>
    <w:rsid w:val="659C51A1"/>
    <w:rsid w:val="659D508A"/>
    <w:rsid w:val="65A92947"/>
    <w:rsid w:val="65AA7ED4"/>
    <w:rsid w:val="65AB66C0"/>
    <w:rsid w:val="65B8702E"/>
    <w:rsid w:val="65BA6903"/>
    <w:rsid w:val="65BD3CE7"/>
    <w:rsid w:val="65BE71F9"/>
    <w:rsid w:val="65C13D88"/>
    <w:rsid w:val="65CC4844"/>
    <w:rsid w:val="65D27219"/>
    <w:rsid w:val="65DD6454"/>
    <w:rsid w:val="65DF0A5F"/>
    <w:rsid w:val="65E16585"/>
    <w:rsid w:val="65E21B63"/>
    <w:rsid w:val="65E6592A"/>
    <w:rsid w:val="65EC3BB8"/>
    <w:rsid w:val="65EE2A50"/>
    <w:rsid w:val="65F4293E"/>
    <w:rsid w:val="65F71905"/>
    <w:rsid w:val="65FC7FFD"/>
    <w:rsid w:val="65FF605F"/>
    <w:rsid w:val="660452C2"/>
    <w:rsid w:val="66091638"/>
    <w:rsid w:val="660B1854"/>
    <w:rsid w:val="660F5F33"/>
    <w:rsid w:val="66154DA9"/>
    <w:rsid w:val="66246472"/>
    <w:rsid w:val="662A2DCE"/>
    <w:rsid w:val="662E541A"/>
    <w:rsid w:val="662F296E"/>
    <w:rsid w:val="66320B8F"/>
    <w:rsid w:val="66362D25"/>
    <w:rsid w:val="663A3EE7"/>
    <w:rsid w:val="663B23F4"/>
    <w:rsid w:val="663C3275"/>
    <w:rsid w:val="663D12E2"/>
    <w:rsid w:val="663E0BF4"/>
    <w:rsid w:val="66413EAD"/>
    <w:rsid w:val="664664BF"/>
    <w:rsid w:val="66490FDC"/>
    <w:rsid w:val="66503810"/>
    <w:rsid w:val="66555324"/>
    <w:rsid w:val="66555EDF"/>
    <w:rsid w:val="66652862"/>
    <w:rsid w:val="667239F8"/>
    <w:rsid w:val="667B2B61"/>
    <w:rsid w:val="667C2102"/>
    <w:rsid w:val="667F4267"/>
    <w:rsid w:val="66831702"/>
    <w:rsid w:val="66855163"/>
    <w:rsid w:val="66884460"/>
    <w:rsid w:val="668F1B3D"/>
    <w:rsid w:val="668F5FE1"/>
    <w:rsid w:val="66911D59"/>
    <w:rsid w:val="6698362A"/>
    <w:rsid w:val="66A0076C"/>
    <w:rsid w:val="66A51361"/>
    <w:rsid w:val="66A75B12"/>
    <w:rsid w:val="66A852F5"/>
    <w:rsid w:val="66A86E60"/>
    <w:rsid w:val="66AB4480"/>
    <w:rsid w:val="66B15F58"/>
    <w:rsid w:val="66B21CD0"/>
    <w:rsid w:val="66B35C73"/>
    <w:rsid w:val="66B477F6"/>
    <w:rsid w:val="66B64CE8"/>
    <w:rsid w:val="66BC66AA"/>
    <w:rsid w:val="66BD3B52"/>
    <w:rsid w:val="66C11F13"/>
    <w:rsid w:val="66C32B7C"/>
    <w:rsid w:val="66C537B1"/>
    <w:rsid w:val="66C57C55"/>
    <w:rsid w:val="66C71671"/>
    <w:rsid w:val="66C814F3"/>
    <w:rsid w:val="66C92F89"/>
    <w:rsid w:val="66CC2D91"/>
    <w:rsid w:val="66CF4630"/>
    <w:rsid w:val="66D24BB5"/>
    <w:rsid w:val="66D40608"/>
    <w:rsid w:val="66DA57BF"/>
    <w:rsid w:val="66DB2FD4"/>
    <w:rsid w:val="66DD26E1"/>
    <w:rsid w:val="66E02E1B"/>
    <w:rsid w:val="66E229A8"/>
    <w:rsid w:val="66E70059"/>
    <w:rsid w:val="66ED5DE6"/>
    <w:rsid w:val="66FB7F14"/>
    <w:rsid w:val="6707201B"/>
    <w:rsid w:val="67090533"/>
    <w:rsid w:val="670D2A10"/>
    <w:rsid w:val="670E6D38"/>
    <w:rsid w:val="67142208"/>
    <w:rsid w:val="67172593"/>
    <w:rsid w:val="671868DB"/>
    <w:rsid w:val="6719585F"/>
    <w:rsid w:val="671A724E"/>
    <w:rsid w:val="672A7AB8"/>
    <w:rsid w:val="672C7E85"/>
    <w:rsid w:val="67362901"/>
    <w:rsid w:val="674F1BEB"/>
    <w:rsid w:val="675237A4"/>
    <w:rsid w:val="675E533E"/>
    <w:rsid w:val="67601121"/>
    <w:rsid w:val="676B07FC"/>
    <w:rsid w:val="677218E4"/>
    <w:rsid w:val="67753B27"/>
    <w:rsid w:val="677B2C68"/>
    <w:rsid w:val="679022BD"/>
    <w:rsid w:val="67923912"/>
    <w:rsid w:val="67957627"/>
    <w:rsid w:val="679A69EC"/>
    <w:rsid w:val="679E2FBD"/>
    <w:rsid w:val="679F2DEE"/>
    <w:rsid w:val="67A61B38"/>
    <w:rsid w:val="67A67F21"/>
    <w:rsid w:val="67A700E1"/>
    <w:rsid w:val="67A94E81"/>
    <w:rsid w:val="67AC6C98"/>
    <w:rsid w:val="67B0377C"/>
    <w:rsid w:val="67B55E60"/>
    <w:rsid w:val="67B6759E"/>
    <w:rsid w:val="67BA52E0"/>
    <w:rsid w:val="67C248FD"/>
    <w:rsid w:val="67CA1B05"/>
    <w:rsid w:val="67D54EAE"/>
    <w:rsid w:val="67D619EE"/>
    <w:rsid w:val="67D85766"/>
    <w:rsid w:val="67DD0FCE"/>
    <w:rsid w:val="67E759A9"/>
    <w:rsid w:val="67E83C27"/>
    <w:rsid w:val="67EA2533"/>
    <w:rsid w:val="67EB3C17"/>
    <w:rsid w:val="67EE31DB"/>
    <w:rsid w:val="67EF02A9"/>
    <w:rsid w:val="67F72090"/>
    <w:rsid w:val="67F95923"/>
    <w:rsid w:val="67FB1A94"/>
    <w:rsid w:val="67FC20B9"/>
    <w:rsid w:val="67FC44E7"/>
    <w:rsid w:val="67FD51CC"/>
    <w:rsid w:val="67FE04D0"/>
    <w:rsid w:val="67FF0F45"/>
    <w:rsid w:val="680203FF"/>
    <w:rsid w:val="68106CAE"/>
    <w:rsid w:val="68133A7A"/>
    <w:rsid w:val="68161920"/>
    <w:rsid w:val="681A276E"/>
    <w:rsid w:val="681C5653"/>
    <w:rsid w:val="681F180F"/>
    <w:rsid w:val="6821710D"/>
    <w:rsid w:val="682664D1"/>
    <w:rsid w:val="68272B82"/>
    <w:rsid w:val="6832311B"/>
    <w:rsid w:val="683D4A7A"/>
    <w:rsid w:val="683D4DCE"/>
    <w:rsid w:val="684265A9"/>
    <w:rsid w:val="684352D5"/>
    <w:rsid w:val="6843583A"/>
    <w:rsid w:val="68437083"/>
    <w:rsid w:val="68444BA9"/>
    <w:rsid w:val="68455962"/>
    <w:rsid w:val="68471CFA"/>
    <w:rsid w:val="684E052E"/>
    <w:rsid w:val="684F4557"/>
    <w:rsid w:val="685643E1"/>
    <w:rsid w:val="6858637B"/>
    <w:rsid w:val="68594929"/>
    <w:rsid w:val="68661CD2"/>
    <w:rsid w:val="686A0AB4"/>
    <w:rsid w:val="686D4D23"/>
    <w:rsid w:val="686E1C26"/>
    <w:rsid w:val="68701E42"/>
    <w:rsid w:val="68702277"/>
    <w:rsid w:val="68753642"/>
    <w:rsid w:val="687A05CB"/>
    <w:rsid w:val="687A309F"/>
    <w:rsid w:val="6881195A"/>
    <w:rsid w:val="688974A8"/>
    <w:rsid w:val="68931CD5"/>
    <w:rsid w:val="68936434"/>
    <w:rsid w:val="68965D35"/>
    <w:rsid w:val="689A389D"/>
    <w:rsid w:val="689A6B90"/>
    <w:rsid w:val="689C6793"/>
    <w:rsid w:val="689E250C"/>
    <w:rsid w:val="68A37A66"/>
    <w:rsid w:val="68B757C8"/>
    <w:rsid w:val="68B910F3"/>
    <w:rsid w:val="68B9594A"/>
    <w:rsid w:val="68BC068D"/>
    <w:rsid w:val="68BD5C94"/>
    <w:rsid w:val="68C0149A"/>
    <w:rsid w:val="68C77CB4"/>
    <w:rsid w:val="68DB4126"/>
    <w:rsid w:val="68E34AC6"/>
    <w:rsid w:val="68E56BBE"/>
    <w:rsid w:val="68E87C1F"/>
    <w:rsid w:val="68EC0C84"/>
    <w:rsid w:val="68EF4209"/>
    <w:rsid w:val="690523FE"/>
    <w:rsid w:val="69054339"/>
    <w:rsid w:val="69083E29"/>
    <w:rsid w:val="690A656D"/>
    <w:rsid w:val="6911105D"/>
    <w:rsid w:val="69117A34"/>
    <w:rsid w:val="691622B6"/>
    <w:rsid w:val="6916655A"/>
    <w:rsid w:val="691935FF"/>
    <w:rsid w:val="691A3DDD"/>
    <w:rsid w:val="691E6A93"/>
    <w:rsid w:val="6922138F"/>
    <w:rsid w:val="69227F89"/>
    <w:rsid w:val="69277146"/>
    <w:rsid w:val="69381564"/>
    <w:rsid w:val="693E2568"/>
    <w:rsid w:val="6942558D"/>
    <w:rsid w:val="69474951"/>
    <w:rsid w:val="69594A47"/>
    <w:rsid w:val="6964240A"/>
    <w:rsid w:val="69643755"/>
    <w:rsid w:val="696848C8"/>
    <w:rsid w:val="696F6D2D"/>
    <w:rsid w:val="69777C6C"/>
    <w:rsid w:val="698600A5"/>
    <w:rsid w:val="69881DD0"/>
    <w:rsid w:val="69992CD3"/>
    <w:rsid w:val="699D0A15"/>
    <w:rsid w:val="699F3D19"/>
    <w:rsid w:val="699F5A0A"/>
    <w:rsid w:val="69A37450"/>
    <w:rsid w:val="69AF594B"/>
    <w:rsid w:val="69B04C83"/>
    <w:rsid w:val="69B960E8"/>
    <w:rsid w:val="69BC044F"/>
    <w:rsid w:val="69BF520A"/>
    <w:rsid w:val="69C15A70"/>
    <w:rsid w:val="69C77FE8"/>
    <w:rsid w:val="69CE59BB"/>
    <w:rsid w:val="69DF5C48"/>
    <w:rsid w:val="69E00902"/>
    <w:rsid w:val="69E24846"/>
    <w:rsid w:val="69E26AA4"/>
    <w:rsid w:val="69EC54F9"/>
    <w:rsid w:val="69ED5C66"/>
    <w:rsid w:val="69F10D61"/>
    <w:rsid w:val="69F90ABF"/>
    <w:rsid w:val="6A022F6E"/>
    <w:rsid w:val="6A097E59"/>
    <w:rsid w:val="6A0D2B94"/>
    <w:rsid w:val="6A10568B"/>
    <w:rsid w:val="6A132A85"/>
    <w:rsid w:val="6A1A62CD"/>
    <w:rsid w:val="6A1C0E4B"/>
    <w:rsid w:val="6A2140B2"/>
    <w:rsid w:val="6A242128"/>
    <w:rsid w:val="6A2F23AB"/>
    <w:rsid w:val="6A3C67A6"/>
    <w:rsid w:val="6A405DAE"/>
    <w:rsid w:val="6A4610AD"/>
    <w:rsid w:val="6A472B90"/>
    <w:rsid w:val="6A5006F6"/>
    <w:rsid w:val="6A553A32"/>
    <w:rsid w:val="6A560DAC"/>
    <w:rsid w:val="6A5C267E"/>
    <w:rsid w:val="6A663538"/>
    <w:rsid w:val="6A6B466F"/>
    <w:rsid w:val="6A773014"/>
    <w:rsid w:val="6A7C4ACE"/>
    <w:rsid w:val="6A7D1633"/>
    <w:rsid w:val="6A8B5E92"/>
    <w:rsid w:val="6A8D304D"/>
    <w:rsid w:val="6A8D6CDC"/>
    <w:rsid w:val="6A8E5EDF"/>
    <w:rsid w:val="6A957578"/>
    <w:rsid w:val="6A994787"/>
    <w:rsid w:val="6A9F59B1"/>
    <w:rsid w:val="6AA033E6"/>
    <w:rsid w:val="6AA10091"/>
    <w:rsid w:val="6AA803C3"/>
    <w:rsid w:val="6AA858C3"/>
    <w:rsid w:val="6AAC696A"/>
    <w:rsid w:val="6AAD49C9"/>
    <w:rsid w:val="6AAD5F0E"/>
    <w:rsid w:val="6AAF0A00"/>
    <w:rsid w:val="6AB04609"/>
    <w:rsid w:val="6AB3597F"/>
    <w:rsid w:val="6AB72926"/>
    <w:rsid w:val="6ABF6E0B"/>
    <w:rsid w:val="6AC12A16"/>
    <w:rsid w:val="6AC13C68"/>
    <w:rsid w:val="6AC67AF8"/>
    <w:rsid w:val="6ACE7020"/>
    <w:rsid w:val="6AD10D9A"/>
    <w:rsid w:val="6AD77F96"/>
    <w:rsid w:val="6ADF3578"/>
    <w:rsid w:val="6AEB2A78"/>
    <w:rsid w:val="6AEE2003"/>
    <w:rsid w:val="6B00125C"/>
    <w:rsid w:val="6B0367D0"/>
    <w:rsid w:val="6B106C62"/>
    <w:rsid w:val="6B106FC5"/>
    <w:rsid w:val="6B1533AD"/>
    <w:rsid w:val="6B16771A"/>
    <w:rsid w:val="6B17611C"/>
    <w:rsid w:val="6B197A81"/>
    <w:rsid w:val="6B1F11E2"/>
    <w:rsid w:val="6B325BF7"/>
    <w:rsid w:val="6B3960FC"/>
    <w:rsid w:val="6B3A697D"/>
    <w:rsid w:val="6B3B484B"/>
    <w:rsid w:val="6B3C3C68"/>
    <w:rsid w:val="6B424F3A"/>
    <w:rsid w:val="6B42603A"/>
    <w:rsid w:val="6B431030"/>
    <w:rsid w:val="6B436A8D"/>
    <w:rsid w:val="6B4849B1"/>
    <w:rsid w:val="6B4E5778"/>
    <w:rsid w:val="6B5A2C3F"/>
    <w:rsid w:val="6B5C337A"/>
    <w:rsid w:val="6B607E5C"/>
    <w:rsid w:val="6B684B2B"/>
    <w:rsid w:val="6B7457A6"/>
    <w:rsid w:val="6B756B41"/>
    <w:rsid w:val="6B782B8D"/>
    <w:rsid w:val="6B785296"/>
    <w:rsid w:val="6B7A412B"/>
    <w:rsid w:val="6B7E3E65"/>
    <w:rsid w:val="6B8B0FB7"/>
    <w:rsid w:val="6B8F0831"/>
    <w:rsid w:val="6B98412E"/>
    <w:rsid w:val="6B98564C"/>
    <w:rsid w:val="6BA81FC6"/>
    <w:rsid w:val="6BA972A1"/>
    <w:rsid w:val="6BBD1CF7"/>
    <w:rsid w:val="6BC73B27"/>
    <w:rsid w:val="6BCB1032"/>
    <w:rsid w:val="6BCD6965"/>
    <w:rsid w:val="6BD16ED3"/>
    <w:rsid w:val="6BD275B7"/>
    <w:rsid w:val="6BD46244"/>
    <w:rsid w:val="6BDA7CFF"/>
    <w:rsid w:val="6BDD7D4F"/>
    <w:rsid w:val="6BDD7E70"/>
    <w:rsid w:val="6BE566A3"/>
    <w:rsid w:val="6BEA6C23"/>
    <w:rsid w:val="6BF863D7"/>
    <w:rsid w:val="6BFC1155"/>
    <w:rsid w:val="6C0134DD"/>
    <w:rsid w:val="6C043D76"/>
    <w:rsid w:val="6C054650"/>
    <w:rsid w:val="6C0601F1"/>
    <w:rsid w:val="6C075B03"/>
    <w:rsid w:val="6C082D01"/>
    <w:rsid w:val="6C0B610A"/>
    <w:rsid w:val="6C0C6146"/>
    <w:rsid w:val="6C0D5B92"/>
    <w:rsid w:val="6C112B24"/>
    <w:rsid w:val="6C164AAF"/>
    <w:rsid w:val="6C1758D2"/>
    <w:rsid w:val="6C1A04F7"/>
    <w:rsid w:val="6C1B20D8"/>
    <w:rsid w:val="6C226FA5"/>
    <w:rsid w:val="6C24541E"/>
    <w:rsid w:val="6C256F3D"/>
    <w:rsid w:val="6C270A6A"/>
    <w:rsid w:val="6C2E3BA6"/>
    <w:rsid w:val="6C3F24CA"/>
    <w:rsid w:val="6C4038DA"/>
    <w:rsid w:val="6C4130C1"/>
    <w:rsid w:val="6C463EBB"/>
    <w:rsid w:val="6C4C4A8D"/>
    <w:rsid w:val="6C5008E1"/>
    <w:rsid w:val="6C5147F6"/>
    <w:rsid w:val="6C53360D"/>
    <w:rsid w:val="6C5527E5"/>
    <w:rsid w:val="6C553EED"/>
    <w:rsid w:val="6C5B406F"/>
    <w:rsid w:val="6C6058A7"/>
    <w:rsid w:val="6C615D2A"/>
    <w:rsid w:val="6C683B9C"/>
    <w:rsid w:val="6C697BBF"/>
    <w:rsid w:val="6C6B350B"/>
    <w:rsid w:val="6C7520FA"/>
    <w:rsid w:val="6C880625"/>
    <w:rsid w:val="6C8859AD"/>
    <w:rsid w:val="6C8C4686"/>
    <w:rsid w:val="6CA1081C"/>
    <w:rsid w:val="6CB21A56"/>
    <w:rsid w:val="6CB56076"/>
    <w:rsid w:val="6CB86E80"/>
    <w:rsid w:val="6CC664D5"/>
    <w:rsid w:val="6CCA6708"/>
    <w:rsid w:val="6CCA7D73"/>
    <w:rsid w:val="6CD15DD8"/>
    <w:rsid w:val="6CD45945"/>
    <w:rsid w:val="6CD97FB6"/>
    <w:rsid w:val="6CDA60C2"/>
    <w:rsid w:val="6CDC3602"/>
    <w:rsid w:val="6CDC43E9"/>
    <w:rsid w:val="6CDF25C2"/>
    <w:rsid w:val="6CE80A80"/>
    <w:rsid w:val="6CEF1588"/>
    <w:rsid w:val="6CF245FA"/>
    <w:rsid w:val="6CF43042"/>
    <w:rsid w:val="6D00090C"/>
    <w:rsid w:val="6D0B446A"/>
    <w:rsid w:val="6D0C613F"/>
    <w:rsid w:val="6D165E10"/>
    <w:rsid w:val="6D181281"/>
    <w:rsid w:val="6D1941CD"/>
    <w:rsid w:val="6D1A1C24"/>
    <w:rsid w:val="6D265DE3"/>
    <w:rsid w:val="6D287B5A"/>
    <w:rsid w:val="6D2A08D5"/>
    <w:rsid w:val="6D2C1EF0"/>
    <w:rsid w:val="6D2D20B0"/>
    <w:rsid w:val="6D3B566E"/>
    <w:rsid w:val="6D3C4DC1"/>
    <w:rsid w:val="6D401DE3"/>
    <w:rsid w:val="6D42270A"/>
    <w:rsid w:val="6D4F0278"/>
    <w:rsid w:val="6D517303"/>
    <w:rsid w:val="6D521B17"/>
    <w:rsid w:val="6D590593"/>
    <w:rsid w:val="6D5B0983"/>
    <w:rsid w:val="6D5B09CB"/>
    <w:rsid w:val="6D5E6497"/>
    <w:rsid w:val="6D5E6EBF"/>
    <w:rsid w:val="6D6209B3"/>
    <w:rsid w:val="6D673814"/>
    <w:rsid w:val="6D6B416B"/>
    <w:rsid w:val="6D6D1B92"/>
    <w:rsid w:val="6D720BA9"/>
    <w:rsid w:val="6D725D15"/>
    <w:rsid w:val="6D7B16CC"/>
    <w:rsid w:val="6D7C3DDB"/>
    <w:rsid w:val="6D8E6624"/>
    <w:rsid w:val="6D9360F3"/>
    <w:rsid w:val="6DA01445"/>
    <w:rsid w:val="6DB04CB2"/>
    <w:rsid w:val="6DB4178C"/>
    <w:rsid w:val="6DC02F24"/>
    <w:rsid w:val="6DC03450"/>
    <w:rsid w:val="6DC5678C"/>
    <w:rsid w:val="6DCE5641"/>
    <w:rsid w:val="6DD662A4"/>
    <w:rsid w:val="6DDE4298"/>
    <w:rsid w:val="6DE21F8A"/>
    <w:rsid w:val="6DF258F4"/>
    <w:rsid w:val="6DF61D70"/>
    <w:rsid w:val="6DF66946"/>
    <w:rsid w:val="6DF7425E"/>
    <w:rsid w:val="6DFA03C4"/>
    <w:rsid w:val="6E005A16"/>
    <w:rsid w:val="6E076D34"/>
    <w:rsid w:val="6E0A1325"/>
    <w:rsid w:val="6E1A7B10"/>
    <w:rsid w:val="6E1D3E88"/>
    <w:rsid w:val="6E207B4E"/>
    <w:rsid w:val="6E217E67"/>
    <w:rsid w:val="6E276AFF"/>
    <w:rsid w:val="6E3D0A6D"/>
    <w:rsid w:val="6E4848D8"/>
    <w:rsid w:val="6E5C7B73"/>
    <w:rsid w:val="6E68642E"/>
    <w:rsid w:val="6E6B242A"/>
    <w:rsid w:val="6E746730"/>
    <w:rsid w:val="6E757270"/>
    <w:rsid w:val="6E781A51"/>
    <w:rsid w:val="6E7B6E4B"/>
    <w:rsid w:val="6E8126B3"/>
    <w:rsid w:val="6E884778"/>
    <w:rsid w:val="6E891A4E"/>
    <w:rsid w:val="6E8977BA"/>
    <w:rsid w:val="6E8A4814"/>
    <w:rsid w:val="6E932533"/>
    <w:rsid w:val="6E940421"/>
    <w:rsid w:val="6E9A4FA5"/>
    <w:rsid w:val="6EA350D8"/>
    <w:rsid w:val="6EA463A2"/>
    <w:rsid w:val="6EA90FDE"/>
    <w:rsid w:val="6EB34837"/>
    <w:rsid w:val="6EB96D3E"/>
    <w:rsid w:val="6EBA3E17"/>
    <w:rsid w:val="6EBD1C57"/>
    <w:rsid w:val="6EBD7464"/>
    <w:rsid w:val="6EC30F1E"/>
    <w:rsid w:val="6EC64922"/>
    <w:rsid w:val="6EC66E4A"/>
    <w:rsid w:val="6ECB55B8"/>
    <w:rsid w:val="6ED053E9"/>
    <w:rsid w:val="6ED24951"/>
    <w:rsid w:val="6ED43694"/>
    <w:rsid w:val="6ED87E74"/>
    <w:rsid w:val="6EDC3D8E"/>
    <w:rsid w:val="6EDD39D6"/>
    <w:rsid w:val="6EE2543B"/>
    <w:rsid w:val="6EED40D9"/>
    <w:rsid w:val="6EF957F8"/>
    <w:rsid w:val="6EFA2466"/>
    <w:rsid w:val="6F0B5CC5"/>
    <w:rsid w:val="6F0F3FB5"/>
    <w:rsid w:val="6F1076B7"/>
    <w:rsid w:val="6F156053"/>
    <w:rsid w:val="6F1E2296"/>
    <w:rsid w:val="6F23498B"/>
    <w:rsid w:val="6F331FE6"/>
    <w:rsid w:val="6F3659D8"/>
    <w:rsid w:val="6F3F60CB"/>
    <w:rsid w:val="6F466612"/>
    <w:rsid w:val="6F49037E"/>
    <w:rsid w:val="6F4F07AC"/>
    <w:rsid w:val="6F5002D8"/>
    <w:rsid w:val="6F57312F"/>
    <w:rsid w:val="6F5C7A75"/>
    <w:rsid w:val="6F5E3040"/>
    <w:rsid w:val="6F6048FE"/>
    <w:rsid w:val="6F633146"/>
    <w:rsid w:val="6F655B31"/>
    <w:rsid w:val="6F667AFB"/>
    <w:rsid w:val="6F6C691B"/>
    <w:rsid w:val="6F7915DC"/>
    <w:rsid w:val="6F795A80"/>
    <w:rsid w:val="6F7E6BF3"/>
    <w:rsid w:val="6F8166E3"/>
    <w:rsid w:val="6F864031"/>
    <w:rsid w:val="6F8A3E42"/>
    <w:rsid w:val="6F9836F2"/>
    <w:rsid w:val="6F9B77A5"/>
    <w:rsid w:val="6F9C30BD"/>
    <w:rsid w:val="6FAC3760"/>
    <w:rsid w:val="6FAF3250"/>
    <w:rsid w:val="6FB27708"/>
    <w:rsid w:val="6FB478B7"/>
    <w:rsid w:val="6FBF4BFE"/>
    <w:rsid w:val="6FC52A15"/>
    <w:rsid w:val="6FC8448B"/>
    <w:rsid w:val="6FD03FAE"/>
    <w:rsid w:val="6FD11419"/>
    <w:rsid w:val="6FD35191"/>
    <w:rsid w:val="6FD44A65"/>
    <w:rsid w:val="6FD83771"/>
    <w:rsid w:val="6FD900B8"/>
    <w:rsid w:val="6FDE202A"/>
    <w:rsid w:val="6FE43C35"/>
    <w:rsid w:val="6FE72E78"/>
    <w:rsid w:val="6FEA5A1C"/>
    <w:rsid w:val="6FEB253B"/>
    <w:rsid w:val="6FED3D79"/>
    <w:rsid w:val="6FFD045F"/>
    <w:rsid w:val="6FFE09D9"/>
    <w:rsid w:val="70041B6B"/>
    <w:rsid w:val="700A0487"/>
    <w:rsid w:val="700A45B4"/>
    <w:rsid w:val="700C06A3"/>
    <w:rsid w:val="700E7FC4"/>
    <w:rsid w:val="7012558D"/>
    <w:rsid w:val="70180DF5"/>
    <w:rsid w:val="701B0AEA"/>
    <w:rsid w:val="702A2886"/>
    <w:rsid w:val="702E0844"/>
    <w:rsid w:val="70335C2F"/>
    <w:rsid w:val="70340294"/>
    <w:rsid w:val="703674CE"/>
    <w:rsid w:val="703951EF"/>
    <w:rsid w:val="703B0129"/>
    <w:rsid w:val="703C27F4"/>
    <w:rsid w:val="703D244F"/>
    <w:rsid w:val="703D30D4"/>
    <w:rsid w:val="703E6382"/>
    <w:rsid w:val="7049276B"/>
    <w:rsid w:val="70514307"/>
    <w:rsid w:val="705B6F34"/>
    <w:rsid w:val="705F2162"/>
    <w:rsid w:val="70630383"/>
    <w:rsid w:val="706737D7"/>
    <w:rsid w:val="7068068C"/>
    <w:rsid w:val="70696A50"/>
    <w:rsid w:val="707324D0"/>
    <w:rsid w:val="707357B7"/>
    <w:rsid w:val="70810441"/>
    <w:rsid w:val="708446DD"/>
    <w:rsid w:val="70866B41"/>
    <w:rsid w:val="70875F7B"/>
    <w:rsid w:val="708772EC"/>
    <w:rsid w:val="708F2E7C"/>
    <w:rsid w:val="709C34A3"/>
    <w:rsid w:val="709F3B54"/>
    <w:rsid w:val="70A37760"/>
    <w:rsid w:val="70AB523A"/>
    <w:rsid w:val="70C3061E"/>
    <w:rsid w:val="70CA2C5D"/>
    <w:rsid w:val="70CB5E68"/>
    <w:rsid w:val="70CD23C0"/>
    <w:rsid w:val="70CD6084"/>
    <w:rsid w:val="70D32B61"/>
    <w:rsid w:val="70D36C12"/>
    <w:rsid w:val="70D6480D"/>
    <w:rsid w:val="70D85FC1"/>
    <w:rsid w:val="70DF36C1"/>
    <w:rsid w:val="70E91AA9"/>
    <w:rsid w:val="70F07066"/>
    <w:rsid w:val="70F16B8D"/>
    <w:rsid w:val="70F516CE"/>
    <w:rsid w:val="70F829D5"/>
    <w:rsid w:val="7104581E"/>
    <w:rsid w:val="710D6480"/>
    <w:rsid w:val="7113156F"/>
    <w:rsid w:val="7114113C"/>
    <w:rsid w:val="711C0906"/>
    <w:rsid w:val="71292B19"/>
    <w:rsid w:val="712B2BDC"/>
    <w:rsid w:val="712B440C"/>
    <w:rsid w:val="712C10F3"/>
    <w:rsid w:val="712D6B22"/>
    <w:rsid w:val="71306613"/>
    <w:rsid w:val="71325EE7"/>
    <w:rsid w:val="713C1844"/>
    <w:rsid w:val="71450BD3"/>
    <w:rsid w:val="7146355D"/>
    <w:rsid w:val="714E33B7"/>
    <w:rsid w:val="7162419C"/>
    <w:rsid w:val="716A7B93"/>
    <w:rsid w:val="716B31A7"/>
    <w:rsid w:val="71707E36"/>
    <w:rsid w:val="7172737E"/>
    <w:rsid w:val="718A6801"/>
    <w:rsid w:val="718E6353"/>
    <w:rsid w:val="71921344"/>
    <w:rsid w:val="719941B8"/>
    <w:rsid w:val="71995F66"/>
    <w:rsid w:val="71A67DBF"/>
    <w:rsid w:val="71A76E4A"/>
    <w:rsid w:val="71AA3CCF"/>
    <w:rsid w:val="71AF5213"/>
    <w:rsid w:val="71BA0B9E"/>
    <w:rsid w:val="71BB71E6"/>
    <w:rsid w:val="71BE0B36"/>
    <w:rsid w:val="71C54FAD"/>
    <w:rsid w:val="71C81340"/>
    <w:rsid w:val="71C8398B"/>
    <w:rsid w:val="71CD3E62"/>
    <w:rsid w:val="71CD5C10"/>
    <w:rsid w:val="71D13952"/>
    <w:rsid w:val="71E511AB"/>
    <w:rsid w:val="71EE5577"/>
    <w:rsid w:val="71F96A05"/>
    <w:rsid w:val="71FB0D28"/>
    <w:rsid w:val="71FE1AD4"/>
    <w:rsid w:val="72007BEE"/>
    <w:rsid w:val="720B51B6"/>
    <w:rsid w:val="72181581"/>
    <w:rsid w:val="721E1F6F"/>
    <w:rsid w:val="722046AE"/>
    <w:rsid w:val="72217117"/>
    <w:rsid w:val="72234D69"/>
    <w:rsid w:val="72311897"/>
    <w:rsid w:val="72436C25"/>
    <w:rsid w:val="724759C2"/>
    <w:rsid w:val="724C16FF"/>
    <w:rsid w:val="725D5379"/>
    <w:rsid w:val="726447C6"/>
    <w:rsid w:val="727F12F9"/>
    <w:rsid w:val="72895D82"/>
    <w:rsid w:val="728D3B24"/>
    <w:rsid w:val="72945E87"/>
    <w:rsid w:val="72953AC7"/>
    <w:rsid w:val="7296204E"/>
    <w:rsid w:val="72B041D6"/>
    <w:rsid w:val="72BF37AA"/>
    <w:rsid w:val="72BF4F7D"/>
    <w:rsid w:val="72C15774"/>
    <w:rsid w:val="72CB03A1"/>
    <w:rsid w:val="72CB188C"/>
    <w:rsid w:val="72CD4EB3"/>
    <w:rsid w:val="72CF3B0D"/>
    <w:rsid w:val="72D27981"/>
    <w:rsid w:val="72DB4E3E"/>
    <w:rsid w:val="72EA091E"/>
    <w:rsid w:val="72EB11D1"/>
    <w:rsid w:val="72FA7ADC"/>
    <w:rsid w:val="72FB4772"/>
    <w:rsid w:val="72FD24F2"/>
    <w:rsid w:val="72FD42D3"/>
    <w:rsid w:val="73013DC3"/>
    <w:rsid w:val="73020966"/>
    <w:rsid w:val="73041E9E"/>
    <w:rsid w:val="730423A2"/>
    <w:rsid w:val="730801ED"/>
    <w:rsid w:val="730A7386"/>
    <w:rsid w:val="73124222"/>
    <w:rsid w:val="732249A1"/>
    <w:rsid w:val="732950C8"/>
    <w:rsid w:val="73440A8F"/>
    <w:rsid w:val="73441807"/>
    <w:rsid w:val="734464A7"/>
    <w:rsid w:val="73465143"/>
    <w:rsid w:val="7347663E"/>
    <w:rsid w:val="7347757D"/>
    <w:rsid w:val="734D1946"/>
    <w:rsid w:val="734D3BC8"/>
    <w:rsid w:val="735008A6"/>
    <w:rsid w:val="73506918"/>
    <w:rsid w:val="735230D5"/>
    <w:rsid w:val="73554010"/>
    <w:rsid w:val="735C6276"/>
    <w:rsid w:val="735D7691"/>
    <w:rsid w:val="73644352"/>
    <w:rsid w:val="736F21A4"/>
    <w:rsid w:val="73786272"/>
    <w:rsid w:val="737A3B75"/>
    <w:rsid w:val="737C0FFA"/>
    <w:rsid w:val="737C5B3F"/>
    <w:rsid w:val="73830C7C"/>
    <w:rsid w:val="73853BCA"/>
    <w:rsid w:val="738D5656"/>
    <w:rsid w:val="739619CC"/>
    <w:rsid w:val="73992AC3"/>
    <w:rsid w:val="73992B41"/>
    <w:rsid w:val="739C262E"/>
    <w:rsid w:val="739E08B8"/>
    <w:rsid w:val="73A111BE"/>
    <w:rsid w:val="73A95B56"/>
    <w:rsid w:val="73AA26AC"/>
    <w:rsid w:val="73AD7AA7"/>
    <w:rsid w:val="73AF7CC3"/>
    <w:rsid w:val="73BB13AD"/>
    <w:rsid w:val="73BC1C0C"/>
    <w:rsid w:val="73BC5F3C"/>
    <w:rsid w:val="73C03C7E"/>
    <w:rsid w:val="73C4268A"/>
    <w:rsid w:val="73C44DF0"/>
    <w:rsid w:val="73C86A0F"/>
    <w:rsid w:val="73CA2CA4"/>
    <w:rsid w:val="73CA314A"/>
    <w:rsid w:val="73CB1F85"/>
    <w:rsid w:val="73CC3327"/>
    <w:rsid w:val="73CF3EC1"/>
    <w:rsid w:val="73D10A7C"/>
    <w:rsid w:val="73D32C53"/>
    <w:rsid w:val="73DE2DB8"/>
    <w:rsid w:val="73E060CE"/>
    <w:rsid w:val="73E13BF4"/>
    <w:rsid w:val="73E3171A"/>
    <w:rsid w:val="73E334C8"/>
    <w:rsid w:val="73F2319F"/>
    <w:rsid w:val="73F83999"/>
    <w:rsid w:val="73FA085C"/>
    <w:rsid w:val="740775BE"/>
    <w:rsid w:val="74085625"/>
    <w:rsid w:val="741A1465"/>
    <w:rsid w:val="74280E7C"/>
    <w:rsid w:val="742A7349"/>
    <w:rsid w:val="742F56A4"/>
    <w:rsid w:val="743D707D"/>
    <w:rsid w:val="743E44FA"/>
    <w:rsid w:val="7440091B"/>
    <w:rsid w:val="744321B9"/>
    <w:rsid w:val="74453829"/>
    <w:rsid w:val="744A3547"/>
    <w:rsid w:val="745919DD"/>
    <w:rsid w:val="745B39A7"/>
    <w:rsid w:val="747301B7"/>
    <w:rsid w:val="747D1B6F"/>
    <w:rsid w:val="747F58E7"/>
    <w:rsid w:val="74803981"/>
    <w:rsid w:val="74820F33"/>
    <w:rsid w:val="748E671C"/>
    <w:rsid w:val="748F1B35"/>
    <w:rsid w:val="7490269B"/>
    <w:rsid w:val="74922AC0"/>
    <w:rsid w:val="749420F2"/>
    <w:rsid w:val="74A225EF"/>
    <w:rsid w:val="74B45395"/>
    <w:rsid w:val="74C05C7A"/>
    <w:rsid w:val="74C27582"/>
    <w:rsid w:val="74C27D90"/>
    <w:rsid w:val="74C87F16"/>
    <w:rsid w:val="74CA6436"/>
    <w:rsid w:val="74CB28DA"/>
    <w:rsid w:val="74D04DB6"/>
    <w:rsid w:val="74D90969"/>
    <w:rsid w:val="74DA48CB"/>
    <w:rsid w:val="74E06F18"/>
    <w:rsid w:val="74E120FE"/>
    <w:rsid w:val="74E219D2"/>
    <w:rsid w:val="74E4399C"/>
    <w:rsid w:val="74E92D60"/>
    <w:rsid w:val="74EC7067"/>
    <w:rsid w:val="74EE0377"/>
    <w:rsid w:val="74F5194B"/>
    <w:rsid w:val="74F72AF3"/>
    <w:rsid w:val="74F7365D"/>
    <w:rsid w:val="74F87C2C"/>
    <w:rsid w:val="75097D55"/>
    <w:rsid w:val="750A2CD7"/>
    <w:rsid w:val="750A5428"/>
    <w:rsid w:val="750B0F29"/>
    <w:rsid w:val="75153B55"/>
    <w:rsid w:val="752437F8"/>
    <w:rsid w:val="752A12F1"/>
    <w:rsid w:val="753164B5"/>
    <w:rsid w:val="753C24D9"/>
    <w:rsid w:val="754107AC"/>
    <w:rsid w:val="75414E2E"/>
    <w:rsid w:val="754378F0"/>
    <w:rsid w:val="754430F8"/>
    <w:rsid w:val="75454B54"/>
    <w:rsid w:val="754555EF"/>
    <w:rsid w:val="75456373"/>
    <w:rsid w:val="75483F2B"/>
    <w:rsid w:val="75596CAF"/>
    <w:rsid w:val="755B7C0B"/>
    <w:rsid w:val="756019C9"/>
    <w:rsid w:val="75614FED"/>
    <w:rsid w:val="756659DC"/>
    <w:rsid w:val="756B19C7"/>
    <w:rsid w:val="756D53EE"/>
    <w:rsid w:val="75755861"/>
    <w:rsid w:val="757F58D8"/>
    <w:rsid w:val="7581743D"/>
    <w:rsid w:val="758C51E5"/>
    <w:rsid w:val="758E3908"/>
    <w:rsid w:val="75981E64"/>
    <w:rsid w:val="75A03342"/>
    <w:rsid w:val="75AA6994"/>
    <w:rsid w:val="75AF16E6"/>
    <w:rsid w:val="75AF3FAA"/>
    <w:rsid w:val="75BC0475"/>
    <w:rsid w:val="75BD3566"/>
    <w:rsid w:val="75C12BF5"/>
    <w:rsid w:val="75C8506C"/>
    <w:rsid w:val="75CB411E"/>
    <w:rsid w:val="75D03F20"/>
    <w:rsid w:val="75D10E0C"/>
    <w:rsid w:val="75D27811"/>
    <w:rsid w:val="75D4260F"/>
    <w:rsid w:val="75DD0582"/>
    <w:rsid w:val="75EB3CEA"/>
    <w:rsid w:val="75F17AAF"/>
    <w:rsid w:val="75F23E97"/>
    <w:rsid w:val="75F27306"/>
    <w:rsid w:val="75F428A6"/>
    <w:rsid w:val="75F52486"/>
    <w:rsid w:val="760342F6"/>
    <w:rsid w:val="7605177F"/>
    <w:rsid w:val="760B4F58"/>
    <w:rsid w:val="76110158"/>
    <w:rsid w:val="76126652"/>
    <w:rsid w:val="76182072"/>
    <w:rsid w:val="761B7D80"/>
    <w:rsid w:val="761C0A74"/>
    <w:rsid w:val="762027B2"/>
    <w:rsid w:val="762B0D2A"/>
    <w:rsid w:val="762B5982"/>
    <w:rsid w:val="762F6E99"/>
    <w:rsid w:val="763149BF"/>
    <w:rsid w:val="76334DB9"/>
    <w:rsid w:val="76382F12"/>
    <w:rsid w:val="7638667B"/>
    <w:rsid w:val="76397D18"/>
    <w:rsid w:val="764010A6"/>
    <w:rsid w:val="76481E39"/>
    <w:rsid w:val="764D5571"/>
    <w:rsid w:val="764F2B2D"/>
    <w:rsid w:val="76593F16"/>
    <w:rsid w:val="765B226D"/>
    <w:rsid w:val="765C5EC2"/>
    <w:rsid w:val="765D7381"/>
    <w:rsid w:val="76654669"/>
    <w:rsid w:val="767E7C63"/>
    <w:rsid w:val="768A39BC"/>
    <w:rsid w:val="768E6CF8"/>
    <w:rsid w:val="768F16E6"/>
    <w:rsid w:val="768F2D9D"/>
    <w:rsid w:val="769E5DCD"/>
    <w:rsid w:val="769F311D"/>
    <w:rsid w:val="76A333E3"/>
    <w:rsid w:val="76A33700"/>
    <w:rsid w:val="76A8778E"/>
    <w:rsid w:val="76AA651F"/>
    <w:rsid w:val="76AC673B"/>
    <w:rsid w:val="76B15B00"/>
    <w:rsid w:val="76B441CE"/>
    <w:rsid w:val="76B57B1A"/>
    <w:rsid w:val="76B62E18"/>
    <w:rsid w:val="76B73919"/>
    <w:rsid w:val="76B8516C"/>
    <w:rsid w:val="76BF021D"/>
    <w:rsid w:val="76D65566"/>
    <w:rsid w:val="76D87530"/>
    <w:rsid w:val="76DC73B5"/>
    <w:rsid w:val="76DD0A13"/>
    <w:rsid w:val="76E81C8A"/>
    <w:rsid w:val="76EA2DC0"/>
    <w:rsid w:val="76F263F7"/>
    <w:rsid w:val="76F52AE3"/>
    <w:rsid w:val="77025C02"/>
    <w:rsid w:val="77061685"/>
    <w:rsid w:val="770A73B3"/>
    <w:rsid w:val="770C3AED"/>
    <w:rsid w:val="77132317"/>
    <w:rsid w:val="77177AE1"/>
    <w:rsid w:val="77182CF2"/>
    <w:rsid w:val="77183DD1"/>
    <w:rsid w:val="771A18F7"/>
    <w:rsid w:val="771F6F0D"/>
    <w:rsid w:val="7722255A"/>
    <w:rsid w:val="77251B93"/>
    <w:rsid w:val="772B318E"/>
    <w:rsid w:val="772B3B04"/>
    <w:rsid w:val="772E5490"/>
    <w:rsid w:val="7731279D"/>
    <w:rsid w:val="773254F8"/>
    <w:rsid w:val="773A3D47"/>
    <w:rsid w:val="773A5AF5"/>
    <w:rsid w:val="773B0D91"/>
    <w:rsid w:val="77560455"/>
    <w:rsid w:val="77585F7B"/>
    <w:rsid w:val="776042C2"/>
    <w:rsid w:val="77613D59"/>
    <w:rsid w:val="77633E9B"/>
    <w:rsid w:val="77665300"/>
    <w:rsid w:val="776668EA"/>
    <w:rsid w:val="776E1C43"/>
    <w:rsid w:val="776F6A13"/>
    <w:rsid w:val="77752FD1"/>
    <w:rsid w:val="777C3A99"/>
    <w:rsid w:val="777D268A"/>
    <w:rsid w:val="777F5BFE"/>
    <w:rsid w:val="77802537"/>
    <w:rsid w:val="77814417"/>
    <w:rsid w:val="778356EE"/>
    <w:rsid w:val="778A22C8"/>
    <w:rsid w:val="778A6B73"/>
    <w:rsid w:val="778F321E"/>
    <w:rsid w:val="77A4357D"/>
    <w:rsid w:val="77AE670B"/>
    <w:rsid w:val="77B204A9"/>
    <w:rsid w:val="77B52D38"/>
    <w:rsid w:val="77B67734"/>
    <w:rsid w:val="77BF424C"/>
    <w:rsid w:val="77C11D73"/>
    <w:rsid w:val="77CB114B"/>
    <w:rsid w:val="77CB1A30"/>
    <w:rsid w:val="77D9530E"/>
    <w:rsid w:val="77DE1039"/>
    <w:rsid w:val="77E048EF"/>
    <w:rsid w:val="77E05069"/>
    <w:rsid w:val="77E108A2"/>
    <w:rsid w:val="77E85551"/>
    <w:rsid w:val="77F42148"/>
    <w:rsid w:val="77F55D5D"/>
    <w:rsid w:val="77FE4D75"/>
    <w:rsid w:val="77FE6B23"/>
    <w:rsid w:val="780138A2"/>
    <w:rsid w:val="780974B2"/>
    <w:rsid w:val="78144598"/>
    <w:rsid w:val="78160310"/>
    <w:rsid w:val="78250553"/>
    <w:rsid w:val="782C6235"/>
    <w:rsid w:val="783464A7"/>
    <w:rsid w:val="783B1B25"/>
    <w:rsid w:val="78423D48"/>
    <w:rsid w:val="78482494"/>
    <w:rsid w:val="78526E6F"/>
    <w:rsid w:val="785859A5"/>
    <w:rsid w:val="785D33E7"/>
    <w:rsid w:val="785D489D"/>
    <w:rsid w:val="78614E88"/>
    <w:rsid w:val="7866720A"/>
    <w:rsid w:val="78686692"/>
    <w:rsid w:val="786B7F9B"/>
    <w:rsid w:val="786C14C2"/>
    <w:rsid w:val="78774B27"/>
    <w:rsid w:val="7877762E"/>
    <w:rsid w:val="787A7E9F"/>
    <w:rsid w:val="787C3EEC"/>
    <w:rsid w:val="787D2FEB"/>
    <w:rsid w:val="788A2AAC"/>
    <w:rsid w:val="788B1F02"/>
    <w:rsid w:val="788C2381"/>
    <w:rsid w:val="788E5C50"/>
    <w:rsid w:val="78972AD3"/>
    <w:rsid w:val="78A76272"/>
    <w:rsid w:val="78A84CE1"/>
    <w:rsid w:val="78A8679B"/>
    <w:rsid w:val="78AC7D6F"/>
    <w:rsid w:val="78B86684"/>
    <w:rsid w:val="78BA47EC"/>
    <w:rsid w:val="78CA2E70"/>
    <w:rsid w:val="78CD15F4"/>
    <w:rsid w:val="78CF2423"/>
    <w:rsid w:val="78DB50B6"/>
    <w:rsid w:val="78E34B02"/>
    <w:rsid w:val="78E811D1"/>
    <w:rsid w:val="78E96C93"/>
    <w:rsid w:val="78EA00BA"/>
    <w:rsid w:val="78EC1071"/>
    <w:rsid w:val="78F92AA4"/>
    <w:rsid w:val="78FA0EF3"/>
    <w:rsid w:val="78FA7D70"/>
    <w:rsid w:val="78FD03CE"/>
    <w:rsid w:val="790243F1"/>
    <w:rsid w:val="79061C08"/>
    <w:rsid w:val="790A7005"/>
    <w:rsid w:val="790F5FD1"/>
    <w:rsid w:val="791365FE"/>
    <w:rsid w:val="791800B8"/>
    <w:rsid w:val="791B040F"/>
    <w:rsid w:val="791B1956"/>
    <w:rsid w:val="791F3A81"/>
    <w:rsid w:val="79254583"/>
    <w:rsid w:val="793228FA"/>
    <w:rsid w:val="793B7250"/>
    <w:rsid w:val="793C51B2"/>
    <w:rsid w:val="79424008"/>
    <w:rsid w:val="794D70AD"/>
    <w:rsid w:val="794F0D9D"/>
    <w:rsid w:val="794F5DED"/>
    <w:rsid w:val="7954485D"/>
    <w:rsid w:val="79561AC8"/>
    <w:rsid w:val="79586707"/>
    <w:rsid w:val="796055BB"/>
    <w:rsid w:val="79621333"/>
    <w:rsid w:val="79681A30"/>
    <w:rsid w:val="79733540"/>
    <w:rsid w:val="7973709D"/>
    <w:rsid w:val="79782905"/>
    <w:rsid w:val="797D172C"/>
    <w:rsid w:val="79844921"/>
    <w:rsid w:val="79865022"/>
    <w:rsid w:val="798E2A40"/>
    <w:rsid w:val="799460F3"/>
    <w:rsid w:val="79AB4A88"/>
    <w:rsid w:val="79AE4579"/>
    <w:rsid w:val="79B60DED"/>
    <w:rsid w:val="79BD4D0A"/>
    <w:rsid w:val="79C616A5"/>
    <w:rsid w:val="79C76953"/>
    <w:rsid w:val="79C773E8"/>
    <w:rsid w:val="79CD0EA3"/>
    <w:rsid w:val="79DC10E6"/>
    <w:rsid w:val="79F53FAD"/>
    <w:rsid w:val="79F833BF"/>
    <w:rsid w:val="7A187C44"/>
    <w:rsid w:val="7A197DB6"/>
    <w:rsid w:val="7A1D7E6E"/>
    <w:rsid w:val="7A266805"/>
    <w:rsid w:val="7A2B2B3C"/>
    <w:rsid w:val="7A2D6DC8"/>
    <w:rsid w:val="7A4602B8"/>
    <w:rsid w:val="7A505DAD"/>
    <w:rsid w:val="7A5B1251"/>
    <w:rsid w:val="7A5C5D83"/>
    <w:rsid w:val="7A5F41D4"/>
    <w:rsid w:val="7A622A67"/>
    <w:rsid w:val="7A637111"/>
    <w:rsid w:val="7A6A04A0"/>
    <w:rsid w:val="7A6A1AB9"/>
    <w:rsid w:val="7A6A78DB"/>
    <w:rsid w:val="7A710BA7"/>
    <w:rsid w:val="7A754286"/>
    <w:rsid w:val="7A7A0605"/>
    <w:rsid w:val="7A807F4C"/>
    <w:rsid w:val="7A8378C2"/>
    <w:rsid w:val="7A88301C"/>
    <w:rsid w:val="7A8D0632"/>
    <w:rsid w:val="7A8D62FA"/>
    <w:rsid w:val="7A977FC5"/>
    <w:rsid w:val="7A9814B1"/>
    <w:rsid w:val="7A992460"/>
    <w:rsid w:val="7AA833A4"/>
    <w:rsid w:val="7AAE4525"/>
    <w:rsid w:val="7AAF67FA"/>
    <w:rsid w:val="7ABB3F96"/>
    <w:rsid w:val="7ABC158E"/>
    <w:rsid w:val="7ABC24D7"/>
    <w:rsid w:val="7ABF6014"/>
    <w:rsid w:val="7ACD5386"/>
    <w:rsid w:val="7ACF47A6"/>
    <w:rsid w:val="7AD41939"/>
    <w:rsid w:val="7AD60112"/>
    <w:rsid w:val="7ADD519D"/>
    <w:rsid w:val="7AEA15E0"/>
    <w:rsid w:val="7AEC4D72"/>
    <w:rsid w:val="7AEC5358"/>
    <w:rsid w:val="7AF406B1"/>
    <w:rsid w:val="7AF65D6A"/>
    <w:rsid w:val="7AF7106B"/>
    <w:rsid w:val="7AFF62DC"/>
    <w:rsid w:val="7AFF67A2"/>
    <w:rsid w:val="7B05660A"/>
    <w:rsid w:val="7B0703E4"/>
    <w:rsid w:val="7B0A254F"/>
    <w:rsid w:val="7B1623D5"/>
    <w:rsid w:val="7B1E3137"/>
    <w:rsid w:val="7B25086A"/>
    <w:rsid w:val="7B262C9E"/>
    <w:rsid w:val="7B272834"/>
    <w:rsid w:val="7B2B077A"/>
    <w:rsid w:val="7B2E4000"/>
    <w:rsid w:val="7B3311D9"/>
    <w:rsid w:val="7B3364E1"/>
    <w:rsid w:val="7B3836F7"/>
    <w:rsid w:val="7B396B7D"/>
    <w:rsid w:val="7B3C1F59"/>
    <w:rsid w:val="7B3D4B20"/>
    <w:rsid w:val="7B3F3578"/>
    <w:rsid w:val="7B407452"/>
    <w:rsid w:val="7B491100"/>
    <w:rsid w:val="7B537186"/>
    <w:rsid w:val="7B537BEE"/>
    <w:rsid w:val="7B5573A2"/>
    <w:rsid w:val="7B581AC3"/>
    <w:rsid w:val="7B592205"/>
    <w:rsid w:val="7B5A5E7E"/>
    <w:rsid w:val="7B5F5AB6"/>
    <w:rsid w:val="7B6B5B27"/>
    <w:rsid w:val="7B713AB0"/>
    <w:rsid w:val="7B721B11"/>
    <w:rsid w:val="7B7517F2"/>
    <w:rsid w:val="7B831689"/>
    <w:rsid w:val="7B9652C4"/>
    <w:rsid w:val="7B9C6D7F"/>
    <w:rsid w:val="7BA06143"/>
    <w:rsid w:val="7BA9512D"/>
    <w:rsid w:val="7BB340C8"/>
    <w:rsid w:val="7BBA7205"/>
    <w:rsid w:val="7BC254CF"/>
    <w:rsid w:val="7BC26C10"/>
    <w:rsid w:val="7BCE2CB0"/>
    <w:rsid w:val="7BD36518"/>
    <w:rsid w:val="7BD74E83"/>
    <w:rsid w:val="7BDA558A"/>
    <w:rsid w:val="7BDB20F2"/>
    <w:rsid w:val="7BE00B87"/>
    <w:rsid w:val="7BE81FC4"/>
    <w:rsid w:val="7BEB4301"/>
    <w:rsid w:val="7BEC12EC"/>
    <w:rsid w:val="7BED75E5"/>
    <w:rsid w:val="7BEE728A"/>
    <w:rsid w:val="7BEF3120"/>
    <w:rsid w:val="7BEFF81C"/>
    <w:rsid w:val="7BF96898"/>
    <w:rsid w:val="7C0051D3"/>
    <w:rsid w:val="7C021BFF"/>
    <w:rsid w:val="7C06244A"/>
    <w:rsid w:val="7C0972AA"/>
    <w:rsid w:val="7C0B7A60"/>
    <w:rsid w:val="7C127041"/>
    <w:rsid w:val="7C172EA1"/>
    <w:rsid w:val="7C1B3D98"/>
    <w:rsid w:val="7C232FFC"/>
    <w:rsid w:val="7C246D74"/>
    <w:rsid w:val="7C2619F1"/>
    <w:rsid w:val="7C377F58"/>
    <w:rsid w:val="7C3E1BE4"/>
    <w:rsid w:val="7C4C264F"/>
    <w:rsid w:val="7C4D08BF"/>
    <w:rsid w:val="7C53272D"/>
    <w:rsid w:val="7C5950EA"/>
    <w:rsid w:val="7C5B3918"/>
    <w:rsid w:val="7C635BB6"/>
    <w:rsid w:val="7C655B98"/>
    <w:rsid w:val="7C683105"/>
    <w:rsid w:val="7C691019"/>
    <w:rsid w:val="7C6D4277"/>
    <w:rsid w:val="7C74451B"/>
    <w:rsid w:val="7C760E26"/>
    <w:rsid w:val="7C8F243F"/>
    <w:rsid w:val="7C8F4BFB"/>
    <w:rsid w:val="7C97070F"/>
    <w:rsid w:val="7C9D177F"/>
    <w:rsid w:val="7C9F2371"/>
    <w:rsid w:val="7CA7192E"/>
    <w:rsid w:val="7CA85DBF"/>
    <w:rsid w:val="7CB34B68"/>
    <w:rsid w:val="7CB46824"/>
    <w:rsid w:val="7CC83BA3"/>
    <w:rsid w:val="7CCA3477"/>
    <w:rsid w:val="7CCC021E"/>
    <w:rsid w:val="7CCD4D16"/>
    <w:rsid w:val="7CCE4FF6"/>
    <w:rsid w:val="7CD2057E"/>
    <w:rsid w:val="7CD442F6"/>
    <w:rsid w:val="7CD4792B"/>
    <w:rsid w:val="7CD940D7"/>
    <w:rsid w:val="7CDB38D7"/>
    <w:rsid w:val="7CDE1088"/>
    <w:rsid w:val="7CF3248A"/>
    <w:rsid w:val="7CF404F4"/>
    <w:rsid w:val="7CFC194F"/>
    <w:rsid w:val="7D0042EC"/>
    <w:rsid w:val="7D0050EB"/>
    <w:rsid w:val="7D0175BF"/>
    <w:rsid w:val="7D0F49D7"/>
    <w:rsid w:val="7D1053DC"/>
    <w:rsid w:val="7D1363DA"/>
    <w:rsid w:val="7D1965EB"/>
    <w:rsid w:val="7D1D6273"/>
    <w:rsid w:val="7D221505"/>
    <w:rsid w:val="7D281EBD"/>
    <w:rsid w:val="7D284642"/>
    <w:rsid w:val="7D2B75E2"/>
    <w:rsid w:val="7D2C0EF9"/>
    <w:rsid w:val="7D2C704B"/>
    <w:rsid w:val="7D354B8F"/>
    <w:rsid w:val="7D381051"/>
    <w:rsid w:val="7D3A0B32"/>
    <w:rsid w:val="7D3E79C1"/>
    <w:rsid w:val="7D4B43A1"/>
    <w:rsid w:val="7D5D078F"/>
    <w:rsid w:val="7D5E506A"/>
    <w:rsid w:val="7D605B8A"/>
    <w:rsid w:val="7D751B04"/>
    <w:rsid w:val="7D7A4E9D"/>
    <w:rsid w:val="7D7B492C"/>
    <w:rsid w:val="7D7D673C"/>
    <w:rsid w:val="7D8A1BBB"/>
    <w:rsid w:val="7D9817C8"/>
    <w:rsid w:val="7D9D2EC1"/>
    <w:rsid w:val="7DA15DA2"/>
    <w:rsid w:val="7DAE456B"/>
    <w:rsid w:val="7DAF3575"/>
    <w:rsid w:val="7DBA5FB7"/>
    <w:rsid w:val="7DC600E3"/>
    <w:rsid w:val="7DCB56F9"/>
    <w:rsid w:val="7DCE076E"/>
    <w:rsid w:val="7DCE4DF6"/>
    <w:rsid w:val="7DD30838"/>
    <w:rsid w:val="7DE33C3D"/>
    <w:rsid w:val="7DEC58BF"/>
    <w:rsid w:val="7DF03033"/>
    <w:rsid w:val="7DFB58B2"/>
    <w:rsid w:val="7E0368D8"/>
    <w:rsid w:val="7E0470FA"/>
    <w:rsid w:val="7E0C2037"/>
    <w:rsid w:val="7E11621C"/>
    <w:rsid w:val="7E163E97"/>
    <w:rsid w:val="7E1739A0"/>
    <w:rsid w:val="7E1B24C9"/>
    <w:rsid w:val="7E1C4C96"/>
    <w:rsid w:val="7E244BDB"/>
    <w:rsid w:val="7E251AE0"/>
    <w:rsid w:val="7E282B4B"/>
    <w:rsid w:val="7E293579"/>
    <w:rsid w:val="7E2B3DA2"/>
    <w:rsid w:val="7E3C190F"/>
    <w:rsid w:val="7E417769"/>
    <w:rsid w:val="7E4D4E24"/>
    <w:rsid w:val="7E5356EF"/>
    <w:rsid w:val="7E5A648D"/>
    <w:rsid w:val="7E5F4740"/>
    <w:rsid w:val="7E6401F6"/>
    <w:rsid w:val="7E663305"/>
    <w:rsid w:val="7E6873EC"/>
    <w:rsid w:val="7E6D055E"/>
    <w:rsid w:val="7E6F077A"/>
    <w:rsid w:val="7E7074A7"/>
    <w:rsid w:val="7E720703"/>
    <w:rsid w:val="7E722019"/>
    <w:rsid w:val="7E751B09"/>
    <w:rsid w:val="7E757ABD"/>
    <w:rsid w:val="7E76546C"/>
    <w:rsid w:val="7E7A0ECD"/>
    <w:rsid w:val="7E8104AE"/>
    <w:rsid w:val="7E87442F"/>
    <w:rsid w:val="7E891110"/>
    <w:rsid w:val="7E8D033F"/>
    <w:rsid w:val="7E8D0C00"/>
    <w:rsid w:val="7E92027A"/>
    <w:rsid w:val="7E971A7F"/>
    <w:rsid w:val="7E977CD1"/>
    <w:rsid w:val="7E996E25"/>
    <w:rsid w:val="7E9A4977"/>
    <w:rsid w:val="7E9E2E0E"/>
    <w:rsid w:val="7E9F76F2"/>
    <w:rsid w:val="7EA1294C"/>
    <w:rsid w:val="7EA12A16"/>
    <w:rsid w:val="7EA339B2"/>
    <w:rsid w:val="7EA877E8"/>
    <w:rsid w:val="7EA94FED"/>
    <w:rsid w:val="7EB002E5"/>
    <w:rsid w:val="7EB52241"/>
    <w:rsid w:val="7EBD3942"/>
    <w:rsid w:val="7EC363D0"/>
    <w:rsid w:val="7EC42148"/>
    <w:rsid w:val="7ECD225B"/>
    <w:rsid w:val="7ED17B3E"/>
    <w:rsid w:val="7EDE76AE"/>
    <w:rsid w:val="7EDF04BA"/>
    <w:rsid w:val="7EE03426"/>
    <w:rsid w:val="7EE23801"/>
    <w:rsid w:val="7EE527EB"/>
    <w:rsid w:val="7EE54599"/>
    <w:rsid w:val="7EF300D6"/>
    <w:rsid w:val="7EF63574"/>
    <w:rsid w:val="7EF73380"/>
    <w:rsid w:val="7F01514B"/>
    <w:rsid w:val="7F1EC1CF"/>
    <w:rsid w:val="7F2350C1"/>
    <w:rsid w:val="7F3207CA"/>
    <w:rsid w:val="7F3472CE"/>
    <w:rsid w:val="7F3B68AE"/>
    <w:rsid w:val="7F4B10D0"/>
    <w:rsid w:val="7F596D35"/>
    <w:rsid w:val="7F5A27DA"/>
    <w:rsid w:val="7F5B7CB9"/>
    <w:rsid w:val="7F5C05D3"/>
    <w:rsid w:val="7F5D4A77"/>
    <w:rsid w:val="7F663065"/>
    <w:rsid w:val="7F6A7194"/>
    <w:rsid w:val="7F6B1BAD"/>
    <w:rsid w:val="7F701B3E"/>
    <w:rsid w:val="7F7141D8"/>
    <w:rsid w:val="7F783734"/>
    <w:rsid w:val="7F7B314F"/>
    <w:rsid w:val="7F7B6CAB"/>
    <w:rsid w:val="7F7D5708"/>
    <w:rsid w:val="7F8F09A8"/>
    <w:rsid w:val="7F911DDB"/>
    <w:rsid w:val="7F961FA8"/>
    <w:rsid w:val="7F9A7290"/>
    <w:rsid w:val="7FA670AF"/>
    <w:rsid w:val="7FAB583A"/>
    <w:rsid w:val="7FAD6F33"/>
    <w:rsid w:val="7FB0104A"/>
    <w:rsid w:val="7FB02E22"/>
    <w:rsid w:val="7FB4040F"/>
    <w:rsid w:val="7FB7323C"/>
    <w:rsid w:val="7FBD73EE"/>
    <w:rsid w:val="7FC00703"/>
    <w:rsid w:val="7FC42986"/>
    <w:rsid w:val="7FC44AF6"/>
    <w:rsid w:val="7FC458B0"/>
    <w:rsid w:val="7FCD41AB"/>
    <w:rsid w:val="7FD73216"/>
    <w:rsid w:val="7FD76069"/>
    <w:rsid w:val="7FE117F7"/>
    <w:rsid w:val="7FE57A5D"/>
    <w:rsid w:val="7FF308BE"/>
    <w:rsid w:val="7FF802FC"/>
    <w:rsid w:val="7FF9061E"/>
    <w:rsid w:val="7FFA6640"/>
    <w:rsid w:val="AB7E4BDD"/>
    <w:rsid w:val="B9391AD9"/>
    <w:rsid w:val="BDDDAB8D"/>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qFormat="1"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5">
    <w:name w:val="heading 1"/>
    <w:basedOn w:val="1"/>
    <w:next w:val="1"/>
    <w:link w:val="118"/>
    <w:qFormat/>
    <w:uiPriority w:val="0"/>
    <w:pPr>
      <w:keepNext/>
      <w:numPr>
        <w:ilvl w:val="0"/>
        <w:numId w:val="1"/>
      </w:numPr>
      <w:tabs>
        <w:tab w:val="left" w:pos="480"/>
      </w:tabs>
      <w:spacing w:beforeLines="100" w:afterLines="100" w:line="240" w:lineRule="auto"/>
      <w:ind w:firstLine="0" w:firstLineChars="0"/>
      <w:jc w:val="center"/>
      <w:outlineLvl w:val="0"/>
    </w:pPr>
    <w:rPr>
      <w:b/>
      <w:sz w:val="36"/>
      <w:szCs w:val="20"/>
    </w:rPr>
  </w:style>
  <w:style w:type="paragraph" w:styleId="6">
    <w:name w:val="heading 2"/>
    <w:basedOn w:val="1"/>
    <w:next w:val="1"/>
    <w:link w:val="81"/>
    <w:unhideWhenUsed/>
    <w:qFormat/>
    <w:uiPriority w:val="0"/>
    <w:pPr>
      <w:keepNext/>
      <w:keepLines/>
      <w:numPr>
        <w:ilvl w:val="1"/>
        <w:numId w:val="1"/>
      </w:numPr>
      <w:tabs>
        <w:tab w:val="left" w:pos="480"/>
      </w:tabs>
      <w:spacing w:beforeLines="50" w:afterLines="50" w:line="240" w:lineRule="auto"/>
      <w:ind w:firstLine="0" w:firstLineChars="0"/>
      <w:jc w:val="center"/>
      <w:outlineLvl w:val="1"/>
    </w:pPr>
    <w:rPr>
      <w:rFonts w:ascii="Arial" w:hAnsi="Arial"/>
      <w:bCs/>
      <w:sz w:val="30"/>
      <w:szCs w:val="32"/>
    </w:rPr>
  </w:style>
  <w:style w:type="paragraph" w:styleId="7">
    <w:name w:val="heading 3"/>
    <w:basedOn w:val="1"/>
    <w:next w:val="1"/>
    <w:link w:val="97"/>
    <w:unhideWhenUsed/>
    <w:qFormat/>
    <w:uiPriority w:val="0"/>
    <w:pPr>
      <w:numPr>
        <w:ilvl w:val="2"/>
        <w:numId w:val="1"/>
      </w:numPr>
      <w:tabs>
        <w:tab w:val="left" w:pos="2651"/>
      </w:tabs>
      <w:ind w:firstLine="0" w:firstLineChars="0"/>
      <w:jc w:val="left"/>
      <w:outlineLvl w:val="2"/>
    </w:pPr>
    <w:rPr>
      <w:rFonts w:ascii="仿宋_GB2312" w:hAnsi="仿宋_GB2312"/>
      <w:b/>
      <w:kern w:val="0"/>
      <w:sz w:val="28"/>
      <w:szCs w:val="20"/>
    </w:rPr>
  </w:style>
  <w:style w:type="paragraph" w:styleId="8">
    <w:name w:val="heading 4"/>
    <w:basedOn w:val="1"/>
    <w:next w:val="1"/>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9">
    <w:name w:val="heading 5"/>
    <w:basedOn w:val="1"/>
    <w:next w:val="1"/>
    <w:unhideWhenUsed/>
    <w:qFormat/>
    <w:uiPriority w:val="0"/>
    <w:pPr>
      <w:keepNext/>
      <w:keepLines/>
      <w:numPr>
        <w:ilvl w:val="4"/>
        <w:numId w:val="1"/>
      </w:numPr>
      <w:spacing w:line="372" w:lineRule="auto"/>
      <w:ind w:firstLine="0" w:firstLineChars="0"/>
      <w:outlineLvl w:val="4"/>
    </w:pPr>
    <w:rPr>
      <w:b/>
      <w:sz w:val="28"/>
    </w:rPr>
  </w:style>
  <w:style w:type="paragraph" w:styleId="10">
    <w:name w:val="heading 6"/>
    <w:basedOn w:val="1"/>
    <w:next w:val="1"/>
    <w:qFormat/>
    <w:uiPriority w:val="0"/>
    <w:pPr>
      <w:keepNext/>
      <w:keepLines/>
      <w:widowControl/>
      <w:numPr>
        <w:ilvl w:val="5"/>
        <w:numId w:val="1"/>
      </w:numPr>
      <w:tabs>
        <w:tab w:val="left" w:pos="1440"/>
      </w:tabs>
      <w:spacing w:before="240" w:after="64" w:line="317" w:lineRule="auto"/>
      <w:ind w:firstLine="0" w:firstLineChars="0"/>
      <w:jc w:val="left"/>
      <w:outlineLvl w:val="5"/>
    </w:pPr>
    <w:rPr>
      <w:rFonts w:ascii="Arial" w:hAnsi="Arial" w:eastAsia="黑体"/>
      <w:b/>
      <w:kern w:val="0"/>
      <w:szCs w:val="20"/>
    </w:rPr>
  </w:style>
  <w:style w:type="paragraph" w:styleId="11">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jc w:val="both"/>
    </w:pPr>
    <w:rPr>
      <w:rFonts w:ascii="Calibri" w:hAnsi="Calibri" w:cs="Times New Roman"/>
      <w:sz w:val="21"/>
      <w:szCs w:val="21"/>
    </w:rPr>
  </w:style>
  <w:style w:type="paragraph" w:styleId="3">
    <w:name w:val="Body Text"/>
    <w:basedOn w:val="1"/>
    <w:next w:val="2"/>
    <w:link w:val="72"/>
    <w:qFormat/>
    <w:uiPriority w:val="0"/>
    <w:pPr>
      <w:jc w:val="left"/>
    </w:pPr>
    <w:rPr>
      <w:bCs/>
    </w:rPr>
  </w:style>
  <w:style w:type="paragraph" w:styleId="4">
    <w:name w:val="toc 6"/>
    <w:basedOn w:val="1"/>
    <w:next w:val="1"/>
    <w:unhideWhenUsed/>
    <w:qFormat/>
    <w:uiPriority w:val="39"/>
    <w:pPr>
      <w:spacing w:line="240" w:lineRule="auto"/>
      <w:ind w:left="1050" w:firstLine="0" w:firstLineChars="0"/>
      <w:jc w:val="left"/>
    </w:pPr>
    <w:rPr>
      <w:szCs w:val="21"/>
    </w:rPr>
  </w:style>
  <w:style w:type="paragraph" w:styleId="14">
    <w:name w:val="List Number"/>
    <w:basedOn w:val="1"/>
    <w:next w:val="15"/>
    <w:qFormat/>
    <w:uiPriority w:val="0"/>
    <w:pPr>
      <w:numPr>
        <w:ilvl w:val="0"/>
        <w:numId w:val="2"/>
      </w:numPr>
    </w:pPr>
  </w:style>
  <w:style w:type="paragraph" w:styleId="15">
    <w:name w:val="Balloon Text"/>
    <w:basedOn w:val="1"/>
    <w:next w:val="16"/>
    <w:link w:val="87"/>
    <w:qFormat/>
    <w:uiPriority w:val="0"/>
    <w:pPr>
      <w:spacing w:line="240" w:lineRule="auto"/>
    </w:pPr>
    <w:rPr>
      <w:sz w:val="18"/>
      <w:szCs w:val="18"/>
    </w:rPr>
  </w:style>
  <w:style w:type="paragraph" w:styleId="16">
    <w:name w:val="toc 8"/>
    <w:basedOn w:val="1"/>
    <w:next w:val="1"/>
    <w:qFormat/>
    <w:uiPriority w:val="0"/>
    <w:pPr>
      <w:ind w:left="2940" w:leftChars="1400"/>
    </w:pPr>
  </w:style>
  <w:style w:type="paragraph" w:styleId="17">
    <w:name w:val="Normal Indent"/>
    <w:basedOn w:val="1"/>
    <w:next w:val="1"/>
    <w:qFormat/>
    <w:uiPriority w:val="0"/>
    <w:pPr>
      <w:ind w:firstLine="420"/>
    </w:pPr>
    <w:rPr>
      <w:rFonts w:ascii="Calibri" w:hAnsi="Calibri" w:cs="Times New Roman"/>
    </w:rPr>
  </w:style>
  <w:style w:type="paragraph" w:styleId="18">
    <w:name w:val="caption"/>
    <w:basedOn w:val="1"/>
    <w:next w:val="1"/>
    <w:qFormat/>
    <w:uiPriority w:val="0"/>
    <w:rPr>
      <w:rFonts w:ascii="Arial" w:hAnsi="Arial" w:eastAsia="黑体" w:cs="Arial"/>
      <w:sz w:val="20"/>
      <w:szCs w:val="20"/>
    </w:rPr>
  </w:style>
  <w:style w:type="paragraph" w:styleId="19">
    <w:name w:val="index 5"/>
    <w:basedOn w:val="1"/>
    <w:next w:val="1"/>
    <w:qFormat/>
    <w:uiPriority w:val="0"/>
    <w:pPr>
      <w:ind w:left="1680"/>
    </w:pPr>
  </w:style>
  <w:style w:type="paragraph" w:styleId="20">
    <w:name w:val="toa heading"/>
    <w:basedOn w:val="1"/>
    <w:next w:val="1"/>
    <w:qFormat/>
    <w:uiPriority w:val="0"/>
    <w:rPr>
      <w:rFonts w:ascii="Arial" w:hAnsi="Arial"/>
      <w:sz w:val="24"/>
      <w:szCs w:val="20"/>
    </w:rPr>
  </w:style>
  <w:style w:type="paragraph" w:styleId="21">
    <w:name w:val="annotation text"/>
    <w:basedOn w:val="1"/>
    <w:unhideWhenUsed/>
    <w:qFormat/>
    <w:uiPriority w:val="0"/>
    <w:pPr>
      <w:jc w:val="left"/>
    </w:pPr>
  </w:style>
  <w:style w:type="paragraph" w:styleId="22">
    <w:name w:val="Body Text 3"/>
    <w:basedOn w:val="1"/>
    <w:qFormat/>
    <w:uiPriority w:val="0"/>
    <w:pPr>
      <w:snapToGrid w:val="0"/>
    </w:pPr>
  </w:style>
  <w:style w:type="paragraph" w:styleId="23">
    <w:name w:val="Body Text Indent"/>
    <w:basedOn w:val="1"/>
    <w:next w:val="1"/>
    <w:link w:val="88"/>
    <w:qFormat/>
    <w:uiPriority w:val="0"/>
    <w:pPr>
      <w:ind w:left="420" w:leftChars="200"/>
    </w:pPr>
  </w:style>
  <w:style w:type="paragraph" w:styleId="24">
    <w:name w:val="List 2"/>
    <w:basedOn w:val="1"/>
    <w:qFormat/>
    <w:uiPriority w:val="99"/>
    <w:pPr>
      <w:ind w:left="100" w:leftChars="200" w:hanging="200" w:hangingChars="200"/>
      <w:contextualSpacing/>
    </w:pPr>
  </w:style>
  <w:style w:type="paragraph" w:styleId="25">
    <w:name w:val="toc 3"/>
    <w:basedOn w:val="1"/>
    <w:next w:val="1"/>
    <w:unhideWhenUsed/>
    <w:qFormat/>
    <w:uiPriority w:val="0"/>
    <w:pPr>
      <w:ind w:left="840" w:leftChars="400"/>
    </w:pPr>
  </w:style>
  <w:style w:type="paragraph" w:styleId="26">
    <w:name w:val="Plain Text"/>
    <w:basedOn w:val="1"/>
    <w:next w:val="1"/>
    <w:qFormat/>
    <w:uiPriority w:val="0"/>
    <w:rPr>
      <w:rFonts w:ascii="宋体" w:hAnsi="Courier New"/>
      <w:szCs w:val="20"/>
    </w:rPr>
  </w:style>
  <w:style w:type="paragraph" w:styleId="27">
    <w:name w:val="Date"/>
    <w:basedOn w:val="1"/>
    <w:next w:val="1"/>
    <w:qFormat/>
    <w:uiPriority w:val="0"/>
    <w:rPr>
      <w:rFonts w:ascii="楷体_GB2312" w:eastAsia="楷体_GB2312"/>
      <w:b/>
      <w:sz w:val="28"/>
    </w:rPr>
  </w:style>
  <w:style w:type="paragraph" w:styleId="28">
    <w:name w:val="Body Text Indent 2"/>
    <w:basedOn w:val="1"/>
    <w:qFormat/>
    <w:uiPriority w:val="0"/>
    <w:pPr>
      <w:spacing w:line="432" w:lineRule="auto"/>
      <w:ind w:firstLine="480"/>
    </w:pPr>
    <w:rPr>
      <w:szCs w:val="21"/>
    </w:rPr>
  </w:style>
  <w:style w:type="paragraph" w:styleId="29">
    <w:name w:val="endnote text"/>
    <w:basedOn w:val="1"/>
    <w:qFormat/>
    <w:uiPriority w:val="99"/>
    <w:rPr>
      <w:rFonts w:ascii="Calibri" w:hAnsi="Calibri" w:cs="Calibri" w:eastAsiaTheme="minorEastAsia"/>
      <w:sz w:val="21"/>
      <w:szCs w:val="21"/>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b/>
      <w:sz w:val="18"/>
      <w:szCs w:val="18"/>
    </w:rPr>
  </w:style>
  <w:style w:type="paragraph" w:styleId="32">
    <w:name w:val="toc 1"/>
    <w:basedOn w:val="1"/>
    <w:next w:val="1"/>
    <w:qFormat/>
    <w:uiPriority w:val="0"/>
    <w:pPr>
      <w:tabs>
        <w:tab w:val="right" w:leader="hyphen" w:pos="9628"/>
      </w:tabs>
      <w:spacing w:line="800" w:lineRule="exact"/>
      <w:jc w:val="left"/>
    </w:pPr>
    <w:rPr>
      <w:rFonts w:ascii="新宋体" w:hAnsi="新宋体" w:eastAsia="新宋体"/>
      <w:b/>
      <w:bCs/>
      <w:caps/>
      <w:sz w:val="28"/>
      <w:szCs w:val="28"/>
    </w:rPr>
  </w:style>
  <w:style w:type="paragraph" w:styleId="33">
    <w:name w:val="toc 4"/>
    <w:basedOn w:val="1"/>
    <w:next w:val="1"/>
    <w:qFormat/>
    <w:uiPriority w:val="0"/>
    <w:pPr>
      <w:ind w:left="630"/>
      <w:jc w:val="left"/>
    </w:pPr>
    <w:rPr>
      <w:sz w:val="18"/>
      <w:szCs w:val="18"/>
    </w:rPr>
  </w:style>
  <w:style w:type="paragraph" w:styleId="34">
    <w:name w:val="Subtitle"/>
    <w:basedOn w:val="1"/>
    <w:next w:val="1"/>
    <w:link w:val="165"/>
    <w:qFormat/>
    <w:uiPriority w:val="0"/>
    <w:pPr>
      <w:spacing w:before="240" w:after="60" w:line="312" w:lineRule="auto"/>
      <w:jc w:val="center"/>
      <w:outlineLvl w:val="1"/>
    </w:pPr>
    <w:rPr>
      <w:rFonts w:ascii="Cambria" w:hAnsi="Cambria"/>
      <w:b/>
      <w:bCs/>
      <w:kern w:val="28"/>
      <w:sz w:val="32"/>
      <w:szCs w:val="32"/>
    </w:rPr>
  </w:style>
  <w:style w:type="paragraph" w:styleId="35">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36">
    <w:name w:val="toc 2"/>
    <w:basedOn w:val="1"/>
    <w:next w:val="1"/>
    <w:qFormat/>
    <w:uiPriority w:val="0"/>
    <w:pPr>
      <w:tabs>
        <w:tab w:val="right" w:leader="hyphen" w:pos="9628"/>
      </w:tabs>
      <w:spacing w:line="800" w:lineRule="exact"/>
      <w:ind w:left="420" w:leftChars="200"/>
      <w:jc w:val="left"/>
    </w:pPr>
    <w:rPr>
      <w:rFonts w:ascii="宋体" w:hAnsi="宋体"/>
      <w:b/>
      <w:smallCaps/>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8">
    <w:name w:val="Normal (Web)"/>
    <w:basedOn w:val="1"/>
    <w:qFormat/>
    <w:uiPriority w:val="0"/>
    <w:pPr>
      <w:widowControl/>
      <w:spacing w:before="100" w:beforeAutospacing="1" w:after="100" w:afterAutospacing="1"/>
      <w:jc w:val="left"/>
    </w:pPr>
    <w:rPr>
      <w:rFonts w:ascii="宋体" w:hAnsi="宋体"/>
      <w:kern w:val="0"/>
    </w:rPr>
  </w:style>
  <w:style w:type="paragraph" w:styleId="39">
    <w:name w:val="Title"/>
    <w:basedOn w:val="1"/>
    <w:next w:val="1"/>
    <w:qFormat/>
    <w:uiPriority w:val="0"/>
    <w:pPr>
      <w:spacing w:before="240" w:after="60"/>
      <w:jc w:val="center"/>
      <w:outlineLvl w:val="0"/>
    </w:pPr>
    <w:rPr>
      <w:rFonts w:ascii="Arial" w:hAnsi="Arial" w:cs="Arial"/>
      <w:b/>
      <w:bCs/>
      <w:sz w:val="32"/>
      <w:szCs w:val="32"/>
    </w:rPr>
  </w:style>
  <w:style w:type="paragraph" w:styleId="40">
    <w:name w:val="Body Text First Indent 2"/>
    <w:basedOn w:val="23"/>
    <w:next w:val="41"/>
    <w:qFormat/>
    <w:uiPriority w:val="0"/>
    <w:pPr>
      <w:snapToGrid w:val="0"/>
      <w:spacing w:after="120" w:line="240" w:lineRule="auto"/>
      <w:ind w:firstLine="420"/>
    </w:pPr>
    <w:rPr>
      <w:rFonts w:hint="eastAsia" w:ascii="宋体" w:cs="Times New Roman"/>
      <w:kern w:val="0"/>
      <w:sz w:val="21"/>
      <w:szCs w:val="21"/>
    </w:rPr>
  </w:style>
  <w:style w:type="paragraph" w:customStyle="1" w:styleId="41">
    <w:name w:val="文章正文"/>
    <w:basedOn w:val="1"/>
    <w:next w:val="42"/>
    <w:qFormat/>
    <w:uiPriority w:val="0"/>
    <w:pPr>
      <w:spacing w:line="360" w:lineRule="auto"/>
      <w:ind w:firstLine="200"/>
    </w:pPr>
    <w:rPr>
      <w:rFonts w:ascii="Calibri" w:hAnsi="Calibri" w:cs="Times New Roman"/>
    </w:rPr>
  </w:style>
  <w:style w:type="paragraph" w:customStyle="1" w:styleId="42">
    <w:name w:val="公式样式 变量"/>
    <w:qFormat/>
    <w:uiPriority w:val="0"/>
    <w:rPr>
      <w:rFonts w:ascii="Times New Roman" w:hAnsi="Times New Roman" w:eastAsia="宋体" w:cs="Times New Roman"/>
      <w:i/>
      <w:lang w:val="en-US" w:eastAsia="zh-CN" w:bidi="ar-SA"/>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basedOn w:val="45"/>
    <w:qFormat/>
    <w:uiPriority w:val="0"/>
    <w:rPr>
      <w:b/>
      <w:bCs/>
    </w:rPr>
  </w:style>
  <w:style w:type="character" w:styleId="47">
    <w:name w:val="page number"/>
    <w:basedOn w:val="45"/>
    <w:unhideWhenUsed/>
    <w:qFormat/>
    <w:uiPriority w:val="99"/>
  </w:style>
  <w:style w:type="character" w:styleId="48">
    <w:name w:val="Hyperlink"/>
    <w:basedOn w:val="45"/>
    <w:qFormat/>
    <w:uiPriority w:val="0"/>
    <w:rPr>
      <w:color w:val="0000FF"/>
      <w:u w:val="single"/>
    </w:rPr>
  </w:style>
  <w:style w:type="paragraph" w:customStyle="1" w:styleId="4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0">
    <w:name w:val="表格文字"/>
    <w:basedOn w:val="51"/>
    <w:next w:val="3"/>
    <w:qFormat/>
    <w:uiPriority w:val="0"/>
    <w:pPr>
      <w:adjustRightInd w:val="0"/>
      <w:spacing w:line="420" w:lineRule="atLeast"/>
      <w:jc w:val="left"/>
      <w:textAlignment w:val="baseline"/>
    </w:pPr>
    <w:rPr>
      <w:kern w:val="0"/>
    </w:rPr>
  </w:style>
  <w:style w:type="paragraph" w:customStyle="1" w:styleId="51">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52">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53">
    <w:name w:val="1正文"/>
    <w:basedOn w:val="1"/>
    <w:qFormat/>
    <w:uiPriority w:val="0"/>
    <w:pPr>
      <w:ind w:firstLine="480"/>
      <w:contextualSpacing/>
      <w:jc w:val="left"/>
    </w:pPr>
    <w:rPr>
      <w:rFonts w:ascii="仿宋" w:eastAsiaTheme="minorEastAsia"/>
      <w:bCs/>
      <w:color w:val="000000"/>
      <w:szCs w:val="30"/>
    </w:rPr>
  </w:style>
  <w:style w:type="paragraph" w:customStyle="1" w:styleId="54">
    <w:name w:val="样式 表格正文 + 两端对齐"/>
    <w:basedOn w:val="1"/>
    <w:next w:val="1"/>
    <w:qFormat/>
    <w:uiPriority w:val="0"/>
    <w:pPr>
      <w:spacing w:line="300" w:lineRule="auto"/>
      <w:ind w:firstLine="0"/>
    </w:pPr>
  </w:style>
  <w:style w:type="paragraph" w:customStyle="1" w:styleId="55">
    <w:name w:val="Body Text First Indent1"/>
    <w:basedOn w:val="3"/>
    <w:next w:val="4"/>
    <w:qFormat/>
    <w:uiPriority w:val="0"/>
    <w:pPr>
      <w:keepNext w:val="0"/>
      <w:keepLines w:val="0"/>
      <w:widowControl w:val="0"/>
      <w:suppressLineNumbers w:val="0"/>
      <w:spacing w:after="120" w:afterLines="0" w:afterAutospacing="0"/>
      <w:ind w:firstLine="420" w:firstLineChars="100"/>
      <w:jc w:val="both"/>
    </w:pPr>
    <w:rPr>
      <w:rFonts w:hint="default" w:ascii="Calibri" w:hAnsi="Calibri" w:eastAsia="宋体" w:cs="Calibri"/>
      <w:kern w:val="2"/>
      <w:sz w:val="21"/>
      <w:szCs w:val="21"/>
      <w:lang w:val="en-US" w:eastAsia="zh-CN"/>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Heading2"/>
    <w:basedOn w:val="1"/>
    <w:next w:val="1"/>
    <w:qFormat/>
    <w:uiPriority w:val="0"/>
    <w:pPr>
      <w:keepNext/>
      <w:keepLines/>
      <w:spacing w:before="260" w:after="260" w:line="416" w:lineRule="auto"/>
    </w:pPr>
    <w:rPr>
      <w:rFonts w:ascii="Cambria" w:hAnsi="Cambria"/>
      <w:sz w:val="32"/>
      <w:szCs w:val="32"/>
    </w:rPr>
  </w:style>
  <w:style w:type="paragraph" w:customStyle="1" w:styleId="59">
    <w:name w:val="正文1"/>
    <w:basedOn w:val="25"/>
    <w:next w:val="60"/>
    <w:qFormat/>
    <w:uiPriority w:val="0"/>
    <w:pPr>
      <w:widowControl/>
      <w:snapToGrid w:val="0"/>
      <w:ind w:firstLine="567"/>
    </w:pPr>
    <w:rPr>
      <w:rFonts w:ascii="楷体_GB2312" w:eastAsia="楷体_GB2312"/>
      <w:kern w:val="0"/>
      <w:sz w:val="28"/>
      <w:szCs w:val="20"/>
    </w:rPr>
  </w:style>
  <w:style w:type="paragraph" w:customStyle="1" w:styleId="60">
    <w:name w:val="自动更正"/>
    <w:next w:val="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xl39"/>
    <w:basedOn w:val="1"/>
    <w:next w:val="6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6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63">
    <w:name w:val="BodyText1I"/>
    <w:basedOn w:val="64"/>
    <w:qFormat/>
    <w:uiPriority w:val="0"/>
    <w:pPr>
      <w:spacing w:after="120"/>
      <w:ind w:firstLine="420"/>
    </w:pPr>
    <w:rPr>
      <w:rFonts w:ascii="仿宋_GB2312" w:hAnsi="Times New Roman" w:eastAsia="仿宋_GB2312"/>
      <w:sz w:val="28"/>
      <w:lang w:bidi="ar-SA"/>
    </w:rPr>
  </w:style>
  <w:style w:type="paragraph" w:customStyle="1" w:styleId="64">
    <w:name w:val="BodyText"/>
    <w:basedOn w:val="1"/>
    <w:qFormat/>
    <w:uiPriority w:val="0"/>
    <w:pPr>
      <w:textAlignment w:val="baseline"/>
    </w:pPr>
    <w:rPr>
      <w:rFonts w:ascii="仿宋" w:hAnsi="仿宋" w:eastAsia="仿宋"/>
      <w:lang w:val="zh-CN" w:bidi="zh-CN"/>
    </w:rPr>
  </w:style>
  <w:style w:type="paragraph" w:customStyle="1" w:styleId="65">
    <w:name w:val="标准正文"/>
    <w:basedOn w:val="1"/>
    <w:qFormat/>
    <w:uiPriority w:val="0"/>
    <w:pPr>
      <w:spacing w:line="360" w:lineRule="auto"/>
      <w:ind w:firstLine="200"/>
    </w:pPr>
    <w:rPr>
      <w:szCs w:val="20"/>
    </w:rPr>
  </w:style>
  <w:style w:type="paragraph" w:customStyle="1" w:styleId="66">
    <w:name w:val="章正文"/>
    <w:basedOn w:val="1"/>
    <w:qFormat/>
    <w:uiPriority w:val="0"/>
    <w:pPr>
      <w:spacing w:before="156" w:beforeLines="50" w:after="120" w:line="300" w:lineRule="auto"/>
      <w:ind w:firstLine="480"/>
    </w:pPr>
    <w:rPr>
      <w:rFonts w:ascii="Helvetica" w:hAnsi="Helvetica"/>
      <w:kern w:val="0"/>
    </w:rPr>
  </w:style>
  <w:style w:type="paragraph" w:customStyle="1" w:styleId="67">
    <w:name w:val="正文文本 31"/>
    <w:basedOn w:val="1"/>
    <w:qFormat/>
    <w:uiPriority w:val="0"/>
    <w:rPr>
      <w:sz w:val="16"/>
      <w:szCs w:val="16"/>
    </w:rPr>
  </w:style>
  <w:style w:type="paragraph" w:customStyle="1" w:styleId="68">
    <w:name w:val="Char Char1 Char"/>
    <w:basedOn w:val="1"/>
    <w:qFormat/>
    <w:uiPriority w:val="0"/>
  </w:style>
  <w:style w:type="character" w:customStyle="1" w:styleId="69">
    <w:name w:val="标题 2 Char"/>
    <w:basedOn w:val="45"/>
    <w:link w:val="6"/>
    <w:qFormat/>
    <w:uiPriority w:val="0"/>
    <w:rPr>
      <w:rFonts w:ascii="Arial" w:hAnsi="Arial" w:eastAsia="宋体" w:cstheme="minorBidi"/>
      <w:b/>
      <w:bCs/>
      <w:sz w:val="28"/>
      <w:szCs w:val="32"/>
    </w:rPr>
  </w:style>
  <w:style w:type="character" w:customStyle="1" w:styleId="70">
    <w:name w:val="标题 3 Char"/>
    <w:qFormat/>
    <w:uiPriority w:val="9"/>
    <w:rPr>
      <w:rFonts w:ascii="仿宋_GB2312" w:hAnsi="仿宋_GB2312" w:eastAsia="宋体" w:cstheme="minorBidi"/>
      <w:b/>
      <w:bCs/>
      <w:sz w:val="28"/>
      <w:szCs w:val="20"/>
    </w:rPr>
  </w:style>
  <w:style w:type="character" w:customStyle="1" w:styleId="71">
    <w:name w:val="标题 1 Char"/>
    <w:qFormat/>
    <w:locked/>
    <w:uiPriority w:val="99"/>
    <w:rPr>
      <w:rFonts w:ascii="Times New Roman" w:hAnsi="Times New Roman" w:eastAsia="宋体" w:cstheme="minorBidi"/>
      <w:b/>
      <w:sz w:val="36"/>
      <w:szCs w:val="20"/>
    </w:rPr>
  </w:style>
  <w:style w:type="character" w:customStyle="1" w:styleId="72">
    <w:name w:val="正文文本 Char"/>
    <w:basedOn w:val="45"/>
    <w:link w:val="3"/>
    <w:semiHidden/>
    <w:qFormat/>
    <w:locked/>
    <w:uiPriority w:val="99"/>
    <w:rPr>
      <w:rFonts w:ascii="Calibri" w:hAnsi="Calibri" w:eastAsia="仿宋" w:cs="Times New Roman"/>
      <w:sz w:val="24"/>
    </w:rPr>
  </w:style>
  <w:style w:type="paragraph" w:customStyle="1" w:styleId="73">
    <w:name w:val="普通(网站)1"/>
    <w:basedOn w:val="1"/>
    <w:qFormat/>
    <w:uiPriority w:val="0"/>
    <w:pPr>
      <w:widowControl/>
      <w:spacing w:beforeAutospacing="1" w:afterAutospacing="1"/>
      <w:jc w:val="left"/>
    </w:pPr>
    <w:rPr>
      <w:rFonts w:ascii="宋体" w:hAnsi="宋体"/>
      <w:kern w:val="0"/>
      <w:szCs w:val="20"/>
    </w:rPr>
  </w:style>
  <w:style w:type="paragraph" w:customStyle="1" w:styleId="74">
    <w:name w:val="索引 11"/>
    <w:basedOn w:val="1"/>
    <w:next w:val="1"/>
    <w:qFormat/>
    <w:uiPriority w:val="0"/>
    <w:pPr>
      <w:snapToGrid w:val="0"/>
    </w:pPr>
    <w:rPr>
      <w:szCs w:val="21"/>
    </w:rPr>
  </w:style>
  <w:style w:type="character" w:customStyle="1" w:styleId="75">
    <w:name w:val="large1"/>
    <w:qFormat/>
    <w:uiPriority w:val="0"/>
    <w:rPr>
      <w:rFonts w:hint="eastAsia" w:ascii="宋体" w:hAnsi="宋体" w:eastAsia="宋体"/>
      <w:sz w:val="21"/>
      <w:szCs w:val="21"/>
    </w:rPr>
  </w:style>
  <w:style w:type="paragraph" w:customStyle="1" w:styleId="76">
    <w:name w:val="List Paragraph1"/>
    <w:basedOn w:val="1"/>
    <w:qFormat/>
    <w:uiPriority w:val="0"/>
    <w:pPr>
      <w:widowControl/>
      <w:ind w:firstLine="420"/>
      <w:jc w:val="left"/>
    </w:pPr>
    <w:rPr>
      <w:rFonts w:ascii="Calibri" w:hAnsi="Calibri"/>
      <w:szCs w:val="22"/>
    </w:rPr>
  </w:style>
  <w:style w:type="paragraph" w:customStyle="1" w:styleId="7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DG正文"/>
    <w:basedOn w:val="1"/>
    <w:qFormat/>
    <w:uiPriority w:val="0"/>
    <w:pPr>
      <w:widowControl/>
      <w:spacing w:line="360" w:lineRule="auto"/>
      <w:ind w:right="142" w:firstLine="640"/>
      <w:jc w:val="left"/>
    </w:pPr>
    <w:rPr>
      <w:rFonts w:ascii="Calibri" w:hAnsi="Calibri" w:cs="Calibri"/>
    </w:rPr>
  </w:style>
  <w:style w:type="paragraph" w:customStyle="1" w:styleId="80">
    <w:name w:val="正文 A"/>
    <w:qFormat/>
    <w:uiPriority w:val="0"/>
    <w:rPr>
      <w:rFonts w:ascii="Times New Roman" w:hAnsi="Times New Roman" w:eastAsia="ヒラギノ角ゴ Pro W3" w:cs="Times New Roman"/>
      <w:color w:val="000000"/>
      <w:sz w:val="24"/>
      <w:szCs w:val="22"/>
      <w:lang w:val="en-US" w:eastAsia="zh-CN" w:bidi="ar-SA"/>
    </w:rPr>
  </w:style>
  <w:style w:type="character" w:customStyle="1" w:styleId="81">
    <w:name w:val="标题 2 Char1"/>
    <w:basedOn w:val="45"/>
    <w:link w:val="6"/>
    <w:qFormat/>
    <w:uiPriority w:val="0"/>
    <w:rPr>
      <w:rFonts w:ascii="Arial" w:hAnsi="Arial" w:eastAsia="宋体"/>
      <w:bCs/>
      <w:kern w:val="2"/>
      <w:sz w:val="30"/>
      <w:szCs w:val="32"/>
      <w:lang w:val="en-US" w:eastAsia="zh-CN" w:bidi="ar-SA"/>
    </w:rPr>
  </w:style>
  <w:style w:type="paragraph" w:customStyle="1" w:styleId="82">
    <w:name w:val="Proposals body"/>
    <w:basedOn w:val="1"/>
    <w:next w:val="1"/>
    <w:qFormat/>
    <w:uiPriority w:val="0"/>
    <w:pPr>
      <w:widowControl/>
      <w:spacing w:line="360" w:lineRule="auto"/>
      <w:jc w:val="left"/>
    </w:pPr>
    <w:rPr>
      <w:rFonts w:ascii="宋体" w:eastAsia="仿宋_GB2312"/>
      <w:snapToGrid w:val="0"/>
      <w:color w:val="000000"/>
      <w:kern w:val="0"/>
      <w:szCs w:val="20"/>
    </w:rPr>
  </w:style>
  <w:style w:type="paragraph" w:customStyle="1" w:styleId="83">
    <w:name w:val="列出段落1"/>
    <w:basedOn w:val="1"/>
    <w:qFormat/>
    <w:uiPriority w:val="34"/>
    <w:pPr>
      <w:ind w:firstLine="420"/>
    </w:pPr>
  </w:style>
  <w:style w:type="paragraph" w:customStyle="1" w:styleId="84">
    <w:name w:val="L正文"/>
    <w:basedOn w:val="1"/>
    <w:qFormat/>
    <w:uiPriority w:val="0"/>
    <w:pPr>
      <w:spacing w:afterLines="50" w:line="240" w:lineRule="auto"/>
      <w:ind w:left="160" w:leftChars="160"/>
    </w:pPr>
    <w:rPr>
      <w:rFonts w:cs="Times New Roman"/>
      <w:sz w:val="21"/>
    </w:rPr>
  </w:style>
  <w:style w:type="paragraph" w:customStyle="1" w:styleId="85">
    <w:name w:val="列出段落11"/>
    <w:basedOn w:val="1"/>
    <w:qFormat/>
    <w:uiPriority w:val="34"/>
    <w:pPr>
      <w:spacing w:line="240" w:lineRule="auto"/>
      <w:ind w:firstLine="420"/>
    </w:pPr>
    <w:rPr>
      <w:rFonts w:cs="宋体"/>
      <w:sz w:val="21"/>
      <w:szCs w:val="21"/>
    </w:rPr>
  </w:style>
  <w:style w:type="paragraph" w:customStyle="1" w:styleId="86">
    <w:name w:val="Char"/>
    <w:basedOn w:val="1"/>
    <w:next w:val="1"/>
    <w:qFormat/>
    <w:uiPriority w:val="0"/>
    <w:rPr>
      <w:rFonts w:ascii="Tahoma" w:hAnsi="Tahoma"/>
      <w:szCs w:val="20"/>
    </w:rPr>
  </w:style>
  <w:style w:type="character" w:customStyle="1" w:styleId="87">
    <w:name w:val="批注框文本 Char"/>
    <w:basedOn w:val="45"/>
    <w:link w:val="15"/>
    <w:qFormat/>
    <w:uiPriority w:val="0"/>
    <w:rPr>
      <w:rFonts w:ascii="Times New Roman" w:hAnsi="Times New Roman" w:cstheme="minorBidi"/>
      <w:kern w:val="2"/>
      <w:sz w:val="18"/>
      <w:szCs w:val="18"/>
    </w:rPr>
  </w:style>
  <w:style w:type="character" w:customStyle="1" w:styleId="88">
    <w:name w:val="正文文本缩进 Char"/>
    <w:basedOn w:val="45"/>
    <w:link w:val="23"/>
    <w:qFormat/>
    <w:uiPriority w:val="0"/>
    <w:rPr>
      <w:rFonts w:ascii="Times New Roman" w:hAnsi="Times New Roman" w:cstheme="minorBidi"/>
      <w:kern w:val="2"/>
      <w:sz w:val="24"/>
      <w:szCs w:val="24"/>
    </w:rPr>
  </w:style>
  <w:style w:type="character" w:customStyle="1" w:styleId="89">
    <w:name w:val="未命名4"/>
    <w:basedOn w:val="45"/>
    <w:qFormat/>
    <w:uiPriority w:val="0"/>
  </w:style>
  <w:style w:type="paragraph" w:customStyle="1" w:styleId="90">
    <w:name w:val="reader-word-layer reader-word-s27-4"/>
    <w:basedOn w:val="1"/>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91">
    <w:name w:val="font81"/>
    <w:basedOn w:val="45"/>
    <w:qFormat/>
    <w:uiPriority w:val="0"/>
    <w:rPr>
      <w:rFonts w:hint="default" w:ascii="Times New Roman" w:hAnsi="Times New Roman" w:cs="Times New Roman"/>
      <w:color w:val="000000"/>
      <w:sz w:val="24"/>
      <w:szCs w:val="24"/>
      <w:u w:val="none"/>
    </w:rPr>
  </w:style>
  <w:style w:type="paragraph" w:customStyle="1" w:styleId="92">
    <w:name w:val="WPSOffice手动目录 1"/>
    <w:qFormat/>
    <w:uiPriority w:val="0"/>
    <w:rPr>
      <w:rFonts w:ascii="Times New Roman" w:hAnsi="Times New Roman" w:eastAsia="宋体" w:cs="Times New Roman"/>
      <w:lang w:val="en-US" w:eastAsia="zh-CN" w:bidi="ar-SA"/>
    </w:rPr>
  </w:style>
  <w:style w:type="paragraph" w:customStyle="1" w:styleId="9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4">
    <w:name w:val="普通(网站)2"/>
    <w:basedOn w:val="1"/>
    <w:qFormat/>
    <w:uiPriority w:val="0"/>
    <w:pPr>
      <w:widowControl/>
      <w:spacing w:before="100" w:beforeAutospacing="1" w:after="100" w:afterAutospacing="1"/>
      <w:jc w:val="left"/>
    </w:pPr>
    <w:rPr>
      <w:rFonts w:ascii="宋体" w:hAnsi="宋体"/>
      <w:kern w:val="0"/>
      <w:szCs w:val="20"/>
    </w:rPr>
  </w:style>
  <w:style w:type="paragraph" w:customStyle="1" w:styleId="95">
    <w:name w:val="保留正文"/>
    <w:basedOn w:val="3"/>
    <w:qFormat/>
    <w:uiPriority w:val="0"/>
    <w:pPr>
      <w:keepNext/>
      <w:spacing w:after="160"/>
    </w:pPr>
    <w:rPr>
      <w:sz w:val="21"/>
    </w:rPr>
  </w:style>
  <w:style w:type="paragraph" w:customStyle="1" w:styleId="96">
    <w:name w:val="首行缩进"/>
    <w:basedOn w:val="1"/>
    <w:qFormat/>
    <w:uiPriority w:val="0"/>
    <w:pPr>
      <w:spacing w:line="360" w:lineRule="auto"/>
      <w:ind w:firstLine="420"/>
    </w:pPr>
    <w:rPr>
      <w:rFonts w:ascii="宋体" w:hAnsi="宋体"/>
    </w:rPr>
  </w:style>
  <w:style w:type="character" w:customStyle="1" w:styleId="97">
    <w:name w:val="标题 3 Char1"/>
    <w:link w:val="7"/>
    <w:qFormat/>
    <w:uiPriority w:val="9"/>
    <w:rPr>
      <w:rFonts w:ascii="仿宋_GB2312" w:hAnsi="仿宋_GB2312" w:eastAsia="仿宋" w:cs="Times New Roman"/>
      <w:b/>
      <w:bCs/>
      <w:sz w:val="24"/>
      <w:szCs w:val="20"/>
    </w:rPr>
  </w:style>
  <w:style w:type="paragraph" w:customStyle="1" w:styleId="9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font31"/>
    <w:basedOn w:val="45"/>
    <w:qFormat/>
    <w:uiPriority w:val="0"/>
    <w:rPr>
      <w:rFonts w:hint="eastAsia" w:ascii="微软雅黑" w:hAnsi="微软雅黑" w:eastAsia="微软雅黑" w:cs="微软雅黑"/>
      <w:color w:val="000000"/>
      <w:sz w:val="22"/>
      <w:szCs w:val="22"/>
      <w:u w:val="none"/>
    </w:rPr>
  </w:style>
  <w:style w:type="character" w:customStyle="1" w:styleId="100">
    <w:name w:val="font71"/>
    <w:basedOn w:val="45"/>
    <w:qFormat/>
    <w:uiPriority w:val="0"/>
    <w:rPr>
      <w:rFonts w:hint="eastAsia" w:ascii="微软雅黑" w:hAnsi="微软雅黑" w:eastAsia="微软雅黑" w:cs="微软雅黑"/>
      <w:color w:val="000000"/>
      <w:sz w:val="22"/>
      <w:szCs w:val="22"/>
      <w:u w:val="none"/>
      <w:vertAlign w:val="superscript"/>
    </w:rPr>
  </w:style>
  <w:style w:type="character" w:customStyle="1" w:styleId="101">
    <w:name w:val="font21"/>
    <w:basedOn w:val="45"/>
    <w:qFormat/>
    <w:uiPriority w:val="0"/>
    <w:rPr>
      <w:rFonts w:hint="eastAsia" w:ascii="微软雅黑" w:hAnsi="微软雅黑" w:eastAsia="微软雅黑" w:cs="微软雅黑"/>
      <w:color w:val="000000"/>
      <w:sz w:val="22"/>
      <w:szCs w:val="22"/>
      <w:u w:val="none"/>
    </w:rPr>
  </w:style>
  <w:style w:type="character" w:customStyle="1" w:styleId="102">
    <w:name w:val="font61"/>
    <w:basedOn w:val="45"/>
    <w:qFormat/>
    <w:uiPriority w:val="0"/>
    <w:rPr>
      <w:rFonts w:hint="eastAsia" w:ascii="微软雅黑" w:hAnsi="微软雅黑" w:eastAsia="微软雅黑" w:cs="微软雅黑"/>
      <w:color w:val="000000"/>
      <w:sz w:val="22"/>
      <w:szCs w:val="22"/>
      <w:u w:val="none"/>
      <w:vertAlign w:val="superscript"/>
    </w:rPr>
  </w:style>
  <w:style w:type="character" w:customStyle="1" w:styleId="103">
    <w:name w:val="font01"/>
    <w:basedOn w:val="45"/>
    <w:qFormat/>
    <w:uiPriority w:val="0"/>
    <w:rPr>
      <w:rFonts w:hint="eastAsia" w:ascii="宋体" w:hAnsi="宋体" w:eastAsia="宋体" w:cs="宋体"/>
      <w:color w:val="000000"/>
      <w:sz w:val="22"/>
      <w:szCs w:val="22"/>
      <w:u w:val="none"/>
    </w:rPr>
  </w:style>
  <w:style w:type="paragraph" w:customStyle="1" w:styleId="104">
    <w:name w:val="p0"/>
    <w:basedOn w:val="1"/>
    <w:qFormat/>
    <w:uiPriority w:val="0"/>
    <w:pPr>
      <w:widowControl/>
    </w:pPr>
    <w:rPr>
      <w:kern w:val="0"/>
      <w:szCs w:val="21"/>
    </w:rPr>
  </w:style>
  <w:style w:type="paragraph" w:customStyle="1" w:styleId="105">
    <w:name w:val="表头文字"/>
    <w:basedOn w:val="1"/>
    <w:qFormat/>
    <w:uiPriority w:val="0"/>
    <w:pPr>
      <w:widowControl/>
      <w:jc w:val="left"/>
    </w:pPr>
    <w:rPr>
      <w:rFonts w:eastAsia="仿宋" w:cs="宋体"/>
      <w:b/>
      <w:kern w:val="0"/>
      <w:szCs w:val="21"/>
    </w:rPr>
  </w:style>
  <w:style w:type="character" w:customStyle="1" w:styleId="106">
    <w:name w:val="font41"/>
    <w:basedOn w:val="45"/>
    <w:qFormat/>
    <w:uiPriority w:val="0"/>
    <w:rPr>
      <w:rFonts w:hint="eastAsia" w:ascii="微软雅黑" w:hAnsi="微软雅黑" w:eastAsia="微软雅黑" w:cs="微软雅黑"/>
      <w:color w:val="000000"/>
      <w:sz w:val="20"/>
      <w:szCs w:val="20"/>
      <w:u w:val="none"/>
    </w:rPr>
  </w:style>
  <w:style w:type="character" w:customStyle="1" w:styleId="107">
    <w:name w:val="font111"/>
    <w:basedOn w:val="45"/>
    <w:qFormat/>
    <w:uiPriority w:val="0"/>
    <w:rPr>
      <w:rFonts w:hint="eastAsia" w:ascii="微软雅黑" w:hAnsi="微软雅黑" w:eastAsia="微软雅黑" w:cs="微软雅黑"/>
      <w:color w:val="000000"/>
      <w:sz w:val="20"/>
      <w:szCs w:val="20"/>
      <w:u w:val="none"/>
      <w:vertAlign w:val="superscript"/>
    </w:rPr>
  </w:style>
  <w:style w:type="character" w:customStyle="1" w:styleId="108">
    <w:name w:val="font101"/>
    <w:basedOn w:val="45"/>
    <w:qFormat/>
    <w:uiPriority w:val="0"/>
    <w:rPr>
      <w:rFonts w:hint="eastAsia" w:ascii="微软雅黑" w:hAnsi="微软雅黑" w:eastAsia="微软雅黑" w:cs="微软雅黑"/>
      <w:color w:val="000000"/>
      <w:sz w:val="20"/>
      <w:szCs w:val="20"/>
      <w:u w:val="none"/>
      <w:vertAlign w:val="superscript"/>
    </w:rPr>
  </w:style>
  <w:style w:type="character" w:customStyle="1" w:styleId="109">
    <w:name w:val="font122"/>
    <w:basedOn w:val="45"/>
    <w:qFormat/>
    <w:uiPriority w:val="0"/>
    <w:rPr>
      <w:rFonts w:hint="eastAsia" w:ascii="宋体" w:hAnsi="宋体" w:eastAsia="宋体" w:cs="宋体"/>
      <w:b/>
      <w:bCs/>
      <w:color w:val="FF0000"/>
      <w:sz w:val="22"/>
      <w:szCs w:val="22"/>
      <w:u w:val="none"/>
    </w:rPr>
  </w:style>
  <w:style w:type="character" w:customStyle="1" w:styleId="110">
    <w:name w:val="font91"/>
    <w:basedOn w:val="45"/>
    <w:qFormat/>
    <w:uiPriority w:val="0"/>
    <w:rPr>
      <w:rFonts w:hint="eastAsia" w:ascii="宋体" w:hAnsi="宋体" w:eastAsia="宋体" w:cs="宋体"/>
      <w:color w:val="000000"/>
      <w:sz w:val="22"/>
      <w:szCs w:val="22"/>
      <w:u w:val="none"/>
    </w:rPr>
  </w:style>
  <w:style w:type="character" w:customStyle="1" w:styleId="111">
    <w:name w:val="font51"/>
    <w:basedOn w:val="45"/>
    <w:qFormat/>
    <w:uiPriority w:val="0"/>
    <w:rPr>
      <w:rFonts w:hint="eastAsia" w:ascii="微软雅黑" w:hAnsi="微软雅黑" w:eastAsia="微软雅黑" w:cs="微软雅黑"/>
      <w:color w:val="000000"/>
      <w:sz w:val="20"/>
      <w:szCs w:val="20"/>
      <w:u w:val="none"/>
      <w:vertAlign w:val="superscript"/>
    </w:rPr>
  </w:style>
  <w:style w:type="character" w:customStyle="1" w:styleId="112">
    <w:name w:val="font112"/>
    <w:basedOn w:val="45"/>
    <w:qFormat/>
    <w:uiPriority w:val="0"/>
    <w:rPr>
      <w:rFonts w:hint="eastAsia" w:ascii="宋体" w:hAnsi="宋体" w:eastAsia="宋体" w:cs="宋体"/>
      <w:color w:val="000000"/>
      <w:sz w:val="24"/>
      <w:szCs w:val="24"/>
      <w:u w:val="none"/>
    </w:rPr>
  </w:style>
  <w:style w:type="paragraph" w:customStyle="1" w:styleId="113">
    <w:name w:val="样式1"/>
    <w:basedOn w:val="1"/>
    <w:qFormat/>
    <w:uiPriority w:val="0"/>
    <w:pPr>
      <w:spacing w:line="360" w:lineRule="exact"/>
      <w:ind w:firstLine="200"/>
    </w:pPr>
    <w:rPr>
      <w:rFonts w:ascii="Arial" w:hAnsi="Arial"/>
    </w:rPr>
  </w:style>
  <w:style w:type="paragraph" w:customStyle="1" w:styleId="114">
    <w:name w:val="无间隔2"/>
    <w:qFormat/>
    <w:uiPriority w:val="1"/>
    <w:rPr>
      <w:rFonts w:ascii="Times New Roman" w:hAnsi="Times New Roman" w:eastAsia="宋体" w:cs="Times New Roman"/>
      <w:sz w:val="22"/>
      <w:szCs w:val="22"/>
      <w:lang w:val="en-US" w:eastAsia="en-US" w:bidi="en-US"/>
    </w:rPr>
  </w:style>
  <w:style w:type="paragraph" w:customStyle="1" w:styleId="115">
    <w:name w:val="_Style 1"/>
    <w:basedOn w:val="1"/>
    <w:link w:val="124"/>
    <w:qFormat/>
    <w:uiPriority w:val="0"/>
    <w:pPr>
      <w:widowControl/>
      <w:jc w:val="left"/>
    </w:pPr>
    <w:rPr>
      <w:rFonts w:ascii="Calibri" w:hAnsi="Calibri" w:cs="Times New Roman"/>
      <w:sz w:val="28"/>
      <w:szCs w:val="28"/>
    </w:rPr>
  </w:style>
  <w:style w:type="paragraph" w:customStyle="1" w:styleId="116">
    <w:name w:val="Table Paragraph"/>
    <w:basedOn w:val="1"/>
    <w:qFormat/>
    <w:uiPriority w:val="99"/>
    <w:rPr>
      <w:rFonts w:ascii="宋体" w:hAnsi="宋体" w:cs="宋体"/>
      <w:lang w:val="zh-CN"/>
    </w:rPr>
  </w:style>
  <w:style w:type="character" w:customStyle="1" w:styleId="117">
    <w:name w:val="NormalCharacter"/>
    <w:qFormat/>
    <w:uiPriority w:val="0"/>
  </w:style>
  <w:style w:type="character" w:customStyle="1" w:styleId="118">
    <w:name w:val="标题 1 Char1"/>
    <w:basedOn w:val="45"/>
    <w:link w:val="5"/>
    <w:qFormat/>
    <w:locked/>
    <w:uiPriority w:val="99"/>
    <w:rPr>
      <w:rFonts w:ascii="宋体" w:hAnsi="宋体" w:eastAsia="宋体" w:cs="宋体"/>
      <w:b/>
      <w:bCs/>
      <w:kern w:val="36"/>
      <w:sz w:val="48"/>
      <w:szCs w:val="48"/>
    </w:rPr>
  </w:style>
  <w:style w:type="paragraph" w:customStyle="1" w:styleId="119">
    <w:name w:val="正文首行缩进两字符"/>
    <w:basedOn w:val="1"/>
    <w:qFormat/>
    <w:uiPriority w:val="0"/>
    <w:pPr>
      <w:spacing w:line="360" w:lineRule="auto"/>
      <w:ind w:firstLine="200"/>
    </w:pPr>
  </w:style>
  <w:style w:type="paragraph" w:customStyle="1" w:styleId="120">
    <w:name w:val="正文（文章）"/>
    <w:basedOn w:val="1"/>
    <w:qFormat/>
    <w:uiPriority w:val="0"/>
    <w:pPr>
      <w:ind w:firstLine="560"/>
    </w:pPr>
    <w:rPr>
      <w:rFonts w:cs="宋体"/>
      <w:szCs w:val="20"/>
    </w:rPr>
  </w:style>
  <w:style w:type="paragraph" w:styleId="121">
    <w:name w:val="List Paragraph"/>
    <w:basedOn w:val="1"/>
    <w:qFormat/>
    <w:uiPriority w:val="34"/>
    <w:pPr>
      <w:ind w:firstLine="420"/>
    </w:pPr>
  </w:style>
  <w:style w:type="paragraph" w:customStyle="1" w:styleId="122">
    <w:name w:val="正文缩进1"/>
    <w:basedOn w:val="1"/>
    <w:qFormat/>
    <w:uiPriority w:val="0"/>
    <w:pPr>
      <w:ind w:firstLine="420"/>
    </w:pPr>
  </w:style>
  <w:style w:type="paragraph" w:customStyle="1" w:styleId="123">
    <w:name w:val="Heading #2|1"/>
    <w:basedOn w:val="1"/>
    <w:qFormat/>
    <w:uiPriority w:val="0"/>
    <w:pPr>
      <w:spacing w:after="5580"/>
      <w:jc w:val="center"/>
      <w:outlineLvl w:val="1"/>
    </w:pPr>
    <w:rPr>
      <w:b/>
      <w:bCs/>
      <w:sz w:val="44"/>
      <w:szCs w:val="44"/>
      <w:lang w:val="zh-TW" w:eastAsia="zh-TW" w:bidi="zh-TW"/>
    </w:rPr>
  </w:style>
  <w:style w:type="character" w:customStyle="1" w:styleId="124">
    <w:name w:val="_Style 1 Char"/>
    <w:link w:val="115"/>
    <w:qFormat/>
    <w:uiPriority w:val="0"/>
    <w:rPr>
      <w:rFonts w:ascii="Calibri" w:hAnsi="Calibri" w:cs="Times New Roman"/>
      <w:sz w:val="28"/>
      <w:szCs w:val="28"/>
    </w:rPr>
  </w:style>
  <w:style w:type="paragraph" w:customStyle="1" w:styleId="125">
    <w:name w:val="+正文 Char Char"/>
    <w:basedOn w:val="1"/>
    <w:qFormat/>
    <w:uiPriority w:val="0"/>
    <w:pPr>
      <w:spacing w:line="360" w:lineRule="auto"/>
      <w:ind w:firstLine="200"/>
    </w:pPr>
    <w:rPr>
      <w:szCs w:val="28"/>
    </w:rPr>
  </w:style>
  <w:style w:type="paragraph" w:customStyle="1" w:styleId="126">
    <w:name w:val="+●"/>
    <w:qFormat/>
    <w:uiPriority w:val="0"/>
    <w:pPr>
      <w:numPr>
        <w:ilvl w:val="0"/>
        <w:numId w:val="3"/>
      </w:numPr>
      <w:tabs>
        <w:tab w:val="left" w:pos="900"/>
        <w:tab w:val="left" w:pos="958"/>
      </w:tabs>
      <w:ind w:firstLine="0"/>
    </w:pPr>
    <w:rPr>
      <w:rFonts w:ascii="Times New Roman" w:hAnsi="Times New Roman" w:eastAsia="宋体" w:cs="Times New Roman"/>
      <w:lang w:val="en-US" w:eastAsia="zh-CN" w:bidi="ar-SA"/>
    </w:rPr>
  </w:style>
  <w:style w:type="paragraph" w:customStyle="1" w:styleId="12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28">
    <w:name w:val="_正文"/>
    <w:basedOn w:val="1"/>
    <w:qFormat/>
    <w:uiPriority w:val="0"/>
    <w:pPr>
      <w:tabs>
        <w:tab w:val="left" w:pos="540"/>
      </w:tabs>
    </w:pPr>
    <w:rPr>
      <w:rFonts w:cs="Arial"/>
    </w:rPr>
  </w:style>
  <w:style w:type="paragraph" w:customStyle="1" w:styleId="129">
    <w:name w:val="+正文"/>
    <w:basedOn w:val="1"/>
    <w:qFormat/>
    <w:uiPriority w:val="0"/>
    <w:pPr>
      <w:spacing w:line="360" w:lineRule="auto"/>
      <w:ind w:firstLine="200"/>
    </w:pPr>
  </w:style>
  <w:style w:type="character" w:customStyle="1" w:styleId="130">
    <w:name w:val="fontstyle01"/>
    <w:qFormat/>
    <w:uiPriority w:val="0"/>
    <w:rPr>
      <w:rFonts w:hint="eastAsia" w:ascii="宋体" w:hAnsi="宋体" w:eastAsia="宋体"/>
      <w:color w:val="000000"/>
      <w:sz w:val="22"/>
      <w:szCs w:val="22"/>
    </w:rPr>
  </w:style>
  <w:style w:type="paragraph" w:customStyle="1" w:styleId="131">
    <w:name w:val="标题4"/>
    <w:basedOn w:val="1"/>
    <w:qFormat/>
    <w:uiPriority w:val="0"/>
    <w:rPr>
      <w:rFonts w:eastAsia="仿宋_GB2312"/>
      <w:sz w:val="32"/>
      <w:szCs w:val="20"/>
    </w:rPr>
  </w:style>
  <w:style w:type="character" w:customStyle="1" w:styleId="132">
    <w:name w:val="标题 4 Char"/>
    <w:qFormat/>
    <w:uiPriority w:val="0"/>
    <w:rPr>
      <w:rFonts w:eastAsia="黑体"/>
      <w:b/>
      <w:bCs/>
      <w:kern w:val="2"/>
      <w:sz w:val="30"/>
      <w:szCs w:val="30"/>
      <w:lang w:val="en-US" w:eastAsia="zh-CN" w:bidi="ar-SA"/>
    </w:rPr>
  </w:style>
  <w:style w:type="paragraph" w:customStyle="1" w:styleId="133">
    <w:name w:val="reader-word-layer reader-word-s1-7"/>
    <w:basedOn w:val="1"/>
    <w:qFormat/>
    <w:uiPriority w:val="0"/>
    <w:pPr>
      <w:widowControl/>
      <w:spacing w:before="100" w:beforeAutospacing="1" w:after="100" w:afterAutospacing="1"/>
      <w:jc w:val="left"/>
    </w:pPr>
    <w:rPr>
      <w:rFonts w:ascii="宋体" w:hAnsi="宋体" w:cs="宋体"/>
      <w:kern w:val="0"/>
    </w:rPr>
  </w:style>
  <w:style w:type="character" w:customStyle="1" w:styleId="134">
    <w:name w:val="font11"/>
    <w:basedOn w:val="45"/>
    <w:qFormat/>
    <w:uiPriority w:val="0"/>
    <w:rPr>
      <w:rFonts w:hint="eastAsia" w:ascii="宋体" w:hAnsi="宋体" w:eastAsia="宋体" w:cs="宋体"/>
      <w:color w:val="000000"/>
      <w:sz w:val="20"/>
      <w:szCs w:val="20"/>
      <w:u w:val="none"/>
    </w:rPr>
  </w:style>
  <w:style w:type="character" w:customStyle="1" w:styleId="135">
    <w:name w:val="10"/>
    <w:qFormat/>
    <w:uiPriority w:val="0"/>
    <w:rPr>
      <w:rFonts w:hint="default" w:ascii="Times New Roman" w:hAnsi="Times New Roman" w:cs="Times New Roman"/>
    </w:rPr>
  </w:style>
  <w:style w:type="paragraph" w:customStyle="1" w:styleId="136">
    <w:name w:val="blockquote"/>
    <w:basedOn w:val="1"/>
    <w:qFormat/>
    <w:uiPriority w:val="0"/>
    <w:pPr>
      <w:widowControl/>
      <w:spacing w:before="100" w:beforeAutospacing="1" w:after="100" w:afterAutospacing="1"/>
      <w:jc w:val="left"/>
    </w:pPr>
    <w:rPr>
      <w:rFonts w:ascii="宋体" w:hAnsi="宋体"/>
      <w:kern w:val="0"/>
    </w:rPr>
  </w:style>
  <w:style w:type="paragraph" w:customStyle="1" w:styleId="137">
    <w:name w:val="无间隔3"/>
    <w:qFormat/>
    <w:uiPriority w:val="1"/>
    <w:rPr>
      <w:rFonts w:ascii="Times New Roman" w:hAnsi="Times New Roman" w:eastAsia="宋体" w:cs="Times New Roman"/>
      <w:sz w:val="22"/>
      <w:szCs w:val="22"/>
      <w:lang w:val="en-US" w:eastAsia="en-US" w:bidi="en-US"/>
    </w:rPr>
  </w:style>
  <w:style w:type="paragraph" w:customStyle="1" w:styleId="138">
    <w:name w:val="正文文本缩进1"/>
    <w:basedOn w:val="1"/>
    <w:qFormat/>
    <w:uiPriority w:val="0"/>
    <w:pPr>
      <w:spacing w:line="360" w:lineRule="auto"/>
      <w:ind w:firstLine="435"/>
    </w:pPr>
    <w:rPr>
      <w:sz w:val="28"/>
    </w:rPr>
  </w:style>
  <w:style w:type="paragraph" w:customStyle="1" w:styleId="139">
    <w:name w:val="No Spacing_7e509324-65a2-4ed7-bf10-9eaa9c0383f4"/>
    <w:qFormat/>
    <w:uiPriority w:val="1"/>
    <w:rPr>
      <w:rFonts w:ascii="Times New Roman" w:hAnsi="Times New Roman" w:eastAsia="宋体" w:cs="Times New Roman"/>
      <w:sz w:val="22"/>
      <w:szCs w:val="22"/>
      <w:lang w:val="en-US" w:eastAsia="en-US" w:bidi="en-US"/>
    </w:rPr>
  </w:style>
  <w:style w:type="paragraph" w:customStyle="1" w:styleId="1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1">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42">
    <w:name w:val="正文（缩进）"/>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43">
    <w:name w:val="_正文段落"/>
    <w:basedOn w:val="1"/>
    <w:qFormat/>
    <w:uiPriority w:val="0"/>
    <w:pPr>
      <w:spacing w:beforeLines="15" w:afterLines="15" w:line="360" w:lineRule="auto"/>
      <w:ind w:firstLine="560"/>
    </w:pPr>
    <w:rPr>
      <w:rFonts w:eastAsia="仿宋"/>
      <w:sz w:val="28"/>
    </w:rPr>
  </w:style>
  <w:style w:type="paragraph" w:customStyle="1" w:styleId="144">
    <w:name w:val="正文2"/>
    <w:basedOn w:val="1"/>
    <w:next w:val="32"/>
    <w:qFormat/>
    <w:uiPriority w:val="0"/>
    <w:pPr>
      <w:spacing w:before="156" w:line="360" w:lineRule="auto"/>
      <w:ind w:firstLine="510"/>
    </w:pPr>
  </w:style>
  <w:style w:type="paragraph" w:customStyle="1" w:styleId="145">
    <w:name w:val="Other|1"/>
    <w:basedOn w:val="1"/>
    <w:qFormat/>
    <w:uiPriority w:val="0"/>
    <w:pPr>
      <w:spacing w:line="415" w:lineRule="auto"/>
      <w:ind w:firstLine="400"/>
    </w:pPr>
    <w:rPr>
      <w:rFonts w:ascii="宋体" w:hAnsi="宋体" w:cs="宋体"/>
      <w:sz w:val="22"/>
      <w:szCs w:val="22"/>
      <w:lang w:val="zh-TW" w:eastAsia="zh-TW" w:bidi="zh-TW"/>
    </w:rPr>
  </w:style>
  <w:style w:type="paragraph" w:customStyle="1" w:styleId="14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7">
    <w:name w:val="正文_0"/>
    <w:next w:val="148"/>
    <w:qFormat/>
    <w:uiPriority w:val="1"/>
    <w:pPr>
      <w:jc w:val="both"/>
    </w:pPr>
    <w:rPr>
      <w:rFonts w:ascii="Times New Roman" w:hAnsi="Times New Roman" w:eastAsia="宋体" w:cs="Times New Roman"/>
      <w:sz w:val="21"/>
      <w:szCs w:val="21"/>
      <w:lang w:val="en-US" w:eastAsia="zh-CN" w:bidi="ar-SA"/>
    </w:rPr>
  </w:style>
  <w:style w:type="paragraph" w:customStyle="1" w:styleId="148">
    <w:name w:val="正文首行缩进_0"/>
    <w:basedOn w:val="149"/>
    <w:next w:val="147"/>
    <w:qFormat/>
    <w:uiPriority w:val="0"/>
    <w:pPr>
      <w:spacing w:after="0"/>
      <w:ind w:firstLine="420"/>
      <w:jc w:val="left"/>
    </w:pPr>
    <w:rPr>
      <w:sz w:val="20"/>
      <w:szCs w:val="20"/>
    </w:rPr>
  </w:style>
  <w:style w:type="paragraph" w:customStyle="1" w:styleId="149">
    <w:name w:val="正文文本_0"/>
    <w:basedOn w:val="147"/>
    <w:next w:val="148"/>
    <w:qFormat/>
    <w:uiPriority w:val="0"/>
    <w:pPr>
      <w:spacing w:after="120"/>
    </w:pPr>
  </w:style>
  <w:style w:type="paragraph" w:customStyle="1" w:styleId="150">
    <w:name w:val="正文_1"/>
    <w:next w:val="151"/>
    <w:qFormat/>
    <w:uiPriority w:val="1"/>
    <w:pPr>
      <w:jc w:val="both"/>
    </w:pPr>
    <w:rPr>
      <w:rFonts w:ascii="Times New Roman" w:hAnsi="Times New Roman" w:eastAsia="宋体" w:cs="Times New Roman"/>
      <w:sz w:val="21"/>
      <w:szCs w:val="21"/>
      <w:lang w:val="en-US" w:eastAsia="zh-CN" w:bidi="ar-SA"/>
    </w:rPr>
  </w:style>
  <w:style w:type="paragraph" w:customStyle="1" w:styleId="151">
    <w:name w:val="标题 2_1"/>
    <w:basedOn w:val="152"/>
    <w:next w:val="150"/>
    <w:qFormat/>
    <w:uiPriority w:val="8"/>
    <w:pPr>
      <w:keepNext/>
      <w:keepLines/>
      <w:outlineLvl w:val="1"/>
    </w:pPr>
    <w:rPr>
      <w:rFonts w:ascii="Arial" w:hAnsi="Arial" w:eastAsia="Arial"/>
      <w:b/>
      <w:sz w:val="24"/>
      <w:szCs w:val="24"/>
    </w:rPr>
  </w:style>
  <w:style w:type="paragraph" w:customStyle="1" w:styleId="152">
    <w:name w:val="正文_5_0"/>
    <w:qFormat/>
    <w:uiPriority w:val="1"/>
    <w:pPr>
      <w:jc w:val="both"/>
    </w:pPr>
    <w:rPr>
      <w:rFonts w:ascii="等线" w:hAnsi="等线" w:eastAsia="等线" w:cs="Times New Roman"/>
      <w:sz w:val="21"/>
      <w:szCs w:val="21"/>
      <w:lang w:val="en-US" w:eastAsia="zh-CN" w:bidi="ar-SA"/>
    </w:rPr>
  </w:style>
  <w:style w:type="paragraph" w:customStyle="1" w:styleId="153">
    <w:name w:val="正文_1_1"/>
    <w:next w:val="154"/>
    <w:qFormat/>
    <w:uiPriority w:val="1"/>
    <w:pPr>
      <w:jc w:val="both"/>
    </w:pPr>
    <w:rPr>
      <w:rFonts w:ascii="Times New Roman" w:hAnsi="Times New Roman" w:eastAsia="宋体" w:cs="Times New Roman"/>
      <w:sz w:val="21"/>
      <w:szCs w:val="21"/>
      <w:lang w:val="en-US" w:eastAsia="zh-CN" w:bidi="ar-SA"/>
    </w:rPr>
  </w:style>
  <w:style w:type="paragraph" w:customStyle="1" w:styleId="154">
    <w:name w:val="正文首行缩进_1_0"/>
    <w:basedOn w:val="155"/>
    <w:next w:val="153"/>
    <w:qFormat/>
    <w:uiPriority w:val="0"/>
    <w:pPr>
      <w:ind w:firstLine="420"/>
    </w:pPr>
  </w:style>
  <w:style w:type="paragraph" w:customStyle="1" w:styleId="155">
    <w:name w:val="正文文本_1_0"/>
    <w:basedOn w:val="156"/>
    <w:next w:val="154"/>
    <w:unhideWhenUsed/>
    <w:qFormat/>
    <w:uiPriority w:val="0"/>
    <w:pPr>
      <w:spacing w:after="120"/>
    </w:pPr>
    <w:rPr>
      <w:sz w:val="20"/>
    </w:rPr>
  </w:style>
  <w:style w:type="paragraph" w:customStyle="1" w:styleId="156">
    <w:name w:val="正文_1_0"/>
    <w:next w:val="155"/>
    <w:qFormat/>
    <w:uiPriority w:val="1"/>
    <w:pPr>
      <w:jc w:val="both"/>
    </w:pPr>
    <w:rPr>
      <w:rFonts w:ascii="Times New Roman" w:hAnsi="Times New Roman" w:eastAsia="宋体" w:cs="Times New Roman"/>
      <w:sz w:val="21"/>
      <w:szCs w:val="21"/>
      <w:lang w:val="en-US" w:eastAsia="zh-CN" w:bidi="ar-SA"/>
    </w:rPr>
  </w:style>
  <w:style w:type="paragraph" w:customStyle="1" w:styleId="157">
    <w:name w:val="A_正文_黑"/>
    <w:basedOn w:val="53"/>
    <w:qFormat/>
    <w:uiPriority w:val="0"/>
  </w:style>
  <w:style w:type="character" w:customStyle="1" w:styleId="158">
    <w:name w:val="16"/>
    <w:basedOn w:val="45"/>
    <w:qFormat/>
    <w:uiPriority w:val="0"/>
    <w:rPr>
      <w:rFonts w:hint="eastAsia" w:ascii="宋体" w:hAnsi="宋体" w:eastAsia="宋体" w:cs="宋体"/>
      <w:b/>
      <w:bCs/>
      <w:kern w:val="36"/>
      <w:sz w:val="48"/>
      <w:szCs w:val="48"/>
    </w:rPr>
  </w:style>
  <w:style w:type="character" w:customStyle="1" w:styleId="159">
    <w:name w:val="15"/>
    <w:basedOn w:val="45"/>
    <w:qFormat/>
    <w:uiPriority w:val="0"/>
    <w:rPr>
      <w:rFonts w:hint="eastAsia" w:ascii="宋体" w:hAnsi="宋体" w:eastAsia="宋体" w:cs="宋体"/>
      <w:color w:val="0000FF"/>
      <w:sz w:val="24"/>
      <w:szCs w:val="24"/>
    </w:rPr>
  </w:style>
  <w:style w:type="paragraph" w:styleId="160">
    <w:name w:val="No Spacing"/>
    <w:qFormat/>
    <w:uiPriority w:val="0"/>
    <w:rPr>
      <w:rFonts w:ascii="Times New Roman" w:hAnsi="Times New Roman" w:eastAsia="宋体" w:cs="Times New Roman"/>
      <w:sz w:val="22"/>
      <w:szCs w:val="22"/>
      <w:lang w:val="en-US" w:eastAsia="en-US" w:bidi="en-US"/>
    </w:rPr>
  </w:style>
  <w:style w:type="paragraph" w:customStyle="1" w:styleId="161">
    <w:name w:val="样式 首行缩进:  2 字符"/>
    <w:basedOn w:val="1"/>
    <w:qFormat/>
    <w:uiPriority w:val="0"/>
    <w:pPr>
      <w:spacing w:line="480" w:lineRule="exact"/>
      <w:ind w:firstLine="200" w:firstLineChars="200"/>
      <w:jc w:val="left"/>
    </w:pPr>
    <w:rPr>
      <w:rFonts w:cs="宋体"/>
      <w:sz w:val="24"/>
      <w:szCs w:val="20"/>
    </w:rPr>
  </w:style>
  <w:style w:type="paragraph" w:customStyle="1" w:styleId="162">
    <w:name w:val="4、正文"/>
    <w:basedOn w:val="1"/>
    <w:qFormat/>
    <w:uiPriority w:val="0"/>
    <w:pPr>
      <w:ind w:firstLine="200" w:firstLineChars="200"/>
    </w:pPr>
    <w:rPr>
      <w:rFonts w:ascii="宋体"/>
      <w:sz w:val="24"/>
      <w:szCs w:val="28"/>
    </w:rPr>
  </w:style>
  <w:style w:type="paragraph" w:customStyle="1" w:styleId="163">
    <w:name w:val="正文文本首行缩进 2"/>
    <w:basedOn w:val="23"/>
    <w:qFormat/>
    <w:uiPriority w:val="99"/>
    <w:pPr>
      <w:spacing w:line="200" w:lineRule="atLeast"/>
      <w:ind w:firstLine="420"/>
    </w:pPr>
    <w:rPr>
      <w:rFonts w:ascii="宋体" w:hAnsi="Courier New"/>
      <w:spacing w:val="-4"/>
      <w:sz w:val="18"/>
    </w:rPr>
  </w:style>
  <w:style w:type="paragraph" w:customStyle="1" w:styleId="164">
    <w:name w:val="正文格式"/>
    <w:basedOn w:val="1"/>
    <w:qFormat/>
    <w:uiPriority w:val="0"/>
    <w:pPr>
      <w:spacing w:line="360" w:lineRule="auto"/>
    </w:pPr>
    <w:rPr>
      <w:rFonts w:ascii="Calibri" w:hAnsi="Calibri"/>
      <w:szCs w:val="21"/>
    </w:rPr>
  </w:style>
  <w:style w:type="character" w:customStyle="1" w:styleId="165">
    <w:name w:val="副标题 Char"/>
    <w:link w:val="34"/>
    <w:qFormat/>
    <w:uiPriority w:val="11"/>
    <w:rPr>
      <w:rFonts w:ascii="Cambria" w:hAnsi="Cambria"/>
      <w:b/>
      <w:bCs/>
      <w:kern w:val="28"/>
      <w:sz w:val="32"/>
      <w:szCs w:val="32"/>
    </w:rPr>
  </w:style>
  <w:style w:type="paragraph" w:customStyle="1" w:styleId="166">
    <w:name w:val="缩进正文"/>
    <w:basedOn w:val="1"/>
    <w:qFormat/>
    <w:uiPriority w:val="0"/>
    <w:rPr>
      <w:rFonts w:eastAsia="仿宋"/>
      <w:szCs w:val="22"/>
    </w:rPr>
  </w:style>
  <w:style w:type="character" w:customStyle="1" w:styleId="167">
    <w:name w:val="标题 1 Char Char"/>
    <w:qFormat/>
    <w:uiPriority w:val="99"/>
    <w:rPr>
      <w:rFonts w:ascii="仿宋_GB2312" w:eastAsia="宋体" w:cs="Times New Roman"/>
      <w:spacing w:val="-2"/>
      <w:sz w:val="32"/>
      <w:lang w:val="en-US" w:eastAsia="zh-CN"/>
    </w:rPr>
  </w:style>
  <w:style w:type="paragraph" w:customStyle="1" w:styleId="168">
    <w:name w:val="Body Text First Indent 2"/>
    <w:basedOn w:val="16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69">
    <w:name w:val="Body Text Indent"/>
    <w:basedOn w:val="1"/>
    <w:next w:val="1"/>
    <w:qFormat/>
    <w:uiPriority w:val="0"/>
    <w:pPr>
      <w:adjustRightInd w:val="0"/>
      <w:spacing w:line="360" w:lineRule="auto"/>
      <w:ind w:firstLine="490"/>
      <w:jc w:val="left"/>
    </w:pPr>
    <w:rPr>
      <w:rFonts w:ascii="宋体" w:hAnsi="宋体"/>
      <w:kern w:val="0"/>
      <w:sz w:val="24"/>
      <w:szCs w:val="20"/>
    </w:rPr>
  </w:style>
  <w:style w:type="paragraph" w:customStyle="1" w:styleId="170">
    <w:name w:val="!正文"/>
    <w:basedOn w:val="1"/>
    <w:qFormat/>
    <w:uiPriority w:val="0"/>
    <w:pPr>
      <w:snapToGrid w:val="0"/>
      <w:spacing w:line="360" w:lineRule="auto"/>
      <w:ind w:firstLine="520"/>
      <w:jc w:val="left"/>
    </w:pPr>
    <w:rPr>
      <w:spacing w:val="10"/>
      <w:kern w:val="0"/>
      <w:szCs w:val="21"/>
    </w:rPr>
  </w:style>
  <w:style w:type="paragraph" w:customStyle="1" w:styleId="171">
    <w:name w:val="正文首行缩进1"/>
    <w:basedOn w:val="3"/>
    <w:qFormat/>
    <w:uiPriority w:val="0"/>
    <w:pPr>
      <w:autoSpaceDE/>
      <w:autoSpaceDN/>
      <w:adjustRightInd/>
      <w:spacing w:before="100" w:beforeAutospacing="1"/>
      <w:ind w:left="0" w:firstLine="420" w:firstLineChars="100"/>
      <w:jc w:val="both"/>
    </w:pPr>
    <w:rPr>
      <w:sz w:val="20"/>
      <w:szCs w:val="20"/>
    </w:rPr>
  </w:style>
  <w:style w:type="paragraph" w:customStyle="1" w:styleId="172">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173">
    <w:name w:val="无"/>
    <w:autoRedefine/>
    <w:qFormat/>
    <w:uiPriority w:val="0"/>
  </w:style>
  <w:style w:type="paragraph" w:customStyle="1" w:styleId="174">
    <w:name w:val="江建权"/>
    <w:basedOn w:val="1"/>
    <w:qFormat/>
    <w:uiPriority w:val="0"/>
    <w:pPr>
      <w:adjustRightInd/>
      <w:spacing w:line="440" w:lineRule="exact"/>
      <w:ind w:firstLine="200" w:firstLineChars="200"/>
    </w:pPr>
    <w:rPr>
      <w:rFonts w:ascii="宋体" w:hAnsi="宋体" w:cstheme="minorBidi"/>
      <w:kern w:val="0"/>
      <w:sz w:val="24"/>
    </w:rPr>
  </w:style>
  <w:style w:type="paragraph" w:customStyle="1" w:styleId="175">
    <w:name w:val="hby"/>
    <w:basedOn w:val="1"/>
    <w:qFormat/>
    <w:uiPriority w:val="0"/>
    <w:pPr>
      <w:adjustRightInd/>
      <w:spacing w:line="44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19454</Words>
  <Characters>20821</Characters>
  <Lines>1</Lines>
  <Paragraphs>1</Paragraphs>
  <TotalTime>5</TotalTime>
  <ScaleCrop>false</ScaleCrop>
  <LinksUpToDate>false</LinksUpToDate>
  <CharactersWithSpaces>20977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2021-09-14T03:18:00Z</dcterms:created>
  <dc:creator>宇正-王</dc:creator>
  <cp:lastModifiedBy>Administrator</cp:lastModifiedBy>
  <cp:lastPrinted>2025-01-01T12:25:00Z</cp:lastPrinted>
  <dcterms:modified xsi:type="dcterms:W3CDTF">2025-01-26T06:19:01Z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9A03A6E0D109464AA13B0A20EA1E0D14_13</vt:lpwstr>
  </property>
  <property fmtid="{D5CDD505-2E9C-101B-9397-08002B2CF9AE}" pid="4" name="KSOTemplateDocerSaveRecord">
    <vt:lpwstr>eyJoZGlkIjoiYmNhZDBhZDQ5ZWM5NWUzMTM3YzBlMGYyYzM4ZDhlOTYiLCJ1c2VySWQiOiIxMTU5NDcwNzk3In0=</vt:lpwstr>
  </property>
</Properties>
</file>