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68F16">
      <w:pPr>
        <w:pStyle w:val="5"/>
        <w:spacing w:line="360" w:lineRule="auto"/>
        <w:outlineLvl w:val="0"/>
        <w:rPr>
          <w:rFonts w:hint="eastAsia" w:ascii="仿宋" w:hAnsi="仿宋" w:eastAsia="仿宋" w:cs="仿宋"/>
          <w:color w:val="000000"/>
          <w:sz w:val="30"/>
          <w:szCs w:val="32"/>
          <w:lang w:val="zh-CN" w:eastAsia="zh-CN"/>
        </w:rPr>
      </w:pPr>
      <w:bookmarkStart w:id="4" w:name="_GoBack"/>
      <w:r>
        <w:rPr>
          <w:rFonts w:hint="eastAsia" w:ascii="仿宋" w:hAnsi="仿宋" w:eastAsia="仿宋" w:cs="仿宋"/>
          <w:color w:val="000000"/>
          <w:sz w:val="30"/>
          <w:szCs w:val="32"/>
          <w:lang w:val="zh-CN" w:eastAsia="zh-CN"/>
        </w:rPr>
        <w:t>常山县辉埠镇常辉线及相关路段绿化养护及道路保洁项目</w:t>
      </w:r>
    </w:p>
    <w:p w14:paraId="392EB7E1">
      <w:pPr>
        <w:pStyle w:val="5"/>
        <w:spacing w:line="360" w:lineRule="auto"/>
        <w:outlineLvl w:val="0"/>
        <w:rPr>
          <w:rFonts w:hint="eastAsia" w:ascii="仿宋" w:hAnsi="仿宋" w:eastAsia="仿宋" w:cs="仿宋"/>
          <w:b w:val="0"/>
          <w:color w:val="FF0000"/>
          <w:sz w:val="30"/>
          <w:szCs w:val="30"/>
          <w:u w:val="single"/>
          <w:lang w:eastAsia="zh-CN"/>
        </w:rPr>
      </w:pPr>
      <w:r>
        <w:rPr>
          <w:rFonts w:hint="eastAsia" w:ascii="仿宋" w:hAnsi="仿宋" w:eastAsia="仿宋" w:cs="仿宋"/>
          <w:color w:val="000000"/>
          <w:sz w:val="30"/>
          <w:szCs w:val="32"/>
          <w:lang w:val="zh-CN" w:eastAsia="zh-CN"/>
        </w:rPr>
        <w:t>竞争性磋商公告（借平台发布）</w:t>
      </w:r>
    </w:p>
    <w:bookmarkEnd w:id="4"/>
    <w:p w14:paraId="54705D56">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lang w:val="zh-CN"/>
        </w:rPr>
      </w:pPr>
    </w:p>
    <w:p w14:paraId="3128945E">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lang w:val="zh-CN"/>
        </w:rPr>
      </w:pPr>
      <w:r>
        <w:rPr>
          <w:rFonts w:hint="eastAsia" w:ascii="仿宋" w:hAnsi="仿宋" w:eastAsia="仿宋" w:cs="仿宋"/>
          <w:lang w:val="zh-CN"/>
        </w:rPr>
        <w:t>浙江哲晟工程项目管理有限公司受常山县辉埠镇人民政府委托，就下列项目进行招标，欢迎符合要求的供应商参加磋商活动。现将有关事项公告如下：</w:t>
      </w:r>
    </w:p>
    <w:p w14:paraId="58FF0B1A">
      <w:pPr>
        <w:keepNext w:val="0"/>
        <w:keepLines w:val="0"/>
        <w:pageBreakBefore w:val="0"/>
        <w:numPr>
          <w:ilvl w:val="0"/>
          <w:numId w:val="0"/>
        </w:numPr>
        <w:kinsoku/>
        <w:wordWrap/>
        <w:overflowPunct/>
        <w:topLinePunct w:val="0"/>
        <w:bidi w:val="0"/>
        <w:spacing w:line="420" w:lineRule="exact"/>
        <w:ind w:firstLine="422" w:firstLineChars="200"/>
        <w:textAlignment w:val="auto"/>
        <w:rPr>
          <w:rFonts w:hint="eastAsia" w:ascii="仿宋" w:hAnsi="仿宋" w:eastAsia="仿宋" w:cs="仿宋"/>
          <w:lang w:eastAsia="zh-CN"/>
        </w:rPr>
      </w:pPr>
      <w:r>
        <w:rPr>
          <w:rFonts w:hint="eastAsia" w:ascii="仿宋" w:hAnsi="仿宋" w:eastAsia="仿宋" w:cs="仿宋"/>
          <w:b/>
          <w:bCs/>
          <w:lang w:eastAsia="zh-CN"/>
        </w:rPr>
        <w:t>一、</w:t>
      </w:r>
      <w:r>
        <w:rPr>
          <w:rFonts w:hint="eastAsia" w:ascii="仿宋" w:hAnsi="仿宋" w:eastAsia="仿宋" w:cs="仿宋"/>
          <w:b/>
          <w:bCs/>
        </w:rPr>
        <w:t>项目名称：</w:t>
      </w:r>
      <w:r>
        <w:rPr>
          <w:rFonts w:hint="eastAsia" w:ascii="仿宋" w:hAnsi="仿宋" w:eastAsia="仿宋" w:cs="仿宋"/>
          <w:lang w:eastAsia="zh-CN"/>
        </w:rPr>
        <w:t>常山县辉埠镇常辉线及相关路段绿化养护及道路保洁项目</w:t>
      </w:r>
    </w:p>
    <w:p w14:paraId="21EC28A7">
      <w:pPr>
        <w:keepNext w:val="0"/>
        <w:keepLines w:val="0"/>
        <w:pageBreakBefore w:val="0"/>
        <w:numPr>
          <w:ilvl w:val="0"/>
          <w:numId w:val="0"/>
        </w:numPr>
        <w:kinsoku/>
        <w:wordWrap/>
        <w:overflowPunct/>
        <w:topLinePunct w:val="0"/>
        <w:bidi w:val="0"/>
        <w:spacing w:line="420" w:lineRule="exact"/>
        <w:ind w:firstLine="422" w:firstLineChars="200"/>
        <w:textAlignment w:val="auto"/>
        <w:rPr>
          <w:rFonts w:hint="eastAsia" w:ascii="仿宋" w:hAnsi="仿宋" w:eastAsia="仿宋" w:cs="仿宋"/>
          <w:lang w:eastAsia="zh-CN"/>
        </w:rPr>
      </w:pPr>
      <w:r>
        <w:rPr>
          <w:rFonts w:hint="eastAsia" w:ascii="仿宋" w:hAnsi="仿宋" w:eastAsia="仿宋" w:cs="仿宋"/>
          <w:b/>
          <w:bCs/>
        </w:rPr>
        <w:t>二、项目编号：</w:t>
      </w:r>
      <w:r>
        <w:rPr>
          <w:rFonts w:hint="eastAsia" w:ascii="仿宋" w:hAnsi="仿宋" w:eastAsia="仿宋" w:cs="仿宋"/>
          <w:lang w:eastAsia="zh-CN"/>
        </w:rPr>
        <w:t>ZSCG202585-CS01</w:t>
      </w:r>
    </w:p>
    <w:p w14:paraId="264884E1">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rPr>
      </w:pPr>
      <w:r>
        <w:rPr>
          <w:rFonts w:hint="eastAsia" w:ascii="仿宋" w:hAnsi="仿宋" w:eastAsia="仿宋" w:cs="仿宋"/>
          <w:b/>
          <w:bCs/>
        </w:rPr>
        <w:t>三、</w:t>
      </w:r>
      <w:r>
        <w:rPr>
          <w:rFonts w:hint="eastAsia" w:ascii="仿宋" w:hAnsi="仿宋" w:eastAsia="仿宋" w:cs="仿宋"/>
          <w:b/>
          <w:bCs/>
          <w:lang w:eastAsia="zh-CN"/>
        </w:rPr>
        <w:t>招标</w:t>
      </w:r>
      <w:r>
        <w:rPr>
          <w:rFonts w:hint="eastAsia" w:ascii="仿宋" w:hAnsi="仿宋" w:eastAsia="仿宋" w:cs="仿宋"/>
          <w:b/>
          <w:bCs/>
        </w:rPr>
        <w:t>方式：</w:t>
      </w:r>
      <w:r>
        <w:rPr>
          <w:rFonts w:hint="eastAsia" w:ascii="仿宋" w:hAnsi="仿宋" w:eastAsia="仿宋" w:cs="仿宋"/>
        </w:rPr>
        <w:t>竞争性磋商</w:t>
      </w:r>
    </w:p>
    <w:p w14:paraId="569FBD4F">
      <w:pPr>
        <w:keepNext w:val="0"/>
        <w:keepLines w:val="0"/>
        <w:pageBreakBefore w:val="0"/>
        <w:numPr>
          <w:ilvl w:val="0"/>
          <w:numId w:val="0"/>
        </w:numPr>
        <w:kinsoku/>
        <w:wordWrap/>
        <w:overflowPunct/>
        <w:topLinePunct w:val="0"/>
        <w:bidi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color w:val="000000"/>
          <w:szCs w:val="21"/>
        </w:rPr>
        <w:t>四、磋商内容：</w:t>
      </w:r>
    </w:p>
    <w:tbl>
      <w:tblPr>
        <w:tblStyle w:val="6"/>
        <w:tblW w:w="86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2834"/>
        <w:gridCol w:w="866"/>
        <w:gridCol w:w="950"/>
        <w:gridCol w:w="1100"/>
        <w:gridCol w:w="2170"/>
      </w:tblGrid>
      <w:tr w14:paraId="77F790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733" w:type="dxa"/>
            <w:tcBorders>
              <w:top w:val="single" w:color="auto" w:sz="4" w:space="0"/>
              <w:left w:val="single" w:color="auto" w:sz="4" w:space="0"/>
              <w:bottom w:val="single" w:color="auto" w:sz="4" w:space="0"/>
              <w:right w:val="single" w:color="auto" w:sz="4" w:space="0"/>
            </w:tcBorders>
            <w:noWrap w:val="0"/>
            <w:vAlign w:val="center"/>
          </w:tcPr>
          <w:p w14:paraId="5F24C176">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
                <w:color w:val="000000"/>
                <w:sz w:val="21"/>
                <w:szCs w:val="21"/>
                <w:lang w:val="zh-CN"/>
              </w:rPr>
            </w:pPr>
            <w:r>
              <w:rPr>
                <w:rFonts w:hint="eastAsia" w:ascii="仿宋" w:hAnsi="仿宋" w:eastAsia="仿宋" w:cs="仿宋"/>
                <w:b/>
                <w:color w:val="000000"/>
                <w:sz w:val="21"/>
                <w:szCs w:val="21"/>
                <w:lang w:val="zh-CN"/>
              </w:rPr>
              <w:t>序号</w:t>
            </w:r>
          </w:p>
        </w:tc>
        <w:tc>
          <w:tcPr>
            <w:tcW w:w="2834" w:type="dxa"/>
            <w:tcBorders>
              <w:top w:val="single" w:color="auto" w:sz="4" w:space="0"/>
              <w:left w:val="single" w:color="auto" w:sz="4" w:space="0"/>
              <w:bottom w:val="single" w:color="auto" w:sz="4" w:space="0"/>
              <w:right w:val="single" w:color="auto" w:sz="4" w:space="0"/>
            </w:tcBorders>
            <w:noWrap w:val="0"/>
            <w:vAlign w:val="center"/>
          </w:tcPr>
          <w:p w14:paraId="01A11B47">
            <w:pPr>
              <w:keepNext w:val="0"/>
              <w:keepLines w:val="0"/>
              <w:pageBreakBefore w:val="0"/>
              <w:kinsoku/>
              <w:wordWrap/>
              <w:overflowPunct/>
              <w:topLinePunct w:val="0"/>
              <w:bidi w:val="0"/>
              <w:spacing w:line="420" w:lineRule="exact"/>
              <w:ind w:firstLine="420"/>
              <w:jc w:val="center"/>
              <w:textAlignment w:val="auto"/>
              <w:rPr>
                <w:rFonts w:hint="eastAsia" w:ascii="仿宋" w:hAnsi="仿宋" w:eastAsia="仿宋" w:cs="仿宋"/>
                <w:b/>
                <w:color w:val="000000"/>
                <w:sz w:val="21"/>
                <w:szCs w:val="21"/>
                <w:lang w:val="zh-CN"/>
              </w:rPr>
            </w:pPr>
            <w:r>
              <w:rPr>
                <w:rFonts w:hint="eastAsia" w:ascii="仿宋" w:hAnsi="仿宋" w:eastAsia="仿宋" w:cs="仿宋"/>
                <w:b/>
                <w:color w:val="000000"/>
                <w:sz w:val="21"/>
                <w:szCs w:val="21"/>
                <w:lang w:val="zh-CN"/>
              </w:rPr>
              <w:t>磋商内容</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02E3373">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
                <w:color w:val="000000"/>
                <w:sz w:val="21"/>
                <w:szCs w:val="21"/>
                <w:lang w:val="zh-CN"/>
              </w:rPr>
            </w:pPr>
            <w:r>
              <w:rPr>
                <w:rFonts w:hint="eastAsia" w:ascii="仿宋" w:hAnsi="仿宋" w:eastAsia="仿宋" w:cs="仿宋"/>
                <w:b/>
                <w:color w:val="000000"/>
                <w:sz w:val="21"/>
                <w:szCs w:val="21"/>
                <w:lang w:val="zh-CN"/>
              </w:rPr>
              <w:t>数量</w:t>
            </w:r>
          </w:p>
        </w:tc>
        <w:tc>
          <w:tcPr>
            <w:tcW w:w="950" w:type="dxa"/>
            <w:tcBorders>
              <w:top w:val="single" w:color="auto" w:sz="4" w:space="0"/>
              <w:left w:val="single" w:color="auto" w:sz="4" w:space="0"/>
              <w:bottom w:val="single" w:color="auto" w:sz="4" w:space="0"/>
              <w:right w:val="single" w:color="auto" w:sz="4" w:space="0"/>
            </w:tcBorders>
            <w:noWrap w:val="0"/>
            <w:vAlign w:val="center"/>
          </w:tcPr>
          <w:p w14:paraId="0AB04ED2">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
                <w:color w:val="000000"/>
                <w:sz w:val="21"/>
                <w:szCs w:val="21"/>
                <w:lang w:val="zh-CN"/>
              </w:rPr>
            </w:pPr>
            <w:r>
              <w:rPr>
                <w:rFonts w:hint="eastAsia" w:ascii="仿宋" w:hAnsi="仿宋" w:eastAsia="仿宋" w:cs="仿宋"/>
                <w:b/>
                <w:color w:val="000000"/>
                <w:sz w:val="21"/>
                <w:szCs w:val="21"/>
                <w:lang w:val="zh-CN"/>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A316979">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
                <w:color w:val="000000"/>
                <w:sz w:val="21"/>
                <w:szCs w:val="21"/>
              </w:rPr>
            </w:pPr>
            <w:r>
              <w:rPr>
                <w:rFonts w:hint="eastAsia" w:ascii="仿宋" w:hAnsi="仿宋" w:eastAsia="仿宋" w:cs="仿宋"/>
                <w:b/>
                <w:color w:val="000000"/>
                <w:sz w:val="21"/>
                <w:szCs w:val="21"/>
              </w:rPr>
              <w:t>预算</w:t>
            </w:r>
          </w:p>
        </w:tc>
        <w:tc>
          <w:tcPr>
            <w:tcW w:w="2170" w:type="dxa"/>
            <w:tcBorders>
              <w:top w:val="single" w:color="auto" w:sz="4" w:space="0"/>
              <w:left w:val="single" w:color="auto" w:sz="4" w:space="0"/>
              <w:bottom w:val="single" w:color="auto" w:sz="4" w:space="0"/>
              <w:right w:val="single" w:color="auto" w:sz="4" w:space="0"/>
            </w:tcBorders>
            <w:noWrap w:val="0"/>
            <w:vAlign w:val="center"/>
          </w:tcPr>
          <w:p w14:paraId="0B5D06FB">
            <w:pPr>
              <w:keepNext w:val="0"/>
              <w:keepLines w:val="0"/>
              <w:pageBreakBefore w:val="0"/>
              <w:kinsoku/>
              <w:wordWrap/>
              <w:overflowPunct/>
              <w:topLinePunct w:val="0"/>
              <w:bidi w:val="0"/>
              <w:spacing w:line="420" w:lineRule="exact"/>
              <w:ind w:firstLine="420"/>
              <w:jc w:val="center"/>
              <w:textAlignment w:val="auto"/>
              <w:rPr>
                <w:rFonts w:hint="eastAsia" w:ascii="仿宋" w:hAnsi="仿宋" w:eastAsia="仿宋" w:cs="仿宋"/>
                <w:b/>
                <w:color w:val="000000"/>
                <w:sz w:val="21"/>
                <w:szCs w:val="21"/>
                <w:lang w:val="zh-CN"/>
              </w:rPr>
            </w:pPr>
            <w:r>
              <w:rPr>
                <w:rFonts w:hint="eastAsia" w:ascii="仿宋" w:hAnsi="仿宋" w:eastAsia="仿宋" w:cs="仿宋"/>
                <w:b/>
                <w:color w:val="000000"/>
                <w:sz w:val="21"/>
                <w:szCs w:val="21"/>
                <w:lang w:val="zh-CN"/>
              </w:rPr>
              <w:t>备注</w:t>
            </w:r>
          </w:p>
        </w:tc>
      </w:tr>
      <w:tr w14:paraId="40AFF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9" w:hRule="atLeast"/>
          <w:jc w:val="center"/>
        </w:trPr>
        <w:tc>
          <w:tcPr>
            <w:tcW w:w="733" w:type="dxa"/>
            <w:tcBorders>
              <w:top w:val="single" w:color="auto" w:sz="4" w:space="0"/>
              <w:left w:val="single" w:color="auto" w:sz="4" w:space="0"/>
              <w:bottom w:val="single" w:color="auto" w:sz="4" w:space="0"/>
              <w:right w:val="single" w:color="auto" w:sz="4" w:space="0"/>
            </w:tcBorders>
            <w:noWrap w:val="0"/>
            <w:vAlign w:val="center"/>
          </w:tcPr>
          <w:p w14:paraId="3947AD89">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 w:val="21"/>
                <w:szCs w:val="21"/>
              </w:rPr>
            </w:pPr>
            <w:r>
              <w:rPr>
                <w:rFonts w:hint="eastAsia" w:ascii="仿宋" w:hAnsi="仿宋" w:eastAsia="仿宋" w:cs="仿宋"/>
                <w:bCs/>
                <w:color w:val="000000"/>
                <w:sz w:val="21"/>
                <w:szCs w:val="21"/>
              </w:rPr>
              <w:t>1</w:t>
            </w:r>
          </w:p>
        </w:tc>
        <w:tc>
          <w:tcPr>
            <w:tcW w:w="2834" w:type="dxa"/>
            <w:tcBorders>
              <w:top w:val="single" w:color="auto" w:sz="4" w:space="0"/>
              <w:left w:val="single" w:color="auto" w:sz="4" w:space="0"/>
              <w:bottom w:val="single" w:color="auto" w:sz="4" w:space="0"/>
              <w:right w:val="single" w:color="auto" w:sz="4" w:space="0"/>
            </w:tcBorders>
            <w:noWrap w:val="0"/>
            <w:vAlign w:val="center"/>
          </w:tcPr>
          <w:p w14:paraId="797CE2E2">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Cs w:val="21"/>
              </w:rPr>
            </w:pPr>
            <w:r>
              <w:rPr>
                <w:rFonts w:hint="eastAsia" w:ascii="仿宋" w:hAnsi="仿宋" w:eastAsia="仿宋" w:cs="仿宋"/>
                <w:lang w:eastAsia="zh-CN"/>
              </w:rPr>
              <w:t>常山县辉埠镇常辉线及相关路段绿化养护及道路保洁</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4E12CDF">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 w:val="21"/>
                <w:szCs w:val="21"/>
                <w:lang w:val="zh-CN"/>
              </w:rPr>
            </w:pPr>
            <w:r>
              <w:rPr>
                <w:rFonts w:hint="eastAsia" w:ascii="仿宋" w:hAnsi="仿宋" w:eastAsia="仿宋" w:cs="仿宋"/>
                <w:bCs/>
                <w:color w:val="000000"/>
                <w:sz w:val="21"/>
                <w:szCs w:val="21"/>
                <w:lang w:val="zh-CN"/>
              </w:rPr>
              <w:t>1</w:t>
            </w:r>
          </w:p>
        </w:tc>
        <w:tc>
          <w:tcPr>
            <w:tcW w:w="950" w:type="dxa"/>
            <w:tcBorders>
              <w:top w:val="single" w:color="auto" w:sz="4" w:space="0"/>
              <w:left w:val="single" w:color="auto" w:sz="4" w:space="0"/>
              <w:bottom w:val="single" w:color="auto" w:sz="4" w:space="0"/>
              <w:right w:val="single" w:color="auto" w:sz="4" w:space="0"/>
            </w:tcBorders>
            <w:noWrap w:val="0"/>
            <w:vAlign w:val="center"/>
          </w:tcPr>
          <w:p w14:paraId="2C3E3192">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 w:val="21"/>
                <w:szCs w:val="21"/>
                <w:lang w:val="zh-CN"/>
              </w:rPr>
            </w:pPr>
            <w:r>
              <w:rPr>
                <w:rFonts w:hint="eastAsia" w:ascii="仿宋" w:hAnsi="仿宋" w:eastAsia="仿宋" w:cs="仿宋"/>
                <w:bCs/>
                <w:color w:val="000000"/>
                <w:sz w:val="21"/>
                <w:szCs w:val="21"/>
                <w:lang w:val="zh-CN"/>
              </w:rPr>
              <w:t>年</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D3416F3">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198</w:t>
            </w:r>
            <w:r>
              <w:rPr>
                <w:rFonts w:hint="eastAsia" w:ascii="仿宋" w:hAnsi="仿宋" w:eastAsia="仿宋" w:cs="仿宋"/>
                <w:bCs/>
                <w:color w:val="000000"/>
                <w:sz w:val="21"/>
                <w:szCs w:val="21"/>
              </w:rPr>
              <w:t>万元</w:t>
            </w:r>
          </w:p>
        </w:tc>
        <w:tc>
          <w:tcPr>
            <w:tcW w:w="2170" w:type="dxa"/>
            <w:tcBorders>
              <w:top w:val="single" w:color="auto" w:sz="4" w:space="0"/>
              <w:left w:val="single" w:color="auto" w:sz="4" w:space="0"/>
              <w:bottom w:val="single" w:color="auto" w:sz="4" w:space="0"/>
              <w:right w:val="single" w:color="auto" w:sz="4" w:space="0"/>
            </w:tcBorders>
            <w:noWrap w:val="0"/>
            <w:vAlign w:val="center"/>
          </w:tcPr>
          <w:p w14:paraId="12CCE218">
            <w:pPr>
              <w:keepNext w:val="0"/>
              <w:keepLines w:val="0"/>
              <w:pageBreakBefore w:val="0"/>
              <w:kinsoku/>
              <w:wordWrap/>
              <w:overflowPunct/>
              <w:topLinePunct w:val="0"/>
              <w:bidi w:val="0"/>
              <w:spacing w:line="420" w:lineRule="exact"/>
              <w:jc w:val="center"/>
              <w:textAlignment w:val="auto"/>
              <w:rPr>
                <w:rFonts w:hint="eastAsia" w:ascii="仿宋" w:hAnsi="仿宋" w:eastAsia="仿宋" w:cs="仿宋"/>
                <w:bCs/>
                <w:color w:val="000000"/>
                <w:szCs w:val="21"/>
                <w:lang w:val="zh-CN"/>
              </w:rPr>
            </w:pPr>
            <w:r>
              <w:rPr>
                <w:rFonts w:hint="eastAsia" w:ascii="仿宋" w:hAnsi="仿宋" w:eastAsia="仿宋" w:cs="仿宋"/>
              </w:rPr>
              <w:t>具体详见磋商文件第三章</w:t>
            </w:r>
          </w:p>
        </w:tc>
      </w:tr>
    </w:tbl>
    <w:p w14:paraId="2E7AD1C8">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Cs/>
          <w:color w:val="000000"/>
          <w:szCs w:val="21"/>
        </w:rPr>
      </w:pPr>
      <w:r>
        <w:rPr>
          <w:rFonts w:hint="eastAsia" w:ascii="仿宋" w:hAnsi="仿宋" w:eastAsia="仿宋" w:cs="仿宋"/>
          <w:b/>
          <w:color w:val="000000"/>
          <w:szCs w:val="21"/>
        </w:rPr>
        <w:t>▲五、合格</w:t>
      </w:r>
      <w:r>
        <w:rPr>
          <w:rFonts w:hint="eastAsia" w:ascii="仿宋" w:hAnsi="仿宋" w:eastAsia="仿宋" w:cs="仿宋"/>
          <w:b/>
          <w:color w:val="000000"/>
          <w:szCs w:val="21"/>
          <w:lang w:eastAsia="zh-CN"/>
        </w:rPr>
        <w:t>供应商</w:t>
      </w:r>
      <w:r>
        <w:rPr>
          <w:rFonts w:hint="eastAsia" w:ascii="仿宋" w:hAnsi="仿宋" w:eastAsia="仿宋" w:cs="仿宋"/>
          <w:b/>
          <w:color w:val="000000"/>
          <w:szCs w:val="21"/>
        </w:rPr>
        <w:t>的资格条件要求</w:t>
      </w:r>
    </w:p>
    <w:p w14:paraId="56E6AE9B">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b w:val="0"/>
          <w:bCs/>
          <w:color w:val="000000"/>
          <w:szCs w:val="21"/>
          <w:lang w:val="zh-CN"/>
        </w:rPr>
      </w:pPr>
      <w:r>
        <w:rPr>
          <w:rFonts w:hint="eastAsia" w:ascii="仿宋" w:hAnsi="仿宋" w:eastAsia="仿宋" w:cs="仿宋"/>
          <w:b w:val="0"/>
          <w:bCs/>
          <w:color w:val="000000"/>
          <w:szCs w:val="21"/>
          <w:lang w:val="en-US" w:eastAsia="zh-CN"/>
        </w:rPr>
        <w:t>1.具有独立承担民事责任的能力、具有良好的商业信誉和健全的财务会计制度、具有履行合同所必需的设备和专业技术能力、有依法缴纳税收和社会保障资金的良好记录、参加本次招标活动前三年内，在经营活动中没有重大违法记录；</w:t>
      </w:r>
    </w:p>
    <w:p w14:paraId="678D36F3">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b w:val="0"/>
          <w:bCs/>
          <w:color w:val="000000"/>
          <w:szCs w:val="21"/>
          <w:lang w:val="zh-CN"/>
        </w:rPr>
      </w:pPr>
      <w:r>
        <w:rPr>
          <w:rFonts w:hint="eastAsia" w:ascii="仿宋" w:hAnsi="仿宋" w:eastAsia="仿宋" w:cs="仿宋"/>
          <w:b w:val="0"/>
          <w:bCs/>
          <w:color w:val="000000"/>
          <w:szCs w:val="21"/>
          <w:lang w:val="en-US" w:eastAsia="zh-CN"/>
        </w:rPr>
        <w:t>2.</w:t>
      </w:r>
      <w:r>
        <w:rPr>
          <w:rFonts w:hint="eastAsia" w:ascii="仿宋" w:hAnsi="仿宋" w:eastAsia="仿宋" w:cs="仿宋"/>
          <w:b w:val="0"/>
          <w:bCs/>
          <w:color w:val="000000"/>
          <w:szCs w:val="21"/>
        </w:rPr>
        <w:t>近三年内在经营活动中</w:t>
      </w:r>
      <w:r>
        <w:rPr>
          <w:rFonts w:hint="eastAsia" w:ascii="仿宋" w:hAnsi="仿宋" w:eastAsia="仿宋" w:cs="仿宋"/>
          <w:b w:val="0"/>
          <w:bCs/>
          <w:color w:val="000000"/>
          <w:szCs w:val="21"/>
          <w:lang w:val="zh-CN"/>
        </w:rPr>
        <w:t>无不良信用记录（不良信用记录指：①被列入信用中国网站“失信被执行人”“ 重大税收违法案件当事人”名单；②被列入中国政府采购网“政府采购严重违法失信行为记录名单”）；</w:t>
      </w:r>
    </w:p>
    <w:p w14:paraId="35FA7913">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b w:val="0"/>
          <w:bCs/>
          <w:color w:val="000000"/>
          <w:szCs w:val="21"/>
          <w:lang w:eastAsia="zh-CN"/>
        </w:rPr>
      </w:pPr>
      <w:r>
        <w:rPr>
          <w:rFonts w:hint="eastAsia" w:ascii="仿宋" w:hAnsi="仿宋" w:eastAsia="仿宋" w:cs="仿宋"/>
          <w:b w:val="0"/>
          <w:bCs/>
          <w:color w:val="000000"/>
          <w:szCs w:val="21"/>
        </w:rPr>
        <w:t>3.</w:t>
      </w:r>
      <w:r>
        <w:rPr>
          <w:rFonts w:hint="eastAsia" w:ascii="仿宋" w:hAnsi="仿宋" w:eastAsia="仿宋" w:cs="仿宋"/>
          <w:b w:val="0"/>
          <w:bCs/>
          <w:color w:val="000000"/>
          <w:szCs w:val="21"/>
          <w:lang w:eastAsia="zh-CN"/>
        </w:rPr>
        <w:t>特定资格要求：无</w:t>
      </w:r>
    </w:p>
    <w:p w14:paraId="1F172E85">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b w:val="0"/>
          <w:bCs/>
          <w:color w:val="000000"/>
          <w:szCs w:val="21"/>
          <w:lang w:val="en-US" w:eastAsia="zh-CN"/>
        </w:rPr>
      </w:pPr>
      <w:r>
        <w:rPr>
          <w:rFonts w:hint="eastAsia" w:ascii="仿宋" w:hAnsi="仿宋" w:eastAsia="仿宋" w:cs="仿宋"/>
          <w:b w:val="0"/>
          <w:bCs/>
          <w:color w:val="000000"/>
          <w:szCs w:val="21"/>
          <w:lang w:val="en-US" w:eastAsia="zh-CN"/>
        </w:rPr>
        <w:t>4.本项目不接受联合体投标。</w:t>
      </w:r>
    </w:p>
    <w:p w14:paraId="46BF6242">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color w:val="000000"/>
          <w:szCs w:val="21"/>
        </w:rPr>
        <w:t>六、磋商文件的发售</w:t>
      </w:r>
    </w:p>
    <w:p w14:paraId="2B788C56">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1.发售时间：</w:t>
      </w:r>
      <w:bookmarkStart w:id="0" w:name="B19_招标文件发售起始日期"/>
      <w:bookmarkEnd w:id="0"/>
      <w:r>
        <w:rPr>
          <w:rFonts w:hint="eastAsia" w:ascii="仿宋" w:hAnsi="仿宋" w:eastAsia="仿宋" w:cs="仿宋"/>
        </w:rPr>
        <w:t>/ 至</w:t>
      </w:r>
      <w:r>
        <w:rPr>
          <w:rFonts w:hint="eastAsia" w:ascii="仿宋" w:hAnsi="仿宋" w:eastAsia="仿宋" w:cs="仿宋"/>
          <w:lang w:eastAsia="zh-CN"/>
        </w:rPr>
        <w:t xml:space="preserve"> 202</w:t>
      </w:r>
      <w:r>
        <w:rPr>
          <w:rFonts w:hint="eastAsia" w:ascii="仿宋" w:hAnsi="仿宋" w:eastAsia="仿宋" w:cs="仿宋"/>
          <w:lang w:val="en-US" w:eastAsia="zh-CN"/>
        </w:rPr>
        <w:t>5</w:t>
      </w:r>
      <w:r>
        <w:rPr>
          <w:rFonts w:hint="eastAsia" w:ascii="仿宋" w:hAnsi="仿宋" w:eastAsia="仿宋" w:cs="仿宋"/>
          <w:lang w:eastAsia="zh-CN"/>
        </w:rPr>
        <w:t>年</w:t>
      </w:r>
      <w:r>
        <w:rPr>
          <w:rFonts w:hint="eastAsia" w:ascii="仿宋" w:hAnsi="仿宋" w:eastAsia="仿宋" w:cs="仿宋"/>
          <w:lang w:val="en-US" w:eastAsia="zh-CN"/>
        </w:rPr>
        <w:t>03</w:t>
      </w:r>
      <w:r>
        <w:rPr>
          <w:rFonts w:hint="eastAsia" w:ascii="仿宋" w:hAnsi="仿宋" w:eastAsia="仿宋" w:cs="仿宋"/>
          <w:lang w:eastAsia="zh-CN"/>
        </w:rPr>
        <w:t>月</w:t>
      </w:r>
      <w:r>
        <w:rPr>
          <w:rFonts w:hint="eastAsia" w:ascii="仿宋" w:hAnsi="仿宋" w:eastAsia="仿宋" w:cs="仿宋"/>
          <w:lang w:val="en-US" w:eastAsia="zh-CN"/>
        </w:rPr>
        <w:t>16</w:t>
      </w:r>
      <w:r>
        <w:rPr>
          <w:rFonts w:hint="eastAsia" w:ascii="仿宋" w:hAnsi="仿宋" w:eastAsia="仿宋" w:cs="仿宋"/>
          <w:lang w:eastAsia="zh-CN"/>
        </w:rPr>
        <w:t>日</w:t>
      </w:r>
      <w:r>
        <w:rPr>
          <w:rFonts w:hint="eastAsia" w:ascii="仿宋" w:hAnsi="仿宋" w:eastAsia="仿宋" w:cs="仿宋"/>
        </w:rPr>
        <w:t>；每天上午00:00至12:00，下午12:00至23:59，逾期不候。</w:t>
      </w:r>
    </w:p>
    <w:p w14:paraId="0A19D222">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2.获取磋商文件方式：以邮件方式获取【潜在</w:t>
      </w:r>
      <w:r>
        <w:rPr>
          <w:rFonts w:hint="eastAsia" w:ascii="仿宋" w:hAnsi="仿宋" w:eastAsia="仿宋" w:cs="仿宋"/>
          <w:lang w:eastAsia="zh-CN"/>
        </w:rPr>
        <w:t>供应商</w:t>
      </w:r>
      <w:r>
        <w:rPr>
          <w:rFonts w:hint="eastAsia" w:ascii="仿宋" w:hAnsi="仿宋" w:eastAsia="仿宋" w:cs="仿宋"/>
        </w:rPr>
        <w:t>电话联系并将磋商公告第七条要求提供的资料原件扫描件以邮件的方式发送至代理机构邮箱(85967191@qq.com)。</w:t>
      </w:r>
    </w:p>
    <w:p w14:paraId="0274C9C4">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3.获取地点：浙江省常山县天马街道定阳南路859幢432-435室。</w:t>
      </w:r>
    </w:p>
    <w:p w14:paraId="49A60E57">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联系人：</w:t>
      </w:r>
      <w:r>
        <w:rPr>
          <w:rFonts w:hint="eastAsia" w:ascii="仿宋" w:hAnsi="仿宋" w:eastAsia="仿宋" w:cs="仿宋"/>
          <w:lang w:eastAsia="zh-CN"/>
        </w:rPr>
        <w:t>余佳丽</w:t>
      </w:r>
      <w:r>
        <w:rPr>
          <w:rFonts w:hint="eastAsia" w:ascii="仿宋" w:hAnsi="仿宋" w:eastAsia="仿宋" w:cs="仿宋"/>
        </w:rPr>
        <w:t xml:space="preserve">   联系方式：</w:t>
      </w:r>
      <w:r>
        <w:rPr>
          <w:rFonts w:hint="eastAsia" w:ascii="仿宋" w:hAnsi="仿宋" w:eastAsia="仿宋" w:cs="仿宋"/>
          <w:lang w:eastAsia="zh-CN"/>
        </w:rPr>
        <w:t>13567051997</w:t>
      </w:r>
      <w:r>
        <w:rPr>
          <w:rFonts w:hint="eastAsia" w:ascii="仿宋" w:hAnsi="仿宋" w:eastAsia="仿宋" w:cs="仿宋"/>
        </w:rPr>
        <w:t xml:space="preserve"> （</w:t>
      </w:r>
      <w:r>
        <w:rPr>
          <w:rFonts w:hint="eastAsia" w:ascii="仿宋" w:hAnsi="仿宋" w:eastAsia="仿宋" w:cs="仿宋"/>
          <w:lang w:eastAsia="zh-CN"/>
        </w:rPr>
        <w:t>521997</w:t>
      </w:r>
      <w:r>
        <w:rPr>
          <w:rFonts w:hint="eastAsia" w:ascii="仿宋" w:hAnsi="仿宋" w:eastAsia="仿宋" w:cs="仿宋"/>
        </w:rPr>
        <w:t>）。</w:t>
      </w:r>
    </w:p>
    <w:p w14:paraId="66791841">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4.售价(元)</w:t>
      </w:r>
      <w:bookmarkStart w:id="1" w:name="B24_标书售价"/>
      <w:r>
        <w:rPr>
          <w:rFonts w:hint="eastAsia" w:ascii="仿宋" w:hAnsi="仿宋" w:eastAsia="仿宋" w:cs="仿宋"/>
        </w:rPr>
        <w:t>：</w:t>
      </w:r>
      <w:bookmarkEnd w:id="1"/>
      <w:r>
        <w:rPr>
          <w:rFonts w:hint="eastAsia" w:ascii="仿宋" w:hAnsi="仿宋" w:eastAsia="仿宋" w:cs="仿宋"/>
        </w:rPr>
        <w:t>工本费每套500元，售后不退。</w:t>
      </w:r>
    </w:p>
    <w:p w14:paraId="0FD4DC02">
      <w:pPr>
        <w:keepNext w:val="0"/>
        <w:keepLines w:val="0"/>
        <w:pageBreakBefore w:val="0"/>
        <w:kinsoku/>
        <w:wordWrap/>
        <w:overflowPunct/>
        <w:topLinePunct w:val="0"/>
        <w:bidi w:val="0"/>
        <w:snapToGrid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color w:val="000000"/>
          <w:szCs w:val="21"/>
        </w:rPr>
        <w:t>七、获取磋商文件时应提供以下资料</w:t>
      </w:r>
    </w:p>
    <w:p w14:paraId="06E9A238">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1.营业执照复印件（加盖公章）；</w:t>
      </w:r>
    </w:p>
    <w:p w14:paraId="102B230A">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2.法定代表人身份证明或法定代表人授权委托书（复印件须加盖公章，格式见磋商文件第六章）；</w:t>
      </w:r>
    </w:p>
    <w:p w14:paraId="67709B69">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3.购买磋商文件</w:t>
      </w:r>
      <w:r>
        <w:rPr>
          <w:rFonts w:hint="eastAsia" w:ascii="仿宋" w:hAnsi="仿宋" w:eastAsia="仿宋" w:cs="仿宋"/>
          <w:lang w:eastAsia="zh-CN"/>
        </w:rPr>
        <w:t>供应商</w:t>
      </w:r>
      <w:r>
        <w:rPr>
          <w:rFonts w:hint="eastAsia" w:ascii="仿宋" w:hAnsi="仿宋" w:eastAsia="仿宋" w:cs="仿宋"/>
        </w:rPr>
        <w:t>登记表(格式见磋商文件第六章)。</w:t>
      </w:r>
    </w:p>
    <w:p w14:paraId="27640049">
      <w:pPr>
        <w:pStyle w:val="3"/>
        <w:keepNext w:val="0"/>
        <w:keepLines w:val="0"/>
        <w:pageBreakBefore w:val="0"/>
        <w:kinsoku/>
        <w:wordWrap/>
        <w:overflowPunct/>
        <w:topLinePunct w:val="0"/>
        <w:bidi w:val="0"/>
        <w:snapToGrid w:val="0"/>
        <w:spacing w:line="420" w:lineRule="exact"/>
        <w:ind w:firstLine="422" w:firstLineChars="200"/>
        <w:textAlignment w:val="auto"/>
        <w:rPr>
          <w:rFonts w:hint="eastAsia" w:ascii="仿宋" w:hAnsi="仿宋" w:eastAsia="仿宋" w:cs="仿宋"/>
          <w:b/>
          <w:bCs/>
          <w:color w:val="000000"/>
          <w:sz w:val="21"/>
          <w:szCs w:val="21"/>
          <w:lang w:val="en-US"/>
        </w:rPr>
      </w:pPr>
      <w:r>
        <w:rPr>
          <w:rFonts w:hint="eastAsia" w:ascii="仿宋" w:hAnsi="仿宋" w:eastAsia="仿宋" w:cs="仿宋"/>
          <w:b/>
          <w:bCs/>
          <w:color w:val="000000"/>
          <w:sz w:val="21"/>
          <w:szCs w:val="21"/>
          <w:lang w:val="en-US"/>
        </w:rPr>
        <w:t>特别提醒：未按第六条、第七条规定履行获取磋商文件（报名）手续的潜在</w:t>
      </w:r>
      <w:r>
        <w:rPr>
          <w:rFonts w:hint="eastAsia" w:ascii="仿宋" w:hAnsi="仿宋" w:eastAsia="仿宋" w:cs="仿宋"/>
          <w:b/>
          <w:bCs/>
          <w:color w:val="000000"/>
          <w:sz w:val="21"/>
          <w:szCs w:val="21"/>
          <w:lang w:val="en-US" w:eastAsia="zh-CN"/>
        </w:rPr>
        <w:t>供应商</w:t>
      </w:r>
      <w:r>
        <w:rPr>
          <w:rFonts w:hint="eastAsia" w:ascii="仿宋" w:hAnsi="仿宋" w:eastAsia="仿宋" w:cs="仿宋"/>
          <w:b/>
          <w:bCs/>
          <w:color w:val="000000"/>
          <w:sz w:val="21"/>
          <w:szCs w:val="21"/>
          <w:lang w:val="en-US"/>
        </w:rPr>
        <w:t>，其响应文件将被拒收。</w:t>
      </w:r>
    </w:p>
    <w:p w14:paraId="3346F2CB">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color w:val="000000"/>
          <w:szCs w:val="21"/>
        </w:rPr>
        <w:t>八、磋商保证金</w:t>
      </w:r>
    </w:p>
    <w:p w14:paraId="62CC5B48">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color w:val="000000"/>
          <w:szCs w:val="21"/>
          <w:lang w:val="zh-CN"/>
        </w:rPr>
      </w:pPr>
      <w:r>
        <w:rPr>
          <w:rFonts w:hint="eastAsia" w:ascii="仿宋" w:hAnsi="仿宋" w:eastAsia="仿宋" w:cs="仿宋"/>
          <w:color w:val="000000"/>
          <w:szCs w:val="21"/>
          <w:lang w:val="zh-CN"/>
        </w:rPr>
        <w:t>本项目无需缴纳磋商保证金。</w:t>
      </w:r>
    </w:p>
    <w:p w14:paraId="3EB124B2">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color w:val="000000"/>
          <w:szCs w:val="21"/>
        </w:rPr>
        <w:t>九、提交响应文件截止时间和地点</w:t>
      </w:r>
    </w:p>
    <w:p w14:paraId="48249212">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lang w:val="zh-CN"/>
        </w:rPr>
      </w:pPr>
      <w:r>
        <w:rPr>
          <w:rFonts w:hint="eastAsia" w:ascii="仿宋" w:hAnsi="仿宋" w:eastAsia="仿宋" w:cs="仿宋"/>
          <w:lang w:eastAsia="zh-CN"/>
        </w:rPr>
        <w:t>供应商</w:t>
      </w:r>
      <w:r>
        <w:rPr>
          <w:rFonts w:hint="eastAsia" w:ascii="仿宋" w:hAnsi="仿宋" w:eastAsia="仿宋" w:cs="仿宋"/>
        </w:rPr>
        <w:t>应于</w:t>
      </w:r>
      <w:r>
        <w:rPr>
          <w:rFonts w:hint="eastAsia" w:ascii="仿宋" w:hAnsi="仿宋" w:eastAsia="仿宋" w:cs="仿宋"/>
          <w:b/>
          <w:bCs/>
          <w:u w:val="single"/>
          <w:lang w:val="zh-CN"/>
        </w:rPr>
        <w:t>2025年03月17日14：30</w:t>
      </w:r>
      <w:r>
        <w:rPr>
          <w:rFonts w:hint="eastAsia" w:ascii="仿宋" w:hAnsi="仿宋" w:eastAsia="仿宋" w:cs="仿宋"/>
          <w:lang w:val="zh-CN"/>
        </w:rPr>
        <w:t>前将响应文件密封送交到</w:t>
      </w:r>
      <w:r>
        <w:rPr>
          <w:rFonts w:hint="eastAsia" w:ascii="仿宋" w:hAnsi="仿宋" w:eastAsia="仿宋" w:cs="仿宋"/>
          <w:szCs w:val="21"/>
          <w:lang w:eastAsia="zh-CN"/>
        </w:rPr>
        <w:t>浙江哲晟工程项目管理有限公司（衢州市常山县天马街道定阳南路859幢432-435室）</w:t>
      </w:r>
      <w:r>
        <w:rPr>
          <w:rFonts w:hint="eastAsia" w:ascii="仿宋" w:hAnsi="仿宋" w:eastAsia="仿宋" w:cs="仿宋"/>
          <w:lang w:val="zh-CN"/>
        </w:rPr>
        <w:t>，逾期送达或未密封的响应文件将予以拒收。</w:t>
      </w:r>
    </w:p>
    <w:p w14:paraId="55275AB7">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color w:val="000000"/>
          <w:szCs w:val="21"/>
        </w:rPr>
      </w:pPr>
      <w:r>
        <w:rPr>
          <w:rFonts w:hint="eastAsia" w:ascii="仿宋" w:hAnsi="仿宋" w:eastAsia="仿宋" w:cs="仿宋"/>
          <w:b/>
          <w:bCs/>
        </w:rPr>
        <w:t>十、</w:t>
      </w:r>
      <w:r>
        <w:rPr>
          <w:rFonts w:hint="eastAsia" w:ascii="仿宋" w:hAnsi="仿宋" w:eastAsia="仿宋" w:cs="仿宋"/>
          <w:b/>
          <w:bCs/>
          <w:lang w:eastAsia="zh-CN"/>
        </w:rPr>
        <w:t>响应</w:t>
      </w:r>
      <w:r>
        <w:rPr>
          <w:rFonts w:hint="eastAsia" w:ascii="仿宋" w:hAnsi="仿宋" w:eastAsia="仿宋" w:cs="仿宋"/>
          <w:b/>
          <w:color w:val="000000"/>
          <w:szCs w:val="21"/>
        </w:rPr>
        <w:t>时间和地点</w:t>
      </w:r>
    </w:p>
    <w:p w14:paraId="711A8100">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color w:val="000000"/>
          <w:szCs w:val="21"/>
        </w:rPr>
      </w:pPr>
      <w:r>
        <w:rPr>
          <w:rFonts w:hint="eastAsia" w:ascii="仿宋" w:hAnsi="仿宋" w:eastAsia="仿宋" w:cs="仿宋"/>
          <w:color w:val="000000"/>
          <w:szCs w:val="21"/>
        </w:rPr>
        <w:t>本次</w:t>
      </w:r>
      <w:r>
        <w:rPr>
          <w:rFonts w:hint="eastAsia" w:ascii="仿宋" w:hAnsi="仿宋" w:eastAsia="仿宋" w:cs="仿宋"/>
          <w:color w:val="000000"/>
          <w:szCs w:val="21"/>
          <w:lang w:eastAsia="zh-CN"/>
        </w:rPr>
        <w:t>招标</w:t>
      </w:r>
      <w:r>
        <w:rPr>
          <w:rFonts w:hint="eastAsia" w:ascii="仿宋" w:hAnsi="仿宋" w:eastAsia="仿宋" w:cs="仿宋"/>
          <w:color w:val="000000"/>
          <w:szCs w:val="21"/>
        </w:rPr>
        <w:t>将于</w:t>
      </w:r>
      <w:bookmarkStart w:id="2" w:name="_Toc28359009"/>
      <w:bookmarkStart w:id="3" w:name="_Toc28359086"/>
      <w:r>
        <w:rPr>
          <w:rFonts w:hint="eastAsia" w:ascii="仿宋" w:hAnsi="仿宋" w:eastAsia="仿宋" w:cs="仿宋"/>
          <w:b/>
          <w:bCs/>
          <w:color w:val="000000"/>
          <w:szCs w:val="21"/>
          <w:u w:val="single"/>
          <w:lang w:val="zh-CN"/>
        </w:rPr>
        <w:t>2025年03月17日14：30</w:t>
      </w:r>
      <w:r>
        <w:rPr>
          <w:rFonts w:hint="eastAsia" w:ascii="仿宋" w:hAnsi="仿宋" w:eastAsia="仿宋" w:cs="仿宋"/>
          <w:color w:val="000000"/>
          <w:szCs w:val="21"/>
        </w:rPr>
        <w:t>在</w:t>
      </w:r>
      <w:r>
        <w:rPr>
          <w:rFonts w:hint="eastAsia" w:ascii="仿宋" w:hAnsi="仿宋" w:eastAsia="仿宋" w:cs="仿宋"/>
          <w:color w:val="000000"/>
          <w:szCs w:val="21"/>
          <w:lang w:eastAsia="zh-CN"/>
        </w:rPr>
        <w:t>浙江哲晟工程项目管理有限公司</w:t>
      </w:r>
      <w:r>
        <w:rPr>
          <w:rFonts w:hint="eastAsia" w:ascii="仿宋" w:hAnsi="仿宋" w:eastAsia="仿宋" w:cs="仿宋"/>
          <w:color w:val="000000"/>
          <w:szCs w:val="21"/>
        </w:rPr>
        <w:t>开标。</w:t>
      </w:r>
    </w:p>
    <w:p w14:paraId="7CC01325">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szCs w:val="21"/>
        </w:rPr>
      </w:pPr>
      <w:r>
        <w:rPr>
          <w:rFonts w:hint="eastAsia" w:ascii="仿宋" w:hAnsi="仿宋" w:eastAsia="仿宋" w:cs="仿宋"/>
          <w:b/>
          <w:szCs w:val="21"/>
        </w:rPr>
        <w:t>十一、公告发布媒体和期限</w:t>
      </w:r>
    </w:p>
    <w:p w14:paraId="569ED9B0">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rPr>
      </w:pPr>
      <w:r>
        <w:rPr>
          <w:rFonts w:hint="eastAsia" w:ascii="仿宋" w:hAnsi="仿宋" w:eastAsia="仿宋" w:cs="仿宋"/>
        </w:rPr>
        <w:t>1.公告发布媒体：浙江政府采购网（</w:t>
      </w:r>
      <w:r>
        <w:rPr>
          <w:rFonts w:hint="eastAsia" w:ascii="仿宋" w:hAnsi="仿宋" w:eastAsia="仿宋" w:cs="仿宋"/>
        </w:rPr>
        <w:fldChar w:fldCharType="begin"/>
      </w:r>
      <w:r>
        <w:rPr>
          <w:rFonts w:hint="eastAsia" w:ascii="仿宋" w:hAnsi="仿宋" w:eastAsia="仿宋" w:cs="仿宋"/>
        </w:rPr>
        <w:instrText xml:space="preserve"> HYPERLINK "http://zfcg.czt.zj.gov.cn/" </w:instrText>
      </w:r>
      <w:r>
        <w:rPr>
          <w:rFonts w:hint="eastAsia" w:ascii="仿宋" w:hAnsi="仿宋" w:eastAsia="仿宋" w:cs="仿宋"/>
        </w:rPr>
        <w:fldChar w:fldCharType="separate"/>
      </w:r>
      <w:r>
        <w:rPr>
          <w:rFonts w:hint="eastAsia" w:ascii="仿宋" w:hAnsi="仿宋" w:eastAsia="仿宋" w:cs="仿宋"/>
        </w:rPr>
        <w:t>http://zfcg.czt.zj.gov.cn/</w:t>
      </w:r>
      <w:r>
        <w:rPr>
          <w:rFonts w:hint="eastAsia" w:ascii="仿宋" w:hAnsi="仿宋" w:eastAsia="仿宋" w:cs="仿宋"/>
        </w:rPr>
        <w:fldChar w:fldCharType="end"/>
      </w:r>
      <w:r>
        <w:rPr>
          <w:rFonts w:hint="eastAsia" w:ascii="仿宋" w:hAnsi="仿宋" w:eastAsia="仿宋" w:cs="仿宋"/>
        </w:rPr>
        <w:t>）“非政府采购公告”栏，常山县政府网（http://www.zjcs.gov.cn/col/col1229635771/index.html）政务公开-重点领域信息公开-公共资源交易-其他交易。</w:t>
      </w:r>
    </w:p>
    <w:p w14:paraId="20FF7CC9">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b/>
          <w:bCs/>
          <w:color w:val="000000"/>
          <w:szCs w:val="21"/>
          <w:u w:val="single"/>
        </w:rPr>
      </w:pPr>
      <w:r>
        <w:rPr>
          <w:rFonts w:hint="eastAsia" w:ascii="仿宋" w:hAnsi="仿宋" w:eastAsia="仿宋" w:cs="仿宋"/>
        </w:rPr>
        <w:t>2.公告期限：自公告发布之日起3个工作日。</w:t>
      </w:r>
    </w:p>
    <w:p w14:paraId="13380D46">
      <w:pPr>
        <w:keepNext w:val="0"/>
        <w:keepLines w:val="0"/>
        <w:pageBreakBefore w:val="0"/>
        <w:kinsoku/>
        <w:wordWrap/>
        <w:overflowPunct/>
        <w:topLinePunct w:val="0"/>
        <w:bidi w:val="0"/>
        <w:spacing w:line="420" w:lineRule="exact"/>
        <w:ind w:firstLine="422" w:firstLineChars="200"/>
        <w:textAlignment w:val="auto"/>
        <w:rPr>
          <w:rFonts w:hint="eastAsia" w:ascii="仿宋" w:hAnsi="仿宋" w:eastAsia="仿宋" w:cs="仿宋"/>
          <w:b/>
          <w:szCs w:val="21"/>
        </w:rPr>
      </w:pPr>
      <w:r>
        <w:rPr>
          <w:rFonts w:hint="eastAsia" w:ascii="仿宋" w:hAnsi="仿宋" w:eastAsia="仿宋" w:cs="仿宋"/>
          <w:b/>
          <w:szCs w:val="21"/>
          <w:lang w:val="zh-CN"/>
        </w:rPr>
        <w:t>十二、联系方式</w:t>
      </w:r>
    </w:p>
    <w:p w14:paraId="222E45E7">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招标</w:t>
      </w:r>
      <w:r>
        <w:rPr>
          <w:rFonts w:hint="eastAsia" w:ascii="仿宋" w:hAnsi="仿宋" w:eastAsia="仿宋" w:cs="仿宋"/>
          <w:highlight w:val="none"/>
        </w:rPr>
        <w:t>人信息</w:t>
      </w:r>
    </w:p>
    <w:p w14:paraId="2B1A7DF5">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lang w:eastAsia="zh-CN"/>
        </w:rPr>
      </w:pPr>
      <w:r>
        <w:rPr>
          <w:rFonts w:hint="eastAsia" w:ascii="仿宋" w:hAnsi="仿宋" w:eastAsia="仿宋" w:cs="仿宋"/>
          <w:highlight w:val="none"/>
        </w:rPr>
        <w:t>名称：</w:t>
      </w:r>
      <w:bookmarkEnd w:id="2"/>
      <w:bookmarkEnd w:id="3"/>
      <w:r>
        <w:rPr>
          <w:rFonts w:hint="eastAsia" w:ascii="仿宋" w:hAnsi="仿宋" w:eastAsia="仿宋" w:cs="仿宋"/>
          <w:highlight w:val="none"/>
          <w:lang w:eastAsia="zh-CN"/>
        </w:rPr>
        <w:t>常山县辉埠镇人民政府</w:t>
      </w:r>
    </w:p>
    <w:p w14:paraId="1E1C751E">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地址：</w:t>
      </w:r>
      <w:r>
        <w:rPr>
          <w:rFonts w:hint="eastAsia" w:ascii="仿宋" w:hAnsi="仿宋" w:eastAsia="仿宋" w:cs="仿宋"/>
          <w:highlight w:val="none"/>
          <w:lang w:eastAsia="zh-CN"/>
        </w:rPr>
        <w:t>常山县辉埠镇</w:t>
      </w:r>
    </w:p>
    <w:p w14:paraId="61ABF70D">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吴土荣</w:t>
      </w:r>
    </w:p>
    <w:p w14:paraId="42C1B24C">
      <w:pPr>
        <w:keepNext w:val="0"/>
        <w:keepLines w:val="0"/>
        <w:pageBreakBefore w:val="0"/>
        <w:kinsoku/>
        <w:wordWrap/>
        <w:overflowPunct/>
        <w:topLinePunct w:val="0"/>
        <w:bidi w:val="0"/>
        <w:spacing w:line="420" w:lineRule="exact"/>
        <w:ind w:firstLine="420" w:firstLineChars="200"/>
        <w:textAlignment w:val="auto"/>
        <w:rPr>
          <w:rFonts w:hint="default" w:ascii="仿宋" w:hAnsi="仿宋" w:eastAsia="仿宋" w:cs="仿宋"/>
          <w:highlight w:val="none"/>
          <w:lang w:val="en-US" w:eastAsia="zh-CN"/>
        </w:rPr>
      </w:pPr>
      <w:r>
        <w:rPr>
          <w:rFonts w:hint="eastAsia" w:ascii="仿宋" w:hAnsi="仿宋" w:eastAsia="仿宋" w:cs="仿宋"/>
          <w:highlight w:val="none"/>
        </w:rPr>
        <w:t>联系电话：</w:t>
      </w:r>
      <w:r>
        <w:rPr>
          <w:rFonts w:hint="eastAsia" w:ascii="仿宋" w:hAnsi="仿宋" w:eastAsia="仿宋" w:cs="仿宋"/>
          <w:highlight w:val="none"/>
          <w:lang w:val="en-US" w:eastAsia="zh-CN"/>
        </w:rPr>
        <w:t>13676611006</w:t>
      </w:r>
    </w:p>
    <w:p w14:paraId="0AED20CE">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 xml:space="preserve">2.代理机构：浙江哲晟工程项目管理有限公司 </w:t>
      </w:r>
    </w:p>
    <w:p w14:paraId="4A86DF11">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rPr>
      </w:pPr>
      <w:r>
        <w:rPr>
          <w:rFonts w:hint="eastAsia" w:ascii="仿宋" w:hAnsi="仿宋" w:eastAsia="仿宋" w:cs="仿宋"/>
          <w:highlight w:val="none"/>
        </w:rPr>
        <w:t>地址：衢州市常山县天马街道定阳南路859幢432-435室</w:t>
      </w:r>
    </w:p>
    <w:p w14:paraId="4EB4B98B">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余佳丽</w:t>
      </w:r>
    </w:p>
    <w:p w14:paraId="1FB3B6AE">
      <w:pPr>
        <w:keepNext w:val="0"/>
        <w:keepLines w:val="0"/>
        <w:pageBreakBefore w:val="0"/>
        <w:kinsoku/>
        <w:wordWrap/>
        <w:overflowPunct/>
        <w:topLinePunct w:val="0"/>
        <w:bidi w:val="0"/>
        <w:spacing w:line="420" w:lineRule="exact"/>
        <w:ind w:firstLine="420" w:firstLineChars="200"/>
        <w:textAlignment w:val="auto"/>
        <w:rPr>
          <w:rFonts w:hint="eastAsia" w:ascii="仿宋" w:hAnsi="仿宋" w:eastAsia="仿宋" w:cs="仿宋"/>
          <w:lang w:eastAsia="zh-CN"/>
        </w:rPr>
      </w:pPr>
      <w:r>
        <w:rPr>
          <w:rFonts w:hint="eastAsia" w:ascii="仿宋" w:hAnsi="仿宋" w:eastAsia="仿宋" w:cs="仿宋"/>
          <w:highlight w:val="none"/>
        </w:rPr>
        <w:t xml:space="preserve">联系电话：0570-5016289   </w:t>
      </w:r>
      <w:r>
        <w:rPr>
          <w:rFonts w:hint="eastAsia" w:ascii="仿宋" w:hAnsi="仿宋" w:eastAsia="仿宋" w:cs="仿宋"/>
          <w:highlight w:val="none"/>
          <w:lang w:eastAsia="zh-CN"/>
        </w:rPr>
        <w:t>1356705</w:t>
      </w:r>
      <w:r>
        <w:rPr>
          <w:rFonts w:hint="eastAsia" w:ascii="仿宋" w:hAnsi="仿宋" w:eastAsia="仿宋" w:cs="仿宋"/>
          <w:lang w:eastAsia="zh-CN"/>
        </w:rPr>
        <w:t>1997</w:t>
      </w:r>
    </w:p>
    <w:p w14:paraId="17973794">
      <w:pPr>
        <w:pStyle w:val="4"/>
        <w:keepNext w:val="0"/>
        <w:keepLines w:val="0"/>
        <w:pageBreakBefore w:val="0"/>
        <w:kinsoku/>
        <w:wordWrap/>
        <w:overflowPunct/>
        <w:topLinePunct w:val="0"/>
        <w:bidi w:val="0"/>
        <w:spacing w:beforeAutospacing="0" w:afterAutospacing="0" w:line="420" w:lineRule="exact"/>
        <w:ind w:firstLine="420" w:firstLineChars="200"/>
        <w:jc w:val="right"/>
        <w:textAlignment w:val="auto"/>
        <w:rPr>
          <w:rFonts w:hint="eastAsia" w:ascii="仿宋" w:hAnsi="仿宋" w:eastAsia="仿宋" w:cs="仿宋"/>
          <w:sz w:val="21"/>
          <w:szCs w:val="21"/>
          <w:lang w:val="zh-CN"/>
        </w:rPr>
      </w:pPr>
    </w:p>
    <w:p w14:paraId="0918C122">
      <w:pPr>
        <w:pStyle w:val="4"/>
        <w:keepNext w:val="0"/>
        <w:keepLines w:val="0"/>
        <w:pageBreakBefore w:val="0"/>
        <w:kinsoku/>
        <w:wordWrap/>
        <w:overflowPunct/>
        <w:topLinePunct w:val="0"/>
        <w:bidi w:val="0"/>
        <w:spacing w:beforeAutospacing="0" w:afterAutospacing="0" w:line="420" w:lineRule="exact"/>
        <w:ind w:firstLine="480" w:firstLineChars="200"/>
        <w:jc w:val="right"/>
        <w:textAlignment w:val="auto"/>
        <w:rPr>
          <w:rFonts w:hint="eastAsia" w:ascii="仿宋" w:hAnsi="仿宋" w:eastAsia="仿宋" w:cs="仿宋"/>
          <w:lang w:eastAsia="zh-CN"/>
        </w:rPr>
      </w:pPr>
    </w:p>
    <w:p w14:paraId="31B8E9A1">
      <w:pPr>
        <w:pStyle w:val="4"/>
        <w:keepNext w:val="0"/>
        <w:keepLines w:val="0"/>
        <w:pageBreakBefore w:val="0"/>
        <w:kinsoku/>
        <w:wordWrap/>
        <w:overflowPunct/>
        <w:topLinePunct w:val="0"/>
        <w:bidi w:val="0"/>
        <w:spacing w:beforeAutospacing="0" w:afterAutospacing="0" w:line="420" w:lineRule="exact"/>
        <w:ind w:firstLine="420" w:firstLineChars="200"/>
        <w:jc w:val="right"/>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常山县辉埠镇人民政府</w:t>
      </w:r>
    </w:p>
    <w:p w14:paraId="1D05FB00">
      <w:pPr>
        <w:pStyle w:val="4"/>
        <w:keepNext w:val="0"/>
        <w:keepLines w:val="0"/>
        <w:pageBreakBefore w:val="0"/>
        <w:kinsoku/>
        <w:wordWrap/>
        <w:overflowPunct/>
        <w:topLinePunct w:val="0"/>
        <w:bidi w:val="0"/>
        <w:spacing w:beforeAutospacing="0" w:afterAutospacing="0" w:line="420" w:lineRule="exact"/>
        <w:ind w:firstLine="420" w:firstLineChars="200"/>
        <w:jc w:val="right"/>
        <w:textAlignment w:val="auto"/>
        <w:rPr>
          <w:rFonts w:hint="eastAsia" w:ascii="仿宋" w:hAnsi="仿宋" w:eastAsia="仿宋" w:cs="仿宋"/>
          <w:sz w:val="21"/>
          <w:szCs w:val="21"/>
          <w:lang w:val="zh-CN"/>
        </w:rPr>
      </w:pPr>
      <w:r>
        <w:rPr>
          <w:rFonts w:hint="eastAsia" w:ascii="仿宋" w:hAnsi="仿宋" w:eastAsia="仿宋" w:cs="仿宋"/>
          <w:sz w:val="21"/>
          <w:szCs w:val="21"/>
          <w:lang w:val="zh-CN"/>
        </w:rPr>
        <w:t>浙江哲晟工程项目管理有限公司</w:t>
      </w:r>
    </w:p>
    <w:p w14:paraId="71F57233">
      <w:pPr>
        <w:pStyle w:val="4"/>
        <w:keepNext w:val="0"/>
        <w:keepLines w:val="0"/>
        <w:pageBreakBefore w:val="0"/>
        <w:kinsoku/>
        <w:wordWrap/>
        <w:overflowPunct/>
        <w:topLinePunct w:val="0"/>
        <w:bidi w:val="0"/>
        <w:spacing w:beforeAutospacing="0" w:afterAutospacing="0" w:line="420" w:lineRule="exact"/>
        <w:ind w:firstLine="420" w:firstLineChars="200"/>
        <w:jc w:val="right"/>
        <w:textAlignment w:val="auto"/>
      </w:pPr>
      <w:r>
        <w:rPr>
          <w:rFonts w:hint="eastAsia" w:ascii="仿宋" w:hAnsi="仿宋" w:eastAsia="仿宋" w:cs="仿宋"/>
          <w:sz w:val="21"/>
          <w:szCs w:val="21"/>
          <w:lang w:val="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val="zh-CN"/>
        </w:rPr>
        <w:t>年</w:t>
      </w:r>
      <w:r>
        <w:rPr>
          <w:rFonts w:hint="eastAsia" w:ascii="仿宋" w:hAnsi="仿宋" w:eastAsia="仿宋" w:cs="仿宋"/>
          <w:sz w:val="21"/>
          <w:szCs w:val="21"/>
          <w:lang w:val="en-US" w:eastAsia="zh-CN"/>
        </w:rPr>
        <w:t>03</w:t>
      </w:r>
      <w:r>
        <w:rPr>
          <w:rFonts w:hint="eastAsia" w:ascii="仿宋" w:hAnsi="仿宋" w:eastAsia="仿宋" w:cs="仿宋"/>
          <w:sz w:val="21"/>
          <w:szCs w:val="21"/>
          <w:lang w:val="zh-CN"/>
        </w:rPr>
        <w:t>月</w:t>
      </w:r>
    </w:p>
    <w:sectPr>
      <w:pgSz w:w="11906" w:h="16838"/>
      <w:pgMar w:top="1440" w:right="1633"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A565A"/>
    <w:rsid w:val="1ACA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szCs w:val="22"/>
    </w:rPr>
  </w:style>
  <w:style w:type="paragraph" w:styleId="3">
    <w:name w:val="Body Text Indent"/>
    <w:basedOn w:val="1"/>
    <w:next w:val="1"/>
    <w:qFormat/>
    <w:uiPriority w:val="99"/>
    <w:pPr>
      <w:tabs>
        <w:tab w:val="left" w:pos="900"/>
      </w:tabs>
      <w:autoSpaceDE w:val="0"/>
      <w:autoSpaceDN w:val="0"/>
      <w:adjustRightInd w:val="0"/>
      <w:spacing w:line="540" w:lineRule="exact"/>
      <w:ind w:firstLine="561"/>
    </w:pPr>
    <w:rPr>
      <w:rFonts w:ascii="仿宋_GB2312" w:eastAsia="仿宋_GB2312"/>
      <w:sz w:val="28"/>
      <w:szCs w:val="28"/>
      <w:lang w:val="zh-CN"/>
    </w:rPr>
  </w:style>
  <w:style w:type="paragraph" w:styleId="4">
    <w:name w:val="Normal (Web)"/>
    <w:basedOn w:val="1"/>
    <w:qFormat/>
    <w:uiPriority w:val="99"/>
    <w:pPr>
      <w:widowControl/>
      <w:spacing w:beforeAutospacing="1" w:afterAutospacing="1"/>
      <w:jc w:val="left"/>
    </w:pPr>
    <w:rPr>
      <w:rFonts w:ascii="宋体" w:hAnsi="宋体"/>
      <w:kern w:val="0"/>
      <w:sz w:val="24"/>
    </w:rPr>
  </w:style>
  <w:style w:type="paragraph" w:styleId="5">
    <w:name w:val="Title"/>
    <w:basedOn w:val="1"/>
    <w:next w:val="1"/>
    <w:qFormat/>
    <w:uiPriority w:val="99"/>
    <w:pPr>
      <w:jc w:val="center"/>
    </w:pPr>
    <w:rPr>
      <w:rFonts w:ascii="Arial" w:hAnsi="Arial"/>
      <w:b/>
      <w:kern w:val="0"/>
      <w:sz w:val="36"/>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2025-03-05T11:08:00Z</dcterms:created>
  <dc:creator>双鱼座</dc:creator>
  <cp:lastModifiedBy>双鱼座</cp:lastModifiedBy>
  <cp:lastPrinted>2025-03-05T11:11:37Z</cp:lastPrinted>
  <dcterms:modified xsi:type="dcterms:W3CDTF">2025-03-05T11:12:14Z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ED6E065D9CDE4A1FA3546115B391031D_11</vt:lpwstr>
  </property>
  <property fmtid="{D5CDD505-2E9C-101B-9397-08002B2CF9AE}" pid="4" name="KSOTemplateDocerSaveRecord">
    <vt:lpwstr>eyJoZGlkIjoiOWQyMDJmYjVmODNlMWNkZDdjZmMyOTk1OGJlYTQzM2IiLCJ1c2VySWQiOiI0NDg2ODUxNDQifQ==</vt:lpwstr>
  </property>
</Properties>
</file>