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0B2A2E9">
      <w:pPr>
        <w:spacing w:line="600" w:lineRule="auto"/>
        <w:jc w:val="center"/>
        <w:rPr>
          <w:rFonts w:hint="eastAsia"/>
          <w:sz w:val="48"/>
          <w:szCs w:val="48"/>
        </w:rPr>
      </w:pPr>
      <w:r>
        <w:rPr>
          <w:rFonts w:hint="eastAsia" w:ascii="宋体" w:hAnsi="宋体"/>
          <w:b/>
          <w:sz w:val="48"/>
          <w:szCs w:val="48"/>
        </w:rPr>
        <w:t>东阳市鑫盛工程咨询有限公司关于</w:t>
      </w:r>
      <w:r>
        <w:rPr>
          <w:rFonts w:hint="eastAsia" w:ascii="宋体" w:hAnsi="宋体"/>
          <w:b/>
          <w:sz w:val="48"/>
          <w:szCs w:val="48"/>
          <w:lang w:eastAsia="zh-CN"/>
        </w:rPr>
        <w:t>东阳市白云、南马应急救援中心项目厨房设备、</w:t>
      </w:r>
      <w:r>
        <w:rPr>
          <w:rFonts w:hint="eastAsia" w:ascii="宋体" w:hAnsi="宋体"/>
          <w:b/>
          <w:sz w:val="48"/>
          <w:szCs w:val="48"/>
          <w:lang w:val="en-US" w:eastAsia="zh-CN"/>
        </w:rPr>
        <w:t xml:space="preserve">  </w:t>
      </w:r>
      <w:r>
        <w:rPr>
          <w:rFonts w:hint="eastAsia" w:ascii="宋体" w:hAnsi="宋体"/>
          <w:b/>
          <w:sz w:val="48"/>
          <w:szCs w:val="48"/>
          <w:lang w:eastAsia="zh-CN"/>
        </w:rPr>
        <w:t>电器设备、家具采购项目</w:t>
      </w:r>
    </w:p>
    <w:p w14:paraId="2CD36A56">
      <w:pPr>
        <w:pStyle w:val="109"/>
        <w:rPr>
          <w:rFonts w:hint="eastAsia"/>
          <w:lang w:eastAsia="zh-CN"/>
        </w:rPr>
      </w:pPr>
    </w:p>
    <w:p w14:paraId="2276239D">
      <w:pPr>
        <w:pStyle w:val="110"/>
        <w:ind w:left="0"/>
        <w:rPr>
          <w:rFonts w:hint="eastAsia"/>
        </w:rPr>
      </w:pPr>
    </w:p>
    <w:p w14:paraId="714DFBDB">
      <w:pPr>
        <w:pStyle w:val="110"/>
        <w:ind w:left="0"/>
        <w:rPr>
          <w:rFonts w:hint="eastAsia"/>
        </w:rPr>
      </w:pPr>
    </w:p>
    <w:p w14:paraId="0C734066">
      <w:pPr>
        <w:rPr>
          <w:rFonts w:hint="eastAsia"/>
        </w:rPr>
      </w:pPr>
    </w:p>
    <w:p w14:paraId="4C47955F">
      <w:pPr>
        <w:rPr>
          <w:rFonts w:hint="eastAsia"/>
        </w:rPr>
      </w:pPr>
    </w:p>
    <w:p w14:paraId="7B0F86FA">
      <w:pPr>
        <w:rPr>
          <w:rFonts w:hint="eastAsia"/>
        </w:rPr>
      </w:pPr>
    </w:p>
    <w:p w14:paraId="6EFECFAF">
      <w:pPr>
        <w:rPr>
          <w:rFonts w:hint="eastAsia"/>
        </w:rPr>
      </w:pPr>
    </w:p>
    <w:p w14:paraId="1CC3B5C0">
      <w:pPr>
        <w:pStyle w:val="110"/>
        <w:ind w:left="0"/>
        <w:jc w:val="center"/>
      </w:pPr>
      <w:r>
        <w:rPr>
          <w:rFonts w:hint="eastAsia" w:hAnsi="宋体"/>
          <w:b/>
          <w:bCs/>
          <w:sz w:val="72"/>
          <w:szCs w:val="72"/>
        </w:rPr>
        <w:t>公开招标文件</w:t>
      </w:r>
    </w:p>
    <w:p w14:paraId="6AFBACD2">
      <w:pPr>
        <w:rPr>
          <w:rFonts w:hint="eastAsia"/>
        </w:rPr>
      </w:pPr>
    </w:p>
    <w:p w14:paraId="72D71671">
      <w:pPr>
        <w:rPr>
          <w:rFonts w:hint="eastAsia"/>
        </w:rPr>
      </w:pPr>
    </w:p>
    <w:p w14:paraId="3029567E">
      <w:pPr>
        <w:pStyle w:val="109"/>
        <w:rPr>
          <w:rFonts w:hint="eastAsia"/>
        </w:rPr>
      </w:pPr>
    </w:p>
    <w:p w14:paraId="101FAE29">
      <w:pPr>
        <w:pStyle w:val="110"/>
        <w:rPr>
          <w:rFonts w:hint="eastAsia"/>
        </w:rPr>
      </w:pPr>
    </w:p>
    <w:p w14:paraId="7CB45300">
      <w:pPr>
        <w:pStyle w:val="109"/>
        <w:rPr>
          <w:rFonts w:hint="eastAsia"/>
        </w:rPr>
      </w:pPr>
    </w:p>
    <w:p w14:paraId="0535A124">
      <w:pPr>
        <w:pStyle w:val="36"/>
        <w:snapToGrid w:val="0"/>
        <w:spacing w:before="50" w:beforeLines="0" w:afterLines="0" w:line="640" w:lineRule="exact"/>
        <w:rPr>
          <w:rFonts w:hint="eastAsia" w:hAnsi="宋体"/>
          <w:b/>
          <w:bCs/>
          <w:sz w:val="32"/>
          <w:szCs w:val="32"/>
          <w:lang w:eastAsia="zh-CN"/>
        </w:rPr>
      </w:pPr>
      <w:r>
        <w:rPr>
          <w:rFonts w:hint="eastAsia" w:hAnsi="宋体"/>
          <w:b/>
          <w:bCs/>
          <w:sz w:val="32"/>
          <w:szCs w:val="32"/>
        </w:rPr>
        <w:t>项目编号：</w:t>
      </w:r>
      <w:r>
        <w:rPr>
          <w:rFonts w:hint="eastAsia" w:hAnsi="宋体"/>
          <w:b/>
          <w:bCs/>
          <w:sz w:val="32"/>
          <w:szCs w:val="32"/>
          <w:lang w:eastAsia="zh-CN"/>
        </w:rPr>
        <w:t>XSGYCG2024-208</w:t>
      </w:r>
    </w:p>
    <w:p w14:paraId="7498FCFE">
      <w:pPr>
        <w:pStyle w:val="36"/>
        <w:snapToGrid w:val="0"/>
        <w:spacing w:before="50" w:beforeLines="0" w:afterLines="0" w:line="640" w:lineRule="exact"/>
        <w:ind w:left="1606" w:hanging="1606" w:hangingChars="500"/>
        <w:rPr>
          <w:rFonts w:hint="eastAsia" w:hAnsi="宋体" w:eastAsia="宋体"/>
          <w:b/>
          <w:bCs/>
          <w:sz w:val="32"/>
          <w:szCs w:val="32"/>
          <w:lang w:eastAsia="zh-CN"/>
        </w:rPr>
      </w:pPr>
      <w:r>
        <w:rPr>
          <w:rFonts w:hint="eastAsia" w:hAnsi="宋体"/>
          <w:b/>
          <w:bCs/>
          <w:sz w:val="32"/>
          <w:szCs w:val="32"/>
        </w:rPr>
        <w:t>项目名称：</w:t>
      </w:r>
      <w:r>
        <w:rPr>
          <w:rFonts w:hint="eastAsia" w:hAnsi="宋体"/>
          <w:b/>
          <w:bCs/>
          <w:sz w:val="32"/>
          <w:szCs w:val="32"/>
          <w:lang w:eastAsia="zh-CN"/>
        </w:rPr>
        <w:t>东阳市白云、南马应急救援中心项目厨房设备、电器设备、家具采购项目</w:t>
      </w:r>
    </w:p>
    <w:p w14:paraId="4F451D96">
      <w:pPr>
        <w:pStyle w:val="36"/>
        <w:snapToGrid w:val="0"/>
        <w:spacing w:before="50" w:beforeLines="0" w:afterLines="0" w:line="640" w:lineRule="exact"/>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采购单位：</w:t>
      </w:r>
      <w:r>
        <w:rPr>
          <w:rFonts w:hint="eastAsia" w:hAnsi="宋体" w:cs="Times New Roman"/>
          <w:b/>
          <w:bCs/>
          <w:sz w:val="32"/>
          <w:szCs w:val="32"/>
          <w:lang w:eastAsia="zh-CN"/>
        </w:rPr>
        <w:t>东阳市保安服务有限公司</w:t>
      </w:r>
    </w:p>
    <w:p w14:paraId="6C473D09">
      <w:pPr>
        <w:pStyle w:val="36"/>
        <w:snapToGrid w:val="0"/>
        <w:spacing w:before="50" w:beforeLines="0" w:afterLines="0" w:line="640" w:lineRule="exact"/>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主管</w:t>
      </w:r>
      <w:r>
        <w:rPr>
          <w:rFonts w:hint="eastAsia" w:ascii="宋体" w:hAnsi="宋体" w:eastAsia="宋体" w:cs="Times New Roman"/>
          <w:b/>
          <w:bCs/>
          <w:sz w:val="32"/>
          <w:szCs w:val="32"/>
          <w:lang w:val="en-US" w:eastAsia="zh-CN"/>
        </w:rPr>
        <w:t>单位</w:t>
      </w:r>
      <w:r>
        <w:rPr>
          <w:rFonts w:hint="eastAsia" w:ascii="宋体" w:hAnsi="宋体" w:eastAsia="宋体" w:cs="Times New Roman"/>
          <w:b/>
          <w:bCs/>
          <w:sz w:val="32"/>
          <w:szCs w:val="32"/>
        </w:rPr>
        <w:t>：</w:t>
      </w:r>
      <w:r>
        <w:rPr>
          <w:rFonts w:hint="eastAsia" w:hAnsi="宋体" w:cs="Times New Roman"/>
          <w:b/>
          <w:bCs/>
          <w:sz w:val="32"/>
          <w:szCs w:val="32"/>
          <w:lang w:eastAsia="zh-CN"/>
        </w:rPr>
        <w:t>东阳市产业发展集团有限公司</w:t>
      </w:r>
    </w:p>
    <w:p w14:paraId="0192F544">
      <w:pPr>
        <w:pStyle w:val="36"/>
        <w:snapToGrid w:val="0"/>
        <w:spacing w:before="50" w:beforeLines="0" w:afterLines="0" w:line="640" w:lineRule="exact"/>
        <w:rPr>
          <w:rFonts w:hint="eastAsia" w:ascii="宋体" w:hAnsi="宋体" w:eastAsia="宋体" w:cs="Times New Roman"/>
          <w:b/>
          <w:bCs/>
          <w:sz w:val="32"/>
          <w:szCs w:val="32"/>
        </w:rPr>
      </w:pPr>
      <w:r>
        <w:rPr>
          <w:rFonts w:hint="eastAsia" w:ascii="宋体" w:hAnsi="宋体" w:eastAsia="宋体" w:cs="Times New Roman"/>
          <w:b/>
          <w:bCs/>
          <w:sz w:val="32"/>
          <w:szCs w:val="32"/>
        </w:rPr>
        <w:t>招标机构：东阳市鑫盛工程咨询有限公司</w:t>
      </w:r>
    </w:p>
    <w:p w14:paraId="6F187957">
      <w:pPr>
        <w:pStyle w:val="36"/>
        <w:snapToGrid w:val="0"/>
        <w:spacing w:before="50" w:beforeLines="0" w:afterLines="0" w:line="640" w:lineRule="exact"/>
        <w:rPr>
          <w:rFonts w:hint="eastAsia" w:ascii="宋体" w:hAnsi="宋体" w:eastAsia="宋体" w:cs="Times New Roman"/>
          <w:b/>
          <w:bCs/>
          <w:sz w:val="32"/>
          <w:szCs w:val="32"/>
        </w:rPr>
      </w:pPr>
      <w:r>
        <w:rPr>
          <w:rFonts w:hint="eastAsia" w:ascii="宋体" w:hAnsi="宋体" w:eastAsia="宋体" w:cs="Times New Roman"/>
          <w:b/>
          <w:bCs/>
          <w:sz w:val="32"/>
          <w:szCs w:val="32"/>
        </w:rPr>
        <w:t>监督部门：东阳市人民政府国有资产监督管理办公室</w:t>
      </w:r>
    </w:p>
    <w:p w14:paraId="712B7B1C"/>
    <w:p w14:paraId="1699329B">
      <w:pPr>
        <w:pStyle w:val="15"/>
      </w:pPr>
    </w:p>
    <w:p w14:paraId="38D221FD">
      <w:pPr>
        <w:pStyle w:val="36"/>
        <w:snapToGrid w:val="0"/>
        <w:spacing w:before="50" w:beforeLines="0" w:afterLines="0" w:line="540" w:lineRule="exact"/>
        <w:jc w:val="center"/>
        <w:rPr>
          <w:rFonts w:hint="eastAsia" w:hAnsi="宋体"/>
          <w:b/>
          <w:bCs/>
          <w:sz w:val="30"/>
          <w:szCs w:val="30"/>
        </w:rPr>
      </w:pPr>
      <w:r>
        <w:rPr>
          <w:rFonts w:hAnsi="宋体"/>
          <w:b/>
          <w:bCs/>
          <w:sz w:val="30"/>
          <w:szCs w:val="30"/>
        </w:rPr>
        <w:t>202</w:t>
      </w:r>
      <w:r>
        <w:rPr>
          <w:rFonts w:hint="eastAsia" w:hAnsi="宋体"/>
          <w:b/>
          <w:bCs/>
          <w:sz w:val="30"/>
          <w:szCs w:val="30"/>
          <w:lang w:val="en-US" w:eastAsia="zh-CN"/>
        </w:rPr>
        <w:t>4</w:t>
      </w:r>
      <w:r>
        <w:rPr>
          <w:rFonts w:hint="eastAsia" w:hAnsi="宋体"/>
          <w:b/>
          <w:bCs/>
          <w:sz w:val="30"/>
          <w:szCs w:val="30"/>
        </w:rPr>
        <w:t>年</w:t>
      </w:r>
      <w:r>
        <w:rPr>
          <w:rFonts w:hint="eastAsia" w:hAnsi="宋体"/>
          <w:b/>
          <w:bCs/>
          <w:color w:val="auto"/>
          <w:sz w:val="30"/>
          <w:szCs w:val="30"/>
          <w:lang w:val="en-US" w:eastAsia="zh-CN"/>
        </w:rPr>
        <w:t>9</w:t>
      </w:r>
      <w:r>
        <w:rPr>
          <w:rFonts w:hint="eastAsia" w:hAnsi="宋体"/>
          <w:b/>
          <w:bCs/>
          <w:sz w:val="30"/>
          <w:szCs w:val="30"/>
        </w:rPr>
        <w:t>月</w:t>
      </w:r>
    </w:p>
    <w:p w14:paraId="1B1ED1E1">
      <w:pPr>
        <w:pStyle w:val="36"/>
        <w:pageBreakBefore/>
        <w:spacing w:beforeLines="0" w:afterLines="0" w:line="240" w:lineRule="auto"/>
        <w:jc w:val="center"/>
        <w:rPr>
          <w:rFonts w:hint="eastAsia" w:hAnsi="宋体" w:cs="宋体"/>
          <w:b/>
          <w:bCs/>
          <w:sz w:val="36"/>
          <w:szCs w:val="36"/>
        </w:rPr>
      </w:pPr>
      <w:r>
        <w:rPr>
          <w:rFonts w:hint="eastAsia" w:hAnsi="宋体" w:cs="宋体"/>
          <w:b/>
          <w:bCs/>
          <w:sz w:val="36"/>
          <w:szCs w:val="36"/>
        </w:rPr>
        <w:t>目 录</w:t>
      </w:r>
    </w:p>
    <w:p w14:paraId="312443CF">
      <w:pPr>
        <w:rPr>
          <w:rFonts w:hint="eastAsia" w:hAnsi="宋体" w:cs="宋体"/>
          <w:b/>
          <w:bCs/>
          <w:sz w:val="28"/>
          <w:szCs w:val="28"/>
        </w:rPr>
      </w:pPr>
    </w:p>
    <w:p w14:paraId="494262C3">
      <w:pPr>
        <w:rPr>
          <w:rFonts w:hint="eastAsia" w:hAnsi="宋体" w:cs="宋体"/>
          <w:b/>
          <w:bCs/>
          <w:sz w:val="28"/>
          <w:szCs w:val="28"/>
        </w:rPr>
      </w:pPr>
      <w:r>
        <w:rPr>
          <w:rFonts w:hint="eastAsia" w:hAnsi="宋体" w:cs="宋体"/>
          <w:b/>
          <w:bCs/>
          <w:sz w:val="28"/>
          <w:szCs w:val="28"/>
        </w:rPr>
        <w:t>第一章 公开招标采购公告</w:t>
      </w:r>
    </w:p>
    <w:p w14:paraId="35DAE460">
      <w:pPr>
        <w:pStyle w:val="109"/>
        <w:rPr>
          <w:rFonts w:hint="eastAsia" w:hAnsi="宋体" w:cs="宋体"/>
          <w:b/>
          <w:bCs/>
          <w:sz w:val="28"/>
          <w:szCs w:val="28"/>
          <w:lang w:eastAsia="zh-CN"/>
        </w:rPr>
      </w:pPr>
      <w:r>
        <w:rPr>
          <w:rFonts w:hint="eastAsia" w:hAnsi="宋体" w:cs="宋体"/>
          <w:b/>
          <w:bCs/>
          <w:sz w:val="28"/>
          <w:szCs w:val="28"/>
          <w:lang w:eastAsia="zh-CN"/>
        </w:rPr>
        <w:t>第二章 招标需求</w:t>
      </w:r>
    </w:p>
    <w:p w14:paraId="4DC13296">
      <w:pPr>
        <w:pStyle w:val="110"/>
        <w:ind w:left="0"/>
        <w:rPr>
          <w:rFonts w:hint="eastAsia" w:hAnsi="宋体" w:cs="宋体"/>
          <w:b/>
          <w:bCs/>
          <w:sz w:val="28"/>
          <w:szCs w:val="28"/>
        </w:rPr>
      </w:pPr>
      <w:r>
        <w:rPr>
          <w:rFonts w:hint="eastAsia" w:hAnsi="宋体" w:cs="宋体"/>
          <w:b/>
          <w:bCs/>
          <w:sz w:val="28"/>
          <w:szCs w:val="28"/>
        </w:rPr>
        <w:t>第三章 投标人须知</w:t>
      </w:r>
    </w:p>
    <w:p w14:paraId="4A7B2EC7">
      <w:pPr>
        <w:rPr>
          <w:rFonts w:hint="eastAsia" w:hAnsi="宋体" w:cs="宋体"/>
          <w:b/>
          <w:bCs/>
          <w:sz w:val="28"/>
          <w:szCs w:val="28"/>
        </w:rPr>
      </w:pPr>
      <w:r>
        <w:rPr>
          <w:rFonts w:hint="eastAsia" w:hAnsi="宋体" w:cs="宋体"/>
          <w:b/>
          <w:bCs/>
          <w:sz w:val="28"/>
          <w:szCs w:val="28"/>
        </w:rPr>
        <w:t>第四章 评标办法及评分标准</w:t>
      </w:r>
    </w:p>
    <w:p w14:paraId="768A0C1C">
      <w:pPr>
        <w:pStyle w:val="109"/>
        <w:rPr>
          <w:rFonts w:hint="eastAsia" w:hAnsi="宋体" w:cs="宋体"/>
          <w:b/>
          <w:bCs/>
          <w:sz w:val="28"/>
          <w:szCs w:val="28"/>
          <w:lang w:eastAsia="zh-CN"/>
        </w:rPr>
      </w:pPr>
      <w:r>
        <w:rPr>
          <w:rFonts w:hint="eastAsia" w:hAnsi="宋体" w:cs="宋体"/>
          <w:b/>
          <w:bCs/>
          <w:sz w:val="28"/>
          <w:szCs w:val="28"/>
          <w:lang w:eastAsia="zh-CN"/>
        </w:rPr>
        <w:t>第五章 采购合同主要条款</w:t>
      </w:r>
    </w:p>
    <w:p w14:paraId="42AD350D">
      <w:pPr>
        <w:pStyle w:val="110"/>
        <w:ind w:left="0"/>
        <w:rPr>
          <w:sz w:val="28"/>
          <w:szCs w:val="28"/>
        </w:rPr>
      </w:pPr>
      <w:r>
        <w:rPr>
          <w:rFonts w:hint="eastAsia" w:hAnsi="宋体" w:cs="宋体"/>
          <w:b/>
          <w:bCs/>
          <w:sz w:val="28"/>
          <w:szCs w:val="28"/>
        </w:rPr>
        <w:t>第六章 投标文件组成内容及格式</w:t>
      </w:r>
    </w:p>
    <w:p w14:paraId="4AC5D05C">
      <w:pPr>
        <w:pStyle w:val="109"/>
        <w:rPr>
          <w:rFonts w:hint="eastAsia" w:hAnsi="宋体" w:cs="宋体"/>
          <w:b/>
          <w:bCs/>
          <w:sz w:val="28"/>
          <w:szCs w:val="28"/>
          <w:lang w:eastAsia="zh-CN"/>
        </w:rPr>
      </w:pPr>
    </w:p>
    <w:p w14:paraId="620F61B4">
      <w:pPr>
        <w:pStyle w:val="110"/>
        <w:rPr>
          <w:rFonts w:hint="eastAsia"/>
        </w:rPr>
      </w:pPr>
    </w:p>
    <w:p w14:paraId="33798DD2">
      <w:pPr>
        <w:pageBreakBefore/>
        <w:spacing w:before="156" w:beforeLines="50" w:line="360" w:lineRule="auto"/>
        <w:jc w:val="center"/>
        <w:outlineLvl w:val="0"/>
        <w:rPr>
          <w:rFonts w:hint="eastAsia" w:ascii="黑体" w:eastAsia="黑体"/>
          <w:sz w:val="32"/>
          <w:szCs w:val="30"/>
        </w:rPr>
      </w:pPr>
      <w:bookmarkStart w:id="0" w:name="_Toc17994"/>
      <w:bookmarkStart w:id="1" w:name="_Toc8777"/>
      <w:r>
        <w:rPr>
          <w:rFonts w:hint="eastAsia" w:ascii="黑体" w:eastAsia="黑体"/>
          <w:sz w:val="32"/>
          <w:szCs w:val="30"/>
        </w:rPr>
        <w:t>第一章 公开招标采购公告</w:t>
      </w:r>
      <w:bookmarkEnd w:id="0"/>
      <w:bookmarkEnd w:id="1"/>
    </w:p>
    <w:p w14:paraId="6F99439D">
      <w:pPr>
        <w:pStyle w:val="556"/>
        <w:widowControl w:val="0"/>
        <w:spacing w:line="360" w:lineRule="auto"/>
        <w:ind w:firstLine="480"/>
        <w:rPr>
          <w:rFonts w:hint="eastAsia" w:ascii="宋体" w:hAnsi="宋体" w:cs="Arial"/>
          <w:kern w:val="2"/>
          <w:szCs w:val="24"/>
        </w:rPr>
      </w:pPr>
      <w:r>
        <w:rPr>
          <w:rFonts w:hint="eastAsia"/>
          <w:szCs w:val="24"/>
        </w:rPr>
        <w:t>根据《东阳市国有企业采购管理办法（2020年修订）》规定</w:t>
      </w:r>
      <w:r>
        <w:rPr>
          <w:rFonts w:hint="eastAsia" w:ascii="宋体" w:hAnsi="宋体"/>
          <w:szCs w:val="24"/>
        </w:rPr>
        <w:t>，经东阳市人民政府国有资产监督管理办公室批准，现就</w:t>
      </w:r>
      <w:r>
        <w:rPr>
          <w:rFonts w:hint="eastAsia" w:ascii="宋体" w:hAnsi="宋体"/>
          <w:szCs w:val="24"/>
          <w:lang w:eastAsia="zh-CN"/>
        </w:rPr>
        <w:t>东阳市白云、南马应急救援中心项目厨房设备、电器设备、家具采购项目</w:t>
      </w:r>
      <w:r>
        <w:rPr>
          <w:rFonts w:hint="eastAsia" w:ascii="宋体" w:hAnsi="宋体"/>
          <w:szCs w:val="24"/>
        </w:rPr>
        <w:t>进行公开招标采购，欢迎符合投标人资格要求及有供货和服务能力的企业前来投标。</w:t>
      </w:r>
    </w:p>
    <w:p w14:paraId="448CC897">
      <w:pPr>
        <w:numPr>
          <w:ilvl w:val="0"/>
          <w:numId w:val="0"/>
        </w:numPr>
        <w:snapToGrid w:val="0"/>
        <w:spacing w:line="360" w:lineRule="auto"/>
        <w:rPr>
          <w:rFonts w:hint="eastAsia" w:ascii="宋体" w:hAnsi="宋体" w:cs="Arial"/>
          <w:sz w:val="24"/>
        </w:rPr>
      </w:pPr>
      <w:r>
        <w:rPr>
          <w:rFonts w:hint="eastAsia" w:ascii="宋体" w:hAnsi="宋体" w:eastAsia="宋体" w:cs="Arial"/>
          <w:kern w:val="2"/>
          <w:sz w:val="24"/>
          <w:szCs w:val="24"/>
          <w:lang w:val="en-US" w:eastAsia="zh-CN" w:bidi="ar-SA"/>
        </w:rPr>
        <w:t>一、</w:t>
      </w:r>
      <w:r>
        <w:rPr>
          <w:rFonts w:hint="eastAsia" w:ascii="宋体" w:hAnsi="宋体" w:cs="Arial"/>
          <w:b/>
          <w:bCs/>
          <w:sz w:val="24"/>
        </w:rPr>
        <w:t>项目编号：</w:t>
      </w:r>
      <w:r>
        <w:rPr>
          <w:rFonts w:hint="eastAsia" w:ascii="宋体" w:hAnsi="宋体" w:cs="Arial"/>
          <w:b/>
          <w:bCs/>
          <w:sz w:val="24"/>
          <w:lang w:eastAsia="zh-CN"/>
        </w:rPr>
        <w:t>XSGYCG2024-208</w:t>
      </w:r>
    </w:p>
    <w:p w14:paraId="7403F41E">
      <w:pPr>
        <w:numPr>
          <w:ilvl w:val="0"/>
          <w:numId w:val="0"/>
        </w:numPr>
        <w:snapToGrid w:val="0"/>
        <w:spacing w:line="360" w:lineRule="auto"/>
        <w:rPr>
          <w:rFonts w:hint="eastAsia" w:ascii="宋体" w:hAnsi="宋体" w:cs="Arial"/>
          <w:sz w:val="24"/>
        </w:rPr>
      </w:pPr>
      <w:r>
        <w:rPr>
          <w:rFonts w:hint="eastAsia" w:ascii="宋体" w:hAnsi="宋体" w:eastAsia="宋体" w:cs="Arial"/>
          <w:kern w:val="2"/>
          <w:sz w:val="24"/>
          <w:szCs w:val="24"/>
          <w:lang w:val="en-US" w:eastAsia="zh-CN" w:bidi="ar-SA"/>
        </w:rPr>
        <w:t>二、</w:t>
      </w:r>
      <w:r>
        <w:rPr>
          <w:rFonts w:hint="eastAsia" w:ascii="宋体" w:hAnsi="宋体" w:cs="Arial"/>
          <w:b/>
          <w:bCs/>
          <w:sz w:val="24"/>
        </w:rPr>
        <w:t>采购组织类型：</w:t>
      </w:r>
      <w:r>
        <w:rPr>
          <w:rFonts w:hint="eastAsia" w:ascii="宋体" w:hAnsi="宋体" w:cs="Arial"/>
          <w:sz w:val="24"/>
        </w:rPr>
        <w:t>分散采购-委托代理</w:t>
      </w:r>
    </w:p>
    <w:p w14:paraId="11DD10A0">
      <w:pPr>
        <w:snapToGrid w:val="0"/>
        <w:spacing w:line="360" w:lineRule="auto"/>
        <w:rPr>
          <w:rFonts w:ascii="宋体" w:hAnsi="宋体" w:cs="Arial"/>
          <w:sz w:val="24"/>
        </w:rPr>
      </w:pPr>
      <w:r>
        <w:rPr>
          <w:rFonts w:hint="eastAsia" w:ascii="宋体" w:hAnsi="宋体" w:cs="Arial"/>
          <w:b/>
          <w:bCs/>
          <w:sz w:val="24"/>
        </w:rPr>
        <w:t>三、采购方式：</w:t>
      </w:r>
      <w:r>
        <w:rPr>
          <w:rFonts w:hint="eastAsia" w:ascii="宋体" w:hAnsi="宋体" w:cs="Arial"/>
          <w:sz w:val="24"/>
        </w:rPr>
        <w:t>公开招标</w:t>
      </w:r>
    </w:p>
    <w:p w14:paraId="5DB5A0D8">
      <w:pPr>
        <w:snapToGrid w:val="0"/>
        <w:spacing w:line="360" w:lineRule="auto"/>
        <w:rPr>
          <w:rFonts w:hint="eastAsia" w:ascii="宋体" w:hAnsi="宋体" w:cs="Arial"/>
          <w:b/>
          <w:bCs/>
          <w:sz w:val="22"/>
          <w:szCs w:val="22"/>
        </w:rPr>
      </w:pPr>
      <w:r>
        <w:rPr>
          <w:rFonts w:hint="eastAsia" w:ascii="宋体" w:hAnsi="宋体" w:cs="Arial"/>
          <w:b/>
          <w:sz w:val="24"/>
        </w:rPr>
        <w:t>四、</w:t>
      </w:r>
      <w:r>
        <w:rPr>
          <w:rFonts w:hint="eastAsia" w:ascii="宋体" w:hAnsi="宋体" w:cs="Arial"/>
          <w:b/>
          <w:bCs/>
          <w:sz w:val="24"/>
        </w:rPr>
        <w:t>采购内容：</w:t>
      </w:r>
    </w:p>
    <w:tbl>
      <w:tblPr>
        <w:tblStyle w:val="65"/>
        <w:tblpPr w:leftFromText="180" w:rightFromText="180" w:vertAnchor="text" w:horzAnchor="page" w:tblpXSpec="center" w:tblpY="440"/>
        <w:tblOverlap w:val="never"/>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212"/>
        <w:gridCol w:w="2235"/>
        <w:gridCol w:w="2203"/>
        <w:gridCol w:w="1822"/>
      </w:tblGrid>
      <w:tr w14:paraId="59FC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13F8B98F">
            <w:pPr>
              <w:spacing w:before="60" w:after="60" w:line="400" w:lineRule="exact"/>
              <w:ind w:right="60" w:rightChars="0"/>
              <w:jc w:val="center"/>
              <w:rPr>
                <w:rFonts w:hint="eastAsia" w:ascii="宋体" w:hAnsi="宋体" w:cs="宋体"/>
                <w:bCs/>
                <w:sz w:val="24"/>
              </w:rPr>
            </w:pPr>
            <w:r>
              <w:rPr>
                <w:rFonts w:hint="eastAsia" w:ascii="宋体" w:hAnsi="宋体" w:eastAsia="宋体" w:cs="宋体"/>
                <w:color w:val="auto"/>
                <w:sz w:val="24"/>
                <w:szCs w:val="20"/>
              </w:rPr>
              <w:t>标项</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61590271">
            <w:pPr>
              <w:spacing w:before="60" w:after="60" w:line="400" w:lineRule="exact"/>
              <w:ind w:right="60" w:rightChars="0"/>
              <w:jc w:val="center"/>
              <w:rPr>
                <w:rFonts w:hint="eastAsia" w:ascii="宋体" w:hAnsi="宋体" w:cs="宋体"/>
                <w:bCs/>
                <w:sz w:val="24"/>
              </w:rPr>
            </w:pPr>
            <w:r>
              <w:rPr>
                <w:rFonts w:hint="eastAsia" w:ascii="宋体" w:hAnsi="宋体" w:cs="宋体"/>
                <w:color w:val="auto"/>
                <w:sz w:val="24"/>
                <w:szCs w:val="20"/>
              </w:rPr>
              <w:t>采购内容</w:t>
            </w:r>
          </w:p>
        </w:tc>
        <w:tc>
          <w:tcPr>
            <w:tcW w:w="2235" w:type="dxa"/>
            <w:tcBorders>
              <w:top w:val="single" w:color="auto" w:sz="4" w:space="0"/>
              <w:left w:val="single" w:color="auto" w:sz="4" w:space="0"/>
              <w:bottom w:val="single" w:color="auto" w:sz="4" w:space="0"/>
              <w:right w:val="single" w:color="auto" w:sz="4" w:space="0"/>
            </w:tcBorders>
            <w:noWrap w:val="0"/>
            <w:vAlign w:val="center"/>
          </w:tcPr>
          <w:p w14:paraId="34093358">
            <w:pPr>
              <w:spacing w:before="60" w:after="60" w:line="400" w:lineRule="exact"/>
              <w:ind w:right="60" w:rightChars="0"/>
              <w:jc w:val="center"/>
              <w:rPr>
                <w:rFonts w:hint="default" w:ascii="宋体" w:hAnsi="宋体" w:eastAsia="宋体" w:cs="宋体"/>
                <w:bCs/>
                <w:sz w:val="24"/>
                <w:lang w:val="en-US" w:eastAsia="zh-CN"/>
              </w:rPr>
            </w:pPr>
            <w:r>
              <w:rPr>
                <w:rFonts w:hint="eastAsia" w:ascii="宋体" w:hAnsi="宋体" w:cs="宋体"/>
                <w:bCs/>
                <w:sz w:val="24"/>
                <w:lang w:val="en-US" w:eastAsia="zh-CN"/>
              </w:rPr>
              <w:t>最高限价（元）</w:t>
            </w:r>
          </w:p>
        </w:tc>
        <w:tc>
          <w:tcPr>
            <w:tcW w:w="22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52E759">
            <w:pPr>
              <w:spacing w:before="60" w:after="60" w:line="400" w:lineRule="exact"/>
              <w:ind w:right="60" w:rightChars="0"/>
              <w:jc w:val="center"/>
              <w:rPr>
                <w:rFonts w:hint="eastAsia" w:ascii="宋体" w:hAnsi="宋体" w:eastAsia="宋体" w:cs="宋体"/>
                <w:bCs/>
                <w:kern w:val="2"/>
                <w:sz w:val="24"/>
                <w:szCs w:val="24"/>
                <w:lang w:val="en-US" w:eastAsia="zh-CN" w:bidi="ar-SA"/>
              </w:rPr>
            </w:pPr>
            <w:r>
              <w:rPr>
                <w:rFonts w:hint="eastAsia" w:ascii="宋体" w:hAnsi="宋体" w:cs="宋体"/>
                <w:color w:val="auto"/>
                <w:sz w:val="24"/>
                <w:szCs w:val="20"/>
              </w:rPr>
              <w:t>预算</w:t>
            </w:r>
            <w:r>
              <w:rPr>
                <w:rFonts w:hint="eastAsia" w:ascii="宋体" w:hAnsi="宋体" w:cs="宋体"/>
                <w:color w:val="auto"/>
                <w:sz w:val="24"/>
                <w:szCs w:val="20"/>
                <w:lang w:val="en-US" w:eastAsia="zh-CN"/>
              </w:rPr>
              <w:t>金额</w:t>
            </w:r>
            <w:r>
              <w:rPr>
                <w:rFonts w:hint="eastAsia" w:ascii="宋体" w:hAnsi="宋体" w:cs="宋体"/>
                <w:color w:val="auto"/>
                <w:sz w:val="24"/>
                <w:szCs w:val="20"/>
                <w:lang w:eastAsia="zh-CN"/>
              </w:rPr>
              <w:t>（</w:t>
            </w:r>
            <w:r>
              <w:rPr>
                <w:rFonts w:hint="eastAsia" w:ascii="宋体" w:hAnsi="宋体" w:cs="宋体"/>
                <w:color w:val="auto"/>
                <w:sz w:val="24"/>
                <w:szCs w:val="20"/>
                <w:lang w:val="en-US" w:eastAsia="zh-CN"/>
              </w:rPr>
              <w:t>元</w:t>
            </w:r>
            <w:r>
              <w:rPr>
                <w:rFonts w:hint="eastAsia" w:ascii="宋体" w:hAnsi="宋体" w:cs="宋体"/>
                <w:color w:val="auto"/>
                <w:sz w:val="24"/>
                <w:szCs w:val="20"/>
                <w:lang w:eastAsia="zh-CN"/>
              </w:rPr>
              <w:t>）</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0773477C">
            <w:pPr>
              <w:spacing w:before="60" w:after="60" w:line="400" w:lineRule="exact"/>
              <w:ind w:right="60" w:rightChars="0"/>
              <w:jc w:val="center"/>
              <w:rPr>
                <w:rFonts w:hint="eastAsia" w:ascii="宋体" w:hAnsi="宋体" w:eastAsia="宋体" w:cs="宋体"/>
                <w:color w:val="auto"/>
                <w:sz w:val="24"/>
                <w:szCs w:val="20"/>
                <w:lang w:val="en-US" w:eastAsia="zh-CN"/>
              </w:rPr>
            </w:pPr>
            <w:r>
              <w:rPr>
                <w:rFonts w:hint="eastAsia" w:ascii="宋体" w:hAnsi="宋体" w:cs="宋体"/>
                <w:color w:val="auto"/>
                <w:sz w:val="24"/>
                <w:szCs w:val="20"/>
                <w:lang w:val="en-US" w:eastAsia="zh-CN"/>
              </w:rPr>
              <w:t>备注</w:t>
            </w:r>
          </w:p>
        </w:tc>
      </w:tr>
      <w:tr w14:paraId="79DA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60EB4E7D">
            <w:pPr>
              <w:spacing w:line="276" w:lineRule="auto"/>
              <w:jc w:val="center"/>
              <w:rPr>
                <w:rFonts w:hint="eastAsia" w:ascii="宋体" w:hAnsi="宋体" w:eastAsia="宋体" w:cs="宋体"/>
                <w:bCs/>
                <w:sz w:val="24"/>
                <w:lang w:eastAsia="zh-CN"/>
              </w:rPr>
            </w:pPr>
            <w:r>
              <w:rPr>
                <w:rFonts w:hint="eastAsia" w:ascii="宋体" w:hAnsi="宋体"/>
                <w:color w:val="auto"/>
                <w:sz w:val="24"/>
                <w:lang w:val="en-US" w:eastAsia="zh-CN"/>
              </w:rPr>
              <w:t>一</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4E891634">
            <w:pPr>
              <w:spacing w:before="60" w:after="60" w:line="400" w:lineRule="exact"/>
              <w:ind w:right="60" w:rightChars="0"/>
              <w:jc w:val="center"/>
              <w:rPr>
                <w:rFonts w:hint="default" w:ascii="宋体" w:hAnsi="宋体" w:eastAsia="宋体" w:cs="宋体"/>
                <w:b w:val="0"/>
                <w:color w:val="auto"/>
                <w:kern w:val="2"/>
                <w:sz w:val="24"/>
                <w:szCs w:val="20"/>
                <w:lang w:val="en-US" w:eastAsia="zh-CN" w:bidi="ar-SA"/>
              </w:rPr>
            </w:pPr>
            <w:r>
              <w:rPr>
                <w:rFonts w:hint="eastAsia" w:ascii="宋体" w:hAnsi="宋体" w:eastAsia="宋体" w:cs="宋体"/>
                <w:b w:val="0"/>
                <w:color w:val="auto"/>
                <w:kern w:val="2"/>
                <w:sz w:val="24"/>
                <w:szCs w:val="20"/>
                <w:lang w:val="en-US" w:eastAsia="zh-CN" w:bidi="ar-SA"/>
              </w:rPr>
              <w:t>厨房设备</w:t>
            </w:r>
          </w:p>
        </w:tc>
        <w:tc>
          <w:tcPr>
            <w:tcW w:w="2235" w:type="dxa"/>
            <w:tcBorders>
              <w:left w:val="single" w:color="auto" w:sz="4" w:space="0"/>
              <w:right w:val="single" w:color="auto" w:sz="4" w:space="0"/>
            </w:tcBorders>
            <w:shd w:val="clear" w:color="auto" w:fill="auto"/>
            <w:noWrap w:val="0"/>
            <w:vAlign w:val="center"/>
          </w:tcPr>
          <w:p w14:paraId="6DDB884B">
            <w:pPr>
              <w:spacing w:line="276" w:lineRule="auto"/>
              <w:jc w:val="center"/>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244880</w:t>
            </w:r>
          </w:p>
        </w:tc>
        <w:tc>
          <w:tcPr>
            <w:tcW w:w="2203" w:type="dxa"/>
            <w:tcBorders>
              <w:left w:val="single" w:color="auto" w:sz="4" w:space="0"/>
              <w:right w:val="single" w:color="auto" w:sz="4" w:space="0"/>
            </w:tcBorders>
            <w:shd w:val="clear" w:color="auto" w:fill="auto"/>
            <w:noWrap w:val="0"/>
            <w:vAlign w:val="center"/>
          </w:tcPr>
          <w:p w14:paraId="0B32919B">
            <w:pPr>
              <w:spacing w:line="276"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244880</w:t>
            </w:r>
          </w:p>
        </w:tc>
        <w:tc>
          <w:tcPr>
            <w:tcW w:w="1822" w:type="dxa"/>
            <w:tcBorders>
              <w:left w:val="single" w:color="auto" w:sz="4" w:space="0"/>
              <w:right w:val="single" w:color="auto" w:sz="4" w:space="0"/>
            </w:tcBorders>
            <w:noWrap w:val="0"/>
            <w:vAlign w:val="center"/>
          </w:tcPr>
          <w:p w14:paraId="7E7E19B6">
            <w:pPr>
              <w:spacing w:line="276" w:lineRule="auto"/>
              <w:jc w:val="center"/>
              <w:rPr>
                <w:rFonts w:hint="default" w:ascii="宋体" w:hAnsi="宋体"/>
                <w:color w:val="auto"/>
                <w:sz w:val="24"/>
                <w:highlight w:val="none"/>
                <w:lang w:val="en-US" w:eastAsia="zh-CN"/>
              </w:rPr>
            </w:pPr>
          </w:p>
        </w:tc>
      </w:tr>
      <w:tr w14:paraId="7513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0906C9D0">
            <w:pPr>
              <w:spacing w:line="276"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二</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168CFAD8">
            <w:pPr>
              <w:pStyle w:val="3"/>
              <w:jc w:val="center"/>
              <w:rPr>
                <w:rFonts w:hint="default" w:ascii="宋体" w:hAnsi="宋体" w:eastAsia="宋体" w:cs="宋体"/>
                <w:b w:val="0"/>
                <w:color w:val="auto"/>
                <w:kern w:val="2"/>
                <w:sz w:val="24"/>
                <w:szCs w:val="20"/>
                <w:highlight w:val="none"/>
                <w:lang w:val="en-US" w:eastAsia="zh-CN" w:bidi="ar-SA"/>
              </w:rPr>
            </w:pPr>
            <w:r>
              <w:rPr>
                <w:rFonts w:hint="eastAsia" w:ascii="宋体" w:hAnsi="宋体" w:eastAsia="宋体" w:cs="宋体"/>
                <w:b w:val="0"/>
                <w:color w:val="auto"/>
                <w:kern w:val="2"/>
                <w:sz w:val="24"/>
                <w:szCs w:val="20"/>
                <w:highlight w:val="none"/>
                <w:lang w:val="en-US" w:eastAsia="zh-CN" w:bidi="ar-SA"/>
              </w:rPr>
              <w:t>电器设备</w:t>
            </w:r>
          </w:p>
        </w:tc>
        <w:tc>
          <w:tcPr>
            <w:tcW w:w="2235" w:type="dxa"/>
            <w:tcBorders>
              <w:left w:val="single" w:color="auto" w:sz="4" w:space="0"/>
              <w:right w:val="single" w:color="auto" w:sz="4" w:space="0"/>
            </w:tcBorders>
            <w:shd w:val="clear" w:color="auto" w:fill="auto"/>
            <w:noWrap w:val="0"/>
            <w:vAlign w:val="center"/>
          </w:tcPr>
          <w:p w14:paraId="7BFA8F06">
            <w:pPr>
              <w:spacing w:line="276" w:lineRule="auto"/>
              <w:jc w:val="center"/>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374269</w:t>
            </w:r>
          </w:p>
        </w:tc>
        <w:tc>
          <w:tcPr>
            <w:tcW w:w="2203" w:type="dxa"/>
            <w:tcBorders>
              <w:left w:val="single" w:color="auto" w:sz="4" w:space="0"/>
              <w:right w:val="single" w:color="auto" w:sz="4" w:space="0"/>
            </w:tcBorders>
            <w:shd w:val="clear" w:color="auto" w:fill="auto"/>
            <w:noWrap w:val="0"/>
            <w:vAlign w:val="center"/>
          </w:tcPr>
          <w:p w14:paraId="6A75DA01">
            <w:pPr>
              <w:spacing w:line="276"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374269</w:t>
            </w:r>
          </w:p>
        </w:tc>
        <w:tc>
          <w:tcPr>
            <w:tcW w:w="1822" w:type="dxa"/>
            <w:tcBorders>
              <w:left w:val="single" w:color="auto" w:sz="4" w:space="0"/>
              <w:right w:val="single" w:color="auto" w:sz="4" w:space="0"/>
            </w:tcBorders>
            <w:noWrap w:val="0"/>
            <w:vAlign w:val="center"/>
          </w:tcPr>
          <w:p w14:paraId="3B1F0123">
            <w:pPr>
              <w:spacing w:line="276" w:lineRule="auto"/>
              <w:jc w:val="center"/>
              <w:rPr>
                <w:rFonts w:hint="default" w:ascii="宋体" w:hAnsi="宋体"/>
                <w:color w:val="auto"/>
                <w:sz w:val="24"/>
                <w:highlight w:val="yellow"/>
                <w:lang w:val="en-US" w:eastAsia="zh-CN"/>
              </w:rPr>
            </w:pPr>
          </w:p>
        </w:tc>
      </w:tr>
      <w:tr w14:paraId="49A3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27B660DB">
            <w:pPr>
              <w:spacing w:line="276"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三</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08CA7960">
            <w:pPr>
              <w:pStyle w:val="3"/>
              <w:jc w:val="center"/>
              <w:rPr>
                <w:rFonts w:hint="default" w:ascii="宋体" w:hAnsi="宋体" w:eastAsia="宋体" w:cs="宋体"/>
                <w:b w:val="0"/>
                <w:color w:val="auto"/>
                <w:kern w:val="2"/>
                <w:sz w:val="24"/>
                <w:szCs w:val="20"/>
                <w:lang w:val="en-US" w:eastAsia="zh-CN" w:bidi="ar-SA"/>
              </w:rPr>
            </w:pPr>
            <w:r>
              <w:rPr>
                <w:rFonts w:hint="eastAsia" w:ascii="宋体" w:eastAsia="宋体" w:cs="宋体"/>
                <w:b w:val="0"/>
                <w:color w:val="auto"/>
                <w:kern w:val="2"/>
                <w:sz w:val="24"/>
                <w:szCs w:val="20"/>
                <w:lang w:val="en-US" w:eastAsia="zh-CN" w:bidi="ar-SA"/>
              </w:rPr>
              <w:t>家具</w:t>
            </w:r>
          </w:p>
        </w:tc>
        <w:tc>
          <w:tcPr>
            <w:tcW w:w="2235" w:type="dxa"/>
            <w:tcBorders>
              <w:left w:val="single" w:color="auto" w:sz="4" w:space="0"/>
              <w:right w:val="single" w:color="auto" w:sz="4" w:space="0"/>
            </w:tcBorders>
            <w:shd w:val="clear" w:color="auto" w:fill="auto"/>
            <w:noWrap w:val="0"/>
            <w:vAlign w:val="center"/>
          </w:tcPr>
          <w:p w14:paraId="529D787F">
            <w:pPr>
              <w:spacing w:line="276" w:lineRule="auto"/>
              <w:jc w:val="center"/>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982306</w:t>
            </w:r>
          </w:p>
        </w:tc>
        <w:tc>
          <w:tcPr>
            <w:tcW w:w="2203" w:type="dxa"/>
            <w:tcBorders>
              <w:left w:val="single" w:color="auto" w:sz="4" w:space="0"/>
              <w:right w:val="single" w:color="auto" w:sz="4" w:space="0"/>
            </w:tcBorders>
            <w:shd w:val="clear" w:color="auto" w:fill="auto"/>
            <w:noWrap w:val="0"/>
            <w:vAlign w:val="center"/>
          </w:tcPr>
          <w:p w14:paraId="4A3F14C8">
            <w:pPr>
              <w:spacing w:line="276"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982306</w:t>
            </w:r>
          </w:p>
        </w:tc>
        <w:tc>
          <w:tcPr>
            <w:tcW w:w="1822" w:type="dxa"/>
            <w:tcBorders>
              <w:left w:val="single" w:color="auto" w:sz="4" w:space="0"/>
              <w:right w:val="single" w:color="auto" w:sz="4" w:space="0"/>
            </w:tcBorders>
            <w:noWrap w:val="0"/>
            <w:vAlign w:val="center"/>
          </w:tcPr>
          <w:p w14:paraId="45283913">
            <w:pPr>
              <w:spacing w:line="276" w:lineRule="auto"/>
              <w:jc w:val="center"/>
              <w:rPr>
                <w:rFonts w:hint="default" w:ascii="宋体" w:hAnsi="宋体"/>
                <w:color w:val="auto"/>
                <w:sz w:val="24"/>
                <w:highlight w:val="none"/>
                <w:lang w:val="en-US" w:eastAsia="zh-CN"/>
              </w:rPr>
            </w:pPr>
          </w:p>
        </w:tc>
      </w:tr>
      <w:tr w14:paraId="1B9C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9337" w:type="dxa"/>
            <w:gridSpan w:val="5"/>
            <w:tcBorders>
              <w:top w:val="single" w:color="auto" w:sz="4" w:space="0"/>
              <w:left w:val="single" w:color="auto" w:sz="4" w:space="0"/>
              <w:bottom w:val="single" w:color="auto" w:sz="4" w:space="0"/>
              <w:right w:val="single" w:color="auto" w:sz="4" w:space="0"/>
            </w:tcBorders>
            <w:noWrap w:val="0"/>
            <w:vAlign w:val="center"/>
          </w:tcPr>
          <w:p w14:paraId="41849653">
            <w:pPr>
              <w:spacing w:line="276" w:lineRule="auto"/>
              <w:jc w:val="left"/>
              <w:rPr>
                <w:rFonts w:hint="eastAsia"/>
                <w:b w:val="0"/>
                <w:bCs w:val="0"/>
                <w:color w:val="auto"/>
                <w:sz w:val="24"/>
                <w:highlight w:val="none"/>
              </w:rPr>
            </w:pPr>
            <w:r>
              <w:rPr>
                <w:rFonts w:hint="eastAsia"/>
                <w:b w:val="0"/>
                <w:bCs w:val="0"/>
                <w:color w:val="auto"/>
                <w:sz w:val="24"/>
                <w:highlight w:val="none"/>
              </w:rPr>
              <w:t>注：</w:t>
            </w:r>
            <w:r>
              <w:rPr>
                <w:rFonts w:hint="eastAsia" w:ascii="宋体" w:hAnsi="宋体"/>
                <w:color w:val="auto"/>
                <w:sz w:val="24"/>
                <w:highlight w:val="none"/>
              </w:rPr>
              <w:t>从履约能力及服务质量方面考虑，本项目标项一、标项二、标项三</w:t>
            </w:r>
            <w:r>
              <w:rPr>
                <w:rFonts w:hint="eastAsia" w:ascii="宋体" w:hAnsi="宋体"/>
                <w:color w:val="auto"/>
                <w:sz w:val="24"/>
                <w:highlight w:val="none"/>
                <w:lang w:val="en-US" w:eastAsia="zh-CN"/>
              </w:rPr>
              <w:t>三</w:t>
            </w:r>
            <w:r>
              <w:rPr>
                <w:rFonts w:hint="eastAsia" w:ascii="宋体" w:hAnsi="宋体"/>
                <w:color w:val="auto"/>
                <w:sz w:val="24"/>
                <w:highlight w:val="none"/>
              </w:rPr>
              <w:t xml:space="preserve">个标段中，每个投标人按开标顺序（标一、标二、标三）只允许一个标项中标，其余标项得分排名再次为第一名时，视为自动放弃其中标资格。 </w:t>
            </w:r>
          </w:p>
        </w:tc>
      </w:tr>
    </w:tbl>
    <w:p w14:paraId="58316A3F">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cs="宋体"/>
          <w:b/>
          <w:color w:val="auto"/>
          <w:sz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cs="宋体"/>
          <w:b/>
          <w:color w:val="auto"/>
          <w:sz w:val="24"/>
          <w:highlight w:val="none"/>
        </w:rPr>
        <w:t>注：</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中标人需根据采购人的要求及时供货。</w:t>
      </w:r>
    </w:p>
    <w:p w14:paraId="6465180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技术参数中如有漏项，产品实际使用功能必须达到采购人实际要求。</w:t>
      </w:r>
    </w:p>
    <w:p w14:paraId="2B6787D4">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ascii="宋体" w:hAnsi="宋体" w:cs="宋体"/>
          <w:color w:val="auto"/>
          <w:sz w:val="24"/>
          <w:lang w:val="zh-TW" w:eastAsia="zh-TW"/>
        </w:rPr>
        <w:t>▲</w:t>
      </w:r>
      <w:r>
        <w:rPr>
          <w:rFonts w:hint="eastAsia" w:ascii="宋体" w:hAnsi="宋体" w:cs="Arial"/>
          <w:b/>
          <w:color w:val="auto"/>
          <w:sz w:val="24"/>
        </w:rPr>
        <w:t>五</w:t>
      </w:r>
      <w:r>
        <w:rPr>
          <w:rFonts w:hint="eastAsia" w:ascii="宋体" w:hAnsi="宋体" w:cs="Arial"/>
          <w:color w:val="auto"/>
          <w:sz w:val="24"/>
        </w:rPr>
        <w:t>、</w:t>
      </w:r>
      <w:r>
        <w:rPr>
          <w:rFonts w:hint="eastAsia" w:ascii="宋体" w:hAnsi="宋体" w:cs="Arial"/>
          <w:b/>
          <w:bCs/>
          <w:color w:val="auto"/>
          <w:sz w:val="24"/>
        </w:rPr>
        <w:t>合格投标人的资格要求</w:t>
      </w:r>
      <w:r>
        <w:rPr>
          <w:rFonts w:ascii="宋体" w:hAnsi="宋体" w:cs="Arial"/>
          <w:b/>
          <w:bCs/>
          <w:color w:val="auto"/>
          <w:sz w:val="24"/>
        </w:rPr>
        <w:t>：</w:t>
      </w:r>
    </w:p>
    <w:p w14:paraId="1096245F">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sz w:val="24"/>
        </w:rPr>
      </w:pPr>
      <w:r>
        <w:rPr>
          <w:rFonts w:hint="eastAsia"/>
          <w:color w:val="auto"/>
          <w:sz w:val="24"/>
        </w:rPr>
        <w:t>符合东阳市国有企业采购管理办法（2020年修订）</w:t>
      </w:r>
      <w:r>
        <w:rPr>
          <w:rFonts w:hint="eastAsia"/>
          <w:sz w:val="24"/>
        </w:rPr>
        <w:t>二、采购当事人 第（三）条规定的投标人资格条件；</w:t>
      </w:r>
    </w:p>
    <w:p w14:paraId="4C4A229E">
      <w:pPr>
        <w:keepNext w:val="0"/>
        <w:keepLines w:val="0"/>
        <w:pageBreakBefore w:val="0"/>
        <w:widowControl w:val="0"/>
        <w:kinsoku/>
        <w:wordWrap/>
        <w:overflowPunct/>
        <w:topLinePunct w:val="0"/>
        <w:autoSpaceDE/>
        <w:autoSpaceDN/>
        <w:bidi w:val="0"/>
        <w:adjustRightInd/>
        <w:snapToGrid w:val="0"/>
        <w:spacing w:line="360" w:lineRule="auto"/>
        <w:ind w:firstLine="241" w:firstLineChars="100"/>
        <w:textAlignment w:val="auto"/>
        <w:rPr>
          <w:rFonts w:hint="eastAsia" w:ascii="宋体" w:hAnsi="宋体"/>
          <w:b/>
          <w:bCs/>
          <w:sz w:val="24"/>
        </w:rPr>
      </w:pPr>
      <w:r>
        <w:rPr>
          <w:rFonts w:hint="eastAsia" w:ascii="宋体" w:hAnsi="宋体"/>
          <w:b/>
          <w:bCs/>
          <w:sz w:val="24"/>
        </w:rPr>
        <w:t>投标人的特定条件：</w:t>
      </w:r>
    </w:p>
    <w:p w14:paraId="7A79FC54">
      <w:pPr>
        <w:keepNext w:val="0"/>
        <w:keepLines w:val="0"/>
        <w:pageBreakBefore w:val="0"/>
        <w:widowControl w:val="0"/>
        <w:numPr>
          <w:ilvl w:val="0"/>
          <w:numId w:val="11"/>
        </w:numPr>
        <w:kinsoku/>
        <w:wordWrap/>
        <w:overflowPunct/>
        <w:topLinePunct w:val="0"/>
        <w:autoSpaceDE/>
        <w:autoSpaceDN/>
        <w:bidi w:val="0"/>
        <w:adjustRightInd/>
        <w:snapToGrid w:val="0"/>
        <w:spacing w:line="360" w:lineRule="auto"/>
        <w:textAlignment w:val="auto"/>
        <w:rPr>
          <w:rFonts w:hint="eastAsia" w:ascii="宋体" w:hAnsi="宋体" w:eastAsia="宋体" w:cs="Arial"/>
          <w:color w:val="auto"/>
          <w:sz w:val="24"/>
          <w:highlight w:val="none"/>
        </w:rPr>
      </w:pPr>
      <w:r>
        <w:rPr>
          <w:rFonts w:hint="eastAsia" w:ascii="宋体" w:hAnsi="宋体" w:eastAsia="宋体" w:cs="Arial"/>
          <w:color w:val="auto"/>
          <w:sz w:val="24"/>
          <w:highlight w:val="none"/>
        </w:rPr>
        <w:t>投标人具有独立承担民事责任的能力；</w:t>
      </w:r>
    </w:p>
    <w:p w14:paraId="085FB6E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rPr>
          <w:rFonts w:hint="eastAsia" w:ascii="宋体" w:hAnsi="宋体" w:cs="Arial"/>
          <w:sz w:val="24"/>
        </w:rPr>
      </w:pPr>
      <w:r>
        <w:rPr>
          <w:rFonts w:hint="eastAsia" w:ascii="宋体" w:hAnsi="宋体" w:cs="Arial"/>
          <w:sz w:val="24"/>
          <w:lang w:val="en-US" w:eastAsia="zh-CN"/>
        </w:rPr>
        <w:t>2、</w:t>
      </w:r>
      <w:r>
        <w:rPr>
          <w:rFonts w:hint="eastAsia" w:ascii="宋体" w:hAnsi="宋体" w:cs="Arial"/>
          <w:sz w:val="24"/>
        </w:rPr>
        <w:t>本项目投标截止之日前三年内，未被“信用中国” 、“中国政府采购网”列入失信被执行人、重大税收违法案件当事人名单、严重违法失信行为记录名单的；</w:t>
      </w:r>
      <w:bookmarkStart w:id="2" w:name="OLE_LINK1"/>
    </w:p>
    <w:p w14:paraId="1FDD26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rPr>
          <w:rFonts w:hint="eastAsia" w:ascii="宋体" w:hAnsi="宋体" w:cs="Arial"/>
          <w:sz w:val="24"/>
        </w:rPr>
      </w:pPr>
      <w:r>
        <w:rPr>
          <w:rFonts w:hint="eastAsia" w:ascii="宋体" w:hAnsi="宋体" w:cs="Arial"/>
          <w:sz w:val="24"/>
          <w:lang w:val="en-US" w:eastAsia="zh-CN"/>
        </w:rPr>
        <w:t>3、</w:t>
      </w:r>
      <w:r>
        <w:rPr>
          <w:rFonts w:hint="eastAsia" w:ascii="宋体" w:hAnsi="宋体" w:cs="Arial"/>
          <w:sz w:val="24"/>
        </w:rPr>
        <w:t>本项目不接受联合体投标。</w:t>
      </w:r>
      <w:bookmarkEnd w:id="2"/>
    </w:p>
    <w:p w14:paraId="454163E3">
      <w:pPr>
        <w:keepNext w:val="0"/>
        <w:keepLines w:val="0"/>
        <w:pageBreakBefore w:val="0"/>
        <w:widowControl w:val="0"/>
        <w:kinsoku/>
        <w:wordWrap/>
        <w:overflowPunct/>
        <w:topLinePunct w:val="0"/>
        <w:autoSpaceDE/>
        <w:autoSpaceDN/>
        <w:bidi w:val="0"/>
        <w:adjustRightInd/>
        <w:snapToGrid w:val="0"/>
        <w:spacing w:line="360" w:lineRule="auto"/>
        <w:rPr>
          <w:rFonts w:ascii="宋体" w:hAnsi="宋体" w:cs="宋体"/>
          <w:b/>
          <w:bCs/>
          <w:sz w:val="24"/>
        </w:rPr>
      </w:pPr>
      <w:r>
        <w:rPr>
          <w:rFonts w:hint="eastAsia" w:ascii="宋体" w:hAnsi="宋体" w:cs="宋体"/>
          <w:sz w:val="24"/>
          <w:lang w:val="zh-TW" w:eastAsia="zh-TW"/>
        </w:rPr>
        <w:t>▲</w:t>
      </w:r>
      <w:r>
        <w:rPr>
          <w:rFonts w:hint="eastAsia" w:ascii="宋体" w:hAnsi="宋体" w:cs="宋体"/>
          <w:b/>
          <w:bCs/>
          <w:sz w:val="24"/>
        </w:rPr>
        <w:t>六、投标截止时间和投标文件递交方式：</w:t>
      </w:r>
    </w:p>
    <w:p w14:paraId="022B03EC">
      <w:pPr>
        <w:keepNext w:val="0"/>
        <w:keepLines w:val="0"/>
        <w:pageBreakBefore w:val="0"/>
        <w:widowControl w:val="0"/>
        <w:kinsoku/>
        <w:wordWrap/>
        <w:overflowPunct/>
        <w:topLinePunct w:val="0"/>
        <w:autoSpaceDE/>
        <w:autoSpaceDN/>
        <w:bidi w:val="0"/>
        <w:adjustRightInd/>
        <w:snapToGrid w:val="0"/>
        <w:spacing w:line="360" w:lineRule="auto"/>
        <w:rPr>
          <w:rFonts w:hint="eastAsia" w:ascii="宋体" w:hAnsi="宋体" w:cs="宋体"/>
          <w:sz w:val="24"/>
        </w:rPr>
      </w:pPr>
      <w:r>
        <w:rPr>
          <w:rFonts w:hint="eastAsia" w:ascii="宋体" w:hAnsi="宋体" w:cs="宋体"/>
          <w:b/>
          <w:bCs/>
          <w:sz w:val="24"/>
        </w:rPr>
        <w:t xml:space="preserve">    投标截止时间为</w:t>
      </w:r>
      <w:r>
        <w:rPr>
          <w:rFonts w:hint="eastAsia" w:ascii="宋体" w:hAnsi="宋体" w:cs="宋体"/>
          <w:sz w:val="24"/>
        </w:rPr>
        <w:t>：2024年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分前；</w:t>
      </w:r>
    </w:p>
    <w:p w14:paraId="19EBC78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top"/>
        <w:rPr>
          <w:rFonts w:hint="eastAsia" w:ascii="宋体" w:hAnsi="宋体" w:cs="宋体"/>
          <w:sz w:val="24"/>
        </w:rPr>
      </w:pPr>
      <w:r>
        <w:rPr>
          <w:rFonts w:hint="eastAsia" w:ascii="宋体" w:hAnsi="宋体" w:cs="宋体"/>
          <w:sz w:val="24"/>
        </w:rPr>
        <w:t>本项目采用不见面开标的形式开标，各投标人自行下载钉钉，在开标截止时间前1小时内招标</w:t>
      </w:r>
      <w:r>
        <w:rPr>
          <w:rFonts w:ascii="宋体" w:hAnsi="宋体" w:cs="宋体"/>
          <w:sz w:val="24"/>
        </w:rPr>
        <w:t>人</w:t>
      </w:r>
      <w:r>
        <w:rPr>
          <w:rFonts w:hint="eastAsia" w:ascii="宋体" w:hAnsi="宋体" w:cs="宋体"/>
          <w:sz w:val="24"/>
        </w:rPr>
        <w:t>将邀请各投标人进入本项目钉钉群签到，并开启群视频直播，对开标现场情况进行全程直播。</w:t>
      </w:r>
    </w:p>
    <w:p w14:paraId="7B7CC41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top"/>
      </w:pPr>
      <w:r>
        <w:rPr>
          <w:rFonts w:hint="eastAsia" w:ascii="宋体" w:hAnsi="宋体" w:cs="宋体"/>
          <w:sz w:val="24"/>
        </w:rPr>
        <w:t>各投标人应先将投标文件按照招标文件规定的密封要求进行密封，然后快递邮寄至东阳市鑫盛工程咨询有限公司（地址：浙江省东阳市白云街道八华南路63号；邮编：322100；联系电话：0579-86683133；联系人：</w:t>
      </w:r>
      <w:r>
        <w:rPr>
          <w:rFonts w:hint="eastAsia" w:ascii="宋体" w:hAnsi="宋体" w:cs="宋体"/>
          <w:sz w:val="24"/>
          <w:lang w:eastAsia="zh-CN"/>
        </w:rPr>
        <w:t>卢佳美</w:t>
      </w:r>
      <w:r>
        <w:rPr>
          <w:rFonts w:hint="eastAsia" w:ascii="宋体" w:hAnsi="宋体" w:cs="宋体"/>
          <w:sz w:val="24"/>
        </w:rPr>
        <w:t>），快递邮件应于2024年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w:t>
      </w:r>
      <w:r>
        <w:rPr>
          <w:rFonts w:hint="eastAsia" w:ascii="宋体" w:hAnsi="宋体" w:cs="宋体"/>
          <w:sz w:val="24"/>
          <w:lang w:val="en-US" w:eastAsia="zh-CN"/>
        </w:rPr>
        <w:t>16</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前送达东阳市鑫盛工程咨询有限公司，规定时间内收到的投标文件视为在投标截止时间前送达，逾期未送达的视为投标人放弃投标。东阳市鑫盛工程咨询有限公司将快递收到的投标文件原封（包括快递包装）不动的送往开标室。</w:t>
      </w:r>
    </w:p>
    <w:p w14:paraId="3A277BA6">
      <w:pPr>
        <w:keepNext w:val="0"/>
        <w:keepLines w:val="0"/>
        <w:pageBreakBefore w:val="0"/>
        <w:widowControl w:val="0"/>
        <w:kinsoku/>
        <w:wordWrap/>
        <w:overflowPunct/>
        <w:topLinePunct w:val="0"/>
        <w:autoSpaceDE/>
        <w:autoSpaceDN/>
        <w:bidi w:val="0"/>
        <w:adjustRightInd/>
        <w:snapToGrid w:val="0"/>
        <w:spacing w:line="360" w:lineRule="auto"/>
        <w:rPr>
          <w:rFonts w:ascii="宋体" w:hAnsi="宋体" w:cs="宋体"/>
          <w:b/>
          <w:bCs/>
          <w:sz w:val="24"/>
        </w:rPr>
      </w:pPr>
      <w:r>
        <w:rPr>
          <w:rFonts w:hint="eastAsia" w:ascii="宋体" w:hAnsi="宋体" w:cs="宋体"/>
          <w:sz w:val="24"/>
          <w:lang w:val="zh-TW" w:eastAsia="zh-TW"/>
        </w:rPr>
        <w:t>▲</w:t>
      </w:r>
      <w:r>
        <w:rPr>
          <w:rFonts w:hint="eastAsia" w:ascii="宋体" w:hAnsi="宋体" w:cs="宋体"/>
          <w:sz w:val="24"/>
        </w:rPr>
        <w:t>七</w:t>
      </w:r>
      <w:r>
        <w:rPr>
          <w:rFonts w:hint="eastAsia" w:ascii="宋体" w:hAnsi="宋体" w:cs="宋体"/>
          <w:b/>
          <w:bCs/>
          <w:sz w:val="24"/>
        </w:rPr>
        <w:t>、开标时间及地点：</w:t>
      </w:r>
    </w:p>
    <w:p w14:paraId="770FA248">
      <w:pPr>
        <w:keepNext w:val="0"/>
        <w:keepLines w:val="0"/>
        <w:pageBreakBefore w:val="0"/>
        <w:widowControl w:val="0"/>
        <w:kinsoku/>
        <w:wordWrap/>
        <w:overflowPunct/>
        <w:topLinePunct w:val="0"/>
        <w:autoSpaceDE/>
        <w:autoSpaceDN/>
        <w:bidi w:val="0"/>
        <w:adjustRightInd/>
        <w:snapToGrid w:val="0"/>
        <w:spacing w:line="360" w:lineRule="auto"/>
        <w:rPr>
          <w:rFonts w:hint="eastAsia"/>
        </w:rPr>
      </w:pPr>
      <w:r>
        <w:rPr>
          <w:rFonts w:hint="eastAsia" w:ascii="宋体" w:hAnsi="宋体" w:cs="宋体"/>
          <w:sz w:val="24"/>
        </w:rPr>
        <w:t xml:space="preserve">    </w:t>
      </w:r>
      <w:r>
        <w:rPr>
          <w:rFonts w:hint="eastAsia" w:ascii="宋体" w:hAnsi="宋体" w:cs="宋体"/>
          <w:b/>
          <w:bCs/>
          <w:sz w:val="24"/>
        </w:rPr>
        <w:t>开标时间为</w:t>
      </w:r>
      <w:r>
        <w:rPr>
          <w:rFonts w:hint="eastAsia" w:ascii="宋体" w:hAnsi="宋体" w:cs="宋体"/>
          <w:sz w:val="24"/>
        </w:rPr>
        <w:t>：2024年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 xml:space="preserve">分； </w:t>
      </w:r>
    </w:p>
    <w:p w14:paraId="4B7CC85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cs="宋体"/>
          <w:sz w:val="24"/>
        </w:rPr>
      </w:pPr>
      <w:r>
        <w:rPr>
          <w:rFonts w:hint="eastAsia" w:ascii="宋体" w:hAnsi="宋体" w:cs="宋体"/>
          <w:sz w:val="24"/>
        </w:rPr>
        <w:t>投标人无须到开标现场开标，但</w:t>
      </w:r>
      <w:r>
        <w:rPr>
          <w:rFonts w:ascii="宋体" w:hAnsi="宋体" w:cs="宋体"/>
          <w:sz w:val="24"/>
        </w:rPr>
        <w:t>应在</w:t>
      </w:r>
      <w:r>
        <w:rPr>
          <w:rFonts w:hint="eastAsia" w:ascii="宋体" w:hAnsi="宋体" w:cs="宋体"/>
          <w:b/>
          <w:bCs/>
          <w:sz w:val="24"/>
        </w:rPr>
        <w:t>授权委托书中注明往来信件的电子邮箱、钉钉号</w:t>
      </w:r>
      <w:r>
        <w:rPr>
          <w:rFonts w:ascii="宋体" w:hAnsi="宋体" w:cs="宋体"/>
          <w:b/>
          <w:bCs/>
          <w:sz w:val="24"/>
        </w:rPr>
        <w:t>，</w:t>
      </w:r>
      <w:r>
        <w:rPr>
          <w:rFonts w:hint="eastAsia" w:ascii="宋体" w:hAnsi="宋体" w:cs="宋体"/>
          <w:sz w:val="24"/>
        </w:rPr>
        <w:t>随时关注电子邮箱、钉钉动态，若在开评标过程中评审小组需要求投标人澄清、说明或者补正的，均通过</w:t>
      </w:r>
      <w:r>
        <w:rPr>
          <w:rFonts w:ascii="宋体" w:hAnsi="宋体" w:cs="宋体"/>
          <w:sz w:val="24"/>
        </w:rPr>
        <w:t>授权委托书中</w:t>
      </w:r>
      <w:r>
        <w:rPr>
          <w:rFonts w:hint="eastAsia" w:ascii="宋体" w:hAnsi="宋体" w:cs="宋体"/>
          <w:sz w:val="24"/>
        </w:rPr>
        <w:t>指定的电子邮箱或钉钉中进行澄清、说明或者补正</w:t>
      </w:r>
      <w:r>
        <w:rPr>
          <w:rFonts w:ascii="宋体" w:hAnsi="宋体" w:cs="宋体"/>
          <w:sz w:val="24"/>
        </w:rPr>
        <w:t>，投标人对电子邮箱</w:t>
      </w:r>
      <w:r>
        <w:rPr>
          <w:rFonts w:hint="eastAsia" w:ascii="宋体" w:hAnsi="宋体" w:cs="宋体"/>
          <w:sz w:val="24"/>
        </w:rPr>
        <w:t>或钉钉</w:t>
      </w:r>
      <w:r>
        <w:rPr>
          <w:rFonts w:ascii="宋体" w:hAnsi="宋体" w:cs="宋体"/>
          <w:sz w:val="24"/>
        </w:rPr>
        <w:t>中作出</w:t>
      </w:r>
      <w:r>
        <w:rPr>
          <w:rFonts w:hint="eastAsia" w:ascii="宋体" w:hAnsi="宋体" w:cs="宋体"/>
          <w:sz w:val="24"/>
        </w:rPr>
        <w:t>澄清、说明或者补</w:t>
      </w:r>
      <w:r>
        <w:rPr>
          <w:rFonts w:ascii="宋体" w:hAnsi="宋体" w:cs="宋体"/>
          <w:sz w:val="24"/>
        </w:rPr>
        <w:t>正的相关内容承担全部责任。</w:t>
      </w:r>
    </w:p>
    <w:p w14:paraId="3EE56482">
      <w:pPr>
        <w:keepNext w:val="0"/>
        <w:keepLines w:val="0"/>
        <w:pageBreakBefore w:val="0"/>
        <w:widowControl w:val="0"/>
        <w:kinsoku/>
        <w:wordWrap/>
        <w:overflowPunct/>
        <w:topLinePunct w:val="0"/>
        <w:autoSpaceDE/>
        <w:autoSpaceDN/>
        <w:bidi w:val="0"/>
        <w:adjustRightInd/>
        <w:snapToGrid w:val="0"/>
        <w:spacing w:line="360" w:lineRule="auto"/>
        <w:rPr>
          <w:rFonts w:hint="eastAsia" w:ascii="宋体" w:hAnsi="宋体" w:cs="Arial"/>
          <w:b/>
          <w:bCs/>
          <w:sz w:val="24"/>
        </w:rPr>
      </w:pPr>
      <w:r>
        <w:rPr>
          <w:rFonts w:hint="eastAsia" w:ascii="宋体" w:hAnsi="宋体" w:cs="Arial"/>
          <w:b/>
          <w:bCs/>
          <w:sz w:val="24"/>
        </w:rPr>
        <w:t>八、招标文件下载地址：</w:t>
      </w:r>
    </w:p>
    <w:p w14:paraId="12D3151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cs="Arial"/>
          <w:sz w:val="24"/>
        </w:rPr>
      </w:pPr>
      <w:r>
        <w:rPr>
          <w:rFonts w:hint="eastAsia" w:ascii="宋体" w:hAnsi="宋体" w:cs="Arial"/>
          <w:sz w:val="24"/>
        </w:rPr>
        <w:t>浙江省政府采购网(</w:t>
      </w:r>
      <w:r>
        <w:rPr>
          <w:rFonts w:hint="eastAsia" w:ascii="宋体" w:hAnsi="宋体" w:cs="Arial"/>
          <w:sz w:val="24"/>
          <w:u w:val="single"/>
        </w:rPr>
        <w:t>http://zfcg.czt.zj.gov.cn/</w:t>
      </w:r>
      <w:r>
        <w:rPr>
          <w:rFonts w:hint="eastAsia" w:ascii="宋体" w:hAnsi="宋体" w:cs="Arial"/>
          <w:sz w:val="24"/>
        </w:rPr>
        <w:t>)；</w:t>
      </w:r>
    </w:p>
    <w:p w14:paraId="0A25D85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cs="Arial"/>
          <w:sz w:val="24"/>
        </w:rPr>
      </w:pPr>
      <w:r>
        <w:rPr>
          <w:rFonts w:hint="eastAsia" w:ascii="宋体" w:hAnsi="宋体" w:cs="Arial"/>
          <w:sz w:val="24"/>
        </w:rPr>
        <w:t>东阳市公共资源交易网</w:t>
      </w:r>
    </w:p>
    <w:p w14:paraId="5D67423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cs="Arial"/>
          <w:sz w:val="24"/>
        </w:rPr>
      </w:pPr>
      <w:r>
        <w:rPr>
          <w:rFonts w:hint="eastAsia" w:ascii="宋体" w:hAnsi="宋体" w:cs="Arial"/>
          <w:sz w:val="24"/>
        </w:rPr>
        <w:t>(</w:t>
      </w:r>
      <w:r>
        <w:rPr>
          <w:rFonts w:hint="eastAsia" w:ascii="宋体" w:hAnsi="宋体" w:cs="宋体"/>
          <w:sz w:val="24"/>
          <w:u w:val="single"/>
        </w:rPr>
        <w:t>http://www.dongyang.gov.cn/ggzyjy/index.html</w:t>
      </w:r>
      <w:r>
        <w:rPr>
          <w:rFonts w:hint="eastAsia" w:ascii="宋体" w:hAnsi="宋体" w:cs="Arial"/>
          <w:sz w:val="24"/>
        </w:rPr>
        <w:t>)。</w:t>
      </w:r>
    </w:p>
    <w:p w14:paraId="3DCA73F2">
      <w:pPr>
        <w:keepNext w:val="0"/>
        <w:keepLines w:val="0"/>
        <w:pageBreakBefore w:val="0"/>
        <w:widowControl w:val="0"/>
        <w:kinsoku/>
        <w:wordWrap/>
        <w:overflowPunct/>
        <w:topLinePunct w:val="0"/>
        <w:autoSpaceDE/>
        <w:autoSpaceDN/>
        <w:bidi w:val="0"/>
        <w:adjustRightInd/>
        <w:snapToGrid w:val="0"/>
        <w:spacing w:line="360" w:lineRule="auto"/>
        <w:rPr>
          <w:rFonts w:hint="eastAsia" w:ascii="宋体" w:hAnsi="宋体" w:cs="Arial"/>
          <w:b/>
          <w:bCs/>
          <w:sz w:val="24"/>
        </w:rPr>
      </w:pPr>
      <w:r>
        <w:rPr>
          <w:rFonts w:hint="eastAsia" w:ascii="宋体" w:hAnsi="宋体" w:cs="Arial"/>
          <w:b/>
          <w:bCs/>
          <w:sz w:val="24"/>
        </w:rPr>
        <w:t>九、投标确认</w:t>
      </w:r>
    </w:p>
    <w:p w14:paraId="188D1F49">
      <w:pPr>
        <w:keepNext w:val="0"/>
        <w:keepLines w:val="0"/>
        <w:pageBreakBefore w:val="0"/>
        <w:widowControl w:val="0"/>
        <w:kinsoku/>
        <w:wordWrap/>
        <w:overflowPunct/>
        <w:topLinePunct w:val="0"/>
        <w:autoSpaceDE/>
        <w:autoSpaceDN/>
        <w:bidi w:val="0"/>
        <w:adjustRightInd/>
        <w:snapToGrid w:val="0"/>
        <w:spacing w:line="360" w:lineRule="auto"/>
        <w:ind w:firstLine="241" w:firstLineChars="100"/>
        <w:rPr>
          <w:rFonts w:hint="eastAsia" w:ascii="宋体" w:hAnsi="宋体" w:cs="Arial"/>
          <w:b/>
          <w:bCs/>
          <w:sz w:val="24"/>
        </w:rPr>
      </w:pPr>
      <w:r>
        <w:rPr>
          <w:rFonts w:hint="eastAsia" w:ascii="宋体" w:hAnsi="宋体" w:cs="Arial"/>
          <w:b/>
          <w:bCs/>
          <w:sz w:val="24"/>
        </w:rPr>
        <w:t>1.投标人按投标确认函的要求（投标确认函样张附后）进行投标确认后方可参加投标，投标确认截止时间：2024年</w:t>
      </w:r>
      <w:r>
        <w:rPr>
          <w:rFonts w:hint="eastAsia" w:ascii="宋体" w:hAnsi="宋体" w:cs="Arial"/>
          <w:b/>
          <w:bCs/>
          <w:sz w:val="24"/>
          <w:lang w:val="en-US" w:eastAsia="zh-CN"/>
        </w:rPr>
        <w:t>10</w:t>
      </w:r>
      <w:r>
        <w:rPr>
          <w:rFonts w:hint="eastAsia" w:ascii="宋体" w:hAnsi="宋体" w:cs="Arial"/>
          <w:b/>
          <w:bCs/>
          <w:sz w:val="24"/>
        </w:rPr>
        <w:t>月</w:t>
      </w:r>
      <w:r>
        <w:rPr>
          <w:rFonts w:hint="eastAsia" w:ascii="宋体" w:hAnsi="宋体" w:cs="Arial"/>
          <w:b/>
          <w:bCs/>
          <w:sz w:val="24"/>
          <w:lang w:val="en-US" w:eastAsia="zh-CN"/>
        </w:rPr>
        <w:t>22</w:t>
      </w:r>
      <w:r>
        <w:rPr>
          <w:rFonts w:hint="eastAsia" w:ascii="宋体" w:hAnsi="宋体" w:cs="Arial"/>
          <w:b/>
          <w:bCs/>
          <w:sz w:val="24"/>
        </w:rPr>
        <w:t>日</w:t>
      </w:r>
      <w:r>
        <w:rPr>
          <w:rFonts w:hint="eastAsia" w:ascii="宋体" w:hAnsi="宋体" w:cs="Arial"/>
          <w:b/>
          <w:bCs/>
          <w:sz w:val="24"/>
          <w:lang w:val="en-US" w:eastAsia="zh-CN"/>
        </w:rPr>
        <w:t>16</w:t>
      </w:r>
      <w:r>
        <w:rPr>
          <w:rFonts w:hint="eastAsia" w:ascii="宋体" w:hAnsi="宋体" w:cs="Arial"/>
          <w:b/>
          <w:bCs/>
          <w:sz w:val="24"/>
        </w:rPr>
        <w:t>时</w:t>
      </w:r>
      <w:r>
        <w:rPr>
          <w:rFonts w:hint="eastAsia" w:ascii="宋体" w:hAnsi="宋体" w:cs="Arial"/>
          <w:b/>
          <w:bCs/>
          <w:sz w:val="24"/>
          <w:lang w:val="en-US" w:eastAsia="zh-CN"/>
        </w:rPr>
        <w:t>00</w:t>
      </w:r>
      <w:r>
        <w:rPr>
          <w:rFonts w:hint="eastAsia" w:ascii="宋体" w:hAnsi="宋体" w:cs="Arial"/>
          <w:b/>
          <w:bCs/>
          <w:sz w:val="24"/>
        </w:rPr>
        <w:t>分前。</w:t>
      </w:r>
    </w:p>
    <w:p w14:paraId="3180C808">
      <w:pPr>
        <w:keepNext w:val="0"/>
        <w:keepLines w:val="0"/>
        <w:pageBreakBefore w:val="0"/>
        <w:widowControl w:val="0"/>
        <w:kinsoku/>
        <w:wordWrap/>
        <w:overflowPunct/>
        <w:topLinePunct w:val="0"/>
        <w:autoSpaceDE/>
        <w:autoSpaceDN/>
        <w:bidi w:val="0"/>
        <w:adjustRightInd/>
        <w:snapToGrid w:val="0"/>
        <w:spacing w:line="360" w:lineRule="auto"/>
        <w:rPr>
          <w:rFonts w:hint="eastAsia" w:ascii="宋体" w:hAnsi="宋体" w:cs="Arial"/>
          <w:b/>
          <w:bCs/>
          <w:sz w:val="24"/>
        </w:rPr>
      </w:pPr>
      <w:r>
        <w:rPr>
          <w:rFonts w:hint="eastAsia" w:ascii="宋体" w:hAnsi="宋体" w:cs="Arial"/>
          <w:b/>
          <w:bCs/>
          <w:sz w:val="24"/>
        </w:rPr>
        <w:t>十、其他事项：</w:t>
      </w:r>
    </w:p>
    <w:p w14:paraId="1F0546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ascii="宋体" w:hAnsi="宋体" w:cs="Arial"/>
          <w:sz w:val="24"/>
        </w:rPr>
      </w:pPr>
      <w:r>
        <w:rPr>
          <w:rFonts w:hint="eastAsia" w:ascii="宋体" w:hAnsi="宋体" w:cs="Arial"/>
          <w:sz w:val="24"/>
        </w:rPr>
        <w:t>为确保招投标活动的公开、公平、公正，切实维护各方合法权益，凡在招标投标、开标评标过程中，受到敲诈、勒索或发现围标串标、虚假投标、恶意竞标等涉黑涉恶线索者，请及时保留相关证据并向有关部门举报。举报电话：</w:t>
      </w:r>
    </w:p>
    <w:p w14:paraId="10E492D6">
      <w:pPr>
        <w:keepNext w:val="0"/>
        <w:keepLines w:val="0"/>
        <w:pageBreakBefore w:val="0"/>
        <w:widowControl w:val="0"/>
        <w:kinsoku/>
        <w:wordWrap/>
        <w:overflowPunct/>
        <w:topLinePunct w:val="0"/>
        <w:autoSpaceDE/>
        <w:autoSpaceDN/>
        <w:bidi w:val="0"/>
        <w:adjustRightInd/>
        <w:snapToGrid w:val="0"/>
        <w:spacing w:line="360" w:lineRule="auto"/>
        <w:ind w:firstLine="360" w:firstLineChars="150"/>
        <w:rPr>
          <w:rFonts w:hint="eastAsia" w:ascii="宋体" w:hAnsi="宋体" w:cs="Arial"/>
          <w:sz w:val="24"/>
        </w:rPr>
      </w:pPr>
      <w:r>
        <w:rPr>
          <w:rFonts w:hint="eastAsia" w:ascii="宋体" w:hAnsi="宋体" w:cs="Arial"/>
          <w:sz w:val="24"/>
        </w:rPr>
        <w:t>市扫黑办：0579-86655381               市公安局：110、0579-86096000</w:t>
      </w:r>
    </w:p>
    <w:p w14:paraId="0150FEBA">
      <w:pPr>
        <w:keepNext w:val="0"/>
        <w:keepLines w:val="0"/>
        <w:pageBreakBefore w:val="0"/>
        <w:widowControl w:val="0"/>
        <w:kinsoku/>
        <w:wordWrap/>
        <w:overflowPunct/>
        <w:topLinePunct w:val="0"/>
        <w:autoSpaceDE/>
        <w:autoSpaceDN/>
        <w:bidi w:val="0"/>
        <w:adjustRightInd/>
        <w:snapToGrid w:val="0"/>
        <w:spacing w:line="360" w:lineRule="auto"/>
        <w:ind w:firstLine="360" w:firstLineChars="150"/>
        <w:rPr>
          <w:rFonts w:hint="eastAsia" w:ascii="宋体" w:hAnsi="宋体" w:cs="Arial"/>
          <w:sz w:val="24"/>
        </w:rPr>
      </w:pPr>
      <w:r>
        <w:rPr>
          <w:rFonts w:hint="eastAsia" w:ascii="宋体" w:hAnsi="宋体" w:cs="Arial"/>
          <w:sz w:val="24"/>
        </w:rPr>
        <w:t>市检察院: 0579-86642000               市 法 院：0579-86620148</w:t>
      </w:r>
    </w:p>
    <w:p w14:paraId="0E7F30CA">
      <w:pPr>
        <w:keepNext w:val="0"/>
        <w:keepLines w:val="0"/>
        <w:pageBreakBefore w:val="0"/>
        <w:widowControl w:val="0"/>
        <w:kinsoku/>
        <w:wordWrap/>
        <w:overflowPunct/>
        <w:topLinePunct w:val="0"/>
        <w:autoSpaceDE/>
        <w:autoSpaceDN/>
        <w:bidi w:val="0"/>
        <w:adjustRightInd/>
        <w:snapToGrid w:val="0"/>
        <w:spacing w:line="360" w:lineRule="auto"/>
        <w:ind w:firstLine="360" w:firstLineChars="150"/>
        <w:rPr>
          <w:rFonts w:hint="eastAsia" w:ascii="宋体" w:hAnsi="宋体" w:cs="Arial"/>
          <w:sz w:val="24"/>
        </w:rPr>
      </w:pPr>
      <w:r>
        <w:rPr>
          <w:rFonts w:hint="eastAsia" w:ascii="宋体" w:hAnsi="宋体" w:cs="Arial"/>
          <w:sz w:val="24"/>
        </w:rPr>
        <w:t xml:space="preserve">市公共资源办:0579-86691835            市公共资源交易中心:0579-86691729 </w:t>
      </w:r>
    </w:p>
    <w:p w14:paraId="27E1A5FE">
      <w:pPr>
        <w:keepNext w:val="0"/>
        <w:keepLines w:val="0"/>
        <w:pageBreakBefore w:val="0"/>
        <w:widowControl w:val="0"/>
        <w:kinsoku/>
        <w:wordWrap/>
        <w:overflowPunct/>
        <w:topLinePunct w:val="0"/>
        <w:autoSpaceDE/>
        <w:autoSpaceDN/>
        <w:bidi w:val="0"/>
        <w:adjustRightInd/>
        <w:snapToGrid w:val="0"/>
        <w:spacing w:line="360" w:lineRule="auto"/>
        <w:rPr>
          <w:rFonts w:hint="eastAsia" w:ascii="宋体" w:hAnsi="宋体" w:cs="Arial"/>
          <w:b/>
          <w:bCs/>
          <w:sz w:val="24"/>
        </w:rPr>
      </w:pPr>
      <w:r>
        <w:rPr>
          <w:rFonts w:hint="eastAsia" w:ascii="宋体" w:hAnsi="宋体" w:cs="Arial"/>
          <w:b/>
          <w:bCs/>
          <w:sz w:val="24"/>
        </w:rPr>
        <w:t>十一、对本次采购提出询问、质疑、投诉，请按以下方式联系：</w:t>
      </w:r>
    </w:p>
    <w:p w14:paraId="7355C1B9">
      <w:pPr>
        <w:keepNext w:val="0"/>
        <w:keepLines w:val="0"/>
        <w:pageBreakBefore w:val="0"/>
        <w:widowControl w:val="0"/>
        <w:kinsoku/>
        <w:wordWrap/>
        <w:overflowPunct/>
        <w:topLinePunct w:val="0"/>
        <w:autoSpaceDE/>
        <w:autoSpaceDN/>
        <w:bidi w:val="0"/>
        <w:adjustRightInd/>
        <w:spacing w:line="360" w:lineRule="auto"/>
        <w:ind w:firstLine="723" w:firstLineChars="300"/>
        <w:rPr>
          <w:rFonts w:hint="eastAsia" w:ascii="宋体" w:hAnsi="宋体" w:cs="宋体"/>
          <w:b/>
          <w:bCs/>
          <w:sz w:val="24"/>
        </w:rPr>
      </w:pPr>
      <w:r>
        <w:rPr>
          <w:rFonts w:hint="eastAsia" w:ascii="宋体" w:hAnsi="宋体" w:cs="宋体"/>
          <w:b/>
          <w:bCs/>
          <w:sz w:val="24"/>
        </w:rPr>
        <w:t xml:space="preserve">1.采购人信息  </w:t>
      </w:r>
    </w:p>
    <w:p w14:paraId="029DDC6F">
      <w:pPr>
        <w:keepNext w:val="0"/>
        <w:keepLines w:val="0"/>
        <w:pageBreakBefore w:val="0"/>
        <w:widowControl w:val="0"/>
        <w:kinsoku/>
        <w:wordWrap/>
        <w:overflowPunct/>
        <w:topLinePunct w:val="0"/>
        <w:autoSpaceDE/>
        <w:autoSpaceDN/>
        <w:bidi w:val="0"/>
        <w:adjustRightInd/>
        <w:snapToGrid w:val="0"/>
        <w:spacing w:line="360" w:lineRule="auto"/>
        <w:ind w:firstLine="840" w:firstLineChars="350"/>
        <w:rPr>
          <w:rFonts w:hint="eastAsia" w:ascii="宋体" w:hAnsi="宋体" w:cs="Arial"/>
          <w:sz w:val="24"/>
          <w:lang w:eastAsia="zh-CN"/>
        </w:rPr>
      </w:pPr>
      <w:bookmarkStart w:id="3" w:name="_Toc28359086"/>
      <w:bookmarkStart w:id="4" w:name="_Toc28359009"/>
      <w:r>
        <w:rPr>
          <w:rFonts w:hint="eastAsia" w:ascii="宋体" w:hAnsi="宋体" w:cs="Arial"/>
          <w:sz w:val="24"/>
        </w:rPr>
        <w:t>采购人名称：</w:t>
      </w:r>
      <w:r>
        <w:rPr>
          <w:rFonts w:hint="eastAsia" w:ascii="宋体" w:hAnsi="宋体" w:cs="Arial"/>
          <w:sz w:val="24"/>
          <w:lang w:eastAsia="zh-CN"/>
        </w:rPr>
        <w:t>东阳市保安服务有限公司</w:t>
      </w:r>
      <w:r>
        <w:rPr>
          <w:rFonts w:hint="eastAsia" w:ascii="宋体" w:hAnsi="宋体" w:cs="Arial"/>
          <w:sz w:val="24"/>
        </w:rPr>
        <w:t xml:space="preserve"> </w:t>
      </w:r>
    </w:p>
    <w:p w14:paraId="780902A7">
      <w:pPr>
        <w:keepNext w:val="0"/>
        <w:keepLines w:val="0"/>
        <w:pageBreakBefore w:val="0"/>
        <w:widowControl w:val="0"/>
        <w:kinsoku/>
        <w:wordWrap/>
        <w:overflowPunct/>
        <w:topLinePunct w:val="0"/>
        <w:autoSpaceDE/>
        <w:autoSpaceDN/>
        <w:bidi w:val="0"/>
        <w:adjustRightInd/>
        <w:snapToGrid w:val="0"/>
        <w:spacing w:line="360" w:lineRule="auto"/>
        <w:ind w:firstLine="840" w:firstLineChars="350"/>
        <w:rPr>
          <w:rFonts w:hint="eastAsia" w:ascii="宋体" w:hAnsi="宋体" w:cs="Arial"/>
          <w:sz w:val="24"/>
          <w:lang w:val="en-US" w:eastAsia="zh-CN"/>
        </w:rPr>
      </w:pPr>
      <w:r>
        <w:rPr>
          <w:rFonts w:hint="eastAsia" w:ascii="宋体" w:hAnsi="宋体" w:cs="Arial"/>
          <w:sz w:val="24"/>
        </w:rPr>
        <w:t>地址：</w:t>
      </w:r>
      <w:r>
        <w:rPr>
          <w:rFonts w:hint="eastAsia" w:ascii="宋体" w:hAnsi="宋体" w:cs="Arial"/>
          <w:sz w:val="24"/>
          <w:lang w:val="en-US" w:eastAsia="zh-CN"/>
        </w:rPr>
        <w:t xml:space="preserve"> 浙江东阳市人民路94号2-6号</w:t>
      </w:r>
    </w:p>
    <w:p w14:paraId="1B134ED5">
      <w:pPr>
        <w:keepNext w:val="0"/>
        <w:keepLines w:val="0"/>
        <w:pageBreakBefore w:val="0"/>
        <w:widowControl w:val="0"/>
        <w:kinsoku/>
        <w:wordWrap/>
        <w:overflowPunct/>
        <w:topLinePunct w:val="0"/>
        <w:autoSpaceDE/>
        <w:autoSpaceDN/>
        <w:bidi w:val="0"/>
        <w:adjustRightInd/>
        <w:snapToGrid w:val="0"/>
        <w:spacing w:line="360" w:lineRule="auto"/>
        <w:ind w:firstLine="840" w:firstLineChars="350"/>
        <w:rPr>
          <w:rFonts w:hint="eastAsia" w:ascii="宋体" w:hAnsi="宋体" w:cs="Arial"/>
          <w:sz w:val="24"/>
          <w:lang w:val="en-US" w:eastAsia="zh-CN"/>
        </w:rPr>
      </w:pPr>
      <w:r>
        <w:rPr>
          <w:rFonts w:hint="eastAsia" w:ascii="宋体" w:hAnsi="宋体" w:cs="Arial"/>
          <w:sz w:val="24"/>
        </w:rPr>
        <w:t>联系人（询问）：陆震哲</w:t>
      </w:r>
      <w:r>
        <w:rPr>
          <w:rFonts w:hint="eastAsia" w:ascii="宋体" w:hAnsi="宋体" w:cs="Arial"/>
          <w:sz w:val="24"/>
          <w:lang w:val="en-US" w:eastAsia="zh-CN"/>
        </w:rPr>
        <w:t xml:space="preserve"> </w:t>
      </w:r>
      <w:r>
        <w:rPr>
          <w:rFonts w:hint="eastAsia" w:ascii="宋体" w:hAnsi="宋体" w:cs="Arial"/>
          <w:sz w:val="24"/>
        </w:rPr>
        <w:t xml:space="preserve">  </w:t>
      </w:r>
      <w:r>
        <w:rPr>
          <w:rFonts w:hint="eastAsia" w:ascii="宋体" w:hAnsi="宋体" w:cs="Arial"/>
          <w:sz w:val="24"/>
          <w:lang w:val="en-US" w:eastAsia="zh-CN"/>
        </w:rPr>
        <w:t xml:space="preserve">         </w:t>
      </w:r>
      <w:r>
        <w:rPr>
          <w:rFonts w:hint="eastAsia" w:ascii="宋体" w:hAnsi="宋体" w:cs="Arial"/>
          <w:sz w:val="24"/>
        </w:rPr>
        <w:t>项目联系方式（询问）：</w:t>
      </w:r>
      <w:r>
        <w:rPr>
          <w:rFonts w:hint="eastAsia" w:ascii="宋体" w:hAnsi="宋体" w:cs="Arial"/>
          <w:sz w:val="24"/>
          <w:lang w:val="en-US" w:eastAsia="zh-CN"/>
        </w:rPr>
        <w:t xml:space="preserve">0579-86015866  </w:t>
      </w:r>
    </w:p>
    <w:p w14:paraId="2122EB47">
      <w:pPr>
        <w:keepNext w:val="0"/>
        <w:keepLines w:val="0"/>
        <w:pageBreakBefore w:val="0"/>
        <w:widowControl w:val="0"/>
        <w:kinsoku/>
        <w:wordWrap/>
        <w:overflowPunct/>
        <w:topLinePunct w:val="0"/>
        <w:autoSpaceDE/>
        <w:autoSpaceDN/>
        <w:bidi w:val="0"/>
        <w:adjustRightInd/>
        <w:snapToGrid w:val="0"/>
        <w:spacing w:line="360" w:lineRule="auto"/>
        <w:ind w:firstLine="840" w:firstLineChars="350"/>
        <w:rPr>
          <w:rFonts w:hint="eastAsia" w:ascii="宋体" w:hAnsi="宋体" w:cs="Arial"/>
          <w:sz w:val="24"/>
          <w:lang w:val="en-US" w:eastAsia="zh-CN"/>
        </w:rPr>
      </w:pPr>
      <w:r>
        <w:rPr>
          <w:rFonts w:hint="eastAsia" w:ascii="宋体" w:hAnsi="宋体" w:cs="Arial"/>
          <w:sz w:val="24"/>
        </w:rPr>
        <w:t>质疑联系人：</w:t>
      </w:r>
      <w:r>
        <w:rPr>
          <w:rFonts w:hint="eastAsia" w:ascii="宋体" w:hAnsi="宋体" w:cs="Arial"/>
          <w:sz w:val="24"/>
          <w:lang w:val="en-US" w:eastAsia="zh-CN"/>
        </w:rPr>
        <w:t xml:space="preserve"> 马中平</w:t>
      </w:r>
      <w:r>
        <w:rPr>
          <w:rFonts w:hint="eastAsia" w:ascii="宋体" w:hAnsi="宋体" w:cs="Arial"/>
          <w:sz w:val="24"/>
        </w:rPr>
        <w:t xml:space="preserve">        </w:t>
      </w:r>
      <w:r>
        <w:rPr>
          <w:rFonts w:hint="eastAsia" w:ascii="宋体" w:hAnsi="宋体" w:cs="Arial"/>
          <w:sz w:val="24"/>
          <w:lang w:val="en-US" w:eastAsia="zh-CN"/>
        </w:rPr>
        <w:t xml:space="preserve">   </w:t>
      </w:r>
      <w:r>
        <w:rPr>
          <w:rFonts w:hint="eastAsia" w:ascii="宋体" w:hAnsi="宋体" w:cs="Arial"/>
          <w:sz w:val="24"/>
        </w:rPr>
        <w:t xml:space="preserve">   质疑联系方式：</w:t>
      </w:r>
      <w:r>
        <w:rPr>
          <w:rFonts w:hint="eastAsia" w:ascii="宋体" w:hAnsi="宋体" w:cs="Arial"/>
          <w:sz w:val="24"/>
          <w:lang w:val="en-US" w:eastAsia="zh-CN"/>
        </w:rPr>
        <w:t>0579-86011886</w:t>
      </w:r>
    </w:p>
    <w:p w14:paraId="20E90630">
      <w:pPr>
        <w:keepNext w:val="0"/>
        <w:keepLines w:val="0"/>
        <w:pageBreakBefore w:val="0"/>
        <w:widowControl w:val="0"/>
        <w:kinsoku/>
        <w:wordWrap/>
        <w:overflowPunct/>
        <w:topLinePunct w:val="0"/>
        <w:autoSpaceDE/>
        <w:autoSpaceDN/>
        <w:bidi w:val="0"/>
        <w:adjustRightInd/>
        <w:spacing w:line="360" w:lineRule="auto"/>
        <w:ind w:firstLine="723" w:firstLineChars="300"/>
        <w:rPr>
          <w:rFonts w:hint="eastAsia" w:ascii="宋体" w:hAnsi="宋体" w:cs="宋体"/>
          <w:b/>
          <w:bCs/>
          <w:sz w:val="24"/>
        </w:rPr>
      </w:pPr>
      <w:r>
        <w:rPr>
          <w:rFonts w:hint="eastAsia" w:ascii="宋体" w:hAnsi="宋体" w:cs="宋体"/>
          <w:b/>
          <w:bCs/>
          <w:sz w:val="24"/>
        </w:rPr>
        <w:t>2.采购代理机构</w:t>
      </w:r>
      <w:bookmarkEnd w:id="3"/>
      <w:bookmarkEnd w:id="4"/>
      <w:r>
        <w:rPr>
          <w:rFonts w:hint="eastAsia" w:ascii="宋体" w:hAnsi="宋体" w:cs="宋体"/>
          <w:b/>
          <w:bCs/>
          <w:sz w:val="24"/>
        </w:rPr>
        <w:t>信息</w:t>
      </w:r>
    </w:p>
    <w:p w14:paraId="76EB2FD7">
      <w:pPr>
        <w:keepNext w:val="0"/>
        <w:keepLines w:val="0"/>
        <w:pageBreakBefore w:val="0"/>
        <w:widowControl w:val="0"/>
        <w:kinsoku/>
        <w:wordWrap/>
        <w:overflowPunct/>
        <w:topLinePunct w:val="0"/>
        <w:autoSpaceDE/>
        <w:autoSpaceDN/>
        <w:bidi w:val="0"/>
        <w:adjustRightInd/>
        <w:spacing w:line="360" w:lineRule="auto"/>
        <w:ind w:firstLine="720" w:firstLineChars="300"/>
        <w:rPr>
          <w:rFonts w:hint="eastAsia" w:ascii="宋体" w:hAnsi="宋体" w:cs="宋体"/>
          <w:sz w:val="24"/>
        </w:rPr>
      </w:pPr>
      <w:r>
        <w:rPr>
          <w:rFonts w:hint="eastAsia" w:ascii="宋体" w:hAnsi="宋体" w:cs="宋体"/>
          <w:sz w:val="24"/>
        </w:rPr>
        <w:t xml:space="preserve">名 称：东阳市鑫盛工程咨询有限公司 </w:t>
      </w:r>
    </w:p>
    <w:p w14:paraId="71DFDE5E">
      <w:pPr>
        <w:keepNext w:val="0"/>
        <w:keepLines w:val="0"/>
        <w:pageBreakBefore w:val="0"/>
        <w:widowControl w:val="0"/>
        <w:kinsoku/>
        <w:wordWrap/>
        <w:overflowPunct/>
        <w:topLinePunct w:val="0"/>
        <w:autoSpaceDE/>
        <w:autoSpaceDN/>
        <w:bidi w:val="0"/>
        <w:adjustRightInd/>
        <w:spacing w:line="360" w:lineRule="auto"/>
        <w:ind w:firstLine="720" w:firstLineChars="300"/>
        <w:rPr>
          <w:rFonts w:hint="eastAsia" w:ascii="宋体" w:hAnsi="宋体" w:cs="宋体"/>
          <w:sz w:val="24"/>
        </w:rPr>
      </w:pPr>
      <w:r>
        <w:rPr>
          <w:rFonts w:hint="eastAsia" w:ascii="宋体" w:hAnsi="宋体" w:cs="宋体"/>
          <w:sz w:val="24"/>
        </w:rPr>
        <w:t xml:space="preserve">地 址：东阳市白云街道八华南路63号        </w:t>
      </w:r>
      <w:r>
        <w:rPr>
          <w:rFonts w:hint="eastAsia" w:ascii="宋体" w:hAnsi="宋体" w:cs="宋体"/>
          <w:sz w:val="24"/>
          <w:lang w:val="en-US" w:eastAsia="zh-CN"/>
        </w:rPr>
        <w:t xml:space="preserve"> </w:t>
      </w:r>
      <w:r>
        <w:rPr>
          <w:rFonts w:hint="eastAsia" w:ascii="宋体" w:hAnsi="宋体" w:cs="宋体"/>
          <w:sz w:val="24"/>
        </w:rPr>
        <w:t>传真电话：0579-86633123</w:t>
      </w:r>
    </w:p>
    <w:p w14:paraId="578821B0">
      <w:pPr>
        <w:keepNext w:val="0"/>
        <w:keepLines w:val="0"/>
        <w:pageBreakBefore w:val="0"/>
        <w:widowControl w:val="0"/>
        <w:kinsoku/>
        <w:wordWrap/>
        <w:overflowPunct/>
        <w:topLinePunct w:val="0"/>
        <w:autoSpaceDE/>
        <w:autoSpaceDN/>
        <w:bidi w:val="0"/>
        <w:adjustRightInd/>
        <w:spacing w:line="360" w:lineRule="auto"/>
        <w:ind w:left="958" w:leftChars="342" w:hanging="240" w:hangingChars="100"/>
        <w:rPr>
          <w:rFonts w:hint="eastAsia" w:ascii="宋体" w:hAnsi="宋体" w:cs="宋体"/>
          <w:sz w:val="24"/>
        </w:rPr>
      </w:pPr>
      <w:r>
        <w:rPr>
          <w:rFonts w:hint="eastAsia" w:ascii="宋体" w:hAnsi="宋体" w:cs="宋体"/>
          <w:sz w:val="24"/>
        </w:rPr>
        <w:t>项目联系人（询问）：</w:t>
      </w:r>
      <w:r>
        <w:rPr>
          <w:rFonts w:hint="eastAsia" w:ascii="宋体" w:hAnsi="宋体" w:cs="宋体"/>
          <w:sz w:val="24"/>
          <w:lang w:eastAsia="zh-CN"/>
        </w:rPr>
        <w:t>卢佳美</w:t>
      </w:r>
      <w:r>
        <w:rPr>
          <w:rFonts w:hint="eastAsia" w:ascii="宋体" w:hAnsi="宋体" w:cs="宋体"/>
          <w:sz w:val="24"/>
        </w:rPr>
        <w:t xml:space="preserve">     项目联系方式（询问）：0579-86683133</w:t>
      </w:r>
    </w:p>
    <w:p w14:paraId="75490266">
      <w:pPr>
        <w:keepNext w:val="0"/>
        <w:keepLines w:val="0"/>
        <w:pageBreakBefore w:val="0"/>
        <w:widowControl w:val="0"/>
        <w:kinsoku/>
        <w:wordWrap/>
        <w:overflowPunct/>
        <w:topLinePunct w:val="0"/>
        <w:autoSpaceDE/>
        <w:autoSpaceDN/>
        <w:bidi w:val="0"/>
        <w:adjustRightInd/>
        <w:spacing w:line="360" w:lineRule="auto"/>
        <w:ind w:left="958" w:leftChars="342" w:hanging="240" w:hangingChars="100"/>
        <w:rPr>
          <w:rFonts w:ascii="宋体" w:hAnsi="宋体" w:cs="宋体"/>
          <w:sz w:val="24"/>
        </w:rPr>
      </w:pPr>
      <w:r>
        <w:rPr>
          <w:rFonts w:hint="eastAsia" w:ascii="宋体" w:hAnsi="宋体" w:cs="宋体"/>
          <w:sz w:val="24"/>
        </w:rPr>
        <w:t>质疑联系人：胡丹春             质疑联系方式：</w:t>
      </w:r>
      <w:bookmarkStart w:id="5" w:name="_Toc28359010"/>
      <w:bookmarkStart w:id="6" w:name="_Toc28359087"/>
      <w:r>
        <w:rPr>
          <w:rFonts w:hint="eastAsia" w:ascii="宋体" w:hAnsi="宋体" w:cs="宋体"/>
          <w:sz w:val="24"/>
        </w:rPr>
        <w:t>0579-</w:t>
      </w:r>
      <w:r>
        <w:rPr>
          <w:rFonts w:hint="eastAsia" w:ascii="宋体" w:hAnsi="宋体" w:cs="宋体"/>
          <w:color w:val="auto"/>
          <w:sz w:val="24"/>
          <w:highlight w:val="none"/>
        </w:rPr>
        <w:t>86633123</w:t>
      </w:r>
    </w:p>
    <w:bookmarkEnd w:id="5"/>
    <w:bookmarkEnd w:id="6"/>
    <w:p w14:paraId="75073A6E">
      <w:pPr>
        <w:keepNext w:val="0"/>
        <w:keepLines w:val="0"/>
        <w:pageBreakBefore w:val="0"/>
        <w:widowControl w:val="0"/>
        <w:kinsoku/>
        <w:wordWrap/>
        <w:overflowPunct/>
        <w:topLinePunct w:val="0"/>
        <w:autoSpaceDE/>
        <w:autoSpaceDN/>
        <w:bidi w:val="0"/>
        <w:adjustRightInd/>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lang w:val="en-US" w:eastAsia="zh-CN"/>
        </w:rPr>
        <w:t>3.</w:t>
      </w:r>
      <w:r>
        <w:rPr>
          <w:rFonts w:hint="eastAsia" w:ascii="宋体" w:hAnsi="宋体" w:eastAsia="宋体" w:cs="宋体"/>
          <w:b/>
          <w:bCs/>
          <w:sz w:val="24"/>
        </w:rPr>
        <w:t>监管部门</w:t>
      </w:r>
    </w:p>
    <w:p w14:paraId="7FE314EF">
      <w:pPr>
        <w:keepNext w:val="0"/>
        <w:keepLines w:val="0"/>
        <w:pageBreakBefore w:val="0"/>
        <w:widowControl w:val="0"/>
        <w:kinsoku/>
        <w:wordWrap/>
        <w:overflowPunct/>
        <w:topLinePunct w:val="0"/>
        <w:autoSpaceDE/>
        <w:autoSpaceDN/>
        <w:bidi w:val="0"/>
        <w:adjustRightInd/>
        <w:spacing w:line="360" w:lineRule="auto"/>
        <w:ind w:firstLine="720" w:firstLineChars="300"/>
        <w:rPr>
          <w:rFonts w:hint="default" w:ascii="宋体" w:hAnsi="宋体" w:eastAsia="宋体" w:cs="宋体"/>
          <w:sz w:val="24"/>
          <w:lang w:val="en-US" w:eastAsia="zh-CN"/>
        </w:rPr>
      </w:pPr>
      <w:r>
        <w:rPr>
          <w:rFonts w:hint="eastAsia" w:ascii="宋体" w:hAnsi="宋体" w:eastAsia="宋体" w:cs="宋体"/>
          <w:sz w:val="24"/>
          <w:lang w:eastAsia="zh-CN"/>
        </w:rPr>
        <w:t>东阳市产业发展集团有限公司</w:t>
      </w: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联系电话：</w:t>
      </w:r>
      <w:r>
        <w:rPr>
          <w:rFonts w:hint="eastAsia" w:ascii="宋体" w:hAnsi="宋体" w:eastAsia="宋体" w:cs="宋体"/>
          <w:sz w:val="24"/>
          <w:lang w:val="en-US" w:eastAsia="zh-CN"/>
        </w:rPr>
        <w:t>0579-89302190</w:t>
      </w:r>
    </w:p>
    <w:p w14:paraId="04C74E6C">
      <w:pPr>
        <w:keepNext w:val="0"/>
        <w:keepLines w:val="0"/>
        <w:pageBreakBefore w:val="0"/>
        <w:widowControl w:val="0"/>
        <w:kinsoku/>
        <w:wordWrap/>
        <w:overflowPunct/>
        <w:topLinePunct w:val="0"/>
        <w:autoSpaceDE/>
        <w:autoSpaceDN/>
        <w:bidi w:val="0"/>
        <w:adjustRightInd/>
        <w:spacing w:line="360" w:lineRule="auto"/>
        <w:ind w:firstLine="720" w:firstLineChars="300"/>
        <w:rPr>
          <w:rFonts w:hint="eastAsia" w:ascii="宋体" w:hAnsi="宋体" w:eastAsia="宋体" w:cs="宋体"/>
          <w:sz w:val="24"/>
        </w:rPr>
      </w:pPr>
      <w:r>
        <w:rPr>
          <w:rFonts w:hint="eastAsia" w:ascii="宋体" w:hAnsi="宋体" w:eastAsia="宋体" w:cs="宋体"/>
          <w:sz w:val="24"/>
        </w:rPr>
        <w:t>东阳市人民政府国有资产监督管理办公室   联系电话：0579-86662632</w:t>
      </w:r>
    </w:p>
    <w:p w14:paraId="690A2AB6">
      <w:pPr>
        <w:keepNext w:val="0"/>
        <w:keepLines w:val="0"/>
        <w:pageBreakBefore w:val="0"/>
        <w:widowControl w:val="0"/>
        <w:kinsoku/>
        <w:wordWrap/>
        <w:overflowPunct/>
        <w:topLinePunct w:val="0"/>
        <w:autoSpaceDE/>
        <w:autoSpaceDN/>
        <w:bidi w:val="0"/>
        <w:adjustRightInd/>
        <w:snapToGrid w:val="0"/>
        <w:spacing w:line="360" w:lineRule="auto"/>
        <w:ind w:left="1445" w:leftChars="229" w:hanging="964" w:hangingChars="400"/>
        <w:rPr>
          <w:rFonts w:hint="eastAsia"/>
        </w:rPr>
      </w:pPr>
      <w:r>
        <w:rPr>
          <w:rFonts w:hint="eastAsia" w:ascii="宋体" w:hAnsi="宋体" w:cs="Arial"/>
          <w:b/>
          <w:sz w:val="24"/>
        </w:rPr>
        <w:t>附件：</w:t>
      </w:r>
      <w:r>
        <w:rPr>
          <w:rFonts w:hint="eastAsia" w:hAnsi="宋体"/>
          <w:b/>
          <w:bCs/>
          <w:sz w:val="24"/>
          <w:lang w:eastAsia="zh-CN"/>
        </w:rPr>
        <w:t>东阳市白云、南马应急救援中心项目厨房设备、电器设备、家具采购项目</w:t>
      </w:r>
      <w:r>
        <w:rPr>
          <w:rFonts w:hint="eastAsia" w:hAnsi="宋体"/>
          <w:b/>
          <w:bCs/>
          <w:sz w:val="24"/>
          <w:lang w:val="en-US" w:eastAsia="zh-CN"/>
        </w:rPr>
        <w:t xml:space="preserve">    </w:t>
      </w:r>
      <w:r>
        <w:rPr>
          <w:rFonts w:hint="eastAsia" w:hAnsi="宋体"/>
          <w:b/>
          <w:bCs/>
          <w:sz w:val="24"/>
        </w:rPr>
        <w:t>招标文件</w:t>
      </w:r>
    </w:p>
    <w:p w14:paraId="74BE2B9A">
      <w:pPr>
        <w:keepNext w:val="0"/>
        <w:keepLines w:val="0"/>
        <w:pageBreakBefore w:val="0"/>
        <w:widowControl w:val="0"/>
        <w:kinsoku/>
        <w:wordWrap/>
        <w:overflowPunct/>
        <w:topLinePunct w:val="0"/>
        <w:autoSpaceDE/>
        <w:autoSpaceDN/>
        <w:bidi w:val="0"/>
        <w:adjustRightInd/>
        <w:spacing w:line="360" w:lineRule="auto"/>
        <w:rPr>
          <w:rFonts w:hint="eastAsia"/>
        </w:rPr>
      </w:pPr>
    </w:p>
    <w:p w14:paraId="572DC3BD">
      <w:pPr>
        <w:keepNext w:val="0"/>
        <w:keepLines w:val="0"/>
        <w:pageBreakBefore w:val="0"/>
        <w:widowControl w:val="0"/>
        <w:kinsoku/>
        <w:wordWrap/>
        <w:overflowPunct/>
        <w:topLinePunct w:val="0"/>
        <w:autoSpaceDE/>
        <w:autoSpaceDN/>
        <w:bidi w:val="0"/>
        <w:adjustRightInd/>
        <w:snapToGrid w:val="0"/>
        <w:spacing w:line="360" w:lineRule="auto"/>
        <w:jc w:val="left"/>
        <w:rPr>
          <w:rFonts w:hint="eastAsia" w:hAnsi="宋体"/>
          <w:bCs/>
          <w:sz w:val="24"/>
          <w:lang w:eastAsia="zh-CN"/>
        </w:rPr>
      </w:pPr>
      <w:r>
        <w:rPr>
          <w:rFonts w:hint="eastAsia" w:ascii="宋体" w:hAnsi="宋体" w:cs="Arial"/>
          <w:b/>
          <w:sz w:val="24"/>
        </w:rPr>
        <w:t xml:space="preserve">                       </w:t>
      </w:r>
      <w:r>
        <w:rPr>
          <w:rFonts w:ascii="宋体" w:hAnsi="宋体" w:cs="Arial"/>
          <w:b/>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hAnsi="宋体"/>
          <w:bCs/>
          <w:sz w:val="24"/>
          <w:lang w:eastAsia="zh-CN"/>
        </w:rPr>
        <w:t>东阳市保安服务有限公司</w:t>
      </w:r>
    </w:p>
    <w:p w14:paraId="5071AB53">
      <w:pPr>
        <w:keepNext w:val="0"/>
        <w:keepLines w:val="0"/>
        <w:pageBreakBefore w:val="0"/>
        <w:widowControl w:val="0"/>
        <w:kinsoku/>
        <w:wordWrap/>
        <w:overflowPunct/>
        <w:topLinePunct w:val="0"/>
        <w:autoSpaceDE/>
        <w:autoSpaceDN/>
        <w:bidi w:val="0"/>
        <w:adjustRightInd/>
        <w:snapToGrid w:val="0"/>
        <w:spacing w:line="360" w:lineRule="auto"/>
        <w:ind w:firstLine="5280" w:firstLineChars="2200"/>
        <w:jc w:val="left"/>
        <w:rPr>
          <w:rFonts w:hint="eastAsia" w:ascii="宋体" w:hAnsi="宋体"/>
          <w:sz w:val="24"/>
        </w:rPr>
      </w:pPr>
      <w:r>
        <w:rPr>
          <w:rFonts w:hint="eastAsia" w:ascii="宋体" w:hAnsi="宋体"/>
          <w:sz w:val="24"/>
        </w:rPr>
        <w:t>东阳市鑫盛工程咨询有限公司</w:t>
      </w:r>
    </w:p>
    <w:p w14:paraId="7DDCA9AE">
      <w:pPr>
        <w:keepNext w:val="0"/>
        <w:keepLines w:val="0"/>
        <w:pageBreakBefore w:val="0"/>
        <w:widowControl w:val="0"/>
        <w:kinsoku/>
        <w:wordWrap/>
        <w:overflowPunct/>
        <w:topLinePunct w:val="0"/>
        <w:autoSpaceDE/>
        <w:autoSpaceDN/>
        <w:bidi w:val="0"/>
        <w:adjustRightInd/>
        <w:snapToGrid w:val="0"/>
        <w:spacing w:line="360" w:lineRule="auto"/>
        <w:ind w:firstLine="420"/>
        <w:jc w:val="center"/>
        <w:rPr>
          <w:rFonts w:hint="eastAsia" w:ascii="宋体" w:hAnsi="宋体"/>
          <w:sz w:val="24"/>
        </w:rPr>
      </w:pPr>
      <w:r>
        <w:rPr>
          <w:rFonts w:hint="eastAsia" w:ascii="宋体" w:hAnsi="宋体"/>
          <w:sz w:val="24"/>
        </w:rPr>
        <w:t xml:space="preserve">                                          2024年</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30</w:t>
      </w:r>
      <w:r>
        <w:rPr>
          <w:rFonts w:hint="eastAsia" w:ascii="宋体" w:hAnsi="宋体"/>
          <w:sz w:val="24"/>
        </w:rPr>
        <w:t>日</w:t>
      </w:r>
    </w:p>
    <w:p w14:paraId="3C156E59">
      <w:pPr>
        <w:pageBreakBefore/>
        <w:rPr>
          <w:rFonts w:hint="eastAsia" w:ascii="黑体" w:eastAsia="黑体"/>
          <w:sz w:val="28"/>
          <w:szCs w:val="28"/>
        </w:rPr>
      </w:pPr>
      <w:r>
        <w:rPr>
          <w:rFonts w:hint="eastAsia" w:ascii="黑体" w:eastAsia="黑体"/>
          <w:sz w:val="28"/>
          <w:szCs w:val="28"/>
        </w:rPr>
        <w:t xml:space="preserve">附：                   </w:t>
      </w:r>
    </w:p>
    <w:p w14:paraId="23A7CCDF">
      <w:pPr>
        <w:jc w:val="center"/>
        <w:rPr>
          <w:rFonts w:hint="eastAsia" w:ascii="宋体" w:hAnsi="宋体"/>
          <w:b/>
          <w:sz w:val="48"/>
          <w:szCs w:val="48"/>
        </w:rPr>
      </w:pPr>
      <w:r>
        <w:rPr>
          <w:rFonts w:hint="eastAsia" w:ascii="宋体" w:hAnsi="宋体"/>
          <w:b/>
          <w:sz w:val="36"/>
          <w:szCs w:val="36"/>
        </w:rPr>
        <w:t>投 标 确 认 函</w:t>
      </w:r>
    </w:p>
    <w:p w14:paraId="6E883B68">
      <w:pPr>
        <w:spacing w:line="500" w:lineRule="exact"/>
        <w:rPr>
          <w:rFonts w:hint="eastAsia" w:ascii="宋体" w:hAnsi="宋体"/>
          <w:b/>
          <w:bCs/>
          <w:sz w:val="28"/>
          <w:szCs w:val="28"/>
        </w:rPr>
      </w:pPr>
      <w:r>
        <w:rPr>
          <w:rFonts w:hint="eastAsia" w:ascii="宋体" w:hAnsi="宋体"/>
          <w:bCs/>
          <w:sz w:val="28"/>
          <w:szCs w:val="28"/>
          <w:u w:val="single"/>
        </w:rPr>
        <w:t>东阳市鑫盛工程咨询有限公司：</w:t>
      </w:r>
    </w:p>
    <w:p w14:paraId="342030B2">
      <w:pPr>
        <w:spacing w:line="500" w:lineRule="exact"/>
        <w:ind w:firstLine="560" w:firstLineChars="200"/>
        <w:rPr>
          <w:rFonts w:hint="eastAsia" w:ascii="宋体" w:hAnsi="宋体" w:cs="宋体"/>
          <w:color w:val="auto"/>
          <w:sz w:val="28"/>
          <w:szCs w:val="28"/>
          <w:highlight w:val="none"/>
          <w:u w:val="single"/>
        </w:rPr>
      </w:pPr>
      <w:r>
        <w:rPr>
          <w:rFonts w:hint="eastAsia" w:ascii="宋体" w:hAnsi="宋体"/>
          <w:sz w:val="28"/>
          <w:szCs w:val="28"/>
        </w:rPr>
        <w:t>关于贵方2024年</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30</w:t>
      </w:r>
      <w:r>
        <w:rPr>
          <w:rFonts w:hint="eastAsia" w:ascii="宋体" w:hAnsi="宋体"/>
          <w:sz w:val="28"/>
          <w:szCs w:val="28"/>
        </w:rPr>
        <w:t>日发布的</w:t>
      </w:r>
      <w:r>
        <w:rPr>
          <w:rFonts w:hint="eastAsia" w:hAnsi="宋体"/>
          <w:bCs/>
          <w:sz w:val="28"/>
          <w:szCs w:val="28"/>
          <w:u w:val="single"/>
          <w:lang w:eastAsia="zh-CN"/>
        </w:rPr>
        <w:t>东阳市白云、南马应急救援中心项目厨房设备、电器设备、家具采购项目</w:t>
      </w:r>
      <w:r>
        <w:rPr>
          <w:rFonts w:hint="eastAsia" w:ascii="宋体" w:hAnsi="宋体" w:cs="宋体"/>
          <w:sz w:val="28"/>
          <w:szCs w:val="28"/>
        </w:rPr>
        <w:t>招标公告</w:t>
      </w:r>
      <w:r>
        <w:rPr>
          <w:rFonts w:hint="eastAsia" w:ascii="宋体" w:hAnsi="宋体"/>
          <w:sz w:val="28"/>
          <w:szCs w:val="28"/>
        </w:rPr>
        <w:t>，</w:t>
      </w:r>
      <w:r>
        <w:rPr>
          <w:rFonts w:hint="eastAsia" w:ascii="宋体" w:hAnsi="宋体" w:cs="宋体"/>
          <w:color w:val="auto"/>
          <w:sz w:val="28"/>
          <w:szCs w:val="28"/>
          <w:highlight w:val="none"/>
        </w:rPr>
        <w:t>本单位愿意参加该项目</w:t>
      </w:r>
      <w:r>
        <w:rPr>
          <w:rFonts w:hint="eastAsia" w:ascii="宋体" w:hAnsi="宋体" w:cs="宋体"/>
          <w:bCs/>
          <w:color w:val="auto"/>
          <w:sz w:val="28"/>
          <w:szCs w:val="28"/>
          <w:highlight w:val="none"/>
        </w:rPr>
        <w:t>标项</w:t>
      </w:r>
      <w:r>
        <w:rPr>
          <w:rFonts w:hint="eastAsia" w:ascii="宋体" w:hAnsi="宋体" w:cs="宋体"/>
          <w:bCs/>
          <w:color w:val="auto"/>
          <w:sz w:val="28"/>
          <w:szCs w:val="28"/>
          <w:highlight w:val="none"/>
          <w:u w:val="single"/>
        </w:rPr>
        <w:t xml:space="preserve">        </w:t>
      </w:r>
      <w:r>
        <w:rPr>
          <w:rFonts w:hint="eastAsia" w:ascii="宋体" w:hAnsi="宋体" w:cs="宋体"/>
          <w:color w:val="auto"/>
          <w:sz w:val="28"/>
          <w:szCs w:val="28"/>
          <w:highlight w:val="none"/>
        </w:rPr>
        <w:t>的投标。现予以确认！</w:t>
      </w:r>
    </w:p>
    <w:p w14:paraId="5E740538">
      <w:pPr>
        <w:spacing w:line="500" w:lineRule="exact"/>
        <w:rPr>
          <w:rFonts w:hint="eastAsia" w:ascii="宋体" w:hAnsi="宋体"/>
          <w:sz w:val="28"/>
          <w:szCs w:val="28"/>
        </w:rPr>
      </w:pPr>
    </w:p>
    <w:p w14:paraId="4E1F41C9">
      <w:pPr>
        <w:spacing w:line="500" w:lineRule="exact"/>
        <w:rPr>
          <w:rFonts w:hint="eastAsia" w:ascii="宋体" w:hAnsi="宋体"/>
          <w:sz w:val="28"/>
          <w:szCs w:val="28"/>
          <w:u w:val="single"/>
        </w:rPr>
      </w:pPr>
      <w:r>
        <w:rPr>
          <w:rFonts w:hint="eastAsia" w:ascii="宋体" w:hAnsi="宋体"/>
          <w:sz w:val="28"/>
          <w:szCs w:val="28"/>
        </w:rPr>
        <w:t>单位名称（公章）：</w:t>
      </w:r>
      <w:r>
        <w:rPr>
          <w:rFonts w:hint="eastAsia" w:ascii="宋体" w:hAnsi="宋体"/>
          <w:sz w:val="28"/>
          <w:szCs w:val="28"/>
          <w:u w:val="single"/>
        </w:rPr>
        <w:t xml:space="preserve">                                            </w:t>
      </w:r>
    </w:p>
    <w:p w14:paraId="184B4E77">
      <w:pPr>
        <w:spacing w:line="500" w:lineRule="exact"/>
        <w:rPr>
          <w:rFonts w:hint="eastAsia" w:ascii="宋体" w:hAnsi="宋体"/>
          <w:sz w:val="28"/>
          <w:szCs w:val="28"/>
          <w:u w:val="single"/>
        </w:rPr>
      </w:pPr>
    </w:p>
    <w:p w14:paraId="777624F0">
      <w:pPr>
        <w:spacing w:line="500" w:lineRule="exact"/>
        <w:rPr>
          <w:rFonts w:hint="eastAsia" w:ascii="宋体" w:hAnsi="宋体"/>
          <w:sz w:val="28"/>
          <w:szCs w:val="28"/>
          <w:u w:val="single"/>
        </w:rPr>
      </w:pPr>
      <w:r>
        <w:rPr>
          <w:rFonts w:hint="eastAsia" w:ascii="宋体" w:hAnsi="宋体"/>
          <w:sz w:val="28"/>
          <w:szCs w:val="28"/>
        </w:rPr>
        <w:t>法定代表人或授权代表（签名）：</w:t>
      </w:r>
      <w:r>
        <w:rPr>
          <w:rFonts w:hint="eastAsia" w:ascii="宋体" w:hAnsi="宋体"/>
          <w:sz w:val="28"/>
          <w:szCs w:val="28"/>
          <w:u w:val="single"/>
        </w:rPr>
        <w:t xml:space="preserve">                                  </w:t>
      </w:r>
    </w:p>
    <w:p w14:paraId="7A6072AA">
      <w:pPr>
        <w:spacing w:line="500" w:lineRule="exact"/>
        <w:rPr>
          <w:rFonts w:hint="eastAsia" w:ascii="宋体" w:hAnsi="宋体"/>
          <w:sz w:val="28"/>
          <w:szCs w:val="28"/>
          <w:u w:val="single"/>
        </w:rPr>
      </w:pPr>
    </w:p>
    <w:p w14:paraId="6B430D30">
      <w:pPr>
        <w:spacing w:line="500" w:lineRule="exact"/>
        <w:rPr>
          <w:rFonts w:hint="eastAsia" w:ascii="宋体" w:hAnsi="宋体"/>
          <w:sz w:val="28"/>
          <w:szCs w:val="28"/>
          <w:u w:val="single"/>
        </w:rPr>
      </w:pPr>
      <w:r>
        <w:rPr>
          <w:rFonts w:hint="eastAsia" w:ascii="宋体" w:hAnsi="宋体"/>
          <w:sz w:val="28"/>
          <w:szCs w:val="28"/>
        </w:rPr>
        <w:t>单位地址：</w:t>
      </w:r>
      <w:r>
        <w:rPr>
          <w:rFonts w:hint="eastAsia" w:ascii="宋体" w:hAnsi="宋体"/>
          <w:sz w:val="28"/>
          <w:szCs w:val="28"/>
          <w:u w:val="single"/>
        </w:rPr>
        <w:t xml:space="preserve">                     </w:t>
      </w:r>
      <w:r>
        <w:rPr>
          <w:rFonts w:hint="eastAsia" w:ascii="宋体" w:hAnsi="宋体"/>
          <w:sz w:val="28"/>
          <w:szCs w:val="28"/>
        </w:rPr>
        <w:t>参加开标钉钉号：</w:t>
      </w:r>
      <w:r>
        <w:rPr>
          <w:rFonts w:hint="eastAsia" w:ascii="宋体" w:hAnsi="宋体"/>
          <w:sz w:val="28"/>
          <w:szCs w:val="28"/>
          <w:u w:val="single"/>
        </w:rPr>
        <w:t xml:space="preserve">                                 </w:t>
      </w:r>
    </w:p>
    <w:p w14:paraId="34B612F5">
      <w:pPr>
        <w:spacing w:line="500" w:lineRule="exact"/>
        <w:rPr>
          <w:rFonts w:hint="eastAsia" w:ascii="宋体" w:hAnsi="宋体"/>
          <w:sz w:val="28"/>
          <w:szCs w:val="28"/>
        </w:rPr>
      </w:pPr>
    </w:p>
    <w:p w14:paraId="3D21FC95">
      <w:pPr>
        <w:spacing w:line="500" w:lineRule="exact"/>
        <w:rPr>
          <w:rFonts w:hint="eastAsia" w:ascii="宋体" w:hAnsi="宋体"/>
          <w:sz w:val="28"/>
          <w:szCs w:val="28"/>
        </w:rPr>
      </w:pPr>
      <w:r>
        <w:rPr>
          <w:rFonts w:hint="eastAsia" w:ascii="宋体" w:hAnsi="宋体"/>
          <w:sz w:val="28"/>
          <w:szCs w:val="28"/>
        </w:rPr>
        <w:t>电  话：</w:t>
      </w:r>
      <w:r>
        <w:rPr>
          <w:rFonts w:hint="eastAsia" w:ascii="宋体" w:hAnsi="宋体"/>
          <w:sz w:val="28"/>
          <w:szCs w:val="28"/>
          <w:u w:val="single"/>
        </w:rPr>
        <w:t xml:space="preserve">                       </w:t>
      </w:r>
      <w:r>
        <w:rPr>
          <w:rFonts w:hint="eastAsia" w:ascii="宋体" w:hAnsi="宋体"/>
          <w:sz w:val="28"/>
          <w:szCs w:val="28"/>
        </w:rPr>
        <w:t>邮  编：</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p>
    <w:p w14:paraId="06F48187">
      <w:pPr>
        <w:spacing w:line="500" w:lineRule="exact"/>
        <w:rPr>
          <w:rFonts w:hint="eastAsia" w:ascii="宋体" w:hAnsi="宋体"/>
          <w:sz w:val="28"/>
          <w:szCs w:val="28"/>
        </w:rPr>
      </w:pPr>
      <w:r>
        <w:rPr>
          <w:rFonts w:hint="eastAsia" w:ascii="宋体" w:hAnsi="宋体"/>
          <w:sz w:val="28"/>
          <w:szCs w:val="28"/>
        </w:rPr>
        <w:t xml:space="preserve"> </w:t>
      </w:r>
    </w:p>
    <w:p w14:paraId="0973FC9A">
      <w:pPr>
        <w:spacing w:line="500" w:lineRule="exact"/>
        <w:rPr>
          <w:rFonts w:hint="eastAsia" w:ascii="宋体" w:hAnsi="宋体"/>
          <w:sz w:val="28"/>
          <w:szCs w:val="28"/>
          <w:u w:val="single"/>
        </w:rPr>
      </w:pPr>
      <w:r>
        <w:rPr>
          <w:rFonts w:hint="eastAsia" w:ascii="宋体" w:hAnsi="宋体"/>
          <w:sz w:val="28"/>
          <w:szCs w:val="28"/>
        </w:rPr>
        <w:t>传  真：</w:t>
      </w:r>
      <w:r>
        <w:rPr>
          <w:rFonts w:hint="eastAsia" w:ascii="宋体" w:hAnsi="宋体"/>
          <w:sz w:val="28"/>
          <w:szCs w:val="28"/>
          <w:u w:val="single"/>
        </w:rPr>
        <w:t xml:space="preserve">                       </w:t>
      </w:r>
      <w:r>
        <w:rPr>
          <w:rFonts w:hint="eastAsia" w:ascii="宋体" w:hAnsi="宋体"/>
          <w:sz w:val="28"/>
          <w:szCs w:val="28"/>
        </w:rPr>
        <w:t>日  期：</w:t>
      </w:r>
      <w:r>
        <w:rPr>
          <w:rFonts w:hint="eastAsia" w:ascii="宋体" w:hAnsi="宋体"/>
          <w:sz w:val="28"/>
          <w:szCs w:val="28"/>
          <w:u w:val="single"/>
        </w:rPr>
        <w:t xml:space="preserve">                    </w:t>
      </w:r>
    </w:p>
    <w:p w14:paraId="7CCCAF04">
      <w:pPr>
        <w:spacing w:line="500" w:lineRule="exact"/>
        <w:rPr>
          <w:rFonts w:hint="eastAsia" w:ascii="宋体" w:hAnsi="宋体"/>
          <w:sz w:val="28"/>
          <w:szCs w:val="28"/>
          <w:u w:val="single"/>
        </w:rPr>
      </w:pPr>
    </w:p>
    <w:p w14:paraId="6A33784E">
      <w:pPr>
        <w:spacing w:line="500" w:lineRule="exact"/>
        <w:rPr>
          <w:rFonts w:hint="eastAsia" w:ascii="宋体" w:hAnsi="宋体"/>
          <w:sz w:val="32"/>
          <w:u w:val="single"/>
        </w:rPr>
      </w:pPr>
      <w:r>
        <w:rPr>
          <w:rFonts w:hint="eastAsia" w:ascii="宋体" w:hAnsi="宋体"/>
          <w:sz w:val="28"/>
          <w:szCs w:val="28"/>
        </w:rPr>
        <w:t>联系人：</w:t>
      </w:r>
      <w:r>
        <w:rPr>
          <w:rFonts w:hint="eastAsia" w:ascii="宋体" w:hAnsi="宋体"/>
          <w:sz w:val="28"/>
          <w:szCs w:val="28"/>
          <w:u w:val="single"/>
        </w:rPr>
        <w:t xml:space="preserve">                       </w:t>
      </w:r>
      <w:r>
        <w:rPr>
          <w:rFonts w:hint="eastAsia" w:ascii="宋体" w:hAnsi="宋体"/>
          <w:sz w:val="28"/>
          <w:szCs w:val="28"/>
        </w:rPr>
        <w:t>手机号码：</w:t>
      </w:r>
      <w:r>
        <w:rPr>
          <w:rFonts w:hint="eastAsia" w:ascii="宋体" w:hAnsi="宋体"/>
          <w:sz w:val="28"/>
          <w:szCs w:val="28"/>
          <w:u w:val="single"/>
        </w:rPr>
        <w:t xml:space="preserve">                 </w:t>
      </w:r>
      <w:r>
        <w:rPr>
          <w:rFonts w:hint="eastAsia" w:ascii="宋体" w:hAnsi="宋体"/>
          <w:sz w:val="32"/>
          <w:u w:val="single"/>
        </w:rPr>
        <w:t xml:space="preserve"> </w:t>
      </w:r>
    </w:p>
    <w:p w14:paraId="067E08C0">
      <w:pPr>
        <w:widowControl/>
        <w:spacing w:line="500" w:lineRule="exact"/>
        <w:jc w:val="left"/>
        <w:rPr>
          <w:rFonts w:hint="eastAsia" w:ascii="宋体" w:hAnsi="宋体"/>
          <w:sz w:val="28"/>
          <w:szCs w:val="28"/>
        </w:rPr>
      </w:pPr>
    </w:p>
    <w:p w14:paraId="3E077675">
      <w:pPr>
        <w:widowControl/>
        <w:spacing w:line="500" w:lineRule="exact"/>
        <w:jc w:val="left"/>
        <w:rPr>
          <w:rFonts w:hint="eastAsia" w:ascii="宋体" w:hAnsi="宋体"/>
          <w:sz w:val="28"/>
          <w:szCs w:val="28"/>
        </w:rPr>
      </w:pPr>
      <w:r>
        <w:rPr>
          <w:rFonts w:hint="eastAsia" w:ascii="宋体" w:hAnsi="宋体"/>
          <w:sz w:val="28"/>
          <w:szCs w:val="28"/>
        </w:rPr>
        <w:t>电子邮箱：</w:t>
      </w:r>
      <w:r>
        <w:rPr>
          <w:rFonts w:hint="eastAsia" w:ascii="宋体" w:hAnsi="宋体"/>
          <w:sz w:val="28"/>
          <w:szCs w:val="28"/>
          <w:u w:val="single"/>
        </w:rPr>
        <w:t xml:space="preserve">                       </w:t>
      </w:r>
    </w:p>
    <w:p w14:paraId="067B077A">
      <w:pPr>
        <w:widowControl/>
        <w:spacing w:line="500" w:lineRule="exact"/>
        <w:jc w:val="left"/>
        <w:rPr>
          <w:rFonts w:hint="eastAsia" w:ascii="宋体" w:hAnsi="宋体"/>
          <w:sz w:val="28"/>
          <w:szCs w:val="28"/>
        </w:rPr>
      </w:pPr>
      <w:r>
        <w:rPr>
          <w:rFonts w:hint="eastAsia" w:ascii="宋体" w:hAnsi="宋体"/>
          <w:sz w:val="28"/>
          <w:szCs w:val="28"/>
        </w:rPr>
        <w:t>注：此投标确认函请于2024年</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w:t>
      </w:r>
      <w:r>
        <w:rPr>
          <w:rFonts w:hint="eastAsia" w:ascii="宋体" w:hAnsi="宋体"/>
          <w:sz w:val="28"/>
          <w:szCs w:val="28"/>
          <w:lang w:val="en-US" w:eastAsia="zh-CN"/>
        </w:rPr>
        <w:t>16</w:t>
      </w:r>
      <w:r>
        <w:rPr>
          <w:rFonts w:hint="eastAsia" w:ascii="宋体" w:hAnsi="宋体"/>
          <w:sz w:val="28"/>
          <w:szCs w:val="28"/>
        </w:rPr>
        <w:t>时</w:t>
      </w:r>
      <w:r>
        <w:rPr>
          <w:rFonts w:hint="eastAsia" w:ascii="宋体" w:hAnsi="宋体"/>
          <w:sz w:val="28"/>
          <w:szCs w:val="28"/>
          <w:lang w:val="en-US" w:eastAsia="zh-CN"/>
        </w:rPr>
        <w:t>00</w:t>
      </w:r>
      <w:r>
        <w:rPr>
          <w:rFonts w:hint="eastAsia" w:ascii="宋体" w:hAnsi="宋体"/>
          <w:sz w:val="28"/>
          <w:szCs w:val="28"/>
        </w:rPr>
        <w:t>分前通过快递或传真或邮箱方式送达到东阳市鑫盛工程咨询有限公司（地址：浙江省东阳市白云街道八华南路63号，传真：</w:t>
      </w:r>
      <w:r>
        <w:rPr>
          <w:rFonts w:ascii="宋体" w:hAnsi="宋体"/>
          <w:sz w:val="28"/>
          <w:szCs w:val="28"/>
        </w:rPr>
        <w:t>0579-866</w:t>
      </w:r>
      <w:r>
        <w:rPr>
          <w:rFonts w:hint="eastAsia" w:ascii="宋体" w:hAnsi="宋体"/>
          <w:sz w:val="28"/>
          <w:szCs w:val="28"/>
        </w:rPr>
        <w:t>83133，邮箱：1816352277@qq.com）。</w:t>
      </w:r>
    </w:p>
    <w:p w14:paraId="096BFA82">
      <w:pPr>
        <w:spacing w:line="500" w:lineRule="exact"/>
        <w:rPr>
          <w:rFonts w:hint="eastAsia"/>
          <w:sz w:val="24"/>
        </w:rPr>
      </w:pPr>
    </w:p>
    <w:p w14:paraId="4EBD749D">
      <w:pPr>
        <w:spacing w:line="500" w:lineRule="exact"/>
        <w:ind w:firstLine="373"/>
        <w:jc w:val="left"/>
        <w:rPr>
          <w:rFonts w:hint="eastAsia" w:ascii="宋体" w:hAnsi="宋体"/>
          <w:sz w:val="24"/>
        </w:rPr>
      </w:pPr>
      <w:r>
        <w:rPr>
          <w:rFonts w:hint="eastAsia"/>
          <w:sz w:val="28"/>
          <w:szCs w:val="28"/>
        </w:rPr>
        <w:t>（如投标单位发送投标确认函后未参加投标项目，将以失信单位上报东阳市人民政府国有资产监督管理办公室。）</w:t>
      </w:r>
    </w:p>
    <w:p w14:paraId="0ADA7A62">
      <w:pPr>
        <w:pStyle w:val="3"/>
        <w:pageBreakBefore/>
        <w:ind w:left="0" w:firstLine="0"/>
        <w:jc w:val="center"/>
        <w:rPr>
          <w:rFonts w:hint="eastAsia" w:ascii="黑体" w:hAnsi="Times New Roman" w:eastAsia="黑体"/>
          <w:b w:val="0"/>
          <w:sz w:val="32"/>
          <w:szCs w:val="30"/>
        </w:rPr>
      </w:pPr>
      <w:bookmarkStart w:id="7" w:name="_Toc24919"/>
      <w:bookmarkStart w:id="8" w:name="_Toc22834"/>
      <w:r>
        <w:rPr>
          <w:rFonts w:hint="eastAsia" w:ascii="黑体" w:hAnsi="Times New Roman" w:eastAsia="黑体"/>
          <w:b w:val="0"/>
          <w:sz w:val="32"/>
          <w:szCs w:val="30"/>
        </w:rPr>
        <w:t>第二章  招标需求</w:t>
      </w:r>
      <w:bookmarkEnd w:id="7"/>
      <w:bookmarkEnd w:id="8"/>
    </w:p>
    <w:p w14:paraId="2F4C0C0A">
      <w:pPr>
        <w:snapToGrid w:val="0"/>
        <w:spacing w:before="156" w:beforeLines="50" w:after="156" w:afterLines="50" w:line="276" w:lineRule="auto"/>
        <w:rPr>
          <w:rFonts w:hint="eastAsia" w:ascii="宋体" w:hAnsi="宋体"/>
          <w:b/>
          <w:bCs/>
          <w:sz w:val="24"/>
        </w:rPr>
      </w:pPr>
      <w:r>
        <w:rPr>
          <w:rFonts w:hint="eastAsia" w:ascii="宋体" w:hAnsi="宋体"/>
          <w:b/>
          <w:bCs/>
          <w:sz w:val="24"/>
          <w:lang w:val="en-US" w:eastAsia="zh-CN"/>
        </w:rPr>
        <w:t>一、</w:t>
      </w:r>
      <w:r>
        <w:rPr>
          <w:rFonts w:hint="eastAsia" w:ascii="宋体" w:hAnsi="宋体"/>
          <w:b/>
          <w:bCs/>
          <w:sz w:val="24"/>
        </w:rPr>
        <w:t>项目编号：</w:t>
      </w:r>
      <w:r>
        <w:rPr>
          <w:rFonts w:hint="eastAsia" w:ascii="宋体" w:hAnsi="宋体"/>
          <w:b/>
          <w:bCs/>
          <w:sz w:val="24"/>
          <w:lang w:eastAsia="zh-CN"/>
        </w:rPr>
        <w:t>XSGYCG2024-208</w:t>
      </w:r>
    </w:p>
    <w:p w14:paraId="56C1835B">
      <w:pPr>
        <w:numPr>
          <w:ilvl w:val="0"/>
          <w:numId w:val="0"/>
        </w:numPr>
        <w:snapToGrid w:val="0"/>
        <w:spacing w:before="156" w:beforeLines="50" w:after="156" w:afterLines="50"/>
        <w:ind w:left="1690" w:leftChars="231" w:hanging="1205" w:hangingChars="500"/>
        <w:rPr>
          <w:rFonts w:hint="eastAsia" w:ascii="宋体" w:hAnsi="宋体" w:cs="宋体"/>
          <w:b/>
          <w:bCs/>
          <w:sz w:val="28"/>
          <w:szCs w:val="28"/>
        </w:rPr>
      </w:pPr>
      <w:r>
        <w:rPr>
          <w:rFonts w:hint="eastAsia" w:ascii="宋体" w:hAnsi="宋体"/>
          <w:b/>
          <w:bCs/>
          <w:sz w:val="24"/>
        </w:rPr>
        <w:t>项目名称：</w:t>
      </w:r>
      <w:r>
        <w:rPr>
          <w:rFonts w:hint="eastAsia" w:ascii="宋体" w:hAnsi="宋体"/>
          <w:b/>
          <w:bCs/>
          <w:sz w:val="24"/>
          <w:lang w:eastAsia="zh-CN"/>
        </w:rPr>
        <w:t>东阳市白云、南马应急救援中心项目厨房设备、电器设备、家具采购</w:t>
      </w:r>
      <w:r>
        <w:rPr>
          <w:rFonts w:hint="eastAsia" w:ascii="宋体" w:hAnsi="宋体"/>
          <w:b/>
          <w:bCs/>
          <w:sz w:val="24"/>
          <w:lang w:val="en-US" w:eastAsia="zh-CN"/>
        </w:rPr>
        <w:t xml:space="preserve">     </w:t>
      </w:r>
      <w:r>
        <w:rPr>
          <w:rFonts w:hint="eastAsia" w:ascii="宋体" w:hAnsi="宋体"/>
          <w:b/>
          <w:bCs/>
          <w:sz w:val="24"/>
          <w:lang w:eastAsia="zh-CN"/>
        </w:rPr>
        <w:t>项目</w:t>
      </w:r>
    </w:p>
    <w:p w14:paraId="00C82DC3">
      <w:pPr>
        <w:numPr>
          <w:ilvl w:val="0"/>
          <w:numId w:val="0"/>
        </w:numPr>
        <w:snapToGrid w:val="0"/>
        <w:spacing w:before="156" w:beforeLines="50" w:after="156" w:afterLines="50"/>
        <w:rPr>
          <w:rFonts w:hint="eastAsia" w:ascii="宋体" w:hAnsi="宋体"/>
          <w:b/>
          <w:bCs/>
          <w:sz w:val="24"/>
        </w:rPr>
      </w:pPr>
      <w:r>
        <w:rPr>
          <w:rFonts w:hint="eastAsia" w:ascii="宋体" w:hAnsi="宋体"/>
          <w:b/>
          <w:bCs/>
          <w:sz w:val="24"/>
          <w:lang w:val="en-US" w:eastAsia="zh-CN"/>
        </w:rPr>
        <w:t>二、</w:t>
      </w:r>
      <w:r>
        <w:rPr>
          <w:rFonts w:hint="eastAsia" w:ascii="宋体" w:hAnsi="宋体"/>
          <w:b/>
          <w:bCs/>
          <w:sz w:val="24"/>
        </w:rPr>
        <w:t>采购内容</w:t>
      </w:r>
      <w:bookmarkStart w:id="138" w:name="_GoBack"/>
      <w:bookmarkEnd w:id="138"/>
    </w:p>
    <w:tbl>
      <w:tblPr>
        <w:tblStyle w:val="65"/>
        <w:tblpPr w:leftFromText="180" w:rightFromText="180" w:vertAnchor="text" w:horzAnchor="page" w:tblpXSpec="center" w:tblpY="440"/>
        <w:tblOverlap w:val="never"/>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212"/>
        <w:gridCol w:w="2235"/>
        <w:gridCol w:w="2203"/>
        <w:gridCol w:w="1822"/>
      </w:tblGrid>
      <w:tr w14:paraId="0BE3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2EC461A6">
            <w:pPr>
              <w:spacing w:before="60" w:after="60" w:line="400" w:lineRule="exact"/>
              <w:ind w:right="60" w:rightChars="0"/>
              <w:jc w:val="center"/>
              <w:rPr>
                <w:rFonts w:hint="eastAsia" w:ascii="宋体" w:hAnsi="宋体" w:cs="宋体"/>
                <w:bCs/>
                <w:sz w:val="24"/>
              </w:rPr>
            </w:pPr>
            <w:r>
              <w:rPr>
                <w:rFonts w:hint="eastAsia" w:ascii="宋体" w:hAnsi="宋体" w:eastAsia="宋体" w:cs="宋体"/>
                <w:color w:val="auto"/>
                <w:sz w:val="24"/>
                <w:szCs w:val="20"/>
              </w:rPr>
              <w:t>标项</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23224D8C">
            <w:pPr>
              <w:spacing w:before="60" w:after="60" w:line="400" w:lineRule="exact"/>
              <w:ind w:right="60" w:rightChars="0"/>
              <w:jc w:val="center"/>
              <w:rPr>
                <w:rFonts w:hint="eastAsia" w:ascii="宋体" w:hAnsi="宋体" w:cs="宋体"/>
                <w:bCs/>
                <w:sz w:val="24"/>
              </w:rPr>
            </w:pPr>
            <w:r>
              <w:rPr>
                <w:rFonts w:hint="eastAsia" w:ascii="宋体" w:hAnsi="宋体" w:cs="宋体"/>
                <w:color w:val="auto"/>
                <w:sz w:val="24"/>
                <w:szCs w:val="20"/>
              </w:rPr>
              <w:t>采购内容</w:t>
            </w:r>
          </w:p>
        </w:tc>
        <w:tc>
          <w:tcPr>
            <w:tcW w:w="2235" w:type="dxa"/>
            <w:tcBorders>
              <w:top w:val="single" w:color="auto" w:sz="4" w:space="0"/>
              <w:left w:val="single" w:color="auto" w:sz="4" w:space="0"/>
              <w:bottom w:val="single" w:color="auto" w:sz="4" w:space="0"/>
              <w:right w:val="single" w:color="auto" w:sz="4" w:space="0"/>
            </w:tcBorders>
            <w:noWrap w:val="0"/>
            <w:vAlign w:val="center"/>
          </w:tcPr>
          <w:p w14:paraId="0818C85D">
            <w:pPr>
              <w:spacing w:before="60" w:after="60" w:line="400" w:lineRule="exact"/>
              <w:ind w:right="60" w:rightChars="0"/>
              <w:jc w:val="center"/>
              <w:rPr>
                <w:rFonts w:hint="default" w:ascii="宋体" w:hAnsi="宋体" w:eastAsia="宋体" w:cs="宋体"/>
                <w:bCs/>
                <w:sz w:val="24"/>
                <w:lang w:val="en-US" w:eastAsia="zh-CN"/>
              </w:rPr>
            </w:pPr>
            <w:r>
              <w:rPr>
                <w:rFonts w:hint="eastAsia" w:ascii="宋体" w:hAnsi="宋体" w:cs="宋体"/>
                <w:bCs/>
                <w:sz w:val="24"/>
                <w:lang w:val="en-US" w:eastAsia="zh-CN"/>
              </w:rPr>
              <w:t>最高限价（元）</w:t>
            </w:r>
          </w:p>
        </w:tc>
        <w:tc>
          <w:tcPr>
            <w:tcW w:w="22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C2BE13">
            <w:pPr>
              <w:spacing w:before="60" w:after="60" w:line="400" w:lineRule="exact"/>
              <w:ind w:right="60" w:rightChars="0"/>
              <w:jc w:val="center"/>
              <w:rPr>
                <w:rFonts w:hint="eastAsia" w:ascii="宋体" w:hAnsi="宋体" w:eastAsia="宋体" w:cs="宋体"/>
                <w:bCs/>
                <w:kern w:val="2"/>
                <w:sz w:val="24"/>
                <w:szCs w:val="24"/>
                <w:lang w:val="en-US" w:eastAsia="zh-CN" w:bidi="ar-SA"/>
              </w:rPr>
            </w:pPr>
            <w:r>
              <w:rPr>
                <w:rFonts w:hint="eastAsia" w:ascii="宋体" w:hAnsi="宋体" w:cs="宋体"/>
                <w:color w:val="auto"/>
                <w:sz w:val="24"/>
                <w:szCs w:val="20"/>
              </w:rPr>
              <w:t>预算</w:t>
            </w:r>
            <w:r>
              <w:rPr>
                <w:rFonts w:hint="eastAsia" w:ascii="宋体" w:hAnsi="宋体" w:cs="宋体"/>
                <w:color w:val="auto"/>
                <w:sz w:val="24"/>
                <w:szCs w:val="20"/>
                <w:lang w:val="en-US" w:eastAsia="zh-CN"/>
              </w:rPr>
              <w:t>金额</w:t>
            </w:r>
            <w:r>
              <w:rPr>
                <w:rFonts w:hint="eastAsia" w:ascii="宋体" w:hAnsi="宋体" w:cs="宋体"/>
                <w:color w:val="auto"/>
                <w:sz w:val="24"/>
                <w:szCs w:val="20"/>
                <w:lang w:eastAsia="zh-CN"/>
              </w:rPr>
              <w:t>（</w:t>
            </w:r>
            <w:r>
              <w:rPr>
                <w:rFonts w:hint="eastAsia" w:ascii="宋体" w:hAnsi="宋体" w:cs="宋体"/>
                <w:color w:val="auto"/>
                <w:sz w:val="24"/>
                <w:szCs w:val="20"/>
                <w:lang w:val="en-US" w:eastAsia="zh-CN"/>
              </w:rPr>
              <w:t>元</w:t>
            </w:r>
            <w:r>
              <w:rPr>
                <w:rFonts w:hint="eastAsia" w:ascii="宋体" w:hAnsi="宋体" w:cs="宋体"/>
                <w:color w:val="auto"/>
                <w:sz w:val="24"/>
                <w:szCs w:val="20"/>
                <w:lang w:eastAsia="zh-CN"/>
              </w:rPr>
              <w:t>）</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1376142C">
            <w:pPr>
              <w:spacing w:before="60" w:after="60" w:line="400" w:lineRule="exact"/>
              <w:ind w:right="60" w:rightChars="0"/>
              <w:jc w:val="center"/>
              <w:rPr>
                <w:rFonts w:hint="eastAsia" w:ascii="宋体" w:hAnsi="宋体" w:eastAsia="宋体" w:cs="宋体"/>
                <w:color w:val="auto"/>
                <w:sz w:val="24"/>
                <w:szCs w:val="20"/>
                <w:lang w:val="en-US" w:eastAsia="zh-CN"/>
              </w:rPr>
            </w:pPr>
            <w:r>
              <w:rPr>
                <w:rFonts w:hint="eastAsia" w:ascii="宋体" w:hAnsi="宋体" w:cs="宋体"/>
                <w:color w:val="auto"/>
                <w:sz w:val="24"/>
                <w:szCs w:val="20"/>
                <w:lang w:val="en-US" w:eastAsia="zh-CN"/>
              </w:rPr>
              <w:t>备注</w:t>
            </w:r>
          </w:p>
        </w:tc>
      </w:tr>
      <w:tr w14:paraId="69E1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14212C0B">
            <w:pPr>
              <w:spacing w:line="276" w:lineRule="auto"/>
              <w:jc w:val="center"/>
              <w:rPr>
                <w:rFonts w:hint="eastAsia" w:ascii="宋体" w:hAnsi="宋体" w:eastAsia="宋体" w:cs="宋体"/>
                <w:bCs/>
                <w:sz w:val="24"/>
                <w:lang w:eastAsia="zh-CN"/>
              </w:rPr>
            </w:pPr>
            <w:r>
              <w:rPr>
                <w:rFonts w:hint="eastAsia" w:ascii="宋体" w:hAnsi="宋体"/>
                <w:color w:val="auto"/>
                <w:sz w:val="24"/>
                <w:lang w:val="en-US" w:eastAsia="zh-CN"/>
              </w:rPr>
              <w:t>一</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0A3EB0EF">
            <w:pPr>
              <w:spacing w:before="60" w:after="60" w:line="400" w:lineRule="exact"/>
              <w:ind w:right="60" w:rightChars="0"/>
              <w:jc w:val="center"/>
              <w:rPr>
                <w:rFonts w:hint="default" w:ascii="宋体" w:hAnsi="宋体" w:eastAsia="宋体" w:cs="宋体"/>
                <w:b w:val="0"/>
                <w:color w:val="auto"/>
                <w:kern w:val="2"/>
                <w:sz w:val="24"/>
                <w:szCs w:val="20"/>
                <w:lang w:val="en-US" w:eastAsia="zh-CN" w:bidi="ar-SA"/>
              </w:rPr>
            </w:pPr>
            <w:r>
              <w:rPr>
                <w:rFonts w:hint="eastAsia" w:ascii="宋体" w:hAnsi="宋体" w:eastAsia="宋体" w:cs="宋体"/>
                <w:b w:val="0"/>
                <w:color w:val="auto"/>
                <w:kern w:val="2"/>
                <w:sz w:val="24"/>
                <w:szCs w:val="20"/>
                <w:lang w:val="en-US" w:eastAsia="zh-CN" w:bidi="ar-SA"/>
              </w:rPr>
              <w:t>厨房设备</w:t>
            </w:r>
          </w:p>
        </w:tc>
        <w:tc>
          <w:tcPr>
            <w:tcW w:w="2235" w:type="dxa"/>
            <w:tcBorders>
              <w:left w:val="single" w:color="auto" w:sz="4" w:space="0"/>
              <w:right w:val="single" w:color="auto" w:sz="4" w:space="0"/>
            </w:tcBorders>
            <w:shd w:val="clear" w:color="auto" w:fill="auto"/>
            <w:noWrap w:val="0"/>
            <w:vAlign w:val="center"/>
          </w:tcPr>
          <w:p w14:paraId="6630DF15">
            <w:pPr>
              <w:spacing w:line="276" w:lineRule="auto"/>
              <w:jc w:val="center"/>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244880</w:t>
            </w:r>
          </w:p>
        </w:tc>
        <w:tc>
          <w:tcPr>
            <w:tcW w:w="2203" w:type="dxa"/>
            <w:tcBorders>
              <w:left w:val="single" w:color="auto" w:sz="4" w:space="0"/>
              <w:right w:val="single" w:color="auto" w:sz="4" w:space="0"/>
            </w:tcBorders>
            <w:shd w:val="clear" w:color="auto" w:fill="auto"/>
            <w:noWrap w:val="0"/>
            <w:vAlign w:val="center"/>
          </w:tcPr>
          <w:p w14:paraId="18BE6D7A">
            <w:pPr>
              <w:spacing w:line="276"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244880</w:t>
            </w:r>
          </w:p>
        </w:tc>
        <w:tc>
          <w:tcPr>
            <w:tcW w:w="1822" w:type="dxa"/>
            <w:tcBorders>
              <w:left w:val="single" w:color="auto" w:sz="4" w:space="0"/>
              <w:right w:val="single" w:color="auto" w:sz="4" w:space="0"/>
            </w:tcBorders>
            <w:noWrap w:val="0"/>
            <w:vAlign w:val="center"/>
          </w:tcPr>
          <w:p w14:paraId="15DEEED9">
            <w:pPr>
              <w:spacing w:line="276" w:lineRule="auto"/>
              <w:jc w:val="center"/>
              <w:rPr>
                <w:rFonts w:hint="default" w:ascii="宋体" w:hAnsi="宋体"/>
                <w:color w:val="auto"/>
                <w:sz w:val="24"/>
                <w:highlight w:val="none"/>
                <w:lang w:val="en-US" w:eastAsia="zh-CN"/>
              </w:rPr>
            </w:pPr>
          </w:p>
        </w:tc>
      </w:tr>
      <w:tr w14:paraId="523D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7D7645E3">
            <w:pPr>
              <w:spacing w:line="276"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二</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09C9C3E3">
            <w:pPr>
              <w:pStyle w:val="3"/>
              <w:jc w:val="center"/>
              <w:rPr>
                <w:rFonts w:hint="default" w:ascii="宋体" w:hAnsi="宋体" w:eastAsia="宋体" w:cs="宋体"/>
                <w:b w:val="0"/>
                <w:color w:val="auto"/>
                <w:kern w:val="2"/>
                <w:sz w:val="24"/>
                <w:szCs w:val="20"/>
                <w:highlight w:val="none"/>
                <w:lang w:val="en-US" w:eastAsia="zh-CN" w:bidi="ar-SA"/>
              </w:rPr>
            </w:pPr>
            <w:r>
              <w:rPr>
                <w:rFonts w:hint="eastAsia" w:ascii="宋体" w:hAnsi="宋体" w:eastAsia="宋体" w:cs="宋体"/>
                <w:b w:val="0"/>
                <w:color w:val="auto"/>
                <w:kern w:val="2"/>
                <w:sz w:val="24"/>
                <w:szCs w:val="20"/>
                <w:highlight w:val="none"/>
                <w:lang w:val="en-US" w:eastAsia="zh-CN" w:bidi="ar-SA"/>
              </w:rPr>
              <w:t>电器设备</w:t>
            </w:r>
          </w:p>
        </w:tc>
        <w:tc>
          <w:tcPr>
            <w:tcW w:w="2235" w:type="dxa"/>
            <w:tcBorders>
              <w:left w:val="single" w:color="auto" w:sz="4" w:space="0"/>
              <w:right w:val="single" w:color="auto" w:sz="4" w:space="0"/>
            </w:tcBorders>
            <w:shd w:val="clear" w:color="auto" w:fill="auto"/>
            <w:noWrap w:val="0"/>
            <w:vAlign w:val="center"/>
          </w:tcPr>
          <w:p w14:paraId="0557CFFF">
            <w:pPr>
              <w:spacing w:line="276" w:lineRule="auto"/>
              <w:jc w:val="center"/>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374269</w:t>
            </w:r>
          </w:p>
        </w:tc>
        <w:tc>
          <w:tcPr>
            <w:tcW w:w="2203" w:type="dxa"/>
            <w:tcBorders>
              <w:left w:val="single" w:color="auto" w:sz="4" w:space="0"/>
              <w:right w:val="single" w:color="auto" w:sz="4" w:space="0"/>
            </w:tcBorders>
            <w:shd w:val="clear" w:color="auto" w:fill="auto"/>
            <w:noWrap w:val="0"/>
            <w:vAlign w:val="center"/>
          </w:tcPr>
          <w:p w14:paraId="5E704A5B">
            <w:pPr>
              <w:spacing w:line="276"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374269</w:t>
            </w:r>
          </w:p>
        </w:tc>
        <w:tc>
          <w:tcPr>
            <w:tcW w:w="1822" w:type="dxa"/>
            <w:tcBorders>
              <w:left w:val="single" w:color="auto" w:sz="4" w:space="0"/>
              <w:right w:val="single" w:color="auto" w:sz="4" w:space="0"/>
            </w:tcBorders>
            <w:noWrap w:val="0"/>
            <w:vAlign w:val="center"/>
          </w:tcPr>
          <w:p w14:paraId="478D24A3">
            <w:pPr>
              <w:spacing w:line="276" w:lineRule="auto"/>
              <w:jc w:val="center"/>
              <w:rPr>
                <w:rFonts w:hint="default" w:ascii="宋体" w:hAnsi="宋体"/>
                <w:color w:val="auto"/>
                <w:sz w:val="24"/>
                <w:highlight w:val="yellow"/>
                <w:lang w:val="en-US" w:eastAsia="zh-CN"/>
              </w:rPr>
            </w:pPr>
          </w:p>
        </w:tc>
      </w:tr>
      <w:tr w14:paraId="7AB5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5478C89B">
            <w:pPr>
              <w:spacing w:line="276"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三</w:t>
            </w:r>
          </w:p>
        </w:tc>
        <w:tc>
          <w:tcPr>
            <w:tcW w:w="2212" w:type="dxa"/>
            <w:tcBorders>
              <w:top w:val="single" w:color="auto" w:sz="4" w:space="0"/>
              <w:left w:val="single" w:color="auto" w:sz="4" w:space="0"/>
              <w:bottom w:val="single" w:color="auto" w:sz="4" w:space="0"/>
              <w:right w:val="single" w:color="auto" w:sz="4" w:space="0"/>
            </w:tcBorders>
            <w:noWrap w:val="0"/>
            <w:vAlign w:val="center"/>
          </w:tcPr>
          <w:p w14:paraId="0A9F67B1">
            <w:pPr>
              <w:pStyle w:val="3"/>
              <w:jc w:val="center"/>
              <w:rPr>
                <w:rFonts w:hint="default" w:ascii="宋体" w:hAnsi="宋体" w:eastAsia="宋体" w:cs="宋体"/>
                <w:b w:val="0"/>
                <w:color w:val="auto"/>
                <w:kern w:val="2"/>
                <w:sz w:val="24"/>
                <w:szCs w:val="20"/>
                <w:lang w:val="en-US" w:eastAsia="zh-CN" w:bidi="ar-SA"/>
              </w:rPr>
            </w:pPr>
            <w:r>
              <w:rPr>
                <w:rFonts w:hint="eastAsia" w:ascii="宋体" w:eastAsia="宋体" w:cs="宋体"/>
                <w:b w:val="0"/>
                <w:color w:val="auto"/>
                <w:kern w:val="2"/>
                <w:sz w:val="24"/>
                <w:szCs w:val="20"/>
                <w:lang w:val="en-US" w:eastAsia="zh-CN" w:bidi="ar-SA"/>
              </w:rPr>
              <w:t>家具</w:t>
            </w:r>
          </w:p>
        </w:tc>
        <w:tc>
          <w:tcPr>
            <w:tcW w:w="2235" w:type="dxa"/>
            <w:tcBorders>
              <w:left w:val="single" w:color="auto" w:sz="4" w:space="0"/>
              <w:right w:val="single" w:color="auto" w:sz="4" w:space="0"/>
            </w:tcBorders>
            <w:shd w:val="clear" w:color="auto" w:fill="auto"/>
            <w:noWrap w:val="0"/>
            <w:vAlign w:val="center"/>
          </w:tcPr>
          <w:p w14:paraId="62B11BA7">
            <w:pPr>
              <w:spacing w:line="276" w:lineRule="auto"/>
              <w:jc w:val="center"/>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982306</w:t>
            </w:r>
          </w:p>
        </w:tc>
        <w:tc>
          <w:tcPr>
            <w:tcW w:w="2203" w:type="dxa"/>
            <w:tcBorders>
              <w:left w:val="single" w:color="auto" w:sz="4" w:space="0"/>
              <w:right w:val="single" w:color="auto" w:sz="4" w:space="0"/>
            </w:tcBorders>
            <w:shd w:val="clear" w:color="auto" w:fill="auto"/>
            <w:noWrap w:val="0"/>
            <w:vAlign w:val="center"/>
          </w:tcPr>
          <w:p w14:paraId="4939BC95">
            <w:pPr>
              <w:spacing w:line="276"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lang w:val="en-US" w:eastAsia="zh-CN"/>
              </w:rPr>
              <w:t>982306</w:t>
            </w:r>
          </w:p>
        </w:tc>
        <w:tc>
          <w:tcPr>
            <w:tcW w:w="1822" w:type="dxa"/>
            <w:tcBorders>
              <w:left w:val="single" w:color="auto" w:sz="4" w:space="0"/>
              <w:right w:val="single" w:color="auto" w:sz="4" w:space="0"/>
            </w:tcBorders>
            <w:noWrap w:val="0"/>
            <w:vAlign w:val="center"/>
          </w:tcPr>
          <w:p w14:paraId="5261F18C">
            <w:pPr>
              <w:spacing w:line="276" w:lineRule="auto"/>
              <w:jc w:val="center"/>
              <w:rPr>
                <w:rFonts w:hint="default" w:ascii="宋体" w:hAnsi="宋体"/>
                <w:color w:val="auto"/>
                <w:sz w:val="24"/>
                <w:highlight w:val="none"/>
                <w:lang w:val="en-US" w:eastAsia="zh-CN"/>
              </w:rPr>
            </w:pPr>
          </w:p>
        </w:tc>
      </w:tr>
      <w:tr w14:paraId="722E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9337" w:type="dxa"/>
            <w:gridSpan w:val="5"/>
            <w:tcBorders>
              <w:top w:val="single" w:color="auto" w:sz="4" w:space="0"/>
              <w:left w:val="single" w:color="auto" w:sz="4" w:space="0"/>
              <w:bottom w:val="single" w:color="auto" w:sz="4" w:space="0"/>
              <w:right w:val="single" w:color="auto" w:sz="4" w:space="0"/>
            </w:tcBorders>
            <w:noWrap w:val="0"/>
            <w:vAlign w:val="center"/>
          </w:tcPr>
          <w:p w14:paraId="183B29E3">
            <w:pPr>
              <w:spacing w:line="276" w:lineRule="auto"/>
              <w:jc w:val="left"/>
              <w:rPr>
                <w:rFonts w:hint="eastAsia"/>
                <w:b w:val="0"/>
                <w:bCs w:val="0"/>
                <w:color w:val="auto"/>
                <w:sz w:val="24"/>
                <w:highlight w:val="none"/>
              </w:rPr>
            </w:pPr>
            <w:r>
              <w:rPr>
                <w:rFonts w:hint="eastAsia"/>
                <w:b w:val="0"/>
                <w:bCs w:val="0"/>
                <w:color w:val="auto"/>
                <w:sz w:val="24"/>
                <w:highlight w:val="none"/>
              </w:rPr>
              <w:t>注：</w:t>
            </w:r>
            <w:r>
              <w:rPr>
                <w:rFonts w:hint="eastAsia" w:ascii="宋体" w:hAnsi="宋体"/>
                <w:color w:val="auto"/>
                <w:sz w:val="24"/>
                <w:highlight w:val="none"/>
              </w:rPr>
              <w:t>从履约能力及服务质量方面考虑，本项目标项一、标项二、标项三</w:t>
            </w:r>
            <w:r>
              <w:rPr>
                <w:rFonts w:hint="eastAsia" w:ascii="宋体" w:hAnsi="宋体"/>
                <w:color w:val="auto"/>
                <w:sz w:val="24"/>
                <w:highlight w:val="none"/>
                <w:lang w:val="en-US" w:eastAsia="zh-CN"/>
              </w:rPr>
              <w:t>三</w:t>
            </w:r>
            <w:r>
              <w:rPr>
                <w:rFonts w:hint="eastAsia" w:ascii="宋体" w:hAnsi="宋体"/>
                <w:color w:val="auto"/>
                <w:sz w:val="24"/>
                <w:highlight w:val="none"/>
              </w:rPr>
              <w:t xml:space="preserve">个标段中，每个投标人按开标顺序（标一、标二、标三）只允许一个标项中标，其余标项得分排名再次为第一名时，视为自动放弃其中标资格。 </w:t>
            </w:r>
          </w:p>
        </w:tc>
      </w:tr>
    </w:tbl>
    <w:p w14:paraId="0C3800DD">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cs="宋体"/>
          <w:b/>
          <w:color w:val="auto"/>
          <w:sz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cs="宋体"/>
          <w:b/>
          <w:color w:val="auto"/>
          <w:sz w:val="24"/>
          <w:highlight w:val="none"/>
        </w:rPr>
        <w:t>注：</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中标人需根据采购人的要求及时供货。</w:t>
      </w:r>
    </w:p>
    <w:p w14:paraId="59B907E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技术参数中如有漏项，产品实际使用功能必须达到采购人实际要求。</w:t>
      </w:r>
    </w:p>
    <w:p w14:paraId="21610A04">
      <w:pPr>
        <w:numPr>
          <w:ilvl w:val="0"/>
          <w:numId w:val="0"/>
        </w:numPr>
        <w:snapToGrid w:val="0"/>
        <w:spacing w:before="156" w:beforeLines="50" w:after="156" w:afterLines="50" w:line="276" w:lineRule="auto"/>
        <w:ind w:left="0" w:leftChars="0" w:firstLine="0" w:firstLineChars="0"/>
        <w:rPr>
          <w:rFonts w:hint="eastAsia" w:ascii="宋体" w:hAnsi="宋体" w:cs="Times New Roman"/>
          <w:b/>
          <w:bCs/>
          <w:sz w:val="24"/>
          <w:lang w:eastAsia="zh-CN"/>
        </w:rPr>
      </w:pPr>
      <w:r>
        <w:rPr>
          <w:rFonts w:hint="eastAsia" w:ascii="宋体" w:hAnsi="宋体" w:eastAsia="宋体" w:cs="Times New Roman"/>
          <w:b/>
          <w:bCs/>
          <w:kern w:val="2"/>
          <w:sz w:val="24"/>
          <w:szCs w:val="24"/>
          <w:lang w:val="en-US" w:eastAsia="zh-CN" w:bidi="ar-SA"/>
        </w:rPr>
        <w:t>三、</w:t>
      </w:r>
      <w:r>
        <w:rPr>
          <w:rFonts w:hint="eastAsia" w:ascii="宋体" w:hAnsi="宋体" w:cs="Times New Roman"/>
          <w:b/>
          <w:bCs/>
          <w:sz w:val="24"/>
          <w:lang w:eastAsia="zh-CN"/>
        </w:rPr>
        <w:t>技术参数</w:t>
      </w:r>
    </w:p>
    <w:p w14:paraId="3E1619E9">
      <w:pPr>
        <w:pStyle w:val="3"/>
        <w:jc w:val="left"/>
        <w:rPr>
          <w:rFonts w:hint="eastAsia" w:ascii="宋体" w:eastAsia="宋体" w:cs="宋体"/>
          <w:b w:val="0"/>
          <w:color w:val="auto"/>
          <w:kern w:val="2"/>
          <w:sz w:val="24"/>
          <w:szCs w:val="20"/>
          <w:lang w:val="en-US" w:eastAsia="zh-CN" w:bidi="ar-SA"/>
        </w:rPr>
      </w:pPr>
      <w:r>
        <w:rPr>
          <w:rFonts w:hint="eastAsia" w:ascii="宋体" w:hAnsi="宋体" w:eastAsia="宋体" w:cs="宋体"/>
          <w:b w:val="0"/>
          <w:color w:val="auto"/>
          <w:kern w:val="2"/>
          <w:sz w:val="24"/>
          <w:szCs w:val="20"/>
          <w:lang w:val="en-US" w:eastAsia="zh-CN" w:bidi="ar-SA"/>
        </w:rPr>
        <w:t>标一</w:t>
      </w:r>
      <w:r>
        <w:rPr>
          <w:rFonts w:hint="eastAsia" w:ascii="宋体" w:eastAsia="宋体" w:cs="宋体"/>
          <w:b w:val="0"/>
          <w:color w:val="auto"/>
          <w:kern w:val="2"/>
          <w:sz w:val="24"/>
          <w:szCs w:val="20"/>
          <w:lang w:val="en-US" w:eastAsia="zh-CN" w:bidi="ar-SA"/>
        </w:rPr>
        <w:t>：</w:t>
      </w:r>
    </w:p>
    <w:tbl>
      <w:tblPr>
        <w:tblStyle w:val="65"/>
        <w:tblW w:w="98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3956"/>
        <w:gridCol w:w="506"/>
        <w:gridCol w:w="766"/>
        <w:gridCol w:w="776"/>
        <w:gridCol w:w="830"/>
        <w:gridCol w:w="2488"/>
      </w:tblGrid>
      <w:tr w14:paraId="38DF7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862" w:type="dxa"/>
            <w:gridSpan w:val="7"/>
            <w:tcBorders>
              <w:top w:val="nil"/>
              <w:left w:val="nil"/>
              <w:bottom w:val="nil"/>
              <w:right w:val="nil"/>
            </w:tcBorders>
            <w:shd w:val="clear" w:color="auto" w:fill="auto"/>
            <w:noWrap/>
            <w:vAlign w:val="bottom"/>
          </w:tcPr>
          <w:p w14:paraId="4FE037EA">
            <w:pPr>
              <w:keepNext w:val="0"/>
              <w:keepLines w:val="0"/>
              <w:widowControl/>
              <w:suppressLineNumbers w:val="0"/>
              <w:jc w:val="center"/>
              <w:textAlignment w:val="bottom"/>
              <w:rPr>
                <w:rFonts w:hint="eastAsia" w:ascii="宋体" w:hAnsi="宋体" w:eastAsia="宋体" w:cs="宋体"/>
                <w:i w:val="0"/>
                <w:iCs w:val="0"/>
                <w:color w:val="000000"/>
                <w:sz w:val="48"/>
                <w:szCs w:val="48"/>
                <w:u w:val="none"/>
              </w:rPr>
            </w:pPr>
            <w:r>
              <w:rPr>
                <w:rFonts w:hint="eastAsia" w:ascii="宋体" w:hAnsi="宋体" w:eastAsia="宋体" w:cs="宋体"/>
                <w:i w:val="0"/>
                <w:iCs w:val="0"/>
                <w:color w:val="000000"/>
                <w:kern w:val="0"/>
                <w:sz w:val="48"/>
                <w:szCs w:val="48"/>
                <w:u w:val="none"/>
                <w:lang w:val="en-US" w:eastAsia="zh-CN" w:bidi="ar"/>
              </w:rPr>
              <w:t>厨房设备汇总</w:t>
            </w:r>
          </w:p>
        </w:tc>
      </w:tr>
      <w:tr w14:paraId="017A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8EAADC"/>
            <w:vAlign w:val="center"/>
          </w:tcPr>
          <w:p w14:paraId="2AB7F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956" w:type="dxa"/>
            <w:vMerge w:val="restart"/>
            <w:tcBorders>
              <w:top w:val="single" w:color="000000" w:sz="4" w:space="0"/>
              <w:left w:val="single" w:color="000000" w:sz="4" w:space="0"/>
              <w:bottom w:val="single" w:color="000000" w:sz="4" w:space="0"/>
              <w:right w:val="single" w:color="000000" w:sz="4" w:space="0"/>
            </w:tcBorders>
            <w:shd w:val="clear" w:color="auto" w:fill="8EAADC"/>
            <w:vAlign w:val="center"/>
          </w:tcPr>
          <w:p w14:paraId="7A5F2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内容</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8EAADC"/>
            <w:vAlign w:val="center"/>
          </w:tcPr>
          <w:p w14:paraId="2122C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8EAADC"/>
            <w:vAlign w:val="center"/>
          </w:tcPr>
          <w:p w14:paraId="7B7EB5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汇总数量</w:t>
            </w:r>
          </w:p>
        </w:tc>
        <w:tc>
          <w:tcPr>
            <w:tcW w:w="776" w:type="dxa"/>
            <w:vMerge w:val="restart"/>
            <w:tcBorders>
              <w:top w:val="nil"/>
              <w:left w:val="single" w:color="000000" w:sz="4" w:space="0"/>
              <w:bottom w:val="single" w:color="000000" w:sz="4" w:space="0"/>
              <w:right w:val="nil"/>
            </w:tcBorders>
            <w:shd w:val="clear" w:color="auto" w:fill="8EAADC"/>
            <w:vAlign w:val="center"/>
          </w:tcPr>
          <w:p w14:paraId="298E7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白云数量</w:t>
            </w:r>
          </w:p>
        </w:tc>
        <w:tc>
          <w:tcPr>
            <w:tcW w:w="830" w:type="dxa"/>
            <w:vMerge w:val="restart"/>
            <w:tcBorders>
              <w:top w:val="nil"/>
              <w:left w:val="single" w:color="000000" w:sz="4" w:space="0"/>
              <w:bottom w:val="single" w:color="000000" w:sz="4" w:space="0"/>
              <w:right w:val="nil"/>
            </w:tcBorders>
            <w:shd w:val="clear" w:color="auto" w:fill="8EAADC"/>
            <w:vAlign w:val="center"/>
          </w:tcPr>
          <w:p w14:paraId="6F180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南马数量</w:t>
            </w:r>
          </w:p>
        </w:tc>
        <w:tc>
          <w:tcPr>
            <w:tcW w:w="2488" w:type="dxa"/>
            <w:vMerge w:val="restart"/>
            <w:tcBorders>
              <w:top w:val="nil"/>
              <w:left w:val="single" w:color="000000" w:sz="4" w:space="0"/>
              <w:bottom w:val="single" w:color="000000" w:sz="4" w:space="0"/>
              <w:right w:val="nil"/>
            </w:tcBorders>
            <w:shd w:val="clear" w:color="auto" w:fill="8EAADC"/>
            <w:vAlign w:val="center"/>
          </w:tcPr>
          <w:p w14:paraId="4043E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C42C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8EAADC"/>
            <w:vAlign w:val="center"/>
          </w:tcPr>
          <w:p w14:paraId="19565276">
            <w:pPr>
              <w:jc w:val="center"/>
              <w:rPr>
                <w:rFonts w:hint="eastAsia" w:ascii="宋体" w:hAnsi="宋体" w:eastAsia="宋体" w:cs="宋体"/>
                <w:i w:val="0"/>
                <w:iCs w:val="0"/>
                <w:color w:val="000000"/>
                <w:sz w:val="24"/>
                <w:szCs w:val="24"/>
                <w:u w:val="none"/>
              </w:rPr>
            </w:pPr>
          </w:p>
        </w:tc>
        <w:tc>
          <w:tcPr>
            <w:tcW w:w="3956" w:type="dxa"/>
            <w:vMerge w:val="continue"/>
            <w:tcBorders>
              <w:top w:val="single" w:color="000000" w:sz="4" w:space="0"/>
              <w:left w:val="single" w:color="000000" w:sz="4" w:space="0"/>
              <w:bottom w:val="single" w:color="000000" w:sz="4" w:space="0"/>
              <w:right w:val="single" w:color="000000" w:sz="4" w:space="0"/>
            </w:tcBorders>
            <w:shd w:val="clear" w:color="auto" w:fill="8EAADC"/>
            <w:vAlign w:val="center"/>
          </w:tcPr>
          <w:p w14:paraId="1E8E726C">
            <w:pPr>
              <w:jc w:val="center"/>
              <w:rPr>
                <w:rFonts w:hint="eastAsia" w:ascii="宋体" w:hAnsi="宋体" w:eastAsia="宋体" w:cs="宋体"/>
                <w:i w:val="0"/>
                <w:iCs w:val="0"/>
                <w:color w:val="000000"/>
                <w:sz w:val="24"/>
                <w:szCs w:val="24"/>
                <w:u w:val="none"/>
              </w:rPr>
            </w:pP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8EAADC"/>
            <w:vAlign w:val="center"/>
          </w:tcPr>
          <w:p w14:paraId="2094E0C6">
            <w:pPr>
              <w:jc w:val="center"/>
              <w:rPr>
                <w:rFonts w:hint="eastAsia" w:ascii="宋体" w:hAnsi="宋体" w:eastAsia="宋体" w:cs="宋体"/>
                <w:i w:val="0"/>
                <w:iCs w:val="0"/>
                <w:color w:val="000000"/>
                <w:sz w:val="24"/>
                <w:szCs w:val="24"/>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8EAADC"/>
            <w:vAlign w:val="center"/>
          </w:tcPr>
          <w:p w14:paraId="5F221FE6">
            <w:pPr>
              <w:jc w:val="center"/>
              <w:rPr>
                <w:rFonts w:hint="eastAsia" w:ascii="宋体" w:hAnsi="宋体" w:eastAsia="宋体" w:cs="宋体"/>
                <w:i w:val="0"/>
                <w:iCs w:val="0"/>
                <w:color w:val="000000"/>
                <w:sz w:val="24"/>
                <w:szCs w:val="24"/>
                <w:u w:val="none"/>
              </w:rPr>
            </w:pPr>
          </w:p>
        </w:tc>
        <w:tc>
          <w:tcPr>
            <w:tcW w:w="776" w:type="dxa"/>
            <w:vMerge w:val="continue"/>
            <w:tcBorders>
              <w:top w:val="nil"/>
              <w:left w:val="single" w:color="000000" w:sz="4" w:space="0"/>
              <w:bottom w:val="single" w:color="000000" w:sz="4" w:space="0"/>
              <w:right w:val="nil"/>
            </w:tcBorders>
            <w:shd w:val="clear" w:color="auto" w:fill="8EAADC"/>
            <w:vAlign w:val="center"/>
          </w:tcPr>
          <w:p w14:paraId="46A06DD2">
            <w:pPr>
              <w:jc w:val="center"/>
              <w:rPr>
                <w:rFonts w:hint="eastAsia" w:ascii="宋体" w:hAnsi="宋体" w:eastAsia="宋体" w:cs="宋体"/>
                <w:i w:val="0"/>
                <w:iCs w:val="0"/>
                <w:color w:val="000000"/>
                <w:sz w:val="24"/>
                <w:szCs w:val="24"/>
                <w:u w:val="none"/>
              </w:rPr>
            </w:pPr>
          </w:p>
        </w:tc>
        <w:tc>
          <w:tcPr>
            <w:tcW w:w="830" w:type="dxa"/>
            <w:vMerge w:val="continue"/>
            <w:tcBorders>
              <w:top w:val="nil"/>
              <w:left w:val="single" w:color="000000" w:sz="4" w:space="0"/>
              <w:bottom w:val="single" w:color="000000" w:sz="4" w:space="0"/>
              <w:right w:val="nil"/>
            </w:tcBorders>
            <w:shd w:val="clear" w:color="auto" w:fill="8EAADC"/>
            <w:vAlign w:val="center"/>
          </w:tcPr>
          <w:p w14:paraId="06E791C7">
            <w:pPr>
              <w:jc w:val="center"/>
              <w:rPr>
                <w:rFonts w:hint="eastAsia" w:ascii="宋体" w:hAnsi="宋体" w:eastAsia="宋体" w:cs="宋体"/>
                <w:i w:val="0"/>
                <w:iCs w:val="0"/>
                <w:color w:val="000000"/>
                <w:sz w:val="24"/>
                <w:szCs w:val="24"/>
                <w:u w:val="none"/>
              </w:rPr>
            </w:pPr>
          </w:p>
        </w:tc>
        <w:tc>
          <w:tcPr>
            <w:tcW w:w="2488" w:type="dxa"/>
            <w:vMerge w:val="continue"/>
            <w:tcBorders>
              <w:top w:val="nil"/>
              <w:left w:val="single" w:color="000000" w:sz="4" w:space="0"/>
              <w:bottom w:val="single" w:color="000000" w:sz="4" w:space="0"/>
              <w:right w:val="nil"/>
            </w:tcBorders>
            <w:shd w:val="clear" w:color="auto" w:fill="8EAADC"/>
            <w:vAlign w:val="center"/>
          </w:tcPr>
          <w:p w14:paraId="5E103F68">
            <w:pPr>
              <w:jc w:val="center"/>
              <w:rPr>
                <w:rFonts w:hint="eastAsia" w:ascii="宋体" w:hAnsi="宋体" w:eastAsia="宋体" w:cs="宋体"/>
                <w:i w:val="0"/>
                <w:iCs w:val="0"/>
                <w:color w:val="000000"/>
                <w:sz w:val="24"/>
                <w:szCs w:val="24"/>
                <w:u w:val="none"/>
              </w:rPr>
            </w:pPr>
          </w:p>
        </w:tc>
      </w:tr>
      <w:tr w14:paraId="63FA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nil"/>
            </w:tcBorders>
            <w:shd w:val="clear" w:color="auto" w:fill="C8C8C8"/>
            <w:vAlign w:val="center"/>
          </w:tcPr>
          <w:p w14:paraId="7791F97C">
            <w:pPr>
              <w:rPr>
                <w:rFonts w:hint="eastAsia" w:ascii="宋体" w:hAnsi="宋体" w:eastAsia="宋体" w:cs="宋体"/>
                <w:i w:val="0"/>
                <w:iCs w:val="0"/>
                <w:color w:val="0070C0"/>
                <w:sz w:val="24"/>
                <w:szCs w:val="24"/>
                <w:u w:val="none"/>
              </w:rPr>
            </w:pPr>
          </w:p>
        </w:tc>
        <w:tc>
          <w:tcPr>
            <w:tcW w:w="3956" w:type="dxa"/>
            <w:tcBorders>
              <w:top w:val="single" w:color="000000" w:sz="4" w:space="0"/>
              <w:left w:val="nil"/>
              <w:bottom w:val="single" w:color="000000" w:sz="4" w:space="0"/>
              <w:right w:val="nil"/>
            </w:tcBorders>
            <w:shd w:val="clear" w:color="auto" w:fill="C8C8C8"/>
            <w:vAlign w:val="center"/>
          </w:tcPr>
          <w:p w14:paraId="3BF6B6F7">
            <w:pPr>
              <w:keepNext w:val="0"/>
              <w:keepLines w:val="0"/>
              <w:widowControl/>
              <w:suppressLineNumbers w:val="0"/>
              <w:jc w:val="center"/>
              <w:textAlignment w:val="center"/>
              <w:rPr>
                <w:rFonts w:hint="eastAsia" w:ascii="宋体" w:hAnsi="宋体" w:eastAsia="宋体" w:cs="宋体"/>
                <w:i w:val="0"/>
                <w:iCs w:val="0"/>
                <w:color w:val="0070C0"/>
                <w:sz w:val="24"/>
                <w:szCs w:val="24"/>
                <w:u w:val="none"/>
              </w:rPr>
            </w:pPr>
            <w:r>
              <w:rPr>
                <w:rFonts w:hint="eastAsia" w:ascii="宋体" w:hAnsi="宋体" w:eastAsia="宋体" w:cs="宋体"/>
                <w:i w:val="0"/>
                <w:iCs w:val="0"/>
                <w:color w:val="0070C0"/>
                <w:kern w:val="0"/>
                <w:sz w:val="24"/>
                <w:szCs w:val="24"/>
                <w:u w:val="none"/>
                <w:lang w:val="en-US" w:eastAsia="zh-CN" w:bidi="ar"/>
              </w:rPr>
              <w:t>厨房</w:t>
            </w:r>
          </w:p>
        </w:tc>
        <w:tc>
          <w:tcPr>
            <w:tcW w:w="506" w:type="dxa"/>
            <w:tcBorders>
              <w:top w:val="single" w:color="000000" w:sz="4" w:space="0"/>
              <w:left w:val="nil"/>
              <w:bottom w:val="single" w:color="000000" w:sz="4" w:space="0"/>
              <w:right w:val="nil"/>
            </w:tcBorders>
            <w:shd w:val="clear" w:color="auto" w:fill="C8C8C8"/>
            <w:vAlign w:val="center"/>
          </w:tcPr>
          <w:p w14:paraId="73EC21C3">
            <w:pPr>
              <w:rPr>
                <w:rFonts w:hint="eastAsia" w:ascii="宋体" w:hAnsi="宋体" w:eastAsia="宋体" w:cs="宋体"/>
                <w:i w:val="0"/>
                <w:iCs w:val="0"/>
                <w:color w:val="0070C0"/>
                <w:sz w:val="24"/>
                <w:szCs w:val="24"/>
                <w:u w:val="none"/>
              </w:rPr>
            </w:pPr>
          </w:p>
        </w:tc>
        <w:tc>
          <w:tcPr>
            <w:tcW w:w="766" w:type="dxa"/>
            <w:tcBorders>
              <w:top w:val="single" w:color="000000" w:sz="4" w:space="0"/>
              <w:left w:val="nil"/>
              <w:bottom w:val="single" w:color="000000" w:sz="4" w:space="0"/>
              <w:right w:val="nil"/>
            </w:tcBorders>
            <w:shd w:val="clear" w:color="auto" w:fill="C8C8C8"/>
            <w:vAlign w:val="center"/>
          </w:tcPr>
          <w:p w14:paraId="248C1A68">
            <w:pPr>
              <w:rPr>
                <w:rFonts w:hint="eastAsia" w:ascii="宋体" w:hAnsi="宋体" w:eastAsia="宋体" w:cs="宋体"/>
                <w:i w:val="0"/>
                <w:iCs w:val="0"/>
                <w:color w:val="0070C0"/>
                <w:sz w:val="24"/>
                <w:szCs w:val="24"/>
                <w:u w:val="none"/>
              </w:rPr>
            </w:pPr>
          </w:p>
        </w:tc>
        <w:tc>
          <w:tcPr>
            <w:tcW w:w="776" w:type="dxa"/>
            <w:tcBorders>
              <w:top w:val="single" w:color="000000" w:sz="4" w:space="0"/>
              <w:left w:val="nil"/>
              <w:bottom w:val="single" w:color="000000" w:sz="4" w:space="0"/>
              <w:right w:val="nil"/>
            </w:tcBorders>
            <w:shd w:val="clear" w:color="auto" w:fill="C8C8C8"/>
            <w:vAlign w:val="bottom"/>
          </w:tcPr>
          <w:p w14:paraId="608F04E5">
            <w:pPr>
              <w:jc w:val="center"/>
              <w:rPr>
                <w:rFonts w:hint="eastAsia" w:ascii="宋体" w:hAnsi="宋体" w:eastAsia="宋体" w:cs="宋体"/>
                <w:i w:val="0"/>
                <w:iCs w:val="0"/>
                <w:color w:val="000000"/>
                <w:sz w:val="24"/>
                <w:szCs w:val="24"/>
                <w:u w:val="none"/>
              </w:rPr>
            </w:pPr>
          </w:p>
        </w:tc>
        <w:tc>
          <w:tcPr>
            <w:tcW w:w="830" w:type="dxa"/>
            <w:tcBorders>
              <w:top w:val="single" w:color="000000" w:sz="4" w:space="0"/>
              <w:left w:val="nil"/>
              <w:bottom w:val="single" w:color="000000" w:sz="4" w:space="0"/>
              <w:right w:val="nil"/>
            </w:tcBorders>
            <w:shd w:val="clear" w:color="auto" w:fill="C8C8C8"/>
            <w:vAlign w:val="bottom"/>
          </w:tcPr>
          <w:p w14:paraId="54F88C89">
            <w:pPr>
              <w:jc w:val="center"/>
              <w:rPr>
                <w:rFonts w:hint="eastAsia" w:ascii="宋体" w:hAnsi="宋体" w:eastAsia="宋体" w:cs="宋体"/>
                <w:i w:val="0"/>
                <w:iCs w:val="0"/>
                <w:color w:val="000000"/>
                <w:sz w:val="24"/>
                <w:szCs w:val="24"/>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3ED86889">
            <w:pPr>
              <w:jc w:val="center"/>
              <w:rPr>
                <w:rFonts w:hint="eastAsia" w:ascii="宋体" w:hAnsi="宋体" w:eastAsia="宋体" w:cs="宋体"/>
                <w:i w:val="0"/>
                <w:iCs w:val="0"/>
                <w:color w:val="000000"/>
                <w:sz w:val="24"/>
                <w:szCs w:val="24"/>
                <w:u w:val="none"/>
              </w:rPr>
            </w:pPr>
          </w:p>
        </w:tc>
      </w:tr>
      <w:tr w14:paraId="30F96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AD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E0F4">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4"/>
                <w:szCs w:val="24"/>
                <w:highlight w:val="none"/>
                <w:u w:val="none"/>
                <w:lang w:val="en-US" w:eastAsia="zh-CN" w:bidi="ar"/>
              </w:rPr>
            </w:pPr>
            <w:r>
              <w:rPr>
                <w:rFonts w:hint="eastAsia" w:ascii="宋体" w:hAnsi="宋体" w:eastAsia="宋体" w:cs="宋体"/>
                <w:b/>
                <w:bCs/>
                <w:i w:val="0"/>
                <w:iCs w:val="0"/>
                <w:strike w:val="0"/>
                <w:dstrike w:val="0"/>
                <w:color w:val="auto"/>
                <w:kern w:val="0"/>
                <w:sz w:val="24"/>
                <w:szCs w:val="24"/>
                <w:highlight w:val="none"/>
                <w:u w:val="none"/>
                <w:lang w:val="en-US" w:eastAsia="zh-CN" w:bidi="ar"/>
              </w:rPr>
              <w:t>电热开水器</w:t>
            </w:r>
            <w:r>
              <w:rPr>
                <w:rFonts w:hint="eastAsia" w:ascii="宋体" w:hAnsi="宋体" w:eastAsia="宋体" w:cs="宋体"/>
                <w:i w:val="0"/>
                <w:iCs w:val="0"/>
                <w:strike w:val="0"/>
                <w:dstrike w:val="0"/>
                <w:color w:val="auto"/>
                <w:kern w:val="0"/>
                <w:sz w:val="24"/>
                <w:szCs w:val="24"/>
                <w:highlight w:val="none"/>
                <w:u w:val="none"/>
                <w:lang w:val="en-US" w:eastAsia="zh-CN" w:bidi="ar"/>
              </w:rPr>
              <w:t xml:space="preserve">        </w:t>
            </w:r>
          </w:p>
          <w:p w14:paraId="73763D90">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4"/>
                <w:szCs w:val="24"/>
                <w:highlight w:val="none"/>
                <w:u w:val="none"/>
                <w:lang w:val="en-US" w:eastAsia="zh-CN" w:bidi="ar"/>
              </w:rPr>
            </w:pPr>
            <w:r>
              <w:rPr>
                <w:rFonts w:hint="eastAsia" w:ascii="宋体" w:hAnsi="宋体" w:eastAsia="宋体" w:cs="宋体"/>
                <w:i w:val="0"/>
                <w:iCs w:val="0"/>
                <w:strike w:val="0"/>
                <w:dstrike w:val="0"/>
                <w:color w:val="auto"/>
                <w:kern w:val="0"/>
                <w:sz w:val="24"/>
                <w:szCs w:val="24"/>
                <w:highlight w:val="none"/>
                <w:u w:val="none"/>
                <w:lang w:val="en-US" w:eastAsia="zh-CN" w:bidi="ar"/>
              </w:rPr>
              <w:t>进水口设在底部，再通过水流控制程序发出准确指令，在热水上升原理的作用下，原水被分层加热，分层烧开，确保水嘴高度以上的水已烧开，实现水嘴出来的水都是开水。</w:t>
            </w:r>
          </w:p>
          <w:p w14:paraId="4FEC2E28">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4"/>
                <w:szCs w:val="24"/>
                <w:highlight w:val="none"/>
                <w:u w:val="none"/>
                <w:lang w:val="en-US" w:eastAsia="zh-CN" w:bidi="ar"/>
              </w:rPr>
            </w:pPr>
            <w:r>
              <w:rPr>
                <w:rFonts w:hint="eastAsia" w:ascii="宋体" w:hAnsi="宋体" w:eastAsia="宋体" w:cs="宋体"/>
                <w:i w:val="0"/>
                <w:iCs w:val="0"/>
                <w:strike w:val="0"/>
                <w:dstrike w:val="0"/>
                <w:color w:val="auto"/>
                <w:kern w:val="0"/>
                <w:sz w:val="24"/>
                <w:szCs w:val="24"/>
                <w:highlight w:val="none"/>
                <w:u w:val="none"/>
                <w:lang w:val="en-US" w:eastAsia="zh-CN" w:bidi="ar"/>
              </w:rPr>
              <w:t>采用发泡保温结构，使本机保温节能率达30%以上。 引入智能程序控制，智能化管理，使工作过程全自动，且准确可靠。 保温温度高，可精确控制在±1℃ 度范围，供水温度高。 采用高级不锈钢制造，涉水容器用食用级304不锈钢制造</w:t>
            </w:r>
            <w:r>
              <w:rPr>
                <w:rFonts w:hint="eastAsia" w:ascii="宋体" w:hAnsi="宋体" w:cs="宋体"/>
                <w:i w:val="0"/>
                <w:iCs w:val="0"/>
                <w:strike w:val="0"/>
                <w:dstrike w:val="0"/>
                <w:color w:val="auto"/>
                <w:kern w:val="0"/>
                <w:sz w:val="24"/>
                <w:szCs w:val="24"/>
                <w:highlight w:val="none"/>
                <w:u w:val="none"/>
                <w:lang w:val="en-US" w:eastAsia="zh-CN" w:bidi="ar"/>
              </w:rPr>
              <w:t>。</w:t>
            </w:r>
          </w:p>
          <w:p w14:paraId="31FF3E54">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4"/>
                <w:szCs w:val="24"/>
                <w:highlight w:val="none"/>
                <w:u w:val="none"/>
                <w:lang w:val="en-US" w:eastAsia="zh-CN" w:bidi="ar"/>
              </w:rPr>
            </w:pPr>
            <w:r>
              <w:rPr>
                <w:rFonts w:hint="eastAsia" w:ascii="宋体" w:hAnsi="宋体" w:eastAsia="宋体" w:cs="宋体"/>
                <w:i w:val="0"/>
                <w:iCs w:val="0"/>
                <w:strike w:val="0"/>
                <w:dstrike w:val="0"/>
                <w:color w:val="auto"/>
                <w:kern w:val="0"/>
                <w:sz w:val="24"/>
                <w:szCs w:val="24"/>
                <w:highlight w:val="none"/>
                <w:u w:val="none"/>
                <w:lang w:val="en-US" w:eastAsia="zh-CN" w:bidi="ar"/>
              </w:rPr>
              <w:t>功率：</w:t>
            </w:r>
            <w:r>
              <w:rPr>
                <w:rFonts w:hint="eastAsia" w:ascii="宋体" w:hAnsi="宋体" w:cs="宋体"/>
                <w:i w:val="0"/>
                <w:iCs w:val="0"/>
                <w:strike w:val="0"/>
                <w:dstrike w:val="0"/>
                <w:color w:val="auto"/>
                <w:kern w:val="0"/>
                <w:sz w:val="24"/>
                <w:szCs w:val="24"/>
                <w:highlight w:val="none"/>
                <w:u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12KW/380V</w:t>
            </w:r>
          </w:p>
          <w:p w14:paraId="4B6DF62C">
            <w:pPr>
              <w:keepNext w:val="0"/>
              <w:keepLines w:val="0"/>
              <w:widowControl/>
              <w:suppressLineNumbers w:val="0"/>
              <w:jc w:val="left"/>
              <w:textAlignment w:val="center"/>
              <w:rPr>
                <w:rFonts w:hint="eastAsia" w:ascii="宋体" w:hAnsi="宋体" w:eastAsia="宋体" w:cs="宋体"/>
                <w:b/>
                <w:bCs/>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规格：</w:t>
            </w:r>
            <w:r>
              <w:rPr>
                <w:rFonts w:hint="eastAsia" w:ascii="宋体" w:hAnsi="宋体" w:cs="宋体"/>
                <w:i w:val="0"/>
                <w:iCs w:val="0"/>
                <w:strike w:val="0"/>
                <w:dstrike w:val="0"/>
                <w:color w:val="auto"/>
                <w:kern w:val="0"/>
                <w:sz w:val="24"/>
                <w:szCs w:val="24"/>
                <w:highlight w:val="none"/>
                <w:u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120L/h                           （需提供具有法定检测资质的检测机构出具的检测报告，并加盖投标人公章</w:t>
            </w:r>
            <w:r>
              <w:rPr>
                <w:rFonts w:hint="eastAsia" w:ascii="宋体" w:hAnsi="宋体" w:cs="宋体"/>
                <w:i w:val="0"/>
                <w:iCs w:val="0"/>
                <w:strike w:val="0"/>
                <w:dstrike w:val="0"/>
                <w:color w:val="auto"/>
                <w:kern w:val="0"/>
                <w:sz w:val="24"/>
                <w:szCs w:val="24"/>
                <w:highlight w:val="none"/>
                <w:u w:val="none"/>
                <w:lang w:val="en-US" w:eastAsia="zh-CN" w:bidi="ar"/>
              </w:rPr>
              <w:t>）</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0D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7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6A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A9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1612E1">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390525</wp:posOffset>
                  </wp:positionH>
                  <wp:positionV relativeFrom="paragraph">
                    <wp:posOffset>758190</wp:posOffset>
                  </wp:positionV>
                  <wp:extent cx="790575" cy="899160"/>
                  <wp:effectExtent l="0" t="0" r="9525" b="15240"/>
                  <wp:wrapNone/>
                  <wp:docPr id="86" name="图片_100"/>
                  <wp:cNvGraphicFramePr/>
                  <a:graphic xmlns:a="http://schemas.openxmlformats.org/drawingml/2006/main">
                    <a:graphicData uri="http://schemas.openxmlformats.org/drawingml/2006/picture">
                      <pic:pic xmlns:pic="http://schemas.openxmlformats.org/drawingml/2006/picture">
                        <pic:nvPicPr>
                          <pic:cNvPr id="86" name="图片_100"/>
                          <pic:cNvPicPr/>
                        </pic:nvPicPr>
                        <pic:blipFill>
                          <a:blip r:embed="rId6"/>
                          <a:stretch>
                            <a:fillRect/>
                          </a:stretch>
                        </pic:blipFill>
                        <pic:spPr>
                          <a:xfrm>
                            <a:off x="0" y="0"/>
                            <a:ext cx="790575" cy="899160"/>
                          </a:xfrm>
                          <a:prstGeom prst="rect">
                            <a:avLst/>
                          </a:prstGeom>
                          <a:noFill/>
                          <a:ln>
                            <a:noFill/>
                          </a:ln>
                        </pic:spPr>
                      </pic:pic>
                    </a:graphicData>
                  </a:graphic>
                </wp:anchor>
              </w:drawing>
            </w:r>
          </w:p>
        </w:tc>
      </w:tr>
      <w:tr w14:paraId="145AE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6A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top"/>
          </w:tcPr>
          <w:p w14:paraId="3BF0762C">
            <w:pPr>
              <w:keepNext w:val="0"/>
              <w:keepLines w:val="0"/>
              <w:widowControl/>
              <w:suppressLineNumbers w:val="0"/>
              <w:jc w:val="left"/>
              <w:textAlignment w:val="top"/>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长条水池</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w:t>
            </w:r>
            <w:r>
              <w:rPr>
                <w:rStyle w:val="608"/>
                <w:strike w:val="0"/>
                <w:dstrike w:val="0"/>
                <w:color w:val="auto"/>
                <w:highlight w:val="none"/>
                <w:lang w:val="en-US" w:eastAsia="zh-CN" w:bidi="ar"/>
              </w:rPr>
              <w:t>SUS304-2B</w:t>
            </w:r>
            <w:r>
              <w:rPr>
                <w:rFonts w:hint="eastAsia" w:ascii="宋体" w:hAnsi="宋体" w:eastAsia="宋体" w:cs="宋体"/>
                <w:i w:val="0"/>
                <w:iCs w:val="0"/>
                <w:strike w:val="0"/>
                <w:dstrike w:val="0"/>
                <w:color w:val="auto"/>
                <w:kern w:val="0"/>
                <w:sz w:val="22"/>
                <w:szCs w:val="22"/>
                <w:highlight w:val="none"/>
                <w:u w:val="none"/>
                <w:lang w:val="en-US" w:eastAsia="zh-CN" w:bidi="ar"/>
              </w:rPr>
              <w:t>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--台面及水斗δ=1.2mm，实厚δ≥1.08mm，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--水斗圆角模压成型，配优质不锈钢提笼式落水器及烂渣篮，水龙头另计；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圆通腿φ38*1.0mm加厚不锈钢圆管</w:t>
            </w:r>
            <w:r>
              <w:rPr>
                <w:rFonts w:hint="eastAsia" w:ascii="宋体" w:hAnsi="宋体" w:eastAsia="宋体" w:cs="宋体"/>
                <w:i w:val="0"/>
                <w:iCs w:val="0"/>
                <w:strike w:val="0"/>
                <w:dstrike w:val="0"/>
                <w:color w:val="auto"/>
                <w:kern w:val="0"/>
                <w:sz w:val="22"/>
                <w:szCs w:val="22"/>
                <w:highlight w:val="none"/>
                <w:u w:val="none"/>
                <w:lang w:val="en-US" w:eastAsia="zh-CN" w:bidi="ar"/>
              </w:rPr>
              <w:t>，实厚δ≥0.88mm；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下橫通φ25*1.0mm加厚不锈钢圆管</w:t>
            </w:r>
            <w:r>
              <w:rPr>
                <w:rFonts w:hint="eastAsia" w:ascii="宋体" w:hAnsi="宋体" w:eastAsia="宋体" w:cs="宋体"/>
                <w:i w:val="0"/>
                <w:iCs w:val="0"/>
                <w:strike w:val="0"/>
                <w:dstrike w:val="0"/>
                <w:color w:val="auto"/>
                <w:kern w:val="0"/>
                <w:sz w:val="22"/>
                <w:szCs w:val="22"/>
                <w:highlight w:val="none"/>
                <w:u w:val="none"/>
                <w:lang w:val="en-US" w:eastAsia="zh-CN" w:bidi="ar"/>
              </w:rPr>
              <w:t>，实厚δ≥0.88mm；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2400*700*(800+150)mm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B5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9E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6F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17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D0128F">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381635</wp:posOffset>
                  </wp:positionH>
                  <wp:positionV relativeFrom="paragraph">
                    <wp:posOffset>437515</wp:posOffset>
                  </wp:positionV>
                  <wp:extent cx="875665" cy="517525"/>
                  <wp:effectExtent l="0" t="0" r="635" b="15875"/>
                  <wp:wrapNone/>
                  <wp:docPr id="63" name="Picture_444"/>
                  <wp:cNvGraphicFramePr/>
                  <a:graphic xmlns:a="http://schemas.openxmlformats.org/drawingml/2006/main">
                    <a:graphicData uri="http://schemas.openxmlformats.org/drawingml/2006/picture">
                      <pic:pic xmlns:pic="http://schemas.openxmlformats.org/drawingml/2006/picture">
                        <pic:nvPicPr>
                          <pic:cNvPr id="63" name="Picture_444"/>
                          <pic:cNvPicPr/>
                        </pic:nvPicPr>
                        <pic:blipFill>
                          <a:blip r:embed="rId7"/>
                          <a:stretch>
                            <a:fillRect/>
                          </a:stretch>
                        </pic:blipFill>
                        <pic:spPr>
                          <a:xfrm>
                            <a:off x="0" y="0"/>
                            <a:ext cx="875665" cy="517525"/>
                          </a:xfrm>
                          <a:prstGeom prst="rect">
                            <a:avLst/>
                          </a:prstGeom>
                          <a:noFill/>
                          <a:ln>
                            <a:noFill/>
                          </a:ln>
                        </pic:spPr>
                      </pic:pic>
                    </a:graphicData>
                  </a:graphic>
                </wp:anchor>
              </w:drawing>
            </w:r>
          </w:p>
        </w:tc>
      </w:tr>
      <w:tr w14:paraId="76144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7C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D0D4">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四层平板货架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w:t>
            </w:r>
            <w:r>
              <w:rPr>
                <w:rStyle w:val="608"/>
                <w:strike w:val="0"/>
                <w:dstrike w:val="0"/>
                <w:color w:val="auto"/>
                <w:highlight w:val="none"/>
                <w:lang w:val="en-US" w:eastAsia="zh-CN" w:bidi="ar"/>
              </w:rPr>
              <w:t>SUS304-2B</w:t>
            </w:r>
            <w:r>
              <w:rPr>
                <w:rFonts w:hint="eastAsia" w:ascii="宋体" w:hAnsi="宋体" w:eastAsia="宋体" w:cs="宋体"/>
                <w:i w:val="0"/>
                <w:iCs w:val="0"/>
                <w:strike w:val="0"/>
                <w:dstrike w:val="0"/>
                <w:color w:val="auto"/>
                <w:kern w:val="0"/>
                <w:sz w:val="22"/>
                <w:szCs w:val="22"/>
                <w:highlight w:val="none"/>
                <w:u w:val="none"/>
                <w:lang w:val="en-US" w:eastAsia="zh-CN" w:bidi="ar"/>
              </w:rPr>
              <w:t>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--层板δ=1.2mm，实厚δ≥0.88mm；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立柱为φ38*1.0mm加厚管制</w:t>
            </w:r>
            <w:r>
              <w:rPr>
                <w:rFonts w:hint="eastAsia" w:ascii="宋体" w:hAnsi="宋体" w:eastAsia="宋体" w:cs="宋体"/>
                <w:i w:val="0"/>
                <w:iCs w:val="0"/>
                <w:strike w:val="0"/>
                <w:dstrike w:val="0"/>
                <w:color w:val="auto"/>
                <w:kern w:val="0"/>
                <w:sz w:val="22"/>
                <w:szCs w:val="22"/>
                <w:highlight w:val="none"/>
                <w:u w:val="none"/>
                <w:lang w:val="en-US" w:eastAsia="zh-CN" w:bidi="ar"/>
              </w:rPr>
              <w:t>，实厚δ≥0.88mm；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--层板型，四层结构，下衬不锈钢加强筋，实厚δ≥0.88mm；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--配置重力不锈钢可调节子弹脚；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1200*500*1800mm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17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66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44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99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50FE68">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381635</wp:posOffset>
                  </wp:positionH>
                  <wp:positionV relativeFrom="paragraph">
                    <wp:posOffset>503555</wp:posOffset>
                  </wp:positionV>
                  <wp:extent cx="1009650" cy="769620"/>
                  <wp:effectExtent l="0" t="0" r="0" b="11430"/>
                  <wp:wrapNone/>
                  <wp:docPr id="79" name="图片_29"/>
                  <wp:cNvGraphicFramePr/>
                  <a:graphic xmlns:a="http://schemas.openxmlformats.org/drawingml/2006/main">
                    <a:graphicData uri="http://schemas.openxmlformats.org/drawingml/2006/picture">
                      <pic:pic xmlns:pic="http://schemas.openxmlformats.org/drawingml/2006/picture">
                        <pic:nvPicPr>
                          <pic:cNvPr id="79" name="图片_29"/>
                          <pic:cNvPicPr/>
                        </pic:nvPicPr>
                        <pic:blipFill>
                          <a:blip r:embed="rId8"/>
                          <a:stretch>
                            <a:fillRect/>
                          </a:stretch>
                        </pic:blipFill>
                        <pic:spPr>
                          <a:xfrm>
                            <a:off x="0" y="0"/>
                            <a:ext cx="1009650" cy="769620"/>
                          </a:xfrm>
                          <a:prstGeom prst="rect">
                            <a:avLst/>
                          </a:prstGeom>
                          <a:noFill/>
                          <a:ln>
                            <a:noFill/>
                          </a:ln>
                        </pic:spPr>
                      </pic:pic>
                    </a:graphicData>
                  </a:graphic>
                </wp:anchor>
              </w:drawing>
            </w:r>
          </w:p>
        </w:tc>
      </w:tr>
      <w:tr w14:paraId="40223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C1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A621">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四门双机双温冰箱</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--内、外胆均采用优质不锈钢板制作，</w:t>
            </w:r>
            <w:r>
              <w:rPr>
                <w:rStyle w:val="608"/>
                <w:strike w:val="0"/>
                <w:dstrike w:val="0"/>
                <w:color w:val="auto"/>
                <w:highlight w:val="none"/>
                <w:lang w:val="en-US" w:eastAsia="zh-CN" w:bidi="ar"/>
              </w:rPr>
              <w:t>内胆板厚δ=0.8mm，外胆板厚δ=0.6mm；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--电子式温控数字显示，自动回归门；</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--采用优质压缩机组；</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--聚胺脂一次发泡成型，R134a无氟环保制冷剂；</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--全铜管冷凝器、蒸发器；</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--双机双温，温度范围：冷冻温度：-15℃～-6℃，冷藏温度：-5℃～+10℃</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1220*730*1940mm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BD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28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7F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F2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EE80AF">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600710</wp:posOffset>
                  </wp:positionH>
                  <wp:positionV relativeFrom="paragraph">
                    <wp:posOffset>518795</wp:posOffset>
                  </wp:positionV>
                  <wp:extent cx="781685" cy="1166495"/>
                  <wp:effectExtent l="0" t="0" r="18415" b="14605"/>
                  <wp:wrapNone/>
                  <wp:docPr id="81" name="图片_48"/>
                  <wp:cNvGraphicFramePr/>
                  <a:graphic xmlns:a="http://schemas.openxmlformats.org/drawingml/2006/main">
                    <a:graphicData uri="http://schemas.openxmlformats.org/drawingml/2006/picture">
                      <pic:pic xmlns:pic="http://schemas.openxmlformats.org/drawingml/2006/picture">
                        <pic:nvPicPr>
                          <pic:cNvPr id="81" name="图片_48"/>
                          <pic:cNvPicPr/>
                        </pic:nvPicPr>
                        <pic:blipFill>
                          <a:blip r:embed="rId9"/>
                          <a:stretch>
                            <a:fillRect/>
                          </a:stretch>
                        </pic:blipFill>
                        <pic:spPr>
                          <a:xfrm>
                            <a:off x="0" y="0"/>
                            <a:ext cx="781685" cy="1166495"/>
                          </a:xfrm>
                          <a:prstGeom prst="rect">
                            <a:avLst/>
                          </a:prstGeom>
                          <a:noFill/>
                          <a:ln>
                            <a:noFill/>
                          </a:ln>
                        </pic:spPr>
                      </pic:pic>
                    </a:graphicData>
                  </a:graphic>
                </wp:anchor>
              </w:drawing>
            </w:r>
          </w:p>
        </w:tc>
      </w:tr>
      <w:tr w14:paraId="2542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E1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874A">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 xml:space="preserve">智能双门热风循环消毒柜                                                     </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t>：                                            1.选用SUS304-2B优质不锈钢板制作；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2.内层板δ=1.0mm，实厚δ≥0.88mm；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3.外层板δ=0.8mm，实厚δ≥0.68mm；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4.</w:t>
            </w:r>
            <w:r>
              <w:rPr>
                <w:rStyle w:val="608"/>
                <w:strike w:val="0"/>
                <w:dstrike w:val="0"/>
                <w:color w:val="auto"/>
                <w:highlight w:val="none"/>
                <w:lang w:val="en-US" w:eastAsia="zh-CN" w:bidi="ar"/>
              </w:rPr>
              <w:t>内分四层，热风循环消毒；</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5.设备特定中制系列安全保护系统及操作保护功能，预开放为一体智能专用数码显示微电脑控制系统；</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6.标准时间数字显示，工作温度可调节设置；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7.恒温工作时间可自动关闭设置；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8.当前工作时间数字显示，当前温度数字显示；</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9.预约式工作时段可调节设置；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10.</w:t>
            </w:r>
            <w:r>
              <w:rPr>
                <w:rStyle w:val="608"/>
                <w:strike w:val="0"/>
                <w:dstrike w:val="0"/>
                <w:color w:val="auto"/>
                <w:highlight w:val="none"/>
                <w:lang w:val="en-US" w:eastAsia="zh-CN" w:bidi="ar"/>
              </w:rPr>
              <w:t>面板控制规格：160*80mm；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11.固定螺丝不锈钢制；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12.功率：</w:t>
            </w:r>
            <w:r>
              <w:rPr>
                <w:rStyle w:val="608"/>
                <w:rFonts w:hint="eastAsia"/>
                <w:strike w:val="0"/>
                <w:dstrike w:val="0"/>
                <w:color w:val="auto"/>
                <w:highlight w:val="none"/>
                <w:lang w:val="en-US" w:eastAsia="zh-CN" w:bidi="ar"/>
              </w:rPr>
              <w:t>≥</w:t>
            </w:r>
            <w:r>
              <w:rPr>
                <w:rStyle w:val="608"/>
                <w:strike w:val="0"/>
                <w:dstrike w:val="0"/>
                <w:color w:val="auto"/>
                <w:highlight w:val="none"/>
                <w:lang w:val="en-US" w:eastAsia="zh-CN" w:bidi="ar"/>
              </w:rPr>
              <w:t>4KW/220V；</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13.规格：1100*600*1800mm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需提供具有法定检测资质的检测机构出具的检测报告，并加盖投标人公章）</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▲设备制作所用不锈钢板材和管材需符合 GB 4806.9-2016 《食品安全国家标准食品接触用金属材料及制品》标准、满足 GB/T 10125-2012</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《人造气氛腐蚀试验》120 小时及以上，中性盐雾耐腐蚀性能≥8 级，（</w:t>
            </w:r>
            <w:r>
              <w:rPr>
                <w:rStyle w:val="608"/>
                <w:strike w:val="0"/>
                <w:dstrike w:val="0"/>
                <w:color w:val="auto"/>
                <w:highlight w:val="none"/>
                <w:lang w:val="en-US" w:eastAsia="zh-CN" w:bidi="ar"/>
              </w:rPr>
              <w:t>需提供具有法定检测资质的检测机构出具的检测报告，并加盖投标人公章）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EB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77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A2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DE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AD5394">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542925</wp:posOffset>
                  </wp:positionH>
                  <wp:positionV relativeFrom="paragraph">
                    <wp:posOffset>1440815</wp:posOffset>
                  </wp:positionV>
                  <wp:extent cx="781685" cy="1014095"/>
                  <wp:effectExtent l="0" t="0" r="18415" b="14605"/>
                  <wp:wrapNone/>
                  <wp:docPr id="78" name="Picture_191"/>
                  <wp:cNvGraphicFramePr/>
                  <a:graphic xmlns:a="http://schemas.openxmlformats.org/drawingml/2006/main">
                    <a:graphicData uri="http://schemas.openxmlformats.org/drawingml/2006/picture">
                      <pic:pic xmlns:pic="http://schemas.openxmlformats.org/drawingml/2006/picture">
                        <pic:nvPicPr>
                          <pic:cNvPr id="78" name="Picture_191"/>
                          <pic:cNvPicPr/>
                        </pic:nvPicPr>
                        <pic:blipFill>
                          <a:blip r:embed="rId10"/>
                          <a:stretch>
                            <a:fillRect/>
                          </a:stretch>
                        </pic:blipFill>
                        <pic:spPr>
                          <a:xfrm>
                            <a:off x="0" y="0"/>
                            <a:ext cx="781685" cy="1014095"/>
                          </a:xfrm>
                          <a:prstGeom prst="rect">
                            <a:avLst/>
                          </a:prstGeom>
                          <a:noFill/>
                          <a:ln>
                            <a:noFill/>
                          </a:ln>
                        </pic:spPr>
                      </pic:pic>
                    </a:graphicData>
                  </a:graphic>
                </wp:anchor>
              </w:drawing>
            </w:r>
          </w:p>
        </w:tc>
      </w:tr>
      <w:tr w14:paraId="22053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14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180C">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调料平台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选用SUS304-2B优质不锈钢制作</w:t>
            </w:r>
            <w:r>
              <w:rPr>
                <w:rFonts w:hint="eastAsia" w:ascii="宋体" w:hAnsi="宋体" w:eastAsia="宋体" w:cs="宋体"/>
                <w:i w:val="0"/>
                <w:iCs w:val="0"/>
                <w:strike w:val="0"/>
                <w:dstrike w:val="0"/>
                <w:color w:val="auto"/>
                <w:kern w:val="0"/>
                <w:sz w:val="22"/>
                <w:szCs w:val="22"/>
                <w:highlight w:val="none"/>
                <w:u w:val="none"/>
                <w:lang w:val="en-US" w:eastAsia="zh-CN" w:bidi="ar"/>
              </w:rPr>
              <w:t>；</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--台面δ=1.2mm，实厚δ≥1.08mm，层板δ=1.0mm，实厚δ≥0.88mm；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--圆通脚采用φ38*1.0mm不锈钢加厚圆管制作，实厚δ≥0.88mm；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--横通档采用25*38*1.0mm，实厚δ≥0.88mm；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--下衬12mm密度板减噪，配不锈钢加强筋、板δ=1.0mm，实厚δ≥0.88mm；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--外形与灶具同款设计，配置重力不锈钢可调节子弹脚。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400*1000*（800+450）mm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79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E4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91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61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A43526">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524510</wp:posOffset>
                  </wp:positionH>
                  <wp:positionV relativeFrom="paragraph">
                    <wp:posOffset>584200</wp:posOffset>
                  </wp:positionV>
                  <wp:extent cx="913765" cy="615315"/>
                  <wp:effectExtent l="0" t="0" r="635" b="13335"/>
                  <wp:wrapNone/>
                  <wp:docPr id="82" name="Picture_109"/>
                  <wp:cNvGraphicFramePr/>
                  <a:graphic xmlns:a="http://schemas.openxmlformats.org/drawingml/2006/main">
                    <a:graphicData uri="http://schemas.openxmlformats.org/drawingml/2006/picture">
                      <pic:pic xmlns:pic="http://schemas.openxmlformats.org/drawingml/2006/picture">
                        <pic:nvPicPr>
                          <pic:cNvPr id="82" name="Picture_109"/>
                          <pic:cNvPicPr/>
                        </pic:nvPicPr>
                        <pic:blipFill>
                          <a:blip r:embed="rId11"/>
                          <a:stretch>
                            <a:fillRect/>
                          </a:stretch>
                        </pic:blipFill>
                        <pic:spPr>
                          <a:xfrm>
                            <a:off x="0" y="0"/>
                            <a:ext cx="913765" cy="615315"/>
                          </a:xfrm>
                          <a:prstGeom prst="rect">
                            <a:avLst/>
                          </a:prstGeom>
                          <a:noFill/>
                          <a:ln>
                            <a:noFill/>
                          </a:ln>
                        </pic:spPr>
                      </pic:pic>
                    </a:graphicData>
                  </a:graphic>
                </wp:anchor>
              </w:drawing>
            </w:r>
          </w:p>
        </w:tc>
      </w:tr>
      <w:tr w14:paraId="47181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7B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45D5">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一大一小灶</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--技术参数：</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--选用SUS304-2B优质不锈钢板制作；</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--台面板δ=1.2mm，实厚δ≥1.08mm；</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--面板、侧板、后板板δ=1.0mm，实厚δ≥0.88mm；</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--炉内胆不锈钢制，板δ=1.2mm，实厚δ≥1.08mm；</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--炉支架为40*40*1.5mm镀锌角铁，重力脚φ50*1.0mm，配有重力可调子弹脚；</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--炉面板及炮台用厚1.2mm不锈钢液压拉伸成型；</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--炉芯采用铸铁炉头；</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--炉膛采用耐火砖、耐火水泥、耐火砂打制而成；</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--配助燃鼓风机、不锈钢摇摆水龙头、优质气阀，冷却水阀，灶圈口径Ф600mm+Ф330mm。</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--电源开关、点火开关、风机开关均为不锈钢防水带指示灯制；</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--脉冲电子点火，配有火种阀；</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--额定热负荷：</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35kW+45kW</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--功率：</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120W+180W/2PH/220V</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--规格：2000*1000*(800+300)mm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AC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1D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46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18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E84DB6">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1128395</wp:posOffset>
                  </wp:positionV>
                  <wp:extent cx="1066165" cy="1025525"/>
                  <wp:effectExtent l="0" t="0" r="635" b="3175"/>
                  <wp:wrapNone/>
                  <wp:docPr id="55" name="图片_5"/>
                  <wp:cNvGraphicFramePr/>
                  <a:graphic xmlns:a="http://schemas.openxmlformats.org/drawingml/2006/main">
                    <a:graphicData uri="http://schemas.openxmlformats.org/drawingml/2006/picture">
                      <pic:pic xmlns:pic="http://schemas.openxmlformats.org/drawingml/2006/picture">
                        <pic:nvPicPr>
                          <pic:cNvPr id="55" name="图片_5"/>
                          <pic:cNvPicPr/>
                        </pic:nvPicPr>
                        <pic:blipFill>
                          <a:blip r:embed="rId12"/>
                          <a:stretch>
                            <a:fillRect/>
                          </a:stretch>
                        </pic:blipFill>
                        <pic:spPr>
                          <a:xfrm>
                            <a:off x="0" y="0"/>
                            <a:ext cx="1066165" cy="1025525"/>
                          </a:xfrm>
                          <a:prstGeom prst="rect">
                            <a:avLst/>
                          </a:prstGeom>
                          <a:noFill/>
                          <a:ln>
                            <a:noFill/>
                          </a:ln>
                        </pic:spPr>
                      </pic:pic>
                    </a:graphicData>
                  </a:graphic>
                </wp:anchor>
              </w:drawing>
            </w:r>
          </w:p>
        </w:tc>
      </w:tr>
      <w:tr w14:paraId="54AE9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10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F57E">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四眼煲仔炉</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t>；</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--面板δ=1.2mm，实厚δ≥1.08mm；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--后档板、側板δ=1.0mm，实厚δ≥0.88mm；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--带常明火，脚为φ38*1.0mm不锈钢加厚圆管，实厚δ≥0.88mm；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--配优质气阀，直径为140mm强力快速炉头，铸铁花板；</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--额定热负荷：</w:t>
            </w:r>
            <w:r>
              <w:rPr>
                <w:rStyle w:val="608"/>
                <w:rFonts w:hint="eastAsia"/>
                <w:strike w:val="0"/>
                <w:dstrike w:val="0"/>
                <w:color w:val="auto"/>
                <w:highlight w:val="none"/>
                <w:lang w:val="en-US" w:eastAsia="zh-CN" w:bidi="ar"/>
              </w:rPr>
              <w:t>≥</w:t>
            </w:r>
            <w:r>
              <w:rPr>
                <w:rStyle w:val="608"/>
                <w:strike w:val="0"/>
                <w:dstrike w:val="0"/>
                <w:color w:val="auto"/>
                <w:highlight w:val="none"/>
                <w:lang w:val="en-US" w:eastAsia="zh-CN" w:bidi="ar"/>
              </w:rPr>
              <w:t>2*6kW</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--规格：400*1000*800mm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46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9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D4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EA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82EACA">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610235</wp:posOffset>
                  </wp:positionH>
                  <wp:positionV relativeFrom="paragraph">
                    <wp:posOffset>772160</wp:posOffset>
                  </wp:positionV>
                  <wp:extent cx="598805" cy="626745"/>
                  <wp:effectExtent l="0" t="0" r="10795" b="1905"/>
                  <wp:wrapNone/>
                  <wp:docPr id="64" name="Picture_342"/>
                  <wp:cNvGraphicFramePr/>
                  <a:graphic xmlns:a="http://schemas.openxmlformats.org/drawingml/2006/main">
                    <a:graphicData uri="http://schemas.openxmlformats.org/drawingml/2006/picture">
                      <pic:pic xmlns:pic="http://schemas.openxmlformats.org/drawingml/2006/picture">
                        <pic:nvPicPr>
                          <pic:cNvPr id="64" name="Picture_342"/>
                          <pic:cNvPicPr/>
                        </pic:nvPicPr>
                        <pic:blipFill>
                          <a:blip r:embed="rId13"/>
                          <a:stretch>
                            <a:fillRect/>
                          </a:stretch>
                        </pic:blipFill>
                        <pic:spPr>
                          <a:xfrm>
                            <a:off x="0" y="0"/>
                            <a:ext cx="598805" cy="626745"/>
                          </a:xfrm>
                          <a:prstGeom prst="rect">
                            <a:avLst/>
                          </a:prstGeom>
                          <a:noFill/>
                          <a:ln>
                            <a:noFill/>
                          </a:ln>
                        </pic:spPr>
                      </pic:pic>
                    </a:graphicData>
                  </a:graphic>
                </wp:anchor>
              </w:drawing>
            </w:r>
          </w:p>
        </w:tc>
      </w:tr>
      <w:tr w14:paraId="4ACE8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C3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5EA5">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智能型单门蒸饭箱</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--选用SUS304-2B优质不锈钢制作；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--内、外双层板δ=1.2mm，实测</w:t>
            </w:r>
            <w:r>
              <w:rPr>
                <w:rFonts w:hint="eastAsia" w:ascii="宋体" w:hAnsi="宋体" w:cs="宋体"/>
                <w:i w:val="0"/>
                <w:iCs w:val="0"/>
                <w:strike w:val="0"/>
                <w:dstrike w:val="0"/>
                <w:color w:val="auto"/>
                <w:kern w:val="0"/>
                <w:sz w:val="22"/>
                <w:szCs w:val="22"/>
                <w:highlight w:val="none"/>
                <w:u w:val="none"/>
                <w:lang w:val="en-US" w:eastAsia="zh-CN" w:bidi="ar"/>
              </w:rPr>
              <w:t>≥</w:t>
            </w:r>
            <w:r>
              <w:rPr>
                <w:rFonts w:hint="eastAsia" w:ascii="宋体" w:hAnsi="宋体" w:eastAsia="宋体" w:cs="宋体"/>
                <w:i w:val="0"/>
                <w:iCs w:val="0"/>
                <w:strike w:val="0"/>
                <w:dstrike w:val="0"/>
                <w:color w:val="auto"/>
                <w:kern w:val="0"/>
                <w:sz w:val="22"/>
                <w:szCs w:val="22"/>
                <w:highlight w:val="none"/>
                <w:u w:val="none"/>
                <w:lang w:val="en-US" w:eastAsia="zh-CN" w:bidi="ar"/>
              </w:rPr>
              <w:t>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--每格5公斤的饭盘共12只；</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--定制饭铲、分饭器各两套；</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--内部骨架均采用镀锌型钢焊接，内置B1级阻燃隔热保温板双层保温；</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--不接受发泡型结构产品，配全不锈钢渐进式手轮门铰链。不锈钢发热管，自动浮球进补；</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 xml:space="preserve">具有高温保温，设备特定中制系列安全保护系统及操作保护功能，预开放为一体智能专用数码显示微电脑控制系统,面板控制规格：160*80mm;    </w:t>
            </w:r>
            <w:r>
              <w:rPr>
                <w:rFonts w:hint="eastAsia" w:ascii="宋体" w:hAnsi="宋体" w:eastAsia="宋体" w:cs="宋体"/>
                <w:i w:val="0"/>
                <w:iCs w:val="0"/>
                <w:strike w:val="0"/>
                <w:dstrike w:val="0"/>
                <w:color w:val="auto"/>
                <w:kern w:val="0"/>
                <w:sz w:val="22"/>
                <w:szCs w:val="22"/>
                <w:highlight w:val="none"/>
                <w:u w:val="none"/>
                <w:lang w:val="en-US" w:eastAsia="zh-CN" w:bidi="ar"/>
              </w:rPr>
              <w:t xml:space="preserve">           </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--标准时间数字显示，工作温度可调节设置；                              --恒温工作时间可自动关闭设置；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--当前工作时间数字显示，当前温度数字显示；                           --设置蒸饭时间、工作状况数字显示；</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--12V进水电磁阀，自动加水和缺水保护；                                 --预约式工作时段可调节设置；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--功率：</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2"/>
                <w:szCs w:val="22"/>
                <w:highlight w:val="none"/>
                <w:u w:val="none"/>
                <w:lang w:val="en-US" w:eastAsia="zh-CN" w:bidi="ar"/>
              </w:rPr>
              <w:t xml:space="preserve">12kW/3PH/380V                                      </w:t>
            </w:r>
            <w:r>
              <w:rPr>
                <w:rFonts w:hint="eastAsia" w:ascii="宋体" w:hAnsi="宋体" w:eastAsia="宋体" w:cs="宋体"/>
                <w:i w:val="0"/>
                <w:iCs w:val="0"/>
                <w:strike w:val="0"/>
                <w:dstrike w:val="0"/>
                <w:color w:val="auto"/>
                <w:kern w:val="0"/>
                <w:sz w:val="22"/>
                <w:szCs w:val="22"/>
                <w:highlight w:val="none"/>
                <w:lang w:val="en-US" w:eastAsia="zh-CN" w:bidi="ar"/>
              </w:rPr>
              <w:t xml:space="preserve">                                        </w:t>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需提供具有法定检测资质的检测机构出具的检测报告，并加盖投标人公章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B9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50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46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D5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C98531">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485775</wp:posOffset>
                  </wp:positionH>
                  <wp:positionV relativeFrom="paragraph">
                    <wp:posOffset>1521460</wp:posOffset>
                  </wp:positionV>
                  <wp:extent cx="915035" cy="1055370"/>
                  <wp:effectExtent l="0" t="0" r="18415" b="11430"/>
                  <wp:wrapNone/>
                  <wp:docPr id="56" name="Picture_104"/>
                  <wp:cNvGraphicFramePr/>
                  <a:graphic xmlns:a="http://schemas.openxmlformats.org/drawingml/2006/main">
                    <a:graphicData uri="http://schemas.openxmlformats.org/drawingml/2006/picture">
                      <pic:pic xmlns:pic="http://schemas.openxmlformats.org/drawingml/2006/picture">
                        <pic:nvPicPr>
                          <pic:cNvPr id="56" name="Picture_104"/>
                          <pic:cNvPicPr/>
                        </pic:nvPicPr>
                        <pic:blipFill>
                          <a:blip r:embed="rId14"/>
                          <a:stretch>
                            <a:fillRect/>
                          </a:stretch>
                        </pic:blipFill>
                        <pic:spPr>
                          <a:xfrm>
                            <a:off x="0" y="0"/>
                            <a:ext cx="915035" cy="1055370"/>
                          </a:xfrm>
                          <a:prstGeom prst="rect">
                            <a:avLst/>
                          </a:prstGeom>
                          <a:noFill/>
                          <a:ln>
                            <a:noFill/>
                          </a:ln>
                        </pic:spPr>
                      </pic:pic>
                    </a:graphicData>
                  </a:graphic>
                </wp:anchor>
              </w:drawing>
            </w:r>
          </w:p>
        </w:tc>
      </w:tr>
      <w:tr w14:paraId="3FFE3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4"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1A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B7FA">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单向移门调理台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--采用优质SUS304-2B不锈钢板制作；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--台面为δ=1.2mm，实厚δ≥1.08mm；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--侧板δ=1.0mm，实厚δ≥0.88mm；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--门板δ=1.0mm，实厚δ≥0.88mm；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--底板、层板、背板δ=1.0mm，实厚δ≥0.88mm；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--单边上挂式尼龙静音滑轮移门，内置一层可调层板，下衬12mm密度板减噪；--配不锈钢加强筋δ=1.0mm，实厚δ≥0.88mm；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-配置Φ50*150*1.0mm重力不锈钢可调节子弹脚；</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--规格：1800*800*800mm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BF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D8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84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E3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E9715E">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515620</wp:posOffset>
                  </wp:positionH>
                  <wp:positionV relativeFrom="paragraph">
                    <wp:posOffset>737235</wp:posOffset>
                  </wp:positionV>
                  <wp:extent cx="885190" cy="600075"/>
                  <wp:effectExtent l="0" t="0" r="10160" b="9525"/>
                  <wp:wrapNone/>
                  <wp:docPr id="76" name="Picture_138"/>
                  <wp:cNvGraphicFramePr/>
                  <a:graphic xmlns:a="http://schemas.openxmlformats.org/drawingml/2006/main">
                    <a:graphicData uri="http://schemas.openxmlformats.org/drawingml/2006/picture">
                      <pic:pic xmlns:pic="http://schemas.openxmlformats.org/drawingml/2006/picture">
                        <pic:nvPicPr>
                          <pic:cNvPr id="76" name="Picture_138"/>
                          <pic:cNvPicPr/>
                        </pic:nvPicPr>
                        <pic:blipFill>
                          <a:blip r:embed="rId15"/>
                          <a:stretch>
                            <a:fillRect/>
                          </a:stretch>
                        </pic:blipFill>
                        <pic:spPr>
                          <a:xfrm>
                            <a:off x="0" y="0"/>
                            <a:ext cx="885190" cy="600075"/>
                          </a:xfrm>
                          <a:prstGeom prst="rect">
                            <a:avLst/>
                          </a:prstGeom>
                          <a:noFill/>
                          <a:ln>
                            <a:noFill/>
                          </a:ln>
                        </pic:spPr>
                      </pic:pic>
                    </a:graphicData>
                  </a:graphic>
                </wp:anchor>
              </w:drawing>
            </w:r>
          </w:p>
        </w:tc>
      </w:tr>
      <w:tr w14:paraId="0D2DC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CC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6F8D">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双层工作台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--台面δ=1.2mm，实厚δ≥1.08mm，层板δ=1.0mm，实厚δ≥0.88mm；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--圆通脚采用φ38*1.0mm不锈钢加厚圆管制作，实厚δ≥0.88mm；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--下衬12mm密度板减噪，配不锈钢加强筋、板δ=1.0mm，实厚δ≥0.88mm；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--层板型，配置重力不锈钢可调节子弹脚；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：1800*800*800mm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CF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C2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35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F9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98384D">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628650</wp:posOffset>
                  </wp:positionH>
                  <wp:positionV relativeFrom="paragraph">
                    <wp:posOffset>532765</wp:posOffset>
                  </wp:positionV>
                  <wp:extent cx="837565" cy="710565"/>
                  <wp:effectExtent l="0" t="0" r="635" b="13335"/>
                  <wp:wrapNone/>
                  <wp:docPr id="80" name="Picture_116"/>
                  <wp:cNvGraphicFramePr/>
                  <a:graphic xmlns:a="http://schemas.openxmlformats.org/drawingml/2006/main">
                    <a:graphicData uri="http://schemas.openxmlformats.org/drawingml/2006/picture">
                      <pic:pic xmlns:pic="http://schemas.openxmlformats.org/drawingml/2006/picture">
                        <pic:nvPicPr>
                          <pic:cNvPr id="80" name="Picture_116"/>
                          <pic:cNvPicPr/>
                        </pic:nvPicPr>
                        <pic:blipFill>
                          <a:blip r:embed="rId16"/>
                          <a:stretch>
                            <a:fillRect/>
                          </a:stretch>
                        </pic:blipFill>
                        <pic:spPr>
                          <a:xfrm>
                            <a:off x="0" y="0"/>
                            <a:ext cx="837565" cy="710565"/>
                          </a:xfrm>
                          <a:prstGeom prst="rect">
                            <a:avLst/>
                          </a:prstGeom>
                          <a:noFill/>
                          <a:ln>
                            <a:noFill/>
                          </a:ln>
                        </pic:spPr>
                      </pic:pic>
                    </a:graphicData>
                  </a:graphic>
                </wp:anchor>
              </w:drawing>
            </w:r>
          </w:p>
        </w:tc>
      </w:tr>
      <w:tr w14:paraId="11C3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1B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DA6F">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残菜回收台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Style w:val="608"/>
                <w:strike w:val="0"/>
                <w:dstrike w:val="0"/>
                <w:color w:val="auto"/>
                <w:highlight w:val="none"/>
                <w:lang w:val="en-US" w:eastAsia="zh-CN" w:bidi="ar"/>
              </w:rPr>
              <w:t>选用SUS304-2B优质不锈钢制作；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--台面板δ=1.2mm，实厚δ≥1.08mm，下横通采用φ25*1.0mm圆管，实厚δ≥1.08mm；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--圆通脚采用φ38*1.0mm不锈钢加厚圆管制作，实厚δ≥0.88mm；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--φ250残物回收孔，配不锈钢加强筋、δ=1.0mm，实厚δ≥0.88mm。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--配置重力不锈钢可调节子弹脚，车、桶、台配套；</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--规格：1600*800*（800+150）mm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0B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5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74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B8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448F4E">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666115</wp:posOffset>
                  </wp:positionH>
                  <wp:positionV relativeFrom="paragraph">
                    <wp:posOffset>340995</wp:posOffset>
                  </wp:positionV>
                  <wp:extent cx="772160" cy="814705"/>
                  <wp:effectExtent l="0" t="0" r="8890" b="4445"/>
                  <wp:wrapNone/>
                  <wp:docPr id="59" name="Picture_511"/>
                  <wp:cNvGraphicFramePr/>
                  <a:graphic xmlns:a="http://schemas.openxmlformats.org/drawingml/2006/main">
                    <a:graphicData uri="http://schemas.openxmlformats.org/drawingml/2006/picture">
                      <pic:pic xmlns:pic="http://schemas.openxmlformats.org/drawingml/2006/picture">
                        <pic:nvPicPr>
                          <pic:cNvPr id="59" name="Picture_511"/>
                          <pic:cNvPicPr/>
                        </pic:nvPicPr>
                        <pic:blipFill>
                          <a:blip r:embed="rId17"/>
                          <a:stretch>
                            <a:fillRect/>
                          </a:stretch>
                        </pic:blipFill>
                        <pic:spPr>
                          <a:xfrm>
                            <a:off x="0" y="0"/>
                            <a:ext cx="772160" cy="814705"/>
                          </a:xfrm>
                          <a:prstGeom prst="rect">
                            <a:avLst/>
                          </a:prstGeom>
                          <a:noFill/>
                          <a:ln>
                            <a:noFill/>
                          </a:ln>
                        </pic:spPr>
                      </pic:pic>
                    </a:graphicData>
                  </a:graphic>
                </wp:anchor>
              </w:drawing>
            </w:r>
          </w:p>
        </w:tc>
      </w:tr>
      <w:tr w14:paraId="1CCDA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nil"/>
            </w:tcBorders>
            <w:shd w:val="clear" w:color="auto" w:fill="C8C8C8"/>
            <w:vAlign w:val="center"/>
          </w:tcPr>
          <w:p w14:paraId="314081DA">
            <w:pP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nil"/>
              <w:bottom w:val="single" w:color="000000" w:sz="4" w:space="0"/>
              <w:right w:val="nil"/>
            </w:tcBorders>
            <w:shd w:val="clear" w:color="auto" w:fill="C8C8C8"/>
            <w:vAlign w:val="center"/>
          </w:tcPr>
          <w:p w14:paraId="1D0BF0F4">
            <w:pPr>
              <w:keepNext w:val="0"/>
              <w:keepLines w:val="0"/>
              <w:widowControl/>
              <w:suppressLineNumbers w:val="0"/>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面点房</w:t>
            </w:r>
          </w:p>
        </w:tc>
        <w:tc>
          <w:tcPr>
            <w:tcW w:w="506" w:type="dxa"/>
            <w:tcBorders>
              <w:top w:val="single" w:color="000000" w:sz="4" w:space="0"/>
              <w:left w:val="nil"/>
              <w:bottom w:val="single" w:color="000000" w:sz="4" w:space="0"/>
              <w:right w:val="nil"/>
            </w:tcBorders>
            <w:shd w:val="clear" w:color="auto" w:fill="C8C8C8"/>
            <w:vAlign w:val="center"/>
          </w:tcPr>
          <w:p w14:paraId="1FD5D9AC">
            <w:pPr>
              <w:rPr>
                <w:rFonts w:hint="eastAsia" w:ascii="宋体" w:hAnsi="宋体" w:eastAsia="宋体" w:cs="宋体"/>
                <w:i w:val="0"/>
                <w:iCs w:val="0"/>
                <w:color w:val="auto"/>
                <w:sz w:val="24"/>
                <w:szCs w:val="24"/>
                <w:highlight w:val="none"/>
                <w:u w:val="none"/>
              </w:rPr>
            </w:pPr>
          </w:p>
        </w:tc>
        <w:tc>
          <w:tcPr>
            <w:tcW w:w="766" w:type="dxa"/>
            <w:tcBorders>
              <w:top w:val="single" w:color="000000" w:sz="4" w:space="0"/>
              <w:left w:val="nil"/>
              <w:bottom w:val="single" w:color="000000" w:sz="4" w:space="0"/>
              <w:right w:val="nil"/>
            </w:tcBorders>
            <w:shd w:val="clear" w:color="auto" w:fill="C8C8C8"/>
            <w:vAlign w:val="center"/>
          </w:tcPr>
          <w:p w14:paraId="1F2D3494">
            <w:pPr>
              <w:rPr>
                <w:rFonts w:hint="eastAsia" w:ascii="宋体" w:hAnsi="宋体" w:eastAsia="宋体" w:cs="宋体"/>
                <w:i w:val="0"/>
                <w:iCs w:val="0"/>
                <w:color w:val="auto"/>
                <w:sz w:val="24"/>
                <w:szCs w:val="24"/>
                <w:highlight w:val="none"/>
                <w:u w:val="none"/>
              </w:rPr>
            </w:pPr>
          </w:p>
        </w:tc>
        <w:tc>
          <w:tcPr>
            <w:tcW w:w="776" w:type="dxa"/>
            <w:tcBorders>
              <w:top w:val="single" w:color="000000" w:sz="4" w:space="0"/>
              <w:left w:val="nil"/>
              <w:bottom w:val="single" w:color="000000" w:sz="4" w:space="0"/>
              <w:right w:val="nil"/>
            </w:tcBorders>
            <w:shd w:val="clear" w:color="auto" w:fill="C8C8C8"/>
            <w:vAlign w:val="center"/>
          </w:tcPr>
          <w:p w14:paraId="18155FFC">
            <w:pPr>
              <w:jc w:val="center"/>
              <w:rPr>
                <w:rFonts w:hint="eastAsia" w:ascii="宋体" w:hAnsi="宋体" w:eastAsia="宋体" w:cs="宋体"/>
                <w:i w:val="0"/>
                <w:iCs w:val="0"/>
                <w:color w:val="auto"/>
                <w:sz w:val="24"/>
                <w:szCs w:val="24"/>
                <w:highlight w:val="none"/>
                <w:u w:val="none"/>
              </w:rPr>
            </w:pPr>
          </w:p>
        </w:tc>
        <w:tc>
          <w:tcPr>
            <w:tcW w:w="830" w:type="dxa"/>
            <w:tcBorders>
              <w:top w:val="single" w:color="000000" w:sz="4" w:space="0"/>
              <w:left w:val="nil"/>
              <w:bottom w:val="single" w:color="000000" w:sz="4" w:space="0"/>
              <w:right w:val="nil"/>
            </w:tcBorders>
            <w:shd w:val="clear" w:color="auto" w:fill="C8C8C8"/>
            <w:vAlign w:val="center"/>
          </w:tcPr>
          <w:p w14:paraId="5D01A23E">
            <w:pPr>
              <w:jc w:val="center"/>
              <w:rPr>
                <w:rFonts w:hint="eastAsia" w:ascii="宋体" w:hAnsi="宋体" w:eastAsia="宋体" w:cs="宋体"/>
                <w:i w:val="0"/>
                <w:iCs w:val="0"/>
                <w:color w:val="auto"/>
                <w:sz w:val="24"/>
                <w:szCs w:val="24"/>
                <w:highlight w:val="none"/>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073C7D92">
            <w:pPr>
              <w:jc w:val="center"/>
              <w:rPr>
                <w:rFonts w:hint="eastAsia" w:ascii="宋体" w:hAnsi="宋体" w:eastAsia="宋体" w:cs="宋体"/>
                <w:i w:val="0"/>
                <w:iCs w:val="0"/>
                <w:color w:val="auto"/>
                <w:sz w:val="24"/>
                <w:szCs w:val="24"/>
                <w:highlight w:val="none"/>
                <w:u w:val="none"/>
              </w:rPr>
            </w:pPr>
          </w:p>
        </w:tc>
      </w:tr>
      <w:tr w14:paraId="373C8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FE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73B9">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单星水池</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--台面及水斗δ=1.2mm，实厚δ≥1.08mm；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--水斗圆角模压成型，配优质不锈钢提笼式落水器及烂渣篮，水龙头另计；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--圆通腿为φ38*1.0mm加厚不锈钢圆管，实厚δ≥0.88mm；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--下橫通为φ25*1.0mm加厚不锈钢圆管，实厚δ≥0.88mm；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--规格：600*800*（800+150）mm。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47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C5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03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D8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772C9A">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598805</wp:posOffset>
                  </wp:positionH>
                  <wp:positionV relativeFrom="paragraph">
                    <wp:posOffset>622300</wp:posOffset>
                  </wp:positionV>
                  <wp:extent cx="839470" cy="777240"/>
                  <wp:effectExtent l="0" t="0" r="17780" b="3810"/>
                  <wp:wrapNone/>
                  <wp:docPr id="57" name="Picture_524"/>
                  <wp:cNvGraphicFramePr/>
                  <a:graphic xmlns:a="http://schemas.openxmlformats.org/drawingml/2006/main">
                    <a:graphicData uri="http://schemas.openxmlformats.org/drawingml/2006/picture">
                      <pic:pic xmlns:pic="http://schemas.openxmlformats.org/drawingml/2006/picture">
                        <pic:nvPicPr>
                          <pic:cNvPr id="57" name="Picture_524"/>
                          <pic:cNvPicPr/>
                        </pic:nvPicPr>
                        <pic:blipFill>
                          <a:blip r:embed="rId18"/>
                          <a:stretch>
                            <a:fillRect/>
                          </a:stretch>
                        </pic:blipFill>
                        <pic:spPr>
                          <a:xfrm>
                            <a:off x="0" y="0"/>
                            <a:ext cx="839470" cy="777240"/>
                          </a:xfrm>
                          <a:prstGeom prst="rect">
                            <a:avLst/>
                          </a:prstGeom>
                          <a:noFill/>
                          <a:ln>
                            <a:noFill/>
                          </a:ln>
                        </pic:spPr>
                      </pic:pic>
                    </a:graphicData>
                  </a:graphic>
                </wp:anchor>
              </w:drawing>
            </w:r>
          </w:p>
        </w:tc>
      </w:tr>
      <w:tr w14:paraId="61E91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A2B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FFB46">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电饼铛</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1、选用性能优良的电子元件，发热管采用高碳钢制；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2、发热盘均采用一次压铸成型、密度高强度大，不变形，受热均匀；</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3、上下盘同时加热，食物两面同时均匀受热，并有自动控温，调温装置，当内部温度达到设定值时，加温自动停止；</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4、机身外壳采用不锈钢板制。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--温度范围：50-250℃</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--功率：</w:t>
            </w:r>
            <w:r>
              <w:rPr>
                <w:rStyle w:val="608"/>
                <w:rFonts w:hint="eastAsia"/>
                <w:strike w:val="0"/>
                <w:dstrike w:val="0"/>
                <w:color w:val="auto"/>
                <w:highlight w:val="none"/>
                <w:lang w:val="en-US" w:eastAsia="zh-CN" w:bidi="ar"/>
              </w:rPr>
              <w:t>≥</w:t>
            </w:r>
            <w:r>
              <w:rPr>
                <w:rStyle w:val="608"/>
                <w:strike w:val="0"/>
                <w:dstrike w:val="0"/>
                <w:color w:val="auto"/>
                <w:highlight w:val="none"/>
                <w:lang w:val="en-US" w:eastAsia="zh-CN" w:bidi="ar"/>
              </w:rPr>
              <w:t>380V/50HZ/4.8KW</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--规格：640*840*760mm</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D85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B56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086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9D6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42BFA720">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466725</wp:posOffset>
                  </wp:positionH>
                  <wp:positionV relativeFrom="paragraph">
                    <wp:posOffset>572770</wp:posOffset>
                  </wp:positionV>
                  <wp:extent cx="913765" cy="1343660"/>
                  <wp:effectExtent l="0" t="0" r="635" b="8890"/>
                  <wp:wrapNone/>
                  <wp:docPr id="62" name="图片_9"/>
                  <wp:cNvGraphicFramePr/>
                  <a:graphic xmlns:a="http://schemas.openxmlformats.org/drawingml/2006/main">
                    <a:graphicData uri="http://schemas.openxmlformats.org/drawingml/2006/picture">
                      <pic:pic xmlns:pic="http://schemas.openxmlformats.org/drawingml/2006/picture">
                        <pic:nvPicPr>
                          <pic:cNvPr id="62" name="图片_9"/>
                          <pic:cNvPicPr/>
                        </pic:nvPicPr>
                        <pic:blipFill>
                          <a:blip r:embed="rId19"/>
                          <a:stretch>
                            <a:fillRect/>
                          </a:stretch>
                        </pic:blipFill>
                        <pic:spPr>
                          <a:xfrm>
                            <a:off x="0" y="0"/>
                            <a:ext cx="913765" cy="1343660"/>
                          </a:xfrm>
                          <a:prstGeom prst="rect">
                            <a:avLst/>
                          </a:prstGeom>
                          <a:noFill/>
                          <a:ln>
                            <a:noFill/>
                          </a:ln>
                        </pic:spPr>
                      </pic:pic>
                    </a:graphicData>
                  </a:graphic>
                </wp:anchor>
              </w:drawing>
            </w:r>
          </w:p>
        </w:tc>
      </w:tr>
      <w:tr w14:paraId="20BBA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73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296B">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三层电烤箱</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--技术参数：</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--电热型，干烧电热管加热，内层采用不锈钢外层喷涂板制；</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--六温控，后箱排气阀门；</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--带可视窗门，三层六盘；</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--炉面、炉底温度双重控制，每层配有上下可调温控仪表控制，可独立控制；</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--功率：</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20.4KW/3PH/380V；</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--规格：1225*770*1540mm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95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BD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54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1D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F6980D">
            <w:pPr>
              <w:keepNext w:val="0"/>
              <w:keepLines w:val="0"/>
              <w:widowControl/>
              <w:suppressLineNumbers w:val="0"/>
              <w:jc w:val="left"/>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534035</wp:posOffset>
                  </wp:positionH>
                  <wp:positionV relativeFrom="paragraph">
                    <wp:posOffset>419735</wp:posOffset>
                  </wp:positionV>
                  <wp:extent cx="876300" cy="1044575"/>
                  <wp:effectExtent l="0" t="0" r="0" b="3175"/>
                  <wp:wrapNone/>
                  <wp:docPr id="73" name="图片_2"/>
                  <wp:cNvGraphicFramePr/>
                  <a:graphic xmlns:a="http://schemas.openxmlformats.org/drawingml/2006/main">
                    <a:graphicData uri="http://schemas.openxmlformats.org/drawingml/2006/picture">
                      <pic:pic xmlns:pic="http://schemas.openxmlformats.org/drawingml/2006/picture">
                        <pic:nvPicPr>
                          <pic:cNvPr id="73" name="图片_2"/>
                          <pic:cNvPicPr/>
                        </pic:nvPicPr>
                        <pic:blipFill>
                          <a:blip r:embed="rId20"/>
                          <a:stretch>
                            <a:fillRect/>
                          </a:stretch>
                        </pic:blipFill>
                        <pic:spPr>
                          <a:xfrm>
                            <a:off x="0" y="0"/>
                            <a:ext cx="876300" cy="1044575"/>
                          </a:xfrm>
                          <a:prstGeom prst="rect">
                            <a:avLst/>
                          </a:prstGeom>
                          <a:noFill/>
                          <a:ln>
                            <a:noFill/>
                          </a:ln>
                        </pic:spPr>
                      </pic:pic>
                    </a:graphicData>
                  </a:graphic>
                </wp:anchor>
              </w:drawing>
            </w:r>
          </w:p>
        </w:tc>
      </w:tr>
      <w:tr w14:paraId="31CB5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BFD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214D">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4"/>
                <w:szCs w:val="24"/>
                <w:highlight w:val="none"/>
                <w:u w:val="none"/>
                <w:lang w:val="en-US" w:eastAsia="zh-CN" w:bidi="ar"/>
              </w:rPr>
            </w:pPr>
            <w:r>
              <w:rPr>
                <w:rFonts w:hint="eastAsia" w:ascii="宋体" w:hAnsi="宋体" w:eastAsia="宋体" w:cs="宋体"/>
                <w:i w:val="0"/>
                <w:iCs w:val="0"/>
                <w:strike w:val="0"/>
                <w:dstrike w:val="0"/>
                <w:color w:val="auto"/>
                <w:kern w:val="0"/>
                <w:sz w:val="24"/>
                <w:szCs w:val="24"/>
                <w:highlight w:val="none"/>
                <w:u w:val="none"/>
                <w:lang w:val="en-US" w:eastAsia="zh-CN" w:bidi="ar"/>
              </w:rPr>
              <w:t>单门醒发箱（13盘）</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--技术参数：</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--利用电热管通过温度控制电路加热箱内水盘的水，使之产生相对湿度为80～85%、温度35℃～40℃的最适合发酵环境。</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--内层采用不锈钢外层喷涂板制；</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--门采用钢化玻璃以便可视；</w:t>
            </w:r>
          </w:p>
          <w:p w14:paraId="3622A28A">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--设有13层，烤盘自配。</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--标准盘数：13盘</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--功率：</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2.7KW/220V</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--规格：500*710*1740mm</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FCB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E70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BD4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A19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44C70E52">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422275</wp:posOffset>
                  </wp:positionH>
                  <wp:positionV relativeFrom="paragraph">
                    <wp:posOffset>671830</wp:posOffset>
                  </wp:positionV>
                  <wp:extent cx="866775" cy="1080770"/>
                  <wp:effectExtent l="0" t="0" r="9525" b="5080"/>
                  <wp:wrapNone/>
                  <wp:docPr id="65" name="Picture_158"/>
                  <wp:cNvGraphicFramePr/>
                  <a:graphic xmlns:a="http://schemas.openxmlformats.org/drawingml/2006/main">
                    <a:graphicData uri="http://schemas.openxmlformats.org/drawingml/2006/picture">
                      <pic:pic xmlns:pic="http://schemas.openxmlformats.org/drawingml/2006/picture">
                        <pic:nvPicPr>
                          <pic:cNvPr id="65" name="Picture_158"/>
                          <pic:cNvPicPr/>
                        </pic:nvPicPr>
                        <pic:blipFill>
                          <a:blip r:embed="rId21"/>
                          <a:stretch>
                            <a:fillRect/>
                          </a:stretch>
                        </pic:blipFill>
                        <pic:spPr>
                          <a:xfrm>
                            <a:off x="0" y="0"/>
                            <a:ext cx="866775" cy="1080770"/>
                          </a:xfrm>
                          <a:prstGeom prst="rect">
                            <a:avLst/>
                          </a:prstGeom>
                          <a:noFill/>
                          <a:ln>
                            <a:noFill/>
                          </a:ln>
                        </pic:spPr>
                      </pic:pic>
                    </a:graphicData>
                  </a:graphic>
                </wp:anchor>
              </w:drawing>
            </w:r>
          </w:p>
        </w:tc>
      </w:tr>
      <w:tr w14:paraId="079F7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C8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6A27">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木案面工作台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--台面选用50mm柳案木板制作，骨架采用50*50*1.0mm不锈钢加厚方管制作，实厚δ≥0.88mm；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--台下配150*1.0mm不锈钢围板，配不锈钢加强筋，实厚δ≥0.88mm。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--配置重力不锈钢可调节子弹脚。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--规格：1800*800*800mm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BE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5D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0F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FD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99BE3A">
            <w:pPr>
              <w:keepNext w:val="0"/>
              <w:keepLines w:val="0"/>
              <w:widowControl/>
              <w:suppressLineNumbers w:val="0"/>
              <w:jc w:val="left"/>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494665</wp:posOffset>
                  </wp:positionH>
                  <wp:positionV relativeFrom="paragraph">
                    <wp:posOffset>523240</wp:posOffset>
                  </wp:positionV>
                  <wp:extent cx="924560" cy="422275"/>
                  <wp:effectExtent l="0" t="0" r="8890" b="15875"/>
                  <wp:wrapNone/>
                  <wp:docPr id="60" name="图片_32"/>
                  <wp:cNvGraphicFramePr/>
                  <a:graphic xmlns:a="http://schemas.openxmlformats.org/drawingml/2006/main">
                    <a:graphicData uri="http://schemas.openxmlformats.org/drawingml/2006/picture">
                      <pic:pic xmlns:pic="http://schemas.openxmlformats.org/drawingml/2006/picture">
                        <pic:nvPicPr>
                          <pic:cNvPr id="60" name="图片_32"/>
                          <pic:cNvPicPr/>
                        </pic:nvPicPr>
                        <pic:blipFill>
                          <a:blip r:embed="rId22"/>
                          <a:stretch>
                            <a:fillRect/>
                          </a:stretch>
                        </pic:blipFill>
                        <pic:spPr>
                          <a:xfrm>
                            <a:off x="0" y="0"/>
                            <a:ext cx="924560" cy="422275"/>
                          </a:xfrm>
                          <a:prstGeom prst="rect">
                            <a:avLst/>
                          </a:prstGeom>
                          <a:noFill/>
                          <a:ln>
                            <a:noFill/>
                          </a:ln>
                        </pic:spPr>
                      </pic:pic>
                    </a:graphicData>
                  </a:graphic>
                </wp:anchor>
              </w:drawing>
            </w:r>
          </w:p>
        </w:tc>
      </w:tr>
      <w:tr w14:paraId="5E6B7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A5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8443">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食品搅拌机</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--技术参数：</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--1.采用轻触式电脑控制面板，双电机实现双自动速运转；</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--2.搅拌钩经过特殊处理，经久不变形；</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--3.皮带式传动，动力大，噪音小；</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--4.设有安全网罩，保护使用者安全。</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--料筒容积：</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20L</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--最大和面量：</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8kg</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--搅拌转速：</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91/164/294r/min</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--功率：</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2N～380V/50HZ/0.75kw</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--整机重量：</w:t>
            </w:r>
            <w:r>
              <w:rPr>
                <w:rFonts w:hint="eastAsia" w:ascii="宋体" w:hAnsi="宋体" w:cs="宋体"/>
                <w:i w:val="0"/>
                <w:iCs w:val="0"/>
                <w:strike w:val="0"/>
                <w:dstrike w:val="0"/>
                <w:color w:val="auto"/>
                <w:kern w:val="0"/>
                <w:sz w:val="24"/>
                <w:szCs w:val="24"/>
                <w:highlight w:val="none"/>
                <w:u w:val="none"/>
                <w:lang w:val="en-US" w:eastAsia="zh-CN" w:bidi="ar"/>
              </w:rPr>
              <w:t>约</w:t>
            </w:r>
            <w:r>
              <w:rPr>
                <w:rFonts w:hint="eastAsia" w:ascii="宋体" w:hAnsi="宋体" w:eastAsia="宋体" w:cs="宋体"/>
                <w:i w:val="0"/>
                <w:iCs w:val="0"/>
                <w:strike w:val="0"/>
                <w:dstrike w:val="0"/>
                <w:color w:val="auto"/>
                <w:kern w:val="0"/>
                <w:sz w:val="24"/>
                <w:szCs w:val="24"/>
                <w:highlight w:val="none"/>
                <w:u w:val="none"/>
                <w:lang w:val="en-US" w:eastAsia="zh-CN" w:bidi="ar"/>
              </w:rPr>
              <w:t>98KG</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--规格：415*530*780mm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13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CB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C1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48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8DAADA">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542925</wp:posOffset>
                  </wp:positionH>
                  <wp:positionV relativeFrom="paragraph">
                    <wp:posOffset>568325</wp:posOffset>
                  </wp:positionV>
                  <wp:extent cx="819150" cy="1476375"/>
                  <wp:effectExtent l="0" t="0" r="0" b="9525"/>
                  <wp:wrapNone/>
                  <wp:docPr id="72" name="图片_33"/>
                  <wp:cNvGraphicFramePr/>
                  <a:graphic xmlns:a="http://schemas.openxmlformats.org/drawingml/2006/main">
                    <a:graphicData uri="http://schemas.openxmlformats.org/drawingml/2006/picture">
                      <pic:pic xmlns:pic="http://schemas.openxmlformats.org/drawingml/2006/picture">
                        <pic:nvPicPr>
                          <pic:cNvPr id="72" name="图片_33"/>
                          <pic:cNvPicPr/>
                        </pic:nvPicPr>
                        <pic:blipFill>
                          <a:blip r:embed="rId23"/>
                          <a:stretch>
                            <a:fillRect/>
                          </a:stretch>
                        </pic:blipFill>
                        <pic:spPr>
                          <a:xfrm>
                            <a:off x="0" y="0"/>
                            <a:ext cx="819150" cy="1476375"/>
                          </a:xfrm>
                          <a:prstGeom prst="rect">
                            <a:avLst/>
                          </a:prstGeom>
                          <a:noFill/>
                          <a:ln>
                            <a:noFill/>
                          </a:ln>
                        </pic:spPr>
                      </pic:pic>
                    </a:graphicData>
                  </a:graphic>
                </wp:anchor>
              </w:drawing>
            </w:r>
          </w:p>
        </w:tc>
      </w:tr>
      <w:tr w14:paraId="003F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D66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3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05188">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压面机</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 xml:space="preserve">--技术参数：                                   </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--压面厚度：0.5-5mm</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--压面宽度：250mm</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--生产能力：20-30kg/h</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--功率：</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220/50HZ/1.5KW</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--规格：450*360*1040（mm）</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D30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6BD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0C1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FF0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09A54CD6">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457835</wp:posOffset>
                  </wp:positionH>
                  <wp:positionV relativeFrom="paragraph">
                    <wp:posOffset>290830</wp:posOffset>
                  </wp:positionV>
                  <wp:extent cx="952500" cy="1522730"/>
                  <wp:effectExtent l="0" t="0" r="0" b="1270"/>
                  <wp:wrapNone/>
                  <wp:docPr id="74" name="图片_34"/>
                  <wp:cNvGraphicFramePr/>
                  <a:graphic xmlns:a="http://schemas.openxmlformats.org/drawingml/2006/main">
                    <a:graphicData uri="http://schemas.openxmlformats.org/drawingml/2006/picture">
                      <pic:pic xmlns:pic="http://schemas.openxmlformats.org/drawingml/2006/picture">
                        <pic:nvPicPr>
                          <pic:cNvPr id="74" name="图片_34"/>
                          <pic:cNvPicPr/>
                        </pic:nvPicPr>
                        <pic:blipFill>
                          <a:blip r:embed="rId24"/>
                          <a:stretch>
                            <a:fillRect/>
                          </a:stretch>
                        </pic:blipFill>
                        <pic:spPr>
                          <a:xfrm>
                            <a:off x="0" y="0"/>
                            <a:ext cx="952500" cy="1522730"/>
                          </a:xfrm>
                          <a:prstGeom prst="rect">
                            <a:avLst/>
                          </a:prstGeom>
                          <a:noFill/>
                          <a:ln>
                            <a:noFill/>
                          </a:ln>
                        </pic:spPr>
                      </pic:pic>
                    </a:graphicData>
                  </a:graphic>
                </wp:anchor>
              </w:drawing>
            </w:r>
          </w:p>
        </w:tc>
      </w:tr>
      <w:tr w14:paraId="6F55D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nil"/>
            </w:tcBorders>
            <w:shd w:val="clear" w:color="auto" w:fill="C8C8C8"/>
            <w:vAlign w:val="center"/>
          </w:tcPr>
          <w:p w14:paraId="34C4443F">
            <w:pP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nil"/>
              <w:bottom w:val="single" w:color="000000" w:sz="4" w:space="0"/>
              <w:right w:val="nil"/>
            </w:tcBorders>
            <w:shd w:val="clear" w:color="auto" w:fill="C8C8C8"/>
            <w:vAlign w:val="center"/>
          </w:tcPr>
          <w:p w14:paraId="42904CB7">
            <w:pPr>
              <w:keepNext w:val="0"/>
              <w:keepLines w:val="0"/>
              <w:widowControl/>
              <w:suppressLineNumbers w:val="0"/>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主/副食库</w:t>
            </w:r>
          </w:p>
        </w:tc>
        <w:tc>
          <w:tcPr>
            <w:tcW w:w="506" w:type="dxa"/>
            <w:tcBorders>
              <w:top w:val="single" w:color="000000" w:sz="4" w:space="0"/>
              <w:left w:val="nil"/>
              <w:bottom w:val="single" w:color="000000" w:sz="4" w:space="0"/>
              <w:right w:val="nil"/>
            </w:tcBorders>
            <w:shd w:val="clear" w:color="auto" w:fill="C8C8C8"/>
            <w:vAlign w:val="center"/>
          </w:tcPr>
          <w:p w14:paraId="4DC434E6">
            <w:pPr>
              <w:rPr>
                <w:rFonts w:hint="eastAsia" w:ascii="宋体" w:hAnsi="宋体" w:eastAsia="宋体" w:cs="宋体"/>
                <w:i w:val="0"/>
                <w:iCs w:val="0"/>
                <w:color w:val="auto"/>
                <w:sz w:val="24"/>
                <w:szCs w:val="24"/>
                <w:highlight w:val="none"/>
                <w:u w:val="none"/>
              </w:rPr>
            </w:pPr>
          </w:p>
        </w:tc>
        <w:tc>
          <w:tcPr>
            <w:tcW w:w="766" w:type="dxa"/>
            <w:tcBorders>
              <w:top w:val="single" w:color="000000" w:sz="4" w:space="0"/>
              <w:left w:val="nil"/>
              <w:bottom w:val="single" w:color="000000" w:sz="4" w:space="0"/>
              <w:right w:val="nil"/>
            </w:tcBorders>
            <w:shd w:val="clear" w:color="auto" w:fill="C8C8C8"/>
            <w:vAlign w:val="center"/>
          </w:tcPr>
          <w:p w14:paraId="1F85B208">
            <w:pPr>
              <w:rPr>
                <w:rFonts w:hint="eastAsia" w:ascii="宋体" w:hAnsi="宋体" w:eastAsia="宋体" w:cs="宋体"/>
                <w:i w:val="0"/>
                <w:iCs w:val="0"/>
                <w:color w:val="auto"/>
                <w:sz w:val="24"/>
                <w:szCs w:val="24"/>
                <w:highlight w:val="none"/>
                <w:u w:val="none"/>
              </w:rPr>
            </w:pPr>
          </w:p>
        </w:tc>
        <w:tc>
          <w:tcPr>
            <w:tcW w:w="776" w:type="dxa"/>
            <w:tcBorders>
              <w:top w:val="single" w:color="000000" w:sz="4" w:space="0"/>
              <w:left w:val="nil"/>
              <w:bottom w:val="single" w:color="000000" w:sz="4" w:space="0"/>
              <w:right w:val="nil"/>
            </w:tcBorders>
            <w:shd w:val="clear" w:color="auto" w:fill="C8C8C8"/>
            <w:vAlign w:val="center"/>
          </w:tcPr>
          <w:p w14:paraId="1EE14266">
            <w:pPr>
              <w:jc w:val="center"/>
              <w:rPr>
                <w:rFonts w:hint="eastAsia" w:ascii="宋体" w:hAnsi="宋体" w:eastAsia="宋体" w:cs="宋体"/>
                <w:i w:val="0"/>
                <w:iCs w:val="0"/>
                <w:color w:val="auto"/>
                <w:sz w:val="24"/>
                <w:szCs w:val="24"/>
                <w:highlight w:val="none"/>
                <w:u w:val="none"/>
              </w:rPr>
            </w:pPr>
          </w:p>
        </w:tc>
        <w:tc>
          <w:tcPr>
            <w:tcW w:w="830" w:type="dxa"/>
            <w:tcBorders>
              <w:top w:val="single" w:color="000000" w:sz="4" w:space="0"/>
              <w:left w:val="nil"/>
              <w:bottom w:val="single" w:color="000000" w:sz="4" w:space="0"/>
              <w:right w:val="nil"/>
            </w:tcBorders>
            <w:shd w:val="clear" w:color="auto" w:fill="C8C8C8"/>
            <w:vAlign w:val="center"/>
          </w:tcPr>
          <w:p w14:paraId="286A5B10">
            <w:pPr>
              <w:jc w:val="center"/>
              <w:rPr>
                <w:rFonts w:hint="eastAsia" w:ascii="宋体" w:hAnsi="宋体" w:eastAsia="宋体" w:cs="宋体"/>
                <w:i w:val="0"/>
                <w:iCs w:val="0"/>
                <w:color w:val="auto"/>
                <w:sz w:val="24"/>
                <w:szCs w:val="24"/>
                <w:highlight w:val="none"/>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4C0085F0">
            <w:pPr>
              <w:jc w:val="center"/>
              <w:rPr>
                <w:rFonts w:hint="eastAsia" w:ascii="宋体" w:hAnsi="宋体" w:eastAsia="宋体" w:cs="宋体"/>
                <w:i w:val="0"/>
                <w:iCs w:val="0"/>
                <w:color w:val="auto"/>
                <w:sz w:val="24"/>
                <w:szCs w:val="24"/>
                <w:highlight w:val="none"/>
                <w:u w:val="none"/>
              </w:rPr>
            </w:pPr>
          </w:p>
        </w:tc>
      </w:tr>
      <w:tr w14:paraId="65D62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07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32B2">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大米架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--选用SUS304优质38*38*1.0mm加厚不锈钢方管制作，管实厚δ≥0.88mm；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--格栅型，10根档，单层结构；</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--规格：1200*500*250mm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04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7F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07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27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A3CC0D">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504190</wp:posOffset>
                  </wp:positionH>
                  <wp:positionV relativeFrom="paragraph">
                    <wp:posOffset>224790</wp:posOffset>
                  </wp:positionV>
                  <wp:extent cx="896620" cy="653415"/>
                  <wp:effectExtent l="0" t="0" r="17780" b="13335"/>
                  <wp:wrapNone/>
                  <wp:docPr id="66" name="图片_31"/>
                  <wp:cNvGraphicFramePr/>
                  <a:graphic xmlns:a="http://schemas.openxmlformats.org/drawingml/2006/main">
                    <a:graphicData uri="http://schemas.openxmlformats.org/drawingml/2006/picture">
                      <pic:pic xmlns:pic="http://schemas.openxmlformats.org/drawingml/2006/picture">
                        <pic:nvPicPr>
                          <pic:cNvPr id="66" name="图片_31"/>
                          <pic:cNvPicPr/>
                        </pic:nvPicPr>
                        <pic:blipFill>
                          <a:blip r:embed="rId25"/>
                          <a:stretch>
                            <a:fillRect/>
                          </a:stretch>
                        </pic:blipFill>
                        <pic:spPr>
                          <a:xfrm>
                            <a:off x="0" y="0"/>
                            <a:ext cx="896620" cy="653415"/>
                          </a:xfrm>
                          <a:prstGeom prst="rect">
                            <a:avLst/>
                          </a:prstGeom>
                          <a:noFill/>
                          <a:ln>
                            <a:noFill/>
                          </a:ln>
                        </pic:spPr>
                      </pic:pic>
                    </a:graphicData>
                  </a:graphic>
                </wp:anchor>
              </w:drawing>
            </w:r>
          </w:p>
        </w:tc>
      </w:tr>
      <w:tr w14:paraId="5FA0F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B2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2061">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四层平板货架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--层板δ=1.2mm，实厚δ≥0.88mm；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--立柱为φ38*1.0mm加厚管制，实厚δ≥0.88mm；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--层板型，四层结构，下衬不锈钢加强筋，实厚δ≥0.88mm；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--配置重力不锈钢可调节子弹脚；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1200*500*1800mm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20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FD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6F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AC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136E3A">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446405</wp:posOffset>
                  </wp:positionH>
                  <wp:positionV relativeFrom="paragraph">
                    <wp:posOffset>448310</wp:posOffset>
                  </wp:positionV>
                  <wp:extent cx="1010285" cy="774065"/>
                  <wp:effectExtent l="0" t="0" r="18415" b="6985"/>
                  <wp:wrapNone/>
                  <wp:docPr id="61" name="图片_29_SpCnt_1"/>
                  <wp:cNvGraphicFramePr/>
                  <a:graphic xmlns:a="http://schemas.openxmlformats.org/drawingml/2006/main">
                    <a:graphicData uri="http://schemas.openxmlformats.org/drawingml/2006/picture">
                      <pic:pic xmlns:pic="http://schemas.openxmlformats.org/drawingml/2006/picture">
                        <pic:nvPicPr>
                          <pic:cNvPr id="61" name="图片_29_SpCnt_1"/>
                          <pic:cNvPicPr/>
                        </pic:nvPicPr>
                        <pic:blipFill>
                          <a:blip r:embed="rId26"/>
                          <a:stretch>
                            <a:fillRect/>
                          </a:stretch>
                        </pic:blipFill>
                        <pic:spPr>
                          <a:xfrm>
                            <a:off x="0" y="0"/>
                            <a:ext cx="1010285" cy="774065"/>
                          </a:xfrm>
                          <a:prstGeom prst="rect">
                            <a:avLst/>
                          </a:prstGeom>
                          <a:noFill/>
                          <a:ln>
                            <a:noFill/>
                          </a:ln>
                        </pic:spPr>
                      </pic:pic>
                    </a:graphicData>
                  </a:graphic>
                </wp:anchor>
              </w:drawing>
            </w:r>
          </w:p>
        </w:tc>
      </w:tr>
      <w:tr w14:paraId="6A0B3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EE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CF5C">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平板车</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--面板选用SUS304-2B不锈钢制作；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--板δ=1.0mm，实厚δ≥1.08mm；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--推手采用30*30*1.0mm不锈钢方管一次成型，实厚≥0.88mm；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--手柄采用φ25*1.0mm不锈钢加厚圆管，实厚δ≥0.88mm；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--配重力定轮2只，万向轮1只，万向刹车轮1只；</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--规格：900*500*900mm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9D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E1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54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5B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4E363D">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556260</wp:posOffset>
                  </wp:positionH>
                  <wp:positionV relativeFrom="paragraph">
                    <wp:posOffset>908685</wp:posOffset>
                  </wp:positionV>
                  <wp:extent cx="675005" cy="485775"/>
                  <wp:effectExtent l="0" t="0" r="10795" b="9525"/>
                  <wp:wrapNone/>
                  <wp:docPr id="67" name="Picture_480"/>
                  <wp:cNvGraphicFramePr/>
                  <a:graphic xmlns:a="http://schemas.openxmlformats.org/drawingml/2006/main">
                    <a:graphicData uri="http://schemas.openxmlformats.org/drawingml/2006/picture">
                      <pic:pic xmlns:pic="http://schemas.openxmlformats.org/drawingml/2006/picture">
                        <pic:nvPicPr>
                          <pic:cNvPr id="67" name="Picture_480"/>
                          <pic:cNvPicPr/>
                        </pic:nvPicPr>
                        <pic:blipFill>
                          <a:blip r:embed="rId27"/>
                          <a:stretch>
                            <a:fillRect/>
                          </a:stretch>
                        </pic:blipFill>
                        <pic:spPr>
                          <a:xfrm>
                            <a:off x="0" y="0"/>
                            <a:ext cx="675005" cy="485775"/>
                          </a:xfrm>
                          <a:prstGeom prst="rect">
                            <a:avLst/>
                          </a:prstGeom>
                          <a:noFill/>
                          <a:ln>
                            <a:noFill/>
                          </a:ln>
                        </pic:spPr>
                      </pic:pic>
                    </a:graphicData>
                  </a:graphic>
                </wp:anchor>
              </w:drawing>
            </w:r>
          </w:p>
        </w:tc>
      </w:tr>
      <w:tr w14:paraId="3BC9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40" w:type="dxa"/>
            <w:tcBorders>
              <w:top w:val="single" w:color="000000" w:sz="4" w:space="0"/>
              <w:left w:val="single" w:color="000000" w:sz="4" w:space="0"/>
              <w:bottom w:val="single" w:color="000000" w:sz="4" w:space="0"/>
              <w:right w:val="nil"/>
            </w:tcBorders>
            <w:shd w:val="clear" w:color="auto" w:fill="C8C8C8"/>
            <w:vAlign w:val="center"/>
          </w:tcPr>
          <w:p w14:paraId="0C91CE17">
            <w:pP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nil"/>
              <w:bottom w:val="single" w:color="000000" w:sz="4" w:space="0"/>
              <w:right w:val="nil"/>
            </w:tcBorders>
            <w:shd w:val="clear" w:color="auto" w:fill="C8C8C8"/>
            <w:vAlign w:val="center"/>
          </w:tcPr>
          <w:p w14:paraId="5AC80D16">
            <w:pPr>
              <w:keepNext w:val="0"/>
              <w:keepLines w:val="0"/>
              <w:widowControl/>
              <w:suppressLineNumbers w:val="0"/>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餐厅</w:t>
            </w:r>
          </w:p>
        </w:tc>
        <w:tc>
          <w:tcPr>
            <w:tcW w:w="506" w:type="dxa"/>
            <w:tcBorders>
              <w:top w:val="single" w:color="000000" w:sz="4" w:space="0"/>
              <w:left w:val="nil"/>
              <w:bottom w:val="single" w:color="000000" w:sz="4" w:space="0"/>
              <w:right w:val="nil"/>
            </w:tcBorders>
            <w:shd w:val="clear" w:color="auto" w:fill="C8C8C8"/>
            <w:vAlign w:val="center"/>
          </w:tcPr>
          <w:p w14:paraId="7165E5D7">
            <w:pPr>
              <w:rPr>
                <w:rFonts w:hint="eastAsia" w:ascii="宋体" w:hAnsi="宋体" w:eastAsia="宋体" w:cs="宋体"/>
                <w:i w:val="0"/>
                <w:iCs w:val="0"/>
                <w:color w:val="auto"/>
                <w:sz w:val="24"/>
                <w:szCs w:val="24"/>
                <w:highlight w:val="none"/>
                <w:u w:val="none"/>
              </w:rPr>
            </w:pPr>
          </w:p>
        </w:tc>
        <w:tc>
          <w:tcPr>
            <w:tcW w:w="766" w:type="dxa"/>
            <w:tcBorders>
              <w:top w:val="single" w:color="000000" w:sz="4" w:space="0"/>
              <w:left w:val="nil"/>
              <w:bottom w:val="single" w:color="000000" w:sz="4" w:space="0"/>
              <w:right w:val="nil"/>
            </w:tcBorders>
            <w:shd w:val="clear" w:color="auto" w:fill="C8C8C8"/>
            <w:vAlign w:val="center"/>
          </w:tcPr>
          <w:p w14:paraId="0B8C6746">
            <w:pPr>
              <w:rPr>
                <w:rFonts w:hint="eastAsia" w:ascii="宋体" w:hAnsi="宋体" w:eastAsia="宋体" w:cs="宋体"/>
                <w:i w:val="0"/>
                <w:iCs w:val="0"/>
                <w:color w:val="auto"/>
                <w:sz w:val="24"/>
                <w:szCs w:val="24"/>
                <w:highlight w:val="none"/>
                <w:u w:val="none"/>
              </w:rPr>
            </w:pPr>
          </w:p>
        </w:tc>
        <w:tc>
          <w:tcPr>
            <w:tcW w:w="776" w:type="dxa"/>
            <w:tcBorders>
              <w:top w:val="single" w:color="000000" w:sz="4" w:space="0"/>
              <w:left w:val="nil"/>
              <w:bottom w:val="single" w:color="000000" w:sz="4" w:space="0"/>
              <w:right w:val="nil"/>
            </w:tcBorders>
            <w:shd w:val="clear" w:color="auto" w:fill="C8C8C8"/>
            <w:vAlign w:val="center"/>
          </w:tcPr>
          <w:p w14:paraId="2F47899C">
            <w:pPr>
              <w:jc w:val="center"/>
              <w:rPr>
                <w:rFonts w:hint="eastAsia" w:ascii="宋体" w:hAnsi="宋体" w:eastAsia="宋体" w:cs="宋体"/>
                <w:i w:val="0"/>
                <w:iCs w:val="0"/>
                <w:color w:val="auto"/>
                <w:sz w:val="24"/>
                <w:szCs w:val="24"/>
                <w:highlight w:val="none"/>
                <w:u w:val="none"/>
              </w:rPr>
            </w:pPr>
          </w:p>
        </w:tc>
        <w:tc>
          <w:tcPr>
            <w:tcW w:w="830" w:type="dxa"/>
            <w:tcBorders>
              <w:top w:val="single" w:color="000000" w:sz="4" w:space="0"/>
              <w:left w:val="nil"/>
              <w:bottom w:val="single" w:color="000000" w:sz="4" w:space="0"/>
              <w:right w:val="nil"/>
            </w:tcBorders>
            <w:shd w:val="clear" w:color="auto" w:fill="C8C8C8"/>
            <w:vAlign w:val="center"/>
          </w:tcPr>
          <w:p w14:paraId="0E2033B7">
            <w:pPr>
              <w:jc w:val="center"/>
              <w:rPr>
                <w:rFonts w:hint="eastAsia" w:ascii="宋体" w:hAnsi="宋体" w:eastAsia="宋体" w:cs="宋体"/>
                <w:i w:val="0"/>
                <w:iCs w:val="0"/>
                <w:color w:val="auto"/>
                <w:sz w:val="24"/>
                <w:szCs w:val="24"/>
                <w:highlight w:val="none"/>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78C25727">
            <w:pPr>
              <w:jc w:val="center"/>
              <w:rPr>
                <w:rFonts w:hint="eastAsia" w:ascii="宋体" w:hAnsi="宋体" w:eastAsia="宋体" w:cs="宋体"/>
                <w:i w:val="0"/>
                <w:iCs w:val="0"/>
                <w:color w:val="auto"/>
                <w:sz w:val="24"/>
                <w:szCs w:val="24"/>
                <w:highlight w:val="none"/>
                <w:u w:val="none"/>
              </w:rPr>
            </w:pPr>
          </w:p>
        </w:tc>
      </w:tr>
      <w:tr w14:paraId="0FE36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94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F52D">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双层工作台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--台面δ=1.2mm，实厚δ≥1.08mm，层板δ=1.0mm，实厚δ≥0.88mm；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--圆通脚采用φ38*1.0mm不锈钢加厚圆管制作，实厚δ≥0.88mm；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--下衬12mm密度板减噪，配不锈钢加强筋、板δ=1.0mm，实厚δ≥0.88mm；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--层板型，配置重力不锈钢可调节子弹脚；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--规格：1800*800*800mm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81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3B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8A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4D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656D20">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474980</wp:posOffset>
                  </wp:positionH>
                  <wp:positionV relativeFrom="paragraph">
                    <wp:posOffset>789940</wp:posOffset>
                  </wp:positionV>
                  <wp:extent cx="836930" cy="700405"/>
                  <wp:effectExtent l="0" t="0" r="1270" b="4445"/>
                  <wp:wrapNone/>
                  <wp:docPr id="77" name="Picture_116_SpCnt_1"/>
                  <wp:cNvGraphicFramePr/>
                  <a:graphic xmlns:a="http://schemas.openxmlformats.org/drawingml/2006/main">
                    <a:graphicData uri="http://schemas.openxmlformats.org/drawingml/2006/picture">
                      <pic:pic xmlns:pic="http://schemas.openxmlformats.org/drawingml/2006/picture">
                        <pic:nvPicPr>
                          <pic:cNvPr id="77" name="Picture_116_SpCnt_1"/>
                          <pic:cNvPicPr/>
                        </pic:nvPicPr>
                        <pic:blipFill>
                          <a:blip r:embed="rId28"/>
                          <a:stretch>
                            <a:fillRect/>
                          </a:stretch>
                        </pic:blipFill>
                        <pic:spPr>
                          <a:xfrm>
                            <a:off x="0" y="0"/>
                            <a:ext cx="836930" cy="700405"/>
                          </a:xfrm>
                          <a:prstGeom prst="rect">
                            <a:avLst/>
                          </a:prstGeom>
                          <a:noFill/>
                          <a:ln>
                            <a:noFill/>
                          </a:ln>
                        </pic:spPr>
                      </pic:pic>
                    </a:graphicData>
                  </a:graphic>
                </wp:anchor>
              </w:drawing>
            </w:r>
          </w:p>
        </w:tc>
      </w:tr>
      <w:tr w14:paraId="51CB6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AE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90EF">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双层回收餐车</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--斗选用SUS304-2B不锈钢板制作，板δ=1.0mm，实厚δ≥1.08mm；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--推手采用28*28*1.0mm不锈钢方管一次成型，厚≥0.88mm；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--手柄采用φ25*1.0mm不锈钢加厚圆管，实厚δ≥0.88mm；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--双层设计，深斗型，车斗900*500*150mm；</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--配重力定轮2只，万向轮1只，万向刹车轮1只；</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--规格：900*500*900mm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A8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43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5F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FC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5C26ED">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534035</wp:posOffset>
                  </wp:positionH>
                  <wp:positionV relativeFrom="paragraph">
                    <wp:posOffset>407670</wp:posOffset>
                  </wp:positionV>
                  <wp:extent cx="885190" cy="702310"/>
                  <wp:effectExtent l="0" t="0" r="10160" b="2540"/>
                  <wp:wrapNone/>
                  <wp:docPr id="75" name="Picture_146"/>
                  <wp:cNvGraphicFramePr/>
                  <a:graphic xmlns:a="http://schemas.openxmlformats.org/drawingml/2006/main">
                    <a:graphicData uri="http://schemas.openxmlformats.org/drawingml/2006/picture">
                      <pic:pic xmlns:pic="http://schemas.openxmlformats.org/drawingml/2006/picture">
                        <pic:nvPicPr>
                          <pic:cNvPr id="75" name="Picture_146"/>
                          <pic:cNvPicPr/>
                        </pic:nvPicPr>
                        <pic:blipFill>
                          <a:blip r:embed="rId29"/>
                          <a:stretch>
                            <a:fillRect/>
                          </a:stretch>
                        </pic:blipFill>
                        <pic:spPr>
                          <a:xfrm>
                            <a:off x="0" y="0"/>
                            <a:ext cx="885190" cy="702310"/>
                          </a:xfrm>
                          <a:prstGeom prst="rect">
                            <a:avLst/>
                          </a:prstGeom>
                          <a:noFill/>
                          <a:ln>
                            <a:noFill/>
                          </a:ln>
                        </pic:spPr>
                      </pic:pic>
                    </a:graphicData>
                  </a:graphic>
                </wp:anchor>
              </w:drawing>
            </w:r>
          </w:p>
        </w:tc>
      </w:tr>
      <w:tr w14:paraId="075C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nil"/>
            </w:tcBorders>
            <w:shd w:val="clear" w:color="auto" w:fill="C8C8C8"/>
            <w:vAlign w:val="center"/>
          </w:tcPr>
          <w:p w14:paraId="0B13C2D1">
            <w:pP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nil"/>
              <w:bottom w:val="single" w:color="000000" w:sz="4" w:space="0"/>
              <w:right w:val="nil"/>
            </w:tcBorders>
            <w:shd w:val="clear" w:color="auto" w:fill="C8C8C8"/>
            <w:vAlign w:val="center"/>
          </w:tcPr>
          <w:p w14:paraId="661A253A">
            <w:pPr>
              <w:keepNext w:val="0"/>
              <w:keepLines w:val="0"/>
              <w:widowControl/>
              <w:suppressLineNumbers w:val="0"/>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其它</w:t>
            </w:r>
          </w:p>
        </w:tc>
        <w:tc>
          <w:tcPr>
            <w:tcW w:w="506" w:type="dxa"/>
            <w:tcBorders>
              <w:top w:val="single" w:color="000000" w:sz="4" w:space="0"/>
              <w:left w:val="nil"/>
              <w:bottom w:val="single" w:color="000000" w:sz="4" w:space="0"/>
              <w:right w:val="nil"/>
            </w:tcBorders>
            <w:shd w:val="clear" w:color="auto" w:fill="C8C8C8"/>
            <w:vAlign w:val="center"/>
          </w:tcPr>
          <w:p w14:paraId="0BA41DC7">
            <w:pPr>
              <w:rPr>
                <w:rFonts w:hint="eastAsia" w:ascii="宋体" w:hAnsi="宋体" w:eastAsia="宋体" w:cs="宋体"/>
                <w:i w:val="0"/>
                <w:iCs w:val="0"/>
                <w:color w:val="auto"/>
                <w:sz w:val="24"/>
                <w:szCs w:val="24"/>
                <w:highlight w:val="none"/>
                <w:u w:val="none"/>
              </w:rPr>
            </w:pPr>
          </w:p>
        </w:tc>
        <w:tc>
          <w:tcPr>
            <w:tcW w:w="766" w:type="dxa"/>
            <w:tcBorders>
              <w:top w:val="single" w:color="000000" w:sz="4" w:space="0"/>
              <w:left w:val="nil"/>
              <w:bottom w:val="single" w:color="000000" w:sz="4" w:space="0"/>
              <w:right w:val="nil"/>
            </w:tcBorders>
            <w:shd w:val="clear" w:color="auto" w:fill="C8C8C8"/>
            <w:vAlign w:val="center"/>
          </w:tcPr>
          <w:p w14:paraId="1DAC52C5">
            <w:pPr>
              <w:rPr>
                <w:rFonts w:hint="eastAsia" w:ascii="宋体" w:hAnsi="宋体" w:eastAsia="宋体" w:cs="宋体"/>
                <w:i w:val="0"/>
                <w:iCs w:val="0"/>
                <w:color w:val="auto"/>
                <w:sz w:val="24"/>
                <w:szCs w:val="24"/>
                <w:highlight w:val="none"/>
                <w:u w:val="none"/>
              </w:rPr>
            </w:pPr>
          </w:p>
        </w:tc>
        <w:tc>
          <w:tcPr>
            <w:tcW w:w="776" w:type="dxa"/>
            <w:tcBorders>
              <w:top w:val="single" w:color="000000" w:sz="4" w:space="0"/>
              <w:left w:val="nil"/>
              <w:bottom w:val="single" w:color="000000" w:sz="4" w:space="0"/>
              <w:right w:val="nil"/>
            </w:tcBorders>
            <w:shd w:val="clear" w:color="auto" w:fill="C8C8C8"/>
            <w:vAlign w:val="center"/>
          </w:tcPr>
          <w:p w14:paraId="7DA06F35">
            <w:pPr>
              <w:jc w:val="center"/>
              <w:rPr>
                <w:rFonts w:hint="eastAsia" w:ascii="宋体" w:hAnsi="宋体" w:eastAsia="宋体" w:cs="宋体"/>
                <w:i w:val="0"/>
                <w:iCs w:val="0"/>
                <w:color w:val="auto"/>
                <w:sz w:val="24"/>
                <w:szCs w:val="24"/>
                <w:highlight w:val="none"/>
                <w:u w:val="none"/>
              </w:rPr>
            </w:pPr>
          </w:p>
        </w:tc>
        <w:tc>
          <w:tcPr>
            <w:tcW w:w="830" w:type="dxa"/>
            <w:tcBorders>
              <w:top w:val="single" w:color="000000" w:sz="4" w:space="0"/>
              <w:left w:val="nil"/>
              <w:bottom w:val="single" w:color="000000" w:sz="4" w:space="0"/>
              <w:right w:val="nil"/>
            </w:tcBorders>
            <w:shd w:val="clear" w:color="auto" w:fill="C8C8C8"/>
            <w:vAlign w:val="center"/>
          </w:tcPr>
          <w:p w14:paraId="3174B20F">
            <w:pPr>
              <w:jc w:val="center"/>
              <w:rPr>
                <w:rFonts w:hint="eastAsia" w:ascii="宋体" w:hAnsi="宋体" w:eastAsia="宋体" w:cs="宋体"/>
                <w:i w:val="0"/>
                <w:iCs w:val="0"/>
                <w:color w:val="auto"/>
                <w:sz w:val="24"/>
                <w:szCs w:val="24"/>
                <w:highlight w:val="none"/>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5CD3ECA5">
            <w:pPr>
              <w:jc w:val="center"/>
              <w:rPr>
                <w:rFonts w:hint="eastAsia" w:ascii="宋体" w:hAnsi="宋体" w:eastAsia="宋体" w:cs="宋体"/>
                <w:i w:val="0"/>
                <w:iCs w:val="0"/>
                <w:color w:val="auto"/>
                <w:sz w:val="24"/>
                <w:szCs w:val="24"/>
                <w:highlight w:val="none"/>
                <w:u w:val="none"/>
              </w:rPr>
            </w:pPr>
          </w:p>
        </w:tc>
      </w:tr>
      <w:tr w14:paraId="349AC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83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1B31">
            <w:pPr>
              <w:keepNext w:val="0"/>
              <w:keepLines w:val="0"/>
              <w:widowControl/>
              <w:suppressLineNumbers w:val="0"/>
              <w:jc w:val="left"/>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粘捕式灭蝇灯</w:t>
            </w:r>
            <w:r>
              <w:rPr>
                <w:rFonts w:hint="eastAsia" w:ascii="宋体" w:hAnsi="宋体" w:eastAsia="宋体" w:cs="宋体"/>
                <w:i w:val="0"/>
                <w:iCs w:val="0"/>
                <w:strike w:val="0"/>
                <w:dstrike w:val="0"/>
                <w:color w:val="auto"/>
                <w:kern w:val="0"/>
                <w:sz w:val="24"/>
                <w:szCs w:val="24"/>
                <w:highlight w:val="none"/>
                <w:u w:val="none"/>
                <w:lang w:val="en-US" w:eastAsia="zh-CN" w:bidi="ar"/>
              </w:rPr>
              <w:br w:type="textWrapping"/>
            </w:r>
            <w:r>
              <w:rPr>
                <w:rFonts w:hint="eastAsia" w:ascii="宋体" w:hAnsi="宋体" w:eastAsia="宋体" w:cs="宋体"/>
                <w:i w:val="0"/>
                <w:iCs w:val="0"/>
                <w:strike w:val="0"/>
                <w:dstrike w:val="0"/>
                <w:color w:val="auto"/>
                <w:kern w:val="0"/>
                <w:sz w:val="24"/>
                <w:szCs w:val="24"/>
                <w:highlight w:val="none"/>
                <w:u w:val="none"/>
                <w:lang w:val="en-US" w:eastAsia="zh-CN" w:bidi="ar"/>
              </w:rPr>
              <w:t>--技术参数：采用ABS阻燃材料，新型粘捕式，无声响、臭味、气体、虫尸不会散落在捕虫灯的外围；可捕杀蚊子、苍蝇、飞蛾等其它虫类，有效防蝇面积20-30㎡                             --规格：</w:t>
            </w:r>
            <w:r>
              <w:rPr>
                <w:rStyle w:val="608"/>
                <w:rFonts w:hint="eastAsia"/>
                <w:strike w:val="0"/>
                <w:dstrike w:val="0"/>
                <w:color w:val="auto"/>
                <w:highlight w:val="none"/>
                <w:lang w:val="en-US" w:eastAsia="zh-CN" w:bidi="ar"/>
              </w:rPr>
              <w:t>≥</w:t>
            </w:r>
            <w:r>
              <w:rPr>
                <w:rFonts w:hint="eastAsia" w:ascii="宋体" w:hAnsi="宋体" w:eastAsia="宋体" w:cs="宋体"/>
                <w:i w:val="0"/>
                <w:iCs w:val="0"/>
                <w:strike w:val="0"/>
                <w:dstrike w:val="0"/>
                <w:color w:val="auto"/>
                <w:kern w:val="0"/>
                <w:sz w:val="24"/>
                <w:szCs w:val="24"/>
                <w:highlight w:val="none"/>
                <w:u w:val="none"/>
                <w:lang w:val="en-US" w:eastAsia="zh-CN" w:bidi="ar"/>
              </w:rPr>
              <w:t>9W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E1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CC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57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C7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2A6ED2">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473075</wp:posOffset>
                  </wp:positionH>
                  <wp:positionV relativeFrom="paragraph">
                    <wp:posOffset>326390</wp:posOffset>
                  </wp:positionV>
                  <wp:extent cx="887730" cy="667385"/>
                  <wp:effectExtent l="0" t="0" r="7620" b="18415"/>
                  <wp:wrapNone/>
                  <wp:docPr id="68" name="图片_31_SpCnt_1"/>
                  <wp:cNvGraphicFramePr/>
                  <a:graphic xmlns:a="http://schemas.openxmlformats.org/drawingml/2006/main">
                    <a:graphicData uri="http://schemas.openxmlformats.org/drawingml/2006/picture">
                      <pic:pic xmlns:pic="http://schemas.openxmlformats.org/drawingml/2006/picture">
                        <pic:nvPicPr>
                          <pic:cNvPr id="68" name="图片_31_SpCnt_1"/>
                          <pic:cNvPicPr/>
                        </pic:nvPicPr>
                        <pic:blipFill>
                          <a:blip r:embed="rId30"/>
                          <a:stretch>
                            <a:fillRect/>
                          </a:stretch>
                        </pic:blipFill>
                        <pic:spPr>
                          <a:xfrm>
                            <a:off x="0" y="0"/>
                            <a:ext cx="887730" cy="667385"/>
                          </a:xfrm>
                          <a:prstGeom prst="rect">
                            <a:avLst/>
                          </a:prstGeom>
                          <a:noFill/>
                          <a:ln>
                            <a:noFill/>
                          </a:ln>
                        </pic:spPr>
                      </pic:pic>
                    </a:graphicData>
                  </a:graphic>
                </wp:anchor>
              </w:drawing>
            </w:r>
          </w:p>
        </w:tc>
      </w:tr>
      <w:tr w14:paraId="33C2B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768" w:type="dxa"/>
            <w:gridSpan w:val="4"/>
            <w:tcBorders>
              <w:top w:val="single" w:color="000000" w:sz="4" w:space="0"/>
              <w:left w:val="single" w:color="000000" w:sz="4" w:space="0"/>
              <w:bottom w:val="single" w:color="000000" w:sz="4" w:space="0"/>
              <w:right w:val="nil"/>
            </w:tcBorders>
            <w:shd w:val="clear" w:color="auto" w:fill="C8C8C8"/>
            <w:vAlign w:val="center"/>
          </w:tcPr>
          <w:p w14:paraId="4A512CC1">
            <w:pPr>
              <w:keepNext w:val="0"/>
              <w:keepLines w:val="0"/>
              <w:widowControl/>
              <w:suppressLineNumbers w:val="0"/>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备餐间、洗消间</w:t>
            </w:r>
          </w:p>
        </w:tc>
        <w:tc>
          <w:tcPr>
            <w:tcW w:w="776" w:type="dxa"/>
            <w:tcBorders>
              <w:top w:val="single" w:color="000000" w:sz="4" w:space="0"/>
              <w:left w:val="nil"/>
              <w:bottom w:val="single" w:color="000000" w:sz="4" w:space="0"/>
              <w:right w:val="nil"/>
            </w:tcBorders>
            <w:shd w:val="clear" w:color="auto" w:fill="C8C8C8"/>
            <w:vAlign w:val="center"/>
          </w:tcPr>
          <w:p w14:paraId="3391C381">
            <w:pPr>
              <w:jc w:val="center"/>
              <w:rPr>
                <w:rFonts w:hint="eastAsia" w:ascii="宋体" w:hAnsi="宋体" w:eastAsia="宋体" w:cs="宋体"/>
                <w:i w:val="0"/>
                <w:iCs w:val="0"/>
                <w:color w:val="auto"/>
                <w:sz w:val="24"/>
                <w:szCs w:val="24"/>
                <w:highlight w:val="none"/>
                <w:u w:val="none"/>
              </w:rPr>
            </w:pPr>
          </w:p>
        </w:tc>
        <w:tc>
          <w:tcPr>
            <w:tcW w:w="830" w:type="dxa"/>
            <w:tcBorders>
              <w:top w:val="single" w:color="000000" w:sz="4" w:space="0"/>
              <w:left w:val="nil"/>
              <w:bottom w:val="single" w:color="000000" w:sz="4" w:space="0"/>
              <w:right w:val="nil"/>
            </w:tcBorders>
            <w:shd w:val="clear" w:color="auto" w:fill="C8C8C8"/>
            <w:vAlign w:val="center"/>
          </w:tcPr>
          <w:p w14:paraId="070ADF3D">
            <w:pPr>
              <w:jc w:val="center"/>
              <w:rPr>
                <w:rFonts w:hint="eastAsia" w:ascii="宋体" w:hAnsi="宋体" w:eastAsia="宋体" w:cs="宋体"/>
                <w:i w:val="0"/>
                <w:iCs w:val="0"/>
                <w:color w:val="auto"/>
                <w:sz w:val="24"/>
                <w:szCs w:val="24"/>
                <w:highlight w:val="none"/>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46B87251">
            <w:pPr>
              <w:jc w:val="center"/>
              <w:rPr>
                <w:rFonts w:hint="eastAsia" w:ascii="宋体" w:hAnsi="宋体" w:eastAsia="宋体" w:cs="宋体"/>
                <w:i w:val="0"/>
                <w:iCs w:val="0"/>
                <w:color w:val="auto"/>
                <w:sz w:val="24"/>
                <w:szCs w:val="24"/>
                <w:highlight w:val="none"/>
                <w:u w:val="none"/>
              </w:rPr>
            </w:pPr>
          </w:p>
        </w:tc>
      </w:tr>
      <w:tr w14:paraId="41B80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3" w:hRule="atLeast"/>
        </w:trPr>
        <w:tc>
          <w:tcPr>
            <w:tcW w:w="540" w:type="dxa"/>
            <w:tcBorders>
              <w:top w:val="single" w:color="000000" w:sz="4" w:space="0"/>
              <w:left w:val="single" w:color="000000" w:sz="4" w:space="0"/>
              <w:bottom w:val="single" w:color="000000" w:sz="4" w:space="0"/>
              <w:right w:val="nil"/>
            </w:tcBorders>
            <w:shd w:val="clear" w:color="auto" w:fill="auto"/>
            <w:vAlign w:val="center"/>
          </w:tcPr>
          <w:p w14:paraId="36586729">
            <w:pPr>
              <w:jc w:val="cente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6EB7">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五斗保温售菜台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--采用SUS304-2B不锈钢板制造，台面板δ=1.2mm，实厚δ≥1.08mm；围板δ=1.0mm，实厚δ≥0.88mm；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--圆通脚为Φ38*1.0mm加厚不锈钢圆管，实厚δ≥0.88mm；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--配有重力可调子弹脚。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--5只机压不锈钢份数盘，份数盘规格1/1*150，实厚δ≥0.71mm；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 xml:space="preserve">--设备特定中制系列安全保护系统及操作保护功能，预开放为一体智能专用数码显示微电脑控制系统,面板控制规格：160*80mm；                          </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--标准时间数字显示，工作温度可调节设置；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--恒温工作时间可自动关闭设置；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--当前工作时间数字显示，当前温度数字显示；</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--12V进水电磁阀，自动加水和缺水保护；</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--预约式工作时段可调节设置；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--功率：</w:t>
            </w:r>
            <w:r>
              <w:rPr>
                <w:rStyle w:val="608"/>
                <w:rFonts w:hint="eastAsia"/>
                <w:strike w:val="0"/>
                <w:dstrike w:val="0"/>
                <w:color w:val="auto"/>
                <w:highlight w:val="none"/>
                <w:lang w:val="en-US" w:eastAsia="zh-CN" w:bidi="ar"/>
              </w:rPr>
              <w:t>≥</w:t>
            </w:r>
            <w:r>
              <w:rPr>
                <w:rStyle w:val="608"/>
                <w:strike w:val="0"/>
                <w:dstrike w:val="0"/>
                <w:color w:val="auto"/>
                <w:highlight w:val="none"/>
                <w:lang w:val="en-US" w:eastAsia="zh-CN" w:bidi="ar"/>
              </w:rPr>
              <w:t>3KW/220V</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--规格：1800×700×800mm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FB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2C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A2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8A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12A2C6">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504190</wp:posOffset>
                  </wp:positionH>
                  <wp:positionV relativeFrom="paragraph">
                    <wp:posOffset>520700</wp:posOffset>
                  </wp:positionV>
                  <wp:extent cx="934085" cy="640080"/>
                  <wp:effectExtent l="0" t="0" r="18415" b="7620"/>
                  <wp:wrapNone/>
                  <wp:docPr id="58" name="Picture_497"/>
                  <wp:cNvGraphicFramePr/>
                  <a:graphic xmlns:a="http://schemas.openxmlformats.org/drawingml/2006/main">
                    <a:graphicData uri="http://schemas.openxmlformats.org/drawingml/2006/picture">
                      <pic:pic xmlns:pic="http://schemas.openxmlformats.org/drawingml/2006/picture">
                        <pic:nvPicPr>
                          <pic:cNvPr id="58" name="Picture_497"/>
                          <pic:cNvPicPr/>
                        </pic:nvPicPr>
                        <pic:blipFill>
                          <a:blip r:embed="rId31"/>
                          <a:stretch>
                            <a:fillRect/>
                          </a:stretch>
                        </pic:blipFill>
                        <pic:spPr>
                          <a:xfrm>
                            <a:off x="0" y="0"/>
                            <a:ext cx="934085" cy="640080"/>
                          </a:xfrm>
                          <a:prstGeom prst="rect">
                            <a:avLst/>
                          </a:prstGeom>
                          <a:noFill/>
                          <a:ln>
                            <a:noFill/>
                          </a:ln>
                        </pic:spPr>
                      </pic:pic>
                    </a:graphicData>
                  </a:graphic>
                </wp:anchor>
              </w:drawing>
            </w:r>
          </w:p>
        </w:tc>
      </w:tr>
      <w:tr w14:paraId="6229A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0" w:hRule="atLeast"/>
        </w:trPr>
        <w:tc>
          <w:tcPr>
            <w:tcW w:w="540" w:type="dxa"/>
            <w:tcBorders>
              <w:top w:val="single" w:color="000000" w:sz="4" w:space="0"/>
              <w:left w:val="single" w:color="000000" w:sz="4" w:space="0"/>
              <w:bottom w:val="single" w:color="000000" w:sz="4" w:space="0"/>
              <w:right w:val="nil"/>
            </w:tcBorders>
            <w:shd w:val="clear" w:color="auto" w:fill="auto"/>
            <w:vAlign w:val="center"/>
          </w:tcPr>
          <w:p w14:paraId="2C5FA7A9">
            <w:pPr>
              <w:jc w:val="cente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0EC1">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单向移门调理台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--采用优质SUS304-2B不锈钢板制作；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--台面为δ=1.2mm，实厚δ≥1.08mm；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--侧板δ=1.0mm，实厚δ≥0.88mm；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--门板δ=1.0mm，实厚δ≥0.88mm；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--底板、层板、背板δ=1.0mm，实厚δ≥0.88mm；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--单边上挂式尼龙静音滑轮移门，内置一层可调层板，下衬12mm密度板减噪；--配不锈钢加强筋δ=1.0mm，实厚δ≥0.88mm；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--配置Φ50*150*1.0mm重力不锈钢可调节子弹脚；</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：1800*800*800mm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5C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AC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27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AE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279113">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504190</wp:posOffset>
                  </wp:positionH>
                  <wp:positionV relativeFrom="paragraph">
                    <wp:posOffset>602615</wp:posOffset>
                  </wp:positionV>
                  <wp:extent cx="887095" cy="624840"/>
                  <wp:effectExtent l="0" t="0" r="8255" b="3810"/>
                  <wp:wrapNone/>
                  <wp:docPr id="69" name="Picture_138_SpCnt_1"/>
                  <wp:cNvGraphicFramePr/>
                  <a:graphic xmlns:a="http://schemas.openxmlformats.org/drawingml/2006/main">
                    <a:graphicData uri="http://schemas.openxmlformats.org/drawingml/2006/picture">
                      <pic:pic xmlns:pic="http://schemas.openxmlformats.org/drawingml/2006/picture">
                        <pic:nvPicPr>
                          <pic:cNvPr id="69" name="Picture_138_SpCnt_1"/>
                          <pic:cNvPicPr/>
                        </pic:nvPicPr>
                        <pic:blipFill>
                          <a:blip r:embed="rId32"/>
                          <a:stretch>
                            <a:fillRect/>
                          </a:stretch>
                        </pic:blipFill>
                        <pic:spPr>
                          <a:xfrm>
                            <a:off x="0" y="0"/>
                            <a:ext cx="887095" cy="624840"/>
                          </a:xfrm>
                          <a:prstGeom prst="rect">
                            <a:avLst/>
                          </a:prstGeom>
                          <a:noFill/>
                          <a:ln>
                            <a:noFill/>
                          </a:ln>
                        </pic:spPr>
                      </pic:pic>
                    </a:graphicData>
                  </a:graphic>
                </wp:anchor>
              </w:drawing>
            </w:r>
          </w:p>
        </w:tc>
      </w:tr>
      <w:tr w14:paraId="5F323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0" w:hRule="atLeast"/>
        </w:trPr>
        <w:tc>
          <w:tcPr>
            <w:tcW w:w="540" w:type="dxa"/>
            <w:tcBorders>
              <w:top w:val="single" w:color="000000" w:sz="4" w:space="0"/>
              <w:left w:val="single" w:color="000000" w:sz="4" w:space="0"/>
              <w:bottom w:val="single" w:color="000000" w:sz="4" w:space="0"/>
              <w:right w:val="nil"/>
            </w:tcBorders>
            <w:shd w:val="clear" w:color="auto" w:fill="auto"/>
            <w:vAlign w:val="center"/>
          </w:tcPr>
          <w:p w14:paraId="2475C900">
            <w:pPr>
              <w:jc w:val="cente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top"/>
          </w:tcPr>
          <w:p w14:paraId="057FBC1B">
            <w:pPr>
              <w:keepNext w:val="0"/>
              <w:keepLines w:val="0"/>
              <w:widowControl/>
              <w:suppressLineNumbers w:val="0"/>
              <w:jc w:val="left"/>
              <w:textAlignment w:val="top"/>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长条水池</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--选用SUS304-2B优质不锈钢板制作；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--台面及水斗δ=1.2mm，实厚δ≥1.08mm，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--水斗圆角模压成型，配优质不锈钢提笼式落水器及烂渣篮，水龙头另计；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--圆通腿为φ38*1.0mm加厚不锈钢圆管，实厚δ≥0.88mm；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--下橫通为φ25*1.0mm加厚不锈钢圆管，实厚δ≥0.88mm；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--规格：1800*700*(800+150)mm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DD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2A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F6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13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C99E56">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524510</wp:posOffset>
                  </wp:positionH>
                  <wp:positionV relativeFrom="paragraph">
                    <wp:posOffset>653415</wp:posOffset>
                  </wp:positionV>
                  <wp:extent cx="876300" cy="513715"/>
                  <wp:effectExtent l="0" t="0" r="0" b="635"/>
                  <wp:wrapNone/>
                  <wp:docPr id="70" name="Picture_444_SpCnt_1"/>
                  <wp:cNvGraphicFramePr/>
                  <a:graphic xmlns:a="http://schemas.openxmlformats.org/drawingml/2006/main">
                    <a:graphicData uri="http://schemas.openxmlformats.org/drawingml/2006/picture">
                      <pic:pic xmlns:pic="http://schemas.openxmlformats.org/drawingml/2006/picture">
                        <pic:nvPicPr>
                          <pic:cNvPr id="70" name="Picture_444_SpCnt_1"/>
                          <pic:cNvPicPr/>
                        </pic:nvPicPr>
                        <pic:blipFill>
                          <a:blip r:embed="rId33"/>
                          <a:stretch>
                            <a:fillRect/>
                          </a:stretch>
                        </pic:blipFill>
                        <pic:spPr>
                          <a:xfrm>
                            <a:off x="0" y="0"/>
                            <a:ext cx="876300" cy="513715"/>
                          </a:xfrm>
                          <a:prstGeom prst="rect">
                            <a:avLst/>
                          </a:prstGeom>
                          <a:noFill/>
                          <a:ln>
                            <a:noFill/>
                          </a:ln>
                        </pic:spPr>
                      </pic:pic>
                    </a:graphicData>
                  </a:graphic>
                </wp:anchor>
              </w:drawing>
            </w:r>
          </w:p>
        </w:tc>
      </w:tr>
      <w:tr w14:paraId="4C35D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nil"/>
            </w:tcBorders>
            <w:shd w:val="clear" w:color="auto" w:fill="C8C8C8"/>
            <w:vAlign w:val="center"/>
          </w:tcPr>
          <w:p w14:paraId="3EB7953E">
            <w:pPr>
              <w:rPr>
                <w:rFonts w:hint="eastAsia" w:ascii="宋体" w:hAnsi="宋体" w:eastAsia="宋体" w:cs="宋体"/>
                <w:i w:val="0"/>
                <w:iCs w:val="0"/>
                <w:color w:val="auto"/>
                <w:sz w:val="24"/>
                <w:szCs w:val="24"/>
                <w:highlight w:val="none"/>
                <w:u w:val="none"/>
              </w:rPr>
            </w:pPr>
          </w:p>
        </w:tc>
        <w:tc>
          <w:tcPr>
            <w:tcW w:w="3956" w:type="dxa"/>
            <w:tcBorders>
              <w:top w:val="single" w:color="000000" w:sz="4" w:space="0"/>
              <w:left w:val="nil"/>
              <w:bottom w:val="single" w:color="000000" w:sz="4" w:space="0"/>
              <w:right w:val="nil"/>
            </w:tcBorders>
            <w:shd w:val="clear" w:color="auto" w:fill="C8C8C8"/>
            <w:vAlign w:val="center"/>
          </w:tcPr>
          <w:p w14:paraId="7187D405">
            <w:pPr>
              <w:keepNext w:val="0"/>
              <w:keepLines w:val="0"/>
              <w:widowControl/>
              <w:suppressLineNumbers w:val="0"/>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排烟系统</w:t>
            </w:r>
          </w:p>
        </w:tc>
        <w:tc>
          <w:tcPr>
            <w:tcW w:w="506" w:type="dxa"/>
            <w:tcBorders>
              <w:top w:val="single" w:color="000000" w:sz="4" w:space="0"/>
              <w:left w:val="nil"/>
              <w:bottom w:val="single" w:color="000000" w:sz="4" w:space="0"/>
              <w:right w:val="nil"/>
            </w:tcBorders>
            <w:shd w:val="clear" w:color="auto" w:fill="C8C8C8"/>
            <w:vAlign w:val="center"/>
          </w:tcPr>
          <w:p w14:paraId="437D8150">
            <w:pPr>
              <w:rPr>
                <w:rFonts w:hint="eastAsia" w:ascii="宋体" w:hAnsi="宋体" w:eastAsia="宋体" w:cs="宋体"/>
                <w:i w:val="0"/>
                <w:iCs w:val="0"/>
                <w:color w:val="auto"/>
                <w:sz w:val="24"/>
                <w:szCs w:val="24"/>
                <w:highlight w:val="none"/>
                <w:u w:val="none"/>
              </w:rPr>
            </w:pPr>
          </w:p>
        </w:tc>
        <w:tc>
          <w:tcPr>
            <w:tcW w:w="766" w:type="dxa"/>
            <w:tcBorders>
              <w:top w:val="single" w:color="000000" w:sz="4" w:space="0"/>
              <w:left w:val="nil"/>
              <w:bottom w:val="single" w:color="000000" w:sz="4" w:space="0"/>
              <w:right w:val="nil"/>
            </w:tcBorders>
            <w:shd w:val="clear" w:color="auto" w:fill="C8C8C8"/>
            <w:vAlign w:val="center"/>
          </w:tcPr>
          <w:p w14:paraId="027722F4">
            <w:pPr>
              <w:rPr>
                <w:rFonts w:hint="eastAsia" w:ascii="宋体" w:hAnsi="宋体" w:eastAsia="宋体" w:cs="宋体"/>
                <w:i w:val="0"/>
                <w:iCs w:val="0"/>
                <w:color w:val="auto"/>
                <w:sz w:val="24"/>
                <w:szCs w:val="24"/>
                <w:highlight w:val="none"/>
                <w:u w:val="none"/>
              </w:rPr>
            </w:pPr>
          </w:p>
        </w:tc>
        <w:tc>
          <w:tcPr>
            <w:tcW w:w="776" w:type="dxa"/>
            <w:tcBorders>
              <w:top w:val="single" w:color="000000" w:sz="4" w:space="0"/>
              <w:left w:val="nil"/>
              <w:bottom w:val="single" w:color="000000" w:sz="4" w:space="0"/>
              <w:right w:val="nil"/>
            </w:tcBorders>
            <w:shd w:val="clear" w:color="auto" w:fill="C8C8C8"/>
            <w:vAlign w:val="center"/>
          </w:tcPr>
          <w:p w14:paraId="4A9EA3D5">
            <w:pPr>
              <w:jc w:val="center"/>
              <w:rPr>
                <w:rFonts w:hint="eastAsia" w:ascii="宋体" w:hAnsi="宋体" w:eastAsia="宋体" w:cs="宋体"/>
                <w:i w:val="0"/>
                <w:iCs w:val="0"/>
                <w:color w:val="auto"/>
                <w:sz w:val="24"/>
                <w:szCs w:val="24"/>
                <w:highlight w:val="none"/>
                <w:u w:val="none"/>
              </w:rPr>
            </w:pPr>
          </w:p>
        </w:tc>
        <w:tc>
          <w:tcPr>
            <w:tcW w:w="830" w:type="dxa"/>
            <w:tcBorders>
              <w:top w:val="single" w:color="000000" w:sz="4" w:space="0"/>
              <w:left w:val="nil"/>
              <w:bottom w:val="single" w:color="000000" w:sz="4" w:space="0"/>
              <w:right w:val="nil"/>
            </w:tcBorders>
            <w:shd w:val="clear" w:color="auto" w:fill="C8C8C8"/>
            <w:vAlign w:val="center"/>
          </w:tcPr>
          <w:p w14:paraId="79C773B7">
            <w:pPr>
              <w:jc w:val="center"/>
              <w:rPr>
                <w:rFonts w:hint="eastAsia" w:ascii="宋体" w:hAnsi="宋体" w:eastAsia="宋体" w:cs="宋体"/>
                <w:i w:val="0"/>
                <w:iCs w:val="0"/>
                <w:color w:val="auto"/>
                <w:sz w:val="24"/>
                <w:szCs w:val="24"/>
                <w:highlight w:val="none"/>
                <w:u w:val="none"/>
              </w:rPr>
            </w:pPr>
          </w:p>
        </w:tc>
        <w:tc>
          <w:tcPr>
            <w:tcW w:w="2488" w:type="dxa"/>
            <w:tcBorders>
              <w:top w:val="single" w:color="000000" w:sz="4" w:space="0"/>
              <w:left w:val="nil"/>
              <w:bottom w:val="single" w:color="000000" w:sz="4" w:space="0"/>
              <w:right w:val="single" w:color="000000" w:sz="4" w:space="0"/>
            </w:tcBorders>
            <w:shd w:val="clear" w:color="auto" w:fill="C8C8C8"/>
            <w:vAlign w:val="bottom"/>
          </w:tcPr>
          <w:p w14:paraId="5CDF196C">
            <w:pPr>
              <w:jc w:val="center"/>
              <w:rPr>
                <w:rFonts w:hint="eastAsia" w:ascii="宋体" w:hAnsi="宋体" w:eastAsia="宋体" w:cs="宋体"/>
                <w:i w:val="0"/>
                <w:iCs w:val="0"/>
                <w:color w:val="auto"/>
                <w:sz w:val="24"/>
                <w:szCs w:val="24"/>
                <w:highlight w:val="none"/>
                <w:u w:val="none"/>
              </w:rPr>
            </w:pPr>
          </w:p>
        </w:tc>
      </w:tr>
      <w:tr w14:paraId="238E9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B4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7A8D">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不锈钢排烟风管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--选用SUS304不锈钢板制作，δ=1.0mm，实厚δ≥0.88mm；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--等距离均匀压筋处理，更加坚固防震动。</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--每节之间用镀锌法兰和镀锌螺丝连接固定，数量按展开面积计算，中心线实际长度加遇异管单面加壹米按大口径算</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--规格：按现场定制</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23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04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CC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F1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38.6</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85560E">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46355</wp:posOffset>
                  </wp:positionH>
                  <wp:positionV relativeFrom="paragraph">
                    <wp:posOffset>379095</wp:posOffset>
                  </wp:positionV>
                  <wp:extent cx="1073785" cy="631825"/>
                  <wp:effectExtent l="0" t="0" r="12065" b="15875"/>
                  <wp:wrapNone/>
                  <wp:docPr id="71" name="Picture_157"/>
                  <wp:cNvGraphicFramePr/>
                  <a:graphic xmlns:a="http://schemas.openxmlformats.org/drawingml/2006/main">
                    <a:graphicData uri="http://schemas.openxmlformats.org/drawingml/2006/picture">
                      <pic:pic xmlns:pic="http://schemas.openxmlformats.org/drawingml/2006/picture">
                        <pic:nvPicPr>
                          <pic:cNvPr id="71" name="Picture_157"/>
                          <pic:cNvPicPr/>
                        </pic:nvPicPr>
                        <pic:blipFill>
                          <a:blip r:embed="rId34"/>
                          <a:stretch>
                            <a:fillRect/>
                          </a:stretch>
                        </pic:blipFill>
                        <pic:spPr>
                          <a:xfrm>
                            <a:off x="0" y="0"/>
                            <a:ext cx="1073785" cy="631825"/>
                          </a:xfrm>
                          <a:prstGeom prst="rect">
                            <a:avLst/>
                          </a:prstGeom>
                          <a:noFill/>
                          <a:ln>
                            <a:noFill/>
                          </a:ln>
                        </pic:spPr>
                      </pic:pic>
                    </a:graphicData>
                  </a:graphic>
                </wp:anchor>
              </w:drawing>
            </w:r>
          </w:p>
        </w:tc>
      </w:tr>
      <w:tr w14:paraId="27D31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22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3530">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脱排油烟罩</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--选用SUS304不锈钢板制作，δ=1.2mm，实厚δ≥1.08mm，沥油网选用优质不锈钢板制作，实厚δ≥0.68mm；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--配积油杯，防爆灯，沥油槽、沥油网（风机或风柜及排烟管另计）；                        --罩内隔油网采用优质不锈钢磨砂贴塑板，δ=0.8mm；                                    --罩内加强杆采用采用不锈钢方管固定；                                              --罩内照明采用国产防爆灯；                                                         --罩内出风口增设可调式导向板；                                                     --烟罩等距离设有漏油盅；                                                           --每小时换气次数为45～50次；                                                       --罩内灶面风速0.4～0.5m/s,罩内喉部风速4～5m/s。</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--规格：4400*1200*500mm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23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97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10.56</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9D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09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5.28</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BB3A4">
            <w:pPr>
              <w:keepNext w:val="0"/>
              <w:keepLines w:val="0"/>
              <w:widowControl/>
              <w:suppressLineNumbers w:val="0"/>
              <w:jc w:val="left"/>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600710</wp:posOffset>
                  </wp:positionH>
                  <wp:positionV relativeFrom="paragraph">
                    <wp:posOffset>936625</wp:posOffset>
                  </wp:positionV>
                  <wp:extent cx="733425" cy="403225"/>
                  <wp:effectExtent l="0" t="0" r="9525" b="15875"/>
                  <wp:wrapNone/>
                  <wp:docPr id="83" name="Picture_158_SpCnt_1"/>
                  <wp:cNvGraphicFramePr/>
                  <a:graphic xmlns:a="http://schemas.openxmlformats.org/drawingml/2006/main">
                    <a:graphicData uri="http://schemas.openxmlformats.org/drawingml/2006/picture">
                      <pic:pic xmlns:pic="http://schemas.openxmlformats.org/drawingml/2006/picture">
                        <pic:nvPicPr>
                          <pic:cNvPr id="83" name="Picture_158_SpCnt_1"/>
                          <pic:cNvPicPr/>
                        </pic:nvPicPr>
                        <pic:blipFill>
                          <a:blip r:embed="rId35"/>
                          <a:stretch>
                            <a:fillRect/>
                          </a:stretch>
                        </pic:blipFill>
                        <pic:spPr>
                          <a:xfrm>
                            <a:off x="0" y="0"/>
                            <a:ext cx="733425" cy="403225"/>
                          </a:xfrm>
                          <a:prstGeom prst="rect">
                            <a:avLst/>
                          </a:prstGeom>
                          <a:noFill/>
                          <a:ln>
                            <a:noFill/>
                          </a:ln>
                        </pic:spPr>
                      </pic:pic>
                    </a:graphicData>
                  </a:graphic>
                </wp:anchor>
              </w:drawing>
            </w:r>
          </w:p>
        </w:tc>
      </w:tr>
      <w:tr w14:paraId="1862A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C8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5D53">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风柜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--采用优质碳钢板烤漆一次性拉伸折边成型为可拆装结构；</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--该风机箱体采用双吸式蜗壳吸风钢架柜式结构，多翼式风轮；</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--具有风量大，噪音低、震动小等优点；</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--100%纯铜线电动机，风压为：154-1054Pa.噪音</w:t>
            </w:r>
            <w:r>
              <w:rPr>
                <w:rFonts w:hint="eastAsia" w:ascii="宋体" w:hAnsi="宋体" w:cs="宋体"/>
                <w:i w:val="0"/>
                <w:iCs w:val="0"/>
                <w:strike w:val="0"/>
                <w:dstrike w:val="0"/>
                <w:color w:val="auto"/>
                <w:kern w:val="0"/>
                <w:sz w:val="22"/>
                <w:szCs w:val="22"/>
                <w:highlight w:val="none"/>
                <w:u w:val="none"/>
                <w:lang w:val="en-US" w:eastAsia="zh-CN" w:bidi="ar"/>
              </w:rPr>
              <w:t>≤</w:t>
            </w:r>
            <w:r>
              <w:rPr>
                <w:rFonts w:hint="eastAsia" w:ascii="宋体" w:hAnsi="宋体" w:eastAsia="宋体" w:cs="宋体"/>
                <w:i w:val="0"/>
                <w:iCs w:val="0"/>
                <w:strike w:val="0"/>
                <w:dstrike w:val="0"/>
                <w:color w:val="auto"/>
                <w:kern w:val="0"/>
                <w:sz w:val="22"/>
                <w:szCs w:val="22"/>
                <w:highlight w:val="none"/>
                <w:u w:val="none"/>
                <w:lang w:val="en-US" w:eastAsia="zh-CN" w:bidi="ar"/>
              </w:rPr>
              <w:t>75db；</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--电源线从厨房内控制箱接至设备放置处预留5米，须由水电施工方完成，控制箱由厨具公司提供；具体详见配电施工图纸。</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--处理风量：</w:t>
            </w:r>
            <w:r>
              <w:rPr>
                <w:rStyle w:val="608"/>
                <w:rFonts w:hint="eastAsia"/>
                <w:strike w:val="0"/>
                <w:dstrike w:val="0"/>
                <w:color w:val="auto"/>
                <w:highlight w:val="none"/>
                <w:lang w:val="en-US" w:eastAsia="zh-CN" w:bidi="ar"/>
              </w:rPr>
              <w:t>≥</w:t>
            </w:r>
            <w:r>
              <w:rPr>
                <w:rStyle w:val="608"/>
                <w:strike w:val="0"/>
                <w:dstrike w:val="0"/>
                <w:color w:val="auto"/>
                <w:highlight w:val="none"/>
                <w:lang w:val="en-US" w:eastAsia="zh-CN" w:bidi="ar"/>
              </w:rPr>
              <w:t>10000m3/h</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--规格：3kw/380v</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BB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D1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E2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7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20A31C">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438785</wp:posOffset>
                  </wp:positionH>
                  <wp:positionV relativeFrom="paragraph">
                    <wp:posOffset>448945</wp:posOffset>
                  </wp:positionV>
                  <wp:extent cx="950595" cy="1167130"/>
                  <wp:effectExtent l="0" t="0" r="1905" b="13970"/>
                  <wp:wrapNone/>
                  <wp:docPr id="84" name="图片_551"/>
                  <wp:cNvGraphicFramePr/>
                  <a:graphic xmlns:a="http://schemas.openxmlformats.org/drawingml/2006/main">
                    <a:graphicData uri="http://schemas.openxmlformats.org/drawingml/2006/picture">
                      <pic:pic xmlns:pic="http://schemas.openxmlformats.org/drawingml/2006/picture">
                        <pic:nvPicPr>
                          <pic:cNvPr id="84" name="图片_551"/>
                          <pic:cNvPicPr/>
                        </pic:nvPicPr>
                        <pic:blipFill>
                          <a:blip r:embed="rId36"/>
                          <a:stretch>
                            <a:fillRect/>
                          </a:stretch>
                        </pic:blipFill>
                        <pic:spPr>
                          <a:xfrm>
                            <a:off x="0" y="0"/>
                            <a:ext cx="950595" cy="1167130"/>
                          </a:xfrm>
                          <a:prstGeom prst="rect">
                            <a:avLst/>
                          </a:prstGeom>
                          <a:noFill/>
                          <a:ln>
                            <a:noFill/>
                          </a:ln>
                        </pic:spPr>
                      </pic:pic>
                    </a:graphicData>
                  </a:graphic>
                </wp:anchor>
              </w:drawing>
            </w:r>
          </w:p>
        </w:tc>
      </w:tr>
      <w:tr w14:paraId="71B65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19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FB4F">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油烟净化器</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优质碳钢板拉伸折边成型为可拆装结构；静电型，利用在被强化的高压电场中发射出来的电子，以及由电子碰撞空气分子而产生的离子来捕捉废气粒子，使粒子带电，再利用电子加速原理，使带电粒子加速向阳极运动直至被吸附；</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--圆筒蜂巢电场，环氧高频高压变压器；放电跳停保护，电源过载保护和变压器过温保护多重功能。</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--通过降解达到高效率废气清除的目的；</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--由于采用了等势面场强的原理，电场中电子的密度达到数亿/CM3的数量级，进入电场中的废气粒子被强行荷电达到处理效果；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--具有恒电流输出，打火保护、电场短路保护、电源过载保护的特点；</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w:t>
            </w:r>
            <w:r>
              <w:rPr>
                <w:rFonts w:hint="eastAsia" w:ascii="宋体" w:hAnsi="宋体" w:eastAsia="宋体" w:cs="宋体"/>
                <w:i w:val="0"/>
                <w:iCs w:val="0"/>
                <w:strike w:val="0"/>
                <w:dstrike w:val="0"/>
                <w:color w:val="auto"/>
                <w:kern w:val="0"/>
                <w:sz w:val="22"/>
                <w:szCs w:val="22"/>
                <w:highlight w:val="none"/>
                <w:lang w:val="en-US" w:eastAsia="zh-CN" w:bidi="ar"/>
              </w:rPr>
              <w:t>-具有CEP中国环境保护产品认证证书；</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--电源线从厨房内控制箱接至设备放置处预留5米，</w:t>
            </w:r>
            <w:r>
              <w:rPr>
                <w:rStyle w:val="608"/>
                <w:strike w:val="0"/>
                <w:dstrike w:val="0"/>
                <w:color w:val="auto"/>
                <w:highlight w:val="none"/>
                <w:lang w:val="en-US" w:eastAsia="zh-CN" w:bidi="ar"/>
              </w:rPr>
              <w:t>须由水电施工方完成，控制箱由厨具公司提供；具体详见配电施工图纸。</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--净化风量：2000-90000m3/h</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--规格：0.4-2KW/220V</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86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EF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15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75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B3B703">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438785</wp:posOffset>
                  </wp:positionH>
                  <wp:positionV relativeFrom="paragraph">
                    <wp:posOffset>1163955</wp:posOffset>
                  </wp:positionV>
                  <wp:extent cx="904240" cy="716280"/>
                  <wp:effectExtent l="0" t="0" r="10160" b="7620"/>
                  <wp:wrapNone/>
                  <wp:docPr id="85" name="图片_7"/>
                  <wp:cNvGraphicFramePr/>
                  <a:graphic xmlns:a="http://schemas.openxmlformats.org/drawingml/2006/main">
                    <a:graphicData uri="http://schemas.openxmlformats.org/drawingml/2006/picture">
                      <pic:pic xmlns:pic="http://schemas.openxmlformats.org/drawingml/2006/picture">
                        <pic:nvPicPr>
                          <pic:cNvPr id="85" name="图片_7"/>
                          <pic:cNvPicPr/>
                        </pic:nvPicPr>
                        <pic:blipFill>
                          <a:blip r:embed="rId37"/>
                          <a:stretch>
                            <a:fillRect/>
                          </a:stretch>
                        </pic:blipFill>
                        <pic:spPr>
                          <a:xfrm>
                            <a:off x="0" y="0"/>
                            <a:ext cx="904240" cy="716280"/>
                          </a:xfrm>
                          <a:prstGeom prst="rect">
                            <a:avLst/>
                          </a:prstGeom>
                          <a:noFill/>
                          <a:ln>
                            <a:noFill/>
                          </a:ln>
                        </pic:spPr>
                      </pic:pic>
                    </a:graphicData>
                  </a:graphic>
                </wp:anchor>
              </w:drawing>
            </w:r>
          </w:p>
        </w:tc>
      </w:tr>
      <w:tr w14:paraId="00A3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F8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029A">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防火阀</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--采用热轧钢板制作；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--是一种记忆熔合金的温度控制、利用重力作用和弹簧机构的作用关闭的阀门形式；</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--当温度达到熔断器在70℃时熔断，使阀门关闭；</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--输出阀门关闭信号，通风空调系统风机停机；无级调节风量。</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--先进的铆接工艺；</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--机器成型，无焊接痕迹，环保健康；</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--阀体强度高，耐腐蚀强，优良的密封性与美观度；</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：配套风管定做</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78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4B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E4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AF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D588F9">
            <w:pPr>
              <w:keepNext w:val="0"/>
              <w:keepLines w:val="0"/>
              <w:widowControl/>
              <w:suppressLineNumbers w:val="0"/>
              <w:jc w:val="left"/>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427990</wp:posOffset>
                  </wp:positionH>
                  <wp:positionV relativeFrom="paragraph">
                    <wp:posOffset>710565</wp:posOffset>
                  </wp:positionV>
                  <wp:extent cx="924560" cy="661670"/>
                  <wp:effectExtent l="0" t="0" r="8890" b="5080"/>
                  <wp:wrapNone/>
                  <wp:docPr id="54" name="Picture_176"/>
                  <wp:cNvGraphicFramePr/>
                  <a:graphic xmlns:a="http://schemas.openxmlformats.org/drawingml/2006/main">
                    <a:graphicData uri="http://schemas.openxmlformats.org/drawingml/2006/picture">
                      <pic:pic xmlns:pic="http://schemas.openxmlformats.org/drawingml/2006/picture">
                        <pic:nvPicPr>
                          <pic:cNvPr id="54" name="Picture_176"/>
                          <pic:cNvPicPr/>
                        </pic:nvPicPr>
                        <pic:blipFill>
                          <a:blip r:embed="rId38"/>
                          <a:stretch>
                            <a:fillRect/>
                          </a:stretch>
                        </pic:blipFill>
                        <pic:spPr>
                          <a:xfrm>
                            <a:off x="0" y="0"/>
                            <a:ext cx="924560" cy="661670"/>
                          </a:xfrm>
                          <a:prstGeom prst="rect">
                            <a:avLst/>
                          </a:prstGeom>
                          <a:noFill/>
                          <a:ln>
                            <a:noFill/>
                          </a:ln>
                        </pic:spPr>
                      </pic:pic>
                    </a:graphicData>
                  </a:graphic>
                </wp:anchor>
              </w:drawing>
            </w:r>
          </w:p>
        </w:tc>
      </w:tr>
      <w:tr w14:paraId="05C7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57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BEAB">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调节阀</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--采用热轧钢板制作；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--是一种记忆熔合金的温度控制、利用重力作用和弹簧机构的作用关闭的阀门形式；</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--当温度达到熔断器在70℃时熔断，使阀门关闭；</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--输出阀门关闭信号，通风空调系统风机停机；无级调节风量。</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--先进的铆接工艺，--机器成型，无焊接痕迹，环保健康；</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--阀体强度高，耐腐蚀强，优良的密封性与美观度；</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--规格：配套风管定做</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85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30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1E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8A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2D22AC">
            <w:pPr>
              <w:keepNext w:val="0"/>
              <w:keepLines w:val="0"/>
              <w:widowControl/>
              <w:suppressLineNumbers w:val="0"/>
              <w:jc w:val="left"/>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542925</wp:posOffset>
                  </wp:positionH>
                  <wp:positionV relativeFrom="paragraph">
                    <wp:posOffset>655320</wp:posOffset>
                  </wp:positionV>
                  <wp:extent cx="763270" cy="544195"/>
                  <wp:effectExtent l="0" t="0" r="17780" b="8255"/>
                  <wp:wrapNone/>
                  <wp:docPr id="48" name="图片_12"/>
                  <wp:cNvGraphicFramePr/>
                  <a:graphic xmlns:a="http://schemas.openxmlformats.org/drawingml/2006/main">
                    <a:graphicData uri="http://schemas.openxmlformats.org/drawingml/2006/picture">
                      <pic:pic xmlns:pic="http://schemas.openxmlformats.org/drawingml/2006/picture">
                        <pic:nvPicPr>
                          <pic:cNvPr id="48" name="图片_12"/>
                          <pic:cNvPicPr/>
                        </pic:nvPicPr>
                        <pic:blipFill>
                          <a:blip r:embed="rId39"/>
                          <a:stretch>
                            <a:fillRect/>
                          </a:stretch>
                        </pic:blipFill>
                        <pic:spPr>
                          <a:xfrm>
                            <a:off x="0" y="0"/>
                            <a:ext cx="763270" cy="544195"/>
                          </a:xfrm>
                          <a:prstGeom prst="rect">
                            <a:avLst/>
                          </a:prstGeom>
                          <a:noFill/>
                          <a:ln>
                            <a:noFill/>
                          </a:ln>
                        </pic:spPr>
                      </pic:pic>
                    </a:graphicData>
                  </a:graphic>
                </wp:anchor>
              </w:drawing>
            </w:r>
          </w:p>
        </w:tc>
      </w:tr>
      <w:tr w14:paraId="1280E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42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878E">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风管法兰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--采用30*30*2mm不锈钢制作；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--焊接成型，焊缝表面平整光滑，无烧穿现象；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--规格：配套风管定做</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22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5B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83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09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43B1A3">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522605</wp:posOffset>
                  </wp:positionH>
                  <wp:positionV relativeFrom="paragraph">
                    <wp:posOffset>182245</wp:posOffset>
                  </wp:positionV>
                  <wp:extent cx="829945" cy="715645"/>
                  <wp:effectExtent l="0" t="0" r="8255" b="8255"/>
                  <wp:wrapNone/>
                  <wp:docPr id="49" name="图片_1"/>
                  <wp:cNvGraphicFramePr/>
                  <a:graphic xmlns:a="http://schemas.openxmlformats.org/drawingml/2006/main">
                    <a:graphicData uri="http://schemas.openxmlformats.org/drawingml/2006/picture">
                      <pic:pic xmlns:pic="http://schemas.openxmlformats.org/drawingml/2006/picture">
                        <pic:nvPicPr>
                          <pic:cNvPr id="49" name="图片_1"/>
                          <pic:cNvPicPr/>
                        </pic:nvPicPr>
                        <pic:blipFill>
                          <a:blip r:embed="rId40"/>
                          <a:stretch>
                            <a:fillRect/>
                          </a:stretch>
                        </pic:blipFill>
                        <pic:spPr>
                          <a:xfrm>
                            <a:off x="0" y="0"/>
                            <a:ext cx="829945" cy="715645"/>
                          </a:xfrm>
                          <a:prstGeom prst="rect">
                            <a:avLst/>
                          </a:prstGeom>
                          <a:noFill/>
                          <a:ln>
                            <a:noFill/>
                          </a:ln>
                        </pic:spPr>
                      </pic:pic>
                    </a:graphicData>
                  </a:graphic>
                </wp:anchor>
              </w:drawing>
            </w:r>
          </w:p>
        </w:tc>
      </w:tr>
      <w:tr w14:paraId="2115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D4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EFB7">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风管支架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--采用30*30*12mm镀锌角铁制作；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--焊接成型，焊缝表面平整光滑，无烧穿现象；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--规格：配套风管定做</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E9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C4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93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B9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B32A72">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619760</wp:posOffset>
                  </wp:positionH>
                  <wp:positionV relativeFrom="paragraph">
                    <wp:posOffset>48260</wp:posOffset>
                  </wp:positionV>
                  <wp:extent cx="827405" cy="922020"/>
                  <wp:effectExtent l="0" t="0" r="10795" b="11430"/>
                  <wp:wrapNone/>
                  <wp:docPr id="50" name="Picture_533"/>
                  <wp:cNvGraphicFramePr/>
                  <a:graphic xmlns:a="http://schemas.openxmlformats.org/drawingml/2006/main">
                    <a:graphicData uri="http://schemas.openxmlformats.org/drawingml/2006/picture">
                      <pic:pic xmlns:pic="http://schemas.openxmlformats.org/drawingml/2006/picture">
                        <pic:nvPicPr>
                          <pic:cNvPr id="50" name="Picture_533"/>
                          <pic:cNvPicPr/>
                        </pic:nvPicPr>
                        <pic:blipFill>
                          <a:blip r:embed="rId41"/>
                          <a:stretch>
                            <a:fillRect/>
                          </a:stretch>
                        </pic:blipFill>
                        <pic:spPr>
                          <a:xfrm>
                            <a:off x="0" y="0"/>
                            <a:ext cx="827405" cy="922020"/>
                          </a:xfrm>
                          <a:prstGeom prst="rect">
                            <a:avLst/>
                          </a:prstGeom>
                          <a:noFill/>
                          <a:ln>
                            <a:noFill/>
                          </a:ln>
                        </pic:spPr>
                      </pic:pic>
                    </a:graphicData>
                  </a:graphic>
                </wp:anchor>
              </w:drawing>
            </w:r>
          </w:p>
        </w:tc>
      </w:tr>
      <w:tr w14:paraId="0896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98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B3BE">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风柜支架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--采用6#槽钢和40*40*3mm镀锌角铁制作；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--焊接成型，焊缝表面平整光滑，无烧穿现象；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--规格：配套现场定做</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9F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FA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77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53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202FED">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485775</wp:posOffset>
                  </wp:positionH>
                  <wp:positionV relativeFrom="paragraph">
                    <wp:posOffset>226695</wp:posOffset>
                  </wp:positionV>
                  <wp:extent cx="952500" cy="563245"/>
                  <wp:effectExtent l="0" t="0" r="0" b="8255"/>
                  <wp:wrapNone/>
                  <wp:docPr id="51" name="Picture_3362"/>
                  <wp:cNvGraphicFramePr/>
                  <a:graphic xmlns:a="http://schemas.openxmlformats.org/drawingml/2006/main">
                    <a:graphicData uri="http://schemas.openxmlformats.org/drawingml/2006/picture">
                      <pic:pic xmlns:pic="http://schemas.openxmlformats.org/drawingml/2006/picture">
                        <pic:nvPicPr>
                          <pic:cNvPr id="51" name="Picture_3362"/>
                          <pic:cNvPicPr/>
                        </pic:nvPicPr>
                        <pic:blipFill>
                          <a:blip r:embed="rId42"/>
                          <a:stretch>
                            <a:fillRect/>
                          </a:stretch>
                        </pic:blipFill>
                        <pic:spPr>
                          <a:xfrm>
                            <a:off x="0" y="0"/>
                            <a:ext cx="952500" cy="563245"/>
                          </a:xfrm>
                          <a:prstGeom prst="rect">
                            <a:avLst/>
                          </a:prstGeom>
                          <a:noFill/>
                          <a:ln>
                            <a:noFill/>
                          </a:ln>
                        </pic:spPr>
                      </pic:pic>
                    </a:graphicData>
                  </a:graphic>
                </wp:anchor>
              </w:drawing>
            </w:r>
          </w:p>
        </w:tc>
      </w:tr>
      <w:tr w14:paraId="74E8E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C2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C88F">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油烟净化器支架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--采用40*40*3mm镀锌角铁制作；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--焊接成型，焊缝表面平整光滑，无烧穿现象；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--规格：配套净化器现场定制</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94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1F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E7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FD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36A9C8">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446405</wp:posOffset>
                  </wp:positionH>
                  <wp:positionV relativeFrom="paragraph">
                    <wp:posOffset>208915</wp:posOffset>
                  </wp:positionV>
                  <wp:extent cx="952500" cy="568960"/>
                  <wp:effectExtent l="0" t="0" r="0" b="2540"/>
                  <wp:wrapNone/>
                  <wp:docPr id="52" name="Picture_3362_SpCnt_1"/>
                  <wp:cNvGraphicFramePr/>
                  <a:graphic xmlns:a="http://schemas.openxmlformats.org/drawingml/2006/main">
                    <a:graphicData uri="http://schemas.openxmlformats.org/drawingml/2006/picture">
                      <pic:pic xmlns:pic="http://schemas.openxmlformats.org/drawingml/2006/picture">
                        <pic:nvPicPr>
                          <pic:cNvPr id="52" name="Picture_3362_SpCnt_1"/>
                          <pic:cNvPicPr/>
                        </pic:nvPicPr>
                        <pic:blipFill>
                          <a:blip r:embed="rId43"/>
                          <a:stretch>
                            <a:fillRect/>
                          </a:stretch>
                        </pic:blipFill>
                        <pic:spPr>
                          <a:xfrm>
                            <a:off x="0" y="0"/>
                            <a:ext cx="952500" cy="568960"/>
                          </a:xfrm>
                          <a:prstGeom prst="rect">
                            <a:avLst/>
                          </a:prstGeom>
                          <a:noFill/>
                          <a:ln>
                            <a:noFill/>
                          </a:ln>
                        </pic:spPr>
                      </pic:pic>
                    </a:graphicData>
                  </a:graphic>
                </wp:anchor>
              </w:drawing>
            </w:r>
          </w:p>
        </w:tc>
      </w:tr>
      <w:tr w14:paraId="2CB08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27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1128">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不锈钢消声器</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--外壳采用采用优质不锈钢板或不锈钢板制作，实厚δ≥1.08mm；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--内层为蜂窝状，中间衬隔音棉，减到68分贝；</w:t>
            </w:r>
            <w:r>
              <w:rPr>
                <w:rStyle w:val="608"/>
                <w:strike w:val="0"/>
                <w:dstrike w:val="0"/>
                <w:color w:val="auto"/>
                <w:highlight w:val="none"/>
                <w:lang w:val="en-US" w:eastAsia="zh-CN" w:bidi="ar"/>
              </w:rPr>
              <w:br w:type="textWrapping"/>
            </w:r>
            <w:r>
              <w:rPr>
                <w:rStyle w:val="608"/>
                <w:strike w:val="0"/>
                <w:dstrike w:val="0"/>
                <w:color w:val="auto"/>
                <w:highlight w:val="none"/>
                <w:lang w:val="en-US" w:eastAsia="zh-CN" w:bidi="ar"/>
              </w:rPr>
              <w:t>--规格：配套风柜/减到68分贝</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46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F1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AC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75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1FF510">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476250</wp:posOffset>
                  </wp:positionH>
                  <wp:positionV relativeFrom="paragraph">
                    <wp:posOffset>179705</wp:posOffset>
                  </wp:positionV>
                  <wp:extent cx="790575" cy="747395"/>
                  <wp:effectExtent l="0" t="0" r="9525" b="14605"/>
                  <wp:wrapNone/>
                  <wp:docPr id="53" name="图片_14"/>
                  <wp:cNvGraphicFramePr/>
                  <a:graphic xmlns:a="http://schemas.openxmlformats.org/drawingml/2006/main">
                    <a:graphicData uri="http://schemas.openxmlformats.org/drawingml/2006/picture">
                      <pic:pic xmlns:pic="http://schemas.openxmlformats.org/drawingml/2006/picture">
                        <pic:nvPicPr>
                          <pic:cNvPr id="53" name="图片_14"/>
                          <pic:cNvPicPr/>
                        </pic:nvPicPr>
                        <pic:blipFill>
                          <a:blip r:embed="rId44"/>
                          <a:stretch>
                            <a:fillRect/>
                          </a:stretch>
                        </pic:blipFill>
                        <pic:spPr>
                          <a:xfrm>
                            <a:off x="0" y="0"/>
                            <a:ext cx="790575" cy="747395"/>
                          </a:xfrm>
                          <a:prstGeom prst="rect">
                            <a:avLst/>
                          </a:prstGeom>
                          <a:noFill/>
                          <a:ln>
                            <a:noFill/>
                          </a:ln>
                        </pic:spPr>
                      </pic:pic>
                    </a:graphicData>
                  </a:graphic>
                </wp:anchor>
              </w:drawing>
            </w:r>
          </w:p>
        </w:tc>
      </w:tr>
      <w:tr w14:paraId="75639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A4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BD33">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消声器支架</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--采用40*40*1.2mm镀锌角铁制作；</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--焊接成型，焊缝表面平整光滑，无烧穿现象；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Style w:val="608"/>
                <w:strike w:val="0"/>
                <w:dstrike w:val="0"/>
                <w:color w:val="auto"/>
                <w:highlight w:val="none"/>
                <w:lang w:val="en-US" w:eastAsia="zh-CN" w:bidi="ar"/>
              </w:rPr>
              <w:t>--规格：配套消音箱现场定制</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74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93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B1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78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E97747">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466725</wp:posOffset>
                  </wp:positionH>
                  <wp:positionV relativeFrom="paragraph">
                    <wp:posOffset>172720</wp:posOffset>
                  </wp:positionV>
                  <wp:extent cx="952500" cy="559435"/>
                  <wp:effectExtent l="0" t="0" r="0" b="12065"/>
                  <wp:wrapNone/>
                  <wp:docPr id="45" name="Picture_3362_SpCnt_2"/>
                  <wp:cNvGraphicFramePr/>
                  <a:graphic xmlns:a="http://schemas.openxmlformats.org/drawingml/2006/main">
                    <a:graphicData uri="http://schemas.openxmlformats.org/drawingml/2006/picture">
                      <pic:pic xmlns:pic="http://schemas.openxmlformats.org/drawingml/2006/picture">
                        <pic:nvPicPr>
                          <pic:cNvPr id="45" name="Picture_3362_SpCnt_2"/>
                          <pic:cNvPicPr/>
                        </pic:nvPicPr>
                        <pic:blipFill>
                          <a:blip r:embed="rId45"/>
                          <a:stretch>
                            <a:fillRect/>
                          </a:stretch>
                        </pic:blipFill>
                        <pic:spPr>
                          <a:xfrm>
                            <a:off x="0" y="0"/>
                            <a:ext cx="952500" cy="559435"/>
                          </a:xfrm>
                          <a:prstGeom prst="rect">
                            <a:avLst/>
                          </a:prstGeom>
                          <a:noFill/>
                          <a:ln>
                            <a:noFill/>
                          </a:ln>
                        </pic:spPr>
                      </pic:pic>
                    </a:graphicData>
                  </a:graphic>
                </wp:anchor>
              </w:drawing>
            </w:r>
          </w:p>
        </w:tc>
      </w:tr>
      <w:tr w14:paraId="1719F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14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2D23">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弹簧减震器</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--采用2.3HZ低自然频率弹簧，有效隔绝因震动产生的低频噪音，防震效率高。</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--悬吊外框和弹簧采用多层防锈处理，并经盐雾试验测试。</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--弹簧防滑橡胶底座设计。</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--规格：100-300kg</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58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8F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BD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E7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EB4EAB">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414020</wp:posOffset>
                  </wp:positionH>
                  <wp:positionV relativeFrom="paragraph">
                    <wp:posOffset>643255</wp:posOffset>
                  </wp:positionV>
                  <wp:extent cx="1000760" cy="621030"/>
                  <wp:effectExtent l="0" t="0" r="8890" b="7620"/>
                  <wp:wrapNone/>
                  <wp:docPr id="46" name="图片_28"/>
                  <wp:cNvGraphicFramePr/>
                  <a:graphic xmlns:a="http://schemas.openxmlformats.org/drawingml/2006/main">
                    <a:graphicData uri="http://schemas.openxmlformats.org/drawingml/2006/picture">
                      <pic:pic xmlns:pic="http://schemas.openxmlformats.org/drawingml/2006/picture">
                        <pic:nvPicPr>
                          <pic:cNvPr id="46" name="图片_28"/>
                          <pic:cNvPicPr/>
                        </pic:nvPicPr>
                        <pic:blipFill>
                          <a:blip r:embed="rId46"/>
                          <a:stretch>
                            <a:fillRect/>
                          </a:stretch>
                        </pic:blipFill>
                        <pic:spPr>
                          <a:xfrm>
                            <a:off x="0" y="0"/>
                            <a:ext cx="1000760" cy="621030"/>
                          </a:xfrm>
                          <a:prstGeom prst="rect">
                            <a:avLst/>
                          </a:prstGeom>
                          <a:noFill/>
                          <a:ln>
                            <a:noFill/>
                          </a:ln>
                        </pic:spPr>
                      </pic:pic>
                    </a:graphicData>
                  </a:graphic>
                </wp:anchor>
              </w:drawing>
            </w:r>
          </w:p>
        </w:tc>
      </w:tr>
      <w:tr w14:paraId="20BAF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68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960B">
            <w:pPr>
              <w:keepNext w:val="0"/>
              <w:keepLines w:val="0"/>
              <w:widowControl/>
              <w:suppressLineNumbers w:val="0"/>
              <w:jc w:val="left"/>
              <w:textAlignment w:val="center"/>
              <w:rPr>
                <w:rFonts w:hint="eastAsia" w:ascii="宋体" w:hAnsi="宋体" w:eastAsia="宋体" w:cs="宋体"/>
                <w:i w:val="0"/>
                <w:iCs w:val="0"/>
                <w:strike w:val="0"/>
                <w:dstrike w:val="0"/>
                <w:color w:val="auto"/>
                <w:sz w:val="22"/>
                <w:szCs w:val="22"/>
                <w:highlight w:val="none"/>
                <w:u w:val="none"/>
              </w:rPr>
            </w:pPr>
            <w:r>
              <w:rPr>
                <w:rFonts w:hint="eastAsia" w:ascii="宋体" w:hAnsi="宋体" w:eastAsia="宋体" w:cs="宋体"/>
                <w:i w:val="0"/>
                <w:iCs w:val="0"/>
                <w:strike w:val="0"/>
                <w:dstrike w:val="0"/>
                <w:color w:val="auto"/>
                <w:kern w:val="0"/>
                <w:sz w:val="22"/>
                <w:szCs w:val="22"/>
                <w:highlight w:val="none"/>
                <w:u w:val="none"/>
                <w:lang w:val="en-US" w:eastAsia="zh-CN" w:bidi="ar"/>
              </w:rPr>
              <w:t>不锈钢降压启动开关箱</w:t>
            </w:r>
            <w:r>
              <w:rPr>
                <w:rStyle w:val="608"/>
                <w:strike w:val="0"/>
                <w:dstrike w:val="0"/>
                <w:color w:val="auto"/>
                <w:highlight w:val="none"/>
                <w:lang w:val="en-US" w:eastAsia="zh-CN" w:bidi="ar"/>
              </w:rPr>
              <w:t xml:space="preserve"> </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--技术参数：</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--箱体选用采用不锈钢板制作，实厚δ≥0.68mm；</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--缺相保护功能，漏电保护器、继电器及交流接触器等电器类</w:t>
            </w:r>
            <w:r>
              <w:rPr>
                <w:rFonts w:hint="eastAsia" w:ascii="宋体" w:hAnsi="宋体" w:eastAsia="宋体" w:cs="宋体"/>
                <w:i w:val="0"/>
                <w:iCs w:val="0"/>
                <w:strike w:val="0"/>
                <w:dstrike w:val="0"/>
                <w:color w:val="auto"/>
                <w:kern w:val="0"/>
                <w:sz w:val="22"/>
                <w:szCs w:val="22"/>
                <w:highlight w:val="none"/>
                <w:lang w:val="en-US" w:eastAsia="zh-CN" w:bidi="ar"/>
              </w:rPr>
              <w:t>配件选国内</w:t>
            </w:r>
            <w:r>
              <w:rPr>
                <w:rFonts w:hint="eastAsia" w:ascii="宋体" w:hAnsi="宋体" w:cs="宋体"/>
                <w:i w:val="0"/>
                <w:iCs w:val="0"/>
                <w:strike w:val="0"/>
                <w:dstrike w:val="0"/>
                <w:color w:val="auto"/>
                <w:kern w:val="0"/>
                <w:sz w:val="22"/>
                <w:szCs w:val="22"/>
                <w:highlight w:val="none"/>
                <w:lang w:val="en-US" w:eastAsia="zh-CN" w:bidi="ar"/>
              </w:rPr>
              <w:t>优秀</w:t>
            </w:r>
            <w:r>
              <w:rPr>
                <w:rFonts w:hint="eastAsia" w:ascii="宋体" w:hAnsi="宋体" w:eastAsia="宋体" w:cs="宋体"/>
                <w:i w:val="0"/>
                <w:iCs w:val="0"/>
                <w:strike w:val="0"/>
                <w:dstrike w:val="0"/>
                <w:color w:val="auto"/>
                <w:kern w:val="0"/>
                <w:sz w:val="22"/>
                <w:szCs w:val="22"/>
                <w:highlight w:val="none"/>
                <w:lang w:val="en-US" w:eastAsia="zh-CN" w:bidi="ar"/>
              </w:rPr>
              <w:t>品牌；</w:t>
            </w:r>
            <w:r>
              <w:rPr>
                <w:rFonts w:hint="eastAsia" w:ascii="宋体" w:hAnsi="宋体" w:eastAsia="宋体" w:cs="宋体"/>
                <w:i w:val="0"/>
                <w:iCs w:val="0"/>
                <w:strike w:val="0"/>
                <w:dstrike w:val="0"/>
                <w:color w:val="auto"/>
                <w:kern w:val="0"/>
                <w:sz w:val="22"/>
                <w:szCs w:val="22"/>
                <w:highlight w:val="none"/>
                <w:u w:val="none"/>
                <w:lang w:val="en-US" w:eastAsia="zh-CN" w:bidi="ar"/>
              </w:rPr>
              <w:br w:type="textWrapping"/>
            </w:r>
            <w:r>
              <w:rPr>
                <w:rFonts w:hint="eastAsia" w:ascii="宋体" w:hAnsi="宋体" w:eastAsia="宋体" w:cs="宋体"/>
                <w:i w:val="0"/>
                <w:iCs w:val="0"/>
                <w:strike w:val="0"/>
                <w:dstrike w:val="0"/>
                <w:color w:val="auto"/>
                <w:kern w:val="0"/>
                <w:sz w:val="22"/>
                <w:szCs w:val="22"/>
                <w:highlight w:val="none"/>
                <w:u w:val="none"/>
                <w:lang w:val="en-US" w:eastAsia="zh-CN" w:bidi="ar"/>
              </w:rPr>
              <w:t>--规格</w:t>
            </w:r>
            <w:r>
              <w:rPr>
                <w:rStyle w:val="608"/>
                <w:strike w:val="0"/>
                <w:dstrike w:val="0"/>
                <w:color w:val="auto"/>
                <w:highlight w:val="none"/>
                <w:lang w:val="en-US" w:eastAsia="zh-CN" w:bidi="ar"/>
              </w:rPr>
              <w:t>：配套风柜</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AE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5E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CD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25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FA28C7">
            <w:pPr>
              <w:keepNext w:val="0"/>
              <w:keepLines w:val="0"/>
              <w:widowControl/>
              <w:suppressLineNumbers w:val="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461010</wp:posOffset>
                  </wp:positionH>
                  <wp:positionV relativeFrom="paragraph">
                    <wp:posOffset>318135</wp:posOffset>
                  </wp:positionV>
                  <wp:extent cx="876300" cy="913765"/>
                  <wp:effectExtent l="0" t="0" r="0" b="635"/>
                  <wp:wrapNone/>
                  <wp:docPr id="47" name="图片_16"/>
                  <wp:cNvGraphicFramePr/>
                  <a:graphic xmlns:a="http://schemas.openxmlformats.org/drawingml/2006/main">
                    <a:graphicData uri="http://schemas.openxmlformats.org/drawingml/2006/picture">
                      <pic:pic xmlns:pic="http://schemas.openxmlformats.org/drawingml/2006/picture">
                        <pic:nvPicPr>
                          <pic:cNvPr id="47" name="图片_16"/>
                          <pic:cNvPicPr/>
                        </pic:nvPicPr>
                        <pic:blipFill>
                          <a:blip r:embed="rId47"/>
                          <a:stretch>
                            <a:fillRect/>
                          </a:stretch>
                        </pic:blipFill>
                        <pic:spPr>
                          <a:xfrm>
                            <a:off x="0" y="0"/>
                            <a:ext cx="876300" cy="913765"/>
                          </a:xfrm>
                          <a:prstGeom prst="rect">
                            <a:avLst/>
                          </a:prstGeom>
                          <a:noFill/>
                          <a:ln>
                            <a:noFill/>
                          </a:ln>
                        </pic:spPr>
                      </pic:pic>
                    </a:graphicData>
                  </a:graphic>
                </wp:anchor>
              </w:drawing>
            </w:r>
          </w:p>
        </w:tc>
      </w:tr>
    </w:tbl>
    <w:p w14:paraId="114C6B8E">
      <w:pPr>
        <w:pStyle w:val="2"/>
        <w:keepNext/>
        <w:keepLines/>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备注：</w:t>
      </w:r>
    </w:p>
    <w:p w14:paraId="09EB07F0">
      <w:pPr>
        <w:pStyle w:val="2"/>
        <w:keepNext/>
        <w:keepLines/>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（1）所投产品规格偏差不超过±5mm。</w:t>
      </w:r>
    </w:p>
    <w:p w14:paraId="03CD29F1">
      <w:pPr>
        <w:pStyle w:val="2"/>
        <w:keepNext/>
        <w:keepLines/>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（2）采购人提供的图片为参考式样,中标后中标人应无条件按采购人要求进行</w:t>
      </w:r>
      <w:r>
        <w:rPr>
          <w:rFonts w:hint="eastAsia" w:asciiTheme="minorEastAsia" w:hAnsiTheme="minorEastAsia" w:eastAsiaTheme="minorEastAsia" w:cstheme="minorEastAsia"/>
          <w:b w:val="0"/>
          <w:bCs w:val="0"/>
          <w:color w:val="auto"/>
          <w:sz w:val="24"/>
          <w:szCs w:val="24"/>
          <w:highlight w:val="none"/>
          <w:lang w:val="en-US" w:eastAsia="zh-CN"/>
        </w:rPr>
        <w:t>尺寸</w:t>
      </w:r>
      <w:r>
        <w:rPr>
          <w:rFonts w:hint="eastAsia" w:asciiTheme="minorEastAsia" w:hAnsiTheme="minorEastAsia" w:eastAsiaTheme="minorEastAsia" w:cstheme="minorEastAsia"/>
          <w:b w:val="0"/>
          <w:bCs w:val="0"/>
          <w:color w:val="auto"/>
          <w:sz w:val="24"/>
          <w:szCs w:val="24"/>
          <w:highlight w:val="none"/>
        </w:rPr>
        <w:t>调整，此费用包含在投标报价中。</w:t>
      </w:r>
    </w:p>
    <w:p w14:paraId="4BB7CCD5">
      <w:pPr>
        <w:pStyle w:val="2"/>
        <w:keepNext/>
        <w:keepLines/>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color w:val="auto"/>
          <w:sz w:val="24"/>
          <w:szCs w:val="24"/>
          <w:highlight w:val="none"/>
          <w:lang w:val="en-US" w:eastAsia="zh-CN"/>
        </w:rPr>
        <w:t>3</w:t>
      </w:r>
      <w:r>
        <w:rPr>
          <w:rFonts w:hint="eastAsia" w:asciiTheme="minorEastAsia" w:hAnsiTheme="minorEastAsia" w:eastAsiaTheme="minorEastAsia" w:cstheme="minorEastAsia"/>
          <w:b w:val="0"/>
          <w:bCs w:val="0"/>
          <w:color w:val="auto"/>
          <w:sz w:val="24"/>
          <w:szCs w:val="24"/>
          <w:highlight w:val="none"/>
        </w:rPr>
        <w:t>）中标人须根据采购人的要求及时供货。</w:t>
      </w:r>
    </w:p>
    <w:p w14:paraId="46175AD6">
      <w:pPr>
        <w:pageBreakBefore w:val="0"/>
        <w:widowControl w:val="0"/>
        <w:tabs>
          <w:tab w:val="left" w:pos="630"/>
        </w:tabs>
        <w:kinsoku/>
        <w:wordWrap/>
        <w:overflowPunct/>
        <w:topLinePunct w:val="0"/>
        <w:autoSpaceDE/>
        <w:autoSpaceDN/>
        <w:bidi w:val="0"/>
        <w:adjustRightInd/>
        <w:snapToGrid/>
        <w:spacing w:line="288" w:lineRule="auto"/>
        <w:ind w:firstLine="592" w:firstLineChars="247"/>
        <w:textAlignment w:val="auto"/>
        <w:rPr>
          <w:rFonts w:hint="eastAsia" w:ascii="宋体" w:hAnsi="宋体" w:cs="宋体"/>
          <w:color w:val="auto"/>
          <w:sz w:val="24"/>
          <w:highlight w:val="none"/>
        </w:rPr>
      </w:pP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color w:val="auto"/>
          <w:sz w:val="24"/>
          <w:szCs w:val="24"/>
          <w:highlight w:val="none"/>
          <w:lang w:val="en-US" w:eastAsia="zh-CN"/>
        </w:rPr>
        <w:t>4</w:t>
      </w:r>
      <w:r>
        <w:rPr>
          <w:rFonts w:hint="eastAsia" w:asciiTheme="minorEastAsia" w:hAnsiTheme="minorEastAsia" w:eastAsiaTheme="minorEastAsia" w:cstheme="minorEastAsia"/>
          <w:b w:val="0"/>
          <w:bCs w:val="0"/>
          <w:color w:val="auto"/>
          <w:sz w:val="24"/>
          <w:szCs w:val="24"/>
          <w:highlight w:val="none"/>
        </w:rPr>
        <w:t>）</w:t>
      </w:r>
      <w:r>
        <w:rPr>
          <w:rFonts w:hint="eastAsia" w:ascii="宋体" w:hAnsi="宋体" w:cs="宋体"/>
          <w:color w:val="auto"/>
          <w:sz w:val="24"/>
          <w:highlight w:val="none"/>
        </w:rPr>
        <w:t>所有产品材料、规格必须经采购人确认后方可加工生产。</w:t>
      </w:r>
    </w:p>
    <w:p w14:paraId="4B60D041">
      <w:pPr>
        <w:pStyle w:val="2"/>
        <w:keepNext/>
        <w:keepLines/>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color w:val="auto"/>
          <w:sz w:val="24"/>
          <w:szCs w:val="24"/>
          <w:highlight w:val="none"/>
          <w:lang w:val="en-US" w:eastAsia="zh-CN"/>
        </w:rPr>
        <w:t>5</w:t>
      </w:r>
      <w:r>
        <w:rPr>
          <w:rFonts w:hint="eastAsia" w:asciiTheme="minorEastAsia" w:hAnsiTheme="minorEastAsia" w:eastAsiaTheme="minorEastAsia" w:cstheme="minorEastAsia"/>
          <w:b w:val="0"/>
          <w:bCs w:val="0"/>
          <w:color w:val="auto"/>
          <w:sz w:val="24"/>
          <w:szCs w:val="24"/>
          <w:highlight w:val="none"/>
        </w:rPr>
        <w:t>）技术参数中如有漏项，</w:t>
      </w:r>
      <w:r>
        <w:rPr>
          <w:rFonts w:hint="eastAsia" w:asciiTheme="minorEastAsia" w:hAnsiTheme="minorEastAsia" w:eastAsiaTheme="minorEastAsia" w:cstheme="minorEastAsia"/>
          <w:b w:val="0"/>
          <w:bCs w:val="0"/>
          <w:color w:val="auto"/>
          <w:sz w:val="24"/>
          <w:szCs w:val="24"/>
          <w:highlight w:val="none"/>
          <w:lang w:val="en-US" w:eastAsia="zh-CN"/>
        </w:rPr>
        <w:t>厨房设备</w:t>
      </w:r>
      <w:r>
        <w:rPr>
          <w:rFonts w:hint="eastAsia" w:asciiTheme="minorEastAsia" w:hAnsiTheme="minorEastAsia" w:eastAsiaTheme="minorEastAsia" w:cstheme="minorEastAsia"/>
          <w:b w:val="0"/>
          <w:bCs w:val="0"/>
          <w:color w:val="auto"/>
          <w:sz w:val="24"/>
          <w:szCs w:val="24"/>
          <w:highlight w:val="none"/>
        </w:rPr>
        <w:t>实际使用功能必须达到采购人实际要求。</w:t>
      </w:r>
    </w:p>
    <w:p w14:paraId="31CD8CC1">
      <w:pPr>
        <w:pStyle w:val="3"/>
        <w:jc w:val="left"/>
        <w:rPr>
          <w:rFonts w:hint="default" w:ascii="宋体" w:hAnsi="宋体" w:eastAsia="宋体" w:cs="宋体"/>
          <w:b w:val="0"/>
          <w:color w:val="auto"/>
          <w:kern w:val="2"/>
          <w:sz w:val="24"/>
          <w:szCs w:val="20"/>
          <w:highlight w:val="none"/>
          <w:lang w:val="en-US" w:eastAsia="zh-CN" w:bidi="ar-SA"/>
        </w:rPr>
      </w:pPr>
      <w:r>
        <w:rPr>
          <w:rFonts w:hint="eastAsia" w:ascii="宋体" w:hAnsi="宋体" w:eastAsia="宋体" w:cs="宋体"/>
          <w:b w:val="0"/>
          <w:color w:val="auto"/>
          <w:kern w:val="2"/>
          <w:sz w:val="24"/>
          <w:szCs w:val="20"/>
          <w:highlight w:val="none"/>
          <w:lang w:val="en-US" w:eastAsia="zh-CN" w:bidi="ar-SA"/>
        </w:rPr>
        <w:t>标二：</w:t>
      </w:r>
    </w:p>
    <w:tbl>
      <w:tblPr>
        <w:tblStyle w:val="6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73"/>
        <w:gridCol w:w="4900"/>
        <w:gridCol w:w="899"/>
        <w:gridCol w:w="988"/>
        <w:gridCol w:w="663"/>
      </w:tblGrid>
      <w:tr w14:paraId="2764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top"/>
          </w:tcPr>
          <w:p w14:paraId="19EFCE36">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eastAsia="宋体" w:cs="宋体"/>
                <w:bCs/>
                <w:color w:val="auto"/>
                <w:sz w:val="24"/>
                <w:szCs w:val="24"/>
                <w:highlight w:val="none"/>
                <w:vertAlign w:val="baseline"/>
                <w:lang w:val="en-US" w:eastAsia="zh-CN" w:bidi="ar-SA"/>
              </w:rPr>
            </w:pPr>
            <w:bookmarkStart w:id="9" w:name="OLE_LINK8" w:colFirst="0" w:colLast="5"/>
            <w:bookmarkStart w:id="10" w:name="_Toc8159"/>
            <w:bookmarkStart w:id="11" w:name="_Toc6373"/>
            <w:r>
              <w:rPr>
                <w:rFonts w:hint="eastAsia" w:ascii="宋体" w:eastAsia="宋体" w:cs="宋体"/>
                <w:bCs/>
                <w:color w:val="auto"/>
                <w:sz w:val="24"/>
                <w:szCs w:val="24"/>
                <w:highlight w:val="none"/>
                <w:vertAlign w:val="baseline"/>
                <w:lang w:val="en-US" w:eastAsia="zh-CN" w:bidi="ar-SA"/>
              </w:rPr>
              <w:t>序号</w:t>
            </w:r>
          </w:p>
        </w:tc>
        <w:tc>
          <w:tcPr>
            <w:tcW w:w="1173" w:type="dxa"/>
            <w:tcBorders>
              <w:tl2br w:val="nil"/>
              <w:tr2bl w:val="nil"/>
            </w:tcBorders>
            <w:noWrap w:val="0"/>
            <w:vAlign w:val="top"/>
          </w:tcPr>
          <w:p w14:paraId="0EA8FF0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名称</w:t>
            </w:r>
          </w:p>
        </w:tc>
        <w:tc>
          <w:tcPr>
            <w:tcW w:w="4900" w:type="dxa"/>
            <w:tcBorders>
              <w:tl2br w:val="nil"/>
              <w:tr2bl w:val="nil"/>
            </w:tcBorders>
            <w:noWrap w:val="0"/>
            <w:vAlign w:val="top"/>
          </w:tcPr>
          <w:p w14:paraId="5C256833">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技术参数</w:t>
            </w:r>
          </w:p>
        </w:tc>
        <w:tc>
          <w:tcPr>
            <w:tcW w:w="899" w:type="dxa"/>
            <w:tcBorders>
              <w:tl2br w:val="nil"/>
              <w:tr2bl w:val="nil"/>
            </w:tcBorders>
            <w:noWrap w:val="0"/>
            <w:vAlign w:val="center"/>
          </w:tcPr>
          <w:p w14:paraId="0CDA038A">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白云站数量</w:t>
            </w:r>
          </w:p>
        </w:tc>
        <w:tc>
          <w:tcPr>
            <w:tcW w:w="988" w:type="dxa"/>
            <w:tcBorders>
              <w:tl2br w:val="nil"/>
              <w:tr2bl w:val="nil"/>
            </w:tcBorders>
            <w:noWrap w:val="0"/>
            <w:vAlign w:val="center"/>
          </w:tcPr>
          <w:p w14:paraId="4264EF68">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南马站数量</w:t>
            </w:r>
          </w:p>
        </w:tc>
        <w:tc>
          <w:tcPr>
            <w:tcW w:w="663" w:type="dxa"/>
            <w:tcBorders>
              <w:tl2br w:val="nil"/>
              <w:tr2bl w:val="nil"/>
            </w:tcBorders>
            <w:noWrap w:val="0"/>
            <w:vAlign w:val="top"/>
          </w:tcPr>
          <w:p w14:paraId="2B4B6C32">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备注</w:t>
            </w:r>
          </w:p>
        </w:tc>
      </w:tr>
      <w:bookmarkEnd w:id="9"/>
      <w:tr w14:paraId="467C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top"/>
          </w:tcPr>
          <w:p w14:paraId="2D7941AA">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p>
        </w:tc>
        <w:tc>
          <w:tcPr>
            <w:tcW w:w="1173" w:type="dxa"/>
            <w:tcBorders>
              <w:tl2br w:val="nil"/>
              <w:tr2bl w:val="nil"/>
            </w:tcBorders>
            <w:noWrap w:val="0"/>
            <w:vAlign w:val="center"/>
          </w:tcPr>
          <w:p w14:paraId="23C753C2">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台式电脑</w:t>
            </w:r>
          </w:p>
        </w:tc>
        <w:tc>
          <w:tcPr>
            <w:tcW w:w="4900" w:type="dxa"/>
            <w:tcBorders>
              <w:tl2br w:val="nil"/>
              <w:tr2bl w:val="nil"/>
            </w:tcBorders>
            <w:noWrap w:val="0"/>
            <w:vAlign w:val="top"/>
          </w:tcPr>
          <w:p w14:paraId="110FA35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1.显示屏尺寸（英寸）：≥23.8</w:t>
            </w:r>
          </w:p>
          <w:p w14:paraId="5E49BF2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2.显示屏分辨率：≥1920*1080</w:t>
            </w:r>
          </w:p>
          <w:p w14:paraId="3C66E80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3</w:t>
            </w:r>
            <w:r>
              <w:rPr>
                <w:rFonts w:hint="eastAsia" w:ascii="宋体" w:eastAsia="宋体" w:cs="宋体"/>
                <w:bCs/>
                <w:color w:val="auto"/>
                <w:sz w:val="24"/>
                <w:szCs w:val="24"/>
                <w:highlight w:val="none"/>
                <w:vertAlign w:val="baseline"/>
                <w:lang w:val="en-US" w:eastAsia="zh-CN" w:bidi="ar-SA"/>
              </w:rPr>
              <w:t>.硬盘容量：≥256GB固态硬盘+1T机械硬盘</w:t>
            </w:r>
          </w:p>
          <w:p w14:paraId="377BA63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4</w:t>
            </w:r>
            <w:r>
              <w:rPr>
                <w:rFonts w:hint="eastAsia" w:ascii="宋体" w:eastAsia="宋体" w:cs="宋体"/>
                <w:bCs/>
                <w:color w:val="auto"/>
                <w:sz w:val="24"/>
                <w:szCs w:val="24"/>
                <w:highlight w:val="none"/>
                <w:vertAlign w:val="baseline"/>
                <w:lang w:val="en-US" w:eastAsia="zh-CN" w:bidi="ar-SA"/>
              </w:rPr>
              <w:t>.内存配置容量：≥16GB</w:t>
            </w:r>
          </w:p>
          <w:p w14:paraId="2AFCA7E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5</w:t>
            </w:r>
            <w:r>
              <w:rPr>
                <w:rFonts w:hint="eastAsia" w:ascii="宋体" w:eastAsia="宋体" w:cs="宋体"/>
                <w:bCs/>
                <w:color w:val="auto"/>
                <w:sz w:val="24"/>
                <w:szCs w:val="24"/>
                <w:highlight w:val="none"/>
                <w:vertAlign w:val="baseline"/>
                <w:lang w:val="en-US" w:eastAsia="zh-CN" w:bidi="ar-SA"/>
              </w:rPr>
              <w:t>.CPU架构：x86-64</w:t>
            </w:r>
          </w:p>
          <w:p w14:paraId="1950FE6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6</w:t>
            </w:r>
            <w:r>
              <w:rPr>
                <w:rFonts w:hint="eastAsia" w:ascii="宋体" w:eastAsia="宋体" w:cs="宋体"/>
                <w:bCs/>
                <w:color w:val="auto"/>
                <w:sz w:val="24"/>
                <w:szCs w:val="24"/>
                <w:highlight w:val="none"/>
                <w:vertAlign w:val="baseline"/>
                <w:lang w:val="en-US" w:eastAsia="zh-CN" w:bidi="ar-SA"/>
              </w:rPr>
              <w:t>.主板结构：ATX</w:t>
            </w:r>
          </w:p>
          <w:p w14:paraId="5C77E8D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7</w:t>
            </w:r>
            <w:r>
              <w:rPr>
                <w:rFonts w:hint="eastAsia" w:ascii="宋体" w:eastAsia="宋体" w:cs="宋体"/>
                <w:bCs/>
                <w:color w:val="auto"/>
                <w:sz w:val="24"/>
                <w:szCs w:val="24"/>
                <w:highlight w:val="none"/>
                <w:vertAlign w:val="baseline"/>
                <w:lang w:val="en-US" w:eastAsia="zh-CN" w:bidi="ar-SA"/>
              </w:rPr>
              <w:t>.主板接口类型;VGA视频输出接口</w:t>
            </w:r>
          </w:p>
          <w:p w14:paraId="51FBF96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8</w:t>
            </w:r>
            <w:r>
              <w:rPr>
                <w:rFonts w:hint="eastAsia" w:ascii="宋体" w:eastAsia="宋体" w:cs="宋体"/>
                <w:bCs/>
                <w:color w:val="auto"/>
                <w:sz w:val="24"/>
                <w:szCs w:val="24"/>
                <w:highlight w:val="none"/>
                <w:vertAlign w:val="baseline"/>
                <w:lang w:val="en-US" w:eastAsia="zh-CN" w:bidi="ar-SA"/>
              </w:rPr>
              <w:t>.主板:B560</w:t>
            </w:r>
          </w:p>
          <w:p w14:paraId="62F6E43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9</w:t>
            </w:r>
            <w:r>
              <w:rPr>
                <w:rFonts w:hint="eastAsia" w:ascii="宋体" w:eastAsia="宋体" w:cs="宋体"/>
                <w:bCs/>
                <w:color w:val="auto"/>
                <w:sz w:val="24"/>
                <w:szCs w:val="24"/>
                <w:highlight w:val="none"/>
                <w:vertAlign w:val="baseline"/>
                <w:lang w:val="en-US" w:eastAsia="zh-CN" w:bidi="ar-SA"/>
              </w:rPr>
              <w:t>.硬盘转速:5400</w:t>
            </w:r>
          </w:p>
          <w:p w14:paraId="7CDAD97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0</w:t>
            </w:r>
            <w:r>
              <w:rPr>
                <w:rFonts w:hint="eastAsia" w:ascii="宋体" w:eastAsia="宋体" w:cs="宋体"/>
                <w:bCs/>
                <w:color w:val="auto"/>
                <w:sz w:val="24"/>
                <w:szCs w:val="24"/>
                <w:highlight w:val="none"/>
                <w:vertAlign w:val="baseline"/>
                <w:lang w:val="en-US" w:eastAsia="zh-CN" w:bidi="ar-SA"/>
              </w:rPr>
              <w:t>.硬盘接口类型:SATA</w:t>
            </w:r>
          </w:p>
          <w:p w14:paraId="79BB470D">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1</w:t>
            </w:r>
            <w:r>
              <w:rPr>
                <w:rFonts w:hint="eastAsia" w:ascii="宋体" w:eastAsia="宋体" w:cs="宋体"/>
                <w:bCs/>
                <w:color w:val="auto"/>
                <w:sz w:val="24"/>
                <w:szCs w:val="24"/>
                <w:highlight w:val="none"/>
                <w:vertAlign w:val="baseline"/>
                <w:lang w:val="en-US" w:eastAsia="zh-CN" w:bidi="ar-SA"/>
              </w:rPr>
              <w:t>.箱体材质:铁板(钢板)</w:t>
            </w:r>
          </w:p>
          <w:p w14:paraId="0CB9FE1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2</w:t>
            </w:r>
            <w:r>
              <w:rPr>
                <w:rFonts w:hint="eastAsia" w:ascii="宋体" w:eastAsia="宋体" w:cs="宋体"/>
                <w:bCs/>
                <w:color w:val="auto"/>
                <w:sz w:val="24"/>
                <w:szCs w:val="24"/>
                <w:highlight w:val="none"/>
                <w:vertAlign w:val="baseline"/>
                <w:lang w:val="en-US" w:eastAsia="zh-CN" w:bidi="ar-SA"/>
              </w:rPr>
              <w:t>.显卡类型:集成显卡</w:t>
            </w:r>
          </w:p>
          <w:p w14:paraId="68EF2A4A">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3</w:t>
            </w:r>
            <w:r>
              <w:rPr>
                <w:rFonts w:hint="eastAsia" w:ascii="宋体" w:eastAsia="宋体" w:cs="宋体"/>
                <w:bCs/>
                <w:color w:val="auto"/>
                <w:sz w:val="24"/>
                <w:szCs w:val="24"/>
                <w:highlight w:val="none"/>
                <w:vertAlign w:val="baseline"/>
                <w:lang w:val="en-US" w:eastAsia="zh-CN" w:bidi="ar-SA"/>
              </w:rPr>
              <w:t>.显卡接口类型:ISA</w:t>
            </w:r>
          </w:p>
          <w:p w14:paraId="5C6F3522">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4</w:t>
            </w:r>
            <w:r>
              <w:rPr>
                <w:rFonts w:hint="eastAsia" w:ascii="宋体" w:eastAsia="宋体" w:cs="宋体"/>
                <w:bCs/>
                <w:color w:val="auto"/>
                <w:sz w:val="24"/>
                <w:szCs w:val="24"/>
                <w:highlight w:val="none"/>
                <w:vertAlign w:val="baseline"/>
                <w:lang w:val="en-US" w:eastAsia="zh-CN" w:bidi="ar-SA"/>
              </w:rPr>
              <w:t>.显存容量 :≥16GB</w:t>
            </w:r>
          </w:p>
          <w:p w14:paraId="58C81628">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5</w:t>
            </w:r>
            <w:r>
              <w:rPr>
                <w:rFonts w:hint="eastAsia" w:ascii="宋体" w:eastAsia="宋体" w:cs="宋体"/>
                <w:bCs/>
                <w:color w:val="auto"/>
                <w:sz w:val="24"/>
                <w:szCs w:val="24"/>
                <w:highlight w:val="none"/>
                <w:vertAlign w:val="baseline"/>
                <w:lang w:val="en-US" w:eastAsia="zh-CN" w:bidi="ar-SA"/>
              </w:rPr>
              <w:t>.是否支持多显卡:是</w:t>
            </w:r>
          </w:p>
          <w:p w14:paraId="53CDEF1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6</w:t>
            </w:r>
            <w:r>
              <w:rPr>
                <w:rFonts w:hint="eastAsia" w:ascii="宋体" w:eastAsia="宋体" w:cs="宋体"/>
                <w:bCs/>
                <w:color w:val="auto"/>
                <w:sz w:val="24"/>
                <w:szCs w:val="24"/>
                <w:highlight w:val="none"/>
                <w:vertAlign w:val="baseline"/>
                <w:lang w:val="en-US" w:eastAsia="zh-CN" w:bidi="ar-SA"/>
              </w:rPr>
              <w:t>.是否有集成芯片:是</w:t>
            </w:r>
          </w:p>
          <w:p w14:paraId="6CBB1FC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1</w:t>
            </w:r>
            <w:r>
              <w:rPr>
                <w:rFonts w:hint="eastAsia" w:ascii="宋体" w:cs="宋体"/>
                <w:bCs/>
                <w:color w:val="auto"/>
                <w:sz w:val="24"/>
                <w:szCs w:val="24"/>
                <w:highlight w:val="none"/>
                <w:vertAlign w:val="baseline"/>
                <w:lang w:val="en-US" w:eastAsia="zh-CN" w:bidi="ar-SA"/>
              </w:rPr>
              <w:t>7</w:t>
            </w:r>
            <w:r>
              <w:rPr>
                <w:rFonts w:hint="eastAsia" w:ascii="宋体" w:eastAsia="宋体" w:cs="宋体"/>
                <w:bCs/>
                <w:color w:val="auto"/>
                <w:sz w:val="24"/>
                <w:szCs w:val="24"/>
                <w:highlight w:val="none"/>
                <w:vertAlign w:val="baseline"/>
                <w:lang w:val="en-US" w:eastAsia="zh-CN" w:bidi="ar-SA"/>
              </w:rPr>
              <w:t>.是否64位处理器:是</w:t>
            </w:r>
          </w:p>
          <w:p w14:paraId="28A8FCDF">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18</w:t>
            </w:r>
            <w:r>
              <w:rPr>
                <w:rFonts w:hint="eastAsia" w:ascii="宋体" w:eastAsia="宋体" w:cs="宋体"/>
                <w:bCs/>
                <w:color w:val="auto"/>
                <w:sz w:val="24"/>
                <w:szCs w:val="24"/>
                <w:highlight w:val="none"/>
                <w:vertAlign w:val="baseline"/>
                <w:lang w:val="en-US" w:eastAsia="zh-CN" w:bidi="ar-SA"/>
              </w:rPr>
              <w:t>.声卡接口类型:USB3.0</w:t>
            </w:r>
          </w:p>
          <w:p w14:paraId="49357F8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19</w:t>
            </w:r>
            <w:r>
              <w:rPr>
                <w:rFonts w:hint="eastAsia" w:ascii="宋体" w:eastAsia="宋体" w:cs="宋体"/>
                <w:bCs/>
                <w:color w:val="auto"/>
                <w:sz w:val="24"/>
                <w:szCs w:val="24"/>
                <w:highlight w:val="none"/>
                <w:vertAlign w:val="baseline"/>
                <w:lang w:val="en-US" w:eastAsia="zh-CN" w:bidi="ar-SA"/>
              </w:rPr>
              <w:t>.散热器噪音 (dB):30</w:t>
            </w:r>
          </w:p>
          <w:p w14:paraId="48FCE67B">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0</w:t>
            </w:r>
            <w:r>
              <w:rPr>
                <w:rFonts w:hint="eastAsia" w:ascii="宋体" w:eastAsia="宋体" w:cs="宋体"/>
                <w:bCs/>
                <w:color w:val="auto"/>
                <w:sz w:val="24"/>
                <w:szCs w:val="24"/>
                <w:highlight w:val="none"/>
                <w:vertAlign w:val="baseline"/>
                <w:lang w:val="en-US" w:eastAsia="zh-CN" w:bidi="ar-SA"/>
              </w:rPr>
              <w:t>.散热方式:风冷散热</w:t>
            </w:r>
          </w:p>
          <w:p w14:paraId="1E0E9469">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1</w:t>
            </w:r>
            <w:r>
              <w:rPr>
                <w:rFonts w:hint="eastAsia" w:ascii="宋体" w:eastAsia="宋体" w:cs="宋体"/>
                <w:bCs/>
                <w:color w:val="auto"/>
                <w:sz w:val="24"/>
                <w:szCs w:val="24"/>
                <w:highlight w:val="none"/>
                <w:vertAlign w:val="baseline"/>
                <w:lang w:val="en-US" w:eastAsia="zh-CN" w:bidi="ar-SA"/>
              </w:rPr>
              <w:t>.内存类型:SODIMM</w:t>
            </w:r>
          </w:p>
          <w:p w14:paraId="086C477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2</w:t>
            </w:r>
            <w:r>
              <w:rPr>
                <w:rFonts w:hint="eastAsia" w:ascii="宋体" w:eastAsia="宋体" w:cs="宋体"/>
                <w:bCs/>
                <w:color w:val="auto"/>
                <w:sz w:val="24"/>
                <w:szCs w:val="24"/>
                <w:highlight w:val="none"/>
                <w:vertAlign w:val="baseline"/>
                <w:lang w:val="en-US" w:eastAsia="zh-CN" w:bidi="ar-SA"/>
              </w:rPr>
              <w:t>.内存插槽 (个):4</w:t>
            </w:r>
          </w:p>
          <w:p w14:paraId="70119A05">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3</w:t>
            </w:r>
            <w:r>
              <w:rPr>
                <w:rFonts w:hint="eastAsia" w:ascii="宋体" w:eastAsia="宋体" w:cs="宋体"/>
                <w:bCs/>
                <w:color w:val="auto"/>
                <w:sz w:val="24"/>
                <w:szCs w:val="24"/>
                <w:highlight w:val="none"/>
                <w:vertAlign w:val="baseline"/>
                <w:lang w:val="en-US" w:eastAsia="zh-CN" w:bidi="ar-SA"/>
              </w:rPr>
              <w:t>.核心数:六核心</w:t>
            </w:r>
          </w:p>
          <w:p w14:paraId="3DAF482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4</w:t>
            </w:r>
            <w:r>
              <w:rPr>
                <w:rFonts w:hint="eastAsia" w:ascii="宋体" w:eastAsia="宋体" w:cs="宋体"/>
                <w:bCs/>
                <w:color w:val="auto"/>
                <w:sz w:val="24"/>
                <w:szCs w:val="24"/>
                <w:highlight w:val="none"/>
                <w:vertAlign w:val="baseline"/>
                <w:lang w:val="en-US" w:eastAsia="zh-CN" w:bidi="ar-SA"/>
              </w:rPr>
              <w:t>.光驱类型:无光驱</w:t>
            </w:r>
          </w:p>
          <w:p w14:paraId="4F6806F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5</w:t>
            </w:r>
            <w:r>
              <w:rPr>
                <w:rFonts w:hint="eastAsia" w:ascii="宋体" w:eastAsia="宋体" w:cs="宋体"/>
                <w:bCs/>
                <w:color w:val="auto"/>
                <w:sz w:val="24"/>
                <w:szCs w:val="24"/>
                <w:highlight w:val="none"/>
                <w:vertAlign w:val="baseline"/>
                <w:lang w:val="en-US" w:eastAsia="zh-CN" w:bidi="ar-SA"/>
              </w:rPr>
              <w:t>.功率 (w):200</w:t>
            </w:r>
          </w:p>
          <w:p w14:paraId="60EA6E3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6</w:t>
            </w:r>
            <w:r>
              <w:rPr>
                <w:rFonts w:hint="eastAsia" w:ascii="宋体" w:eastAsia="宋体" w:cs="宋体"/>
                <w:bCs/>
                <w:color w:val="auto"/>
                <w:sz w:val="24"/>
                <w:szCs w:val="24"/>
                <w:highlight w:val="none"/>
                <w:vertAlign w:val="baseline"/>
                <w:lang w:val="en-US" w:eastAsia="zh-CN" w:bidi="ar-SA"/>
              </w:rPr>
              <w:t>.USB接口数量 (个):5</w:t>
            </w:r>
          </w:p>
          <w:p w14:paraId="443B232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2</w:t>
            </w:r>
            <w:r>
              <w:rPr>
                <w:rFonts w:hint="eastAsia" w:ascii="宋体" w:cs="宋体"/>
                <w:bCs/>
                <w:color w:val="auto"/>
                <w:sz w:val="24"/>
                <w:szCs w:val="24"/>
                <w:highlight w:val="none"/>
                <w:vertAlign w:val="baseline"/>
                <w:lang w:val="en-US" w:eastAsia="zh-CN" w:bidi="ar-SA"/>
              </w:rPr>
              <w:t>7</w:t>
            </w:r>
            <w:r>
              <w:rPr>
                <w:rFonts w:hint="eastAsia" w:ascii="宋体" w:eastAsia="宋体" w:cs="宋体"/>
                <w:bCs/>
                <w:color w:val="auto"/>
                <w:sz w:val="24"/>
                <w:szCs w:val="24"/>
                <w:highlight w:val="none"/>
                <w:vertAlign w:val="baseline"/>
                <w:lang w:val="en-US" w:eastAsia="zh-CN" w:bidi="ar-SA"/>
              </w:rPr>
              <w:t>.PCI插槽数量 (个):1</w:t>
            </w:r>
          </w:p>
          <w:p w14:paraId="5729852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28</w:t>
            </w:r>
            <w:r>
              <w:rPr>
                <w:rFonts w:hint="eastAsia" w:ascii="宋体" w:eastAsia="宋体" w:cs="宋体"/>
                <w:bCs/>
                <w:color w:val="auto"/>
                <w:sz w:val="24"/>
                <w:szCs w:val="24"/>
                <w:highlight w:val="none"/>
                <w:vertAlign w:val="baseline"/>
                <w:lang w:val="en-US" w:eastAsia="zh-CN" w:bidi="ar-SA"/>
              </w:rPr>
              <w:t>.PCI-E插槽数量 (个):1</w:t>
            </w:r>
          </w:p>
          <w:p w14:paraId="1A6B7F5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29</w:t>
            </w:r>
            <w:r>
              <w:rPr>
                <w:rFonts w:hint="eastAsia" w:ascii="宋体" w:eastAsia="宋体" w:cs="宋体"/>
                <w:bCs/>
                <w:color w:val="auto"/>
                <w:sz w:val="24"/>
                <w:szCs w:val="24"/>
                <w:highlight w:val="none"/>
                <w:vertAlign w:val="baseline"/>
                <w:lang w:val="en-US" w:eastAsia="zh-CN" w:bidi="ar-SA"/>
              </w:rPr>
              <w:t>.HDMI接口数量 (个):1</w:t>
            </w:r>
          </w:p>
          <w:p w14:paraId="42B0BA2A">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3</w:t>
            </w:r>
            <w:r>
              <w:rPr>
                <w:rFonts w:hint="eastAsia" w:ascii="宋体" w:cs="宋体"/>
                <w:bCs/>
                <w:color w:val="auto"/>
                <w:sz w:val="24"/>
                <w:szCs w:val="24"/>
                <w:highlight w:val="none"/>
                <w:vertAlign w:val="baseline"/>
                <w:lang w:val="en-US" w:eastAsia="zh-CN" w:bidi="ar-SA"/>
              </w:rPr>
              <w:t>0</w:t>
            </w:r>
            <w:r>
              <w:rPr>
                <w:rFonts w:hint="eastAsia" w:ascii="宋体" w:eastAsia="宋体" w:cs="宋体"/>
                <w:bCs/>
                <w:color w:val="auto"/>
                <w:sz w:val="24"/>
                <w:szCs w:val="24"/>
                <w:highlight w:val="none"/>
                <w:vertAlign w:val="baseline"/>
                <w:lang w:val="en-US" w:eastAsia="zh-CN" w:bidi="ar-SA"/>
              </w:rPr>
              <w:t>.操作系统windows10 Home</w:t>
            </w:r>
          </w:p>
          <w:p w14:paraId="359E074F">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3</w:t>
            </w:r>
            <w:r>
              <w:rPr>
                <w:rFonts w:hint="eastAsia" w:ascii="宋体" w:cs="宋体"/>
                <w:bCs/>
                <w:color w:val="auto"/>
                <w:sz w:val="24"/>
                <w:szCs w:val="24"/>
                <w:highlight w:val="none"/>
                <w:vertAlign w:val="baseline"/>
                <w:lang w:val="en-US" w:eastAsia="zh-CN" w:bidi="ar-SA"/>
              </w:rPr>
              <w:t>1</w:t>
            </w:r>
            <w:r>
              <w:rPr>
                <w:rFonts w:hint="eastAsia" w:ascii="宋体" w:eastAsia="宋体" w:cs="宋体"/>
                <w:bCs/>
                <w:color w:val="auto"/>
                <w:sz w:val="24"/>
                <w:szCs w:val="24"/>
                <w:highlight w:val="none"/>
                <w:vertAlign w:val="baseline"/>
                <w:lang w:val="en-US" w:eastAsia="zh-CN" w:bidi="ar-SA"/>
              </w:rPr>
              <w:t>.颜色分类:黑</w:t>
            </w:r>
          </w:p>
          <w:p w14:paraId="184B7525">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 3</w:t>
            </w:r>
            <w:r>
              <w:rPr>
                <w:rFonts w:hint="eastAsia" w:ascii="宋体" w:cs="宋体"/>
                <w:bCs/>
                <w:color w:val="auto"/>
                <w:sz w:val="24"/>
                <w:szCs w:val="24"/>
                <w:highlight w:val="none"/>
                <w:vertAlign w:val="baseline"/>
                <w:lang w:val="en-US" w:eastAsia="zh-CN" w:bidi="ar-SA"/>
              </w:rPr>
              <w:t>2</w:t>
            </w:r>
            <w:r>
              <w:rPr>
                <w:rFonts w:hint="eastAsia" w:ascii="宋体" w:eastAsia="宋体" w:cs="宋体"/>
                <w:bCs/>
                <w:color w:val="auto"/>
                <w:sz w:val="24"/>
                <w:szCs w:val="24"/>
                <w:highlight w:val="none"/>
                <w:vertAlign w:val="baseline"/>
                <w:lang w:val="en-US" w:eastAsia="zh-CN" w:bidi="ar-SA"/>
              </w:rPr>
              <w:t>.整机质量服务要求：</w:t>
            </w:r>
            <w:r>
              <w:rPr>
                <w:rFonts w:hint="eastAsia" w:ascii="宋体" w:hAnsi="宋体"/>
                <w:bCs/>
                <w:color w:val="auto"/>
                <w:sz w:val="24"/>
                <w:szCs w:val="24"/>
                <w:highlight w:val="none"/>
              </w:rPr>
              <w:t>免费</w:t>
            </w:r>
            <w:r>
              <w:rPr>
                <w:rFonts w:hint="eastAsia" w:ascii="宋体" w:eastAsia="宋体" w:cs="宋体"/>
                <w:bCs/>
                <w:color w:val="auto"/>
                <w:sz w:val="24"/>
                <w:szCs w:val="24"/>
                <w:highlight w:val="none"/>
                <w:vertAlign w:val="baseline"/>
                <w:lang w:val="en-US" w:eastAsia="zh-CN" w:bidi="ar-SA"/>
              </w:rPr>
              <w:t>服务周期（含换件和维修）≥ 3 年</w:t>
            </w:r>
          </w:p>
        </w:tc>
        <w:tc>
          <w:tcPr>
            <w:tcW w:w="899" w:type="dxa"/>
            <w:tcBorders>
              <w:tl2br w:val="nil"/>
              <w:tr2bl w:val="nil"/>
            </w:tcBorders>
            <w:noWrap w:val="0"/>
            <w:vAlign w:val="center"/>
          </w:tcPr>
          <w:p w14:paraId="6F80AD89">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988" w:type="dxa"/>
            <w:tcBorders>
              <w:tl2br w:val="nil"/>
              <w:tr2bl w:val="nil"/>
            </w:tcBorders>
            <w:noWrap w:val="0"/>
            <w:vAlign w:val="center"/>
          </w:tcPr>
          <w:p w14:paraId="3B8ECF50">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63" w:type="dxa"/>
            <w:tcBorders>
              <w:tl2br w:val="nil"/>
              <w:tr2bl w:val="nil"/>
            </w:tcBorders>
            <w:noWrap w:val="0"/>
            <w:vAlign w:val="top"/>
          </w:tcPr>
          <w:p w14:paraId="5CC8155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27B5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top"/>
          </w:tcPr>
          <w:p w14:paraId="1730E4E6">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2</w:t>
            </w:r>
          </w:p>
        </w:tc>
        <w:tc>
          <w:tcPr>
            <w:tcW w:w="1173" w:type="dxa"/>
            <w:tcBorders>
              <w:tl2br w:val="nil"/>
              <w:tr2bl w:val="nil"/>
            </w:tcBorders>
            <w:noWrap w:val="0"/>
            <w:vAlign w:val="center"/>
          </w:tcPr>
          <w:p w14:paraId="5110FA1E">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台式电脑</w:t>
            </w:r>
          </w:p>
        </w:tc>
        <w:tc>
          <w:tcPr>
            <w:tcW w:w="4900" w:type="dxa"/>
            <w:tcBorders>
              <w:tl2br w:val="nil"/>
              <w:tr2bl w:val="nil"/>
            </w:tcBorders>
            <w:noWrap w:val="0"/>
            <w:vAlign w:val="top"/>
          </w:tcPr>
          <w:p w14:paraId="256632A2">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.显示屏尺寸（英寸）：≥23.8</w:t>
            </w:r>
          </w:p>
          <w:p w14:paraId="3B29CF0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rPr>
              <w:t>.显示屏分辨率：≥1920*1080</w:t>
            </w:r>
          </w:p>
          <w:p w14:paraId="7A8350E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.显示屏色准：最大△E ≤4</w:t>
            </w:r>
          </w:p>
          <w:p w14:paraId="298EF78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4</w:t>
            </w:r>
            <w:r>
              <w:rPr>
                <w:rFonts w:hint="eastAsia" w:ascii="宋体" w:hAnsi="宋体"/>
                <w:bCs/>
                <w:color w:val="auto"/>
                <w:sz w:val="24"/>
                <w:szCs w:val="24"/>
                <w:highlight w:val="none"/>
              </w:rPr>
              <w:t>.显示屏响应时间（ms）：≤8</w:t>
            </w:r>
          </w:p>
          <w:p w14:paraId="20C6F6C5">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.显示屏可视角度：≥170°/160°</w:t>
            </w:r>
          </w:p>
          <w:p w14:paraId="639C4271">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.显示器材质：VA/IPS</w:t>
            </w:r>
          </w:p>
          <w:p w14:paraId="5F503C4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7</w:t>
            </w:r>
            <w:r>
              <w:rPr>
                <w:rFonts w:hint="eastAsia" w:ascii="宋体" w:hAnsi="宋体"/>
                <w:bCs/>
                <w:color w:val="auto"/>
                <w:sz w:val="24"/>
                <w:szCs w:val="24"/>
                <w:highlight w:val="none"/>
              </w:rPr>
              <w:t>.显示屏屏幕比例：16:9</w:t>
            </w:r>
          </w:p>
          <w:p w14:paraId="788C895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8</w:t>
            </w:r>
            <w:r>
              <w:rPr>
                <w:rFonts w:hint="eastAsia" w:ascii="宋体" w:hAnsi="宋体"/>
                <w:bCs/>
                <w:color w:val="auto"/>
                <w:sz w:val="24"/>
                <w:szCs w:val="24"/>
                <w:highlight w:val="none"/>
              </w:rPr>
              <w:t>.内存配置容量：≥8GB</w:t>
            </w:r>
          </w:p>
          <w:p w14:paraId="507CCD7F">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9</w:t>
            </w:r>
            <w:r>
              <w:rPr>
                <w:rFonts w:hint="eastAsia" w:ascii="宋体" w:hAnsi="宋体"/>
                <w:bCs/>
                <w:color w:val="auto"/>
                <w:sz w:val="24"/>
                <w:szCs w:val="24"/>
                <w:highlight w:val="none"/>
              </w:rPr>
              <w:t>.内存扩展接口 (板载内存不涉及)：≥2</w:t>
            </w:r>
          </w:p>
          <w:p w14:paraId="6B5463CB">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.硬盘类型：机械硬盘+固态硬盘</w:t>
            </w:r>
          </w:p>
          <w:p w14:paraId="72B12F3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.机械硬盘接口方式：SATAIII</w:t>
            </w:r>
          </w:p>
          <w:p w14:paraId="71030B8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rPr>
              <w:t>：机械硬盘转速（RPM）：≥5400</w:t>
            </w:r>
          </w:p>
          <w:p w14:paraId="244CEE7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.机械硬盘总容量：≥1TB</w:t>
            </w:r>
          </w:p>
          <w:p w14:paraId="17A0952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4</w:t>
            </w:r>
            <w:r>
              <w:rPr>
                <w:rFonts w:hint="eastAsia" w:ascii="宋体" w:hAnsi="宋体"/>
                <w:bCs/>
                <w:color w:val="auto"/>
                <w:sz w:val="24"/>
                <w:szCs w:val="24"/>
                <w:highlight w:val="none"/>
              </w:rPr>
              <w:t>.固态存储容量：≥256GB</w:t>
            </w:r>
          </w:p>
          <w:p w14:paraId="22E440D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.显卡类型：集成显卡</w:t>
            </w:r>
          </w:p>
          <w:p w14:paraId="0E6BF449">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.预装操作系统：统信UOS</w:t>
            </w:r>
          </w:p>
          <w:p w14:paraId="44B06DCA">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7</w:t>
            </w:r>
            <w:r>
              <w:rPr>
                <w:rFonts w:hint="eastAsia" w:ascii="宋体" w:hAnsi="宋体"/>
                <w:bCs/>
                <w:color w:val="auto"/>
                <w:sz w:val="24"/>
                <w:szCs w:val="24"/>
                <w:highlight w:val="none"/>
              </w:rPr>
              <w:t>.显示器和机身颜色：黑色</w:t>
            </w:r>
          </w:p>
          <w:p w14:paraId="1CDC3D81">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8</w:t>
            </w:r>
            <w:r>
              <w:rPr>
                <w:rFonts w:hint="eastAsia" w:ascii="宋体" w:hAnsi="宋体"/>
                <w:bCs/>
                <w:color w:val="auto"/>
                <w:sz w:val="24"/>
                <w:szCs w:val="24"/>
                <w:highlight w:val="none"/>
              </w:rPr>
              <w:t>.是否有刻录光驱：是</w:t>
            </w:r>
          </w:p>
          <w:p w14:paraId="10BAF7B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19</w:t>
            </w:r>
            <w:r>
              <w:rPr>
                <w:rFonts w:hint="eastAsia" w:ascii="宋体" w:hAnsi="宋体"/>
                <w:bCs/>
                <w:color w:val="auto"/>
                <w:sz w:val="24"/>
                <w:szCs w:val="24"/>
                <w:highlight w:val="none"/>
              </w:rPr>
              <w:t>.内置集成声卡：是</w:t>
            </w:r>
          </w:p>
          <w:p w14:paraId="507361BF">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.有线网卡数量：≥1</w:t>
            </w:r>
          </w:p>
          <w:p w14:paraId="6B47762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.鼠标有线（USB)</w:t>
            </w:r>
          </w:p>
          <w:p w14:paraId="0A29455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rPr>
              <w:t>.键盘：有线（USB)</w:t>
            </w:r>
          </w:p>
          <w:p w14:paraId="55E8EF78">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.键盘按键数目：104键</w:t>
            </w:r>
          </w:p>
          <w:p w14:paraId="3FECEA7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4</w:t>
            </w:r>
            <w:r>
              <w:rPr>
                <w:rFonts w:hint="eastAsia" w:ascii="宋体" w:hAnsi="宋体"/>
                <w:bCs/>
                <w:color w:val="auto"/>
                <w:sz w:val="24"/>
                <w:szCs w:val="24"/>
                <w:highlight w:val="none"/>
              </w:rPr>
              <w:t>.有线键盘连接线：≥1.5米</w:t>
            </w:r>
          </w:p>
          <w:p w14:paraId="343A37A1">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.USB2.0接口：USB接口数量</w:t>
            </w:r>
          </w:p>
          <w:p w14:paraId="6F1E00C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USB接口≥8，含4个USB3.0及以上接口</w:t>
            </w:r>
          </w:p>
          <w:p w14:paraId="2CFA4E32">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.HDMI接口：≥1</w:t>
            </w:r>
          </w:p>
          <w:p w14:paraId="3F4CD9AA">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7</w:t>
            </w:r>
            <w:r>
              <w:rPr>
                <w:rFonts w:hint="eastAsia" w:ascii="宋体" w:hAnsi="宋体"/>
                <w:bCs/>
                <w:color w:val="auto"/>
                <w:sz w:val="24"/>
                <w:szCs w:val="24"/>
                <w:highlight w:val="none"/>
              </w:rPr>
              <w:t>.VGA接口：≥1</w:t>
            </w:r>
          </w:p>
          <w:p w14:paraId="2EA733DB">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8</w:t>
            </w:r>
            <w:r>
              <w:rPr>
                <w:rFonts w:hint="eastAsia" w:ascii="宋体" w:hAnsi="宋体"/>
                <w:bCs/>
                <w:color w:val="auto"/>
                <w:sz w:val="24"/>
                <w:szCs w:val="24"/>
                <w:highlight w:val="none"/>
              </w:rPr>
              <w:t>.网络接口：≥1</w:t>
            </w:r>
          </w:p>
          <w:p w14:paraId="2EB376D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29</w:t>
            </w:r>
            <w:r>
              <w:rPr>
                <w:rFonts w:hint="eastAsia" w:ascii="宋体" w:hAnsi="宋体"/>
                <w:bCs/>
                <w:color w:val="auto"/>
                <w:sz w:val="24"/>
                <w:szCs w:val="24"/>
                <w:highlight w:val="none"/>
              </w:rPr>
              <w:t>.关键部件安全要求：CPU和操作系统等关键部件应当符合安全可靠测评要求</w:t>
            </w:r>
          </w:p>
          <w:p w14:paraId="75CC9C2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3</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.整机质量服务要求：免费服务周期（含换件和维修）≥ 3 年</w:t>
            </w:r>
          </w:p>
        </w:tc>
        <w:tc>
          <w:tcPr>
            <w:tcW w:w="899" w:type="dxa"/>
            <w:tcBorders>
              <w:tl2br w:val="nil"/>
              <w:tr2bl w:val="nil"/>
            </w:tcBorders>
            <w:noWrap w:val="0"/>
            <w:vAlign w:val="center"/>
          </w:tcPr>
          <w:p w14:paraId="55286685">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88" w:type="dxa"/>
            <w:tcBorders>
              <w:tl2br w:val="nil"/>
              <w:tr2bl w:val="nil"/>
            </w:tcBorders>
            <w:noWrap w:val="0"/>
            <w:vAlign w:val="center"/>
          </w:tcPr>
          <w:p w14:paraId="7AA776D2">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63" w:type="dxa"/>
            <w:tcBorders>
              <w:tl2br w:val="nil"/>
              <w:tr2bl w:val="nil"/>
            </w:tcBorders>
            <w:noWrap w:val="0"/>
            <w:vAlign w:val="top"/>
          </w:tcPr>
          <w:p w14:paraId="51BC62CC">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7057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top"/>
          </w:tcPr>
          <w:p w14:paraId="2838B583">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3</w:t>
            </w:r>
          </w:p>
        </w:tc>
        <w:tc>
          <w:tcPr>
            <w:tcW w:w="1173" w:type="dxa"/>
            <w:tcBorders>
              <w:tl2br w:val="nil"/>
              <w:tr2bl w:val="nil"/>
            </w:tcBorders>
            <w:noWrap w:val="0"/>
            <w:vAlign w:val="center"/>
          </w:tcPr>
          <w:p w14:paraId="26D15092">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笔记本电脑</w:t>
            </w:r>
          </w:p>
        </w:tc>
        <w:tc>
          <w:tcPr>
            <w:tcW w:w="4900" w:type="dxa"/>
            <w:tcBorders>
              <w:tl2br w:val="nil"/>
              <w:tr2bl w:val="nil"/>
            </w:tcBorders>
            <w:noWrap w:val="0"/>
            <w:vAlign w:val="top"/>
          </w:tcPr>
          <w:p w14:paraId="6F472AD8">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1.显示屏尺寸（英寸）：≥14-14.9</w:t>
            </w:r>
          </w:p>
          <w:p w14:paraId="68360C4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2.显示屏分辨率：≥1920*1080</w:t>
            </w:r>
          </w:p>
          <w:p w14:paraId="709FCB3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.CPU物理核数：≥8</w:t>
            </w:r>
          </w:p>
          <w:p w14:paraId="4D1F9E41">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4</w:t>
            </w:r>
            <w:r>
              <w:rPr>
                <w:rFonts w:hint="eastAsia" w:ascii="宋体" w:hAnsi="宋体"/>
                <w:bCs/>
                <w:color w:val="auto"/>
                <w:sz w:val="24"/>
                <w:szCs w:val="24"/>
                <w:highlight w:val="none"/>
              </w:rPr>
              <w:t>.CPU主频（基准时钟频率）GHz：</w:t>
            </w:r>
          </w:p>
          <w:p w14:paraId="0A4F21B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≥3.1</w:t>
            </w:r>
          </w:p>
          <w:p w14:paraId="07DE2BC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.固态存储容量：≥512GB</w:t>
            </w:r>
          </w:p>
          <w:p w14:paraId="73D32C3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.内存配置容量：≥16GB</w:t>
            </w:r>
          </w:p>
          <w:p w14:paraId="0098BB69">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7</w:t>
            </w:r>
            <w:r>
              <w:rPr>
                <w:rFonts w:hint="eastAsia" w:ascii="宋体" w:hAnsi="宋体"/>
                <w:bCs/>
                <w:color w:val="auto"/>
                <w:sz w:val="24"/>
                <w:szCs w:val="24"/>
                <w:highlight w:val="none"/>
              </w:rPr>
              <w:t>.内存读写速率：≥2666MT/s</w:t>
            </w:r>
          </w:p>
          <w:p w14:paraId="61EF710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8</w:t>
            </w:r>
            <w:r>
              <w:rPr>
                <w:rFonts w:hint="eastAsia" w:ascii="宋体" w:hAnsi="宋体"/>
                <w:bCs/>
                <w:color w:val="auto"/>
                <w:sz w:val="24"/>
                <w:szCs w:val="24"/>
                <w:highlight w:val="none"/>
              </w:rPr>
              <w:t>.内存插槽数量（板载内存不涉及）：≥1</w:t>
            </w:r>
          </w:p>
          <w:p w14:paraId="28BA6BDB">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9</w:t>
            </w:r>
            <w:r>
              <w:rPr>
                <w:rFonts w:hint="eastAsia" w:ascii="宋体" w:hAnsi="宋体"/>
                <w:bCs/>
                <w:color w:val="auto"/>
                <w:sz w:val="24"/>
                <w:szCs w:val="24"/>
                <w:highlight w:val="none"/>
              </w:rPr>
              <w:t>.显卡类型：集成显卡</w:t>
            </w:r>
          </w:p>
          <w:p w14:paraId="580739E1">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.光驱类型：DVDRW</w:t>
            </w:r>
          </w:p>
          <w:p w14:paraId="04D7458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.光驱接口：USB（外置）或SATA</w:t>
            </w:r>
          </w:p>
          <w:p w14:paraId="5B80992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rPr>
              <w:t>.有线网卡：10/100/1000M自适应（可转接，需提供转接线）</w:t>
            </w:r>
          </w:p>
          <w:p w14:paraId="399E1C38">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.USB接口数量：≥3个，至少包含1个USB3.0及以上标准接口，USB Type-C接口数量≥1</w:t>
            </w:r>
          </w:p>
          <w:p w14:paraId="437D9B0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4</w:t>
            </w:r>
            <w:r>
              <w:rPr>
                <w:rFonts w:hint="eastAsia" w:ascii="宋体" w:hAnsi="宋体"/>
                <w:bCs/>
                <w:color w:val="auto"/>
                <w:sz w:val="24"/>
                <w:szCs w:val="24"/>
                <w:highlight w:val="none"/>
              </w:rPr>
              <w:t>.预装操作系统：麒麟/统信UOS/中科方德/其他符合安全可靠测评要求的操作系统</w:t>
            </w:r>
          </w:p>
          <w:p w14:paraId="1A12447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.电池额定能量：≥50WH</w:t>
            </w:r>
          </w:p>
          <w:p w14:paraId="5ED13AF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.机身颜色：黑色/灰色/银色等商务色系</w:t>
            </w:r>
          </w:p>
          <w:p w14:paraId="21290612">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val="en-US" w:eastAsia="zh-CN"/>
              </w:rPr>
              <w:t>7</w:t>
            </w:r>
            <w:r>
              <w:rPr>
                <w:rFonts w:hint="eastAsia" w:ascii="宋体" w:hAnsi="宋体"/>
                <w:bCs/>
                <w:color w:val="auto"/>
                <w:sz w:val="24"/>
                <w:szCs w:val="24"/>
                <w:highlight w:val="none"/>
              </w:rPr>
              <w:t>.机身材质：双面合金/碳纤维</w:t>
            </w:r>
          </w:p>
          <w:p w14:paraId="7F1AF9AF">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18</w:t>
            </w:r>
            <w:r>
              <w:rPr>
                <w:rFonts w:hint="eastAsia" w:ascii="宋体" w:hAnsi="宋体"/>
                <w:bCs/>
                <w:color w:val="auto"/>
                <w:sz w:val="24"/>
                <w:szCs w:val="24"/>
                <w:highlight w:val="none"/>
              </w:rPr>
              <w:t>.整机重量：≤1.7kg</w:t>
            </w:r>
          </w:p>
          <w:p w14:paraId="5DA4401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19</w:t>
            </w:r>
            <w:r>
              <w:rPr>
                <w:rFonts w:hint="eastAsia" w:ascii="宋体" w:hAnsi="宋体"/>
                <w:bCs/>
                <w:color w:val="auto"/>
                <w:sz w:val="24"/>
                <w:szCs w:val="24"/>
                <w:highlight w:val="none"/>
              </w:rPr>
              <w:t>.整机厚度（不含脚垫）：≤20mm</w:t>
            </w:r>
          </w:p>
          <w:p w14:paraId="7A00E9BA">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.电脑包：黑色/灰色/银色等商务色系</w:t>
            </w:r>
          </w:p>
          <w:p w14:paraId="187CD80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.摄像头数量：≥1个</w:t>
            </w:r>
          </w:p>
          <w:p w14:paraId="7E133252">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rPr>
              <w:t>.摄像头像素：≥100万</w:t>
            </w:r>
          </w:p>
          <w:p w14:paraId="2E41C8A0">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.摄像头分辨率：≥1280×720</w:t>
            </w:r>
          </w:p>
          <w:p w14:paraId="078E14F3">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4</w:t>
            </w:r>
            <w:r>
              <w:rPr>
                <w:rFonts w:hint="eastAsia" w:ascii="宋体" w:hAnsi="宋体"/>
                <w:bCs/>
                <w:color w:val="auto"/>
                <w:sz w:val="24"/>
                <w:szCs w:val="24"/>
                <w:highlight w:val="none"/>
              </w:rPr>
              <w:t>.显示屏色准：最大△E ≤4</w:t>
            </w:r>
          </w:p>
          <w:p w14:paraId="401D90A4">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.鼠标：有线USB接口</w:t>
            </w:r>
          </w:p>
          <w:p w14:paraId="45CDE05E">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.关键部件安全要求：CPU和操作系统等关键部件应当符合安全可靠测评要求</w:t>
            </w:r>
          </w:p>
          <w:p w14:paraId="2204B449">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27</w:t>
            </w:r>
            <w:r>
              <w:rPr>
                <w:rFonts w:hint="eastAsia" w:ascii="宋体" w:hAnsi="宋体"/>
                <w:bCs/>
                <w:color w:val="auto"/>
                <w:sz w:val="24"/>
                <w:szCs w:val="24"/>
                <w:highlight w:val="none"/>
              </w:rPr>
              <w:t>.整机质量服务要求：</w:t>
            </w:r>
            <w:r>
              <w:rPr>
                <w:rFonts w:hint="eastAsia" w:ascii="宋体" w:hAnsi="宋体"/>
                <w:bCs/>
                <w:color w:val="auto"/>
                <w:sz w:val="24"/>
                <w:szCs w:val="24"/>
                <w:highlight w:val="none"/>
                <w:lang w:val="en-US" w:eastAsia="zh-CN"/>
              </w:rPr>
              <w:t>免</w:t>
            </w:r>
            <w:r>
              <w:rPr>
                <w:rFonts w:hint="eastAsia" w:ascii="宋体" w:hAnsi="宋体"/>
                <w:bCs/>
                <w:color w:val="auto"/>
                <w:sz w:val="24"/>
                <w:szCs w:val="24"/>
                <w:highlight w:val="none"/>
              </w:rPr>
              <w:t>费服务周期（含换件和维修）≥ 3 年</w:t>
            </w:r>
          </w:p>
        </w:tc>
        <w:tc>
          <w:tcPr>
            <w:tcW w:w="899" w:type="dxa"/>
            <w:tcBorders>
              <w:tl2br w:val="nil"/>
              <w:tr2bl w:val="nil"/>
            </w:tcBorders>
            <w:noWrap w:val="0"/>
            <w:vAlign w:val="center"/>
          </w:tcPr>
          <w:p w14:paraId="0E4F148B">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988" w:type="dxa"/>
            <w:tcBorders>
              <w:tl2br w:val="nil"/>
              <w:tr2bl w:val="nil"/>
            </w:tcBorders>
            <w:noWrap w:val="0"/>
            <w:vAlign w:val="center"/>
          </w:tcPr>
          <w:p w14:paraId="13B8DAC4">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63" w:type="dxa"/>
            <w:tcBorders>
              <w:tl2br w:val="nil"/>
              <w:tr2bl w:val="nil"/>
            </w:tcBorders>
            <w:noWrap w:val="0"/>
            <w:vAlign w:val="top"/>
          </w:tcPr>
          <w:p w14:paraId="555EE3D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393D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top"/>
          </w:tcPr>
          <w:p w14:paraId="09C1DAC2">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4</w:t>
            </w:r>
          </w:p>
        </w:tc>
        <w:tc>
          <w:tcPr>
            <w:tcW w:w="1173" w:type="dxa"/>
            <w:tcBorders>
              <w:tl2br w:val="nil"/>
              <w:tr2bl w:val="nil"/>
            </w:tcBorders>
            <w:noWrap w:val="0"/>
            <w:vAlign w:val="center"/>
          </w:tcPr>
          <w:p w14:paraId="490F666E">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打印复印一体机</w:t>
            </w:r>
          </w:p>
        </w:tc>
        <w:tc>
          <w:tcPr>
            <w:tcW w:w="4900" w:type="dxa"/>
            <w:tcBorders>
              <w:tl2br w:val="nil"/>
              <w:tr2bl w:val="nil"/>
            </w:tcBorders>
            <w:noWrap w:val="0"/>
            <w:vAlign w:val="top"/>
          </w:tcPr>
          <w:p w14:paraId="4D1872CF">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产品功能：打印 复印 扫描</w:t>
            </w:r>
          </w:p>
          <w:p w14:paraId="2D306D3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打印分辨率(dpi)：600 * 600 DPI，1200 * 600 DPI（增强模式）</w:t>
            </w:r>
          </w:p>
          <w:p w14:paraId="6AD2AEFB">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耗材类型：鼓粉分离式</w:t>
            </w:r>
          </w:p>
          <w:p w14:paraId="27CD9DC4">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远程打印方式：不支持</w:t>
            </w:r>
          </w:p>
          <w:p w14:paraId="36EE4DB5">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最大幅面;A4</w:t>
            </w:r>
          </w:p>
          <w:p w14:paraId="205C8573">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是否支持自动双面打印；是</w:t>
            </w:r>
          </w:p>
          <w:p w14:paraId="6280CD3F">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是否支持网络打印;是</w:t>
            </w:r>
          </w:p>
          <w:p w14:paraId="6C3B64D9">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接口类型:USB2.0</w:t>
            </w:r>
          </w:p>
          <w:p w14:paraId="0431D8D7">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能效等级:二级 </w:t>
            </w:r>
          </w:p>
          <w:p w14:paraId="3C700ABE">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处理器频率 :(MHz)1</w:t>
            </w:r>
          </w:p>
          <w:p w14:paraId="5716190E">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产品类型；黑白激光多功能一体机</w:t>
            </w:r>
          </w:p>
          <w:p w14:paraId="50586D30">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复印缩放;25-400%</w:t>
            </w:r>
          </w:p>
          <w:p w14:paraId="360D2C5F">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产品尺寸（长*宽*高）(mm)；长367mm；宽320mm；高288mm</w:t>
            </w:r>
          </w:p>
          <w:p w14:paraId="598A1A9D">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自动双面打印速度;25-34页/分</w:t>
            </w:r>
          </w:p>
          <w:p w14:paraId="12DA752D">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复印分辨率 (dpi)；600</w:t>
            </w:r>
          </w:p>
          <w:p w14:paraId="6F0EC52E">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供纸盒容量 (张):150</w:t>
            </w:r>
          </w:p>
          <w:p w14:paraId="002E8D3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网络打印:是</w:t>
            </w:r>
          </w:p>
          <w:p w14:paraId="711473D6">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月打印负荷 (页):30000</w:t>
            </w:r>
          </w:p>
          <w:p w14:paraId="646831D1">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黑白打印速度 (页/分钟)；25-34页/分</w:t>
            </w:r>
          </w:p>
          <w:p w14:paraId="28B3A750">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灰度等级 (级)：14级</w:t>
            </w:r>
          </w:p>
          <w:p w14:paraId="1D2BC5A9">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扫描尺寸(长*宽) (mm)：A4</w:t>
            </w:r>
          </w:p>
          <w:p w14:paraId="290C5614">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扫描分辨率 (dpi)：1200 DPI</w:t>
            </w:r>
          </w:p>
          <w:p w14:paraId="6CF60D54">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扫描速度： (页/分钟)300DP1:17.0秒 600DP1:33.2秒 1200DP1:80.15秒</w:t>
            </w:r>
          </w:p>
          <w:p w14:paraId="48F29407">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最大复印页数 (页)：99 </w:t>
            </w:r>
          </w:p>
          <w:p w14:paraId="5978A59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整机保修期限 (个月)：12</w:t>
            </w:r>
          </w:p>
          <w:p w14:paraId="3A1F42A2">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质保时间 (个月)：36</w:t>
            </w:r>
          </w:p>
          <w:p w14:paraId="6D412890">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主要部件保修期限 (个月)：12</w:t>
            </w:r>
          </w:p>
          <w:p w14:paraId="00658488">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颜色分类：灰</w:t>
            </w:r>
          </w:p>
          <w:p w14:paraId="6219CED6">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适配系统：麒麟/统信/Windows</w:t>
            </w:r>
          </w:p>
        </w:tc>
        <w:tc>
          <w:tcPr>
            <w:tcW w:w="899" w:type="dxa"/>
            <w:tcBorders>
              <w:tl2br w:val="nil"/>
              <w:tr2bl w:val="nil"/>
            </w:tcBorders>
            <w:noWrap w:val="0"/>
            <w:vAlign w:val="center"/>
          </w:tcPr>
          <w:p w14:paraId="2412FB61">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88" w:type="dxa"/>
            <w:tcBorders>
              <w:tl2br w:val="nil"/>
              <w:tr2bl w:val="nil"/>
            </w:tcBorders>
            <w:noWrap w:val="0"/>
            <w:vAlign w:val="center"/>
          </w:tcPr>
          <w:p w14:paraId="7FB2D73F">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63" w:type="dxa"/>
            <w:tcBorders>
              <w:tl2br w:val="nil"/>
              <w:tr2bl w:val="nil"/>
            </w:tcBorders>
            <w:noWrap w:val="0"/>
            <w:vAlign w:val="top"/>
          </w:tcPr>
          <w:p w14:paraId="7572C79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232D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center"/>
          </w:tcPr>
          <w:p w14:paraId="2D0BB521">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5</w:t>
            </w:r>
          </w:p>
        </w:tc>
        <w:tc>
          <w:tcPr>
            <w:tcW w:w="1173" w:type="dxa"/>
            <w:tcBorders>
              <w:tl2br w:val="nil"/>
              <w:tr2bl w:val="nil"/>
            </w:tcBorders>
            <w:noWrap w:val="0"/>
            <w:vAlign w:val="center"/>
          </w:tcPr>
          <w:p w14:paraId="3F305D8C">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55英寸电视机（含普通挂架及安装）</w:t>
            </w:r>
          </w:p>
        </w:tc>
        <w:tc>
          <w:tcPr>
            <w:tcW w:w="4900" w:type="dxa"/>
            <w:tcBorders>
              <w:tl2br w:val="nil"/>
              <w:tr2bl w:val="nil"/>
            </w:tcBorders>
            <w:noWrap w:val="0"/>
            <w:vAlign w:val="top"/>
          </w:tcPr>
          <w:p w14:paraId="0AA7B92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中央处理器 :</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四核</w:t>
            </w:r>
          </w:p>
          <w:p w14:paraId="0EDD06E2">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 xml:space="preserve"> 传输接口: </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HDMI2.0*2</w:t>
            </w:r>
          </w:p>
          <w:p w14:paraId="5A5C16A1">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 xml:space="preserve">内存: </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2GB</w:t>
            </w:r>
          </w:p>
        </w:tc>
        <w:tc>
          <w:tcPr>
            <w:tcW w:w="899" w:type="dxa"/>
            <w:tcBorders>
              <w:tl2br w:val="nil"/>
              <w:tr2bl w:val="nil"/>
            </w:tcBorders>
            <w:noWrap w:val="0"/>
            <w:vAlign w:val="center"/>
          </w:tcPr>
          <w:p w14:paraId="7D402663">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88" w:type="dxa"/>
            <w:tcBorders>
              <w:tl2br w:val="nil"/>
              <w:tr2bl w:val="nil"/>
            </w:tcBorders>
            <w:noWrap w:val="0"/>
            <w:vAlign w:val="center"/>
          </w:tcPr>
          <w:p w14:paraId="1657A958">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663" w:type="dxa"/>
            <w:tcBorders>
              <w:tl2br w:val="nil"/>
              <w:tr2bl w:val="nil"/>
            </w:tcBorders>
            <w:noWrap w:val="0"/>
            <w:vAlign w:val="top"/>
          </w:tcPr>
          <w:p w14:paraId="144E3EE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34D2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center"/>
          </w:tcPr>
          <w:p w14:paraId="2C55F2C6">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6</w:t>
            </w:r>
          </w:p>
        </w:tc>
        <w:tc>
          <w:tcPr>
            <w:tcW w:w="1173" w:type="dxa"/>
            <w:tcBorders>
              <w:tl2br w:val="nil"/>
              <w:tr2bl w:val="nil"/>
            </w:tcBorders>
            <w:noWrap w:val="0"/>
            <w:vAlign w:val="center"/>
          </w:tcPr>
          <w:p w14:paraId="040FEE9D">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75英寸电视机（含普通挂架及安装）</w:t>
            </w:r>
          </w:p>
        </w:tc>
        <w:tc>
          <w:tcPr>
            <w:tcW w:w="4900" w:type="dxa"/>
            <w:tcBorders>
              <w:tl2br w:val="nil"/>
              <w:tr2bl w:val="nil"/>
            </w:tcBorders>
            <w:noWrap w:val="0"/>
            <w:vAlign w:val="top"/>
          </w:tcPr>
          <w:p w14:paraId="27875580">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中央处理器 :</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四核</w:t>
            </w:r>
          </w:p>
          <w:p w14:paraId="40407128">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 xml:space="preserve">传输接口: </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HDMI2.0*2</w:t>
            </w:r>
          </w:p>
          <w:p w14:paraId="1B4FA72D">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 xml:space="preserve">内存: </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2GB</w:t>
            </w:r>
          </w:p>
        </w:tc>
        <w:tc>
          <w:tcPr>
            <w:tcW w:w="899" w:type="dxa"/>
            <w:tcBorders>
              <w:tl2br w:val="nil"/>
              <w:tr2bl w:val="nil"/>
            </w:tcBorders>
            <w:noWrap w:val="0"/>
            <w:vAlign w:val="center"/>
          </w:tcPr>
          <w:p w14:paraId="68BA9CB0">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88" w:type="dxa"/>
            <w:tcBorders>
              <w:tl2br w:val="nil"/>
              <w:tr2bl w:val="nil"/>
            </w:tcBorders>
            <w:noWrap w:val="0"/>
            <w:vAlign w:val="center"/>
          </w:tcPr>
          <w:p w14:paraId="2EB51ADB">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63" w:type="dxa"/>
            <w:tcBorders>
              <w:tl2br w:val="nil"/>
              <w:tr2bl w:val="nil"/>
            </w:tcBorders>
            <w:noWrap w:val="0"/>
            <w:vAlign w:val="top"/>
          </w:tcPr>
          <w:p w14:paraId="446E8863">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3B02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center"/>
          </w:tcPr>
          <w:p w14:paraId="1E80F938">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7</w:t>
            </w:r>
          </w:p>
        </w:tc>
        <w:tc>
          <w:tcPr>
            <w:tcW w:w="1173" w:type="dxa"/>
            <w:tcBorders>
              <w:tl2br w:val="nil"/>
              <w:tr2bl w:val="nil"/>
            </w:tcBorders>
            <w:noWrap w:val="0"/>
            <w:vAlign w:val="center"/>
          </w:tcPr>
          <w:p w14:paraId="338ED1D1">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10Kg滚筒洗衣机</w:t>
            </w:r>
          </w:p>
        </w:tc>
        <w:tc>
          <w:tcPr>
            <w:tcW w:w="4900" w:type="dxa"/>
            <w:tcBorders>
              <w:tl2br w:val="nil"/>
              <w:tr2bl w:val="nil"/>
            </w:tcBorders>
            <w:noWrap w:val="0"/>
            <w:vAlign w:val="top"/>
          </w:tcPr>
          <w:p w14:paraId="35ACE438">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额定容量：</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10KG</w:t>
            </w:r>
          </w:p>
          <w:p w14:paraId="5E5C5E82">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额定功率：</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1800W</w:t>
            </w:r>
          </w:p>
          <w:p w14:paraId="324A3E8F">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能效：二级（含二级以上）</w:t>
            </w:r>
          </w:p>
          <w:p w14:paraId="2432266E">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工作方式：变频</w:t>
            </w:r>
          </w:p>
        </w:tc>
        <w:tc>
          <w:tcPr>
            <w:tcW w:w="899" w:type="dxa"/>
            <w:tcBorders>
              <w:tl2br w:val="nil"/>
              <w:tr2bl w:val="nil"/>
            </w:tcBorders>
            <w:noWrap w:val="0"/>
            <w:vAlign w:val="center"/>
          </w:tcPr>
          <w:p w14:paraId="30A2E3A0">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88" w:type="dxa"/>
            <w:tcBorders>
              <w:tl2br w:val="nil"/>
              <w:tr2bl w:val="nil"/>
            </w:tcBorders>
            <w:noWrap w:val="0"/>
            <w:vAlign w:val="center"/>
          </w:tcPr>
          <w:p w14:paraId="09F9FDA9">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63" w:type="dxa"/>
            <w:tcBorders>
              <w:tl2br w:val="nil"/>
              <w:tr2bl w:val="nil"/>
            </w:tcBorders>
            <w:noWrap w:val="0"/>
            <w:vAlign w:val="top"/>
          </w:tcPr>
          <w:p w14:paraId="5E7A8D4B">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49F1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center"/>
          </w:tcPr>
          <w:p w14:paraId="190AEEEA">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eastAsia="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8</w:t>
            </w:r>
          </w:p>
        </w:tc>
        <w:tc>
          <w:tcPr>
            <w:tcW w:w="1173" w:type="dxa"/>
            <w:tcBorders>
              <w:tl2br w:val="nil"/>
              <w:tr2bl w:val="nil"/>
            </w:tcBorders>
            <w:noWrap w:val="0"/>
            <w:vAlign w:val="center"/>
          </w:tcPr>
          <w:p w14:paraId="5494E53A">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10Kg烘干机</w:t>
            </w:r>
          </w:p>
        </w:tc>
        <w:tc>
          <w:tcPr>
            <w:tcW w:w="4900" w:type="dxa"/>
            <w:tcBorders>
              <w:tl2br w:val="nil"/>
              <w:tr2bl w:val="nil"/>
            </w:tcBorders>
            <w:noWrap w:val="0"/>
            <w:vAlign w:val="top"/>
          </w:tcPr>
          <w:p w14:paraId="1D0A0A49">
            <w:pPr>
              <w:keepNext w:val="0"/>
              <w:keepLines w:val="0"/>
              <w:pageBreakBefore w:val="0"/>
              <w:widowControl w:val="0"/>
              <w:tabs>
                <w:tab w:val="left" w:pos="1016"/>
              </w:tabs>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lang w:eastAsia="zh-CN"/>
              </w:rPr>
            </w:pPr>
            <w:r>
              <w:rPr>
                <w:rFonts w:hint="eastAsia" w:ascii="宋体" w:hAnsi="宋体"/>
                <w:bCs/>
                <w:color w:val="auto"/>
                <w:sz w:val="24"/>
                <w:szCs w:val="24"/>
                <w:highlight w:val="none"/>
                <w:lang w:eastAsia="zh-CN"/>
              </w:rPr>
              <w:t>额定容量：≥10KG</w:t>
            </w:r>
          </w:p>
          <w:p w14:paraId="49636253">
            <w:pPr>
              <w:keepNext w:val="0"/>
              <w:keepLines w:val="0"/>
              <w:pageBreakBefore w:val="0"/>
              <w:widowControl w:val="0"/>
              <w:tabs>
                <w:tab w:val="left" w:pos="1016"/>
              </w:tabs>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lang w:eastAsia="zh-CN"/>
              </w:rPr>
            </w:pPr>
            <w:r>
              <w:rPr>
                <w:rFonts w:hint="eastAsia" w:ascii="宋体" w:hAnsi="宋体"/>
                <w:bCs/>
                <w:color w:val="auto"/>
                <w:sz w:val="24"/>
                <w:szCs w:val="24"/>
                <w:highlight w:val="none"/>
                <w:lang w:eastAsia="zh-CN"/>
              </w:rPr>
              <w:t>额定功率：≤700W</w:t>
            </w:r>
          </w:p>
          <w:p w14:paraId="1C395FE0">
            <w:pPr>
              <w:keepNext w:val="0"/>
              <w:keepLines w:val="0"/>
              <w:pageBreakBefore w:val="0"/>
              <w:widowControl w:val="0"/>
              <w:tabs>
                <w:tab w:val="left" w:pos="1016"/>
              </w:tabs>
              <w:kinsoku/>
              <w:wordWrap/>
              <w:overflowPunct/>
              <w:topLinePunct w:val="0"/>
              <w:bidi w:val="0"/>
              <w:adjustRightInd/>
              <w:snapToGrid/>
              <w:spacing w:line="240" w:lineRule="auto"/>
              <w:jc w:val="both"/>
              <w:textAlignment w:val="auto"/>
              <w:rPr>
                <w:rFonts w:hint="eastAsia" w:ascii="宋体" w:hAnsi="宋体" w:eastAsia="宋体"/>
                <w:bCs/>
                <w:color w:val="auto"/>
                <w:sz w:val="24"/>
                <w:szCs w:val="24"/>
                <w:highlight w:val="none"/>
                <w:lang w:eastAsia="zh-CN"/>
              </w:rPr>
            </w:pPr>
            <w:r>
              <w:rPr>
                <w:rFonts w:hint="eastAsia" w:ascii="宋体" w:hAnsi="宋体"/>
                <w:bCs/>
                <w:color w:val="auto"/>
                <w:sz w:val="24"/>
                <w:szCs w:val="24"/>
                <w:highlight w:val="none"/>
                <w:lang w:eastAsia="zh-CN"/>
              </w:rPr>
              <w:t>工作方式：变频</w:t>
            </w:r>
          </w:p>
        </w:tc>
        <w:tc>
          <w:tcPr>
            <w:tcW w:w="899" w:type="dxa"/>
            <w:tcBorders>
              <w:tl2br w:val="nil"/>
              <w:tr2bl w:val="nil"/>
            </w:tcBorders>
            <w:noWrap w:val="0"/>
            <w:vAlign w:val="center"/>
          </w:tcPr>
          <w:p w14:paraId="399A9004">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88" w:type="dxa"/>
            <w:tcBorders>
              <w:tl2br w:val="nil"/>
              <w:tr2bl w:val="nil"/>
            </w:tcBorders>
            <w:noWrap w:val="0"/>
            <w:vAlign w:val="center"/>
          </w:tcPr>
          <w:p w14:paraId="66F0175A">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63" w:type="dxa"/>
            <w:tcBorders>
              <w:tl2br w:val="nil"/>
              <w:tr2bl w:val="nil"/>
            </w:tcBorders>
            <w:noWrap w:val="0"/>
            <w:vAlign w:val="top"/>
          </w:tcPr>
          <w:p w14:paraId="11C5780B">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46F9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7" w:type="dxa"/>
            <w:tcBorders>
              <w:tl2br w:val="nil"/>
              <w:tr2bl w:val="nil"/>
            </w:tcBorders>
            <w:noWrap w:val="0"/>
            <w:vAlign w:val="center"/>
          </w:tcPr>
          <w:p w14:paraId="0BA3F039">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9</w:t>
            </w:r>
          </w:p>
        </w:tc>
        <w:tc>
          <w:tcPr>
            <w:tcW w:w="1173" w:type="dxa"/>
            <w:tcBorders>
              <w:tl2br w:val="nil"/>
              <w:tr2bl w:val="nil"/>
            </w:tcBorders>
            <w:noWrap w:val="0"/>
            <w:vAlign w:val="center"/>
          </w:tcPr>
          <w:p w14:paraId="018F472D">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80L热水器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(含辅材及安装）</w:t>
            </w:r>
          </w:p>
        </w:tc>
        <w:tc>
          <w:tcPr>
            <w:tcW w:w="4900" w:type="dxa"/>
            <w:tcBorders>
              <w:tl2br w:val="nil"/>
              <w:tr2bl w:val="nil"/>
            </w:tcBorders>
            <w:noWrap w:val="0"/>
            <w:vAlign w:val="top"/>
          </w:tcPr>
          <w:p w14:paraId="29891456">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额定压力：</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 xml:space="preserve">0.8MPa </w:t>
            </w:r>
          </w:p>
          <w:p w14:paraId="10991520">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额定温度：</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75℃</w:t>
            </w:r>
          </w:p>
          <w:p w14:paraId="14FBD596">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额定功率：</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 xml:space="preserve">3300W </w:t>
            </w:r>
          </w:p>
          <w:p w14:paraId="4CE1054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能效二级以上（含二级）</w:t>
            </w:r>
          </w:p>
          <w:p w14:paraId="5767F9CB">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工作方式：变频</w:t>
            </w:r>
          </w:p>
        </w:tc>
        <w:tc>
          <w:tcPr>
            <w:tcW w:w="899" w:type="dxa"/>
            <w:tcBorders>
              <w:tl2br w:val="nil"/>
              <w:tr2bl w:val="nil"/>
            </w:tcBorders>
            <w:noWrap w:val="0"/>
            <w:vAlign w:val="center"/>
          </w:tcPr>
          <w:p w14:paraId="1C1485EA">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88" w:type="dxa"/>
            <w:tcBorders>
              <w:tl2br w:val="nil"/>
              <w:tr2bl w:val="nil"/>
            </w:tcBorders>
            <w:noWrap w:val="0"/>
            <w:vAlign w:val="center"/>
          </w:tcPr>
          <w:p w14:paraId="6657AB02">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63" w:type="dxa"/>
            <w:tcBorders>
              <w:tl2br w:val="nil"/>
              <w:tr2bl w:val="nil"/>
            </w:tcBorders>
            <w:noWrap w:val="0"/>
            <w:vAlign w:val="top"/>
          </w:tcPr>
          <w:p w14:paraId="1E3315AF">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tc>
      </w:tr>
      <w:tr w14:paraId="0BFF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657" w:type="dxa"/>
            <w:tcBorders>
              <w:tl2br w:val="nil"/>
              <w:tr2bl w:val="nil"/>
            </w:tcBorders>
            <w:noWrap w:val="0"/>
            <w:vAlign w:val="top"/>
          </w:tcPr>
          <w:p w14:paraId="0CF04765">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宋体" w:cs="宋体"/>
                <w:bCs/>
                <w:color w:val="auto"/>
                <w:sz w:val="24"/>
                <w:szCs w:val="24"/>
                <w:highlight w:val="none"/>
                <w:vertAlign w:val="baseline"/>
                <w:lang w:val="en-US" w:eastAsia="zh-CN" w:bidi="ar-SA"/>
              </w:rPr>
            </w:pPr>
            <w:r>
              <w:rPr>
                <w:rFonts w:hint="eastAsia" w:ascii="宋体" w:cs="宋体"/>
                <w:bCs/>
                <w:color w:val="auto"/>
                <w:sz w:val="24"/>
                <w:szCs w:val="24"/>
                <w:highlight w:val="none"/>
                <w:vertAlign w:val="baseline"/>
                <w:lang w:val="en-US" w:eastAsia="zh-CN" w:bidi="ar-SA"/>
              </w:rPr>
              <w:t>10</w:t>
            </w:r>
          </w:p>
        </w:tc>
        <w:tc>
          <w:tcPr>
            <w:tcW w:w="1173" w:type="dxa"/>
            <w:tcBorders>
              <w:tl2br w:val="nil"/>
              <w:tr2bl w:val="nil"/>
            </w:tcBorders>
            <w:noWrap w:val="0"/>
            <w:vAlign w:val="center"/>
          </w:tcPr>
          <w:p w14:paraId="4EA600DE">
            <w:pPr>
              <w:keepNext w:val="0"/>
              <w:keepLines w:val="0"/>
              <w:widowControl/>
              <w:suppressLineNumbers w:val="0"/>
              <w:jc w:val="left"/>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水带晾晒机器</w:t>
            </w:r>
          </w:p>
        </w:tc>
        <w:tc>
          <w:tcPr>
            <w:tcW w:w="4900" w:type="dxa"/>
            <w:tcBorders>
              <w:tl2br w:val="nil"/>
              <w:tr2bl w:val="nil"/>
            </w:tcBorders>
            <w:noWrap w:val="0"/>
            <w:vAlign w:val="top"/>
          </w:tcPr>
          <w:p w14:paraId="722435FF">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国标H型主钢材：16#H大方钢11米*2根，电机大梁1根，φ60热镀锌管5米一根，矩形方钢5米一根，各类加强筋等。</w:t>
            </w:r>
          </w:p>
          <w:p w14:paraId="77B2D2B2">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升降电机（配遥控器）：负载400KG</w:t>
            </w:r>
          </w:p>
          <w:p w14:paraId="1839C114">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SUS304防水罩：自动化定制</w:t>
            </w:r>
          </w:p>
          <w:p w14:paraId="5C38891A">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油漆：主蓝色、辅红色</w:t>
            </w:r>
          </w:p>
          <w:p w14:paraId="73522164">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消防带挂扣横梁：3米方钢(一根），粗实心挂绳，卡扣等</w:t>
            </w:r>
          </w:p>
        </w:tc>
        <w:tc>
          <w:tcPr>
            <w:tcW w:w="899" w:type="dxa"/>
            <w:tcBorders>
              <w:tl2br w:val="nil"/>
              <w:tr2bl w:val="nil"/>
            </w:tcBorders>
            <w:noWrap w:val="0"/>
            <w:vAlign w:val="center"/>
          </w:tcPr>
          <w:p w14:paraId="00E57708">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88" w:type="dxa"/>
            <w:tcBorders>
              <w:tl2br w:val="nil"/>
              <w:tr2bl w:val="nil"/>
            </w:tcBorders>
            <w:noWrap w:val="0"/>
            <w:vAlign w:val="center"/>
          </w:tcPr>
          <w:p w14:paraId="6B2A5020">
            <w:pPr>
              <w:keepNext w:val="0"/>
              <w:keepLines w:val="0"/>
              <w:widowControl/>
              <w:suppressLineNumbers w:val="0"/>
              <w:jc w:val="center"/>
              <w:textAlignment w:val="center"/>
              <w:rPr>
                <w:rFonts w:hint="eastAsia" w:ascii="宋体" w:hAnsi="宋体"/>
                <w:bCs/>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63" w:type="dxa"/>
            <w:tcBorders>
              <w:tl2br w:val="nil"/>
              <w:tr2bl w:val="nil"/>
            </w:tcBorders>
            <w:noWrap w:val="0"/>
            <w:vAlign w:val="top"/>
          </w:tcPr>
          <w:p w14:paraId="4E41360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bCs/>
                <w:color w:val="auto"/>
                <w:sz w:val="24"/>
                <w:highlight w:val="none"/>
              </w:rPr>
            </w:pPr>
          </w:p>
          <w:p w14:paraId="6F4F05D8">
            <w:pPr>
              <w:pStyle w:val="3"/>
              <w:rPr>
                <w:color w:val="auto"/>
                <w:highlight w:val="none"/>
              </w:rPr>
            </w:pPr>
            <w:r>
              <w:rPr>
                <w:color w:val="auto"/>
                <w:highlight w:val="none"/>
              </w:rPr>
              <w:drawing>
                <wp:inline distT="0" distB="0" distL="114300" distR="114300">
                  <wp:extent cx="514350" cy="473710"/>
                  <wp:effectExtent l="0" t="0" r="0" b="2540"/>
                  <wp:docPr id="103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2" descr="图片1"/>
                          <pic:cNvPicPr>
                            <a:picLocks noChangeAspect="1"/>
                          </pic:cNvPicPr>
                        </pic:nvPicPr>
                        <pic:blipFill>
                          <a:blip r:embed="rId48"/>
                          <a:stretch>
                            <a:fillRect/>
                          </a:stretch>
                        </pic:blipFill>
                        <pic:spPr>
                          <a:xfrm>
                            <a:off x="0" y="0"/>
                            <a:ext cx="514350" cy="473710"/>
                          </a:xfrm>
                          <a:prstGeom prst="rect">
                            <a:avLst/>
                          </a:prstGeom>
                          <a:noFill/>
                          <a:ln w="9525">
                            <a:noFill/>
                          </a:ln>
                        </pic:spPr>
                      </pic:pic>
                    </a:graphicData>
                  </a:graphic>
                </wp:inline>
              </w:drawing>
            </w:r>
          </w:p>
          <w:p w14:paraId="6F9D858C">
            <w:pPr>
              <w:rPr>
                <w:color w:val="auto"/>
                <w:highlight w:val="none"/>
              </w:rPr>
            </w:pPr>
            <w:r>
              <w:rPr>
                <w:color w:val="auto"/>
                <w:highlight w:val="none"/>
              </w:rPr>
              <w:drawing>
                <wp:inline distT="0" distB="0" distL="114300" distR="114300">
                  <wp:extent cx="188595" cy="376555"/>
                  <wp:effectExtent l="0" t="0" r="1905" b="4445"/>
                  <wp:docPr id="10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4"/>
                          <pic:cNvPicPr>
                            <a:picLocks noChangeAspect="1"/>
                          </pic:cNvPicPr>
                        </pic:nvPicPr>
                        <pic:blipFill>
                          <a:blip r:embed="rId49"/>
                          <a:stretch>
                            <a:fillRect/>
                          </a:stretch>
                        </pic:blipFill>
                        <pic:spPr>
                          <a:xfrm>
                            <a:off x="0" y="0"/>
                            <a:ext cx="188595" cy="376555"/>
                          </a:xfrm>
                          <a:prstGeom prst="rect">
                            <a:avLst/>
                          </a:prstGeom>
                          <a:noFill/>
                          <a:ln w="9525">
                            <a:noFill/>
                          </a:ln>
                        </pic:spPr>
                      </pic:pic>
                    </a:graphicData>
                  </a:graphic>
                </wp:inline>
              </w:drawing>
            </w:r>
          </w:p>
          <w:p w14:paraId="3A5C4865">
            <w:pPr>
              <w:pStyle w:val="3"/>
              <w:rPr>
                <w:rFonts w:hint="eastAsia"/>
                <w:color w:val="auto"/>
                <w:highlight w:val="none"/>
              </w:rPr>
            </w:pPr>
            <w:r>
              <w:rPr>
                <w:color w:val="auto"/>
                <w:highlight w:val="none"/>
              </w:rPr>
              <w:drawing>
                <wp:inline distT="0" distB="0" distL="114300" distR="114300">
                  <wp:extent cx="426085" cy="482600"/>
                  <wp:effectExtent l="0" t="0" r="12065" b="12700"/>
                  <wp:docPr id="10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5"/>
                          <pic:cNvPicPr>
                            <a:picLocks noChangeAspect="1"/>
                          </pic:cNvPicPr>
                        </pic:nvPicPr>
                        <pic:blipFill>
                          <a:blip r:embed="rId50"/>
                          <a:stretch>
                            <a:fillRect/>
                          </a:stretch>
                        </pic:blipFill>
                        <pic:spPr>
                          <a:xfrm>
                            <a:off x="0" y="0"/>
                            <a:ext cx="426085" cy="482600"/>
                          </a:xfrm>
                          <a:prstGeom prst="rect">
                            <a:avLst/>
                          </a:prstGeom>
                          <a:noFill/>
                          <a:ln w="9525">
                            <a:noFill/>
                          </a:ln>
                        </pic:spPr>
                      </pic:pic>
                    </a:graphicData>
                  </a:graphic>
                </wp:inline>
              </w:drawing>
            </w:r>
          </w:p>
        </w:tc>
      </w:tr>
      <w:tr w14:paraId="152C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657" w:type="dxa"/>
            <w:tcBorders>
              <w:tl2br w:val="nil"/>
              <w:tr2bl w:val="nil"/>
            </w:tcBorders>
            <w:noWrap w:val="0"/>
            <w:vAlign w:val="center"/>
          </w:tcPr>
          <w:p w14:paraId="53514661">
            <w:pPr>
              <w:keepNext w:val="0"/>
              <w:keepLines w:val="0"/>
              <w:pageBreakBefore w:val="0"/>
              <w:widowControl w:val="0"/>
              <w:kinsoku/>
              <w:wordWrap/>
              <w:overflowPunct/>
              <w:topLinePunct w:val="0"/>
              <w:bidi w:val="0"/>
              <w:spacing w:line="400" w:lineRule="exact"/>
              <w:ind w:right="-105" w:rightChars="-50"/>
              <w:jc w:val="center"/>
              <w:textAlignment w:val="auto"/>
              <w:rPr>
                <w:rFonts w:hint="default" w:ascii="宋体" w:eastAsia="宋体" w:cs="宋体"/>
                <w:bCs/>
                <w:color w:val="auto"/>
                <w:kern w:val="2"/>
                <w:sz w:val="24"/>
                <w:szCs w:val="24"/>
                <w:highlight w:val="none"/>
                <w:lang w:val="en-US" w:eastAsia="zh-CN" w:bidi="ar-SA"/>
              </w:rPr>
            </w:pPr>
            <w:r>
              <w:rPr>
                <w:rFonts w:hint="eastAsia" w:ascii="宋体" w:cs="宋体"/>
                <w:bCs/>
                <w:color w:val="auto"/>
                <w:kern w:val="2"/>
                <w:sz w:val="24"/>
                <w:szCs w:val="24"/>
                <w:highlight w:val="none"/>
                <w:lang w:val="en-US" w:eastAsia="zh-CN" w:bidi="ar-SA"/>
              </w:rPr>
              <w:t>11</w:t>
            </w:r>
          </w:p>
        </w:tc>
        <w:tc>
          <w:tcPr>
            <w:tcW w:w="1173" w:type="dxa"/>
            <w:tcBorders>
              <w:tl2br w:val="nil"/>
              <w:tr2bl w:val="nil"/>
            </w:tcBorders>
            <w:noWrap w:val="0"/>
            <w:vAlign w:val="center"/>
          </w:tcPr>
          <w:p w14:paraId="354D51A9">
            <w:pPr>
              <w:keepNext w:val="0"/>
              <w:keepLines w:val="0"/>
              <w:pageBreakBefore w:val="0"/>
              <w:widowControl w:val="0"/>
              <w:kinsoku/>
              <w:wordWrap/>
              <w:overflowPunct/>
              <w:topLinePunct w:val="0"/>
              <w:bidi w:val="0"/>
              <w:spacing w:line="400" w:lineRule="exact"/>
              <w:ind w:right="-105" w:rightChars="-50"/>
              <w:jc w:val="left"/>
              <w:textAlignment w:val="auto"/>
              <w:rPr>
                <w:rFonts w:hint="eastAsia" w:ascii="宋体" w:eastAsia="宋体" w:cs="宋体"/>
                <w:bCs/>
                <w:color w:val="auto"/>
                <w:kern w:val="2"/>
                <w:sz w:val="24"/>
                <w:szCs w:val="24"/>
                <w:highlight w:val="none"/>
                <w:lang w:val="en-US" w:eastAsia="zh-CN" w:bidi="ar-SA"/>
              </w:rPr>
            </w:pPr>
            <w:r>
              <w:rPr>
                <w:rFonts w:hint="eastAsia" w:ascii="宋体" w:eastAsia="宋体" w:cs="宋体"/>
                <w:bCs/>
                <w:color w:val="auto"/>
                <w:kern w:val="2"/>
                <w:sz w:val="24"/>
                <w:szCs w:val="24"/>
                <w:highlight w:val="none"/>
                <w:lang w:val="en-US" w:eastAsia="zh-CN" w:bidi="ar-SA"/>
              </w:rPr>
              <w:t>洗车机</w:t>
            </w:r>
          </w:p>
        </w:tc>
        <w:tc>
          <w:tcPr>
            <w:tcW w:w="4900" w:type="dxa"/>
            <w:tcBorders>
              <w:tl2br w:val="nil"/>
              <w:tr2bl w:val="nil"/>
            </w:tcBorders>
            <w:noWrap w:val="0"/>
            <w:vAlign w:val="top"/>
          </w:tcPr>
          <w:p w14:paraId="4ABCD1B1">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洗车设备类型: 商用洗车机</w:t>
            </w:r>
          </w:p>
          <w:p w14:paraId="243DAA83">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出水管长度: ≥20米</w:t>
            </w:r>
          </w:p>
          <w:p w14:paraId="5C1DF3B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电机冷却方式: 风冷</w:t>
            </w:r>
          </w:p>
          <w:p w14:paraId="4B2FF3C6">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电压: </w:t>
            </w:r>
            <w:r>
              <w:rPr>
                <w:rFonts w:hint="eastAsia" w:ascii="宋体" w:hAnsi="宋体"/>
                <w:bCs/>
                <w:color w:val="auto"/>
                <w:sz w:val="24"/>
                <w:szCs w:val="24"/>
                <w:highlight w:val="none"/>
              </w:rPr>
              <w:t>≥</w:t>
            </w:r>
            <w:r>
              <w:rPr>
                <w:rFonts w:hint="eastAsia" w:ascii="宋体" w:eastAsia="宋体" w:cs="宋体"/>
                <w:bCs/>
                <w:color w:val="auto"/>
                <w:sz w:val="24"/>
                <w:szCs w:val="24"/>
                <w:highlight w:val="none"/>
                <w:vertAlign w:val="baseline"/>
                <w:lang w:val="en-US" w:eastAsia="zh-CN" w:bidi="ar-SA"/>
              </w:rPr>
              <w:t>220V</w:t>
            </w:r>
          </w:p>
          <w:p w14:paraId="7D588240">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尺寸: 600x600x600mm</w:t>
            </w:r>
          </w:p>
          <w:p w14:paraId="25BB277E">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功率: </w:t>
            </w:r>
            <w:r>
              <w:rPr>
                <w:rFonts w:hint="eastAsia" w:ascii="宋体" w:hAnsi="宋体"/>
                <w:bCs/>
                <w:color w:val="auto"/>
                <w:sz w:val="24"/>
                <w:szCs w:val="24"/>
                <w:highlight w:val="none"/>
              </w:rPr>
              <w:t>≥</w:t>
            </w:r>
            <w:r>
              <w:rPr>
                <w:rFonts w:hint="eastAsia" w:ascii="宋体" w:eastAsia="宋体" w:cs="宋体"/>
                <w:bCs/>
                <w:color w:val="auto"/>
                <w:sz w:val="24"/>
                <w:szCs w:val="24"/>
                <w:highlight w:val="none"/>
                <w:vertAlign w:val="baseline"/>
                <w:lang w:val="en-US" w:eastAsia="zh-CN" w:bidi="ar-SA"/>
              </w:rPr>
              <w:t>2400W</w:t>
            </w:r>
          </w:p>
          <w:p w14:paraId="361606AC">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是否是漏电保护器: 是</w:t>
            </w:r>
          </w:p>
          <w:p w14:paraId="558345FD">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接水源类型: 水龙头 自吸</w:t>
            </w:r>
          </w:p>
          <w:p w14:paraId="766A7716">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机芯材质: 纯铜</w:t>
            </w:r>
          </w:p>
          <w:p w14:paraId="6F9FCE2F">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关枪停机：是</w:t>
            </w:r>
          </w:p>
          <w:p w14:paraId="6F0B8581">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额定压力：8Mp</w:t>
            </w:r>
          </w:p>
          <w:p w14:paraId="45148774">
            <w:pPr>
              <w:keepNext w:val="0"/>
              <w:keepLines w:val="0"/>
              <w:pageBreakBefore w:val="0"/>
              <w:widowControl w:val="0"/>
              <w:kinsoku/>
              <w:wordWrap/>
              <w:overflowPunct/>
              <w:topLinePunct w:val="0"/>
              <w:bidi w:val="0"/>
              <w:adjustRightInd/>
              <w:snapToGrid/>
              <w:spacing w:line="240" w:lineRule="auto"/>
              <w:jc w:val="both"/>
              <w:textAlignment w:val="auto"/>
              <w:rPr>
                <w:rFonts w:hint="eastAsia" w:ascii="宋体" w:eastAsia="宋体" w:cs="宋体"/>
                <w:bCs/>
                <w:color w:val="auto"/>
                <w:sz w:val="24"/>
                <w:szCs w:val="24"/>
                <w:highlight w:val="none"/>
                <w:vertAlign w:val="baseline"/>
                <w:lang w:val="en-US" w:eastAsia="zh-CN" w:bidi="ar-SA"/>
              </w:rPr>
            </w:pPr>
            <w:r>
              <w:rPr>
                <w:rFonts w:hint="eastAsia" w:ascii="宋体" w:eastAsia="宋体" w:cs="宋体"/>
                <w:bCs/>
                <w:color w:val="auto"/>
                <w:sz w:val="24"/>
                <w:szCs w:val="24"/>
                <w:highlight w:val="none"/>
                <w:vertAlign w:val="baseline"/>
                <w:lang w:val="en-US" w:eastAsia="zh-CN" w:bidi="ar-SA"/>
              </w:rPr>
              <w:t>最高压力：10Mp</w:t>
            </w:r>
          </w:p>
        </w:tc>
        <w:tc>
          <w:tcPr>
            <w:tcW w:w="899" w:type="dxa"/>
            <w:tcBorders>
              <w:tl2br w:val="nil"/>
              <w:tr2bl w:val="nil"/>
            </w:tcBorders>
            <w:noWrap w:val="0"/>
            <w:vAlign w:val="center"/>
          </w:tcPr>
          <w:p w14:paraId="22C91728">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988" w:type="dxa"/>
            <w:tcBorders>
              <w:tl2br w:val="nil"/>
              <w:tr2bl w:val="nil"/>
            </w:tcBorders>
            <w:noWrap w:val="0"/>
            <w:vAlign w:val="center"/>
          </w:tcPr>
          <w:p w14:paraId="05C7EA2D">
            <w:pPr>
              <w:keepNext w:val="0"/>
              <w:keepLines w:val="0"/>
              <w:widowControl/>
              <w:suppressLineNumbers w:val="0"/>
              <w:jc w:val="center"/>
              <w:textAlignment w:val="center"/>
              <w:rPr>
                <w:rFonts w:hint="eastAsia" w:ascii="宋体" w:eastAsia="宋体" w:cs="宋体"/>
                <w:bCs/>
                <w:color w:val="auto"/>
                <w:sz w:val="24"/>
                <w:szCs w:val="24"/>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663" w:type="dxa"/>
            <w:tcBorders>
              <w:tl2br w:val="nil"/>
              <w:tr2bl w:val="nil"/>
            </w:tcBorders>
            <w:noWrap w:val="0"/>
            <w:vAlign w:val="top"/>
          </w:tcPr>
          <w:p w14:paraId="624B4F62">
            <w:pPr>
              <w:keepNext w:val="0"/>
              <w:keepLines w:val="0"/>
              <w:pageBreakBefore w:val="0"/>
              <w:widowControl w:val="0"/>
              <w:kinsoku/>
              <w:wordWrap/>
              <w:overflowPunct/>
              <w:topLinePunct w:val="0"/>
              <w:bidi w:val="0"/>
              <w:adjustRightInd/>
              <w:snapToGrid/>
              <w:spacing w:line="400" w:lineRule="exact"/>
              <w:textAlignment w:val="auto"/>
              <w:rPr>
                <w:rFonts w:hint="eastAsia" w:ascii="宋体" w:eastAsia="宋体" w:cs="宋体"/>
                <w:bCs/>
                <w:color w:val="auto"/>
                <w:sz w:val="24"/>
                <w:szCs w:val="24"/>
                <w:highlight w:val="none"/>
                <w:vertAlign w:val="baseline"/>
                <w:lang w:val="en-US" w:eastAsia="zh-CN" w:bidi="ar-SA"/>
              </w:rPr>
            </w:pPr>
          </w:p>
        </w:tc>
      </w:tr>
    </w:tbl>
    <w:p w14:paraId="600511DE">
      <w:pPr>
        <w:autoSpaceDE w:val="0"/>
        <w:autoSpaceDN w:val="0"/>
        <w:adjustRightInd w:val="0"/>
        <w:snapToGrid w:val="0"/>
        <w:spacing w:line="460" w:lineRule="exact"/>
        <w:ind w:firstLine="480" w:firstLineChars="200"/>
        <w:jc w:val="left"/>
        <w:textAlignment w:val="baseline"/>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rPr>
        <w:t>注：</w:t>
      </w:r>
      <w:r>
        <w:rPr>
          <w:rFonts w:hint="eastAsia" w:ascii="宋体" w:hAnsi="宋体" w:cs="宋体"/>
          <w:color w:val="auto"/>
          <w:kern w:val="0"/>
          <w:sz w:val="24"/>
          <w:highlight w:val="none"/>
          <w:lang w:val="en-US" w:eastAsia="zh-CN"/>
        </w:rPr>
        <w:t>1、所投</w:t>
      </w:r>
      <w:r>
        <w:rPr>
          <w:rFonts w:hint="eastAsia" w:ascii="宋体" w:hAnsi="宋体" w:cs="宋体"/>
          <w:bCs/>
          <w:color w:val="auto"/>
          <w:kern w:val="0"/>
          <w:sz w:val="24"/>
          <w:highlight w:val="none"/>
          <w:lang w:bidi="ar"/>
        </w:rPr>
        <w:t>产品规格</w:t>
      </w:r>
      <w:r>
        <w:rPr>
          <w:rFonts w:hint="eastAsia" w:ascii="宋体" w:hAnsi="宋体" w:cs="宋体"/>
          <w:color w:val="auto"/>
          <w:kern w:val="0"/>
          <w:sz w:val="24"/>
          <w:highlight w:val="none"/>
          <w:lang w:val="en-US" w:eastAsia="zh-CN"/>
        </w:rPr>
        <w:t>偏差不超过±5cm；</w:t>
      </w:r>
    </w:p>
    <w:p w14:paraId="3ABC18FF">
      <w:pPr>
        <w:autoSpaceDE w:val="0"/>
        <w:autoSpaceDN w:val="0"/>
        <w:adjustRightInd w:val="0"/>
        <w:snapToGrid w:val="0"/>
        <w:spacing w:line="460" w:lineRule="exact"/>
        <w:ind w:firstLine="480" w:firstLineChars="200"/>
        <w:jc w:val="left"/>
        <w:textAlignment w:val="baseline"/>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、招标文件技术要求中所列示的名称及参考图片，仅是对采购需求产品所要求达到的质量、性能以及应有的技术标准做进一步的说明之用，投标人应依据技术参数及招标文件要求的产品参加投标。</w:t>
      </w:r>
    </w:p>
    <w:p w14:paraId="1CDD6DC3">
      <w:pPr>
        <w:pStyle w:val="3"/>
        <w:rPr>
          <w:rFonts w:hint="eastAsia" w:asciiTheme="minorEastAsia" w:hAnsiTheme="minorEastAsia" w:eastAsiaTheme="minorEastAsia" w:cstheme="minorEastAsia"/>
          <w:b/>
          <w:bCs w:val="0"/>
          <w:color w:val="auto"/>
          <w:sz w:val="28"/>
          <w:szCs w:val="28"/>
          <w:highlight w:val="none"/>
          <w:vertAlign w:val="baseline"/>
          <w:lang w:val="en-US" w:eastAsia="zh-CN" w:bidi="ar-SA"/>
        </w:rPr>
      </w:pPr>
      <w:r>
        <w:rPr>
          <w:rFonts w:hint="eastAsia" w:asciiTheme="minorEastAsia" w:hAnsiTheme="minorEastAsia" w:eastAsiaTheme="minorEastAsia" w:cstheme="minorEastAsia"/>
          <w:b/>
          <w:bCs w:val="0"/>
          <w:color w:val="auto"/>
          <w:sz w:val="28"/>
          <w:szCs w:val="28"/>
          <w:highlight w:val="none"/>
          <w:vertAlign w:val="baseline"/>
          <w:lang w:val="en-US" w:eastAsia="zh-CN" w:bidi="ar-SA"/>
        </w:rPr>
        <w:t>标三：</w:t>
      </w:r>
    </w:p>
    <w:tbl>
      <w:tblPr>
        <w:tblStyle w:val="66"/>
        <w:tblW w:w="9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065"/>
        <w:gridCol w:w="2940"/>
        <w:gridCol w:w="660"/>
        <w:gridCol w:w="923"/>
        <w:gridCol w:w="900"/>
        <w:gridCol w:w="1444"/>
        <w:gridCol w:w="825"/>
      </w:tblGrid>
      <w:tr w14:paraId="1149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617" w:type="dxa"/>
            <w:noWrap w:val="0"/>
            <w:vAlign w:val="center"/>
          </w:tcPr>
          <w:p w14:paraId="2A95B3CF">
            <w:pPr>
              <w:pStyle w:val="3"/>
              <w:ind w:left="0" w:leftChars="0" w:firstLine="0" w:firstLineChars="0"/>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序号</w:t>
            </w:r>
          </w:p>
        </w:tc>
        <w:tc>
          <w:tcPr>
            <w:tcW w:w="1065" w:type="dxa"/>
            <w:noWrap w:val="0"/>
            <w:vAlign w:val="center"/>
          </w:tcPr>
          <w:p w14:paraId="787D9AAE">
            <w:pPr>
              <w:pStyle w:val="3"/>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名称</w:t>
            </w:r>
          </w:p>
        </w:tc>
        <w:tc>
          <w:tcPr>
            <w:tcW w:w="2940" w:type="dxa"/>
            <w:noWrap w:val="0"/>
            <w:vAlign w:val="center"/>
          </w:tcPr>
          <w:p w14:paraId="4E590323">
            <w:pPr>
              <w:pStyle w:val="3"/>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参数</w:t>
            </w:r>
          </w:p>
        </w:tc>
        <w:tc>
          <w:tcPr>
            <w:tcW w:w="660" w:type="dxa"/>
            <w:noWrap w:val="0"/>
            <w:vAlign w:val="center"/>
          </w:tcPr>
          <w:p w14:paraId="0C99DA94">
            <w:pPr>
              <w:pStyle w:val="3"/>
              <w:ind w:left="0" w:leftChars="0" w:firstLine="0" w:firstLineChars="0"/>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单位</w:t>
            </w:r>
          </w:p>
        </w:tc>
        <w:tc>
          <w:tcPr>
            <w:tcW w:w="923" w:type="dxa"/>
            <w:noWrap w:val="0"/>
            <w:vAlign w:val="center"/>
          </w:tcPr>
          <w:p w14:paraId="1B04C36D">
            <w:pPr>
              <w:pStyle w:val="3"/>
              <w:ind w:left="432" w:leftChars="0" w:hanging="432" w:firstLineChars="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kern w:val="2"/>
                <w:sz w:val="22"/>
                <w:szCs w:val="22"/>
                <w:highlight w:val="none"/>
                <w:vertAlign w:val="baseline"/>
                <w:lang w:val="en-US" w:eastAsia="zh-CN" w:bidi="ar-SA"/>
              </w:rPr>
              <w:t>白云站</w:t>
            </w:r>
          </w:p>
          <w:p w14:paraId="610F2DD1">
            <w:pPr>
              <w:jc w:val="center"/>
              <w:rPr>
                <w:rFonts w:hint="eastAsia" w:ascii="宋体" w:hAnsi="宋体" w:eastAsia="宋体" w:cs="宋体"/>
                <w:color w:val="auto"/>
                <w:sz w:val="20"/>
                <w:szCs w:val="22"/>
                <w:highlight w:val="none"/>
                <w:lang w:val="en-US" w:eastAsia="zh-CN"/>
              </w:rPr>
            </w:pPr>
            <w:r>
              <w:rPr>
                <w:rFonts w:hint="eastAsia" w:ascii="宋体" w:hAnsi="宋体" w:eastAsia="宋体" w:cs="宋体"/>
                <w:b w:val="0"/>
                <w:bCs/>
                <w:color w:val="auto"/>
                <w:kern w:val="2"/>
                <w:sz w:val="22"/>
                <w:szCs w:val="22"/>
                <w:highlight w:val="none"/>
                <w:vertAlign w:val="baseline"/>
                <w:lang w:val="en-US" w:eastAsia="zh-CN" w:bidi="ar-SA"/>
              </w:rPr>
              <w:t>数量</w:t>
            </w:r>
          </w:p>
        </w:tc>
        <w:tc>
          <w:tcPr>
            <w:tcW w:w="900" w:type="dxa"/>
            <w:noWrap w:val="0"/>
            <w:vAlign w:val="center"/>
          </w:tcPr>
          <w:p w14:paraId="7A244837">
            <w:pPr>
              <w:pStyle w:val="3"/>
              <w:ind w:left="432" w:leftChars="0" w:hanging="432" w:firstLineChars="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kern w:val="2"/>
                <w:sz w:val="22"/>
                <w:szCs w:val="22"/>
                <w:highlight w:val="none"/>
                <w:vertAlign w:val="baseline"/>
                <w:lang w:val="en-US" w:eastAsia="zh-CN" w:bidi="ar-SA"/>
              </w:rPr>
              <w:t>南马站</w:t>
            </w:r>
          </w:p>
          <w:p w14:paraId="252756C4">
            <w:pPr>
              <w:jc w:val="center"/>
              <w:rPr>
                <w:rFonts w:hint="eastAsia" w:ascii="宋体" w:hAnsi="宋体" w:eastAsia="宋体" w:cs="宋体"/>
                <w:color w:val="auto"/>
                <w:sz w:val="20"/>
                <w:szCs w:val="22"/>
                <w:highlight w:val="none"/>
                <w:lang w:val="en-US" w:eastAsia="zh-CN"/>
              </w:rPr>
            </w:pPr>
            <w:r>
              <w:rPr>
                <w:rFonts w:hint="eastAsia" w:ascii="宋体" w:hAnsi="宋体" w:eastAsia="宋体" w:cs="宋体"/>
                <w:b w:val="0"/>
                <w:bCs/>
                <w:color w:val="auto"/>
                <w:kern w:val="2"/>
                <w:sz w:val="22"/>
                <w:szCs w:val="22"/>
                <w:highlight w:val="none"/>
                <w:vertAlign w:val="baseline"/>
                <w:lang w:val="en-US" w:eastAsia="zh-CN" w:bidi="ar-SA"/>
              </w:rPr>
              <w:t>数量</w:t>
            </w:r>
          </w:p>
        </w:tc>
        <w:tc>
          <w:tcPr>
            <w:tcW w:w="1444" w:type="dxa"/>
            <w:noWrap w:val="0"/>
            <w:vAlign w:val="center"/>
          </w:tcPr>
          <w:p w14:paraId="7432D4F3">
            <w:pPr>
              <w:pStyle w:val="3"/>
              <w:ind w:left="432" w:leftChars="0" w:hanging="432" w:firstLineChars="0"/>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图片</w:t>
            </w:r>
          </w:p>
        </w:tc>
        <w:tc>
          <w:tcPr>
            <w:tcW w:w="825" w:type="dxa"/>
            <w:noWrap w:val="0"/>
            <w:vAlign w:val="center"/>
          </w:tcPr>
          <w:p w14:paraId="64E2BD9E">
            <w:pPr>
              <w:pStyle w:val="3"/>
              <w:jc w:val="center"/>
              <w:rPr>
                <w:rFonts w:hint="eastAsia" w:ascii="宋体" w:hAnsi="宋体" w:eastAsia="宋体" w:cs="宋体"/>
                <w:color w:val="auto"/>
                <w:sz w:val="18"/>
                <w:szCs w:val="18"/>
                <w:highlight w:val="none"/>
                <w:lang w:val="en-US" w:eastAsia="zh-CN"/>
              </w:rPr>
            </w:pPr>
            <w:r>
              <w:rPr>
                <w:rFonts w:hint="eastAsia" w:ascii="宋体" w:hAnsi="宋体" w:eastAsia="宋体" w:cs="宋体"/>
                <w:b w:val="0"/>
                <w:bCs/>
                <w:color w:val="auto"/>
                <w:kern w:val="2"/>
                <w:sz w:val="24"/>
                <w:szCs w:val="24"/>
                <w:highlight w:val="none"/>
                <w:vertAlign w:val="baseline"/>
                <w:lang w:val="en-US" w:eastAsia="zh-CN" w:bidi="ar-SA"/>
              </w:rPr>
              <w:t>备注</w:t>
            </w:r>
          </w:p>
        </w:tc>
      </w:tr>
      <w:tr w14:paraId="4273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617" w:type="dxa"/>
            <w:noWrap w:val="0"/>
            <w:vAlign w:val="center"/>
          </w:tcPr>
          <w:p w14:paraId="5E844CE4">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w:t>
            </w:r>
          </w:p>
        </w:tc>
        <w:tc>
          <w:tcPr>
            <w:tcW w:w="1065" w:type="dxa"/>
            <w:noWrap w:val="0"/>
            <w:vAlign w:val="center"/>
          </w:tcPr>
          <w:p w14:paraId="1082E6D3">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2940" w:type="dxa"/>
            <w:noWrap w:val="0"/>
            <w:vAlign w:val="center"/>
          </w:tcPr>
          <w:p w14:paraId="24103735">
            <w:pPr>
              <w:pStyle w:val="3"/>
              <w:jc w:val="left"/>
              <w:rPr>
                <w:rFonts w:hint="eastAsia" w:ascii="宋体" w:hAnsi="宋体" w:eastAsia="宋体" w:cs="宋体"/>
                <w:b w:val="0"/>
                <w:i w:val="0"/>
                <w:iCs w:val="0"/>
                <w:color w:val="auto"/>
                <w:kern w:val="0"/>
                <w:sz w:val="21"/>
                <w:szCs w:val="21"/>
                <w:highlight w:val="none"/>
                <w:u w:val="none"/>
                <w:lang w:val="en-US" w:eastAsia="zh-CN" w:bidi="ar"/>
              </w:rPr>
            </w:pPr>
            <w:bookmarkStart w:id="12" w:name="OLE_LINK3"/>
            <w:r>
              <w:rPr>
                <w:rFonts w:hint="eastAsia" w:ascii="宋体" w:hAnsi="宋体" w:eastAsia="宋体" w:cs="宋体"/>
                <w:b w:val="0"/>
                <w:i w:val="0"/>
                <w:iCs w:val="0"/>
                <w:color w:val="auto"/>
                <w:kern w:val="0"/>
                <w:sz w:val="21"/>
                <w:szCs w:val="21"/>
                <w:highlight w:val="none"/>
                <w:u w:val="none"/>
                <w:lang w:val="en-US" w:eastAsia="zh-CN" w:bidi="ar"/>
              </w:rPr>
              <w:t>规格：</w:t>
            </w:r>
            <w:bookmarkEnd w:id="12"/>
            <w:r>
              <w:rPr>
                <w:rFonts w:hint="eastAsia" w:ascii="宋体" w:hAnsi="宋体" w:eastAsia="宋体" w:cs="宋体"/>
                <w:b w:val="0"/>
                <w:i w:val="0"/>
                <w:iCs w:val="0"/>
                <w:color w:val="auto"/>
                <w:kern w:val="0"/>
                <w:sz w:val="21"/>
                <w:szCs w:val="21"/>
                <w:highlight w:val="none"/>
                <w:u w:val="none"/>
                <w:lang w:val="en-US" w:eastAsia="zh-CN" w:bidi="ar"/>
              </w:rPr>
              <w:t>1000*500*760mm</w:t>
            </w:r>
          </w:p>
          <w:p w14:paraId="692AB826">
            <w:pPr>
              <w:pStyle w:val="3"/>
              <w:ind w:left="0" w:leftChars="0" w:firstLine="0" w:firstLineChars="0"/>
              <w:jc w:val="left"/>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采用优质实木皮贴面，密度板基材，达到国家E1级环保标准及以上。油漆：采用环保油漆，“五底三面”油漆工艺。优质五金件。</w:t>
            </w:r>
          </w:p>
        </w:tc>
        <w:tc>
          <w:tcPr>
            <w:tcW w:w="660" w:type="dxa"/>
            <w:noWrap w:val="0"/>
            <w:vAlign w:val="center"/>
          </w:tcPr>
          <w:p w14:paraId="74A624E0">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5C293BF6">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0EF591B0">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3236FE1E">
            <w:pPr>
              <w:pStyle w:val="3"/>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drawing>
                <wp:inline distT="0" distB="0" distL="114300" distR="114300">
                  <wp:extent cx="905510" cy="770890"/>
                  <wp:effectExtent l="0" t="0" r="8890" b="10160"/>
                  <wp:docPr id="99" name="图片 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descr="002"/>
                          <pic:cNvPicPr>
                            <a:picLocks noChangeAspect="1"/>
                          </pic:cNvPicPr>
                        </pic:nvPicPr>
                        <pic:blipFill>
                          <a:blip r:embed="rId51"/>
                          <a:srcRect t="20094" b="10559"/>
                          <a:stretch>
                            <a:fillRect/>
                          </a:stretch>
                        </pic:blipFill>
                        <pic:spPr>
                          <a:xfrm>
                            <a:off x="0" y="0"/>
                            <a:ext cx="905510" cy="770890"/>
                          </a:xfrm>
                          <a:prstGeom prst="rect">
                            <a:avLst/>
                          </a:prstGeom>
                          <a:noFill/>
                          <a:ln>
                            <a:noFill/>
                          </a:ln>
                        </pic:spPr>
                      </pic:pic>
                    </a:graphicData>
                  </a:graphic>
                </wp:inline>
              </w:drawing>
            </w:r>
          </w:p>
        </w:tc>
        <w:tc>
          <w:tcPr>
            <w:tcW w:w="825" w:type="dxa"/>
            <w:vMerge w:val="restart"/>
            <w:noWrap w:val="0"/>
            <w:vAlign w:val="top"/>
          </w:tcPr>
          <w:p w14:paraId="672F803D">
            <w:pPr>
              <w:pStyle w:val="3"/>
              <w:rPr>
                <w:rFonts w:hint="eastAsia" w:ascii="宋体" w:hAnsi="宋体" w:eastAsia="宋体" w:cs="宋体"/>
                <w:b w:val="0"/>
                <w:bCs/>
                <w:color w:val="auto"/>
                <w:kern w:val="2"/>
                <w:sz w:val="24"/>
                <w:szCs w:val="24"/>
                <w:highlight w:val="none"/>
                <w:vertAlign w:val="baseline"/>
                <w:lang w:val="en-US" w:eastAsia="zh-CN" w:bidi="ar-SA"/>
              </w:rPr>
            </w:pPr>
          </w:p>
          <w:p w14:paraId="27D073F8">
            <w:pPr>
              <w:pStyle w:val="3"/>
              <w:rPr>
                <w:rFonts w:hint="eastAsia" w:ascii="宋体" w:hAnsi="宋体" w:eastAsia="宋体" w:cs="宋体"/>
                <w:b w:val="0"/>
                <w:bCs/>
                <w:color w:val="auto"/>
                <w:kern w:val="2"/>
                <w:sz w:val="24"/>
                <w:szCs w:val="24"/>
                <w:highlight w:val="none"/>
                <w:vertAlign w:val="baseline"/>
                <w:lang w:val="en-US" w:eastAsia="zh-CN" w:bidi="ar-SA"/>
              </w:rPr>
            </w:pPr>
          </w:p>
          <w:p w14:paraId="78CBDBE6">
            <w:pPr>
              <w:pStyle w:val="3"/>
              <w:rPr>
                <w:rFonts w:hint="eastAsia" w:ascii="宋体" w:hAnsi="宋体" w:eastAsia="宋体" w:cs="宋体"/>
                <w:b w:val="0"/>
                <w:bCs/>
                <w:color w:val="auto"/>
                <w:kern w:val="2"/>
                <w:sz w:val="24"/>
                <w:szCs w:val="24"/>
                <w:highlight w:val="none"/>
                <w:vertAlign w:val="baseline"/>
                <w:lang w:val="en-US" w:eastAsia="zh-CN" w:bidi="ar-SA"/>
              </w:rPr>
            </w:pPr>
          </w:p>
          <w:p w14:paraId="6CFCA5CA">
            <w:pPr>
              <w:pStyle w:val="3"/>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警</w:t>
            </w:r>
          </w:p>
          <w:p w14:paraId="761569BF">
            <w:pPr>
              <w:pStyle w:val="3"/>
              <w:jc w:val="center"/>
              <w:rPr>
                <w:rFonts w:hint="eastAsia" w:ascii="宋体" w:hAnsi="宋体" w:eastAsia="宋体" w:cs="宋体"/>
                <w:b w:val="0"/>
                <w:bCs/>
                <w:color w:val="auto"/>
                <w:kern w:val="2"/>
                <w:sz w:val="24"/>
                <w:szCs w:val="24"/>
                <w:highlight w:val="none"/>
                <w:vertAlign w:val="baseline"/>
                <w:lang w:val="en-US" w:eastAsia="zh-CN" w:bidi="ar-SA"/>
              </w:rPr>
            </w:pPr>
            <w:r>
              <w:rPr>
                <w:rFonts w:hint="eastAsia" w:ascii="宋体" w:hAnsi="宋体" w:eastAsia="宋体" w:cs="宋体"/>
                <w:b w:val="0"/>
                <w:bCs/>
                <w:color w:val="auto"/>
                <w:kern w:val="2"/>
                <w:sz w:val="24"/>
                <w:szCs w:val="24"/>
                <w:highlight w:val="none"/>
                <w:vertAlign w:val="baseline"/>
                <w:lang w:val="en-US" w:eastAsia="zh-CN" w:bidi="ar-SA"/>
              </w:rPr>
              <w:t>卫</w:t>
            </w:r>
          </w:p>
          <w:p w14:paraId="30D4134F">
            <w:pPr>
              <w:pStyle w:val="3"/>
              <w:jc w:val="center"/>
              <w:rPr>
                <w:rFonts w:hint="eastAsia" w:ascii="宋体" w:hAnsi="宋体" w:eastAsia="宋体" w:cs="宋体"/>
                <w:color w:val="auto"/>
                <w:highlight w:val="none"/>
                <w:vertAlign w:val="baseline"/>
                <w:lang w:val="en-US" w:eastAsia="zh-CN"/>
              </w:rPr>
            </w:pPr>
            <w:r>
              <w:rPr>
                <w:rFonts w:hint="eastAsia" w:ascii="宋体" w:hAnsi="宋体" w:eastAsia="宋体" w:cs="宋体"/>
                <w:b w:val="0"/>
                <w:bCs/>
                <w:color w:val="auto"/>
                <w:kern w:val="2"/>
                <w:sz w:val="24"/>
                <w:szCs w:val="24"/>
                <w:highlight w:val="none"/>
                <w:vertAlign w:val="baseline"/>
                <w:lang w:val="en-US" w:eastAsia="zh-CN" w:bidi="ar-SA"/>
              </w:rPr>
              <w:t>室</w:t>
            </w:r>
          </w:p>
        </w:tc>
      </w:tr>
      <w:tr w14:paraId="16CD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617" w:type="dxa"/>
            <w:noWrap w:val="0"/>
            <w:vAlign w:val="center"/>
          </w:tcPr>
          <w:p w14:paraId="6C98EAFF">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w:t>
            </w:r>
          </w:p>
        </w:tc>
        <w:tc>
          <w:tcPr>
            <w:tcW w:w="1065" w:type="dxa"/>
            <w:noWrap w:val="0"/>
            <w:vAlign w:val="center"/>
          </w:tcPr>
          <w:p w14:paraId="05E25431">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椅子</w:t>
            </w:r>
          </w:p>
        </w:tc>
        <w:tc>
          <w:tcPr>
            <w:tcW w:w="2940" w:type="dxa"/>
            <w:noWrap w:val="0"/>
            <w:vAlign w:val="center"/>
          </w:tcPr>
          <w:p w14:paraId="1C27564C">
            <w:pPr>
              <w:keepNext w:val="0"/>
              <w:keepLines w:val="0"/>
              <w:widowControl/>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7F338D96">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52767D8C">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4E25854A">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4C4C1C01">
            <w:pPr>
              <w:pStyle w:val="3"/>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drawing>
                <wp:inline distT="0" distB="0" distL="114300" distR="114300">
                  <wp:extent cx="648335" cy="934085"/>
                  <wp:effectExtent l="0" t="0" r="18415" b="18415"/>
                  <wp:docPr id="96" name="图片 2" descr="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8060"/>
                          <pic:cNvPicPr>
                            <a:picLocks noChangeAspect="1"/>
                          </pic:cNvPicPr>
                        </pic:nvPicPr>
                        <pic:blipFill>
                          <a:blip r:embed="rId52"/>
                          <a:stretch>
                            <a:fillRect/>
                          </a:stretch>
                        </pic:blipFill>
                        <pic:spPr>
                          <a:xfrm>
                            <a:off x="0" y="0"/>
                            <a:ext cx="648335" cy="934085"/>
                          </a:xfrm>
                          <a:prstGeom prst="rect">
                            <a:avLst/>
                          </a:prstGeom>
                          <a:noFill/>
                          <a:ln>
                            <a:noFill/>
                          </a:ln>
                        </pic:spPr>
                      </pic:pic>
                    </a:graphicData>
                  </a:graphic>
                </wp:inline>
              </w:drawing>
            </w:r>
          </w:p>
        </w:tc>
        <w:tc>
          <w:tcPr>
            <w:tcW w:w="825" w:type="dxa"/>
            <w:vMerge w:val="continue"/>
            <w:noWrap w:val="0"/>
            <w:vAlign w:val="top"/>
          </w:tcPr>
          <w:p w14:paraId="057506B8">
            <w:pPr>
              <w:pStyle w:val="3"/>
              <w:rPr>
                <w:rFonts w:hint="eastAsia" w:ascii="宋体" w:hAnsi="宋体" w:eastAsia="宋体" w:cs="宋体"/>
                <w:color w:val="auto"/>
                <w:highlight w:val="none"/>
                <w:vertAlign w:val="baseline"/>
                <w:lang w:val="en-US" w:eastAsia="zh-CN"/>
              </w:rPr>
            </w:pPr>
          </w:p>
        </w:tc>
      </w:tr>
      <w:tr w14:paraId="27C9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617" w:type="dxa"/>
            <w:noWrap w:val="0"/>
            <w:vAlign w:val="center"/>
          </w:tcPr>
          <w:p w14:paraId="1F09B86F">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w:t>
            </w:r>
          </w:p>
        </w:tc>
        <w:tc>
          <w:tcPr>
            <w:tcW w:w="1065" w:type="dxa"/>
            <w:noWrap w:val="0"/>
            <w:vAlign w:val="center"/>
          </w:tcPr>
          <w:p w14:paraId="5888BE0F">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文件柜</w:t>
            </w:r>
          </w:p>
        </w:tc>
        <w:tc>
          <w:tcPr>
            <w:tcW w:w="2940" w:type="dxa"/>
            <w:noWrap w:val="0"/>
            <w:vAlign w:val="center"/>
          </w:tcPr>
          <w:p w14:paraId="14CBAF8F">
            <w:pPr>
              <w:keepNext w:val="0"/>
              <w:keepLines w:val="0"/>
              <w:widowControl/>
              <w:suppressLineNumbers w:val="0"/>
              <w:jc w:val="left"/>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规格：900*430*2000mm</w:t>
            </w:r>
          </w:p>
          <w:p w14:paraId="628149B6">
            <w:pPr>
              <w:keepNext w:val="0"/>
              <w:keepLines w:val="0"/>
              <w:widowControl/>
              <w:suppressLineNumbers w:val="0"/>
              <w:jc w:val="left"/>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采用优质实木皮贴面，密度板基材，达到国家E1级环保标准及以上。油漆：采用环保油漆，“五底三面”油漆工艺。优质五金件。</w:t>
            </w:r>
          </w:p>
        </w:tc>
        <w:tc>
          <w:tcPr>
            <w:tcW w:w="660" w:type="dxa"/>
            <w:noWrap w:val="0"/>
            <w:vAlign w:val="center"/>
          </w:tcPr>
          <w:p w14:paraId="7E52EF94">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7E5E690E">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900" w:type="dxa"/>
            <w:noWrap w:val="0"/>
            <w:vAlign w:val="center"/>
          </w:tcPr>
          <w:p w14:paraId="5A8AD3F4">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444" w:type="dxa"/>
            <w:noWrap w:val="0"/>
            <w:vAlign w:val="top"/>
          </w:tcPr>
          <w:p w14:paraId="481D876B">
            <w:pPr>
              <w:pStyle w:val="3"/>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drawing>
                <wp:inline distT="0" distB="0" distL="114300" distR="114300">
                  <wp:extent cx="714375" cy="941705"/>
                  <wp:effectExtent l="0" t="0" r="9525" b="10795"/>
                  <wp:docPr id="98" name="图片 3" descr="2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descr="2门"/>
                          <pic:cNvPicPr>
                            <a:picLocks noChangeAspect="1"/>
                          </pic:cNvPicPr>
                        </pic:nvPicPr>
                        <pic:blipFill>
                          <a:blip r:embed="rId53"/>
                          <a:stretch>
                            <a:fillRect/>
                          </a:stretch>
                        </pic:blipFill>
                        <pic:spPr>
                          <a:xfrm>
                            <a:off x="0" y="0"/>
                            <a:ext cx="714375" cy="941705"/>
                          </a:xfrm>
                          <a:prstGeom prst="rect">
                            <a:avLst/>
                          </a:prstGeom>
                          <a:noFill/>
                          <a:ln>
                            <a:noFill/>
                          </a:ln>
                        </pic:spPr>
                      </pic:pic>
                    </a:graphicData>
                  </a:graphic>
                </wp:inline>
              </w:drawing>
            </w:r>
          </w:p>
        </w:tc>
        <w:tc>
          <w:tcPr>
            <w:tcW w:w="825" w:type="dxa"/>
            <w:noWrap w:val="0"/>
            <w:vAlign w:val="center"/>
          </w:tcPr>
          <w:p w14:paraId="15359EE5">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通信室</w:t>
            </w:r>
          </w:p>
        </w:tc>
      </w:tr>
      <w:tr w14:paraId="6572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617" w:type="dxa"/>
            <w:noWrap w:val="0"/>
            <w:vAlign w:val="center"/>
          </w:tcPr>
          <w:p w14:paraId="0662DD3A">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w:t>
            </w:r>
          </w:p>
        </w:tc>
        <w:tc>
          <w:tcPr>
            <w:tcW w:w="1065" w:type="dxa"/>
            <w:noWrap w:val="0"/>
            <w:vAlign w:val="center"/>
          </w:tcPr>
          <w:p w14:paraId="349916E3">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床（含床头柜、床垫）</w:t>
            </w:r>
          </w:p>
        </w:tc>
        <w:tc>
          <w:tcPr>
            <w:tcW w:w="2940" w:type="dxa"/>
            <w:noWrap w:val="0"/>
            <w:vAlign w:val="center"/>
          </w:tcPr>
          <w:p w14:paraId="525E0C84">
            <w:pPr>
              <w:keepNext w:val="0"/>
              <w:keepLines w:val="0"/>
              <w:widowControl/>
              <w:suppressLineNumbers w:val="0"/>
              <w:jc w:val="left"/>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规格：1000*2000*500mm优质多层实木板贴实木木皮，实木框架，达到国家E1级环保标准及以上。油漆：采用环保油漆，“五底三面”油漆工艺。</w:t>
            </w:r>
          </w:p>
        </w:tc>
        <w:tc>
          <w:tcPr>
            <w:tcW w:w="660" w:type="dxa"/>
            <w:noWrap w:val="0"/>
            <w:vAlign w:val="center"/>
          </w:tcPr>
          <w:p w14:paraId="6E1B6724">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6A75A27B">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7CF46CB7">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456F0CC0">
            <w:pPr>
              <w:pStyle w:val="3"/>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drawing>
                <wp:inline distT="0" distB="0" distL="114300" distR="114300">
                  <wp:extent cx="714375" cy="878205"/>
                  <wp:effectExtent l="0" t="0" r="9525" b="17145"/>
                  <wp:docPr id="100" name="图片 4" descr="Q%NAZBAOGW`7OSUT24_JY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descr="Q%NAZBAOGW`7OSUT24_JY9N"/>
                          <pic:cNvPicPr>
                            <a:picLocks noChangeAspect="1"/>
                          </pic:cNvPicPr>
                        </pic:nvPicPr>
                        <pic:blipFill>
                          <a:blip r:embed="rId54"/>
                          <a:stretch>
                            <a:fillRect/>
                          </a:stretch>
                        </pic:blipFill>
                        <pic:spPr>
                          <a:xfrm>
                            <a:off x="0" y="0"/>
                            <a:ext cx="714375" cy="878205"/>
                          </a:xfrm>
                          <a:prstGeom prst="rect">
                            <a:avLst/>
                          </a:prstGeom>
                          <a:noFill/>
                          <a:ln>
                            <a:noFill/>
                          </a:ln>
                        </pic:spPr>
                      </pic:pic>
                    </a:graphicData>
                  </a:graphic>
                </wp:inline>
              </w:drawing>
            </w:r>
          </w:p>
        </w:tc>
        <w:tc>
          <w:tcPr>
            <w:tcW w:w="825" w:type="dxa"/>
            <w:vMerge w:val="restart"/>
            <w:noWrap w:val="0"/>
            <w:vAlign w:val="center"/>
          </w:tcPr>
          <w:p w14:paraId="15A9168A">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通信班寝室</w:t>
            </w:r>
          </w:p>
        </w:tc>
      </w:tr>
      <w:tr w14:paraId="6D26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3BCA0338">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w:t>
            </w:r>
          </w:p>
        </w:tc>
        <w:tc>
          <w:tcPr>
            <w:tcW w:w="1065" w:type="dxa"/>
            <w:noWrap w:val="0"/>
            <w:vAlign w:val="center"/>
          </w:tcPr>
          <w:p w14:paraId="7751345F">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衣柜</w:t>
            </w:r>
          </w:p>
        </w:tc>
        <w:tc>
          <w:tcPr>
            <w:tcW w:w="2940" w:type="dxa"/>
            <w:noWrap w:val="0"/>
            <w:vAlign w:val="center"/>
          </w:tcPr>
          <w:p w14:paraId="6F2289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bookmarkStart w:id="13" w:name="OLE_LINK7"/>
            <w:r>
              <w:rPr>
                <w:rFonts w:hint="eastAsia" w:ascii="宋体" w:hAnsi="宋体" w:eastAsia="宋体" w:cs="宋体"/>
                <w:i w:val="0"/>
                <w:iCs w:val="0"/>
                <w:color w:val="auto"/>
                <w:kern w:val="0"/>
                <w:sz w:val="21"/>
                <w:szCs w:val="21"/>
                <w:highlight w:val="none"/>
                <w:u w:val="none"/>
                <w:lang w:val="en-US" w:eastAsia="zh-CN" w:bidi="ar"/>
              </w:rPr>
              <w:t>规格：</w:t>
            </w:r>
            <w:bookmarkEnd w:id="13"/>
            <w:r>
              <w:rPr>
                <w:rFonts w:hint="eastAsia" w:ascii="宋体" w:hAnsi="宋体" w:eastAsia="宋体" w:cs="宋体"/>
                <w:i w:val="0"/>
                <w:iCs w:val="0"/>
                <w:color w:val="auto"/>
                <w:kern w:val="0"/>
                <w:sz w:val="21"/>
                <w:szCs w:val="21"/>
                <w:highlight w:val="none"/>
                <w:u w:val="none"/>
                <w:lang w:val="en-US" w:eastAsia="zh-CN" w:bidi="ar"/>
              </w:rPr>
              <w:t>800×600×2200mm</w:t>
            </w:r>
          </w:p>
          <w:p w14:paraId="2B83A6EF">
            <w:pPr>
              <w:keepNext w:val="0"/>
              <w:keepLines w:val="0"/>
              <w:widowControl/>
              <w:suppressLineNumbers w:val="0"/>
              <w:jc w:val="left"/>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优质多层实木板贴实木木皮，实木框架，达到国家E1级环保标准及以上。油漆：采用环保油漆，“五底三面”油漆工艺。</w:t>
            </w:r>
          </w:p>
        </w:tc>
        <w:tc>
          <w:tcPr>
            <w:tcW w:w="660" w:type="dxa"/>
            <w:noWrap w:val="0"/>
            <w:vAlign w:val="center"/>
          </w:tcPr>
          <w:p w14:paraId="4166B58D">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3B3512F4">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302AEE8E">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7491ED80">
            <w:pPr>
              <w:pStyle w:val="3"/>
              <w:ind w:left="0" w:leftChars="0" w:firstLine="0" w:firstLineChars="0"/>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drawing>
                <wp:inline distT="0" distB="0" distL="114300" distR="114300">
                  <wp:extent cx="895350" cy="1049020"/>
                  <wp:effectExtent l="0" t="0" r="0" b="17780"/>
                  <wp:docPr id="97" name="图片 5" descr="微信图片_202106061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descr="微信图片_20210606195838.jpg"/>
                          <pic:cNvPicPr>
                            <a:picLocks noChangeAspect="1"/>
                          </pic:cNvPicPr>
                        </pic:nvPicPr>
                        <pic:blipFill>
                          <a:blip r:embed="rId55"/>
                          <a:stretch>
                            <a:fillRect/>
                          </a:stretch>
                        </pic:blipFill>
                        <pic:spPr>
                          <a:xfrm>
                            <a:off x="0" y="0"/>
                            <a:ext cx="895350" cy="1049020"/>
                          </a:xfrm>
                          <a:prstGeom prst="rect">
                            <a:avLst/>
                          </a:prstGeom>
                          <a:noFill/>
                          <a:ln>
                            <a:noFill/>
                          </a:ln>
                        </pic:spPr>
                      </pic:pic>
                    </a:graphicData>
                  </a:graphic>
                </wp:inline>
              </w:drawing>
            </w:r>
          </w:p>
        </w:tc>
        <w:tc>
          <w:tcPr>
            <w:tcW w:w="825" w:type="dxa"/>
            <w:vMerge w:val="continue"/>
            <w:noWrap w:val="0"/>
            <w:vAlign w:val="top"/>
          </w:tcPr>
          <w:p w14:paraId="44320C2A">
            <w:pPr>
              <w:pStyle w:val="3"/>
              <w:rPr>
                <w:rFonts w:hint="eastAsia" w:ascii="宋体" w:hAnsi="宋体" w:eastAsia="宋体" w:cs="宋体"/>
                <w:color w:val="auto"/>
                <w:highlight w:val="none"/>
                <w:vertAlign w:val="baseline"/>
                <w:lang w:val="en-US" w:eastAsia="zh-CN"/>
              </w:rPr>
            </w:pPr>
          </w:p>
        </w:tc>
      </w:tr>
      <w:tr w14:paraId="0640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39D4CAE7">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6</w:t>
            </w:r>
          </w:p>
        </w:tc>
        <w:tc>
          <w:tcPr>
            <w:tcW w:w="1065" w:type="dxa"/>
            <w:noWrap w:val="0"/>
            <w:vAlign w:val="center"/>
          </w:tcPr>
          <w:p w14:paraId="5EBC9876">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战斗服架</w:t>
            </w:r>
          </w:p>
        </w:tc>
        <w:tc>
          <w:tcPr>
            <w:tcW w:w="2940" w:type="dxa"/>
            <w:noWrap w:val="0"/>
            <w:vAlign w:val="center"/>
          </w:tcPr>
          <w:p w14:paraId="0557AAA1">
            <w:pPr>
              <w:keepNext w:val="0"/>
              <w:keepLines w:val="0"/>
              <w:widowControl/>
              <w:suppressLineNumbers w:val="0"/>
              <w:jc w:val="left"/>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规格：750*720*2060mm（双面可旋转）不锈钢消防战斗服衣架可360度旋转消防员专用衣帽架子304无尘车间单双面旋转挂衣架</w:t>
            </w:r>
          </w:p>
        </w:tc>
        <w:tc>
          <w:tcPr>
            <w:tcW w:w="660" w:type="dxa"/>
            <w:noWrap w:val="0"/>
            <w:vAlign w:val="center"/>
          </w:tcPr>
          <w:p w14:paraId="2B384892">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38058CBE">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40</w:t>
            </w:r>
          </w:p>
        </w:tc>
        <w:tc>
          <w:tcPr>
            <w:tcW w:w="900" w:type="dxa"/>
            <w:noWrap w:val="0"/>
            <w:vAlign w:val="center"/>
          </w:tcPr>
          <w:p w14:paraId="3B2FEDFA">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40</w:t>
            </w:r>
          </w:p>
        </w:tc>
        <w:tc>
          <w:tcPr>
            <w:tcW w:w="1444" w:type="dxa"/>
            <w:noWrap w:val="0"/>
            <w:vAlign w:val="top"/>
          </w:tcPr>
          <w:p w14:paraId="1A23EC1C">
            <w:pPr>
              <w:pStyle w:val="3"/>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drawing>
                <wp:inline distT="0" distB="0" distL="114300" distR="114300">
                  <wp:extent cx="1068705" cy="858520"/>
                  <wp:effectExtent l="0" t="0" r="17145" b="17780"/>
                  <wp:docPr id="102" name="图片 6" descr="微信图片_2024042209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descr="微信图片_20240422090834"/>
                          <pic:cNvPicPr>
                            <a:picLocks noChangeAspect="1"/>
                          </pic:cNvPicPr>
                        </pic:nvPicPr>
                        <pic:blipFill>
                          <a:blip r:embed="rId56"/>
                          <a:stretch>
                            <a:fillRect/>
                          </a:stretch>
                        </pic:blipFill>
                        <pic:spPr>
                          <a:xfrm>
                            <a:off x="0" y="0"/>
                            <a:ext cx="1068705" cy="858520"/>
                          </a:xfrm>
                          <a:prstGeom prst="rect">
                            <a:avLst/>
                          </a:prstGeom>
                          <a:noFill/>
                          <a:ln>
                            <a:noFill/>
                          </a:ln>
                        </pic:spPr>
                      </pic:pic>
                    </a:graphicData>
                  </a:graphic>
                </wp:inline>
              </w:drawing>
            </w:r>
          </w:p>
        </w:tc>
        <w:tc>
          <w:tcPr>
            <w:tcW w:w="825" w:type="dxa"/>
            <w:noWrap w:val="0"/>
            <w:vAlign w:val="center"/>
          </w:tcPr>
          <w:p w14:paraId="580D80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车库</w:t>
            </w:r>
          </w:p>
        </w:tc>
      </w:tr>
      <w:tr w14:paraId="5588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617" w:type="dxa"/>
            <w:noWrap w:val="0"/>
            <w:vAlign w:val="center"/>
          </w:tcPr>
          <w:p w14:paraId="53EF0B4C">
            <w:pPr>
              <w:pStyle w:val="3"/>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7</w:t>
            </w:r>
          </w:p>
        </w:tc>
        <w:tc>
          <w:tcPr>
            <w:tcW w:w="1065" w:type="dxa"/>
            <w:noWrap w:val="0"/>
            <w:vAlign w:val="center"/>
          </w:tcPr>
          <w:p w14:paraId="3F712D21">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办公桌</w:t>
            </w:r>
          </w:p>
        </w:tc>
        <w:tc>
          <w:tcPr>
            <w:tcW w:w="2940" w:type="dxa"/>
            <w:noWrap w:val="0"/>
            <w:vAlign w:val="center"/>
          </w:tcPr>
          <w:p w14:paraId="4F6F119B">
            <w:pPr>
              <w:pStyle w:val="3"/>
              <w:jc w:val="left"/>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规格：1000*500*760mm</w:t>
            </w:r>
          </w:p>
          <w:p w14:paraId="057C5ED4">
            <w:pPr>
              <w:pStyle w:val="3"/>
              <w:ind w:left="0" w:leftChars="0"/>
              <w:jc w:val="left"/>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采用优质实木皮贴面，密度板基材，达到国家E1级环保标准及以上。油漆：采用环保油漆，“五底三面”油漆工艺。优质五金件。</w:t>
            </w:r>
          </w:p>
        </w:tc>
        <w:tc>
          <w:tcPr>
            <w:tcW w:w="660" w:type="dxa"/>
            <w:noWrap w:val="0"/>
            <w:vAlign w:val="center"/>
          </w:tcPr>
          <w:p w14:paraId="1DDB4096">
            <w:pPr>
              <w:pStyle w:val="3"/>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张</w:t>
            </w:r>
          </w:p>
        </w:tc>
        <w:tc>
          <w:tcPr>
            <w:tcW w:w="923" w:type="dxa"/>
            <w:noWrap w:val="0"/>
            <w:vAlign w:val="center"/>
          </w:tcPr>
          <w:p w14:paraId="4E00AEC9">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1</w:t>
            </w:r>
          </w:p>
        </w:tc>
        <w:tc>
          <w:tcPr>
            <w:tcW w:w="900" w:type="dxa"/>
            <w:noWrap w:val="0"/>
            <w:vAlign w:val="center"/>
          </w:tcPr>
          <w:p w14:paraId="21F2FF63">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1</w:t>
            </w:r>
          </w:p>
        </w:tc>
        <w:tc>
          <w:tcPr>
            <w:tcW w:w="1444" w:type="dxa"/>
            <w:noWrap w:val="0"/>
            <w:vAlign w:val="top"/>
          </w:tcPr>
          <w:p w14:paraId="39ABC019">
            <w:pPr>
              <w:pStyle w:val="3"/>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drawing>
                <wp:inline distT="0" distB="0" distL="114300" distR="114300">
                  <wp:extent cx="1000125" cy="934085"/>
                  <wp:effectExtent l="0" t="0" r="9525" b="18415"/>
                  <wp:docPr id="101" name="图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descr="002"/>
                          <pic:cNvPicPr>
                            <a:picLocks noChangeAspect="1"/>
                          </pic:cNvPicPr>
                        </pic:nvPicPr>
                        <pic:blipFill>
                          <a:blip r:embed="rId51"/>
                          <a:srcRect t="20094" b="10559"/>
                          <a:stretch>
                            <a:fillRect/>
                          </a:stretch>
                        </pic:blipFill>
                        <pic:spPr>
                          <a:xfrm>
                            <a:off x="0" y="0"/>
                            <a:ext cx="1000125" cy="934085"/>
                          </a:xfrm>
                          <a:prstGeom prst="rect">
                            <a:avLst/>
                          </a:prstGeom>
                          <a:noFill/>
                          <a:ln>
                            <a:noFill/>
                          </a:ln>
                        </pic:spPr>
                      </pic:pic>
                    </a:graphicData>
                  </a:graphic>
                </wp:inline>
              </w:drawing>
            </w:r>
          </w:p>
        </w:tc>
        <w:tc>
          <w:tcPr>
            <w:tcW w:w="825" w:type="dxa"/>
            <w:vMerge w:val="restart"/>
            <w:noWrap w:val="0"/>
            <w:vAlign w:val="top"/>
          </w:tcPr>
          <w:p w14:paraId="637C8AE1">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237E0140">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0068CD48">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676E7965">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7FD5CE35">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1CCA6345">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372462D3">
            <w:pPr>
              <w:pStyle w:val="3"/>
              <w:jc w:val="center"/>
              <w:rPr>
                <w:rFonts w:hint="eastAsia" w:ascii="宋体" w:hAnsi="宋体" w:eastAsia="宋体" w:cs="宋体"/>
                <w:b w:val="0"/>
                <w:i w:val="0"/>
                <w:iCs w:val="0"/>
                <w:color w:val="auto"/>
                <w:kern w:val="0"/>
                <w:sz w:val="21"/>
                <w:szCs w:val="21"/>
                <w:highlight w:val="none"/>
                <w:u w:val="none"/>
                <w:lang w:val="en-US" w:eastAsia="zh-CN" w:bidi="ar"/>
              </w:rPr>
            </w:pPr>
          </w:p>
          <w:p w14:paraId="6A3680FF">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执勤</w:t>
            </w:r>
          </w:p>
          <w:p w14:paraId="5C3DAFA0">
            <w:pPr>
              <w:pStyle w:val="3"/>
              <w:ind w:left="0" w:leftChars="0" w:firstLine="0" w:firstLine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器材</w:t>
            </w:r>
          </w:p>
          <w:p w14:paraId="1BDE72F1">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库、</w:t>
            </w:r>
          </w:p>
          <w:p w14:paraId="509113B2">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训练</w:t>
            </w:r>
          </w:p>
          <w:p w14:paraId="727B692C">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器材</w:t>
            </w:r>
          </w:p>
          <w:p w14:paraId="0BAD7D6C">
            <w:pPr>
              <w:pStyle w:val="3"/>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库</w:t>
            </w:r>
          </w:p>
        </w:tc>
      </w:tr>
      <w:tr w14:paraId="39D6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617" w:type="dxa"/>
            <w:noWrap w:val="0"/>
            <w:vAlign w:val="center"/>
          </w:tcPr>
          <w:p w14:paraId="3FC3B2AD">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8</w:t>
            </w:r>
          </w:p>
        </w:tc>
        <w:tc>
          <w:tcPr>
            <w:tcW w:w="1065" w:type="dxa"/>
            <w:noWrap w:val="0"/>
            <w:vAlign w:val="center"/>
          </w:tcPr>
          <w:p w14:paraId="044892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椅子</w:t>
            </w:r>
          </w:p>
        </w:tc>
        <w:tc>
          <w:tcPr>
            <w:tcW w:w="2940" w:type="dxa"/>
            <w:noWrap w:val="0"/>
            <w:vAlign w:val="center"/>
          </w:tcPr>
          <w:p w14:paraId="34300917">
            <w:pPr>
              <w:keepNext w:val="0"/>
              <w:keepLines w:val="0"/>
              <w:widowControl/>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50CF4B4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1C87ADB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524760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64396C78">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48335" cy="934085"/>
                  <wp:effectExtent l="0" t="0" r="18415" b="18415"/>
                  <wp:docPr id="95" name="图片 8" descr="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descr="8060"/>
                          <pic:cNvPicPr>
                            <a:picLocks noChangeAspect="1"/>
                          </pic:cNvPicPr>
                        </pic:nvPicPr>
                        <pic:blipFill>
                          <a:blip r:embed="rId52"/>
                          <a:stretch>
                            <a:fillRect/>
                          </a:stretch>
                        </pic:blipFill>
                        <pic:spPr>
                          <a:xfrm>
                            <a:off x="0" y="0"/>
                            <a:ext cx="648335" cy="934085"/>
                          </a:xfrm>
                          <a:prstGeom prst="rect">
                            <a:avLst/>
                          </a:prstGeom>
                          <a:noFill/>
                          <a:ln>
                            <a:noFill/>
                          </a:ln>
                        </pic:spPr>
                      </pic:pic>
                    </a:graphicData>
                  </a:graphic>
                </wp:inline>
              </w:drawing>
            </w:r>
          </w:p>
        </w:tc>
        <w:tc>
          <w:tcPr>
            <w:tcW w:w="825" w:type="dxa"/>
            <w:vMerge w:val="continue"/>
            <w:noWrap w:val="0"/>
            <w:vAlign w:val="top"/>
          </w:tcPr>
          <w:p w14:paraId="5D675E70">
            <w:pPr>
              <w:pStyle w:val="3"/>
              <w:rPr>
                <w:rFonts w:hint="eastAsia" w:ascii="宋体" w:hAnsi="宋体" w:eastAsia="宋体" w:cs="宋体"/>
                <w:color w:val="auto"/>
                <w:highlight w:val="none"/>
                <w:vertAlign w:val="baseline"/>
                <w:lang w:val="en-US" w:eastAsia="zh-CN"/>
              </w:rPr>
            </w:pPr>
          </w:p>
        </w:tc>
      </w:tr>
      <w:tr w14:paraId="0BE6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trPr>
        <w:tc>
          <w:tcPr>
            <w:tcW w:w="617" w:type="dxa"/>
            <w:noWrap w:val="0"/>
            <w:vAlign w:val="center"/>
          </w:tcPr>
          <w:p w14:paraId="556D3F1C">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9</w:t>
            </w:r>
          </w:p>
        </w:tc>
        <w:tc>
          <w:tcPr>
            <w:tcW w:w="1065" w:type="dxa"/>
            <w:noWrap w:val="0"/>
            <w:vAlign w:val="center"/>
          </w:tcPr>
          <w:p w14:paraId="7618C11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器材放置架</w:t>
            </w:r>
          </w:p>
        </w:tc>
        <w:tc>
          <w:tcPr>
            <w:tcW w:w="2940" w:type="dxa"/>
            <w:noWrap w:val="0"/>
            <w:vAlign w:val="center"/>
          </w:tcPr>
          <w:p w14:paraId="2C23FA8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规格：2000*600*2000mm</w:t>
            </w:r>
          </w:p>
          <w:p w14:paraId="5B769E45">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用材：立柱厚度1.8mm。层板厚度0.8mm、横梁采用60*40*2.0mmP型管。</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660" w:type="dxa"/>
            <w:noWrap w:val="0"/>
            <w:vAlign w:val="center"/>
          </w:tcPr>
          <w:p w14:paraId="518F04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189A308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900" w:type="dxa"/>
            <w:noWrap w:val="0"/>
            <w:vAlign w:val="center"/>
          </w:tcPr>
          <w:p w14:paraId="3DC61D3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1444" w:type="dxa"/>
            <w:noWrap w:val="0"/>
            <w:vAlign w:val="top"/>
          </w:tcPr>
          <w:p w14:paraId="4A483789">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256665" cy="933450"/>
                  <wp:effectExtent l="0" t="0" r="635" b="0"/>
                  <wp:docPr id="17" name="图片 9" descr="TB2RuZ8mAKWBuNjy1zjXXcOypXa_!!199212951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TB2RuZ8mAKWBuNjy1zjXXcOypXa_!!1992129514_看图王.jpg"/>
                          <pic:cNvPicPr>
                            <a:picLocks noChangeAspect="1"/>
                          </pic:cNvPicPr>
                        </pic:nvPicPr>
                        <pic:blipFill>
                          <a:blip r:embed="rId57"/>
                          <a:stretch>
                            <a:fillRect/>
                          </a:stretch>
                        </pic:blipFill>
                        <pic:spPr>
                          <a:xfrm>
                            <a:off x="0" y="0"/>
                            <a:ext cx="1256665" cy="933450"/>
                          </a:xfrm>
                          <a:prstGeom prst="rect">
                            <a:avLst/>
                          </a:prstGeom>
                          <a:noFill/>
                          <a:ln>
                            <a:noFill/>
                          </a:ln>
                        </pic:spPr>
                      </pic:pic>
                    </a:graphicData>
                  </a:graphic>
                </wp:inline>
              </w:drawing>
            </w:r>
          </w:p>
        </w:tc>
        <w:tc>
          <w:tcPr>
            <w:tcW w:w="825" w:type="dxa"/>
            <w:vMerge w:val="continue"/>
            <w:noWrap w:val="0"/>
            <w:vAlign w:val="top"/>
          </w:tcPr>
          <w:p w14:paraId="624A7341">
            <w:pPr>
              <w:pStyle w:val="3"/>
              <w:rPr>
                <w:rFonts w:hint="eastAsia" w:ascii="宋体" w:hAnsi="宋体" w:eastAsia="宋体" w:cs="宋体"/>
                <w:color w:val="auto"/>
                <w:highlight w:val="none"/>
                <w:vertAlign w:val="baseline"/>
                <w:lang w:val="en-US" w:eastAsia="zh-CN"/>
              </w:rPr>
            </w:pPr>
          </w:p>
        </w:tc>
      </w:tr>
      <w:tr w14:paraId="78A6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617" w:type="dxa"/>
            <w:noWrap w:val="0"/>
            <w:vAlign w:val="center"/>
          </w:tcPr>
          <w:p w14:paraId="5F8BB66D">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10</w:t>
            </w:r>
          </w:p>
        </w:tc>
        <w:tc>
          <w:tcPr>
            <w:tcW w:w="1065" w:type="dxa"/>
            <w:noWrap w:val="0"/>
            <w:vAlign w:val="center"/>
          </w:tcPr>
          <w:p w14:paraId="5D90A43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器材放置架</w:t>
            </w:r>
          </w:p>
        </w:tc>
        <w:tc>
          <w:tcPr>
            <w:tcW w:w="2940" w:type="dxa"/>
            <w:noWrap w:val="0"/>
            <w:vAlign w:val="center"/>
          </w:tcPr>
          <w:p w14:paraId="746EC59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规格：2000*600*2000mm</w:t>
            </w:r>
          </w:p>
          <w:p w14:paraId="3BEE0D6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用材：立柱厚度1.8mm。层板厚度0.8mm、横梁采用60*40*2.0mm P型管。</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660" w:type="dxa"/>
            <w:noWrap w:val="0"/>
            <w:vAlign w:val="center"/>
          </w:tcPr>
          <w:p w14:paraId="01A4BD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42F49D1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50F2C22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5D95361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256665" cy="933450"/>
                  <wp:effectExtent l="0" t="0" r="635" b="0"/>
                  <wp:docPr id="14" name="图片 10" descr="TB2RuZ8mAKWBuNjy1zjXXcOypXa_!!199212951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TB2RuZ8mAKWBuNjy1zjXXcOypXa_!!1992129514_看图王.jpg"/>
                          <pic:cNvPicPr>
                            <a:picLocks noChangeAspect="1"/>
                          </pic:cNvPicPr>
                        </pic:nvPicPr>
                        <pic:blipFill>
                          <a:blip r:embed="rId57"/>
                          <a:stretch>
                            <a:fillRect/>
                          </a:stretch>
                        </pic:blipFill>
                        <pic:spPr>
                          <a:xfrm>
                            <a:off x="0" y="0"/>
                            <a:ext cx="1256665" cy="933450"/>
                          </a:xfrm>
                          <a:prstGeom prst="rect">
                            <a:avLst/>
                          </a:prstGeom>
                          <a:noFill/>
                          <a:ln>
                            <a:noFill/>
                          </a:ln>
                        </pic:spPr>
                      </pic:pic>
                    </a:graphicData>
                  </a:graphic>
                </wp:inline>
              </w:drawing>
            </w:r>
          </w:p>
        </w:tc>
        <w:tc>
          <w:tcPr>
            <w:tcW w:w="825" w:type="dxa"/>
            <w:noWrap w:val="0"/>
            <w:vAlign w:val="center"/>
          </w:tcPr>
          <w:p w14:paraId="3892146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空呼充气室、器材维修间</w:t>
            </w:r>
          </w:p>
        </w:tc>
      </w:tr>
      <w:tr w14:paraId="7B2F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4254923C">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11</w:t>
            </w:r>
          </w:p>
        </w:tc>
        <w:tc>
          <w:tcPr>
            <w:tcW w:w="1065" w:type="dxa"/>
            <w:noWrap w:val="0"/>
            <w:vAlign w:val="center"/>
          </w:tcPr>
          <w:p w14:paraId="2325882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餐桌（圆）</w:t>
            </w:r>
          </w:p>
        </w:tc>
        <w:tc>
          <w:tcPr>
            <w:tcW w:w="2940" w:type="dxa"/>
            <w:noWrap w:val="0"/>
            <w:vAlign w:val="center"/>
          </w:tcPr>
          <w:p w14:paraId="0EA132F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直径1.8米（配10条椅子)，采用橡胶木实木，油漆：采用环保油漆，“五底三面”油漆工艺。配钢化玻璃转盘</w:t>
            </w:r>
          </w:p>
        </w:tc>
        <w:tc>
          <w:tcPr>
            <w:tcW w:w="660" w:type="dxa"/>
            <w:noWrap w:val="0"/>
            <w:vAlign w:val="center"/>
          </w:tcPr>
          <w:p w14:paraId="527F92B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1150503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73217FE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3A82729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162050" cy="941705"/>
                  <wp:effectExtent l="0" t="0" r="0" b="10795"/>
                  <wp:docPr id="9" name="图片 11" descr="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y1[1]"/>
                          <pic:cNvPicPr>
                            <a:picLocks noChangeAspect="1"/>
                          </pic:cNvPicPr>
                        </pic:nvPicPr>
                        <pic:blipFill>
                          <a:blip r:embed="rId58"/>
                          <a:srcRect t="22289"/>
                          <a:stretch>
                            <a:fillRect/>
                          </a:stretch>
                        </pic:blipFill>
                        <pic:spPr>
                          <a:xfrm>
                            <a:off x="0" y="0"/>
                            <a:ext cx="1162050" cy="941705"/>
                          </a:xfrm>
                          <a:prstGeom prst="rect">
                            <a:avLst/>
                          </a:prstGeom>
                          <a:noFill/>
                          <a:ln>
                            <a:noFill/>
                          </a:ln>
                        </pic:spPr>
                      </pic:pic>
                    </a:graphicData>
                  </a:graphic>
                </wp:inline>
              </w:drawing>
            </w:r>
          </w:p>
        </w:tc>
        <w:tc>
          <w:tcPr>
            <w:tcW w:w="825" w:type="dxa"/>
            <w:noWrap w:val="0"/>
            <w:vAlign w:val="center"/>
          </w:tcPr>
          <w:p w14:paraId="1836F1F4">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餐厅</w:t>
            </w:r>
          </w:p>
        </w:tc>
      </w:tr>
      <w:tr w14:paraId="5C8D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45A8785C">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12</w:t>
            </w:r>
          </w:p>
        </w:tc>
        <w:tc>
          <w:tcPr>
            <w:tcW w:w="1065" w:type="dxa"/>
            <w:noWrap w:val="0"/>
            <w:vAlign w:val="center"/>
          </w:tcPr>
          <w:p w14:paraId="314498D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大餐桌（圆）</w:t>
            </w:r>
          </w:p>
        </w:tc>
        <w:tc>
          <w:tcPr>
            <w:tcW w:w="2940" w:type="dxa"/>
            <w:noWrap w:val="0"/>
            <w:vAlign w:val="center"/>
          </w:tcPr>
          <w:p w14:paraId="09101D2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直径2米（配12条椅子，台面采用优质岩板。表面色泽美观、不变色、光滑耐磨、手感好木纹纹理清晰，优质钢脚架。</w:t>
            </w:r>
          </w:p>
        </w:tc>
        <w:tc>
          <w:tcPr>
            <w:tcW w:w="660" w:type="dxa"/>
            <w:noWrap w:val="0"/>
            <w:vAlign w:val="center"/>
          </w:tcPr>
          <w:p w14:paraId="2108E0B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243B9BE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3858336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2D40AB96">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41375" cy="886460"/>
                  <wp:effectExtent l="0" t="0" r="15875" b="8890"/>
                  <wp:docPr id="6" name="图片 12"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21.png"/>
                          <pic:cNvPicPr>
                            <a:picLocks noChangeAspect="1"/>
                          </pic:cNvPicPr>
                        </pic:nvPicPr>
                        <pic:blipFill>
                          <a:blip r:embed="rId59"/>
                          <a:stretch>
                            <a:fillRect/>
                          </a:stretch>
                        </pic:blipFill>
                        <pic:spPr>
                          <a:xfrm>
                            <a:off x="0" y="0"/>
                            <a:ext cx="841375" cy="886460"/>
                          </a:xfrm>
                          <a:prstGeom prst="rect">
                            <a:avLst/>
                          </a:prstGeom>
                          <a:noFill/>
                          <a:ln>
                            <a:noFill/>
                          </a:ln>
                        </pic:spPr>
                      </pic:pic>
                    </a:graphicData>
                  </a:graphic>
                </wp:inline>
              </w:drawing>
            </w:r>
          </w:p>
        </w:tc>
        <w:tc>
          <w:tcPr>
            <w:tcW w:w="825" w:type="dxa"/>
            <w:vMerge w:val="restart"/>
            <w:noWrap w:val="0"/>
            <w:vAlign w:val="center"/>
          </w:tcPr>
          <w:p w14:paraId="30A4F525">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小餐厅</w:t>
            </w:r>
          </w:p>
        </w:tc>
      </w:tr>
      <w:tr w14:paraId="3908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56516E6B">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13</w:t>
            </w:r>
          </w:p>
        </w:tc>
        <w:tc>
          <w:tcPr>
            <w:tcW w:w="1065" w:type="dxa"/>
            <w:noWrap w:val="0"/>
            <w:vAlign w:val="center"/>
          </w:tcPr>
          <w:p w14:paraId="29F1F3E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餐边柜</w:t>
            </w:r>
          </w:p>
        </w:tc>
        <w:tc>
          <w:tcPr>
            <w:tcW w:w="2940" w:type="dxa"/>
            <w:noWrap w:val="0"/>
            <w:vAlign w:val="center"/>
          </w:tcPr>
          <w:p w14:paraId="0BA9E7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规格：1200</w:t>
            </w:r>
          </w:p>
          <w:p w14:paraId="161A2C7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采用优质实木多层基材，实木皮贴面。达到国家E1级环保标准及以上。油漆：采用环保油漆，“五底三面”油漆工艺。优质五金件。</w:t>
            </w:r>
          </w:p>
        </w:tc>
        <w:tc>
          <w:tcPr>
            <w:tcW w:w="660" w:type="dxa"/>
            <w:noWrap w:val="0"/>
            <w:vAlign w:val="center"/>
          </w:tcPr>
          <w:p w14:paraId="72FE022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3EAB897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900" w:type="dxa"/>
            <w:noWrap w:val="0"/>
            <w:vAlign w:val="center"/>
          </w:tcPr>
          <w:p w14:paraId="0FEC5FD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1444" w:type="dxa"/>
            <w:noWrap w:val="0"/>
            <w:vAlign w:val="top"/>
          </w:tcPr>
          <w:p w14:paraId="73F3CA12">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83920" cy="834390"/>
                  <wp:effectExtent l="0" t="0" r="11430" b="3810"/>
                  <wp:docPr id="12" name="图片 1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19.png"/>
                          <pic:cNvPicPr>
                            <a:picLocks noChangeAspect="1"/>
                          </pic:cNvPicPr>
                        </pic:nvPicPr>
                        <pic:blipFill>
                          <a:blip r:embed="rId60"/>
                          <a:stretch>
                            <a:fillRect/>
                          </a:stretch>
                        </pic:blipFill>
                        <pic:spPr>
                          <a:xfrm>
                            <a:off x="0" y="0"/>
                            <a:ext cx="883920" cy="834390"/>
                          </a:xfrm>
                          <a:prstGeom prst="rect">
                            <a:avLst/>
                          </a:prstGeom>
                          <a:noFill/>
                          <a:ln w="1">
                            <a:noFill/>
                          </a:ln>
                        </pic:spPr>
                      </pic:pic>
                    </a:graphicData>
                  </a:graphic>
                </wp:inline>
              </w:drawing>
            </w:r>
          </w:p>
        </w:tc>
        <w:tc>
          <w:tcPr>
            <w:tcW w:w="825" w:type="dxa"/>
            <w:vMerge w:val="continue"/>
            <w:noWrap w:val="0"/>
            <w:vAlign w:val="top"/>
          </w:tcPr>
          <w:p w14:paraId="123D46D5">
            <w:pPr>
              <w:pStyle w:val="3"/>
              <w:rPr>
                <w:rFonts w:hint="eastAsia" w:ascii="宋体" w:hAnsi="宋体" w:eastAsia="宋体" w:cs="宋体"/>
                <w:color w:val="auto"/>
                <w:sz w:val="21"/>
                <w:szCs w:val="21"/>
                <w:highlight w:val="none"/>
                <w:vertAlign w:val="baseline"/>
                <w:lang w:val="en-US" w:eastAsia="zh-CN"/>
              </w:rPr>
            </w:pPr>
          </w:p>
        </w:tc>
      </w:tr>
      <w:tr w14:paraId="5490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2069AF85">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14</w:t>
            </w:r>
          </w:p>
        </w:tc>
        <w:tc>
          <w:tcPr>
            <w:tcW w:w="1065" w:type="dxa"/>
            <w:noWrap w:val="0"/>
            <w:vAlign w:val="center"/>
          </w:tcPr>
          <w:p w14:paraId="5C6641A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床（含床头柜、床垫）</w:t>
            </w:r>
          </w:p>
        </w:tc>
        <w:tc>
          <w:tcPr>
            <w:tcW w:w="2940" w:type="dxa"/>
            <w:noWrap w:val="0"/>
            <w:vAlign w:val="center"/>
          </w:tcPr>
          <w:p w14:paraId="5705A6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规格：1000*2000*500mm优质多层实木板贴实木木皮，实木框架，达到国家E1级环保标准及以上。油漆：采用环保油漆，“五底三面”油漆工艺。</w:t>
            </w:r>
          </w:p>
        </w:tc>
        <w:tc>
          <w:tcPr>
            <w:tcW w:w="660" w:type="dxa"/>
            <w:noWrap w:val="0"/>
            <w:vAlign w:val="center"/>
          </w:tcPr>
          <w:p w14:paraId="2E37AB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2155726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900" w:type="dxa"/>
            <w:noWrap w:val="0"/>
            <w:vAlign w:val="center"/>
          </w:tcPr>
          <w:p w14:paraId="559ECCE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1444" w:type="dxa"/>
            <w:noWrap w:val="0"/>
            <w:vAlign w:val="top"/>
          </w:tcPr>
          <w:p w14:paraId="6351A249">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14375" cy="878205"/>
                  <wp:effectExtent l="0" t="0" r="9525" b="17145"/>
                  <wp:docPr id="15" name="图片 14" descr="Q%NAZBAOGW`7OSUT24_JY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NAZBAOGW`7OSUT24_JY9N"/>
                          <pic:cNvPicPr>
                            <a:picLocks noChangeAspect="1"/>
                          </pic:cNvPicPr>
                        </pic:nvPicPr>
                        <pic:blipFill>
                          <a:blip r:embed="rId54"/>
                          <a:stretch>
                            <a:fillRect/>
                          </a:stretch>
                        </pic:blipFill>
                        <pic:spPr>
                          <a:xfrm>
                            <a:off x="0" y="0"/>
                            <a:ext cx="714375" cy="878205"/>
                          </a:xfrm>
                          <a:prstGeom prst="rect">
                            <a:avLst/>
                          </a:prstGeom>
                          <a:noFill/>
                          <a:ln>
                            <a:noFill/>
                          </a:ln>
                        </pic:spPr>
                      </pic:pic>
                    </a:graphicData>
                  </a:graphic>
                </wp:inline>
              </w:drawing>
            </w:r>
          </w:p>
        </w:tc>
        <w:tc>
          <w:tcPr>
            <w:tcW w:w="825" w:type="dxa"/>
            <w:vMerge w:val="restart"/>
            <w:noWrap w:val="0"/>
            <w:vAlign w:val="center"/>
          </w:tcPr>
          <w:p w14:paraId="758D6569">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消防员备勤室</w:t>
            </w:r>
          </w:p>
        </w:tc>
      </w:tr>
      <w:tr w14:paraId="0A0D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2CE4EFED">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15</w:t>
            </w:r>
          </w:p>
        </w:tc>
        <w:tc>
          <w:tcPr>
            <w:tcW w:w="1065" w:type="dxa"/>
            <w:noWrap w:val="0"/>
            <w:vAlign w:val="center"/>
          </w:tcPr>
          <w:p w14:paraId="3983249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衣柜</w:t>
            </w:r>
          </w:p>
        </w:tc>
        <w:tc>
          <w:tcPr>
            <w:tcW w:w="2940" w:type="dxa"/>
            <w:noWrap w:val="0"/>
            <w:vAlign w:val="center"/>
          </w:tcPr>
          <w:p w14:paraId="2F23720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规格：800*600*2200mm</w:t>
            </w:r>
          </w:p>
          <w:p w14:paraId="34E6D0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优质多层实木板贴实木木皮，实木框架，达到国家E1级环保标准及以上。油漆：采用环保油漆，“五底三面”油漆工艺。</w:t>
            </w:r>
          </w:p>
        </w:tc>
        <w:tc>
          <w:tcPr>
            <w:tcW w:w="660" w:type="dxa"/>
            <w:noWrap w:val="0"/>
            <w:vAlign w:val="center"/>
          </w:tcPr>
          <w:p w14:paraId="2DF677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0CC78AE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900" w:type="dxa"/>
            <w:noWrap w:val="0"/>
            <w:vAlign w:val="center"/>
          </w:tcPr>
          <w:p w14:paraId="606B40C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444" w:type="dxa"/>
            <w:noWrap w:val="0"/>
            <w:vAlign w:val="top"/>
          </w:tcPr>
          <w:p w14:paraId="7F29CB99">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96620" cy="862330"/>
                  <wp:effectExtent l="0" t="0" r="17780" b="13970"/>
                  <wp:docPr id="18" name="图片 15" descr="微信图片_202106061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微信图片_20210606195838.jpg"/>
                          <pic:cNvPicPr>
                            <a:picLocks noChangeAspect="1"/>
                          </pic:cNvPicPr>
                        </pic:nvPicPr>
                        <pic:blipFill>
                          <a:blip r:embed="rId55"/>
                          <a:stretch>
                            <a:fillRect/>
                          </a:stretch>
                        </pic:blipFill>
                        <pic:spPr>
                          <a:xfrm>
                            <a:off x="0" y="0"/>
                            <a:ext cx="896620" cy="862330"/>
                          </a:xfrm>
                          <a:prstGeom prst="rect">
                            <a:avLst/>
                          </a:prstGeom>
                          <a:noFill/>
                          <a:ln>
                            <a:noFill/>
                          </a:ln>
                        </pic:spPr>
                      </pic:pic>
                    </a:graphicData>
                  </a:graphic>
                </wp:inline>
              </w:drawing>
            </w:r>
          </w:p>
        </w:tc>
        <w:tc>
          <w:tcPr>
            <w:tcW w:w="825" w:type="dxa"/>
            <w:vMerge w:val="continue"/>
            <w:noWrap w:val="0"/>
            <w:vAlign w:val="top"/>
          </w:tcPr>
          <w:p w14:paraId="57A1FEAC">
            <w:pPr>
              <w:pStyle w:val="3"/>
              <w:rPr>
                <w:rFonts w:hint="eastAsia" w:ascii="宋体" w:hAnsi="宋体" w:eastAsia="宋体" w:cs="宋体"/>
                <w:color w:val="auto"/>
                <w:sz w:val="21"/>
                <w:szCs w:val="21"/>
                <w:highlight w:val="none"/>
                <w:vertAlign w:val="baseline"/>
                <w:lang w:val="en-US" w:eastAsia="zh-CN"/>
              </w:rPr>
            </w:pPr>
          </w:p>
        </w:tc>
      </w:tr>
      <w:tr w14:paraId="266F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51CF18CD">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16</w:t>
            </w:r>
          </w:p>
        </w:tc>
        <w:tc>
          <w:tcPr>
            <w:tcW w:w="1065" w:type="dxa"/>
            <w:noWrap w:val="0"/>
            <w:vAlign w:val="center"/>
          </w:tcPr>
          <w:p w14:paraId="67B4F9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学习桌</w:t>
            </w:r>
          </w:p>
        </w:tc>
        <w:tc>
          <w:tcPr>
            <w:tcW w:w="2940" w:type="dxa"/>
            <w:noWrap w:val="0"/>
            <w:vAlign w:val="center"/>
          </w:tcPr>
          <w:p w14:paraId="242F60B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规格：1600*1100*760mm台面采用橡胶木实木板，其他采用优质多层实木板，实木皮贴面，环保油漆。</w:t>
            </w:r>
          </w:p>
        </w:tc>
        <w:tc>
          <w:tcPr>
            <w:tcW w:w="660" w:type="dxa"/>
            <w:noWrap w:val="0"/>
            <w:vAlign w:val="center"/>
          </w:tcPr>
          <w:p w14:paraId="105B725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4D010BE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63F171B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57BEEB92">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75030" cy="846455"/>
                  <wp:effectExtent l="0" t="0" r="1270" b="10795"/>
                  <wp:docPr id="19" name="图片 16" descr="微信图片_2021081620454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微信图片_20210816204544_看图王.jpg"/>
                          <pic:cNvPicPr>
                            <a:picLocks noChangeAspect="1"/>
                          </pic:cNvPicPr>
                        </pic:nvPicPr>
                        <pic:blipFill>
                          <a:blip r:embed="rId61"/>
                          <a:stretch>
                            <a:fillRect/>
                          </a:stretch>
                        </pic:blipFill>
                        <pic:spPr>
                          <a:xfrm>
                            <a:off x="0" y="0"/>
                            <a:ext cx="875030" cy="846455"/>
                          </a:xfrm>
                          <a:prstGeom prst="rect">
                            <a:avLst/>
                          </a:prstGeom>
                          <a:noFill/>
                          <a:ln>
                            <a:noFill/>
                          </a:ln>
                        </pic:spPr>
                      </pic:pic>
                    </a:graphicData>
                  </a:graphic>
                </wp:inline>
              </w:drawing>
            </w:r>
          </w:p>
        </w:tc>
        <w:tc>
          <w:tcPr>
            <w:tcW w:w="825" w:type="dxa"/>
            <w:vMerge w:val="restart"/>
            <w:noWrap w:val="0"/>
            <w:vAlign w:val="center"/>
          </w:tcPr>
          <w:p w14:paraId="38B262DC">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学习室</w:t>
            </w:r>
          </w:p>
        </w:tc>
      </w:tr>
      <w:tr w14:paraId="4F9F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48C0BDDA">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17</w:t>
            </w:r>
          </w:p>
        </w:tc>
        <w:tc>
          <w:tcPr>
            <w:tcW w:w="1065" w:type="dxa"/>
            <w:noWrap w:val="0"/>
            <w:vAlign w:val="center"/>
          </w:tcPr>
          <w:p w14:paraId="572F0D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学习桌</w:t>
            </w:r>
          </w:p>
        </w:tc>
        <w:tc>
          <w:tcPr>
            <w:tcW w:w="2940" w:type="dxa"/>
            <w:noWrap w:val="0"/>
            <w:vAlign w:val="center"/>
          </w:tcPr>
          <w:p w14:paraId="49BC72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规格：800*1100*760mm台面采用橡胶木实木板，其他采用优质多层实木板，实木皮贴面，环保油漆。</w:t>
            </w:r>
          </w:p>
        </w:tc>
        <w:tc>
          <w:tcPr>
            <w:tcW w:w="660" w:type="dxa"/>
            <w:noWrap w:val="0"/>
            <w:vAlign w:val="center"/>
          </w:tcPr>
          <w:p w14:paraId="183CE76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6DCAEEB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3E6F139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1F47658D">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66775" cy="846455"/>
                  <wp:effectExtent l="0" t="0" r="9525" b="10795"/>
                  <wp:docPr id="20" name="图片 17" descr="微信图片_2021081620454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微信图片_20210816204544_看图王.jpg"/>
                          <pic:cNvPicPr>
                            <a:picLocks noChangeAspect="1"/>
                          </pic:cNvPicPr>
                        </pic:nvPicPr>
                        <pic:blipFill>
                          <a:blip r:embed="rId61"/>
                          <a:stretch>
                            <a:fillRect/>
                          </a:stretch>
                        </pic:blipFill>
                        <pic:spPr>
                          <a:xfrm>
                            <a:off x="0" y="0"/>
                            <a:ext cx="866775" cy="846455"/>
                          </a:xfrm>
                          <a:prstGeom prst="rect">
                            <a:avLst/>
                          </a:prstGeom>
                          <a:noFill/>
                          <a:ln>
                            <a:noFill/>
                          </a:ln>
                        </pic:spPr>
                      </pic:pic>
                    </a:graphicData>
                  </a:graphic>
                </wp:inline>
              </w:drawing>
            </w:r>
          </w:p>
        </w:tc>
        <w:tc>
          <w:tcPr>
            <w:tcW w:w="825" w:type="dxa"/>
            <w:vMerge w:val="continue"/>
            <w:noWrap w:val="0"/>
            <w:vAlign w:val="top"/>
          </w:tcPr>
          <w:p w14:paraId="4D685C54">
            <w:pPr>
              <w:pStyle w:val="3"/>
              <w:rPr>
                <w:rFonts w:hint="eastAsia" w:ascii="宋体" w:hAnsi="宋体" w:eastAsia="宋体" w:cs="宋体"/>
                <w:color w:val="auto"/>
                <w:sz w:val="21"/>
                <w:szCs w:val="21"/>
                <w:highlight w:val="none"/>
                <w:vertAlign w:val="baseline"/>
                <w:lang w:val="en-US" w:eastAsia="zh-CN"/>
              </w:rPr>
            </w:pPr>
          </w:p>
        </w:tc>
      </w:tr>
      <w:tr w14:paraId="09D2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617" w:type="dxa"/>
            <w:noWrap w:val="0"/>
            <w:vAlign w:val="center"/>
          </w:tcPr>
          <w:p w14:paraId="1514966A">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18</w:t>
            </w:r>
          </w:p>
        </w:tc>
        <w:tc>
          <w:tcPr>
            <w:tcW w:w="1065" w:type="dxa"/>
            <w:noWrap w:val="0"/>
            <w:vAlign w:val="center"/>
          </w:tcPr>
          <w:p w14:paraId="3948D0C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凳子</w:t>
            </w:r>
          </w:p>
        </w:tc>
        <w:tc>
          <w:tcPr>
            <w:tcW w:w="2940" w:type="dxa"/>
            <w:noWrap w:val="0"/>
            <w:vAlign w:val="center"/>
          </w:tcPr>
          <w:p w14:paraId="2A730E3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常规，优质橡胶木实木，环保油漆</w:t>
            </w:r>
          </w:p>
        </w:tc>
        <w:tc>
          <w:tcPr>
            <w:tcW w:w="660" w:type="dxa"/>
            <w:noWrap w:val="0"/>
            <w:vAlign w:val="center"/>
          </w:tcPr>
          <w:p w14:paraId="6CC0C70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78145E5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w:t>
            </w:r>
          </w:p>
        </w:tc>
        <w:tc>
          <w:tcPr>
            <w:tcW w:w="900" w:type="dxa"/>
            <w:noWrap w:val="0"/>
            <w:vAlign w:val="center"/>
          </w:tcPr>
          <w:p w14:paraId="134ED38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1444" w:type="dxa"/>
            <w:noWrap w:val="0"/>
            <w:vAlign w:val="top"/>
          </w:tcPr>
          <w:p w14:paraId="53A35C9D">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22655" cy="885825"/>
                  <wp:effectExtent l="0" t="0" r="10795" b="9525"/>
                  <wp:docPr id="16" name="图片 18" descr="微信图片_202108162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微信图片_20210816204850.jpg"/>
                          <pic:cNvPicPr>
                            <a:picLocks noChangeAspect="1"/>
                          </pic:cNvPicPr>
                        </pic:nvPicPr>
                        <pic:blipFill>
                          <a:blip r:embed="rId62"/>
                          <a:stretch>
                            <a:fillRect/>
                          </a:stretch>
                        </pic:blipFill>
                        <pic:spPr>
                          <a:xfrm>
                            <a:off x="0" y="0"/>
                            <a:ext cx="922655" cy="885825"/>
                          </a:xfrm>
                          <a:prstGeom prst="rect">
                            <a:avLst/>
                          </a:prstGeom>
                          <a:noFill/>
                          <a:ln>
                            <a:noFill/>
                          </a:ln>
                        </pic:spPr>
                      </pic:pic>
                    </a:graphicData>
                  </a:graphic>
                </wp:inline>
              </w:drawing>
            </w:r>
          </w:p>
        </w:tc>
        <w:tc>
          <w:tcPr>
            <w:tcW w:w="825" w:type="dxa"/>
            <w:vMerge w:val="continue"/>
            <w:noWrap w:val="0"/>
            <w:vAlign w:val="top"/>
          </w:tcPr>
          <w:p w14:paraId="7CF1D43E">
            <w:pPr>
              <w:pStyle w:val="3"/>
              <w:rPr>
                <w:rFonts w:hint="eastAsia" w:ascii="宋体" w:hAnsi="宋体" w:eastAsia="宋体" w:cs="宋体"/>
                <w:color w:val="auto"/>
                <w:sz w:val="21"/>
                <w:szCs w:val="21"/>
                <w:highlight w:val="none"/>
                <w:vertAlign w:val="baseline"/>
                <w:lang w:val="en-US" w:eastAsia="zh-CN"/>
              </w:rPr>
            </w:pPr>
          </w:p>
        </w:tc>
      </w:tr>
      <w:tr w14:paraId="2675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617" w:type="dxa"/>
            <w:noWrap w:val="0"/>
            <w:vAlign w:val="center"/>
          </w:tcPr>
          <w:p w14:paraId="0A79793E">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19</w:t>
            </w:r>
          </w:p>
        </w:tc>
        <w:tc>
          <w:tcPr>
            <w:tcW w:w="1065" w:type="dxa"/>
            <w:noWrap w:val="0"/>
            <w:vAlign w:val="center"/>
          </w:tcPr>
          <w:p w14:paraId="0597583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2940" w:type="dxa"/>
            <w:noWrap w:val="0"/>
            <w:vAlign w:val="center"/>
          </w:tcPr>
          <w:p w14:paraId="12CD44A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规格：1600*800*760mm采用优质实木皮贴面，密度板基材，达到国家E1级环保标准及以上。油漆：采用环保油漆，“五底三面”油漆工艺。优质五金件。</w:t>
            </w:r>
          </w:p>
        </w:tc>
        <w:tc>
          <w:tcPr>
            <w:tcW w:w="660" w:type="dxa"/>
            <w:noWrap w:val="0"/>
            <w:vAlign w:val="center"/>
          </w:tcPr>
          <w:p w14:paraId="021B16A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7D2302E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55AFC9A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692C1DB3">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000125" cy="934085"/>
                  <wp:effectExtent l="0" t="0" r="9525" b="18415"/>
                  <wp:docPr id="5" name="图片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002"/>
                          <pic:cNvPicPr>
                            <a:picLocks noChangeAspect="1"/>
                          </pic:cNvPicPr>
                        </pic:nvPicPr>
                        <pic:blipFill>
                          <a:blip r:embed="rId51"/>
                          <a:srcRect t="20094" b="10559"/>
                          <a:stretch>
                            <a:fillRect/>
                          </a:stretch>
                        </pic:blipFill>
                        <pic:spPr>
                          <a:xfrm>
                            <a:off x="0" y="0"/>
                            <a:ext cx="1000125" cy="934085"/>
                          </a:xfrm>
                          <a:prstGeom prst="rect">
                            <a:avLst/>
                          </a:prstGeom>
                          <a:noFill/>
                          <a:ln>
                            <a:noFill/>
                          </a:ln>
                        </pic:spPr>
                      </pic:pic>
                    </a:graphicData>
                  </a:graphic>
                </wp:inline>
              </w:drawing>
            </w:r>
          </w:p>
        </w:tc>
        <w:tc>
          <w:tcPr>
            <w:tcW w:w="825" w:type="dxa"/>
            <w:vMerge w:val="restart"/>
            <w:noWrap w:val="0"/>
            <w:vAlign w:val="center"/>
          </w:tcPr>
          <w:p w14:paraId="0070A0FC">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站务办公室</w:t>
            </w:r>
          </w:p>
        </w:tc>
      </w:tr>
      <w:tr w14:paraId="0857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617" w:type="dxa"/>
            <w:noWrap w:val="0"/>
            <w:vAlign w:val="center"/>
          </w:tcPr>
          <w:p w14:paraId="189D34B8">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20</w:t>
            </w:r>
          </w:p>
        </w:tc>
        <w:tc>
          <w:tcPr>
            <w:tcW w:w="1065" w:type="dxa"/>
            <w:noWrap w:val="0"/>
            <w:vAlign w:val="center"/>
          </w:tcPr>
          <w:p w14:paraId="74FD9BE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2940" w:type="dxa"/>
            <w:noWrap w:val="0"/>
            <w:vAlign w:val="center"/>
          </w:tcPr>
          <w:p w14:paraId="4533F11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常规，采用优质网布，高回弹海棉，优质钢架。</w:t>
            </w:r>
          </w:p>
        </w:tc>
        <w:tc>
          <w:tcPr>
            <w:tcW w:w="660" w:type="dxa"/>
            <w:noWrap w:val="0"/>
            <w:vAlign w:val="center"/>
          </w:tcPr>
          <w:p w14:paraId="7266A94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6EE9581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725965C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119B9251">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038225" cy="914400"/>
                  <wp:effectExtent l="0" t="0" r="9525" b="0"/>
                  <wp:docPr id="7" name="图片 2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14.png"/>
                          <pic:cNvPicPr>
                            <a:picLocks noChangeAspect="1"/>
                          </pic:cNvPicPr>
                        </pic:nvPicPr>
                        <pic:blipFill>
                          <a:blip r:embed="rId63"/>
                          <a:stretch>
                            <a:fillRect/>
                          </a:stretch>
                        </pic:blipFill>
                        <pic:spPr>
                          <a:xfrm>
                            <a:off x="0" y="0"/>
                            <a:ext cx="1038225" cy="914400"/>
                          </a:xfrm>
                          <a:prstGeom prst="rect">
                            <a:avLst/>
                          </a:prstGeom>
                          <a:noFill/>
                          <a:ln w="1">
                            <a:noFill/>
                          </a:ln>
                        </pic:spPr>
                      </pic:pic>
                    </a:graphicData>
                  </a:graphic>
                </wp:inline>
              </w:drawing>
            </w:r>
          </w:p>
        </w:tc>
        <w:tc>
          <w:tcPr>
            <w:tcW w:w="825" w:type="dxa"/>
            <w:vMerge w:val="continue"/>
            <w:noWrap w:val="0"/>
            <w:vAlign w:val="top"/>
          </w:tcPr>
          <w:p w14:paraId="27B3576E">
            <w:pPr>
              <w:pStyle w:val="3"/>
              <w:rPr>
                <w:rFonts w:hint="eastAsia" w:ascii="宋体" w:hAnsi="宋体" w:eastAsia="宋体" w:cs="宋体"/>
                <w:color w:val="auto"/>
                <w:sz w:val="21"/>
                <w:szCs w:val="21"/>
                <w:highlight w:val="none"/>
                <w:vertAlign w:val="baseline"/>
                <w:lang w:val="en-US" w:eastAsia="zh-CN"/>
              </w:rPr>
            </w:pPr>
          </w:p>
        </w:tc>
      </w:tr>
      <w:tr w14:paraId="0768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617" w:type="dxa"/>
            <w:noWrap w:val="0"/>
            <w:vAlign w:val="center"/>
          </w:tcPr>
          <w:p w14:paraId="0CAD4C02">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21</w:t>
            </w:r>
          </w:p>
        </w:tc>
        <w:tc>
          <w:tcPr>
            <w:tcW w:w="1065" w:type="dxa"/>
            <w:noWrap w:val="0"/>
            <w:vAlign w:val="center"/>
          </w:tcPr>
          <w:p w14:paraId="0DB84C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文件柜</w:t>
            </w:r>
          </w:p>
        </w:tc>
        <w:tc>
          <w:tcPr>
            <w:tcW w:w="2940" w:type="dxa"/>
            <w:noWrap w:val="0"/>
            <w:vAlign w:val="center"/>
          </w:tcPr>
          <w:p w14:paraId="49DC0CA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规格：1200*400*2000mm采用优质实木皮贴面，密度板基材，达到国家E1级环保标准及以上。油漆：采用环保油漆，“五底三面”油漆工艺。优质五金件。</w:t>
            </w:r>
          </w:p>
        </w:tc>
        <w:tc>
          <w:tcPr>
            <w:tcW w:w="660" w:type="dxa"/>
            <w:noWrap w:val="0"/>
            <w:vAlign w:val="center"/>
          </w:tcPr>
          <w:p w14:paraId="40609E8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5C84887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788939F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54918B84">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61975" cy="885825"/>
                  <wp:effectExtent l="0" t="0" r="9525" b="9525"/>
                  <wp:docPr id="8" name="图片 2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1.png"/>
                          <pic:cNvPicPr>
                            <a:picLocks noChangeAspect="1"/>
                          </pic:cNvPicPr>
                        </pic:nvPicPr>
                        <pic:blipFill>
                          <a:blip r:embed="rId64"/>
                          <a:stretch>
                            <a:fillRect/>
                          </a:stretch>
                        </pic:blipFill>
                        <pic:spPr>
                          <a:xfrm>
                            <a:off x="0" y="0"/>
                            <a:ext cx="561975" cy="885825"/>
                          </a:xfrm>
                          <a:prstGeom prst="rect">
                            <a:avLst/>
                          </a:prstGeom>
                          <a:noFill/>
                          <a:ln w="1">
                            <a:noFill/>
                          </a:ln>
                        </pic:spPr>
                      </pic:pic>
                    </a:graphicData>
                  </a:graphic>
                </wp:inline>
              </w:drawing>
            </w:r>
          </w:p>
        </w:tc>
        <w:tc>
          <w:tcPr>
            <w:tcW w:w="825" w:type="dxa"/>
            <w:vMerge w:val="continue"/>
            <w:noWrap w:val="0"/>
            <w:vAlign w:val="top"/>
          </w:tcPr>
          <w:p w14:paraId="0DE70BB3">
            <w:pPr>
              <w:pStyle w:val="3"/>
              <w:rPr>
                <w:rFonts w:hint="eastAsia" w:ascii="宋体" w:hAnsi="宋体" w:eastAsia="宋体" w:cs="宋体"/>
                <w:color w:val="auto"/>
                <w:sz w:val="21"/>
                <w:szCs w:val="21"/>
                <w:highlight w:val="none"/>
                <w:vertAlign w:val="baseline"/>
                <w:lang w:val="en-US" w:eastAsia="zh-CN"/>
              </w:rPr>
            </w:pPr>
          </w:p>
        </w:tc>
      </w:tr>
      <w:tr w14:paraId="0076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617" w:type="dxa"/>
            <w:noWrap w:val="0"/>
            <w:vAlign w:val="center"/>
          </w:tcPr>
          <w:p w14:paraId="1FB2B32B">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22</w:t>
            </w:r>
          </w:p>
        </w:tc>
        <w:tc>
          <w:tcPr>
            <w:tcW w:w="1065" w:type="dxa"/>
            <w:noWrap w:val="0"/>
            <w:vAlign w:val="center"/>
          </w:tcPr>
          <w:p w14:paraId="1E58CE6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沙发</w:t>
            </w:r>
          </w:p>
        </w:tc>
        <w:tc>
          <w:tcPr>
            <w:tcW w:w="2940" w:type="dxa"/>
            <w:noWrap w:val="0"/>
            <w:vAlign w:val="center"/>
          </w:tcPr>
          <w:p w14:paraId="51CDC86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1+1+3+茶几，采用优质牛皮，高回弹海绵，实木支架，油漆：采用环保油漆，“五底三面”油漆工艺。茶几：采用优质实木皮贴面，高密度板基材，油漆：采用环保油漆，“五底三面”油漆工艺。</w:t>
            </w:r>
          </w:p>
        </w:tc>
        <w:tc>
          <w:tcPr>
            <w:tcW w:w="660" w:type="dxa"/>
            <w:noWrap w:val="0"/>
            <w:vAlign w:val="center"/>
          </w:tcPr>
          <w:p w14:paraId="1EB0839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4D8E8E6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798899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582E449A">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48995" cy="770890"/>
                  <wp:effectExtent l="0" t="0" r="8255" b="10160"/>
                  <wp:docPr id="10" name="图片 22" descr="木扶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木扶手"/>
                          <pic:cNvPicPr>
                            <a:picLocks noChangeAspect="1"/>
                          </pic:cNvPicPr>
                        </pic:nvPicPr>
                        <pic:blipFill>
                          <a:blip r:embed="rId65"/>
                          <a:stretch>
                            <a:fillRect/>
                          </a:stretch>
                        </pic:blipFill>
                        <pic:spPr>
                          <a:xfrm>
                            <a:off x="0" y="0"/>
                            <a:ext cx="848995" cy="770890"/>
                          </a:xfrm>
                          <a:prstGeom prst="rect">
                            <a:avLst/>
                          </a:prstGeom>
                          <a:noFill/>
                          <a:ln>
                            <a:noFill/>
                          </a:ln>
                        </pic:spPr>
                      </pic:pic>
                    </a:graphicData>
                  </a:graphic>
                </wp:inline>
              </w:drawing>
            </w:r>
          </w:p>
        </w:tc>
        <w:tc>
          <w:tcPr>
            <w:tcW w:w="825" w:type="dxa"/>
            <w:vMerge w:val="continue"/>
            <w:noWrap w:val="0"/>
            <w:vAlign w:val="top"/>
          </w:tcPr>
          <w:p w14:paraId="530FF4EE">
            <w:pPr>
              <w:pStyle w:val="3"/>
              <w:rPr>
                <w:rFonts w:hint="eastAsia" w:ascii="宋体" w:hAnsi="宋体" w:eastAsia="宋体" w:cs="宋体"/>
                <w:color w:val="auto"/>
                <w:sz w:val="21"/>
                <w:szCs w:val="21"/>
                <w:highlight w:val="none"/>
                <w:vertAlign w:val="baseline"/>
                <w:lang w:val="en-US" w:eastAsia="zh-CN"/>
              </w:rPr>
            </w:pPr>
          </w:p>
        </w:tc>
      </w:tr>
      <w:tr w14:paraId="2E0C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617" w:type="dxa"/>
            <w:noWrap w:val="0"/>
            <w:vAlign w:val="center"/>
          </w:tcPr>
          <w:p w14:paraId="0D92759D">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23</w:t>
            </w:r>
          </w:p>
        </w:tc>
        <w:tc>
          <w:tcPr>
            <w:tcW w:w="1065" w:type="dxa"/>
            <w:noWrap w:val="0"/>
            <w:vAlign w:val="center"/>
          </w:tcPr>
          <w:p w14:paraId="5ECF833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会议桌</w:t>
            </w:r>
          </w:p>
        </w:tc>
        <w:tc>
          <w:tcPr>
            <w:tcW w:w="2940" w:type="dxa"/>
            <w:noWrap w:val="0"/>
            <w:vAlign w:val="center"/>
          </w:tcPr>
          <w:p w14:paraId="10EC2BB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规格：4800*2000*760mm采用优质实木皮贴面，密度板基材，达到国家E1级环保标准及以上。油漆：采用环保油漆，“五底三面”油漆工艺。优质五金件。</w:t>
            </w:r>
          </w:p>
        </w:tc>
        <w:tc>
          <w:tcPr>
            <w:tcW w:w="660" w:type="dxa"/>
            <w:noWrap w:val="0"/>
            <w:vAlign w:val="center"/>
          </w:tcPr>
          <w:p w14:paraId="433A27A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090DCA8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1002E1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444" w:type="dxa"/>
            <w:noWrap w:val="0"/>
            <w:vAlign w:val="top"/>
          </w:tcPr>
          <w:p w14:paraId="1D2006E0">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35660" cy="866140"/>
                  <wp:effectExtent l="0" t="0" r="2540" b="10160"/>
                  <wp:docPr id="11" name="图片 2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11.png"/>
                          <pic:cNvPicPr>
                            <a:picLocks noChangeAspect="1"/>
                          </pic:cNvPicPr>
                        </pic:nvPicPr>
                        <pic:blipFill>
                          <a:blip r:embed="rId66"/>
                          <a:stretch>
                            <a:fillRect/>
                          </a:stretch>
                        </pic:blipFill>
                        <pic:spPr>
                          <a:xfrm>
                            <a:off x="0" y="0"/>
                            <a:ext cx="835660" cy="866140"/>
                          </a:xfrm>
                          <a:prstGeom prst="rect">
                            <a:avLst/>
                          </a:prstGeom>
                          <a:noFill/>
                          <a:ln w="1">
                            <a:noFill/>
                          </a:ln>
                        </pic:spPr>
                      </pic:pic>
                    </a:graphicData>
                  </a:graphic>
                </wp:inline>
              </w:drawing>
            </w:r>
          </w:p>
        </w:tc>
        <w:tc>
          <w:tcPr>
            <w:tcW w:w="825" w:type="dxa"/>
            <w:vMerge w:val="restart"/>
            <w:noWrap w:val="0"/>
            <w:vAlign w:val="center"/>
          </w:tcPr>
          <w:p w14:paraId="578335BD">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党团活动室</w:t>
            </w:r>
          </w:p>
        </w:tc>
      </w:tr>
      <w:tr w14:paraId="4B26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617" w:type="dxa"/>
            <w:noWrap w:val="0"/>
            <w:vAlign w:val="center"/>
          </w:tcPr>
          <w:p w14:paraId="2CA13B4C">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24</w:t>
            </w:r>
          </w:p>
        </w:tc>
        <w:tc>
          <w:tcPr>
            <w:tcW w:w="1065" w:type="dxa"/>
            <w:noWrap w:val="0"/>
            <w:vAlign w:val="center"/>
          </w:tcPr>
          <w:p w14:paraId="2A71C4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会议椅</w:t>
            </w:r>
          </w:p>
        </w:tc>
        <w:tc>
          <w:tcPr>
            <w:tcW w:w="2940" w:type="dxa"/>
            <w:noWrap w:val="0"/>
            <w:vAlign w:val="center"/>
          </w:tcPr>
          <w:p w14:paraId="65238CE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6B0934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46BC961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900" w:type="dxa"/>
            <w:noWrap w:val="0"/>
            <w:vAlign w:val="center"/>
          </w:tcPr>
          <w:p w14:paraId="33B3AA4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444" w:type="dxa"/>
            <w:noWrap w:val="0"/>
            <w:vAlign w:val="top"/>
          </w:tcPr>
          <w:p w14:paraId="0B06E441">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62635" cy="878205"/>
                  <wp:effectExtent l="0" t="0" r="18415" b="17145"/>
                  <wp:docPr id="13" name="图片 24" descr="复印文件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复印文件 013"/>
                          <pic:cNvPicPr>
                            <a:picLocks noChangeAspect="1"/>
                          </pic:cNvPicPr>
                        </pic:nvPicPr>
                        <pic:blipFill>
                          <a:blip r:embed="rId67"/>
                          <a:stretch>
                            <a:fillRect/>
                          </a:stretch>
                        </pic:blipFill>
                        <pic:spPr>
                          <a:xfrm>
                            <a:off x="0" y="0"/>
                            <a:ext cx="762635" cy="878205"/>
                          </a:xfrm>
                          <a:prstGeom prst="rect">
                            <a:avLst/>
                          </a:prstGeom>
                          <a:noFill/>
                          <a:ln>
                            <a:noFill/>
                          </a:ln>
                        </pic:spPr>
                      </pic:pic>
                    </a:graphicData>
                  </a:graphic>
                </wp:inline>
              </w:drawing>
            </w:r>
          </w:p>
        </w:tc>
        <w:tc>
          <w:tcPr>
            <w:tcW w:w="825" w:type="dxa"/>
            <w:vMerge w:val="continue"/>
            <w:noWrap w:val="0"/>
            <w:vAlign w:val="top"/>
          </w:tcPr>
          <w:p w14:paraId="548AF0C5">
            <w:pPr>
              <w:pStyle w:val="3"/>
              <w:rPr>
                <w:rFonts w:hint="eastAsia" w:ascii="宋体" w:hAnsi="宋体" w:eastAsia="宋体" w:cs="宋体"/>
                <w:color w:val="auto"/>
                <w:sz w:val="21"/>
                <w:szCs w:val="21"/>
                <w:highlight w:val="none"/>
                <w:vertAlign w:val="baseline"/>
                <w:lang w:val="en-US" w:eastAsia="zh-CN"/>
              </w:rPr>
            </w:pPr>
          </w:p>
        </w:tc>
      </w:tr>
      <w:tr w14:paraId="46D8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0D0F1917">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25</w:t>
            </w:r>
          </w:p>
        </w:tc>
        <w:tc>
          <w:tcPr>
            <w:tcW w:w="1065" w:type="dxa"/>
            <w:noWrap w:val="0"/>
            <w:vAlign w:val="center"/>
          </w:tcPr>
          <w:p w14:paraId="44739AF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文件柜</w:t>
            </w:r>
          </w:p>
        </w:tc>
        <w:tc>
          <w:tcPr>
            <w:tcW w:w="2940" w:type="dxa"/>
            <w:noWrap w:val="0"/>
            <w:vAlign w:val="center"/>
          </w:tcPr>
          <w:p w14:paraId="082716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规格：900*430*2000mm，采用优质实木皮贴面，密度板基材，达到国家E1级环保标准及以上。油漆：采用环保油漆，“五底三面”油漆工艺。优质五金件。</w:t>
            </w:r>
          </w:p>
        </w:tc>
        <w:tc>
          <w:tcPr>
            <w:tcW w:w="660" w:type="dxa"/>
            <w:noWrap w:val="0"/>
            <w:vAlign w:val="center"/>
          </w:tcPr>
          <w:p w14:paraId="571C06C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0013093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900" w:type="dxa"/>
            <w:noWrap w:val="0"/>
            <w:vAlign w:val="center"/>
          </w:tcPr>
          <w:p w14:paraId="31B2515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444" w:type="dxa"/>
            <w:noWrap w:val="0"/>
            <w:vAlign w:val="top"/>
          </w:tcPr>
          <w:p w14:paraId="200DBA63">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14375" cy="941705"/>
                  <wp:effectExtent l="0" t="0" r="9525" b="10795"/>
                  <wp:docPr id="24" name="图片 25" descr="2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2门"/>
                          <pic:cNvPicPr>
                            <a:picLocks noChangeAspect="1"/>
                          </pic:cNvPicPr>
                        </pic:nvPicPr>
                        <pic:blipFill>
                          <a:blip r:embed="rId53"/>
                          <a:stretch>
                            <a:fillRect/>
                          </a:stretch>
                        </pic:blipFill>
                        <pic:spPr>
                          <a:xfrm>
                            <a:off x="0" y="0"/>
                            <a:ext cx="714375" cy="941705"/>
                          </a:xfrm>
                          <a:prstGeom prst="rect">
                            <a:avLst/>
                          </a:prstGeom>
                          <a:noFill/>
                          <a:ln>
                            <a:noFill/>
                          </a:ln>
                        </pic:spPr>
                      </pic:pic>
                    </a:graphicData>
                  </a:graphic>
                </wp:inline>
              </w:drawing>
            </w:r>
          </w:p>
        </w:tc>
        <w:tc>
          <w:tcPr>
            <w:tcW w:w="825" w:type="dxa"/>
            <w:vMerge w:val="continue"/>
            <w:noWrap w:val="0"/>
            <w:vAlign w:val="top"/>
          </w:tcPr>
          <w:p w14:paraId="42FE078E">
            <w:pPr>
              <w:pStyle w:val="3"/>
              <w:rPr>
                <w:rFonts w:hint="eastAsia" w:ascii="宋体" w:hAnsi="宋体" w:eastAsia="宋体" w:cs="宋体"/>
                <w:color w:val="auto"/>
                <w:sz w:val="21"/>
                <w:szCs w:val="21"/>
                <w:highlight w:val="none"/>
                <w:vertAlign w:val="baseline"/>
                <w:lang w:val="en-US" w:eastAsia="zh-CN"/>
              </w:rPr>
            </w:pPr>
          </w:p>
        </w:tc>
      </w:tr>
      <w:tr w14:paraId="3C0D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05880D2A">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26</w:t>
            </w:r>
          </w:p>
        </w:tc>
        <w:tc>
          <w:tcPr>
            <w:tcW w:w="1065" w:type="dxa"/>
            <w:noWrap w:val="0"/>
            <w:vAlign w:val="center"/>
          </w:tcPr>
          <w:p w14:paraId="4D6A3C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床（含床头柜、床垫）</w:t>
            </w:r>
          </w:p>
        </w:tc>
        <w:tc>
          <w:tcPr>
            <w:tcW w:w="2940" w:type="dxa"/>
            <w:noWrap w:val="0"/>
            <w:vAlign w:val="center"/>
          </w:tcPr>
          <w:p w14:paraId="5CD323B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规格：1000*2000*500mm，优质多层实木板贴实木木皮，实木框架，达到国家E1级环保标准及以上。油漆：采用环保油漆，“五底三面”油漆工艺。</w:t>
            </w:r>
          </w:p>
        </w:tc>
        <w:tc>
          <w:tcPr>
            <w:tcW w:w="660" w:type="dxa"/>
            <w:noWrap w:val="0"/>
            <w:vAlign w:val="center"/>
          </w:tcPr>
          <w:p w14:paraId="3616FA9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330AFE6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7E9AC7B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6032A632">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14375" cy="878205"/>
                  <wp:effectExtent l="0" t="0" r="9525" b="17145"/>
                  <wp:docPr id="28" name="图片 26" descr="Q%NAZBAOGW`7OSUT24_JY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Q%NAZBAOGW`7OSUT24_JY9N"/>
                          <pic:cNvPicPr>
                            <a:picLocks noChangeAspect="1"/>
                          </pic:cNvPicPr>
                        </pic:nvPicPr>
                        <pic:blipFill>
                          <a:blip r:embed="rId54"/>
                          <a:stretch>
                            <a:fillRect/>
                          </a:stretch>
                        </pic:blipFill>
                        <pic:spPr>
                          <a:xfrm>
                            <a:off x="0" y="0"/>
                            <a:ext cx="714375" cy="878205"/>
                          </a:xfrm>
                          <a:prstGeom prst="rect">
                            <a:avLst/>
                          </a:prstGeom>
                          <a:noFill/>
                          <a:ln>
                            <a:noFill/>
                          </a:ln>
                        </pic:spPr>
                      </pic:pic>
                    </a:graphicData>
                  </a:graphic>
                </wp:inline>
              </w:drawing>
            </w:r>
          </w:p>
        </w:tc>
        <w:tc>
          <w:tcPr>
            <w:tcW w:w="825" w:type="dxa"/>
            <w:vMerge w:val="restart"/>
            <w:noWrap w:val="0"/>
            <w:vAlign w:val="center"/>
          </w:tcPr>
          <w:p w14:paraId="690FADAD">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干部寝室</w:t>
            </w:r>
          </w:p>
        </w:tc>
      </w:tr>
      <w:tr w14:paraId="31C8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473BC35A">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27</w:t>
            </w:r>
          </w:p>
        </w:tc>
        <w:tc>
          <w:tcPr>
            <w:tcW w:w="1065" w:type="dxa"/>
            <w:noWrap w:val="0"/>
            <w:vAlign w:val="center"/>
          </w:tcPr>
          <w:p w14:paraId="23D5D07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衣柜</w:t>
            </w:r>
          </w:p>
        </w:tc>
        <w:tc>
          <w:tcPr>
            <w:tcW w:w="2940" w:type="dxa"/>
            <w:noWrap w:val="0"/>
            <w:vAlign w:val="center"/>
          </w:tcPr>
          <w:p w14:paraId="77DA1E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规格：800×600×2200mm，优质多层实木板贴实木木皮，实木框架，达到国家E1级环保标准及以上。油漆：采用环保油漆，“五底三面”油漆工艺。</w:t>
            </w:r>
          </w:p>
        </w:tc>
        <w:tc>
          <w:tcPr>
            <w:tcW w:w="660" w:type="dxa"/>
            <w:noWrap w:val="0"/>
            <w:vAlign w:val="center"/>
          </w:tcPr>
          <w:p w14:paraId="408D23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7D2B267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54D06C5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087DDB44">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95350" cy="1049020"/>
                  <wp:effectExtent l="0" t="0" r="0" b="17780"/>
                  <wp:docPr id="21" name="图片 27" descr="微信图片_202106061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微信图片_20210606195838.jpg"/>
                          <pic:cNvPicPr>
                            <a:picLocks noChangeAspect="1"/>
                          </pic:cNvPicPr>
                        </pic:nvPicPr>
                        <pic:blipFill>
                          <a:blip r:embed="rId55"/>
                          <a:stretch>
                            <a:fillRect/>
                          </a:stretch>
                        </pic:blipFill>
                        <pic:spPr>
                          <a:xfrm>
                            <a:off x="0" y="0"/>
                            <a:ext cx="895350" cy="1049020"/>
                          </a:xfrm>
                          <a:prstGeom prst="rect">
                            <a:avLst/>
                          </a:prstGeom>
                          <a:noFill/>
                          <a:ln>
                            <a:noFill/>
                          </a:ln>
                        </pic:spPr>
                      </pic:pic>
                    </a:graphicData>
                  </a:graphic>
                </wp:inline>
              </w:drawing>
            </w:r>
          </w:p>
        </w:tc>
        <w:tc>
          <w:tcPr>
            <w:tcW w:w="825" w:type="dxa"/>
            <w:vMerge w:val="continue"/>
            <w:noWrap w:val="0"/>
            <w:vAlign w:val="top"/>
          </w:tcPr>
          <w:p w14:paraId="24B3D8E5">
            <w:pPr>
              <w:pStyle w:val="3"/>
              <w:rPr>
                <w:rFonts w:hint="eastAsia" w:ascii="宋体" w:hAnsi="宋体" w:eastAsia="宋体" w:cs="宋体"/>
                <w:color w:val="auto"/>
                <w:highlight w:val="none"/>
                <w:vertAlign w:val="baseline"/>
                <w:lang w:val="en-US" w:eastAsia="zh-CN"/>
              </w:rPr>
            </w:pPr>
          </w:p>
        </w:tc>
      </w:tr>
      <w:tr w14:paraId="6B1D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1054FFC4">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28</w:t>
            </w:r>
          </w:p>
        </w:tc>
        <w:tc>
          <w:tcPr>
            <w:tcW w:w="1065" w:type="dxa"/>
            <w:noWrap w:val="0"/>
            <w:vAlign w:val="center"/>
          </w:tcPr>
          <w:p w14:paraId="22E6D38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座椅</w:t>
            </w:r>
          </w:p>
        </w:tc>
        <w:tc>
          <w:tcPr>
            <w:tcW w:w="2940" w:type="dxa"/>
            <w:noWrap w:val="0"/>
            <w:vAlign w:val="center"/>
          </w:tcPr>
          <w:p w14:paraId="5E5B51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规格：1000*400*800mm，台面采用大理石，多层板实木制作，钢制铁架</w:t>
            </w:r>
          </w:p>
        </w:tc>
        <w:tc>
          <w:tcPr>
            <w:tcW w:w="660" w:type="dxa"/>
            <w:noWrap w:val="0"/>
            <w:vAlign w:val="center"/>
          </w:tcPr>
          <w:p w14:paraId="7708ECE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6E85738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56B137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529C3159">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65835" cy="941705"/>
                  <wp:effectExtent l="0" t="0" r="5715" b="10795"/>
                  <wp:docPr id="26" name="图片 28" descr="17137511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1713751123467"/>
                          <pic:cNvPicPr>
                            <a:picLocks noChangeAspect="1"/>
                          </pic:cNvPicPr>
                        </pic:nvPicPr>
                        <pic:blipFill>
                          <a:blip r:embed="rId68"/>
                          <a:stretch>
                            <a:fillRect/>
                          </a:stretch>
                        </pic:blipFill>
                        <pic:spPr>
                          <a:xfrm>
                            <a:off x="0" y="0"/>
                            <a:ext cx="965835" cy="941705"/>
                          </a:xfrm>
                          <a:prstGeom prst="rect">
                            <a:avLst/>
                          </a:prstGeom>
                          <a:noFill/>
                          <a:ln>
                            <a:noFill/>
                          </a:ln>
                        </pic:spPr>
                      </pic:pic>
                    </a:graphicData>
                  </a:graphic>
                </wp:inline>
              </w:drawing>
            </w:r>
          </w:p>
        </w:tc>
        <w:tc>
          <w:tcPr>
            <w:tcW w:w="825" w:type="dxa"/>
            <w:vMerge w:val="restart"/>
            <w:noWrap w:val="0"/>
            <w:vAlign w:val="center"/>
          </w:tcPr>
          <w:p w14:paraId="7F7DCF01">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干部寝室</w:t>
            </w:r>
          </w:p>
        </w:tc>
      </w:tr>
      <w:tr w14:paraId="7F46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0F64CAC0">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29</w:t>
            </w:r>
          </w:p>
        </w:tc>
        <w:tc>
          <w:tcPr>
            <w:tcW w:w="1065" w:type="dxa"/>
            <w:noWrap w:val="0"/>
            <w:vAlign w:val="center"/>
          </w:tcPr>
          <w:p w14:paraId="7CFEF4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理发椅</w:t>
            </w:r>
          </w:p>
        </w:tc>
        <w:tc>
          <w:tcPr>
            <w:tcW w:w="2940" w:type="dxa"/>
            <w:noWrap w:val="0"/>
            <w:vAlign w:val="center"/>
          </w:tcPr>
          <w:p w14:paraId="27E0E48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规格：590*600*980mm，高回弹海绵填充、耐用皮革，360旋转上下调节</w:t>
            </w:r>
          </w:p>
        </w:tc>
        <w:tc>
          <w:tcPr>
            <w:tcW w:w="660" w:type="dxa"/>
            <w:noWrap w:val="0"/>
            <w:vAlign w:val="center"/>
          </w:tcPr>
          <w:p w14:paraId="4D20946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3961687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68F4ABC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2D11E3ED">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26770" cy="818515"/>
                  <wp:effectExtent l="0" t="0" r="11430" b="635"/>
                  <wp:docPr id="27"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1"/>
                          <pic:cNvPicPr>
                            <a:picLocks noChangeAspect="1"/>
                          </pic:cNvPicPr>
                        </pic:nvPicPr>
                        <pic:blipFill>
                          <a:blip r:embed="rId69"/>
                          <a:stretch>
                            <a:fillRect/>
                          </a:stretch>
                        </pic:blipFill>
                        <pic:spPr>
                          <a:xfrm>
                            <a:off x="0" y="0"/>
                            <a:ext cx="826770" cy="818515"/>
                          </a:xfrm>
                          <a:prstGeom prst="rect">
                            <a:avLst/>
                          </a:prstGeom>
                          <a:noFill/>
                          <a:ln>
                            <a:noFill/>
                          </a:ln>
                        </pic:spPr>
                      </pic:pic>
                    </a:graphicData>
                  </a:graphic>
                </wp:inline>
              </w:drawing>
            </w:r>
          </w:p>
        </w:tc>
        <w:tc>
          <w:tcPr>
            <w:tcW w:w="825" w:type="dxa"/>
            <w:vMerge w:val="continue"/>
            <w:noWrap w:val="0"/>
            <w:vAlign w:val="top"/>
          </w:tcPr>
          <w:p w14:paraId="2C01AA64">
            <w:pPr>
              <w:pStyle w:val="3"/>
              <w:rPr>
                <w:rFonts w:hint="eastAsia" w:ascii="宋体" w:hAnsi="宋体" w:eastAsia="宋体" w:cs="宋体"/>
                <w:color w:val="auto"/>
                <w:highlight w:val="none"/>
                <w:vertAlign w:val="baseline"/>
                <w:lang w:val="en-US" w:eastAsia="zh-CN"/>
              </w:rPr>
            </w:pPr>
          </w:p>
        </w:tc>
      </w:tr>
      <w:tr w14:paraId="4655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2F271893">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30</w:t>
            </w:r>
          </w:p>
        </w:tc>
        <w:tc>
          <w:tcPr>
            <w:tcW w:w="1065" w:type="dxa"/>
            <w:noWrap w:val="0"/>
            <w:vAlign w:val="center"/>
          </w:tcPr>
          <w:p w14:paraId="261D97F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防腐櫈</w:t>
            </w:r>
          </w:p>
        </w:tc>
        <w:tc>
          <w:tcPr>
            <w:tcW w:w="2940" w:type="dxa"/>
            <w:noWrap w:val="0"/>
            <w:vAlign w:val="center"/>
          </w:tcPr>
          <w:p w14:paraId="044F302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规格：350*450*1500mm，优质实木，环保油漆。</w:t>
            </w:r>
          </w:p>
        </w:tc>
        <w:tc>
          <w:tcPr>
            <w:tcW w:w="660" w:type="dxa"/>
            <w:noWrap w:val="0"/>
            <w:vAlign w:val="center"/>
          </w:tcPr>
          <w:p w14:paraId="5940F30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41D76D9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900" w:type="dxa"/>
            <w:noWrap w:val="0"/>
            <w:vAlign w:val="center"/>
          </w:tcPr>
          <w:p w14:paraId="5D6FEFC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444" w:type="dxa"/>
            <w:noWrap w:val="0"/>
            <w:vAlign w:val="top"/>
          </w:tcPr>
          <w:p w14:paraId="36A72A94">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09955" cy="1033145"/>
                  <wp:effectExtent l="0" t="0" r="4445" b="14605"/>
                  <wp:docPr id="35" name="图片 30" descr="微信图片_2021081523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微信图片_20210815233240.jpg"/>
                          <pic:cNvPicPr>
                            <a:picLocks noChangeAspect="1"/>
                          </pic:cNvPicPr>
                        </pic:nvPicPr>
                        <pic:blipFill>
                          <a:blip r:embed="rId70"/>
                          <a:stretch>
                            <a:fillRect/>
                          </a:stretch>
                        </pic:blipFill>
                        <pic:spPr>
                          <a:xfrm>
                            <a:off x="0" y="0"/>
                            <a:ext cx="909955" cy="1033145"/>
                          </a:xfrm>
                          <a:prstGeom prst="rect">
                            <a:avLst/>
                          </a:prstGeom>
                          <a:noFill/>
                          <a:ln>
                            <a:noFill/>
                          </a:ln>
                        </pic:spPr>
                      </pic:pic>
                    </a:graphicData>
                  </a:graphic>
                </wp:inline>
              </w:drawing>
            </w:r>
          </w:p>
        </w:tc>
        <w:tc>
          <w:tcPr>
            <w:tcW w:w="825" w:type="dxa"/>
            <w:noWrap w:val="0"/>
            <w:vAlign w:val="center"/>
          </w:tcPr>
          <w:p w14:paraId="182B371A">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理发室</w:t>
            </w:r>
          </w:p>
        </w:tc>
      </w:tr>
      <w:tr w14:paraId="7F79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3F4F6311">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31</w:t>
            </w:r>
          </w:p>
        </w:tc>
        <w:tc>
          <w:tcPr>
            <w:tcW w:w="1065" w:type="dxa"/>
            <w:noWrap w:val="0"/>
            <w:vAlign w:val="center"/>
          </w:tcPr>
          <w:p w14:paraId="0831C35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更衣柜</w:t>
            </w:r>
          </w:p>
        </w:tc>
        <w:tc>
          <w:tcPr>
            <w:tcW w:w="2940" w:type="dxa"/>
            <w:noWrap w:val="0"/>
            <w:vAlign w:val="center"/>
          </w:tcPr>
          <w:p w14:paraId="29EAE3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规格：465*320*450mm，采用ABS材质，采用感应锁。</w:t>
            </w:r>
          </w:p>
        </w:tc>
        <w:tc>
          <w:tcPr>
            <w:tcW w:w="660" w:type="dxa"/>
            <w:noWrap w:val="0"/>
            <w:vAlign w:val="center"/>
          </w:tcPr>
          <w:p w14:paraId="5922F99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0B180DB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900" w:type="dxa"/>
            <w:noWrap w:val="0"/>
            <w:vAlign w:val="center"/>
          </w:tcPr>
          <w:p w14:paraId="508E0EC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w:t>
            </w:r>
          </w:p>
        </w:tc>
        <w:tc>
          <w:tcPr>
            <w:tcW w:w="1444" w:type="dxa"/>
            <w:noWrap w:val="0"/>
            <w:vAlign w:val="top"/>
          </w:tcPr>
          <w:p w14:paraId="06D606A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75665" cy="874395"/>
                  <wp:effectExtent l="0" t="0" r="635" b="1905"/>
                  <wp:docPr id="36" name="图片 3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24.jpg"/>
                          <pic:cNvPicPr>
                            <a:picLocks noChangeAspect="1"/>
                          </pic:cNvPicPr>
                        </pic:nvPicPr>
                        <pic:blipFill>
                          <a:blip r:embed="rId71"/>
                          <a:stretch>
                            <a:fillRect/>
                          </a:stretch>
                        </pic:blipFill>
                        <pic:spPr>
                          <a:xfrm>
                            <a:off x="0" y="0"/>
                            <a:ext cx="875665" cy="874395"/>
                          </a:xfrm>
                          <a:prstGeom prst="rect">
                            <a:avLst/>
                          </a:prstGeom>
                          <a:noFill/>
                          <a:ln w="1">
                            <a:noFill/>
                          </a:ln>
                        </pic:spPr>
                      </pic:pic>
                    </a:graphicData>
                  </a:graphic>
                </wp:inline>
              </w:drawing>
            </w:r>
          </w:p>
        </w:tc>
        <w:tc>
          <w:tcPr>
            <w:tcW w:w="825" w:type="dxa"/>
            <w:noWrap w:val="0"/>
            <w:vAlign w:val="center"/>
          </w:tcPr>
          <w:p w14:paraId="0223E943">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浴室</w:t>
            </w:r>
          </w:p>
        </w:tc>
      </w:tr>
      <w:tr w14:paraId="70FF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2489BCEE">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32</w:t>
            </w:r>
          </w:p>
        </w:tc>
        <w:tc>
          <w:tcPr>
            <w:tcW w:w="1065" w:type="dxa"/>
            <w:noWrap w:val="0"/>
            <w:vAlign w:val="center"/>
          </w:tcPr>
          <w:p w14:paraId="534BEBE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储物柜</w:t>
            </w:r>
          </w:p>
        </w:tc>
        <w:tc>
          <w:tcPr>
            <w:tcW w:w="2940" w:type="dxa"/>
            <w:noWrap w:val="0"/>
            <w:vAlign w:val="center"/>
          </w:tcPr>
          <w:p w14:paraId="296F7F9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规格：1200*600*2400mm，优质多层实木板贴实木木皮，实木框架，达到国家E1级环保标准及以上。油漆：采用环保油漆，“五底三面”油漆工艺。</w:t>
            </w:r>
          </w:p>
        </w:tc>
        <w:tc>
          <w:tcPr>
            <w:tcW w:w="660" w:type="dxa"/>
            <w:noWrap w:val="0"/>
            <w:vAlign w:val="center"/>
          </w:tcPr>
          <w:p w14:paraId="76D80DA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7396BE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900" w:type="dxa"/>
            <w:noWrap w:val="0"/>
            <w:vAlign w:val="center"/>
          </w:tcPr>
          <w:p w14:paraId="0051AFE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w:t>
            </w:r>
          </w:p>
        </w:tc>
        <w:tc>
          <w:tcPr>
            <w:tcW w:w="1444" w:type="dxa"/>
            <w:noWrap w:val="0"/>
            <w:vAlign w:val="top"/>
          </w:tcPr>
          <w:p w14:paraId="5AD82AC6">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36270" cy="885825"/>
                  <wp:effectExtent l="0" t="0" r="11430" b="9525"/>
                  <wp:docPr id="22" name="图片 32" descr="{(VDGA{MJ832XTPGG}`H{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descr="{(VDGA{MJ832XTPGG}`H{0S"/>
                          <pic:cNvPicPr>
                            <a:picLocks noChangeAspect="1"/>
                          </pic:cNvPicPr>
                        </pic:nvPicPr>
                        <pic:blipFill>
                          <a:blip r:embed="rId72"/>
                          <a:stretch>
                            <a:fillRect/>
                          </a:stretch>
                        </pic:blipFill>
                        <pic:spPr>
                          <a:xfrm>
                            <a:off x="0" y="0"/>
                            <a:ext cx="636270" cy="885825"/>
                          </a:xfrm>
                          <a:prstGeom prst="rect">
                            <a:avLst/>
                          </a:prstGeom>
                          <a:noFill/>
                          <a:ln>
                            <a:noFill/>
                          </a:ln>
                        </pic:spPr>
                      </pic:pic>
                    </a:graphicData>
                  </a:graphic>
                </wp:inline>
              </w:drawing>
            </w:r>
          </w:p>
        </w:tc>
        <w:tc>
          <w:tcPr>
            <w:tcW w:w="825" w:type="dxa"/>
            <w:noWrap w:val="0"/>
            <w:vAlign w:val="center"/>
          </w:tcPr>
          <w:p w14:paraId="2BA4846A">
            <w:pPr>
              <w:keepNext w:val="0"/>
              <w:keepLines w:val="0"/>
              <w:widowControl/>
              <w:suppressLineNumbers w:val="0"/>
              <w:jc w:val="center"/>
              <w:textAlignment w:val="center"/>
              <w:rPr>
                <w:rFonts w:hint="eastAsia" w:ascii="宋体" w:hAnsi="宋体" w:eastAsia="宋体" w:cs="宋体"/>
                <w:color w:val="auto"/>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储藏室</w:t>
            </w:r>
          </w:p>
        </w:tc>
      </w:tr>
      <w:tr w14:paraId="0201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3458FE2B">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33</w:t>
            </w:r>
          </w:p>
        </w:tc>
        <w:tc>
          <w:tcPr>
            <w:tcW w:w="1065" w:type="dxa"/>
            <w:noWrap w:val="0"/>
            <w:vAlign w:val="center"/>
          </w:tcPr>
          <w:p w14:paraId="76237FB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床（含床头柜、床垫）</w:t>
            </w:r>
          </w:p>
        </w:tc>
        <w:tc>
          <w:tcPr>
            <w:tcW w:w="2940" w:type="dxa"/>
            <w:noWrap w:val="0"/>
            <w:vAlign w:val="center"/>
          </w:tcPr>
          <w:p w14:paraId="4D83BB7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规格：1800*2000*500mm，优质橡胶木实木，环保油漆；配5CM环保棕床垫。</w:t>
            </w:r>
          </w:p>
        </w:tc>
        <w:tc>
          <w:tcPr>
            <w:tcW w:w="660" w:type="dxa"/>
            <w:noWrap w:val="0"/>
            <w:vAlign w:val="center"/>
          </w:tcPr>
          <w:p w14:paraId="652BFB9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618BBA5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900" w:type="dxa"/>
            <w:noWrap w:val="0"/>
            <w:vAlign w:val="center"/>
          </w:tcPr>
          <w:p w14:paraId="7BEDE97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5F7F5484">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93445" cy="866140"/>
                  <wp:effectExtent l="0" t="0" r="1905" b="10160"/>
                  <wp:docPr id="25" name="图片 33" descr="C97B5F42617010FCAF232BE7DF2D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C97B5F42617010FCAF232BE7DF2D8575"/>
                          <pic:cNvPicPr>
                            <a:picLocks noChangeAspect="1"/>
                          </pic:cNvPicPr>
                        </pic:nvPicPr>
                        <pic:blipFill>
                          <a:blip r:embed="rId73"/>
                          <a:stretch>
                            <a:fillRect/>
                          </a:stretch>
                        </pic:blipFill>
                        <pic:spPr>
                          <a:xfrm>
                            <a:off x="0" y="0"/>
                            <a:ext cx="893445" cy="866140"/>
                          </a:xfrm>
                          <a:prstGeom prst="rect">
                            <a:avLst/>
                          </a:prstGeom>
                          <a:noFill/>
                          <a:ln>
                            <a:noFill/>
                          </a:ln>
                        </pic:spPr>
                      </pic:pic>
                    </a:graphicData>
                  </a:graphic>
                </wp:inline>
              </w:drawing>
            </w:r>
          </w:p>
        </w:tc>
        <w:tc>
          <w:tcPr>
            <w:tcW w:w="825" w:type="dxa"/>
            <w:vMerge w:val="restart"/>
            <w:noWrap w:val="0"/>
            <w:vAlign w:val="top"/>
          </w:tcPr>
          <w:p w14:paraId="69696998">
            <w:pPr>
              <w:pStyle w:val="3"/>
              <w:ind w:left="0" w:leftChars="0"/>
              <w:jc w:val="left"/>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 xml:space="preserve">家   </w:t>
            </w:r>
          </w:p>
          <w:p w14:paraId="5ACDFDFC">
            <w:pPr>
              <w:pStyle w:val="3"/>
              <w:ind w:left="0" w:leftChars="0"/>
              <w:jc w:val="left"/>
              <w:rPr>
                <w:rFonts w:hint="eastAsia" w:ascii="宋体" w:hAnsi="宋体" w:eastAsia="宋体" w:cs="宋体"/>
                <w:b w:val="0"/>
                <w:i w:val="0"/>
                <w:iCs w:val="0"/>
                <w:color w:val="auto"/>
                <w:kern w:val="0"/>
                <w:sz w:val="21"/>
                <w:szCs w:val="21"/>
                <w:highlight w:val="none"/>
                <w:u w:val="none"/>
                <w:lang w:val="en-US" w:eastAsia="zh-CN" w:bidi="ar"/>
              </w:rPr>
            </w:pPr>
          </w:p>
          <w:p w14:paraId="55F17CFE">
            <w:pPr>
              <w:pStyle w:val="3"/>
              <w:ind w:left="0" w:leftChars="0"/>
              <w:jc w:val="left"/>
              <w:rPr>
                <w:rFonts w:hint="eastAsia" w:ascii="宋体" w:hAnsi="宋体" w:eastAsia="宋体" w:cs="宋体"/>
                <w:b w:val="0"/>
                <w:i w:val="0"/>
                <w:iCs w:val="0"/>
                <w:color w:val="auto"/>
                <w:kern w:val="0"/>
                <w:sz w:val="21"/>
                <w:szCs w:val="21"/>
                <w:highlight w:val="none"/>
                <w:u w:val="none"/>
                <w:lang w:val="en-US" w:eastAsia="zh-CN" w:bidi="ar"/>
              </w:rPr>
            </w:pPr>
          </w:p>
          <w:p w14:paraId="230A72AA">
            <w:pPr>
              <w:pStyle w:val="3"/>
              <w:ind w:left="0" w:left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b w:val="0"/>
                <w:i w:val="0"/>
                <w:iCs w:val="0"/>
                <w:color w:val="auto"/>
                <w:kern w:val="0"/>
                <w:sz w:val="21"/>
                <w:szCs w:val="21"/>
                <w:highlight w:val="none"/>
                <w:u w:val="none"/>
                <w:lang w:val="en-US" w:eastAsia="zh-CN" w:bidi="ar"/>
              </w:rPr>
              <w:t>属家属临时来队用房2个</w:t>
            </w:r>
          </w:p>
        </w:tc>
      </w:tr>
      <w:tr w14:paraId="10A1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19434E6C">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34</w:t>
            </w:r>
          </w:p>
        </w:tc>
        <w:tc>
          <w:tcPr>
            <w:tcW w:w="1065" w:type="dxa"/>
            <w:noWrap w:val="0"/>
            <w:vAlign w:val="center"/>
          </w:tcPr>
          <w:p w14:paraId="1F65849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电视柜</w:t>
            </w:r>
          </w:p>
        </w:tc>
        <w:tc>
          <w:tcPr>
            <w:tcW w:w="2940" w:type="dxa"/>
            <w:noWrap w:val="0"/>
            <w:vAlign w:val="center"/>
          </w:tcPr>
          <w:p w14:paraId="79C9256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规格：1800*300*400mm，采用优质实木皮贴面，高密度板基材，油漆：采用环保油漆，“五底三面”油漆工艺。</w:t>
            </w:r>
          </w:p>
        </w:tc>
        <w:tc>
          <w:tcPr>
            <w:tcW w:w="660" w:type="dxa"/>
            <w:noWrap w:val="0"/>
            <w:vAlign w:val="center"/>
          </w:tcPr>
          <w:p w14:paraId="0EE3F9A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7140C37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900" w:type="dxa"/>
            <w:noWrap w:val="0"/>
            <w:vAlign w:val="center"/>
          </w:tcPr>
          <w:p w14:paraId="1EA5840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237D78BE">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58520" cy="818515"/>
                  <wp:effectExtent l="0" t="0" r="17780" b="635"/>
                  <wp:docPr id="29" name="图片 3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22.png"/>
                          <pic:cNvPicPr>
                            <a:picLocks noChangeAspect="1"/>
                          </pic:cNvPicPr>
                        </pic:nvPicPr>
                        <pic:blipFill>
                          <a:blip r:embed="rId74"/>
                          <a:stretch>
                            <a:fillRect/>
                          </a:stretch>
                        </pic:blipFill>
                        <pic:spPr>
                          <a:xfrm>
                            <a:off x="0" y="0"/>
                            <a:ext cx="858520" cy="818515"/>
                          </a:xfrm>
                          <a:prstGeom prst="rect">
                            <a:avLst/>
                          </a:prstGeom>
                          <a:noFill/>
                          <a:ln>
                            <a:noFill/>
                          </a:ln>
                        </pic:spPr>
                      </pic:pic>
                    </a:graphicData>
                  </a:graphic>
                </wp:inline>
              </w:drawing>
            </w:r>
          </w:p>
        </w:tc>
        <w:tc>
          <w:tcPr>
            <w:tcW w:w="825" w:type="dxa"/>
            <w:vMerge w:val="continue"/>
            <w:noWrap w:val="0"/>
            <w:vAlign w:val="top"/>
          </w:tcPr>
          <w:p w14:paraId="654C7BBF">
            <w:pPr>
              <w:pStyle w:val="3"/>
              <w:rPr>
                <w:rFonts w:hint="eastAsia" w:ascii="宋体" w:hAnsi="宋体" w:eastAsia="宋体" w:cs="宋体"/>
                <w:color w:val="auto"/>
                <w:highlight w:val="none"/>
                <w:vertAlign w:val="baseline"/>
                <w:lang w:val="en-US" w:eastAsia="zh-CN"/>
              </w:rPr>
            </w:pPr>
          </w:p>
        </w:tc>
      </w:tr>
      <w:tr w14:paraId="1C9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600FB569">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35</w:t>
            </w:r>
          </w:p>
        </w:tc>
        <w:tc>
          <w:tcPr>
            <w:tcW w:w="1065" w:type="dxa"/>
            <w:noWrap w:val="0"/>
            <w:vAlign w:val="center"/>
          </w:tcPr>
          <w:p w14:paraId="7A3B49A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衣柜</w:t>
            </w:r>
          </w:p>
        </w:tc>
        <w:tc>
          <w:tcPr>
            <w:tcW w:w="2940" w:type="dxa"/>
            <w:noWrap w:val="0"/>
            <w:vAlign w:val="center"/>
          </w:tcPr>
          <w:p w14:paraId="50B6A8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规格：800×600×2200mm，优质多层实木板贴实木木皮，实木框架，达到国家E1级环保标准及以上。油漆：采用环保油漆，“五底三面”油漆工艺。</w:t>
            </w:r>
          </w:p>
        </w:tc>
        <w:tc>
          <w:tcPr>
            <w:tcW w:w="660" w:type="dxa"/>
            <w:noWrap w:val="0"/>
            <w:vAlign w:val="center"/>
          </w:tcPr>
          <w:p w14:paraId="14CC2B1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5B0F840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0FF829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444" w:type="dxa"/>
            <w:noWrap w:val="0"/>
            <w:vAlign w:val="top"/>
          </w:tcPr>
          <w:p w14:paraId="31157CB8">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93445" cy="862330"/>
                  <wp:effectExtent l="0" t="0" r="1905" b="13970"/>
                  <wp:docPr id="30" name="图片 35" descr="微信图片_202106061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微信图片_20210606195838.jpg"/>
                          <pic:cNvPicPr>
                            <a:picLocks noChangeAspect="1"/>
                          </pic:cNvPicPr>
                        </pic:nvPicPr>
                        <pic:blipFill>
                          <a:blip r:embed="rId55"/>
                          <a:stretch>
                            <a:fillRect/>
                          </a:stretch>
                        </pic:blipFill>
                        <pic:spPr>
                          <a:xfrm>
                            <a:off x="0" y="0"/>
                            <a:ext cx="893445" cy="862330"/>
                          </a:xfrm>
                          <a:prstGeom prst="rect">
                            <a:avLst/>
                          </a:prstGeom>
                          <a:noFill/>
                          <a:ln>
                            <a:noFill/>
                          </a:ln>
                        </pic:spPr>
                      </pic:pic>
                    </a:graphicData>
                  </a:graphic>
                </wp:inline>
              </w:drawing>
            </w:r>
          </w:p>
        </w:tc>
        <w:tc>
          <w:tcPr>
            <w:tcW w:w="825" w:type="dxa"/>
            <w:vMerge w:val="continue"/>
            <w:noWrap w:val="0"/>
            <w:vAlign w:val="top"/>
          </w:tcPr>
          <w:p w14:paraId="62260750">
            <w:pPr>
              <w:pStyle w:val="3"/>
              <w:rPr>
                <w:rFonts w:hint="eastAsia" w:ascii="宋体" w:hAnsi="宋体" w:eastAsia="宋体" w:cs="宋体"/>
                <w:color w:val="auto"/>
                <w:highlight w:val="none"/>
                <w:vertAlign w:val="baseline"/>
                <w:lang w:val="en-US" w:eastAsia="zh-CN"/>
              </w:rPr>
            </w:pPr>
          </w:p>
        </w:tc>
      </w:tr>
      <w:tr w14:paraId="6D3F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7" w:hRule="atLeast"/>
        </w:trPr>
        <w:tc>
          <w:tcPr>
            <w:tcW w:w="617" w:type="dxa"/>
            <w:noWrap w:val="0"/>
            <w:vAlign w:val="center"/>
          </w:tcPr>
          <w:p w14:paraId="6092E2FD">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36</w:t>
            </w:r>
          </w:p>
        </w:tc>
        <w:tc>
          <w:tcPr>
            <w:tcW w:w="1065" w:type="dxa"/>
            <w:noWrap w:val="0"/>
            <w:vAlign w:val="center"/>
          </w:tcPr>
          <w:p w14:paraId="710574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沙发</w:t>
            </w:r>
          </w:p>
        </w:tc>
        <w:tc>
          <w:tcPr>
            <w:tcW w:w="2940" w:type="dxa"/>
            <w:noWrap w:val="0"/>
            <w:vAlign w:val="center"/>
          </w:tcPr>
          <w:p w14:paraId="390144B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1+1+3+茶几+电视柜，采用优质牛皮，高回弹海绵，实木支架，油漆：采用环保油漆，“五底三面”油漆工艺。茶几：采用优质实木皮贴面，高密度板基材，油漆：采用环保油漆，“五底三面”油漆工艺。</w:t>
            </w:r>
          </w:p>
        </w:tc>
        <w:tc>
          <w:tcPr>
            <w:tcW w:w="660" w:type="dxa"/>
            <w:noWrap w:val="0"/>
            <w:vAlign w:val="center"/>
          </w:tcPr>
          <w:p w14:paraId="50CD4CF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923" w:type="dxa"/>
            <w:noWrap w:val="0"/>
            <w:vAlign w:val="center"/>
          </w:tcPr>
          <w:p w14:paraId="0946AC2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00" w:type="dxa"/>
            <w:noWrap w:val="0"/>
            <w:vAlign w:val="center"/>
          </w:tcPr>
          <w:p w14:paraId="045D568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444" w:type="dxa"/>
            <w:noWrap w:val="0"/>
            <w:vAlign w:val="top"/>
          </w:tcPr>
          <w:p w14:paraId="1E8C3B8D">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04875" cy="965835"/>
                  <wp:effectExtent l="0" t="0" r="9525" b="5715"/>
                  <wp:docPr id="31" name="图片 36"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36.png"/>
                          <pic:cNvPicPr>
                            <a:picLocks noChangeAspect="1"/>
                          </pic:cNvPicPr>
                        </pic:nvPicPr>
                        <pic:blipFill>
                          <a:blip r:embed="rId75"/>
                          <a:stretch>
                            <a:fillRect/>
                          </a:stretch>
                        </pic:blipFill>
                        <pic:spPr>
                          <a:xfrm>
                            <a:off x="0" y="0"/>
                            <a:ext cx="904875" cy="965835"/>
                          </a:xfrm>
                          <a:prstGeom prst="rect">
                            <a:avLst/>
                          </a:prstGeom>
                          <a:noFill/>
                          <a:ln>
                            <a:noFill/>
                          </a:ln>
                        </pic:spPr>
                      </pic:pic>
                    </a:graphicData>
                  </a:graphic>
                </wp:inline>
              </w:drawing>
            </w:r>
          </w:p>
        </w:tc>
        <w:tc>
          <w:tcPr>
            <w:tcW w:w="825" w:type="dxa"/>
            <w:vMerge w:val="continue"/>
            <w:noWrap w:val="0"/>
            <w:vAlign w:val="top"/>
          </w:tcPr>
          <w:p w14:paraId="602D4C65">
            <w:pPr>
              <w:pStyle w:val="3"/>
              <w:rPr>
                <w:rFonts w:hint="eastAsia" w:ascii="宋体" w:hAnsi="宋体" w:eastAsia="宋体" w:cs="宋体"/>
                <w:color w:val="auto"/>
                <w:highlight w:val="none"/>
                <w:vertAlign w:val="baseline"/>
                <w:lang w:val="en-US" w:eastAsia="zh-CN"/>
              </w:rPr>
            </w:pPr>
          </w:p>
        </w:tc>
      </w:tr>
      <w:tr w14:paraId="6B94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4B252764">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37</w:t>
            </w:r>
          </w:p>
        </w:tc>
        <w:tc>
          <w:tcPr>
            <w:tcW w:w="1065" w:type="dxa"/>
            <w:noWrap w:val="0"/>
            <w:vAlign w:val="center"/>
          </w:tcPr>
          <w:p w14:paraId="3F583C5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主席台</w:t>
            </w:r>
          </w:p>
        </w:tc>
        <w:tc>
          <w:tcPr>
            <w:tcW w:w="2940" w:type="dxa"/>
            <w:noWrap w:val="0"/>
            <w:vAlign w:val="center"/>
          </w:tcPr>
          <w:p w14:paraId="36FAA5D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规格：4800*600*760mm ，采用优质实木皮贴面，密度板基材，达到国家E1级环保标准及以上。油漆：采用环保油漆，“五底三面”油漆工艺。优质五金件。 </w:t>
            </w:r>
          </w:p>
        </w:tc>
        <w:tc>
          <w:tcPr>
            <w:tcW w:w="660" w:type="dxa"/>
            <w:noWrap w:val="0"/>
            <w:vAlign w:val="center"/>
          </w:tcPr>
          <w:p w14:paraId="6461062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c>
          <w:tcPr>
            <w:tcW w:w="923" w:type="dxa"/>
            <w:noWrap w:val="0"/>
            <w:vAlign w:val="center"/>
          </w:tcPr>
          <w:p w14:paraId="628032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6EA150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13ADFF7A">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78840" cy="866140"/>
                  <wp:effectExtent l="0" t="0" r="16510" b="10160"/>
                  <wp:docPr id="23" name="图片 3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descr="2.png"/>
                          <pic:cNvPicPr>
                            <a:picLocks noChangeAspect="1"/>
                          </pic:cNvPicPr>
                        </pic:nvPicPr>
                        <pic:blipFill>
                          <a:blip r:embed="rId76"/>
                          <a:stretch>
                            <a:fillRect/>
                          </a:stretch>
                        </pic:blipFill>
                        <pic:spPr>
                          <a:xfrm>
                            <a:off x="0" y="0"/>
                            <a:ext cx="878840" cy="866140"/>
                          </a:xfrm>
                          <a:prstGeom prst="rect">
                            <a:avLst/>
                          </a:prstGeom>
                          <a:noFill/>
                          <a:ln w="1">
                            <a:noFill/>
                          </a:ln>
                        </pic:spPr>
                      </pic:pic>
                    </a:graphicData>
                  </a:graphic>
                </wp:inline>
              </w:drawing>
            </w:r>
          </w:p>
        </w:tc>
        <w:tc>
          <w:tcPr>
            <w:tcW w:w="825" w:type="dxa"/>
            <w:vMerge w:val="restart"/>
            <w:noWrap w:val="0"/>
            <w:vAlign w:val="center"/>
          </w:tcPr>
          <w:p w14:paraId="5558AF3C">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视  视 频会议室</w:t>
            </w:r>
          </w:p>
        </w:tc>
      </w:tr>
      <w:tr w14:paraId="7F57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5280D660">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38</w:t>
            </w:r>
          </w:p>
        </w:tc>
        <w:tc>
          <w:tcPr>
            <w:tcW w:w="1065" w:type="dxa"/>
            <w:noWrap w:val="0"/>
            <w:vAlign w:val="center"/>
          </w:tcPr>
          <w:p w14:paraId="615E36B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会议椅</w:t>
            </w:r>
          </w:p>
        </w:tc>
        <w:tc>
          <w:tcPr>
            <w:tcW w:w="2940" w:type="dxa"/>
            <w:noWrap w:val="0"/>
            <w:vAlign w:val="center"/>
          </w:tcPr>
          <w:p w14:paraId="21C5A3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5E8E40B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40E2CC6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900" w:type="dxa"/>
            <w:noWrap w:val="0"/>
            <w:vAlign w:val="center"/>
          </w:tcPr>
          <w:p w14:paraId="6B005B2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444" w:type="dxa"/>
            <w:noWrap w:val="0"/>
            <w:vAlign w:val="top"/>
          </w:tcPr>
          <w:p w14:paraId="07982367">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62635" cy="878205"/>
                  <wp:effectExtent l="0" t="0" r="18415" b="17145"/>
                  <wp:docPr id="32" name="图片 38" descr="复印文件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复印文件 013"/>
                          <pic:cNvPicPr>
                            <a:picLocks noChangeAspect="1"/>
                          </pic:cNvPicPr>
                        </pic:nvPicPr>
                        <pic:blipFill>
                          <a:blip r:embed="rId67"/>
                          <a:stretch>
                            <a:fillRect/>
                          </a:stretch>
                        </pic:blipFill>
                        <pic:spPr>
                          <a:xfrm>
                            <a:off x="0" y="0"/>
                            <a:ext cx="762635" cy="878205"/>
                          </a:xfrm>
                          <a:prstGeom prst="rect">
                            <a:avLst/>
                          </a:prstGeom>
                          <a:noFill/>
                          <a:ln>
                            <a:noFill/>
                          </a:ln>
                        </pic:spPr>
                      </pic:pic>
                    </a:graphicData>
                  </a:graphic>
                </wp:inline>
              </w:drawing>
            </w:r>
          </w:p>
        </w:tc>
        <w:tc>
          <w:tcPr>
            <w:tcW w:w="825" w:type="dxa"/>
            <w:vMerge w:val="continue"/>
            <w:noWrap w:val="0"/>
            <w:vAlign w:val="top"/>
          </w:tcPr>
          <w:p w14:paraId="3801F2F0">
            <w:pPr>
              <w:pStyle w:val="3"/>
              <w:rPr>
                <w:rFonts w:hint="eastAsia" w:ascii="宋体" w:hAnsi="宋体" w:eastAsia="宋体" w:cs="宋体"/>
                <w:color w:val="auto"/>
                <w:highlight w:val="none"/>
                <w:vertAlign w:val="baseline"/>
                <w:lang w:val="en-US" w:eastAsia="zh-CN"/>
              </w:rPr>
            </w:pPr>
          </w:p>
        </w:tc>
      </w:tr>
      <w:tr w14:paraId="084E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4D01411A">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39</w:t>
            </w:r>
          </w:p>
        </w:tc>
        <w:tc>
          <w:tcPr>
            <w:tcW w:w="1065" w:type="dxa"/>
            <w:noWrap w:val="0"/>
            <w:vAlign w:val="center"/>
          </w:tcPr>
          <w:p w14:paraId="79EE071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会议桌</w:t>
            </w:r>
          </w:p>
        </w:tc>
        <w:tc>
          <w:tcPr>
            <w:tcW w:w="2940" w:type="dxa"/>
            <w:noWrap w:val="0"/>
            <w:vAlign w:val="center"/>
          </w:tcPr>
          <w:p w14:paraId="179D677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规格：1200*450*760mm，采用优质实木皮贴面，密度板基材，达到国家E1级环保标准及以上。油漆：采用环保油漆，“五底三面”油漆工艺。优质五金件。</w:t>
            </w:r>
          </w:p>
        </w:tc>
        <w:tc>
          <w:tcPr>
            <w:tcW w:w="660" w:type="dxa"/>
            <w:noWrap w:val="0"/>
            <w:vAlign w:val="center"/>
          </w:tcPr>
          <w:p w14:paraId="0F41C6C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7AB8FDA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900" w:type="dxa"/>
            <w:noWrap w:val="0"/>
            <w:vAlign w:val="center"/>
          </w:tcPr>
          <w:p w14:paraId="135D9C5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1444" w:type="dxa"/>
            <w:noWrap w:val="0"/>
            <w:vAlign w:val="top"/>
          </w:tcPr>
          <w:p w14:paraId="10D7686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16940" cy="830580"/>
                  <wp:effectExtent l="0" t="0" r="16510" b="7620"/>
                  <wp:docPr id="33" name="图片 39" descr="条形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条形桌"/>
                          <pic:cNvPicPr>
                            <a:picLocks noChangeAspect="1"/>
                          </pic:cNvPicPr>
                        </pic:nvPicPr>
                        <pic:blipFill>
                          <a:blip r:embed="rId77"/>
                          <a:stretch>
                            <a:fillRect/>
                          </a:stretch>
                        </pic:blipFill>
                        <pic:spPr>
                          <a:xfrm>
                            <a:off x="0" y="0"/>
                            <a:ext cx="916940" cy="830580"/>
                          </a:xfrm>
                          <a:prstGeom prst="rect">
                            <a:avLst/>
                          </a:prstGeom>
                          <a:noFill/>
                          <a:ln>
                            <a:noFill/>
                          </a:ln>
                        </pic:spPr>
                      </pic:pic>
                    </a:graphicData>
                  </a:graphic>
                </wp:inline>
              </w:drawing>
            </w:r>
          </w:p>
        </w:tc>
        <w:tc>
          <w:tcPr>
            <w:tcW w:w="825" w:type="dxa"/>
            <w:vMerge w:val="continue"/>
            <w:noWrap w:val="0"/>
            <w:vAlign w:val="top"/>
          </w:tcPr>
          <w:p w14:paraId="0F877658">
            <w:pPr>
              <w:pStyle w:val="3"/>
              <w:rPr>
                <w:rFonts w:hint="eastAsia" w:ascii="宋体" w:hAnsi="宋体" w:eastAsia="宋体" w:cs="宋体"/>
                <w:color w:val="auto"/>
                <w:highlight w:val="none"/>
                <w:vertAlign w:val="baseline"/>
                <w:lang w:val="en-US" w:eastAsia="zh-CN"/>
              </w:rPr>
            </w:pPr>
          </w:p>
        </w:tc>
      </w:tr>
      <w:tr w14:paraId="5083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4EED28B2">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40</w:t>
            </w:r>
          </w:p>
        </w:tc>
        <w:tc>
          <w:tcPr>
            <w:tcW w:w="1065" w:type="dxa"/>
            <w:noWrap w:val="0"/>
            <w:vAlign w:val="center"/>
          </w:tcPr>
          <w:p w14:paraId="201CE05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会议椅</w:t>
            </w:r>
          </w:p>
        </w:tc>
        <w:tc>
          <w:tcPr>
            <w:tcW w:w="2940" w:type="dxa"/>
            <w:noWrap w:val="0"/>
            <w:vAlign w:val="center"/>
          </w:tcPr>
          <w:p w14:paraId="15DB3A6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7465857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495514F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900" w:type="dxa"/>
            <w:noWrap w:val="0"/>
            <w:vAlign w:val="center"/>
          </w:tcPr>
          <w:p w14:paraId="41C0080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444" w:type="dxa"/>
            <w:noWrap w:val="0"/>
            <w:vAlign w:val="top"/>
          </w:tcPr>
          <w:p w14:paraId="7668FC35">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0550" cy="857885"/>
                  <wp:effectExtent l="0" t="0" r="0" b="18415"/>
                  <wp:docPr id="34" name="图片 40" descr="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0" descr="8060"/>
                          <pic:cNvPicPr>
                            <a:picLocks noChangeAspect="1"/>
                          </pic:cNvPicPr>
                        </pic:nvPicPr>
                        <pic:blipFill>
                          <a:blip r:embed="rId52"/>
                          <a:stretch>
                            <a:fillRect/>
                          </a:stretch>
                        </pic:blipFill>
                        <pic:spPr>
                          <a:xfrm>
                            <a:off x="0" y="0"/>
                            <a:ext cx="590550" cy="857885"/>
                          </a:xfrm>
                          <a:prstGeom prst="rect">
                            <a:avLst/>
                          </a:prstGeom>
                          <a:noFill/>
                          <a:ln>
                            <a:noFill/>
                          </a:ln>
                        </pic:spPr>
                      </pic:pic>
                    </a:graphicData>
                  </a:graphic>
                </wp:inline>
              </w:drawing>
            </w:r>
          </w:p>
        </w:tc>
        <w:tc>
          <w:tcPr>
            <w:tcW w:w="825" w:type="dxa"/>
            <w:vMerge w:val="continue"/>
            <w:noWrap w:val="0"/>
            <w:vAlign w:val="top"/>
          </w:tcPr>
          <w:p w14:paraId="57ED65F8">
            <w:pPr>
              <w:pStyle w:val="3"/>
              <w:rPr>
                <w:rFonts w:hint="eastAsia" w:ascii="宋体" w:hAnsi="宋体" w:eastAsia="宋体" w:cs="宋体"/>
                <w:color w:val="auto"/>
                <w:highlight w:val="none"/>
                <w:vertAlign w:val="baseline"/>
                <w:lang w:val="en-US" w:eastAsia="zh-CN"/>
              </w:rPr>
            </w:pPr>
          </w:p>
        </w:tc>
      </w:tr>
      <w:tr w14:paraId="446F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617" w:type="dxa"/>
            <w:noWrap w:val="0"/>
            <w:vAlign w:val="center"/>
          </w:tcPr>
          <w:p w14:paraId="74E8FCB6">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41</w:t>
            </w:r>
          </w:p>
        </w:tc>
        <w:tc>
          <w:tcPr>
            <w:tcW w:w="1065" w:type="dxa"/>
            <w:noWrap w:val="0"/>
            <w:vAlign w:val="center"/>
          </w:tcPr>
          <w:p w14:paraId="382B29E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发言台</w:t>
            </w:r>
          </w:p>
        </w:tc>
        <w:tc>
          <w:tcPr>
            <w:tcW w:w="2940" w:type="dxa"/>
            <w:noWrap w:val="0"/>
            <w:vAlign w:val="center"/>
          </w:tcPr>
          <w:p w14:paraId="487EF06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常规，采用优质实木皮贴面，密度板基材，达到国家E1级环保标准及以上。油漆：采用环保油漆，“五底三面”油漆工艺。优质五金件。</w:t>
            </w:r>
          </w:p>
        </w:tc>
        <w:tc>
          <w:tcPr>
            <w:tcW w:w="660" w:type="dxa"/>
            <w:noWrap w:val="0"/>
            <w:vAlign w:val="center"/>
          </w:tcPr>
          <w:p w14:paraId="1A24A1D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0F29791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56473E1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4B9C5FF5">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51840" cy="914400"/>
                  <wp:effectExtent l="0" t="0" r="10160" b="0"/>
                  <wp:docPr id="88" name="图片 41"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1" descr="1-39"/>
                          <pic:cNvPicPr>
                            <a:picLocks noChangeAspect="1"/>
                          </pic:cNvPicPr>
                        </pic:nvPicPr>
                        <pic:blipFill>
                          <a:blip r:embed="rId78"/>
                          <a:stretch>
                            <a:fillRect/>
                          </a:stretch>
                        </pic:blipFill>
                        <pic:spPr>
                          <a:xfrm>
                            <a:off x="0" y="0"/>
                            <a:ext cx="751840" cy="914400"/>
                          </a:xfrm>
                          <a:prstGeom prst="rect">
                            <a:avLst/>
                          </a:prstGeom>
                          <a:noFill/>
                          <a:ln>
                            <a:noFill/>
                          </a:ln>
                        </pic:spPr>
                      </pic:pic>
                    </a:graphicData>
                  </a:graphic>
                </wp:inline>
              </w:drawing>
            </w:r>
          </w:p>
        </w:tc>
        <w:tc>
          <w:tcPr>
            <w:tcW w:w="825" w:type="dxa"/>
            <w:vMerge w:val="continue"/>
            <w:noWrap w:val="0"/>
            <w:vAlign w:val="top"/>
          </w:tcPr>
          <w:p w14:paraId="11DFA7C0">
            <w:pPr>
              <w:pStyle w:val="3"/>
              <w:rPr>
                <w:rFonts w:hint="eastAsia" w:ascii="宋体" w:hAnsi="宋体" w:eastAsia="宋体" w:cs="宋体"/>
                <w:color w:val="auto"/>
                <w:highlight w:val="none"/>
                <w:vertAlign w:val="baseline"/>
                <w:lang w:val="en-US" w:eastAsia="zh-CN"/>
              </w:rPr>
            </w:pPr>
          </w:p>
        </w:tc>
      </w:tr>
      <w:tr w14:paraId="1653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7FAC1F7B">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42</w:t>
            </w:r>
          </w:p>
        </w:tc>
        <w:tc>
          <w:tcPr>
            <w:tcW w:w="1065" w:type="dxa"/>
            <w:noWrap w:val="0"/>
            <w:vAlign w:val="center"/>
          </w:tcPr>
          <w:p w14:paraId="47D1963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2940" w:type="dxa"/>
            <w:noWrap w:val="0"/>
            <w:vAlign w:val="center"/>
          </w:tcPr>
          <w:p w14:paraId="1CE1F2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规格：1000*500*760mm，采用优质实木皮贴面，密度板基材，油漆：采用环保油漆，“五底三面”油漆工艺。优质五金件。</w:t>
            </w:r>
          </w:p>
        </w:tc>
        <w:tc>
          <w:tcPr>
            <w:tcW w:w="660" w:type="dxa"/>
            <w:noWrap w:val="0"/>
            <w:vAlign w:val="center"/>
          </w:tcPr>
          <w:p w14:paraId="591FBD8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1941AA3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11745F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4E9F326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04240" cy="770890"/>
                  <wp:effectExtent l="0" t="0" r="10160" b="10160"/>
                  <wp:docPr id="89" name="图片 4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descr="002"/>
                          <pic:cNvPicPr>
                            <a:picLocks noChangeAspect="1"/>
                          </pic:cNvPicPr>
                        </pic:nvPicPr>
                        <pic:blipFill>
                          <a:blip r:embed="rId51"/>
                          <a:srcRect t="20094" b="10559"/>
                          <a:stretch>
                            <a:fillRect/>
                          </a:stretch>
                        </pic:blipFill>
                        <pic:spPr>
                          <a:xfrm>
                            <a:off x="0" y="0"/>
                            <a:ext cx="904240" cy="770890"/>
                          </a:xfrm>
                          <a:prstGeom prst="rect">
                            <a:avLst/>
                          </a:prstGeom>
                          <a:noFill/>
                          <a:ln>
                            <a:noFill/>
                          </a:ln>
                        </pic:spPr>
                      </pic:pic>
                    </a:graphicData>
                  </a:graphic>
                </wp:inline>
              </w:drawing>
            </w:r>
          </w:p>
        </w:tc>
        <w:tc>
          <w:tcPr>
            <w:tcW w:w="825" w:type="dxa"/>
            <w:vMerge w:val="restart"/>
            <w:noWrap w:val="0"/>
            <w:vAlign w:val="center"/>
          </w:tcPr>
          <w:p w14:paraId="53571873">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p>
          <w:p w14:paraId="2F36F37C">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p>
          <w:p w14:paraId="7F08E4BE">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p>
          <w:p w14:paraId="59F1332E">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用公用物资库</w:t>
            </w:r>
          </w:p>
        </w:tc>
      </w:tr>
      <w:tr w14:paraId="1E24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617" w:type="dxa"/>
            <w:noWrap w:val="0"/>
            <w:vAlign w:val="center"/>
          </w:tcPr>
          <w:p w14:paraId="0565512C">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43</w:t>
            </w:r>
          </w:p>
        </w:tc>
        <w:tc>
          <w:tcPr>
            <w:tcW w:w="1065" w:type="dxa"/>
            <w:noWrap w:val="0"/>
            <w:vAlign w:val="center"/>
          </w:tcPr>
          <w:p w14:paraId="3DAFDCA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椅子</w:t>
            </w:r>
          </w:p>
        </w:tc>
        <w:tc>
          <w:tcPr>
            <w:tcW w:w="2940" w:type="dxa"/>
            <w:noWrap w:val="0"/>
            <w:vAlign w:val="center"/>
          </w:tcPr>
          <w:p w14:paraId="4DD2A0D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4EFADD8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767022F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3092FD5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459C21D1">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48335" cy="934085"/>
                  <wp:effectExtent l="0" t="0" r="18415" b="18415"/>
                  <wp:docPr id="90" name="图片 43" descr="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3" descr="8060"/>
                          <pic:cNvPicPr>
                            <a:picLocks noChangeAspect="1"/>
                          </pic:cNvPicPr>
                        </pic:nvPicPr>
                        <pic:blipFill>
                          <a:blip r:embed="rId52"/>
                          <a:stretch>
                            <a:fillRect/>
                          </a:stretch>
                        </pic:blipFill>
                        <pic:spPr>
                          <a:xfrm>
                            <a:off x="0" y="0"/>
                            <a:ext cx="648335" cy="934085"/>
                          </a:xfrm>
                          <a:prstGeom prst="rect">
                            <a:avLst/>
                          </a:prstGeom>
                          <a:noFill/>
                          <a:ln>
                            <a:noFill/>
                          </a:ln>
                        </pic:spPr>
                      </pic:pic>
                    </a:graphicData>
                  </a:graphic>
                </wp:inline>
              </w:drawing>
            </w:r>
          </w:p>
        </w:tc>
        <w:tc>
          <w:tcPr>
            <w:tcW w:w="825" w:type="dxa"/>
            <w:vMerge w:val="continue"/>
            <w:noWrap w:val="0"/>
            <w:vAlign w:val="top"/>
          </w:tcPr>
          <w:p w14:paraId="2492BB9A">
            <w:pPr>
              <w:pStyle w:val="3"/>
              <w:rPr>
                <w:rFonts w:hint="eastAsia" w:ascii="宋体" w:hAnsi="宋体" w:eastAsia="宋体" w:cs="宋体"/>
                <w:color w:val="auto"/>
                <w:highlight w:val="none"/>
                <w:vertAlign w:val="baseline"/>
                <w:lang w:val="en-US" w:eastAsia="zh-CN"/>
              </w:rPr>
            </w:pPr>
          </w:p>
        </w:tc>
      </w:tr>
      <w:tr w14:paraId="22C7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617" w:type="dxa"/>
            <w:noWrap w:val="0"/>
            <w:vAlign w:val="center"/>
          </w:tcPr>
          <w:p w14:paraId="57B792B4">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44</w:t>
            </w:r>
          </w:p>
        </w:tc>
        <w:tc>
          <w:tcPr>
            <w:tcW w:w="1065" w:type="dxa"/>
            <w:noWrap w:val="0"/>
            <w:vAlign w:val="center"/>
          </w:tcPr>
          <w:p w14:paraId="2715375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物品放置架</w:t>
            </w:r>
          </w:p>
        </w:tc>
        <w:tc>
          <w:tcPr>
            <w:tcW w:w="2940" w:type="dxa"/>
            <w:noWrap w:val="0"/>
            <w:vAlign w:val="center"/>
          </w:tcPr>
          <w:p w14:paraId="492052F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规格：2000*600*2000mm，立柱厚度1.8mm。层板厚度0.8mm、横梁采用60*40*2.0mm P型管。</w:t>
            </w:r>
          </w:p>
          <w:p w14:paraId="27AD17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60" w:type="dxa"/>
            <w:noWrap w:val="0"/>
            <w:vAlign w:val="center"/>
          </w:tcPr>
          <w:p w14:paraId="4C1D967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623B41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900" w:type="dxa"/>
            <w:noWrap w:val="0"/>
            <w:vAlign w:val="center"/>
          </w:tcPr>
          <w:p w14:paraId="26622E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444" w:type="dxa"/>
            <w:noWrap w:val="0"/>
            <w:vAlign w:val="top"/>
          </w:tcPr>
          <w:p w14:paraId="068F213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256665" cy="933450"/>
                  <wp:effectExtent l="0" t="0" r="635" b="0"/>
                  <wp:docPr id="94" name="图片 44" descr="TB2RuZ8mAKWBuNjy1zjXXcOypXa_!!199212951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 descr="TB2RuZ8mAKWBuNjy1zjXXcOypXa_!!1992129514_看图王.jpg"/>
                          <pic:cNvPicPr>
                            <a:picLocks noChangeAspect="1"/>
                          </pic:cNvPicPr>
                        </pic:nvPicPr>
                        <pic:blipFill>
                          <a:blip r:embed="rId57"/>
                          <a:stretch>
                            <a:fillRect/>
                          </a:stretch>
                        </pic:blipFill>
                        <pic:spPr>
                          <a:xfrm>
                            <a:off x="0" y="0"/>
                            <a:ext cx="1256665" cy="933450"/>
                          </a:xfrm>
                          <a:prstGeom prst="rect">
                            <a:avLst/>
                          </a:prstGeom>
                          <a:noFill/>
                          <a:ln>
                            <a:noFill/>
                          </a:ln>
                        </pic:spPr>
                      </pic:pic>
                    </a:graphicData>
                  </a:graphic>
                </wp:inline>
              </w:drawing>
            </w:r>
          </w:p>
        </w:tc>
        <w:tc>
          <w:tcPr>
            <w:tcW w:w="825" w:type="dxa"/>
            <w:vMerge w:val="continue"/>
            <w:noWrap w:val="0"/>
            <w:vAlign w:val="top"/>
          </w:tcPr>
          <w:p w14:paraId="53D8EDB2">
            <w:pPr>
              <w:pStyle w:val="3"/>
              <w:rPr>
                <w:rFonts w:hint="eastAsia" w:ascii="宋体" w:hAnsi="宋体" w:eastAsia="宋体" w:cs="宋体"/>
                <w:color w:val="auto"/>
                <w:highlight w:val="none"/>
                <w:vertAlign w:val="baseline"/>
                <w:lang w:val="en-US" w:eastAsia="zh-CN"/>
              </w:rPr>
            </w:pPr>
          </w:p>
        </w:tc>
      </w:tr>
      <w:tr w14:paraId="0D1D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617" w:type="dxa"/>
            <w:noWrap w:val="0"/>
            <w:vAlign w:val="center"/>
          </w:tcPr>
          <w:p w14:paraId="092868E9">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45</w:t>
            </w:r>
          </w:p>
        </w:tc>
        <w:tc>
          <w:tcPr>
            <w:tcW w:w="1065" w:type="dxa"/>
            <w:noWrap w:val="0"/>
            <w:vAlign w:val="center"/>
          </w:tcPr>
          <w:p w14:paraId="12C911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药品放置柜</w:t>
            </w:r>
          </w:p>
        </w:tc>
        <w:tc>
          <w:tcPr>
            <w:tcW w:w="2940" w:type="dxa"/>
            <w:noWrap w:val="0"/>
            <w:vAlign w:val="center"/>
          </w:tcPr>
          <w:p w14:paraId="7BD60F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1800*900*280，采用冷轧钢板，厚度为0.8mm，表面采用静电喷塑工艺处理，经酸洗。磷化，等多到工序一次成型。产品各零部件、组合件表面光滑、平整、凸起、色泽一致，漆面均与，无划痕。焊接部件焊接牢固，焊点光滑平整。活动层板二块。</w:t>
            </w:r>
          </w:p>
        </w:tc>
        <w:tc>
          <w:tcPr>
            <w:tcW w:w="660" w:type="dxa"/>
            <w:noWrap w:val="0"/>
            <w:vAlign w:val="center"/>
          </w:tcPr>
          <w:p w14:paraId="01B9101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5E21B92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900" w:type="dxa"/>
            <w:noWrap w:val="0"/>
            <w:vAlign w:val="center"/>
          </w:tcPr>
          <w:p w14:paraId="31DBEEF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444" w:type="dxa"/>
            <w:noWrap w:val="0"/>
            <w:vAlign w:val="top"/>
          </w:tcPr>
          <w:p w14:paraId="1AEADA96">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01650" cy="981710"/>
                  <wp:effectExtent l="0" t="0" r="12700" b="8890"/>
                  <wp:docPr id="87" name="图片 4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5" descr="18.png"/>
                          <pic:cNvPicPr>
                            <a:picLocks noChangeAspect="1"/>
                          </pic:cNvPicPr>
                        </pic:nvPicPr>
                        <pic:blipFill>
                          <a:blip r:embed="rId79"/>
                          <a:stretch>
                            <a:fillRect/>
                          </a:stretch>
                        </pic:blipFill>
                        <pic:spPr>
                          <a:xfrm>
                            <a:off x="0" y="0"/>
                            <a:ext cx="501650" cy="981710"/>
                          </a:xfrm>
                          <a:prstGeom prst="rect">
                            <a:avLst/>
                          </a:prstGeom>
                          <a:noFill/>
                          <a:ln w="1">
                            <a:noFill/>
                          </a:ln>
                        </pic:spPr>
                      </pic:pic>
                    </a:graphicData>
                  </a:graphic>
                </wp:inline>
              </w:drawing>
            </w:r>
          </w:p>
        </w:tc>
        <w:tc>
          <w:tcPr>
            <w:tcW w:w="825" w:type="dxa"/>
            <w:noWrap w:val="0"/>
            <w:vAlign w:val="center"/>
          </w:tcPr>
          <w:p w14:paraId="132F28D6">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 xml:space="preserve">   医务</w:t>
            </w:r>
          </w:p>
          <w:p w14:paraId="2E935099">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 xml:space="preserve">   室、            </w:t>
            </w:r>
          </w:p>
          <w:p w14:paraId="2159097F">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 xml:space="preserve">  心理         </w:t>
            </w:r>
          </w:p>
          <w:p w14:paraId="3C54A551">
            <w:pPr>
              <w:pStyle w:val="3"/>
              <w:ind w:left="0" w:leftChars="0"/>
              <w:jc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 xml:space="preserve">   疏导室</w:t>
            </w:r>
          </w:p>
        </w:tc>
      </w:tr>
      <w:tr w14:paraId="7CFC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19005248">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46</w:t>
            </w:r>
          </w:p>
        </w:tc>
        <w:tc>
          <w:tcPr>
            <w:tcW w:w="1065" w:type="dxa"/>
            <w:noWrap w:val="0"/>
            <w:vAlign w:val="center"/>
          </w:tcPr>
          <w:p w14:paraId="67B8771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2940" w:type="dxa"/>
            <w:noWrap w:val="0"/>
            <w:vAlign w:val="center"/>
          </w:tcPr>
          <w:p w14:paraId="4CBFA2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规格：1000*500*760mm，采用优质实木皮贴面，密度板基材，达到国家E1级环保标准及以上。油漆：采用环保油漆，“五底三面”油漆工艺。优质五金件。</w:t>
            </w:r>
          </w:p>
        </w:tc>
        <w:tc>
          <w:tcPr>
            <w:tcW w:w="660" w:type="dxa"/>
            <w:noWrap w:val="0"/>
            <w:vAlign w:val="center"/>
          </w:tcPr>
          <w:p w14:paraId="3A4B721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6ED6BA4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2DCD17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49DA44F9">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87730" cy="767080"/>
                  <wp:effectExtent l="0" t="0" r="7620" b="13970"/>
                  <wp:docPr id="91" name="图片 4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6" descr="002"/>
                          <pic:cNvPicPr>
                            <a:picLocks noChangeAspect="1"/>
                          </pic:cNvPicPr>
                        </pic:nvPicPr>
                        <pic:blipFill>
                          <a:blip r:embed="rId51"/>
                          <a:srcRect t="20094" b="10559"/>
                          <a:stretch>
                            <a:fillRect/>
                          </a:stretch>
                        </pic:blipFill>
                        <pic:spPr>
                          <a:xfrm>
                            <a:off x="0" y="0"/>
                            <a:ext cx="887730" cy="767080"/>
                          </a:xfrm>
                          <a:prstGeom prst="rect">
                            <a:avLst/>
                          </a:prstGeom>
                          <a:noFill/>
                          <a:ln>
                            <a:noFill/>
                          </a:ln>
                        </pic:spPr>
                      </pic:pic>
                    </a:graphicData>
                  </a:graphic>
                </wp:inline>
              </w:drawing>
            </w:r>
          </w:p>
        </w:tc>
        <w:tc>
          <w:tcPr>
            <w:tcW w:w="825" w:type="dxa"/>
            <w:vMerge w:val="restart"/>
            <w:noWrap w:val="0"/>
            <w:vAlign w:val="top"/>
          </w:tcPr>
          <w:p w14:paraId="64D15070">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3E50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080DE3B7">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47</w:t>
            </w:r>
          </w:p>
        </w:tc>
        <w:tc>
          <w:tcPr>
            <w:tcW w:w="1065" w:type="dxa"/>
            <w:noWrap w:val="0"/>
            <w:vAlign w:val="center"/>
          </w:tcPr>
          <w:p w14:paraId="312B789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椅子</w:t>
            </w:r>
          </w:p>
        </w:tc>
        <w:tc>
          <w:tcPr>
            <w:tcW w:w="2940" w:type="dxa"/>
            <w:noWrap w:val="0"/>
            <w:vAlign w:val="center"/>
          </w:tcPr>
          <w:p w14:paraId="6F445E6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常规，采用优质西皮，高回弹海棉，优质橡胶木实木架，油漆：采用环保油漆，“五底三面”油漆工艺。</w:t>
            </w:r>
          </w:p>
        </w:tc>
        <w:tc>
          <w:tcPr>
            <w:tcW w:w="660" w:type="dxa"/>
            <w:noWrap w:val="0"/>
            <w:vAlign w:val="center"/>
          </w:tcPr>
          <w:p w14:paraId="0774267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923" w:type="dxa"/>
            <w:noWrap w:val="0"/>
            <w:vAlign w:val="center"/>
          </w:tcPr>
          <w:p w14:paraId="234F485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5EAFEF2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560B2A72">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48335" cy="934085"/>
                  <wp:effectExtent l="0" t="0" r="18415" b="18415"/>
                  <wp:docPr id="93" name="图片 47" descr="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7" descr="8060"/>
                          <pic:cNvPicPr>
                            <a:picLocks noChangeAspect="1"/>
                          </pic:cNvPicPr>
                        </pic:nvPicPr>
                        <pic:blipFill>
                          <a:blip r:embed="rId52"/>
                          <a:stretch>
                            <a:fillRect/>
                          </a:stretch>
                        </pic:blipFill>
                        <pic:spPr>
                          <a:xfrm>
                            <a:off x="0" y="0"/>
                            <a:ext cx="648335" cy="934085"/>
                          </a:xfrm>
                          <a:prstGeom prst="rect">
                            <a:avLst/>
                          </a:prstGeom>
                          <a:noFill/>
                          <a:ln>
                            <a:noFill/>
                          </a:ln>
                        </pic:spPr>
                      </pic:pic>
                    </a:graphicData>
                  </a:graphic>
                </wp:inline>
              </w:drawing>
            </w:r>
          </w:p>
        </w:tc>
        <w:tc>
          <w:tcPr>
            <w:tcW w:w="825" w:type="dxa"/>
            <w:vMerge w:val="continue"/>
            <w:noWrap w:val="0"/>
            <w:vAlign w:val="top"/>
          </w:tcPr>
          <w:p w14:paraId="26B04459">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0E79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09101086">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48</w:t>
            </w:r>
          </w:p>
        </w:tc>
        <w:tc>
          <w:tcPr>
            <w:tcW w:w="1065" w:type="dxa"/>
            <w:noWrap w:val="0"/>
            <w:vAlign w:val="center"/>
          </w:tcPr>
          <w:p w14:paraId="254B1C3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被装放置架</w:t>
            </w:r>
          </w:p>
        </w:tc>
        <w:tc>
          <w:tcPr>
            <w:tcW w:w="2940" w:type="dxa"/>
            <w:noWrap w:val="0"/>
            <w:vAlign w:val="center"/>
          </w:tcPr>
          <w:p w14:paraId="414B9A1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规格：2000*600*2000mm，用材：立柱厚度1.8mm。层板厚度0.8mm、横梁采用60*40*2.0mmP型管。</w:t>
            </w:r>
          </w:p>
          <w:p w14:paraId="5C3FE26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60" w:type="dxa"/>
            <w:noWrap w:val="0"/>
            <w:vAlign w:val="center"/>
          </w:tcPr>
          <w:p w14:paraId="11BF01A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5581AB6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900" w:type="dxa"/>
            <w:noWrap w:val="0"/>
            <w:vAlign w:val="center"/>
          </w:tcPr>
          <w:p w14:paraId="555E42C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444" w:type="dxa"/>
            <w:noWrap w:val="0"/>
            <w:vAlign w:val="top"/>
          </w:tcPr>
          <w:p w14:paraId="11A920B5">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014730" cy="934085"/>
                  <wp:effectExtent l="0" t="0" r="13970" b="18415"/>
                  <wp:docPr id="92" name="图片 48" descr="TB2RuZ8mAKWBuNjy1zjXXcOypXa_!!199212951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descr="TB2RuZ8mAKWBuNjy1zjXXcOypXa_!!1992129514_看图王.jpg"/>
                          <pic:cNvPicPr>
                            <a:picLocks noChangeAspect="1"/>
                          </pic:cNvPicPr>
                        </pic:nvPicPr>
                        <pic:blipFill>
                          <a:blip r:embed="rId57"/>
                          <a:stretch>
                            <a:fillRect/>
                          </a:stretch>
                        </pic:blipFill>
                        <pic:spPr>
                          <a:xfrm>
                            <a:off x="0" y="0"/>
                            <a:ext cx="1014730" cy="934085"/>
                          </a:xfrm>
                          <a:prstGeom prst="rect">
                            <a:avLst/>
                          </a:prstGeom>
                          <a:noFill/>
                          <a:ln>
                            <a:noFill/>
                          </a:ln>
                        </pic:spPr>
                      </pic:pic>
                    </a:graphicData>
                  </a:graphic>
                </wp:inline>
              </w:drawing>
            </w:r>
          </w:p>
        </w:tc>
        <w:tc>
          <w:tcPr>
            <w:tcW w:w="825" w:type="dxa"/>
            <w:noWrap w:val="0"/>
            <w:vAlign w:val="center"/>
          </w:tcPr>
          <w:p w14:paraId="64F8C51E">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被装营具库</w:t>
            </w:r>
          </w:p>
        </w:tc>
      </w:tr>
      <w:tr w14:paraId="6721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65835709">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49</w:t>
            </w:r>
          </w:p>
        </w:tc>
        <w:tc>
          <w:tcPr>
            <w:tcW w:w="1065" w:type="dxa"/>
            <w:noWrap w:val="0"/>
            <w:vAlign w:val="center"/>
          </w:tcPr>
          <w:p w14:paraId="706DB0E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茶吧椅</w:t>
            </w:r>
          </w:p>
        </w:tc>
        <w:tc>
          <w:tcPr>
            <w:tcW w:w="2940" w:type="dxa"/>
            <w:noWrap w:val="0"/>
            <w:vAlign w:val="center"/>
          </w:tcPr>
          <w:p w14:paraId="1C55C09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规格：800*600*550mm，</w:t>
            </w:r>
          </w:p>
          <w:p w14:paraId="17C7F6B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1.面料：采用优质透气毛麻面料，防磨防污性好；                                                                                                                                       2.海棉：采用高回弹定型海绵，回弹力以及软硬度达到70度，密度达到45密以上。</w:t>
            </w:r>
          </w:p>
        </w:tc>
        <w:tc>
          <w:tcPr>
            <w:tcW w:w="660" w:type="dxa"/>
            <w:noWrap w:val="0"/>
            <w:vAlign w:val="center"/>
          </w:tcPr>
          <w:p w14:paraId="53E4B34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把</w:t>
            </w:r>
          </w:p>
        </w:tc>
        <w:tc>
          <w:tcPr>
            <w:tcW w:w="923" w:type="dxa"/>
            <w:noWrap w:val="0"/>
            <w:vAlign w:val="center"/>
          </w:tcPr>
          <w:p w14:paraId="14E23A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900" w:type="dxa"/>
            <w:noWrap w:val="0"/>
            <w:vAlign w:val="center"/>
          </w:tcPr>
          <w:p w14:paraId="25FB1B8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1444" w:type="dxa"/>
            <w:noWrap w:val="0"/>
            <w:vAlign w:val="top"/>
          </w:tcPr>
          <w:p w14:paraId="622B67F1">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29945" cy="874395"/>
                  <wp:effectExtent l="0" t="0" r="8255" b="1905"/>
                  <wp:docPr id="44" name="图片 49" descr="微信图片_2024042208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9" descr="微信图片_202404220843021"/>
                          <pic:cNvPicPr>
                            <a:picLocks noChangeAspect="1"/>
                          </pic:cNvPicPr>
                        </pic:nvPicPr>
                        <pic:blipFill>
                          <a:blip r:embed="rId80"/>
                          <a:stretch>
                            <a:fillRect/>
                          </a:stretch>
                        </pic:blipFill>
                        <pic:spPr>
                          <a:xfrm>
                            <a:off x="0" y="0"/>
                            <a:ext cx="829945" cy="874395"/>
                          </a:xfrm>
                          <a:prstGeom prst="rect">
                            <a:avLst/>
                          </a:prstGeom>
                          <a:noFill/>
                          <a:ln>
                            <a:noFill/>
                          </a:ln>
                        </pic:spPr>
                      </pic:pic>
                    </a:graphicData>
                  </a:graphic>
                </wp:inline>
              </w:drawing>
            </w:r>
          </w:p>
        </w:tc>
        <w:tc>
          <w:tcPr>
            <w:tcW w:w="825" w:type="dxa"/>
            <w:vMerge w:val="restart"/>
            <w:noWrap w:val="0"/>
            <w:vAlign w:val="center"/>
          </w:tcPr>
          <w:p w14:paraId="3F5670EF">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一体化俱乐部</w:t>
            </w:r>
          </w:p>
        </w:tc>
      </w:tr>
      <w:tr w14:paraId="1C2A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06F9B2A0">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50</w:t>
            </w:r>
          </w:p>
        </w:tc>
        <w:tc>
          <w:tcPr>
            <w:tcW w:w="1065" w:type="dxa"/>
            <w:noWrap w:val="0"/>
            <w:vAlign w:val="center"/>
          </w:tcPr>
          <w:p w14:paraId="0AA15BF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圆桌</w:t>
            </w:r>
          </w:p>
        </w:tc>
        <w:tc>
          <w:tcPr>
            <w:tcW w:w="2940" w:type="dxa"/>
            <w:noWrap w:val="0"/>
            <w:vAlign w:val="center"/>
          </w:tcPr>
          <w:p w14:paraId="0C60DF7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规格：800*750mm，台面采用免漆多层板，板材密度≥760kg/m³，甲醛释放量≤0.5mg/100g。表面色泽美观、不变色、光滑耐磨、手感好木纹纹理清晰，优质钢脚架。</w:t>
            </w:r>
          </w:p>
        </w:tc>
        <w:tc>
          <w:tcPr>
            <w:tcW w:w="660" w:type="dxa"/>
            <w:noWrap w:val="0"/>
            <w:vAlign w:val="center"/>
          </w:tcPr>
          <w:p w14:paraId="43936BA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654F443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900" w:type="dxa"/>
            <w:noWrap w:val="0"/>
            <w:vAlign w:val="center"/>
          </w:tcPr>
          <w:p w14:paraId="745A887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444" w:type="dxa"/>
            <w:noWrap w:val="0"/>
            <w:vAlign w:val="top"/>
          </w:tcPr>
          <w:p w14:paraId="64C13458">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021715" cy="874395"/>
                  <wp:effectExtent l="0" t="0" r="6985" b="1905"/>
                  <wp:docPr id="37" name="图片 50" descr="微信图片_2024042208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descr="微信图片_202404220843021"/>
                          <pic:cNvPicPr>
                            <a:picLocks noChangeAspect="1"/>
                          </pic:cNvPicPr>
                        </pic:nvPicPr>
                        <pic:blipFill>
                          <a:blip r:embed="rId80"/>
                          <a:stretch>
                            <a:fillRect/>
                          </a:stretch>
                        </pic:blipFill>
                        <pic:spPr>
                          <a:xfrm>
                            <a:off x="0" y="0"/>
                            <a:ext cx="1021715" cy="874395"/>
                          </a:xfrm>
                          <a:prstGeom prst="rect">
                            <a:avLst/>
                          </a:prstGeom>
                          <a:noFill/>
                          <a:ln>
                            <a:noFill/>
                          </a:ln>
                        </pic:spPr>
                      </pic:pic>
                    </a:graphicData>
                  </a:graphic>
                </wp:inline>
              </w:drawing>
            </w:r>
          </w:p>
        </w:tc>
        <w:tc>
          <w:tcPr>
            <w:tcW w:w="825" w:type="dxa"/>
            <w:vMerge w:val="continue"/>
            <w:noWrap w:val="0"/>
            <w:vAlign w:val="top"/>
          </w:tcPr>
          <w:p w14:paraId="7C15CCF3">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004C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7D672D42">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51</w:t>
            </w:r>
          </w:p>
        </w:tc>
        <w:tc>
          <w:tcPr>
            <w:tcW w:w="1065" w:type="dxa"/>
            <w:noWrap w:val="0"/>
            <w:vAlign w:val="center"/>
          </w:tcPr>
          <w:p w14:paraId="647A44D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卡座沙发</w:t>
            </w:r>
          </w:p>
        </w:tc>
        <w:tc>
          <w:tcPr>
            <w:tcW w:w="2940" w:type="dxa"/>
            <w:noWrap w:val="0"/>
            <w:vAlign w:val="center"/>
          </w:tcPr>
          <w:p w14:paraId="75D0F3E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规格：650*750*2000mm，</w:t>
            </w:r>
          </w:p>
          <w:p w14:paraId="0305841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1.面料：采用优质透气毛麻面料，防磨防污性好；                                                                                                                        2.海棉：采用高回弹定型海绵，回弹力以及软硬度达到70度，密度达到45密以上。</w:t>
            </w:r>
          </w:p>
        </w:tc>
        <w:tc>
          <w:tcPr>
            <w:tcW w:w="660" w:type="dxa"/>
            <w:noWrap w:val="0"/>
            <w:vAlign w:val="center"/>
          </w:tcPr>
          <w:p w14:paraId="262163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79FBFDB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900" w:type="dxa"/>
            <w:noWrap w:val="0"/>
            <w:vAlign w:val="center"/>
          </w:tcPr>
          <w:p w14:paraId="6271AFD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444" w:type="dxa"/>
            <w:noWrap w:val="0"/>
            <w:vAlign w:val="top"/>
          </w:tcPr>
          <w:p w14:paraId="24C2836B">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93445" cy="655320"/>
                  <wp:effectExtent l="0" t="0" r="1905" b="11430"/>
                  <wp:docPr id="38" name="图片 51" descr="微信图片_2024042208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1" descr="微信图片_20240422084302"/>
                          <pic:cNvPicPr>
                            <a:picLocks noChangeAspect="1"/>
                          </pic:cNvPicPr>
                        </pic:nvPicPr>
                        <pic:blipFill>
                          <a:blip r:embed="rId81"/>
                          <a:stretch>
                            <a:fillRect/>
                          </a:stretch>
                        </pic:blipFill>
                        <pic:spPr>
                          <a:xfrm>
                            <a:off x="0" y="0"/>
                            <a:ext cx="893445" cy="655320"/>
                          </a:xfrm>
                          <a:prstGeom prst="rect">
                            <a:avLst/>
                          </a:prstGeom>
                          <a:noFill/>
                          <a:ln>
                            <a:noFill/>
                          </a:ln>
                        </pic:spPr>
                      </pic:pic>
                    </a:graphicData>
                  </a:graphic>
                </wp:inline>
              </w:drawing>
            </w:r>
          </w:p>
        </w:tc>
        <w:tc>
          <w:tcPr>
            <w:tcW w:w="825" w:type="dxa"/>
            <w:vMerge w:val="continue"/>
            <w:noWrap w:val="0"/>
            <w:vAlign w:val="top"/>
          </w:tcPr>
          <w:p w14:paraId="50D8C860">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7466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0104588E">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52</w:t>
            </w:r>
          </w:p>
        </w:tc>
        <w:tc>
          <w:tcPr>
            <w:tcW w:w="1065" w:type="dxa"/>
            <w:noWrap w:val="0"/>
            <w:vAlign w:val="center"/>
          </w:tcPr>
          <w:p w14:paraId="5CE2EE8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茶几</w:t>
            </w:r>
          </w:p>
        </w:tc>
        <w:tc>
          <w:tcPr>
            <w:tcW w:w="2940" w:type="dxa"/>
            <w:noWrap w:val="0"/>
            <w:vAlign w:val="center"/>
          </w:tcPr>
          <w:p w14:paraId="7222164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规格：1200*600*450mm，台面采用免漆多层板，板材密度≥760kg/m³，甲醛释放量≤0.5mg/100g。表面色泽美观、不变色、光滑耐磨、手感好木纹纹理清晰，优质钢脚架。</w:t>
            </w:r>
          </w:p>
        </w:tc>
        <w:tc>
          <w:tcPr>
            <w:tcW w:w="660" w:type="dxa"/>
            <w:noWrap w:val="0"/>
            <w:vAlign w:val="center"/>
          </w:tcPr>
          <w:p w14:paraId="0079520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23" w:type="dxa"/>
            <w:noWrap w:val="0"/>
            <w:vAlign w:val="center"/>
          </w:tcPr>
          <w:p w14:paraId="4124082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900" w:type="dxa"/>
            <w:noWrap w:val="0"/>
            <w:vAlign w:val="center"/>
          </w:tcPr>
          <w:p w14:paraId="13B24A7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1444" w:type="dxa"/>
            <w:noWrap w:val="0"/>
            <w:vAlign w:val="top"/>
          </w:tcPr>
          <w:p w14:paraId="66C4809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145540" cy="846455"/>
                  <wp:effectExtent l="0" t="0" r="16510" b="10795"/>
                  <wp:docPr id="39" name="图片 52" descr="微信图片_2024042208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2" descr="微信图片_20240422084257"/>
                          <pic:cNvPicPr>
                            <a:picLocks noChangeAspect="1"/>
                          </pic:cNvPicPr>
                        </pic:nvPicPr>
                        <pic:blipFill>
                          <a:blip r:embed="rId82"/>
                          <a:stretch>
                            <a:fillRect/>
                          </a:stretch>
                        </pic:blipFill>
                        <pic:spPr>
                          <a:xfrm>
                            <a:off x="0" y="0"/>
                            <a:ext cx="1145540" cy="846455"/>
                          </a:xfrm>
                          <a:prstGeom prst="rect">
                            <a:avLst/>
                          </a:prstGeom>
                          <a:noFill/>
                          <a:ln>
                            <a:noFill/>
                          </a:ln>
                        </pic:spPr>
                      </pic:pic>
                    </a:graphicData>
                  </a:graphic>
                </wp:inline>
              </w:drawing>
            </w:r>
          </w:p>
        </w:tc>
        <w:tc>
          <w:tcPr>
            <w:tcW w:w="825" w:type="dxa"/>
            <w:vMerge w:val="continue"/>
            <w:noWrap w:val="0"/>
            <w:vAlign w:val="top"/>
          </w:tcPr>
          <w:p w14:paraId="0C89479C">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0351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617" w:type="dxa"/>
            <w:noWrap w:val="0"/>
            <w:vAlign w:val="center"/>
          </w:tcPr>
          <w:p w14:paraId="3226F357">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53</w:t>
            </w:r>
          </w:p>
        </w:tc>
        <w:tc>
          <w:tcPr>
            <w:tcW w:w="1065" w:type="dxa"/>
            <w:noWrap w:val="0"/>
            <w:vAlign w:val="center"/>
          </w:tcPr>
          <w:p w14:paraId="20DFED0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吧椅</w:t>
            </w:r>
          </w:p>
        </w:tc>
        <w:tc>
          <w:tcPr>
            <w:tcW w:w="2940" w:type="dxa"/>
            <w:noWrap w:val="0"/>
            <w:vAlign w:val="center"/>
          </w:tcPr>
          <w:p w14:paraId="7751522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规格：450*480*1000mm</w:t>
            </w:r>
          </w:p>
          <w:p w14:paraId="233427B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PP加纤维全新料，钢架</w:t>
            </w:r>
          </w:p>
        </w:tc>
        <w:tc>
          <w:tcPr>
            <w:tcW w:w="660" w:type="dxa"/>
            <w:noWrap w:val="0"/>
            <w:vAlign w:val="center"/>
          </w:tcPr>
          <w:p w14:paraId="3824FB1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60BCCE6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00" w:type="dxa"/>
            <w:noWrap w:val="0"/>
            <w:vAlign w:val="center"/>
          </w:tcPr>
          <w:p w14:paraId="48ED72F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444" w:type="dxa"/>
            <w:noWrap w:val="0"/>
            <w:vAlign w:val="top"/>
          </w:tcPr>
          <w:p w14:paraId="71B2B2E3">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045845" cy="869950"/>
                  <wp:effectExtent l="0" t="0" r="1905" b="6350"/>
                  <wp:docPr id="40" name="图片 53" descr="微信图片_2024042208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3" descr="微信图片_20240422084300"/>
                          <pic:cNvPicPr>
                            <a:picLocks noChangeAspect="1"/>
                          </pic:cNvPicPr>
                        </pic:nvPicPr>
                        <pic:blipFill>
                          <a:blip r:embed="rId83"/>
                          <a:stretch>
                            <a:fillRect/>
                          </a:stretch>
                        </pic:blipFill>
                        <pic:spPr>
                          <a:xfrm>
                            <a:off x="0" y="0"/>
                            <a:ext cx="1045845" cy="869950"/>
                          </a:xfrm>
                          <a:prstGeom prst="rect">
                            <a:avLst/>
                          </a:prstGeom>
                          <a:noFill/>
                          <a:ln>
                            <a:noFill/>
                          </a:ln>
                        </pic:spPr>
                      </pic:pic>
                    </a:graphicData>
                  </a:graphic>
                </wp:inline>
              </w:drawing>
            </w:r>
          </w:p>
        </w:tc>
        <w:tc>
          <w:tcPr>
            <w:tcW w:w="825" w:type="dxa"/>
            <w:vMerge w:val="continue"/>
            <w:noWrap w:val="0"/>
            <w:vAlign w:val="top"/>
          </w:tcPr>
          <w:p w14:paraId="5C7EDB27">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46EE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6F1ADE50">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54</w:t>
            </w:r>
          </w:p>
        </w:tc>
        <w:tc>
          <w:tcPr>
            <w:tcW w:w="1065" w:type="dxa"/>
            <w:noWrap w:val="0"/>
            <w:vAlign w:val="center"/>
          </w:tcPr>
          <w:p w14:paraId="5D8B47F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图书室桌子</w:t>
            </w:r>
          </w:p>
        </w:tc>
        <w:tc>
          <w:tcPr>
            <w:tcW w:w="2940" w:type="dxa"/>
            <w:noWrap w:val="0"/>
            <w:vAlign w:val="center"/>
          </w:tcPr>
          <w:p w14:paraId="4C2FA7C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规格：1000*750*2400mm</w:t>
            </w:r>
          </w:p>
          <w:p w14:paraId="0AD44BB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优质橡胶木实木，环保油漆。</w:t>
            </w:r>
          </w:p>
        </w:tc>
        <w:tc>
          <w:tcPr>
            <w:tcW w:w="660" w:type="dxa"/>
            <w:noWrap w:val="0"/>
            <w:vAlign w:val="center"/>
          </w:tcPr>
          <w:p w14:paraId="7BCB193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1DA5B98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00" w:type="dxa"/>
            <w:noWrap w:val="0"/>
            <w:vAlign w:val="center"/>
          </w:tcPr>
          <w:p w14:paraId="635AF54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444" w:type="dxa"/>
            <w:noWrap w:val="0"/>
            <w:vAlign w:val="top"/>
          </w:tcPr>
          <w:p w14:paraId="5E61B93F">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41070" cy="846455"/>
                  <wp:effectExtent l="0" t="0" r="11430" b="10795"/>
                  <wp:docPr id="42" name="图片 54" descr="IMG_20240422_10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4" descr="IMG_20240422_105406"/>
                          <pic:cNvPicPr>
                            <a:picLocks noChangeAspect="1"/>
                          </pic:cNvPicPr>
                        </pic:nvPicPr>
                        <pic:blipFill>
                          <a:blip r:embed="rId84"/>
                          <a:stretch>
                            <a:fillRect/>
                          </a:stretch>
                        </pic:blipFill>
                        <pic:spPr>
                          <a:xfrm>
                            <a:off x="0" y="0"/>
                            <a:ext cx="941070" cy="846455"/>
                          </a:xfrm>
                          <a:prstGeom prst="rect">
                            <a:avLst/>
                          </a:prstGeom>
                          <a:noFill/>
                          <a:ln>
                            <a:noFill/>
                          </a:ln>
                        </pic:spPr>
                      </pic:pic>
                    </a:graphicData>
                  </a:graphic>
                </wp:inline>
              </w:drawing>
            </w:r>
          </w:p>
        </w:tc>
        <w:tc>
          <w:tcPr>
            <w:tcW w:w="825" w:type="dxa"/>
            <w:vMerge w:val="continue"/>
            <w:noWrap w:val="0"/>
            <w:vAlign w:val="top"/>
          </w:tcPr>
          <w:p w14:paraId="524B1785">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0AB3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6DAC3E69">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55</w:t>
            </w:r>
          </w:p>
        </w:tc>
        <w:tc>
          <w:tcPr>
            <w:tcW w:w="1065" w:type="dxa"/>
            <w:noWrap w:val="0"/>
            <w:vAlign w:val="center"/>
          </w:tcPr>
          <w:p w14:paraId="5292508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图书室椅子</w:t>
            </w:r>
          </w:p>
        </w:tc>
        <w:tc>
          <w:tcPr>
            <w:tcW w:w="2940" w:type="dxa"/>
            <w:noWrap w:val="0"/>
            <w:vAlign w:val="center"/>
          </w:tcPr>
          <w:p w14:paraId="68E13E7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规格：570*630*860mm</w:t>
            </w:r>
          </w:p>
          <w:p w14:paraId="139BAF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1.面料：采用优质透气毛麻面料，防磨防污性好；                                                                                                                            2.海棉：采用高回弹定型海绵，回弹力以及软硬度达到70度，密度达到45密以上。</w:t>
            </w:r>
          </w:p>
        </w:tc>
        <w:tc>
          <w:tcPr>
            <w:tcW w:w="660" w:type="dxa"/>
            <w:noWrap w:val="0"/>
            <w:vAlign w:val="center"/>
          </w:tcPr>
          <w:p w14:paraId="54DFD84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6D1104C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900" w:type="dxa"/>
            <w:noWrap w:val="0"/>
            <w:vAlign w:val="center"/>
          </w:tcPr>
          <w:p w14:paraId="63A14B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444" w:type="dxa"/>
            <w:noWrap w:val="0"/>
            <w:vAlign w:val="top"/>
          </w:tcPr>
          <w:p w14:paraId="19C97588">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18210" cy="846455"/>
                  <wp:effectExtent l="0" t="0" r="15240" b="10795"/>
                  <wp:docPr id="41" name="图片 55" descr="IMG_20240422_10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5" descr="IMG_20240422_105406"/>
                          <pic:cNvPicPr>
                            <a:picLocks noChangeAspect="1"/>
                          </pic:cNvPicPr>
                        </pic:nvPicPr>
                        <pic:blipFill>
                          <a:blip r:embed="rId84"/>
                          <a:stretch>
                            <a:fillRect/>
                          </a:stretch>
                        </pic:blipFill>
                        <pic:spPr>
                          <a:xfrm>
                            <a:off x="0" y="0"/>
                            <a:ext cx="918210" cy="846455"/>
                          </a:xfrm>
                          <a:prstGeom prst="rect">
                            <a:avLst/>
                          </a:prstGeom>
                          <a:noFill/>
                          <a:ln>
                            <a:noFill/>
                          </a:ln>
                        </pic:spPr>
                      </pic:pic>
                    </a:graphicData>
                  </a:graphic>
                </wp:inline>
              </w:drawing>
            </w:r>
          </w:p>
        </w:tc>
        <w:tc>
          <w:tcPr>
            <w:tcW w:w="825" w:type="dxa"/>
            <w:vMerge w:val="continue"/>
            <w:noWrap w:val="0"/>
            <w:vAlign w:val="top"/>
          </w:tcPr>
          <w:p w14:paraId="5F747855">
            <w:pPr>
              <w:pStyle w:val="3"/>
              <w:rPr>
                <w:rFonts w:hint="eastAsia" w:ascii="宋体" w:hAnsi="宋体" w:eastAsia="宋体" w:cs="宋体"/>
                <w:b w:val="0"/>
                <w:i w:val="0"/>
                <w:iCs w:val="0"/>
                <w:color w:val="auto"/>
                <w:kern w:val="0"/>
                <w:sz w:val="21"/>
                <w:szCs w:val="21"/>
                <w:highlight w:val="none"/>
                <w:u w:val="none"/>
                <w:lang w:val="en-US" w:eastAsia="zh-CN" w:bidi="ar"/>
              </w:rPr>
            </w:pPr>
          </w:p>
        </w:tc>
      </w:tr>
      <w:tr w14:paraId="24EA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6D4500C7">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56</w:t>
            </w:r>
          </w:p>
        </w:tc>
        <w:tc>
          <w:tcPr>
            <w:tcW w:w="1065" w:type="dxa"/>
            <w:noWrap w:val="0"/>
            <w:vAlign w:val="center"/>
          </w:tcPr>
          <w:p w14:paraId="7BCF14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休息椅</w:t>
            </w:r>
          </w:p>
        </w:tc>
        <w:tc>
          <w:tcPr>
            <w:tcW w:w="2940" w:type="dxa"/>
            <w:noWrap w:val="0"/>
            <w:vAlign w:val="center"/>
          </w:tcPr>
          <w:p w14:paraId="1487468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钢木材质，长度1.8米，带鞋架，钢制铁架，靠背座板软包</w:t>
            </w:r>
          </w:p>
        </w:tc>
        <w:tc>
          <w:tcPr>
            <w:tcW w:w="660" w:type="dxa"/>
            <w:noWrap w:val="0"/>
            <w:vAlign w:val="center"/>
          </w:tcPr>
          <w:p w14:paraId="55BE005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923" w:type="dxa"/>
            <w:noWrap w:val="0"/>
            <w:vAlign w:val="center"/>
          </w:tcPr>
          <w:p w14:paraId="73F7376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900" w:type="dxa"/>
            <w:noWrap w:val="0"/>
            <w:vAlign w:val="center"/>
          </w:tcPr>
          <w:p w14:paraId="7C58FF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444" w:type="dxa"/>
            <w:noWrap w:val="0"/>
            <w:vAlign w:val="top"/>
          </w:tcPr>
          <w:p w14:paraId="78B57F08">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54710" cy="798830"/>
                  <wp:effectExtent l="0" t="0" r="2540" b="1270"/>
                  <wp:docPr id="43" name="图片 56" descr="微信图片_2024042209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6" descr="微信图片_20240422091941"/>
                          <pic:cNvPicPr>
                            <a:picLocks noChangeAspect="1"/>
                          </pic:cNvPicPr>
                        </pic:nvPicPr>
                        <pic:blipFill>
                          <a:blip r:embed="rId85"/>
                          <a:stretch>
                            <a:fillRect/>
                          </a:stretch>
                        </pic:blipFill>
                        <pic:spPr>
                          <a:xfrm>
                            <a:off x="0" y="0"/>
                            <a:ext cx="854710" cy="798830"/>
                          </a:xfrm>
                          <a:prstGeom prst="rect">
                            <a:avLst/>
                          </a:prstGeom>
                          <a:noFill/>
                          <a:ln>
                            <a:noFill/>
                          </a:ln>
                        </pic:spPr>
                      </pic:pic>
                    </a:graphicData>
                  </a:graphic>
                </wp:inline>
              </w:drawing>
            </w:r>
          </w:p>
        </w:tc>
        <w:tc>
          <w:tcPr>
            <w:tcW w:w="825" w:type="dxa"/>
            <w:noWrap w:val="0"/>
            <w:vAlign w:val="center"/>
          </w:tcPr>
          <w:p w14:paraId="123D2A63">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篮球馆</w:t>
            </w:r>
          </w:p>
        </w:tc>
      </w:tr>
      <w:tr w14:paraId="19CC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2D7B9A0E">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57</w:t>
            </w:r>
          </w:p>
        </w:tc>
        <w:tc>
          <w:tcPr>
            <w:tcW w:w="1065" w:type="dxa"/>
            <w:noWrap w:val="0"/>
            <w:vAlign w:val="center"/>
          </w:tcPr>
          <w:p w14:paraId="4545E66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礼堂椅</w:t>
            </w:r>
          </w:p>
        </w:tc>
        <w:tc>
          <w:tcPr>
            <w:tcW w:w="2940" w:type="dxa"/>
            <w:noWrap w:val="0"/>
            <w:vAlign w:val="center"/>
          </w:tcPr>
          <w:p w14:paraId="6666DB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座椅为带软靠背、软垫的高档报告厅座椅，外形尺寸及倾斜角度根据人体形态工程学曲线原理设计。</w:t>
            </w:r>
          </w:p>
          <w:p w14:paraId="51449396">
            <w:pPr>
              <w:keepNext w:val="0"/>
              <w:keepLines w:val="0"/>
              <w:widowControl/>
              <w:numPr>
                <w:ilvl w:val="0"/>
                <w:numId w:val="12"/>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产品尺寸：</w:t>
            </w:r>
          </w:p>
          <w:p w14:paraId="3923A4E2">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中心距：580mm； 座内宽：500mm；座深：460mm；座高：450mm；扶手高：640mm；全高：1060mm；椅深（座收缩）：550mm，整体深度（座包打开）：700；误差：±5-10mm；建议最小行距：900mm；</w:t>
            </w:r>
          </w:p>
          <w:p w14:paraId="21DC1928">
            <w:pPr>
              <w:keepNext w:val="0"/>
              <w:keepLines w:val="0"/>
              <w:widowControl/>
              <w:numPr>
                <w:ilvl w:val="0"/>
                <w:numId w:val="13"/>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背座胶壳：采用优质PP多元素复合材料经模具压注成型，承托力强，抗变形，硬度高，耐磨耐用。内衬板：内衬板经模具高压成型，具有曲线，符合人体工学原理，承托力强，耐冲击，抗变形；</w:t>
            </w:r>
          </w:p>
          <w:p w14:paraId="170027C4">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3、海绵：采用冷发泡定型海绵，高密度（45KG/m3）。</w:t>
            </w:r>
          </w:p>
          <w:p w14:paraId="2242C8BD">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4、面料：采用优质弹性布，手感舒适，美观大方。</w:t>
            </w:r>
          </w:p>
          <w:p w14:paraId="2F5A14A2">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5、座连接：采用φ25圆管穿过座壳中心孔，两侧受力在站脚的M型连接件上，用螺丝固定便于拆装维修更换。</w:t>
            </w:r>
          </w:p>
          <w:p w14:paraId="237AD0D8">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回弹机构：坐垫翻起可采用缓冲慢回弹也可采用双弹簧回复，座板回复时无杂音，无撞击，缓慢回复复位精准，也可采用双扭簧回弹设计，复位准确，低噪音。7、写字板：采用三聚氰氨写字板(长265x宽235x厚15mm),笔槽长160mm,并开有笔槽。支架的连接件为直径14mm的钢筋圆柱，托盘尺寸125*105mm，坚固耐用。写字板收藏于扶手脚内部，美观方便。采用后座翻拉式设计，不用时可以上翻，使用时可翻平。</w:t>
            </w:r>
          </w:p>
          <w:p w14:paraId="2099A5D0">
            <w:pPr>
              <w:keepNext w:val="0"/>
              <w:keepLines w:val="0"/>
              <w:widowControl/>
              <w:numPr>
                <w:ilvl w:val="0"/>
                <w:numId w:val="14"/>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扶手: 扶手采用PP注塑，自带杯筒式设计，方便放置水杯。</w:t>
            </w:r>
          </w:p>
          <w:p w14:paraId="26A74897">
            <w:pPr>
              <w:keepNext w:val="0"/>
              <w:keepLines w:val="0"/>
              <w:widowControl/>
              <w:numPr>
                <w:ilvl w:val="0"/>
                <w:numId w:val="14"/>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站脚：脚管采用优质方管(80x40x1.2mm)，底脚由冷轧板冲压经模具二氢化碳焊接组合成型。表面采用防锈磷化处理，静电喷亚光黑，并经高温烤锔塑化。</w:t>
            </w:r>
          </w:p>
          <w:p w14:paraId="044E2442">
            <w:pPr>
              <w:keepNext w:val="0"/>
              <w:keepLines w:val="0"/>
              <w:widowControl/>
              <w:numPr>
                <w:ilvl w:val="0"/>
                <w:numId w:val="14"/>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侧面护板：采用7mm多层板经夹具钉制木框形状，作为装饰的同时上部可支撑扶手，减轻扶手的压力。外覆海绵及优质毛麻面料，并采用内插式，后用自攻螺丝固定。</w:t>
            </w:r>
          </w:p>
        </w:tc>
        <w:tc>
          <w:tcPr>
            <w:tcW w:w="660" w:type="dxa"/>
            <w:noWrap w:val="0"/>
            <w:vAlign w:val="center"/>
          </w:tcPr>
          <w:p w14:paraId="76E55AF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把</w:t>
            </w:r>
          </w:p>
        </w:tc>
        <w:tc>
          <w:tcPr>
            <w:tcW w:w="923" w:type="dxa"/>
            <w:noWrap w:val="0"/>
            <w:vAlign w:val="center"/>
          </w:tcPr>
          <w:p w14:paraId="68394A5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w:t>
            </w:r>
          </w:p>
        </w:tc>
        <w:tc>
          <w:tcPr>
            <w:tcW w:w="900" w:type="dxa"/>
            <w:noWrap w:val="0"/>
            <w:vAlign w:val="center"/>
          </w:tcPr>
          <w:p w14:paraId="6899534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w:t>
            </w:r>
          </w:p>
        </w:tc>
        <w:tc>
          <w:tcPr>
            <w:tcW w:w="1444" w:type="dxa"/>
            <w:noWrap w:val="0"/>
            <w:vAlign w:val="top"/>
          </w:tcPr>
          <w:p w14:paraId="644C2838">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247140" cy="1029970"/>
                  <wp:effectExtent l="0" t="0" r="10160" b="17780"/>
                  <wp:docPr id="4" name="图片 57" descr="微信图片_2024042119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微信图片_20240421195927"/>
                          <pic:cNvPicPr>
                            <a:picLocks noChangeAspect="1"/>
                          </pic:cNvPicPr>
                        </pic:nvPicPr>
                        <pic:blipFill>
                          <a:blip r:embed="rId86"/>
                          <a:stretch>
                            <a:fillRect/>
                          </a:stretch>
                        </pic:blipFill>
                        <pic:spPr>
                          <a:xfrm>
                            <a:off x="0" y="0"/>
                            <a:ext cx="1247140" cy="1029970"/>
                          </a:xfrm>
                          <a:prstGeom prst="rect">
                            <a:avLst/>
                          </a:prstGeom>
                          <a:noFill/>
                          <a:ln>
                            <a:noFill/>
                          </a:ln>
                        </pic:spPr>
                      </pic:pic>
                    </a:graphicData>
                  </a:graphic>
                </wp:inline>
              </w:drawing>
            </w:r>
          </w:p>
        </w:tc>
        <w:tc>
          <w:tcPr>
            <w:tcW w:w="825" w:type="dxa"/>
            <w:vMerge w:val="restart"/>
            <w:noWrap w:val="0"/>
            <w:vAlign w:val="center"/>
          </w:tcPr>
          <w:p w14:paraId="36DE9713">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火焰蓝影院</w:t>
            </w:r>
          </w:p>
        </w:tc>
      </w:tr>
      <w:tr w14:paraId="256A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noWrap w:val="0"/>
            <w:vAlign w:val="center"/>
          </w:tcPr>
          <w:p w14:paraId="1DE99D77">
            <w:pPr>
              <w:pStyle w:val="3"/>
              <w:jc w:val="center"/>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58</w:t>
            </w:r>
          </w:p>
        </w:tc>
        <w:tc>
          <w:tcPr>
            <w:tcW w:w="1065" w:type="dxa"/>
            <w:noWrap w:val="0"/>
            <w:vAlign w:val="center"/>
          </w:tcPr>
          <w:p w14:paraId="7DD4298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功能椅</w:t>
            </w:r>
          </w:p>
        </w:tc>
        <w:tc>
          <w:tcPr>
            <w:tcW w:w="2940" w:type="dxa"/>
            <w:noWrap w:val="0"/>
            <w:vAlign w:val="center"/>
          </w:tcPr>
          <w:p w14:paraId="1E0AB6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规格：970*950*1000mm920，总宽x990总深x1000总高,</w:t>
            </w:r>
          </w:p>
          <w:p w14:paraId="000877B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采用环保皮面料，高回弹海绵，实木内架 ，优质钢架电机。</w:t>
            </w:r>
          </w:p>
        </w:tc>
        <w:tc>
          <w:tcPr>
            <w:tcW w:w="660" w:type="dxa"/>
            <w:noWrap w:val="0"/>
            <w:vAlign w:val="center"/>
          </w:tcPr>
          <w:p w14:paraId="1769EAF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把</w:t>
            </w:r>
          </w:p>
        </w:tc>
        <w:tc>
          <w:tcPr>
            <w:tcW w:w="923" w:type="dxa"/>
            <w:noWrap w:val="0"/>
            <w:vAlign w:val="center"/>
          </w:tcPr>
          <w:p w14:paraId="71600FF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900" w:type="dxa"/>
            <w:noWrap w:val="0"/>
            <w:vAlign w:val="center"/>
          </w:tcPr>
          <w:p w14:paraId="609CEEF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444" w:type="dxa"/>
            <w:noWrap w:val="0"/>
            <w:vAlign w:val="top"/>
          </w:tcPr>
          <w:p w14:paraId="060731E9">
            <w:pPr>
              <w:pStyle w:val="3"/>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052830" cy="965835"/>
                  <wp:effectExtent l="0" t="0" r="13970" b="5715"/>
                  <wp:docPr id="1" name="图片 58" descr="微信图片_2024042120002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descr="微信图片_20240421200025(副本)"/>
                          <pic:cNvPicPr>
                            <a:picLocks noChangeAspect="1"/>
                          </pic:cNvPicPr>
                        </pic:nvPicPr>
                        <pic:blipFill>
                          <a:blip r:embed="rId87"/>
                          <a:stretch>
                            <a:fillRect/>
                          </a:stretch>
                        </pic:blipFill>
                        <pic:spPr>
                          <a:xfrm>
                            <a:off x="0" y="0"/>
                            <a:ext cx="1052830" cy="965835"/>
                          </a:xfrm>
                          <a:prstGeom prst="rect">
                            <a:avLst/>
                          </a:prstGeom>
                          <a:noFill/>
                          <a:ln>
                            <a:noFill/>
                          </a:ln>
                        </pic:spPr>
                      </pic:pic>
                    </a:graphicData>
                  </a:graphic>
                </wp:inline>
              </w:drawing>
            </w:r>
          </w:p>
        </w:tc>
        <w:tc>
          <w:tcPr>
            <w:tcW w:w="825" w:type="dxa"/>
            <w:vMerge w:val="continue"/>
            <w:noWrap w:val="0"/>
            <w:vAlign w:val="top"/>
          </w:tcPr>
          <w:p w14:paraId="5D8D945B">
            <w:pPr>
              <w:pStyle w:val="3"/>
              <w:rPr>
                <w:rFonts w:hint="eastAsia" w:ascii="宋体" w:hAnsi="宋体" w:eastAsia="宋体" w:cs="宋体"/>
                <w:b w:val="0"/>
                <w:i w:val="0"/>
                <w:iCs w:val="0"/>
                <w:color w:val="auto"/>
                <w:kern w:val="0"/>
                <w:sz w:val="21"/>
                <w:szCs w:val="21"/>
                <w:highlight w:val="none"/>
                <w:u w:val="none"/>
                <w:lang w:val="en-US" w:eastAsia="zh-CN" w:bidi="ar"/>
              </w:rPr>
            </w:pPr>
          </w:p>
        </w:tc>
      </w:tr>
    </w:tbl>
    <w:p w14:paraId="5D67E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备注：</w:t>
      </w:r>
    </w:p>
    <w:p w14:paraId="297408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（1）所投产品规格偏差不超过±5mm。</w:t>
      </w:r>
    </w:p>
    <w:p w14:paraId="028CF1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（2）采购人提供的图片为参考式样,中标后中标人应无条件按采购人要求进行设计调整。</w:t>
      </w:r>
    </w:p>
    <w:p w14:paraId="63ECBB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（3）中标人须根据采购人的要求及时供货。</w:t>
      </w:r>
    </w:p>
    <w:p w14:paraId="604F88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（4）采购人根据实际情况可能将对投标人的供货进行环保检测，检测费用由中标人承担,如不合格免费更换所有产品。</w:t>
      </w:r>
    </w:p>
    <w:p w14:paraId="4188AB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▲（5）技术参数中如有漏项，家具实际使用功能必须达到采购人实际要求。</w:t>
      </w:r>
    </w:p>
    <w:p w14:paraId="165EF4C7">
      <w:pPr>
        <w:keepNext w:val="0"/>
        <w:keepLines w:val="0"/>
        <w:pageBreakBefore w:val="0"/>
        <w:widowControl w:val="0"/>
        <w:kinsoku/>
        <w:wordWrap/>
        <w:overflowPunct/>
        <w:topLinePunct w:val="0"/>
        <w:autoSpaceDE/>
        <w:autoSpaceDN/>
        <w:bidi w:val="0"/>
        <w:adjustRightInd/>
        <w:snapToGrid w:val="0"/>
        <w:spacing w:beforeLines="50" w:afterLines="50" w:line="360" w:lineRule="auto"/>
        <w:ind w:firstLine="562" w:firstLineChars="200"/>
        <w:textAlignment w:val="auto"/>
        <w:rPr>
          <w:rFonts w:hint="default"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四、标一、标二、标三商务要求</w:t>
      </w:r>
    </w:p>
    <w:p w14:paraId="3C134C1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（一）项目</w:t>
      </w:r>
      <w:r>
        <w:rPr>
          <w:rFonts w:hint="eastAsia" w:ascii="宋体" w:hAnsi="宋体" w:eastAsia="宋体" w:cs="宋体"/>
          <w:b/>
          <w:color w:val="auto"/>
          <w:sz w:val="24"/>
          <w:szCs w:val="24"/>
          <w:highlight w:val="none"/>
        </w:rPr>
        <w:t>说明</w:t>
      </w:r>
    </w:p>
    <w:p w14:paraId="246C62AF">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本次招标内容为完成以上项目的制作、运输、就位安装、验收及售后服务。 </w:t>
      </w:r>
    </w:p>
    <w:p w14:paraId="4E0B338B">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所有的材料覆面拼贴应严密、平整，无脱胶、鼓泡，无裂纹、压痕和划伤；人造板制成的部件除内部隐蔽处外，均应进行封边处理，封边应严密、平整，不允许脱胶、表面有胶渍。</w:t>
      </w:r>
    </w:p>
    <w:p w14:paraId="596D1B46">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所有配拆装产品零件结合应牢固严密，活动部位应保证灵活自如、无杂音。 </w:t>
      </w:r>
    </w:p>
    <w:p w14:paraId="1B530EF0">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在材料包装拆卸、安装过程中产生的所有垃圾应立刻清扫，</w:t>
      </w:r>
      <w:r>
        <w:rPr>
          <w:rFonts w:hint="eastAsia" w:ascii="宋体" w:hAnsi="宋体" w:eastAsia="宋体" w:cs="宋体"/>
          <w:color w:val="auto"/>
          <w:sz w:val="24"/>
          <w:szCs w:val="24"/>
          <w:highlight w:val="none"/>
          <w:lang w:val="en-US" w:eastAsia="zh-CN"/>
        </w:rPr>
        <w:t>合理自行处置</w:t>
      </w:r>
      <w:r>
        <w:rPr>
          <w:rFonts w:hint="eastAsia" w:ascii="宋体" w:hAnsi="宋体" w:eastAsia="宋体" w:cs="宋体"/>
          <w:color w:val="auto"/>
          <w:sz w:val="24"/>
          <w:szCs w:val="24"/>
          <w:highlight w:val="none"/>
        </w:rPr>
        <w:t xml:space="preserve">。 </w:t>
      </w:r>
    </w:p>
    <w:p w14:paraId="4384C9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项目生产、运输、安装</w:t>
      </w:r>
      <w:r>
        <w:rPr>
          <w:rFonts w:hint="eastAsia" w:ascii="宋体" w:hAnsi="宋体" w:eastAsia="宋体" w:cs="宋体"/>
          <w:color w:val="auto"/>
          <w:sz w:val="24"/>
          <w:szCs w:val="24"/>
          <w:highlight w:val="none"/>
        </w:rPr>
        <w:t>实施过程中，</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必须制定文明施工、安全生产的各项规定，遵守制定的现场管理制度，并接受采购人的监督。保持现场的井然有序，以免发生伤害事故。发生安全事故、火灾事故造成的损失，由</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承担全部责任。</w:t>
      </w:r>
    </w:p>
    <w:p w14:paraId="1AF6034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二</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质量要求</w:t>
      </w:r>
    </w:p>
    <w:p w14:paraId="18BFE473">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（1）中标人须提供符合</w:t>
      </w:r>
      <w:r>
        <w:rPr>
          <w:rFonts w:hint="eastAsia" w:ascii="宋体" w:hAnsi="宋体" w:eastAsia="宋体" w:cs="宋体"/>
          <w:color w:val="auto"/>
          <w:sz w:val="24"/>
          <w:szCs w:val="24"/>
          <w:highlight w:val="none"/>
          <w:lang w:val="en-US" w:eastAsia="zh-CN"/>
        </w:rPr>
        <w:t>招标文件技术参数</w:t>
      </w:r>
      <w:r>
        <w:rPr>
          <w:rFonts w:hint="eastAsia" w:ascii="宋体" w:hAnsi="宋体" w:eastAsia="宋体" w:cs="宋体"/>
          <w:color w:val="auto"/>
          <w:sz w:val="24"/>
          <w:szCs w:val="24"/>
          <w:highlight w:val="none"/>
        </w:rPr>
        <w:t>要求的货物(包括零部件)。</w:t>
      </w:r>
    </w:p>
    <w:p w14:paraId="7DAB842C">
      <w:pPr>
        <w:keepNext w:val="0"/>
        <w:keepLines w:val="0"/>
        <w:pageBreakBefore w:val="0"/>
        <w:widowControl w:val="0"/>
        <w:numPr>
          <w:ilvl w:val="0"/>
          <w:numId w:val="15"/>
        </w:numPr>
        <w:kinsoku/>
        <w:wordWrap/>
        <w:overflowPunct/>
        <w:topLinePunct w:val="0"/>
        <w:autoSpaceDE/>
        <w:autoSpaceDN/>
        <w:bidi w:val="0"/>
        <w:adjustRightInd/>
        <w:spacing w:line="360" w:lineRule="auto"/>
        <w:ind w:leftChars="0" w:firstLine="480" w:firstLineChars="20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货物验收过程中，由于质量不合格、运输、垃圾清理等原因所造成的一切费用均由中标人负责。</w:t>
      </w:r>
    </w:p>
    <w:p w14:paraId="760DC958">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供货过程（包括供货、安装、验收合格）中引起的安全问题，一切责任由中标人负责。</w:t>
      </w:r>
    </w:p>
    <w:p w14:paraId="3D46FA5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三</w:t>
      </w:r>
      <w:r>
        <w:rPr>
          <w:rFonts w:hint="eastAsia" w:ascii="宋体" w:hAnsi="宋体" w:cs="宋体"/>
          <w:b/>
          <w:color w:val="auto"/>
          <w:sz w:val="24"/>
          <w:szCs w:val="24"/>
          <w:highlight w:val="none"/>
          <w:lang w:eastAsia="zh-CN"/>
        </w:rPr>
        <w:t>）交货期和质保期要求</w:t>
      </w:r>
    </w:p>
    <w:p w14:paraId="28E3C249">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交货期及地点</w:t>
      </w:r>
    </w:p>
    <w:p w14:paraId="736CA819">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交货期:</w:t>
      </w:r>
      <w:r>
        <w:rPr>
          <w:rFonts w:hint="eastAsia" w:ascii="宋体" w:hAnsi="宋体" w:cs="宋体"/>
          <w:color w:val="auto"/>
          <w:sz w:val="24"/>
          <w:highlight w:val="none"/>
          <w:lang w:val="en-US" w:eastAsia="zh-CN"/>
        </w:rPr>
        <w:t>中标通知书发出之日起30天内供货并完成安装调试，</w:t>
      </w:r>
      <w:r>
        <w:rPr>
          <w:rFonts w:hint="eastAsia" w:ascii="宋体" w:hAnsi="宋体" w:cs="宋体"/>
          <w:color w:val="auto"/>
          <w:sz w:val="24"/>
          <w:highlight w:val="none"/>
        </w:rPr>
        <w:t>若采购人不具备安装条件，工期可适当顺延</w:t>
      </w:r>
      <w:r>
        <w:rPr>
          <w:rFonts w:hint="eastAsia" w:ascii="宋体" w:hAnsi="宋体" w:cs="宋体"/>
          <w:color w:val="auto"/>
          <w:sz w:val="24"/>
          <w:highlight w:val="none"/>
          <w:lang w:eastAsia="zh-CN"/>
        </w:rPr>
        <w:t>。</w:t>
      </w:r>
    </w:p>
    <w:p w14:paraId="2C9BF979">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实施地点:安装地点为采购人指定地点。</w:t>
      </w:r>
    </w:p>
    <w:p w14:paraId="7E1510E2">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安装标准:符合我国国家有关技术规范要求和技术标准。</w:t>
      </w:r>
    </w:p>
    <w:p w14:paraId="782122A7">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质保期</w:t>
      </w:r>
    </w:p>
    <w:p w14:paraId="46370EB8">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质保期</w:t>
      </w:r>
      <w:r>
        <w:rPr>
          <w:rFonts w:hint="eastAsia" w:ascii="宋体" w:hAnsi="宋体" w:eastAsia="宋体" w:cs="宋体"/>
          <w:color w:val="auto"/>
          <w:sz w:val="24"/>
          <w:highlight w:val="none"/>
          <w:lang w:val="en-US" w:eastAsia="zh-CN"/>
        </w:rPr>
        <w:t>3年（免费维修期三年）</w:t>
      </w:r>
      <w:r>
        <w:rPr>
          <w:rFonts w:hint="eastAsia" w:ascii="宋体" w:hAnsi="宋体" w:eastAsia="宋体" w:cs="宋体"/>
          <w:color w:val="auto"/>
          <w:sz w:val="24"/>
          <w:highlight w:val="none"/>
        </w:rPr>
        <w:t>。质量保修期从安装调试完毕，最终验收合格之日开始计算。</w:t>
      </w:r>
    </w:p>
    <w:p w14:paraId="598DC8B2">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在保修期内采购人有非人为故障申报，中标人接到采购人通知应在不超过2小时内做出响应，不超过2个工作日内解决</w:t>
      </w:r>
      <w:r>
        <w:rPr>
          <w:rFonts w:hint="eastAsia" w:ascii="宋体" w:hAnsi="宋体" w:eastAsia="宋体" w:cs="宋体"/>
          <w:color w:val="auto"/>
          <w:sz w:val="24"/>
          <w:highlight w:val="none"/>
          <w:lang w:val="en-US" w:eastAsia="zh-CN"/>
        </w:rPr>
        <w:t>问题</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若48小时内无法修复的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lang w:eastAsia="zh-CN"/>
        </w:rPr>
        <w:t>人应提供免费更换服务。如果</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lang w:eastAsia="zh-CN"/>
        </w:rPr>
        <w:t>人在接到通知后的4个小时内未作出响应，则由于故障所造成的全部损失由</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lang w:eastAsia="zh-CN"/>
        </w:rPr>
        <w:t>人承担</w:t>
      </w:r>
      <w:r>
        <w:rPr>
          <w:rFonts w:hint="eastAsia" w:ascii="宋体" w:hAnsi="宋体" w:eastAsia="宋体" w:cs="宋体"/>
          <w:color w:val="auto"/>
          <w:sz w:val="24"/>
          <w:highlight w:val="none"/>
        </w:rPr>
        <w:t>。</w:t>
      </w:r>
    </w:p>
    <w:p w14:paraId="0C2F5537">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Times New Roman" w:eastAsia="宋体" w:cs="Times New Roman"/>
          <w:b/>
          <w:color w:val="auto"/>
          <w:sz w:val="24"/>
          <w:highlight w:val="none"/>
          <w:lang w:eastAsia="zh-CN"/>
        </w:rPr>
      </w:pPr>
      <w:r>
        <w:rPr>
          <w:rFonts w:hint="eastAsia" w:cs="Times New Roman"/>
          <w:b/>
          <w:color w:val="auto"/>
          <w:sz w:val="24"/>
          <w:highlight w:val="none"/>
          <w:lang w:val="en-US" w:eastAsia="zh-CN"/>
        </w:rPr>
        <w:t>（四）</w:t>
      </w:r>
      <w:r>
        <w:rPr>
          <w:rFonts w:hint="eastAsia" w:ascii="Times New Roman" w:hAnsi="Times New Roman" w:eastAsia="宋体" w:cs="Times New Roman"/>
          <w:b/>
          <w:color w:val="auto"/>
          <w:sz w:val="24"/>
          <w:highlight w:val="none"/>
          <w:lang w:eastAsia="zh-CN"/>
        </w:rPr>
        <w:t>验收要求</w:t>
      </w:r>
    </w:p>
    <w:p w14:paraId="79562A2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olor w:val="auto"/>
          <w:kern w:val="0"/>
          <w:sz w:val="24"/>
          <w:highlight w:val="none"/>
        </w:rPr>
      </w:pPr>
      <w:r>
        <w:rPr>
          <w:rFonts w:hint="eastAsia" w:ascii="宋体" w:hAnsi="宋体"/>
          <w:color w:val="auto"/>
          <w:kern w:val="0"/>
          <w:sz w:val="24"/>
          <w:highlight w:val="none"/>
        </w:rPr>
        <w:t>1．验收时间：中标人在</w:t>
      </w:r>
      <w:r>
        <w:rPr>
          <w:rFonts w:hint="eastAsia" w:ascii="宋体" w:hAnsi="宋体"/>
          <w:color w:val="auto"/>
          <w:kern w:val="0"/>
          <w:sz w:val="24"/>
          <w:highlight w:val="none"/>
          <w:lang w:val="en-US" w:eastAsia="zh-CN"/>
        </w:rPr>
        <w:t>货物</w:t>
      </w:r>
      <w:r>
        <w:rPr>
          <w:rFonts w:hint="eastAsia" w:ascii="宋体" w:hAnsi="宋体"/>
          <w:color w:val="auto"/>
          <w:kern w:val="0"/>
          <w:sz w:val="24"/>
          <w:highlight w:val="none"/>
        </w:rPr>
        <w:t>送达指定地点并安装调试完毕后，书面通知采购人报验。</w:t>
      </w:r>
    </w:p>
    <w:p w14:paraId="061AE10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olor w:val="auto"/>
          <w:kern w:val="0"/>
          <w:sz w:val="24"/>
          <w:highlight w:val="none"/>
        </w:rPr>
      </w:pPr>
      <w:r>
        <w:rPr>
          <w:rFonts w:hint="eastAsia" w:ascii="宋体" w:hAnsi="宋体"/>
          <w:color w:val="auto"/>
          <w:kern w:val="0"/>
          <w:sz w:val="24"/>
          <w:highlight w:val="none"/>
        </w:rPr>
        <w:t>2．验收：根据行业相关标准及招标文件、</w:t>
      </w:r>
      <w:r>
        <w:rPr>
          <w:rFonts w:hint="eastAsia" w:ascii="宋体" w:hAnsi="宋体"/>
          <w:color w:val="auto"/>
          <w:kern w:val="0"/>
          <w:sz w:val="24"/>
          <w:highlight w:val="none"/>
          <w:lang w:val="en-US" w:eastAsia="zh-CN"/>
        </w:rPr>
        <w:t>合同</w:t>
      </w:r>
      <w:r>
        <w:rPr>
          <w:rFonts w:hint="eastAsia" w:ascii="宋体" w:hAnsi="宋体"/>
          <w:color w:val="auto"/>
          <w:kern w:val="0"/>
          <w:sz w:val="24"/>
          <w:highlight w:val="none"/>
        </w:rPr>
        <w:t>相应技术要求，由采购人组织验收。验收费用由中标人承担。如验收过程中发现达不到验收标准或招标文件、合同等规定的要求时，中标人必须重新进行更换或维修，直至验收合格为止。</w:t>
      </w:r>
    </w:p>
    <w:p w14:paraId="20704DF2">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Times New Roman" w:hAnsi="Times New Roman" w:eastAsia="宋体" w:cs="Times New Roman"/>
          <w:b/>
          <w:color w:val="auto"/>
          <w:sz w:val="24"/>
          <w:highlight w:val="none"/>
          <w:lang w:val="en-US" w:eastAsia="zh-CN"/>
        </w:rPr>
      </w:pPr>
      <w:r>
        <w:rPr>
          <w:rFonts w:hint="eastAsia" w:cs="Times New Roman"/>
          <w:b/>
          <w:color w:val="auto"/>
          <w:sz w:val="24"/>
          <w:highlight w:val="none"/>
          <w:lang w:val="en-US" w:eastAsia="zh-CN"/>
        </w:rPr>
        <w:t>（五）</w:t>
      </w:r>
      <w:r>
        <w:rPr>
          <w:rFonts w:hint="eastAsia" w:ascii="Times New Roman" w:hAnsi="Times New Roman" w:eastAsia="宋体" w:cs="Times New Roman"/>
          <w:b/>
          <w:color w:val="auto"/>
          <w:sz w:val="24"/>
          <w:highlight w:val="none"/>
          <w:lang w:val="en-US" w:eastAsia="zh-CN"/>
        </w:rPr>
        <w:t xml:space="preserve">付款方式 </w:t>
      </w:r>
    </w:p>
    <w:p w14:paraId="1DDEB97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Courier New" w:eastAsia="宋体" w:cs="Times New Roman"/>
          <w:bCs/>
          <w:kern w:val="0"/>
          <w:sz w:val="24"/>
          <w:szCs w:val="20"/>
          <w:highlight w:val="none"/>
          <w:lang w:eastAsia="zh-CN"/>
        </w:rPr>
      </w:pPr>
      <w:r>
        <w:rPr>
          <w:rFonts w:hint="eastAsia" w:ascii="宋体" w:hAnsi="宋体" w:eastAsia="宋体" w:cs="Times New Roman"/>
          <w:color w:val="auto"/>
          <w:sz w:val="24"/>
          <w:szCs w:val="24"/>
          <w:highlight w:val="none"/>
          <w:lang w:val="en-US" w:eastAsia="zh-CN" w:bidi="ar"/>
        </w:rPr>
        <w:t>合同签订生效以及具备实施条件后7个工作日内支付合同总价的40%；货物全部到位并通过验收合格后7个工作日内支付合同总价的100%。</w:t>
      </w:r>
      <w:r>
        <w:rPr>
          <w:rFonts w:hint="eastAsia" w:ascii="宋体" w:hAnsi="Courier New" w:eastAsia="宋体" w:cs="Times New Roman"/>
          <w:bCs/>
          <w:color w:val="auto"/>
          <w:kern w:val="0"/>
          <w:sz w:val="24"/>
          <w:szCs w:val="20"/>
          <w:highlight w:val="none"/>
        </w:rPr>
        <w:t>中标</w:t>
      </w:r>
      <w:r>
        <w:rPr>
          <w:rFonts w:hint="eastAsia" w:ascii="宋体" w:hAnsi="Courier New" w:eastAsia="宋体" w:cs="Times New Roman"/>
          <w:bCs/>
          <w:color w:val="auto"/>
          <w:kern w:val="0"/>
          <w:sz w:val="24"/>
          <w:szCs w:val="20"/>
          <w:highlight w:val="none"/>
          <w:lang w:val="en-US" w:eastAsia="zh-CN"/>
        </w:rPr>
        <w:t>人</w:t>
      </w:r>
      <w:r>
        <w:rPr>
          <w:rFonts w:hint="eastAsia" w:ascii="宋体" w:hAnsi="Courier New" w:eastAsia="宋体" w:cs="Times New Roman"/>
          <w:bCs/>
          <w:color w:val="auto"/>
          <w:kern w:val="0"/>
          <w:sz w:val="24"/>
          <w:szCs w:val="20"/>
          <w:highlight w:val="none"/>
        </w:rPr>
        <w:t>在采购</w:t>
      </w:r>
      <w:r>
        <w:rPr>
          <w:rFonts w:hint="eastAsia" w:ascii="宋体" w:hAnsi="Courier New" w:eastAsia="宋体" w:cs="Times New Roman"/>
          <w:bCs/>
          <w:color w:val="auto"/>
          <w:kern w:val="0"/>
          <w:sz w:val="24"/>
          <w:szCs w:val="20"/>
          <w:highlight w:val="none"/>
          <w:lang w:val="en-US" w:eastAsia="zh-CN"/>
        </w:rPr>
        <w:t>人</w:t>
      </w:r>
      <w:r>
        <w:rPr>
          <w:rFonts w:hint="eastAsia" w:ascii="宋体" w:hAnsi="Courier New" w:eastAsia="宋体" w:cs="Times New Roman"/>
          <w:bCs/>
          <w:color w:val="auto"/>
          <w:kern w:val="0"/>
          <w:sz w:val="24"/>
          <w:szCs w:val="20"/>
          <w:highlight w:val="none"/>
        </w:rPr>
        <w:t>付款前须向采购</w:t>
      </w:r>
      <w:r>
        <w:rPr>
          <w:rFonts w:hint="eastAsia" w:ascii="宋体" w:hAnsi="Courier New" w:eastAsia="宋体" w:cs="Times New Roman"/>
          <w:bCs/>
          <w:color w:val="auto"/>
          <w:kern w:val="0"/>
          <w:sz w:val="24"/>
          <w:szCs w:val="20"/>
          <w:highlight w:val="none"/>
          <w:lang w:val="en-US" w:eastAsia="zh-CN"/>
        </w:rPr>
        <w:t>人分别</w:t>
      </w:r>
      <w:r>
        <w:rPr>
          <w:rFonts w:hint="eastAsia" w:ascii="宋体" w:hAnsi="Courier New" w:eastAsia="宋体" w:cs="Times New Roman"/>
          <w:bCs/>
          <w:color w:val="auto"/>
          <w:kern w:val="0"/>
          <w:sz w:val="24"/>
          <w:szCs w:val="20"/>
          <w:highlight w:val="none"/>
        </w:rPr>
        <w:t>开具</w:t>
      </w:r>
      <w:r>
        <w:rPr>
          <w:rFonts w:hint="eastAsia" w:ascii="宋体" w:hAnsi="Courier New" w:eastAsia="宋体" w:cs="Times New Roman"/>
          <w:bCs/>
          <w:color w:val="auto"/>
          <w:kern w:val="0"/>
          <w:sz w:val="24"/>
          <w:szCs w:val="20"/>
          <w:highlight w:val="none"/>
          <w:lang w:val="en-US" w:eastAsia="zh-CN"/>
        </w:rPr>
        <w:t>白云及南马的</w:t>
      </w:r>
      <w:r>
        <w:rPr>
          <w:rFonts w:hint="eastAsia" w:ascii="宋体" w:hAnsi="Courier New" w:eastAsia="宋体" w:cs="Times New Roman"/>
          <w:bCs/>
          <w:color w:val="auto"/>
          <w:kern w:val="0"/>
          <w:sz w:val="24"/>
          <w:szCs w:val="20"/>
          <w:highlight w:val="none"/>
        </w:rPr>
        <w:t>正规发票。</w:t>
      </w:r>
    </w:p>
    <w:p w14:paraId="7235AF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Times New Roman"/>
          <w:sz w:val="24"/>
          <w:szCs w:val="24"/>
          <w:highlight w:val="none"/>
          <w:lang w:val="en-US" w:eastAsia="zh-CN" w:bidi="ar"/>
        </w:rPr>
      </w:pPr>
    </w:p>
    <w:p w14:paraId="0488C5FD">
      <w:pPr>
        <w:rPr>
          <w:rFonts w:hint="eastAsia" w:hAnsi="宋体" w:cs="宋体"/>
          <w:color w:val="auto"/>
          <w:sz w:val="24"/>
          <w:highlight w:val="none"/>
        </w:rPr>
      </w:pPr>
    </w:p>
    <w:p w14:paraId="3695CF1F">
      <w:pPr>
        <w:pStyle w:val="15"/>
        <w:rPr>
          <w:rFonts w:hint="eastAsia" w:hAnsi="宋体" w:cs="宋体"/>
          <w:color w:val="auto"/>
          <w:sz w:val="24"/>
          <w:highlight w:val="none"/>
        </w:rPr>
      </w:pPr>
    </w:p>
    <w:p w14:paraId="7EF5A9C9">
      <w:pPr>
        <w:pageBreakBefore/>
        <w:snapToGrid w:val="0"/>
        <w:spacing w:before="156" w:beforeLines="50" w:after="156" w:afterLines="50" w:line="276" w:lineRule="auto"/>
        <w:ind w:left="-813" w:leftChars="-387"/>
        <w:jc w:val="center"/>
        <w:outlineLvl w:val="0"/>
        <w:rPr>
          <w:rFonts w:hint="eastAsia" w:ascii="宋体"/>
        </w:rPr>
      </w:pPr>
      <w:r>
        <w:rPr>
          <w:rFonts w:hint="eastAsia" w:ascii="黑体" w:eastAsia="黑体"/>
          <w:sz w:val="30"/>
          <w:szCs w:val="30"/>
        </w:rPr>
        <w:t>第三章  投标人须知</w:t>
      </w:r>
      <w:bookmarkEnd w:id="10"/>
      <w:bookmarkEnd w:id="11"/>
    </w:p>
    <w:p w14:paraId="3315BE3F">
      <w:pPr>
        <w:pStyle w:val="2"/>
        <w:keepNext w:val="0"/>
        <w:keepLines w:val="0"/>
        <w:spacing w:line="240" w:lineRule="auto"/>
        <w:jc w:val="center"/>
        <w:rPr>
          <w:rFonts w:hint="eastAsia" w:ascii="宋体" w:hAnsi="宋体"/>
          <w:b w:val="0"/>
          <w:sz w:val="24"/>
        </w:rPr>
      </w:pPr>
      <w:bookmarkStart w:id="14" w:name="_Toc2357"/>
      <w:bookmarkStart w:id="15" w:name="_Toc30038"/>
      <w:r>
        <w:rPr>
          <w:rFonts w:hint="eastAsia" w:ascii="宋体" w:hAnsi="宋体"/>
          <w:b w:val="0"/>
          <w:sz w:val="24"/>
        </w:rPr>
        <w:t>前附表</w:t>
      </w:r>
      <w:bookmarkEnd w:id="14"/>
      <w:bookmarkEnd w:id="15"/>
    </w:p>
    <w:tbl>
      <w:tblPr>
        <w:tblStyle w:val="65"/>
        <w:tblW w:w="92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4"/>
        <w:gridCol w:w="8506"/>
      </w:tblGrid>
      <w:tr w14:paraId="24F478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059A515E">
            <w:pPr>
              <w:spacing w:line="400" w:lineRule="exact"/>
              <w:jc w:val="center"/>
              <w:rPr>
                <w:rFonts w:ascii="宋体" w:hAnsi="宋体"/>
                <w:sz w:val="24"/>
                <w:szCs w:val="32"/>
              </w:rPr>
            </w:pPr>
            <w:bookmarkStart w:id="16" w:name="_Toc457480882"/>
            <w:r>
              <w:rPr>
                <w:rFonts w:hint="eastAsia" w:ascii="宋体" w:hAnsi="宋体"/>
                <w:sz w:val="24"/>
              </w:rPr>
              <w:t>序号</w:t>
            </w:r>
            <w:bookmarkEnd w:id="16"/>
          </w:p>
        </w:tc>
        <w:tc>
          <w:tcPr>
            <w:tcW w:w="8506" w:type="dxa"/>
            <w:tcBorders>
              <w:top w:val="single" w:color="auto" w:sz="4" w:space="0"/>
              <w:left w:val="single" w:color="auto" w:sz="4" w:space="0"/>
              <w:bottom w:val="single" w:color="auto" w:sz="4" w:space="0"/>
              <w:right w:val="single" w:color="auto" w:sz="4" w:space="0"/>
            </w:tcBorders>
            <w:noWrap w:val="0"/>
            <w:vAlign w:val="center"/>
          </w:tcPr>
          <w:p w14:paraId="56A7488A">
            <w:pPr>
              <w:spacing w:line="400" w:lineRule="exact"/>
              <w:jc w:val="center"/>
              <w:rPr>
                <w:rFonts w:ascii="宋体" w:hAnsi="宋体"/>
                <w:sz w:val="24"/>
                <w:szCs w:val="20"/>
              </w:rPr>
            </w:pPr>
            <w:bookmarkStart w:id="17" w:name="_Toc457480883"/>
            <w:r>
              <w:rPr>
                <w:rFonts w:hint="eastAsia" w:ascii="宋体" w:hAnsi="宋体"/>
                <w:sz w:val="24"/>
              </w:rPr>
              <w:t>内容、要求</w:t>
            </w:r>
            <w:bookmarkEnd w:id="17"/>
          </w:p>
        </w:tc>
      </w:tr>
      <w:tr w14:paraId="2DA56C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57E08CD8">
            <w:pPr>
              <w:spacing w:line="400" w:lineRule="exact"/>
              <w:jc w:val="center"/>
              <w:rPr>
                <w:rFonts w:ascii="宋体" w:hAnsi="宋体"/>
                <w:sz w:val="24"/>
                <w:szCs w:val="32"/>
              </w:rPr>
            </w:pPr>
            <w:bookmarkStart w:id="18" w:name="_Toc457480884"/>
            <w:r>
              <w:rPr>
                <w:rFonts w:hint="eastAsia" w:ascii="宋体" w:hAnsi="宋体"/>
                <w:sz w:val="24"/>
              </w:rPr>
              <w:t>1</w:t>
            </w:r>
            <w:bookmarkEnd w:id="18"/>
          </w:p>
        </w:tc>
        <w:tc>
          <w:tcPr>
            <w:tcW w:w="8506" w:type="dxa"/>
            <w:tcBorders>
              <w:top w:val="single" w:color="auto" w:sz="4" w:space="0"/>
              <w:left w:val="single" w:color="auto" w:sz="4" w:space="0"/>
              <w:bottom w:val="single" w:color="auto" w:sz="4" w:space="0"/>
              <w:right w:val="single" w:color="auto" w:sz="4" w:space="0"/>
            </w:tcBorders>
            <w:noWrap w:val="0"/>
            <w:vAlign w:val="center"/>
          </w:tcPr>
          <w:p w14:paraId="21F44FBC">
            <w:pPr>
              <w:spacing w:line="400" w:lineRule="exact"/>
              <w:rPr>
                <w:rFonts w:hint="eastAsia" w:ascii="宋体" w:hAnsi="宋体"/>
                <w:sz w:val="24"/>
              </w:rPr>
            </w:pPr>
            <w:bookmarkStart w:id="19" w:name="_Toc457480885"/>
            <w:r>
              <w:rPr>
                <w:rFonts w:hint="eastAsia" w:ascii="宋体" w:hAnsi="宋体"/>
                <w:sz w:val="24"/>
              </w:rPr>
              <w:t>项目名称：</w:t>
            </w:r>
            <w:bookmarkEnd w:id="19"/>
            <w:r>
              <w:rPr>
                <w:rFonts w:hint="eastAsia" w:ascii="宋体" w:hAnsi="宋体"/>
                <w:sz w:val="24"/>
                <w:lang w:eastAsia="zh-CN"/>
              </w:rPr>
              <w:t>东阳市白云、南马应急救援中心项目厨房设备、电器设备、家具采购项目</w:t>
            </w:r>
          </w:p>
        </w:tc>
      </w:tr>
      <w:tr w14:paraId="691067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34"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6F8AEA33">
            <w:pPr>
              <w:spacing w:line="400" w:lineRule="exact"/>
              <w:jc w:val="center"/>
              <w:rPr>
                <w:rFonts w:ascii="宋体" w:hAnsi="宋体"/>
                <w:sz w:val="24"/>
                <w:szCs w:val="32"/>
              </w:rPr>
            </w:pPr>
            <w:bookmarkStart w:id="20" w:name="_Toc457480886"/>
            <w:r>
              <w:rPr>
                <w:rFonts w:hint="eastAsia" w:ascii="宋体" w:hAnsi="宋体"/>
                <w:sz w:val="24"/>
                <w:szCs w:val="32"/>
              </w:rPr>
              <w:t>2</w:t>
            </w:r>
            <w:bookmarkEnd w:id="20"/>
          </w:p>
        </w:tc>
        <w:tc>
          <w:tcPr>
            <w:tcW w:w="8506" w:type="dxa"/>
            <w:tcBorders>
              <w:top w:val="single" w:color="auto" w:sz="4" w:space="0"/>
              <w:left w:val="single" w:color="auto" w:sz="4" w:space="0"/>
              <w:bottom w:val="single" w:color="auto" w:sz="4" w:space="0"/>
              <w:right w:val="single" w:color="auto" w:sz="4" w:space="0"/>
            </w:tcBorders>
            <w:noWrap w:val="0"/>
            <w:vAlign w:val="center"/>
          </w:tcPr>
          <w:p w14:paraId="17A06BD6">
            <w:pPr>
              <w:spacing w:line="400" w:lineRule="exact"/>
              <w:jc w:val="left"/>
              <w:rPr>
                <w:rFonts w:ascii="宋体" w:hAnsi="宋体"/>
                <w:sz w:val="24"/>
              </w:rPr>
            </w:pPr>
            <w:bookmarkStart w:id="21" w:name="_Toc457480887"/>
            <w:r>
              <w:rPr>
                <w:rFonts w:hint="eastAsia" w:ascii="宋体" w:hAnsi="宋体"/>
                <w:sz w:val="24"/>
              </w:rPr>
              <w:t>投标报价及费用：1、本项目投标应以人民币报价；2、不论投标结果如何，投标人均应自行承担所有与投标有关的全部费用；</w:t>
            </w:r>
            <w:bookmarkEnd w:id="21"/>
            <w:r>
              <w:rPr>
                <w:rFonts w:hint="eastAsia" w:ascii="宋体" w:hAnsi="宋体"/>
                <w:b/>
                <w:sz w:val="24"/>
              </w:rPr>
              <w:t xml:space="preserve"> 3</w:t>
            </w:r>
            <w:r>
              <w:rPr>
                <w:rFonts w:hint="eastAsia" w:ascii="宋体" w:hAnsi="宋体"/>
                <w:b/>
                <w:sz w:val="24"/>
                <w:highlight w:val="none"/>
                <w:shd w:val="clear" w:color="auto" w:fill="auto"/>
              </w:rPr>
              <w:t>、</w:t>
            </w:r>
            <w:r>
              <w:rPr>
                <w:rFonts w:hint="eastAsia" w:ascii="宋体" w:hAnsi="宋体"/>
                <w:b/>
                <w:sz w:val="24"/>
                <w:highlight w:val="none"/>
              </w:rPr>
              <w:t>投标费用：中标服务费按照本招标文件总则第（五）条规定收取。</w:t>
            </w:r>
            <w:r>
              <w:rPr>
                <w:rFonts w:hint="eastAsia" w:ascii="宋体" w:hAnsi="宋体"/>
                <w:b/>
                <w:sz w:val="24"/>
              </w:rPr>
              <w:t xml:space="preserve">                                                                                                </w:t>
            </w:r>
          </w:p>
        </w:tc>
      </w:tr>
      <w:tr w14:paraId="311C4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0"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1BACB492">
            <w:pPr>
              <w:spacing w:line="400" w:lineRule="exact"/>
              <w:jc w:val="center"/>
              <w:rPr>
                <w:rFonts w:ascii="宋体" w:hAnsi="宋体"/>
                <w:sz w:val="24"/>
                <w:szCs w:val="32"/>
              </w:rPr>
            </w:pPr>
            <w:r>
              <w:rPr>
                <w:rFonts w:hint="eastAsia" w:ascii="宋体" w:hAnsi="宋体"/>
                <w:sz w:val="24"/>
              </w:rPr>
              <w:t>3</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6E34E63C">
            <w:pPr>
              <w:spacing w:line="400" w:lineRule="exact"/>
              <w:jc w:val="left"/>
              <w:rPr>
                <w:rFonts w:hint="eastAsia" w:ascii="宋体" w:hAnsi="宋体"/>
                <w:sz w:val="24"/>
              </w:rPr>
            </w:pPr>
            <w:r>
              <w:rPr>
                <w:rFonts w:hint="eastAsia" w:ascii="宋体" w:hAnsi="宋体"/>
                <w:sz w:val="24"/>
              </w:rPr>
              <w:t>答疑与澄清：投标人如认为招标文件表述不清晰、存在歧视性、排他性或者其他违法内容的，应当在质疑期限届满之日前以书面形式要求招标方作出书面解释、澄清或者向招标方提出书面质疑；在质疑截止时间前，未对招标文件提出质疑时，视投标人对招标文件的默认；招标采购单位对已发出的招标文件进行必要澄清、答复、修改或者补充的，在财政部门指定的政府采购信息发布媒体上发布更正公告，并以书面形式通知所有已获取招标文件的投标人；答疑内容是招标文件的组成部分；澄清或者修改的内容可能影响投标文件编制的，应当在投标截止时间至少15日前，以书面形式通知所有获取招标文件的潜在投标人；不足15日的，顺延提交投标文件的截止时间。</w:t>
            </w:r>
          </w:p>
        </w:tc>
      </w:tr>
      <w:tr w14:paraId="119BA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4"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7D7F81C1">
            <w:pPr>
              <w:spacing w:line="400" w:lineRule="exact"/>
              <w:jc w:val="center"/>
              <w:rPr>
                <w:rFonts w:ascii="宋体" w:hAnsi="宋体"/>
                <w:sz w:val="24"/>
                <w:szCs w:val="32"/>
              </w:rPr>
            </w:pPr>
            <w:r>
              <w:rPr>
                <w:rFonts w:hint="eastAsia" w:ascii="宋体" w:hAnsi="宋体"/>
                <w:sz w:val="24"/>
              </w:rPr>
              <w:t>4</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12C91441">
            <w:pPr>
              <w:spacing w:line="400" w:lineRule="exact"/>
              <w:jc w:val="left"/>
              <w:rPr>
                <w:rFonts w:ascii="宋体" w:hAnsi="宋体"/>
                <w:sz w:val="24"/>
              </w:rPr>
            </w:pPr>
            <w:bookmarkStart w:id="22" w:name="_Toc457480893"/>
            <w:r>
              <w:rPr>
                <w:rFonts w:hint="eastAsia" w:ascii="宋体" w:hAnsi="宋体"/>
                <w:sz w:val="24"/>
              </w:rPr>
              <w:t>投标文件组成：资格审查文件、</w:t>
            </w:r>
            <w:r>
              <w:rPr>
                <w:rFonts w:hint="eastAsia" w:ascii="宋体" w:hAnsi="宋体" w:cs="Arial"/>
                <w:sz w:val="24"/>
              </w:rPr>
              <w:t>资信及商务文件、技术文件和投标报价文件</w:t>
            </w:r>
            <w:r>
              <w:rPr>
                <w:rFonts w:hint="eastAsia" w:ascii="宋体" w:hAnsi="宋体"/>
                <w:sz w:val="24"/>
              </w:rPr>
              <w:t>正本各</w:t>
            </w:r>
            <w:r>
              <w:rPr>
                <w:rFonts w:hint="eastAsia" w:ascii="宋体" w:hAnsi="宋体"/>
                <w:sz w:val="24"/>
                <w:u w:val="single"/>
              </w:rPr>
              <w:t xml:space="preserve"> </w:t>
            </w:r>
            <w:r>
              <w:rPr>
                <w:rFonts w:hint="eastAsia" w:ascii="宋体" w:hAnsi="宋体" w:cs="Arial"/>
                <w:sz w:val="24"/>
                <w:u w:val="single"/>
              </w:rPr>
              <w:t>1</w:t>
            </w:r>
            <w:r>
              <w:rPr>
                <w:rFonts w:hint="eastAsia" w:ascii="宋体" w:hAnsi="宋体"/>
                <w:sz w:val="24"/>
                <w:u w:val="single"/>
              </w:rPr>
              <w:t xml:space="preserve"> </w:t>
            </w:r>
            <w:r>
              <w:rPr>
                <w:rFonts w:hint="eastAsia" w:ascii="宋体" w:hAnsi="宋体"/>
                <w:sz w:val="24"/>
              </w:rPr>
              <w:t>份；副本各</w:t>
            </w:r>
            <w:r>
              <w:rPr>
                <w:rFonts w:hint="eastAsia" w:ascii="宋体" w:hAnsi="宋体" w:cs="Arial"/>
                <w:sz w:val="24"/>
                <w:u w:val="single"/>
              </w:rPr>
              <w:t>4</w:t>
            </w:r>
            <w:r>
              <w:rPr>
                <w:rFonts w:hint="eastAsia" w:ascii="宋体" w:hAnsi="宋体"/>
                <w:sz w:val="24"/>
              </w:rPr>
              <w:t>份</w:t>
            </w:r>
            <w:bookmarkEnd w:id="22"/>
            <w:r>
              <w:rPr>
                <w:rFonts w:hint="eastAsia" w:ascii="宋体" w:hAnsi="宋体"/>
                <w:sz w:val="24"/>
              </w:rPr>
              <w:t>。（需提供原件的资料，资料原件装订在正本，资料复印件装订在副本）</w:t>
            </w:r>
          </w:p>
        </w:tc>
      </w:tr>
      <w:tr w14:paraId="369E23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6BDC7DB2">
            <w:pPr>
              <w:spacing w:line="400" w:lineRule="exact"/>
              <w:jc w:val="center"/>
              <w:rPr>
                <w:rFonts w:ascii="宋体" w:hAnsi="宋体"/>
                <w:sz w:val="24"/>
                <w:szCs w:val="32"/>
              </w:rPr>
            </w:pPr>
            <w:r>
              <w:rPr>
                <w:rFonts w:hint="eastAsia" w:ascii="宋体" w:hAnsi="宋体"/>
                <w:sz w:val="24"/>
                <w:szCs w:val="32"/>
              </w:rPr>
              <w:t>5</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76508E41">
            <w:pPr>
              <w:spacing w:line="400" w:lineRule="exact"/>
              <w:jc w:val="left"/>
              <w:rPr>
                <w:rFonts w:hint="eastAsia" w:ascii="宋体" w:hAnsi="宋体" w:cs="宋体"/>
                <w:sz w:val="24"/>
              </w:rPr>
            </w:pPr>
            <w:bookmarkStart w:id="23" w:name="_Toc457480897"/>
            <w:r>
              <w:rPr>
                <w:rFonts w:hint="eastAsia" w:ascii="宋体" w:hAnsi="宋体" w:cs="宋体"/>
                <w:sz w:val="24"/>
              </w:rPr>
              <w:t>投标截止时间：2024年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分前</w:t>
            </w:r>
            <w:bookmarkEnd w:id="23"/>
          </w:p>
          <w:p w14:paraId="59FF4795">
            <w:pPr>
              <w:spacing w:line="400" w:lineRule="exact"/>
              <w:ind w:firstLine="480" w:firstLineChars="200"/>
              <w:textAlignment w:val="top"/>
              <w:rPr>
                <w:rFonts w:hint="eastAsia" w:ascii="宋体" w:hAnsi="宋体" w:cs="宋体"/>
                <w:sz w:val="24"/>
              </w:rPr>
            </w:pPr>
            <w:r>
              <w:rPr>
                <w:rFonts w:hint="eastAsia" w:ascii="宋体" w:hAnsi="宋体" w:cs="宋体"/>
                <w:sz w:val="24"/>
              </w:rPr>
              <w:t>本项目采用不见面开标的形式开标，各投标人自行下载钉钉，在开标截止时间前1小时内招标</w:t>
            </w:r>
            <w:r>
              <w:rPr>
                <w:rFonts w:ascii="宋体" w:hAnsi="宋体" w:cs="宋体"/>
                <w:sz w:val="24"/>
              </w:rPr>
              <w:t>人</w:t>
            </w:r>
            <w:r>
              <w:rPr>
                <w:rFonts w:hint="eastAsia" w:ascii="宋体" w:hAnsi="宋体" w:cs="宋体"/>
                <w:sz w:val="24"/>
              </w:rPr>
              <w:t>将邀请各投标人进入本项目钉钉群签到，并开启群视频直播，对开标现场情况进行全程直播。</w:t>
            </w:r>
          </w:p>
          <w:p w14:paraId="71877DDF">
            <w:pPr>
              <w:spacing w:line="400" w:lineRule="exact"/>
              <w:jc w:val="left"/>
              <w:rPr>
                <w:rFonts w:ascii="宋体" w:hAnsi="宋体"/>
                <w:sz w:val="24"/>
              </w:rPr>
            </w:pPr>
            <w:r>
              <w:rPr>
                <w:rFonts w:hint="eastAsia" w:ascii="宋体" w:hAnsi="宋体" w:cs="宋体"/>
                <w:sz w:val="24"/>
              </w:rPr>
              <w:t>各投标人应先将投标文件按照招标文件规定的密封要求进行密封，然后快递邮寄至东阳市鑫盛工程咨询有限公司（地址：浙江省东阳市白云街道八华南路63号；邮编：322100；联系电话：0579-</w:t>
            </w:r>
            <w:r>
              <w:rPr>
                <w:rFonts w:ascii="宋体" w:hAnsi="宋体" w:cs="宋体"/>
                <w:sz w:val="24"/>
              </w:rPr>
              <w:t>8</w:t>
            </w:r>
            <w:r>
              <w:rPr>
                <w:rFonts w:hint="eastAsia" w:ascii="宋体" w:hAnsi="宋体" w:cs="宋体"/>
                <w:sz w:val="24"/>
              </w:rPr>
              <w:t>6683133；联系人：</w:t>
            </w:r>
            <w:r>
              <w:rPr>
                <w:rFonts w:hint="eastAsia" w:ascii="宋体" w:hAnsi="宋体" w:cs="宋体"/>
                <w:sz w:val="24"/>
                <w:lang w:eastAsia="zh-CN"/>
              </w:rPr>
              <w:t>卢佳美</w:t>
            </w:r>
            <w:r>
              <w:rPr>
                <w:rFonts w:hint="eastAsia" w:ascii="宋体" w:hAnsi="宋体" w:cs="宋体"/>
                <w:sz w:val="24"/>
              </w:rPr>
              <w:t>），快递邮件应于2024年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w:t>
            </w:r>
            <w:r>
              <w:rPr>
                <w:rFonts w:hint="eastAsia" w:ascii="宋体" w:hAnsi="宋体" w:cs="宋体"/>
                <w:sz w:val="24"/>
                <w:lang w:val="en-US" w:eastAsia="zh-CN"/>
              </w:rPr>
              <w:t>16</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前送达东阳市鑫盛工程咨询有限公司，规定时间内收到的投标文件视为在投标截止时间前送达，逾期未送达的视为投标人放弃投标。东阳市鑫盛工程咨询有限公司将快递收到的投标文件原封（包括快递包装）不动的送往开标室。</w:t>
            </w:r>
          </w:p>
        </w:tc>
      </w:tr>
      <w:tr w14:paraId="15D12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6DA7121E">
            <w:pPr>
              <w:spacing w:line="400" w:lineRule="exact"/>
              <w:jc w:val="center"/>
              <w:rPr>
                <w:rFonts w:ascii="宋体" w:hAnsi="宋体"/>
                <w:sz w:val="24"/>
                <w:szCs w:val="32"/>
              </w:rPr>
            </w:pPr>
            <w:r>
              <w:rPr>
                <w:rFonts w:hint="eastAsia" w:ascii="宋体" w:hAnsi="宋体"/>
                <w:sz w:val="24"/>
                <w:szCs w:val="32"/>
              </w:rPr>
              <w:t>6</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62F5B666">
            <w:pPr>
              <w:spacing w:line="400" w:lineRule="exact"/>
              <w:jc w:val="left"/>
              <w:rPr>
                <w:rFonts w:hint="eastAsia" w:ascii="宋体" w:hAnsi="宋体" w:cs="宋体"/>
                <w:sz w:val="24"/>
              </w:rPr>
            </w:pPr>
            <w:bookmarkStart w:id="24" w:name="_Toc457480900"/>
            <w:r>
              <w:rPr>
                <w:rFonts w:hint="eastAsia" w:ascii="宋体" w:hAnsi="宋体" w:cs="宋体"/>
                <w:sz w:val="24"/>
              </w:rPr>
              <w:t>开标时间：</w:t>
            </w:r>
            <w:bookmarkEnd w:id="24"/>
            <w:r>
              <w:rPr>
                <w:rFonts w:hint="eastAsia" w:ascii="宋体" w:hAnsi="宋体" w:cs="宋体"/>
                <w:sz w:val="24"/>
              </w:rPr>
              <w:t>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w:t>
            </w:r>
          </w:p>
          <w:p w14:paraId="22246630">
            <w:pPr>
              <w:spacing w:line="400" w:lineRule="exact"/>
              <w:jc w:val="left"/>
              <w:rPr>
                <w:rFonts w:hint="eastAsia" w:ascii="宋体" w:hAnsi="宋体" w:cs="宋体"/>
                <w:sz w:val="24"/>
              </w:rPr>
            </w:pPr>
            <w:r>
              <w:rPr>
                <w:rFonts w:hint="eastAsia" w:ascii="宋体" w:hAnsi="宋体" w:cs="宋体"/>
                <w:sz w:val="24"/>
              </w:rPr>
              <w:t xml:space="preserve"> 投标人无须到开标现场开标，但应在授权委托书中注明往来信件的电子邮箱、钉钉号，随时关注电子邮箱、钉钉动态，若在开评标过程中评审小组需要求投标人澄清、说明或者补正的，均通过授权委托书中指定的电子邮箱或钉钉中进行澄清、说明或者补正，投标人对电子邮箱或钉钉中作出澄清、说明或者补正的相关内容承担全部责任。</w:t>
            </w:r>
          </w:p>
        </w:tc>
      </w:tr>
      <w:tr w14:paraId="4C85E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285EA634">
            <w:pPr>
              <w:spacing w:line="400" w:lineRule="exact"/>
              <w:jc w:val="center"/>
              <w:rPr>
                <w:rFonts w:ascii="宋体" w:hAnsi="宋体"/>
                <w:sz w:val="24"/>
                <w:szCs w:val="32"/>
              </w:rPr>
            </w:pPr>
            <w:r>
              <w:rPr>
                <w:rFonts w:hint="eastAsia" w:ascii="宋体" w:hAnsi="宋体"/>
                <w:sz w:val="24"/>
                <w:szCs w:val="32"/>
              </w:rPr>
              <w:t>7</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3B4C18C8">
            <w:pPr>
              <w:spacing w:line="400" w:lineRule="exact"/>
              <w:jc w:val="left"/>
              <w:rPr>
                <w:rFonts w:ascii="宋体" w:hAnsi="宋体"/>
                <w:sz w:val="24"/>
              </w:rPr>
            </w:pPr>
            <w:bookmarkStart w:id="25" w:name="_Toc457480903"/>
            <w:r>
              <w:rPr>
                <w:rFonts w:hint="eastAsia" w:ascii="宋体" w:hAnsi="宋体"/>
                <w:sz w:val="24"/>
              </w:rPr>
              <w:t>评标办法：综合评分法</w:t>
            </w:r>
            <w:bookmarkEnd w:id="25"/>
          </w:p>
        </w:tc>
      </w:tr>
      <w:tr w14:paraId="3712E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0B66F6F3">
            <w:pPr>
              <w:spacing w:line="400" w:lineRule="exact"/>
              <w:jc w:val="center"/>
              <w:rPr>
                <w:rFonts w:hint="eastAsia" w:ascii="宋体" w:hAnsi="宋体"/>
                <w:sz w:val="24"/>
                <w:szCs w:val="32"/>
              </w:rPr>
            </w:pPr>
            <w:r>
              <w:rPr>
                <w:rFonts w:hint="eastAsia" w:ascii="宋体" w:hAnsi="宋体"/>
                <w:sz w:val="24"/>
                <w:szCs w:val="32"/>
              </w:rPr>
              <w:t>8</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1C1328CD">
            <w:pPr>
              <w:spacing w:line="400" w:lineRule="exact"/>
              <w:jc w:val="left"/>
              <w:rPr>
                <w:rFonts w:ascii="宋体" w:hAnsi="宋体"/>
                <w:sz w:val="24"/>
              </w:rPr>
            </w:pPr>
            <w:r>
              <w:rPr>
                <w:rFonts w:hint="eastAsia" w:ascii="宋体" w:hAnsi="宋体"/>
                <w:sz w:val="24"/>
              </w:rPr>
              <w:t>中标结果公告：自</w:t>
            </w:r>
            <w:r>
              <w:rPr>
                <w:rFonts w:ascii="宋体" w:hAnsi="宋体"/>
                <w:sz w:val="24"/>
              </w:rPr>
              <w:t>中标人</w:t>
            </w:r>
            <w:r>
              <w:rPr>
                <w:rFonts w:hint="eastAsia" w:ascii="宋体" w:hAnsi="宋体"/>
                <w:sz w:val="24"/>
              </w:rPr>
              <w:t>确定之日起2个工作日内，中标结果公告于浙江省政府采购网(</w:t>
            </w:r>
            <w:r>
              <w:rPr>
                <w:rFonts w:ascii="宋体" w:hAnsi="宋体" w:cs="宋体"/>
                <w:kern w:val="0"/>
                <w:sz w:val="24"/>
                <w:lang w:bidi="ar"/>
              </w:rPr>
              <w:fldChar w:fldCharType="begin"/>
            </w:r>
            <w:r>
              <w:rPr>
                <w:rFonts w:ascii="宋体" w:hAnsi="宋体" w:cs="宋体"/>
                <w:kern w:val="0"/>
                <w:sz w:val="24"/>
                <w:lang w:bidi="ar"/>
              </w:rPr>
              <w:instrText xml:space="preserve"> HYPERLINK "http://zfcg.czt.zj.gov.cn/" </w:instrText>
            </w:r>
            <w:r>
              <w:rPr>
                <w:rFonts w:ascii="宋体" w:hAnsi="宋体" w:cs="宋体"/>
                <w:kern w:val="0"/>
                <w:sz w:val="24"/>
                <w:lang w:bidi="ar"/>
              </w:rPr>
              <w:fldChar w:fldCharType="separate"/>
            </w:r>
            <w:r>
              <w:rPr>
                <w:rStyle w:val="75"/>
                <w:rFonts w:ascii="宋体" w:hAnsi="宋体" w:cs="宋体"/>
                <w:color w:val="auto"/>
                <w:sz w:val="24"/>
              </w:rPr>
              <w:t>http://zfcg.czt.zj.gov.cn/</w:t>
            </w:r>
            <w:r>
              <w:rPr>
                <w:rFonts w:ascii="宋体" w:hAnsi="宋体" w:cs="宋体"/>
                <w:kern w:val="0"/>
                <w:sz w:val="24"/>
                <w:lang w:bidi="ar"/>
              </w:rPr>
              <w:fldChar w:fldCharType="end"/>
            </w:r>
            <w:r>
              <w:rPr>
                <w:rFonts w:hint="eastAsia" w:ascii="宋体" w:hAnsi="宋体"/>
                <w:sz w:val="24"/>
              </w:rPr>
              <w:t>)、东阳市公共资源交易网（</w:t>
            </w:r>
            <w:r>
              <w:rPr>
                <w:rFonts w:hint="eastAsia" w:ascii="宋体" w:hAnsi="宋体" w:cs="宋体"/>
                <w:sz w:val="24"/>
              </w:rPr>
              <w:t>http://www.dongyang.gov.cn/ggzyjy/index.html</w:t>
            </w:r>
            <w:r>
              <w:rPr>
                <w:rFonts w:hint="eastAsia" w:ascii="宋体" w:hAnsi="宋体"/>
                <w:sz w:val="24"/>
              </w:rPr>
              <w:t>)，公告3个工作日。</w:t>
            </w:r>
          </w:p>
        </w:tc>
      </w:tr>
      <w:tr w14:paraId="67F790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02D954CD">
            <w:pPr>
              <w:spacing w:line="400" w:lineRule="exact"/>
              <w:jc w:val="center"/>
              <w:rPr>
                <w:rFonts w:hint="eastAsia" w:ascii="宋体" w:hAnsi="宋体"/>
                <w:sz w:val="24"/>
                <w:szCs w:val="32"/>
              </w:rPr>
            </w:pPr>
            <w:r>
              <w:rPr>
                <w:rFonts w:hint="eastAsia" w:ascii="宋体" w:hAnsi="宋体"/>
                <w:sz w:val="24"/>
                <w:szCs w:val="32"/>
              </w:rPr>
              <w:t>9</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15E262D6">
            <w:pPr>
              <w:spacing w:line="400" w:lineRule="exact"/>
              <w:jc w:val="left"/>
              <w:rPr>
                <w:rFonts w:hint="eastAsia" w:ascii="宋体" w:hAnsi="宋体"/>
                <w:sz w:val="24"/>
              </w:rPr>
            </w:pPr>
            <w:bookmarkStart w:id="26" w:name="_Toc457480909"/>
            <w:r>
              <w:rPr>
                <w:rFonts w:hint="eastAsia" w:ascii="宋体" w:hAnsi="宋体"/>
                <w:sz w:val="24"/>
              </w:rPr>
              <w:t>《中标通知书》的领取时间：</w:t>
            </w:r>
            <w:bookmarkEnd w:id="26"/>
            <w:r>
              <w:rPr>
                <w:rFonts w:ascii="宋体" w:hAnsi="宋体"/>
                <w:sz w:val="24"/>
              </w:rPr>
              <w:t>中标人</w:t>
            </w:r>
            <w:r>
              <w:rPr>
                <w:rFonts w:hint="eastAsia" w:ascii="宋体" w:hAnsi="宋体"/>
                <w:sz w:val="24"/>
              </w:rPr>
              <w:t>应自中标结果公告结束日起，在三个工作日内领取《中标通知书》，否则按放弃中标资格处理。</w:t>
            </w:r>
          </w:p>
        </w:tc>
      </w:tr>
      <w:tr w14:paraId="290B6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8"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2C7315C7">
            <w:pPr>
              <w:spacing w:line="400" w:lineRule="exact"/>
              <w:jc w:val="center"/>
              <w:rPr>
                <w:rFonts w:ascii="宋体" w:hAnsi="宋体"/>
                <w:sz w:val="24"/>
                <w:szCs w:val="32"/>
              </w:rPr>
            </w:pPr>
            <w:r>
              <w:rPr>
                <w:rFonts w:hint="eastAsia" w:ascii="宋体" w:hAnsi="宋体"/>
                <w:sz w:val="24"/>
                <w:szCs w:val="32"/>
              </w:rPr>
              <w:t>10</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74066E1D">
            <w:pPr>
              <w:spacing w:line="400" w:lineRule="exact"/>
              <w:jc w:val="left"/>
              <w:rPr>
                <w:rFonts w:hint="eastAsia"/>
                <w:sz w:val="24"/>
                <w:highlight w:val="none"/>
              </w:rPr>
            </w:pPr>
            <w:r>
              <w:rPr>
                <w:rFonts w:hint="eastAsia"/>
                <w:sz w:val="24"/>
                <w:highlight w:val="none"/>
              </w:rPr>
              <w:t>履约保证金：</w:t>
            </w:r>
          </w:p>
          <w:p w14:paraId="3836112F">
            <w:pPr>
              <w:spacing w:line="400" w:lineRule="exact"/>
              <w:jc w:val="left"/>
              <w:rPr>
                <w:rFonts w:hint="eastAsia" w:ascii="宋体" w:hAnsi="宋体"/>
                <w:sz w:val="24"/>
                <w:highlight w:val="none"/>
              </w:rPr>
            </w:pPr>
            <w:r>
              <w:rPr>
                <w:rFonts w:hint="eastAsia" w:ascii="宋体" w:hAnsi="宋体"/>
                <w:sz w:val="24"/>
                <w:highlight w:val="none"/>
              </w:rPr>
              <w:t>履约保证金为中标价的</w:t>
            </w:r>
            <w:r>
              <w:rPr>
                <w:rFonts w:hint="eastAsia" w:ascii="宋体" w:hAnsi="宋体"/>
                <w:color w:val="auto"/>
                <w:sz w:val="24"/>
                <w:highlight w:val="none"/>
              </w:rPr>
              <w:t>1%，</w:t>
            </w:r>
            <w:r>
              <w:rPr>
                <w:rFonts w:hint="eastAsia" w:ascii="宋体" w:hAnsi="宋体"/>
                <w:sz w:val="24"/>
                <w:highlight w:val="none"/>
              </w:rPr>
              <w:t>在领取中标通知书前交纳至采购人指定账户或办理保函手续（保函期限应大于履约期限2个月），保函手续也可在东阳市鑫盛工程咨询有限公司办理（办理保函需提供资料详见附件）。</w:t>
            </w:r>
          </w:p>
        </w:tc>
      </w:tr>
      <w:tr w14:paraId="6F9B1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3DD0BA4C">
            <w:pPr>
              <w:spacing w:line="400" w:lineRule="exact"/>
              <w:jc w:val="center"/>
              <w:rPr>
                <w:rFonts w:ascii="宋体" w:hAnsi="宋体"/>
                <w:sz w:val="24"/>
                <w:szCs w:val="32"/>
              </w:rPr>
            </w:pPr>
            <w:r>
              <w:rPr>
                <w:rFonts w:hint="eastAsia" w:ascii="宋体" w:hAnsi="宋体"/>
                <w:sz w:val="24"/>
                <w:szCs w:val="32"/>
              </w:rPr>
              <w:t>11</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06C400DC">
            <w:pPr>
              <w:spacing w:line="400" w:lineRule="exact"/>
              <w:jc w:val="left"/>
              <w:rPr>
                <w:rFonts w:ascii="宋体" w:hAnsi="宋体"/>
                <w:sz w:val="24"/>
              </w:rPr>
            </w:pPr>
            <w:bookmarkStart w:id="27" w:name="_Toc457480915"/>
            <w:r>
              <w:rPr>
                <w:rFonts w:hint="eastAsia" w:ascii="宋体" w:hAnsi="宋体"/>
                <w:sz w:val="24"/>
              </w:rPr>
              <w:t>签订合同时间：</w:t>
            </w:r>
            <w:r>
              <w:rPr>
                <w:rFonts w:hint="eastAsia"/>
                <w:sz w:val="24"/>
              </w:rPr>
              <w:t>发出《中标通知书》之日起30日内。</w:t>
            </w:r>
            <w:bookmarkEnd w:id="27"/>
          </w:p>
        </w:tc>
      </w:tr>
      <w:tr w14:paraId="40F54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29E33B65">
            <w:pPr>
              <w:spacing w:line="400" w:lineRule="exact"/>
              <w:jc w:val="center"/>
              <w:rPr>
                <w:rFonts w:ascii="宋体" w:hAnsi="宋体"/>
                <w:sz w:val="24"/>
                <w:szCs w:val="32"/>
              </w:rPr>
            </w:pPr>
            <w:r>
              <w:rPr>
                <w:rFonts w:hint="eastAsia" w:ascii="宋体" w:hAnsi="宋体"/>
                <w:sz w:val="24"/>
                <w:szCs w:val="32"/>
              </w:rPr>
              <w:t>12</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035E057B">
            <w:pPr>
              <w:spacing w:line="400" w:lineRule="exact"/>
              <w:jc w:val="left"/>
              <w:rPr>
                <w:rFonts w:ascii="宋体" w:hAnsi="宋体"/>
                <w:color w:val="auto"/>
                <w:sz w:val="24"/>
                <w:highlight w:val="none"/>
              </w:rPr>
            </w:pPr>
            <w:r>
              <w:rPr>
                <w:rFonts w:ascii="宋体" w:hAnsi="宋体"/>
                <w:color w:val="auto"/>
                <w:sz w:val="24"/>
                <w:highlight w:val="none"/>
              </w:rPr>
              <w:t>中标人</w:t>
            </w:r>
            <w:r>
              <w:rPr>
                <w:rFonts w:hint="eastAsia" w:ascii="宋体" w:hAnsi="宋体"/>
                <w:color w:val="auto"/>
                <w:sz w:val="24"/>
                <w:highlight w:val="none"/>
              </w:rPr>
              <w:t>与</w:t>
            </w:r>
            <w:r>
              <w:rPr>
                <w:rFonts w:hint="eastAsia" w:ascii="宋体" w:hAnsi="宋体"/>
                <w:color w:val="auto"/>
                <w:sz w:val="24"/>
                <w:highlight w:val="none"/>
                <w:lang w:eastAsia="zh-CN"/>
              </w:rPr>
              <w:t>东阳市保安服务有限公司</w:t>
            </w:r>
            <w:r>
              <w:rPr>
                <w:rFonts w:hint="eastAsia" w:ascii="宋体" w:hAnsi="宋体"/>
                <w:color w:val="auto"/>
                <w:sz w:val="24"/>
                <w:highlight w:val="none"/>
              </w:rPr>
              <w:t>签订采购合同，合同签订后，送东阳市人民政府国有资产监督管理办公室备案。</w:t>
            </w:r>
          </w:p>
        </w:tc>
      </w:tr>
      <w:tr w14:paraId="4F447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70E30E24">
            <w:pPr>
              <w:spacing w:line="400" w:lineRule="exact"/>
              <w:jc w:val="center"/>
              <w:rPr>
                <w:rFonts w:ascii="宋体" w:hAnsi="宋体"/>
                <w:sz w:val="24"/>
                <w:szCs w:val="32"/>
              </w:rPr>
            </w:pPr>
            <w:r>
              <w:rPr>
                <w:rFonts w:hint="eastAsia" w:ascii="宋体" w:hAnsi="宋体"/>
                <w:sz w:val="24"/>
                <w:szCs w:val="32"/>
              </w:rPr>
              <w:t>13</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384EE89B">
            <w:pPr>
              <w:keepNext w:val="0"/>
              <w:keepLines w:val="0"/>
              <w:pageBreakBefore w:val="0"/>
              <w:widowControl w:val="0"/>
              <w:kinsoku/>
              <w:wordWrap/>
              <w:overflowPunct/>
              <w:topLinePunct w:val="0"/>
              <w:autoSpaceDE/>
              <w:autoSpaceDN/>
              <w:bidi w:val="0"/>
              <w:adjustRightInd/>
              <w:spacing w:line="360" w:lineRule="auto"/>
              <w:textAlignment w:val="auto"/>
              <w:rPr>
                <w:rFonts w:hint="eastAsia"/>
                <w:color w:val="auto"/>
                <w:sz w:val="24"/>
                <w:highlight w:val="none"/>
              </w:rPr>
            </w:pPr>
            <w:r>
              <w:rPr>
                <w:rFonts w:hint="eastAsia" w:ascii="宋体" w:hAnsi="宋体"/>
                <w:color w:val="auto"/>
                <w:sz w:val="24"/>
                <w:highlight w:val="none"/>
              </w:rPr>
              <w:t>付款方式：</w:t>
            </w:r>
            <w:r>
              <w:rPr>
                <w:rFonts w:hint="eastAsia" w:ascii="宋体" w:hAnsi="宋体" w:eastAsia="宋体" w:cs="Times New Roman"/>
                <w:color w:val="auto"/>
                <w:sz w:val="24"/>
                <w:szCs w:val="24"/>
                <w:highlight w:val="none"/>
                <w:lang w:val="en-US" w:eastAsia="zh-CN" w:bidi="ar"/>
              </w:rPr>
              <w:t>合同签订生效以及具备实施条件后7个工作日内支付合同总价的40%；货物全部到位并通过验收合格后7个工作日内支付合同总价的100%。</w:t>
            </w:r>
            <w:r>
              <w:rPr>
                <w:rFonts w:hint="eastAsia" w:ascii="宋体" w:hAnsi="Courier New" w:eastAsia="宋体" w:cs="Times New Roman"/>
                <w:bCs/>
                <w:color w:val="auto"/>
                <w:kern w:val="0"/>
                <w:sz w:val="24"/>
                <w:szCs w:val="20"/>
                <w:highlight w:val="none"/>
              </w:rPr>
              <w:t>中标</w:t>
            </w:r>
            <w:r>
              <w:rPr>
                <w:rFonts w:hint="eastAsia" w:ascii="宋体" w:hAnsi="Courier New" w:eastAsia="宋体" w:cs="Times New Roman"/>
                <w:bCs/>
                <w:color w:val="auto"/>
                <w:kern w:val="0"/>
                <w:sz w:val="24"/>
                <w:szCs w:val="20"/>
                <w:highlight w:val="none"/>
                <w:lang w:val="en-US" w:eastAsia="zh-CN"/>
              </w:rPr>
              <w:t>人</w:t>
            </w:r>
            <w:r>
              <w:rPr>
                <w:rFonts w:hint="eastAsia" w:ascii="宋体" w:hAnsi="Courier New" w:eastAsia="宋体" w:cs="Times New Roman"/>
                <w:bCs/>
                <w:color w:val="auto"/>
                <w:kern w:val="0"/>
                <w:sz w:val="24"/>
                <w:szCs w:val="20"/>
                <w:highlight w:val="none"/>
              </w:rPr>
              <w:t>在采购</w:t>
            </w:r>
            <w:r>
              <w:rPr>
                <w:rFonts w:hint="eastAsia" w:ascii="宋体" w:hAnsi="Courier New" w:eastAsia="宋体" w:cs="Times New Roman"/>
                <w:bCs/>
                <w:color w:val="auto"/>
                <w:kern w:val="0"/>
                <w:sz w:val="24"/>
                <w:szCs w:val="20"/>
                <w:highlight w:val="none"/>
                <w:lang w:val="en-US" w:eastAsia="zh-CN"/>
              </w:rPr>
              <w:t>人</w:t>
            </w:r>
            <w:r>
              <w:rPr>
                <w:rFonts w:hint="eastAsia" w:ascii="宋体" w:hAnsi="Courier New" w:eastAsia="宋体" w:cs="Times New Roman"/>
                <w:bCs/>
                <w:color w:val="auto"/>
                <w:kern w:val="0"/>
                <w:sz w:val="24"/>
                <w:szCs w:val="20"/>
                <w:highlight w:val="none"/>
              </w:rPr>
              <w:t>付款前须向采购</w:t>
            </w:r>
            <w:r>
              <w:rPr>
                <w:rFonts w:hint="eastAsia" w:ascii="宋体" w:hAnsi="Courier New" w:eastAsia="宋体" w:cs="Times New Roman"/>
                <w:bCs/>
                <w:color w:val="auto"/>
                <w:kern w:val="0"/>
                <w:sz w:val="24"/>
                <w:szCs w:val="20"/>
                <w:highlight w:val="none"/>
                <w:lang w:val="en-US" w:eastAsia="zh-CN"/>
              </w:rPr>
              <w:t>人分别</w:t>
            </w:r>
            <w:r>
              <w:rPr>
                <w:rFonts w:hint="eastAsia" w:ascii="宋体" w:hAnsi="Courier New" w:eastAsia="宋体" w:cs="Times New Roman"/>
                <w:bCs/>
                <w:color w:val="auto"/>
                <w:kern w:val="0"/>
                <w:sz w:val="24"/>
                <w:szCs w:val="20"/>
                <w:highlight w:val="none"/>
              </w:rPr>
              <w:t>开具</w:t>
            </w:r>
            <w:r>
              <w:rPr>
                <w:rFonts w:hint="eastAsia" w:ascii="宋体" w:hAnsi="Courier New" w:eastAsia="宋体" w:cs="Times New Roman"/>
                <w:bCs/>
                <w:color w:val="auto"/>
                <w:kern w:val="0"/>
                <w:sz w:val="24"/>
                <w:szCs w:val="20"/>
                <w:highlight w:val="none"/>
                <w:lang w:val="en-US" w:eastAsia="zh-CN"/>
              </w:rPr>
              <w:t>白云及南马的</w:t>
            </w:r>
            <w:r>
              <w:rPr>
                <w:rFonts w:hint="eastAsia" w:ascii="宋体" w:hAnsi="Courier New" w:eastAsia="宋体" w:cs="Times New Roman"/>
                <w:bCs/>
                <w:color w:val="auto"/>
                <w:kern w:val="0"/>
                <w:sz w:val="24"/>
                <w:szCs w:val="20"/>
                <w:highlight w:val="none"/>
              </w:rPr>
              <w:t>正规发票。</w:t>
            </w:r>
          </w:p>
        </w:tc>
      </w:tr>
      <w:tr w14:paraId="7251C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68D8ACEE">
            <w:pPr>
              <w:spacing w:line="400" w:lineRule="exact"/>
              <w:jc w:val="center"/>
              <w:rPr>
                <w:rFonts w:hint="eastAsia" w:ascii="宋体" w:hAnsi="宋体"/>
                <w:sz w:val="24"/>
                <w:szCs w:val="32"/>
              </w:rPr>
            </w:pPr>
            <w:r>
              <w:rPr>
                <w:rFonts w:hint="eastAsia" w:ascii="宋体" w:hAnsi="宋体"/>
                <w:sz w:val="24"/>
                <w:szCs w:val="32"/>
              </w:rPr>
              <w:t>14</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2578D7A6">
            <w:pPr>
              <w:spacing w:line="324" w:lineRule="auto"/>
              <w:jc w:val="left"/>
              <w:rPr>
                <w:rFonts w:hint="eastAsia" w:ascii="宋体" w:hAnsi="宋体" w:cs="宋体"/>
                <w:sz w:val="24"/>
              </w:rPr>
            </w:pPr>
            <w:r>
              <w:rPr>
                <w:rFonts w:hint="eastAsia" w:ascii="宋体" w:hAnsi="宋体" w:cs="宋体"/>
                <w:sz w:val="24"/>
              </w:rPr>
              <w:t>交货地点：东阳市内，采购人指定的地点。</w:t>
            </w:r>
          </w:p>
          <w:p w14:paraId="29894CA0">
            <w:pPr>
              <w:spacing w:line="400" w:lineRule="exact"/>
              <w:jc w:val="left"/>
              <w:rPr>
                <w:rFonts w:hint="eastAsia"/>
                <w:sz w:val="24"/>
              </w:rPr>
            </w:pPr>
            <w:r>
              <w:rPr>
                <w:rFonts w:hint="eastAsia" w:ascii="宋体" w:hAnsi="宋体" w:cs="宋体"/>
                <w:sz w:val="24"/>
              </w:rPr>
              <w:t>验收：</w:t>
            </w:r>
            <w:r>
              <w:rPr>
                <w:rFonts w:hint="eastAsia" w:ascii="宋体" w:hAnsi="宋体"/>
                <w:sz w:val="24"/>
              </w:rPr>
              <w:t>根据中华人民共和国现行技术标准，按招标文件以及合同规定的验收评定标准等规范，由采购人组织相关人员进行验收，验收合格后，采购人出具验收报</w:t>
            </w:r>
            <w:r>
              <w:rPr>
                <w:rFonts w:hint="eastAsia" w:ascii="宋体" w:hAnsi="宋体"/>
                <w:sz w:val="24"/>
                <w:highlight w:val="none"/>
              </w:rPr>
              <w:t>告；验收费用由中标人承担；采</w:t>
            </w:r>
            <w:r>
              <w:rPr>
                <w:rFonts w:hint="eastAsia" w:ascii="宋体" w:hAnsi="宋体"/>
                <w:sz w:val="24"/>
              </w:rPr>
              <w:t>购人出具一式二份验收报告，一份由中标人保管，一份由东阳市鑫盛工程咨询有限公司（原件）存档。</w:t>
            </w:r>
          </w:p>
        </w:tc>
      </w:tr>
      <w:tr w14:paraId="3FDCE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2F49CA11">
            <w:pPr>
              <w:spacing w:line="400" w:lineRule="exact"/>
              <w:jc w:val="center"/>
              <w:rPr>
                <w:rFonts w:hint="eastAsia" w:ascii="宋体" w:hAnsi="宋体"/>
                <w:sz w:val="24"/>
              </w:rPr>
            </w:pPr>
            <w:r>
              <w:rPr>
                <w:rFonts w:hint="eastAsia" w:ascii="宋体" w:hAnsi="宋体"/>
                <w:sz w:val="24"/>
              </w:rPr>
              <w:t>15</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09F87439">
            <w:pPr>
              <w:spacing w:line="400" w:lineRule="exact"/>
              <w:jc w:val="left"/>
              <w:rPr>
                <w:rFonts w:hint="eastAsia" w:ascii="宋体" w:hAnsi="宋体"/>
                <w:sz w:val="24"/>
              </w:rPr>
            </w:pPr>
            <w:r>
              <w:rPr>
                <w:rFonts w:hint="eastAsia" w:ascii="宋体" w:hAnsi="宋体"/>
                <w:sz w:val="24"/>
              </w:rPr>
              <w:t>供应商有下列情形之一的，将以失信单位上报东阳市人民政府国有资产监督管理办公室。</w:t>
            </w:r>
          </w:p>
          <w:p w14:paraId="2A02484F">
            <w:pPr>
              <w:spacing w:line="400" w:lineRule="exact"/>
              <w:jc w:val="left"/>
              <w:rPr>
                <w:rFonts w:hint="eastAsia" w:ascii="宋体" w:hAnsi="宋体"/>
                <w:sz w:val="24"/>
              </w:rPr>
            </w:pPr>
            <w:r>
              <w:rPr>
                <w:rFonts w:hint="eastAsia" w:ascii="宋体" w:hAnsi="宋体"/>
                <w:sz w:val="24"/>
              </w:rPr>
              <w:t xml:space="preserve">1、提供虚假材料谋取中标、成交的； </w:t>
            </w:r>
          </w:p>
          <w:p w14:paraId="5CBA8E8A">
            <w:pPr>
              <w:spacing w:line="400" w:lineRule="exact"/>
              <w:jc w:val="left"/>
              <w:rPr>
                <w:rFonts w:hint="eastAsia" w:ascii="宋体" w:hAnsi="宋体"/>
                <w:sz w:val="24"/>
              </w:rPr>
            </w:pPr>
            <w:r>
              <w:rPr>
                <w:rFonts w:hint="eastAsia" w:ascii="宋体" w:hAnsi="宋体"/>
                <w:sz w:val="24"/>
              </w:rPr>
              <w:t xml:space="preserve">2、采取不正当手段诋毁、排挤其他供应商的； </w:t>
            </w:r>
          </w:p>
          <w:p w14:paraId="10B09C6C">
            <w:pPr>
              <w:spacing w:line="400" w:lineRule="exact"/>
              <w:jc w:val="left"/>
              <w:rPr>
                <w:rFonts w:hint="eastAsia" w:ascii="宋体" w:hAnsi="宋体"/>
                <w:sz w:val="24"/>
              </w:rPr>
            </w:pPr>
            <w:r>
              <w:rPr>
                <w:rFonts w:hint="eastAsia" w:ascii="宋体" w:hAnsi="宋体"/>
                <w:sz w:val="24"/>
              </w:rPr>
              <w:t xml:space="preserve">3、与采购人、其他供应商或者采购代理机构恶意串通的； </w:t>
            </w:r>
          </w:p>
          <w:p w14:paraId="7C1C0ED4">
            <w:pPr>
              <w:spacing w:line="400" w:lineRule="exact"/>
              <w:jc w:val="left"/>
              <w:rPr>
                <w:rFonts w:hint="eastAsia" w:ascii="宋体" w:hAnsi="宋体"/>
                <w:sz w:val="24"/>
              </w:rPr>
            </w:pPr>
            <w:r>
              <w:rPr>
                <w:rFonts w:hint="eastAsia" w:ascii="宋体" w:hAnsi="宋体"/>
                <w:sz w:val="24"/>
              </w:rPr>
              <w:t xml:space="preserve">4、向采购人、采购代理机构行贿或者提供其他不正当利益的； </w:t>
            </w:r>
          </w:p>
          <w:p w14:paraId="66787915">
            <w:pPr>
              <w:spacing w:line="400" w:lineRule="exact"/>
              <w:jc w:val="left"/>
              <w:rPr>
                <w:rFonts w:hint="eastAsia" w:ascii="宋体" w:hAnsi="宋体"/>
                <w:sz w:val="24"/>
              </w:rPr>
            </w:pPr>
            <w:r>
              <w:rPr>
                <w:rFonts w:hint="eastAsia" w:ascii="宋体" w:hAnsi="宋体"/>
                <w:sz w:val="24"/>
              </w:rPr>
              <w:t xml:space="preserve">5、在招标采购过程中与采购人进行协商谈判的； </w:t>
            </w:r>
          </w:p>
          <w:p w14:paraId="082E910E">
            <w:pPr>
              <w:spacing w:line="400" w:lineRule="exact"/>
              <w:jc w:val="left"/>
              <w:rPr>
                <w:rFonts w:hint="eastAsia" w:ascii="宋体" w:hAnsi="宋体"/>
                <w:sz w:val="24"/>
              </w:rPr>
            </w:pPr>
            <w:r>
              <w:rPr>
                <w:rFonts w:hint="eastAsia" w:ascii="宋体" w:hAnsi="宋体"/>
                <w:sz w:val="24"/>
              </w:rPr>
              <w:t>6、向评标委员会、竞争性谈判小组或者询价小组成员行贿或者提供其他不正当利益；</w:t>
            </w:r>
          </w:p>
          <w:p w14:paraId="5AAB4538">
            <w:pPr>
              <w:spacing w:line="400" w:lineRule="exact"/>
              <w:jc w:val="left"/>
              <w:rPr>
                <w:rFonts w:hint="eastAsia" w:ascii="宋体" w:hAnsi="宋体"/>
                <w:sz w:val="24"/>
              </w:rPr>
            </w:pPr>
            <w:r>
              <w:rPr>
                <w:rFonts w:hint="eastAsia" w:ascii="宋体" w:hAnsi="宋体"/>
                <w:sz w:val="24"/>
              </w:rPr>
              <w:t>7、中标或者成交后无正当理由拒不与采购人签订采购合同；</w:t>
            </w:r>
          </w:p>
          <w:p w14:paraId="7C30BEE0">
            <w:pPr>
              <w:spacing w:line="400" w:lineRule="exact"/>
              <w:jc w:val="left"/>
              <w:rPr>
                <w:rFonts w:hint="eastAsia" w:ascii="宋体" w:hAnsi="宋体"/>
                <w:sz w:val="24"/>
              </w:rPr>
            </w:pPr>
            <w:r>
              <w:rPr>
                <w:rFonts w:hint="eastAsia" w:ascii="宋体" w:hAnsi="宋体"/>
                <w:sz w:val="24"/>
              </w:rPr>
              <w:t>8、未按照采购文件确定的事项签订采购合同；</w:t>
            </w:r>
          </w:p>
          <w:p w14:paraId="7B2F7282">
            <w:pPr>
              <w:spacing w:line="400" w:lineRule="exact"/>
              <w:jc w:val="left"/>
              <w:rPr>
                <w:rFonts w:hint="eastAsia" w:ascii="宋体" w:hAnsi="宋体"/>
                <w:sz w:val="24"/>
              </w:rPr>
            </w:pPr>
            <w:r>
              <w:rPr>
                <w:rFonts w:hint="eastAsia" w:ascii="宋体" w:hAnsi="宋体"/>
                <w:sz w:val="24"/>
              </w:rPr>
              <w:t>9、将采购合同转包；</w:t>
            </w:r>
          </w:p>
          <w:p w14:paraId="63D7260B">
            <w:pPr>
              <w:spacing w:line="400" w:lineRule="exact"/>
              <w:jc w:val="left"/>
              <w:rPr>
                <w:rFonts w:hint="eastAsia" w:ascii="宋体" w:hAnsi="宋体"/>
                <w:sz w:val="24"/>
              </w:rPr>
            </w:pPr>
            <w:r>
              <w:rPr>
                <w:rFonts w:hint="eastAsia" w:ascii="宋体" w:hAnsi="宋体"/>
                <w:sz w:val="24"/>
              </w:rPr>
              <w:t>10、提供假冒伪劣产品；</w:t>
            </w:r>
          </w:p>
          <w:p w14:paraId="75F1ED0F">
            <w:pPr>
              <w:spacing w:line="400" w:lineRule="exact"/>
              <w:jc w:val="left"/>
              <w:rPr>
                <w:rFonts w:hint="eastAsia" w:ascii="宋体" w:hAnsi="宋体"/>
                <w:sz w:val="24"/>
              </w:rPr>
            </w:pPr>
            <w:r>
              <w:rPr>
                <w:rFonts w:hint="eastAsia" w:ascii="宋体" w:hAnsi="宋体"/>
                <w:sz w:val="24"/>
              </w:rPr>
              <w:t>11、擅自变更、中止或者终止采购合同。</w:t>
            </w:r>
          </w:p>
          <w:p w14:paraId="4AFF0143">
            <w:pPr>
              <w:spacing w:line="400" w:lineRule="exact"/>
              <w:jc w:val="left"/>
              <w:rPr>
                <w:rFonts w:ascii="宋体" w:hAnsi="宋体"/>
                <w:sz w:val="24"/>
              </w:rPr>
            </w:pPr>
            <w:r>
              <w:rPr>
                <w:rFonts w:hint="eastAsia" w:ascii="宋体" w:hAnsi="宋体"/>
                <w:sz w:val="24"/>
              </w:rPr>
              <w:t>12、其他严重扰乱招投标程序的。</w:t>
            </w:r>
          </w:p>
        </w:tc>
      </w:tr>
      <w:tr w14:paraId="04CBFB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75533349">
            <w:pPr>
              <w:spacing w:line="400" w:lineRule="exact"/>
              <w:jc w:val="center"/>
              <w:rPr>
                <w:rFonts w:hint="eastAsia" w:ascii="宋体" w:hAnsi="宋体"/>
                <w:sz w:val="24"/>
                <w:szCs w:val="32"/>
              </w:rPr>
            </w:pPr>
            <w:r>
              <w:rPr>
                <w:rFonts w:hint="eastAsia" w:ascii="宋体" w:hAnsi="宋体"/>
                <w:sz w:val="24"/>
                <w:szCs w:val="32"/>
              </w:rPr>
              <w:t>16</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5C396739">
            <w:pPr>
              <w:spacing w:line="400" w:lineRule="exact"/>
              <w:jc w:val="left"/>
              <w:rPr>
                <w:rFonts w:hint="eastAsia" w:ascii="宋体" w:hAnsi="宋体"/>
                <w:b/>
                <w:sz w:val="24"/>
              </w:rPr>
            </w:pPr>
            <w:r>
              <w:rPr>
                <w:rFonts w:hint="eastAsia" w:ascii="宋体" w:hAnsi="宋体"/>
                <w:sz w:val="24"/>
              </w:rPr>
              <w:t>投标文件有效期：</w:t>
            </w:r>
            <w:r>
              <w:rPr>
                <w:rFonts w:hint="eastAsia" w:ascii="宋体" w:hAnsi="宋体" w:cs="Arial"/>
                <w:sz w:val="24"/>
                <w:u w:val="single"/>
              </w:rPr>
              <w:t>60</w:t>
            </w:r>
            <w:r>
              <w:rPr>
                <w:rFonts w:hint="eastAsia" w:ascii="宋体" w:hAnsi="宋体" w:cs="Arial"/>
                <w:sz w:val="24"/>
              </w:rPr>
              <w:t>天。</w:t>
            </w:r>
          </w:p>
        </w:tc>
      </w:tr>
      <w:tr w14:paraId="56609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133D9732">
            <w:pPr>
              <w:spacing w:line="400" w:lineRule="exact"/>
              <w:jc w:val="center"/>
              <w:rPr>
                <w:rFonts w:hint="eastAsia" w:ascii="宋体" w:hAnsi="宋体"/>
                <w:sz w:val="24"/>
                <w:szCs w:val="32"/>
              </w:rPr>
            </w:pPr>
            <w:r>
              <w:rPr>
                <w:rFonts w:hint="eastAsia" w:ascii="宋体" w:hAnsi="宋体"/>
                <w:sz w:val="24"/>
                <w:szCs w:val="32"/>
              </w:rPr>
              <w:t>17</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4408FFE2">
            <w:pPr>
              <w:spacing w:line="400" w:lineRule="exact"/>
              <w:jc w:val="left"/>
              <w:rPr>
                <w:rFonts w:hint="eastAsia" w:ascii="宋体" w:hAnsi="宋体" w:eastAsia="宋体" w:cs="Times New Roman"/>
                <w:b/>
                <w:sz w:val="24"/>
              </w:rPr>
            </w:pPr>
            <w:bookmarkStart w:id="28" w:name="_Toc457480921"/>
            <w:r>
              <w:rPr>
                <w:rFonts w:hint="eastAsia" w:ascii="宋体" w:hAnsi="宋体" w:eastAsia="宋体" w:cs="Times New Roman"/>
                <w:b/>
                <w:sz w:val="24"/>
              </w:rPr>
              <w:t>招标人对投标人的落选不作出任何解释。</w:t>
            </w:r>
            <w:bookmarkEnd w:id="28"/>
          </w:p>
        </w:tc>
      </w:tr>
      <w:tr w14:paraId="52597A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A4D3A9">
            <w:pPr>
              <w:spacing w:line="400" w:lineRule="exact"/>
              <w:jc w:val="center"/>
              <w:rPr>
                <w:rFonts w:hint="eastAsia" w:ascii="宋体" w:hAnsi="宋体" w:eastAsia="宋体" w:cs="Times New Roman"/>
                <w:kern w:val="2"/>
                <w:sz w:val="24"/>
                <w:szCs w:val="32"/>
                <w:lang w:val="en-US" w:eastAsia="zh-CN" w:bidi="ar-SA"/>
              </w:rPr>
            </w:pPr>
            <w:r>
              <w:rPr>
                <w:rFonts w:hint="eastAsia" w:ascii="宋体" w:hAnsi="宋体"/>
                <w:sz w:val="24"/>
                <w:szCs w:val="32"/>
              </w:rPr>
              <w:t>18</w:t>
            </w:r>
          </w:p>
        </w:tc>
        <w:tc>
          <w:tcPr>
            <w:tcW w:w="85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AD1565">
            <w:pPr>
              <w:spacing w:line="400" w:lineRule="exact"/>
              <w:jc w:val="left"/>
              <w:rPr>
                <w:rFonts w:hint="eastAsia" w:ascii="宋体" w:hAnsi="宋体" w:eastAsia="宋体" w:cs="Times New Roman"/>
                <w:b/>
                <w:sz w:val="24"/>
                <w:lang w:val="en-US" w:eastAsia="zh-CN"/>
              </w:rPr>
            </w:pPr>
            <w:r>
              <w:rPr>
                <w:rFonts w:hint="eastAsia" w:ascii="宋体" w:hAnsi="宋体" w:eastAsia="宋体" w:cs="Times New Roman"/>
                <w:b/>
                <w:sz w:val="24"/>
              </w:rPr>
              <w:t>本招标文件未尽事宜根据相关法律法规执行。</w:t>
            </w:r>
          </w:p>
        </w:tc>
      </w:tr>
      <w:tr w14:paraId="37DE6D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60225">
            <w:pPr>
              <w:spacing w:line="400" w:lineRule="exact"/>
              <w:jc w:val="center"/>
              <w:rPr>
                <w:rFonts w:hint="eastAsia" w:ascii="宋体" w:hAnsi="宋体" w:eastAsia="宋体" w:cs="Times New Roman"/>
                <w:sz w:val="24"/>
                <w:szCs w:val="32"/>
                <w:lang w:val="en-US" w:eastAsia="zh-CN"/>
              </w:rPr>
            </w:pPr>
            <w:r>
              <w:rPr>
                <w:rFonts w:hint="eastAsia" w:ascii="宋体" w:hAnsi="宋体" w:eastAsia="宋体" w:cs="Times New Roman"/>
                <w:sz w:val="24"/>
                <w:szCs w:val="32"/>
              </w:rPr>
              <w:t>19</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3F32F8CB">
            <w:pPr>
              <w:spacing w:line="400" w:lineRule="exact"/>
              <w:jc w:val="left"/>
              <w:rPr>
                <w:rFonts w:hint="eastAsia" w:ascii="宋体" w:hAnsi="宋体"/>
                <w:b/>
                <w:sz w:val="24"/>
              </w:rPr>
            </w:pPr>
            <w:bookmarkStart w:id="29" w:name="_Toc457480923"/>
            <w:r>
              <w:rPr>
                <w:rFonts w:ascii="宋体" w:hAnsi="宋体"/>
                <w:b/>
                <w:sz w:val="24"/>
              </w:rPr>
              <w:t>采购人</w:t>
            </w:r>
            <w:r>
              <w:rPr>
                <w:rFonts w:hint="eastAsia" w:ascii="宋体" w:hAnsi="宋体"/>
                <w:b/>
                <w:sz w:val="24"/>
              </w:rPr>
              <w:t>和招标代理机构的任何</w:t>
            </w:r>
            <w:r>
              <w:rPr>
                <w:rFonts w:hint="eastAsia" w:ascii="宋体" w:hAnsi="宋体" w:eastAsia="宋体" w:cs="Times New Roman"/>
                <w:b/>
                <w:sz w:val="24"/>
              </w:rPr>
              <w:t>工作人</w:t>
            </w:r>
            <w:r>
              <w:rPr>
                <w:rFonts w:hint="eastAsia" w:ascii="宋体" w:hAnsi="宋体"/>
                <w:b/>
                <w:sz w:val="24"/>
              </w:rPr>
              <w:t>员对投标人所作的任何口头解释、介绍、答复，仅供投标人参考，不作为招标依据，</w:t>
            </w:r>
            <w:bookmarkEnd w:id="29"/>
            <w:r>
              <w:rPr>
                <w:rFonts w:hint="eastAsia" w:ascii="宋体" w:hAnsi="宋体"/>
                <w:b/>
                <w:sz w:val="24"/>
              </w:rPr>
              <w:t>对采购人、招标代理机构和投标人无任何约束力，一切以网上公告及书面形式为准。</w:t>
            </w:r>
          </w:p>
        </w:tc>
      </w:tr>
      <w:tr w14:paraId="2F60A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734" w:type="dxa"/>
            <w:tcBorders>
              <w:top w:val="single" w:color="auto" w:sz="4" w:space="0"/>
              <w:left w:val="single" w:color="auto" w:sz="4" w:space="0"/>
              <w:bottom w:val="single" w:color="auto" w:sz="4" w:space="0"/>
              <w:right w:val="single" w:color="auto" w:sz="4" w:space="0"/>
            </w:tcBorders>
            <w:noWrap w:val="0"/>
            <w:vAlign w:val="center"/>
          </w:tcPr>
          <w:p w14:paraId="7266DE03">
            <w:pPr>
              <w:spacing w:line="400" w:lineRule="exact"/>
              <w:jc w:val="center"/>
              <w:rPr>
                <w:rFonts w:hint="default" w:ascii="宋体" w:hAnsi="宋体" w:eastAsia="宋体" w:cs="Times New Roman"/>
                <w:sz w:val="24"/>
                <w:szCs w:val="32"/>
                <w:lang w:val="en-US" w:eastAsia="zh-CN"/>
              </w:rPr>
            </w:pPr>
            <w:r>
              <w:rPr>
                <w:rFonts w:hint="eastAsia" w:ascii="宋体" w:hAnsi="宋体" w:eastAsia="宋体" w:cs="Times New Roman"/>
                <w:sz w:val="24"/>
                <w:szCs w:val="32"/>
                <w:lang w:val="en-US" w:eastAsia="zh-CN"/>
              </w:rPr>
              <w:t>20</w:t>
            </w:r>
          </w:p>
        </w:tc>
        <w:tc>
          <w:tcPr>
            <w:tcW w:w="8506" w:type="dxa"/>
            <w:tcBorders>
              <w:top w:val="single" w:color="auto" w:sz="4" w:space="0"/>
              <w:left w:val="single" w:color="auto" w:sz="4" w:space="0"/>
              <w:bottom w:val="single" w:color="auto" w:sz="4" w:space="0"/>
              <w:right w:val="single" w:color="auto" w:sz="4" w:space="0"/>
            </w:tcBorders>
            <w:noWrap w:val="0"/>
            <w:vAlign w:val="center"/>
          </w:tcPr>
          <w:p w14:paraId="79A25CCA">
            <w:pPr>
              <w:spacing w:line="400" w:lineRule="exact"/>
              <w:jc w:val="left"/>
              <w:rPr>
                <w:rFonts w:hint="eastAsia" w:ascii="宋体" w:hAnsi="宋体"/>
                <w:sz w:val="24"/>
              </w:rPr>
            </w:pPr>
            <w:bookmarkStart w:id="30" w:name="_Toc457480925"/>
            <w:r>
              <w:rPr>
                <w:rFonts w:hint="eastAsia" w:ascii="宋体" w:hAnsi="宋体"/>
                <w:sz w:val="24"/>
              </w:rPr>
              <w:t>解释：本招标文件的解释权属于东阳市鑫盛工程咨询有限公司。</w:t>
            </w:r>
            <w:bookmarkEnd w:id="30"/>
          </w:p>
        </w:tc>
      </w:tr>
    </w:tbl>
    <w:p w14:paraId="357FC202">
      <w:pPr>
        <w:rPr>
          <w:rFonts w:hint="eastAsia" w:hAnsi="宋体"/>
          <w:b/>
          <w:sz w:val="24"/>
          <w:szCs w:val="28"/>
        </w:rPr>
      </w:pPr>
      <w:r>
        <w:rPr>
          <w:rFonts w:hint="eastAsia" w:hAnsi="宋体"/>
          <w:b/>
          <w:sz w:val="24"/>
          <w:szCs w:val="28"/>
        </w:rPr>
        <w:t>注：如本招标文件后面的条款与本表有矛盾的以本表的内容为准。</w:t>
      </w:r>
    </w:p>
    <w:p w14:paraId="43D861C0">
      <w:pPr>
        <w:pStyle w:val="2"/>
        <w:pageBreakBefore/>
        <w:spacing w:line="360" w:lineRule="auto"/>
        <w:jc w:val="center"/>
        <w:rPr>
          <w:rFonts w:hint="eastAsia" w:ascii="宋体" w:hAnsi="宋体"/>
        </w:rPr>
      </w:pPr>
      <w:bookmarkStart w:id="31" w:name="_Toc16745"/>
      <w:bookmarkStart w:id="32" w:name="_Toc26018"/>
      <w:bookmarkStart w:id="33" w:name="_Toc454196065"/>
      <w:r>
        <w:rPr>
          <w:rFonts w:hint="eastAsia" w:ascii="宋体" w:hAnsi="宋体"/>
        </w:rPr>
        <w:t>一、总 则</w:t>
      </w:r>
      <w:bookmarkEnd w:id="31"/>
      <w:bookmarkEnd w:id="32"/>
      <w:bookmarkEnd w:id="33"/>
    </w:p>
    <w:p w14:paraId="49F75C8F">
      <w:pPr>
        <w:spacing w:line="480" w:lineRule="exact"/>
        <w:rPr>
          <w:rFonts w:hint="eastAsia" w:ascii="宋体" w:hAnsi="宋体"/>
          <w:b/>
          <w:sz w:val="24"/>
        </w:rPr>
      </w:pPr>
      <w:r>
        <w:rPr>
          <w:rFonts w:hint="eastAsia" w:ascii="宋体" w:hAnsi="宋体"/>
          <w:b/>
          <w:sz w:val="24"/>
        </w:rPr>
        <w:t>（一）适用范围</w:t>
      </w:r>
    </w:p>
    <w:p w14:paraId="4E19457F">
      <w:pPr>
        <w:spacing w:line="480" w:lineRule="exact"/>
        <w:ind w:firstLine="480"/>
        <w:rPr>
          <w:rFonts w:hint="eastAsia" w:ascii="宋体" w:hAnsi="宋体"/>
          <w:sz w:val="24"/>
        </w:rPr>
      </w:pPr>
      <w:r>
        <w:rPr>
          <w:rFonts w:hint="eastAsia" w:ascii="宋体" w:hAnsi="宋体"/>
          <w:sz w:val="24"/>
        </w:rPr>
        <w:t>本招标文件适用于</w:t>
      </w:r>
      <w:r>
        <w:rPr>
          <w:rFonts w:hint="eastAsia" w:ascii="宋体" w:hAnsi="宋体"/>
          <w:sz w:val="24"/>
          <w:lang w:eastAsia="zh-CN"/>
        </w:rPr>
        <w:t>东阳市白云、南马应急救援中心项目厨房设备、电器设备、家具采购项目</w:t>
      </w:r>
      <w:r>
        <w:rPr>
          <w:rFonts w:hint="eastAsia" w:ascii="宋体" w:hAnsi="宋体"/>
          <w:sz w:val="24"/>
        </w:rPr>
        <w:t>的招标、投标、评标、定标、验收、合同履约、付款等行为（法律、法规另有规定的，从其规定）。</w:t>
      </w:r>
    </w:p>
    <w:p w14:paraId="6529CE02">
      <w:pPr>
        <w:spacing w:line="480" w:lineRule="exact"/>
        <w:rPr>
          <w:rFonts w:hint="eastAsia" w:ascii="宋体" w:hAnsi="宋体"/>
          <w:b/>
          <w:sz w:val="24"/>
        </w:rPr>
      </w:pPr>
      <w:r>
        <w:rPr>
          <w:rFonts w:hint="eastAsia" w:ascii="宋体" w:hAnsi="宋体"/>
          <w:b/>
          <w:sz w:val="24"/>
        </w:rPr>
        <w:t>（二）定义</w:t>
      </w:r>
    </w:p>
    <w:p w14:paraId="63199CEE">
      <w:pPr>
        <w:spacing w:line="360" w:lineRule="auto"/>
        <w:ind w:firstLine="480" w:firstLineChars="200"/>
        <w:rPr>
          <w:rFonts w:hint="eastAsia" w:ascii="宋体" w:hAnsi="宋体"/>
          <w:sz w:val="24"/>
          <w:szCs w:val="20"/>
        </w:rPr>
      </w:pPr>
      <w:r>
        <w:rPr>
          <w:rFonts w:hint="eastAsia" w:ascii="宋体" w:hAnsi="宋体"/>
          <w:sz w:val="24"/>
        </w:rPr>
        <w:t>1.招标采购单位系指组织本次招标的东阳市鑫盛工程咨询有限公司（“招标方”）和</w:t>
      </w:r>
      <w:r>
        <w:rPr>
          <w:rFonts w:hint="eastAsia" w:ascii="宋体" w:hAnsi="宋体"/>
          <w:sz w:val="24"/>
          <w:lang w:eastAsia="zh-CN"/>
        </w:rPr>
        <w:t>东阳市保安服务有限公司</w:t>
      </w:r>
      <w:r>
        <w:rPr>
          <w:rFonts w:hint="eastAsia" w:ascii="宋体" w:hAnsi="宋体"/>
          <w:sz w:val="24"/>
        </w:rPr>
        <w:t>（“采购人”）。</w:t>
      </w:r>
    </w:p>
    <w:p w14:paraId="28BEF2E9">
      <w:pPr>
        <w:spacing w:line="440" w:lineRule="exact"/>
        <w:ind w:firstLine="480" w:firstLineChars="200"/>
        <w:rPr>
          <w:rFonts w:hint="eastAsia" w:ascii="宋体" w:hAnsi="宋体"/>
          <w:sz w:val="24"/>
        </w:rPr>
      </w:pPr>
      <w:r>
        <w:rPr>
          <w:rFonts w:hint="eastAsia" w:ascii="宋体" w:hAnsi="宋体"/>
          <w:sz w:val="24"/>
        </w:rPr>
        <w:t>2.“投标人”系指向招标方提交投标文件的单位或个人。</w:t>
      </w:r>
    </w:p>
    <w:p w14:paraId="69BD85EC">
      <w:pPr>
        <w:spacing w:line="440" w:lineRule="exact"/>
        <w:ind w:firstLine="480" w:firstLineChars="200"/>
        <w:rPr>
          <w:rFonts w:hint="eastAsia" w:ascii="宋体" w:hAnsi="宋体"/>
          <w:sz w:val="24"/>
        </w:rPr>
      </w:pPr>
      <w:r>
        <w:rPr>
          <w:rFonts w:hint="eastAsia" w:ascii="宋体" w:hAnsi="宋体"/>
          <w:sz w:val="24"/>
        </w:rPr>
        <w:t>3.“产品”系指供方按招标文件规定，须向采购人提供的一切设备、保险、税金、备品备件、工具、手册及其它有关技术资料和材料。</w:t>
      </w:r>
    </w:p>
    <w:p w14:paraId="139A0492">
      <w:pPr>
        <w:spacing w:line="440" w:lineRule="exact"/>
        <w:ind w:firstLine="480" w:firstLineChars="200"/>
        <w:rPr>
          <w:rFonts w:hint="eastAsia" w:ascii="宋体" w:hAnsi="宋体"/>
          <w:sz w:val="24"/>
        </w:rPr>
      </w:pPr>
      <w:r>
        <w:rPr>
          <w:rFonts w:hint="eastAsia" w:ascii="宋体" w:hAnsi="宋体"/>
          <w:sz w:val="24"/>
        </w:rPr>
        <w:t>4.“服务”系指招标文件规定投标人须承担的安装、调试、技术协助、校准、培训、技术指导以及其他类似的义务。</w:t>
      </w:r>
    </w:p>
    <w:p w14:paraId="1CC0ED41">
      <w:pPr>
        <w:spacing w:line="440" w:lineRule="exact"/>
        <w:ind w:firstLine="480" w:firstLineChars="200"/>
        <w:rPr>
          <w:rFonts w:hint="eastAsia" w:ascii="宋体" w:hAnsi="宋体"/>
          <w:sz w:val="24"/>
        </w:rPr>
      </w:pPr>
      <w:r>
        <w:rPr>
          <w:rFonts w:hint="eastAsia" w:ascii="宋体" w:hAnsi="宋体"/>
          <w:sz w:val="24"/>
        </w:rPr>
        <w:t>5.“项目”系指投标人按招标文件规定向采购人提供的产品和服务。</w:t>
      </w:r>
    </w:p>
    <w:p w14:paraId="7371FAA3">
      <w:pPr>
        <w:spacing w:line="440" w:lineRule="exact"/>
        <w:ind w:firstLine="480" w:firstLineChars="200"/>
        <w:rPr>
          <w:rFonts w:hint="eastAsia" w:ascii="宋体" w:hAnsi="宋体"/>
          <w:sz w:val="24"/>
        </w:rPr>
      </w:pPr>
      <w:r>
        <w:rPr>
          <w:rFonts w:hint="eastAsia" w:ascii="宋体" w:hAnsi="宋体"/>
          <w:sz w:val="24"/>
        </w:rPr>
        <w:t>6.“书面形式”包括信函、传真、电报等。</w:t>
      </w:r>
    </w:p>
    <w:p w14:paraId="68D4BE8B">
      <w:pPr>
        <w:spacing w:line="440" w:lineRule="exact"/>
        <w:ind w:firstLine="480" w:firstLineChars="200"/>
        <w:rPr>
          <w:rFonts w:hint="eastAsia" w:ascii="宋体" w:hAnsi="宋体" w:eastAsia="宋体" w:cs="Times New Roman"/>
          <w:sz w:val="24"/>
        </w:rPr>
      </w:pPr>
      <w:r>
        <w:rPr>
          <w:rFonts w:hint="eastAsia" w:ascii="宋体" w:hAnsi="宋体" w:eastAsia="宋体" w:cs="Times New Roman"/>
          <w:sz w:val="24"/>
        </w:rPr>
        <w:t xml:space="preserve">7. “*”、 “▲”、 “★”、 “※”系指实质性要求条款，不允许负偏离，否则废标处理。  </w:t>
      </w:r>
    </w:p>
    <w:p w14:paraId="1BF2CDC1">
      <w:pPr>
        <w:spacing w:line="480" w:lineRule="exact"/>
        <w:rPr>
          <w:rFonts w:hint="eastAsia" w:ascii="宋体" w:hAnsi="宋体"/>
          <w:b/>
          <w:sz w:val="24"/>
        </w:rPr>
      </w:pPr>
      <w:r>
        <w:rPr>
          <w:rFonts w:hint="eastAsia" w:ascii="宋体" w:hAnsi="宋体"/>
          <w:b/>
          <w:sz w:val="24"/>
        </w:rPr>
        <w:t xml:space="preserve">（三）招标方式  </w:t>
      </w:r>
    </w:p>
    <w:p w14:paraId="27E8ACC4">
      <w:pPr>
        <w:spacing w:line="480" w:lineRule="exact"/>
        <w:ind w:firstLine="480" w:firstLineChars="200"/>
        <w:rPr>
          <w:rFonts w:hint="eastAsia" w:ascii="宋体" w:hAnsi="宋体"/>
          <w:sz w:val="24"/>
        </w:rPr>
      </w:pPr>
      <w:r>
        <w:rPr>
          <w:rFonts w:hint="eastAsia" w:ascii="宋体" w:hAnsi="宋体"/>
          <w:sz w:val="24"/>
        </w:rPr>
        <w:t>本次招标采用公开招标方式进行。</w:t>
      </w:r>
    </w:p>
    <w:p w14:paraId="5863402A">
      <w:pPr>
        <w:spacing w:line="480" w:lineRule="exact"/>
        <w:rPr>
          <w:rFonts w:hint="eastAsia" w:ascii="宋体" w:hAnsi="宋体"/>
          <w:b/>
          <w:sz w:val="24"/>
        </w:rPr>
      </w:pPr>
      <w:r>
        <w:rPr>
          <w:rFonts w:hint="eastAsia" w:ascii="宋体" w:hAnsi="宋体"/>
          <w:b/>
          <w:sz w:val="24"/>
        </w:rPr>
        <w:t>（四）投标委托</w:t>
      </w:r>
    </w:p>
    <w:p w14:paraId="47F32C51">
      <w:pPr>
        <w:spacing w:line="480" w:lineRule="exact"/>
        <w:ind w:firstLine="480"/>
        <w:rPr>
          <w:rFonts w:hint="eastAsia" w:ascii="宋体" w:hAnsi="宋体"/>
          <w:sz w:val="24"/>
        </w:rPr>
      </w:pPr>
      <w:r>
        <w:rPr>
          <w:rFonts w:hint="eastAsia" w:ascii="宋体" w:hAnsi="宋体"/>
          <w:sz w:val="24"/>
        </w:rPr>
        <w:t>如投标人代表不是法定代表人，须有法定代表人出具的授权委托书（正本用原件，副本用复印件，格式见附件），委托代理人应当是投标人的在职正式职工（投标人本单位缴纳社保花名册为准）。</w:t>
      </w:r>
    </w:p>
    <w:p w14:paraId="76596C21">
      <w:pPr>
        <w:spacing w:line="480" w:lineRule="exact"/>
        <w:rPr>
          <w:rFonts w:hint="eastAsia" w:ascii="宋体" w:hAnsi="宋体"/>
          <w:sz w:val="24"/>
        </w:rPr>
      </w:pPr>
      <w:r>
        <w:rPr>
          <w:rFonts w:hint="eastAsia" w:ascii="宋体" w:hAnsi="宋体" w:cs="宋体"/>
          <w:sz w:val="24"/>
          <w:lang w:val="zh-TW" w:eastAsia="zh-TW"/>
        </w:rPr>
        <w:t>▲</w:t>
      </w:r>
      <w:r>
        <w:rPr>
          <w:rFonts w:hint="eastAsia" w:ascii="宋体" w:hAnsi="宋体" w:eastAsia="宋体" w:cs="Times New Roman"/>
          <w:b/>
          <w:sz w:val="24"/>
        </w:rPr>
        <w:t>（五）投标费用</w:t>
      </w:r>
    </w:p>
    <w:p w14:paraId="7C17899E">
      <w:pPr>
        <w:spacing w:line="480" w:lineRule="exact"/>
        <w:ind w:firstLine="480"/>
        <w:rPr>
          <w:rFonts w:hint="eastAsia" w:ascii="宋体" w:hAnsi="宋体"/>
          <w:sz w:val="24"/>
        </w:rPr>
      </w:pPr>
      <w:r>
        <w:rPr>
          <w:rFonts w:hint="eastAsia" w:ascii="宋体" w:hAnsi="宋体"/>
          <w:sz w:val="24"/>
        </w:rPr>
        <w:t>1.不论投标结果如何，投标人均应自行承担所有与投标有关的全部费用（招标文件有相反规定除外）。</w:t>
      </w:r>
    </w:p>
    <w:p w14:paraId="3B5A6E14">
      <w:pPr>
        <w:numPr>
          <w:ilvl w:val="0"/>
          <w:numId w:val="0"/>
        </w:numPr>
        <w:spacing w:line="348" w:lineRule="auto"/>
        <w:ind w:firstLine="480" w:firstLineChars="0"/>
        <w:rPr>
          <w:rFonts w:hint="eastAsia" w:ascii="宋体" w:hAnsi="宋体" w:cs="宋体"/>
          <w:b/>
          <w:sz w:val="24"/>
        </w:rPr>
      </w:pPr>
      <w:r>
        <w:rPr>
          <w:rFonts w:hint="eastAsia" w:ascii="宋体" w:hAnsi="宋体"/>
          <w:b/>
          <w:sz w:val="24"/>
        </w:rPr>
        <w:t>2.中标服务费：</w:t>
      </w:r>
      <w:r>
        <w:rPr>
          <w:rFonts w:hint="eastAsia" w:ascii="宋体" w:hAnsi="宋体" w:eastAsia="宋体" w:cs="Times New Roman"/>
          <w:b/>
          <w:kern w:val="2"/>
          <w:sz w:val="24"/>
          <w:szCs w:val="24"/>
          <w:lang w:val="en-US" w:eastAsia="zh-CN" w:bidi="ar-SA"/>
        </w:rPr>
        <w:t>东阳市鑫盛工程咨询有限公司</w:t>
      </w:r>
      <w:r>
        <w:rPr>
          <w:rFonts w:hint="eastAsia" w:ascii="宋体" w:hAnsi="宋体" w:cs="宋体"/>
          <w:b/>
          <w:sz w:val="24"/>
        </w:rPr>
        <w:t>（详见本条下列表格收费标准），向中标人收取中标服务费，在中标结果公示结束之日起3天内（在领取中标通知书前）交纳。</w:t>
      </w:r>
    </w:p>
    <w:p w14:paraId="753067B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baseline"/>
        <w:rPr>
          <w:rFonts w:hint="eastAsia"/>
          <w:color w:val="auto"/>
        </w:rPr>
      </w:pP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6"/>
        <w:gridCol w:w="2287"/>
        <w:gridCol w:w="1717"/>
      </w:tblGrid>
      <w:tr w14:paraId="5493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5196" w:type="dxa"/>
            <w:tcBorders>
              <w:top w:val="single" w:color="auto" w:sz="4" w:space="0"/>
              <w:left w:val="single" w:color="auto" w:sz="4" w:space="0"/>
              <w:bottom w:val="single" w:color="auto" w:sz="4" w:space="0"/>
              <w:right w:val="single" w:color="auto" w:sz="4" w:space="0"/>
              <w:tl2br w:val="single" w:color="auto" w:sz="4" w:space="0"/>
            </w:tcBorders>
            <w:noWrap w:val="0"/>
            <w:vAlign w:val="top"/>
          </w:tcPr>
          <w:p w14:paraId="3CAC3F1A">
            <w:pPr>
              <w:snapToGrid w:val="0"/>
              <w:ind w:firstLine="1928" w:firstLineChars="800"/>
              <w:textAlignment w:val="baseline"/>
              <w:rPr>
                <w:rFonts w:hint="eastAsia" w:ascii="宋体" w:hAnsi="宋体" w:cs="宋体"/>
                <w:b/>
                <w:sz w:val="24"/>
              </w:rPr>
            </w:pPr>
            <w:r>
              <w:rPr>
                <w:rFonts w:hint="eastAsia" w:ascii="宋体" w:hAnsi="宋体" w:cs="宋体"/>
                <w:b/>
                <w:sz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uR037VAAAACQEAAA8A&#10;AAAAAAAAAQAgAAAAIgAAAGRycy9kb3ducmV2LnhtbFBLAQIUABQAAAAIAIdO4kD+bTyG4QEAALID&#10;AAAOAAAAAAAAAAEAIAAAACQBAABkcnMvZTJvRG9jLnhtbFBLBQYAAAAABgAGAFkBAAB3BQAAAAA=&#10;">
                      <v:fill on="f" focussize="0,0"/>
                      <v:stroke color="#000000" joinstyle="round"/>
                      <v:imagedata o:title=""/>
                      <o:lock v:ext="edit" aspectratio="f"/>
                    </v:line>
                  </w:pict>
                </mc:Fallback>
              </mc:AlternateContent>
            </w:r>
            <w:r>
              <w:rPr>
                <w:rFonts w:hint="eastAsia" w:ascii="宋体" w:hAnsi="宋体" w:cs="宋体"/>
                <w:b/>
                <w:sz w:val="24"/>
              </w:rPr>
              <w:t>服务类型</w:t>
            </w:r>
          </w:p>
          <w:p w14:paraId="51D3DC26">
            <w:pPr>
              <w:snapToGrid w:val="0"/>
              <w:textAlignment w:val="baseline"/>
              <w:rPr>
                <w:rFonts w:hint="eastAsia" w:ascii="宋体" w:hAnsi="宋体" w:cs="宋体"/>
                <w:b/>
                <w:sz w:val="24"/>
              </w:rPr>
            </w:pPr>
            <w:r>
              <w:rPr>
                <w:rFonts w:hint="eastAsia" w:ascii="宋体" w:hAnsi="宋体" w:cs="宋体"/>
                <w:sz w:val="20"/>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195580</wp:posOffset>
                      </wp:positionV>
                      <wp:extent cx="3216910" cy="382905"/>
                      <wp:effectExtent l="635" t="4445" r="1905" b="1270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1809750" cy="48577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8pt;margin-top:15.4pt;height:30.15pt;width:253.3pt;z-index:251660288;mso-width-relative:page;mso-height-relative:page;" filled="f" stroked="t" coordsize="21600,21600" o:gfxdata="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c7yv1wAAAAkBAAAPAAAAAAAAAAEAIAAAACIAAABkcnMvZG93bnJldi54bWxQSwECFAAUAAAA&#10;CACHTuJAV1nSOO8BAAC9AwAADgAAAAAAAAABACAAAAAmAQAAZHJzL2Uyb0RvYy54bWxQSwUGAAAA&#10;AAYABgBZAQAAhwUAAAAA&#10;">
                      <v:fill on="f" focussize="0,0"/>
                      <v:stroke color="#000000" joinstyle="round"/>
                      <v:imagedata o:title=""/>
                      <o:lock v:ext="edit" aspectratio="f"/>
                    </v:line>
                  </w:pict>
                </mc:Fallback>
              </mc:AlternateContent>
            </w:r>
            <w:r>
              <w:rPr>
                <w:rFonts w:hint="eastAsia" w:ascii="宋体" w:hAnsi="宋体" w:cs="宋体"/>
                <w:b/>
                <w:sz w:val="24"/>
              </w:rPr>
              <w:t>费率</w:t>
            </w:r>
          </w:p>
          <w:p w14:paraId="43E99D94">
            <w:pPr>
              <w:snapToGrid w:val="0"/>
              <w:textAlignment w:val="baseline"/>
              <w:rPr>
                <w:rFonts w:hint="eastAsia" w:ascii="宋体" w:hAnsi="宋体" w:cs="宋体"/>
                <w:b/>
                <w:sz w:val="24"/>
              </w:rPr>
            </w:pPr>
          </w:p>
          <w:p w14:paraId="653F5D21">
            <w:pPr>
              <w:snapToGrid w:val="0"/>
              <w:textAlignment w:val="baseline"/>
              <w:rPr>
                <w:rFonts w:hint="eastAsia" w:ascii="宋体" w:hAnsi="宋体" w:cs="宋体"/>
                <w:b/>
                <w:sz w:val="24"/>
              </w:rPr>
            </w:pPr>
            <w:r>
              <w:rPr>
                <w:rFonts w:hint="eastAsia" w:ascii="宋体" w:hAnsi="宋体" w:cs="宋体"/>
                <w:b/>
                <w:sz w:val="24"/>
              </w:rPr>
              <w:t>中标金额（万元）</w:t>
            </w:r>
          </w:p>
        </w:tc>
        <w:tc>
          <w:tcPr>
            <w:tcW w:w="4004" w:type="dxa"/>
            <w:gridSpan w:val="2"/>
            <w:tcBorders>
              <w:top w:val="single" w:color="auto" w:sz="4" w:space="0"/>
              <w:left w:val="single" w:color="auto" w:sz="4" w:space="0"/>
              <w:bottom w:val="single" w:color="auto" w:sz="4" w:space="0"/>
              <w:right w:val="single" w:color="auto" w:sz="4" w:space="0"/>
            </w:tcBorders>
            <w:noWrap w:val="0"/>
            <w:vAlign w:val="center"/>
          </w:tcPr>
          <w:p w14:paraId="42388761">
            <w:pPr>
              <w:snapToGrid w:val="0"/>
              <w:jc w:val="center"/>
              <w:textAlignment w:val="baseline"/>
              <w:rPr>
                <w:rFonts w:hint="eastAsia" w:ascii="宋体" w:hAnsi="宋体" w:cs="宋体"/>
                <w:b/>
                <w:sz w:val="24"/>
              </w:rPr>
            </w:pPr>
            <w:r>
              <w:rPr>
                <w:rFonts w:hint="eastAsia" w:ascii="宋体" w:hAnsi="宋体" w:cs="宋体"/>
                <w:b/>
                <w:sz w:val="24"/>
              </w:rPr>
              <w:t>收费标准</w:t>
            </w:r>
          </w:p>
        </w:tc>
      </w:tr>
      <w:tr w14:paraId="66AC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196" w:type="dxa"/>
            <w:tcBorders>
              <w:top w:val="single" w:color="auto" w:sz="4" w:space="0"/>
              <w:left w:val="single" w:color="auto" w:sz="4" w:space="0"/>
              <w:bottom w:val="single" w:color="auto" w:sz="4" w:space="0"/>
              <w:right w:val="single" w:color="auto" w:sz="4" w:space="0"/>
            </w:tcBorders>
            <w:noWrap w:val="0"/>
            <w:vAlign w:val="top"/>
          </w:tcPr>
          <w:p w14:paraId="1AEA3AC6">
            <w:pPr>
              <w:spacing w:line="360" w:lineRule="auto"/>
              <w:jc w:val="center"/>
              <w:rPr>
                <w:rFonts w:hint="eastAsia" w:ascii="宋体" w:hAnsi="宋体" w:cs="宋体"/>
                <w:sz w:val="24"/>
              </w:rPr>
            </w:pPr>
            <w:r>
              <w:rPr>
                <w:color w:val="auto"/>
                <w:sz w:val="24"/>
                <w:highlight w:val="none"/>
              </w:rPr>
              <w:t>100</w:t>
            </w:r>
            <w:r>
              <w:rPr>
                <w:rFonts w:hint="eastAsia"/>
                <w:color w:val="auto"/>
                <w:sz w:val="24"/>
                <w:highlight w:val="none"/>
                <w:lang w:val="en-US" w:eastAsia="zh-CN"/>
              </w:rPr>
              <w:t>万元</w:t>
            </w:r>
            <w:r>
              <w:rPr>
                <w:rFonts w:hint="eastAsia"/>
                <w:color w:val="auto"/>
                <w:sz w:val="24"/>
                <w:highlight w:val="none"/>
              </w:rPr>
              <w:t>以下</w:t>
            </w:r>
          </w:p>
        </w:tc>
        <w:tc>
          <w:tcPr>
            <w:tcW w:w="2287" w:type="dxa"/>
            <w:tcBorders>
              <w:top w:val="single" w:color="auto" w:sz="4" w:space="0"/>
              <w:left w:val="single" w:color="auto" w:sz="4" w:space="0"/>
              <w:bottom w:val="single" w:color="auto" w:sz="4" w:space="0"/>
              <w:right w:val="single" w:color="auto" w:sz="4" w:space="0"/>
            </w:tcBorders>
            <w:noWrap w:val="0"/>
            <w:vAlign w:val="top"/>
          </w:tcPr>
          <w:p w14:paraId="665A50A0">
            <w:pPr>
              <w:spacing w:line="360" w:lineRule="auto"/>
              <w:jc w:val="center"/>
              <w:rPr>
                <w:sz w:val="28"/>
                <w:szCs w:val="28"/>
              </w:rPr>
            </w:pPr>
            <w:r>
              <w:rPr>
                <w:color w:val="auto"/>
                <w:sz w:val="24"/>
                <w:highlight w:val="none"/>
              </w:rPr>
              <w:t>1.5%</w:t>
            </w:r>
          </w:p>
        </w:tc>
        <w:tc>
          <w:tcPr>
            <w:tcW w:w="1717" w:type="dxa"/>
            <w:tcBorders>
              <w:top w:val="single" w:color="auto" w:sz="4" w:space="0"/>
              <w:left w:val="single" w:color="auto" w:sz="4" w:space="0"/>
              <w:bottom w:val="single" w:color="auto" w:sz="4" w:space="0"/>
              <w:right w:val="single" w:color="auto" w:sz="4" w:space="0"/>
            </w:tcBorders>
            <w:noWrap w:val="0"/>
            <w:vAlign w:val="top"/>
          </w:tcPr>
          <w:p w14:paraId="2727F480">
            <w:pPr>
              <w:spacing w:line="360" w:lineRule="auto"/>
              <w:jc w:val="center"/>
              <w:rPr>
                <w:rFonts w:hint="eastAsia" w:ascii="宋体" w:hAnsi="宋体" w:cs="宋体"/>
                <w:kern w:val="0"/>
                <w:szCs w:val="21"/>
              </w:rPr>
            </w:pPr>
            <w:r>
              <w:rPr>
                <w:rFonts w:hint="eastAsia"/>
                <w:color w:val="auto"/>
                <w:sz w:val="24"/>
                <w:highlight w:val="none"/>
                <w:lang w:val="en-US" w:eastAsia="zh-CN"/>
              </w:rPr>
              <w:t>下浮13.5%</w:t>
            </w:r>
          </w:p>
        </w:tc>
      </w:tr>
      <w:tr w14:paraId="3514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196" w:type="dxa"/>
            <w:tcBorders>
              <w:top w:val="single" w:color="auto" w:sz="4" w:space="0"/>
              <w:left w:val="single" w:color="auto" w:sz="4" w:space="0"/>
              <w:bottom w:val="single" w:color="auto" w:sz="4" w:space="0"/>
              <w:right w:val="single" w:color="auto" w:sz="4" w:space="0"/>
            </w:tcBorders>
            <w:noWrap w:val="0"/>
            <w:vAlign w:val="top"/>
          </w:tcPr>
          <w:p w14:paraId="50067F3F">
            <w:pPr>
              <w:spacing w:line="360" w:lineRule="auto"/>
              <w:jc w:val="center"/>
              <w:rPr>
                <w:rFonts w:hint="default" w:eastAsia="宋体"/>
                <w:color w:val="auto"/>
                <w:sz w:val="24"/>
                <w:highlight w:val="none"/>
                <w:lang w:val="en-US" w:eastAsia="zh-CN"/>
              </w:rPr>
            </w:pPr>
            <w:r>
              <w:rPr>
                <w:rFonts w:hint="eastAsia"/>
                <w:color w:val="auto"/>
                <w:sz w:val="24"/>
                <w:highlight w:val="none"/>
                <w:lang w:val="en-US" w:eastAsia="zh-CN"/>
              </w:rPr>
              <w:t>100-500万</w:t>
            </w:r>
          </w:p>
        </w:tc>
        <w:tc>
          <w:tcPr>
            <w:tcW w:w="2287" w:type="dxa"/>
            <w:tcBorders>
              <w:top w:val="single" w:color="auto" w:sz="4" w:space="0"/>
              <w:left w:val="single" w:color="auto" w:sz="4" w:space="0"/>
              <w:bottom w:val="single" w:color="auto" w:sz="4" w:space="0"/>
              <w:right w:val="single" w:color="auto" w:sz="4" w:space="0"/>
            </w:tcBorders>
            <w:noWrap w:val="0"/>
            <w:vAlign w:val="top"/>
          </w:tcPr>
          <w:p w14:paraId="0940DB60">
            <w:pPr>
              <w:spacing w:line="360" w:lineRule="auto"/>
              <w:jc w:val="center"/>
              <w:rPr>
                <w:rFonts w:hint="default" w:eastAsia="宋体"/>
                <w:color w:val="auto"/>
                <w:sz w:val="24"/>
                <w:highlight w:val="none"/>
                <w:lang w:val="en-US" w:eastAsia="zh-CN"/>
              </w:rPr>
            </w:pPr>
            <w:r>
              <w:rPr>
                <w:rFonts w:hint="eastAsia"/>
                <w:color w:val="auto"/>
                <w:sz w:val="24"/>
                <w:highlight w:val="none"/>
                <w:lang w:val="en-US" w:eastAsia="zh-CN"/>
              </w:rPr>
              <w:t>1.1%</w:t>
            </w:r>
          </w:p>
        </w:tc>
        <w:tc>
          <w:tcPr>
            <w:tcW w:w="1717" w:type="dxa"/>
            <w:tcBorders>
              <w:top w:val="single" w:color="auto" w:sz="4" w:space="0"/>
              <w:left w:val="single" w:color="auto" w:sz="4" w:space="0"/>
              <w:bottom w:val="single" w:color="auto" w:sz="4" w:space="0"/>
              <w:right w:val="single" w:color="auto" w:sz="4" w:space="0"/>
            </w:tcBorders>
            <w:noWrap w:val="0"/>
            <w:vAlign w:val="top"/>
          </w:tcPr>
          <w:p w14:paraId="44EDFE58">
            <w:pPr>
              <w:spacing w:line="360" w:lineRule="auto"/>
              <w:jc w:val="center"/>
              <w:rPr>
                <w:rFonts w:hint="eastAsia"/>
                <w:color w:val="auto"/>
                <w:sz w:val="24"/>
                <w:highlight w:val="none"/>
                <w:lang w:val="en-US" w:eastAsia="zh-CN"/>
              </w:rPr>
            </w:pPr>
            <w:r>
              <w:rPr>
                <w:rFonts w:hint="eastAsia"/>
                <w:color w:val="auto"/>
                <w:sz w:val="24"/>
                <w:highlight w:val="none"/>
                <w:lang w:val="en-US" w:eastAsia="zh-CN"/>
              </w:rPr>
              <w:t>下浮33.5%</w:t>
            </w:r>
          </w:p>
        </w:tc>
      </w:tr>
    </w:tbl>
    <w:p w14:paraId="7DA5E22E">
      <w:pPr>
        <w:spacing w:line="440" w:lineRule="exact"/>
        <w:ind w:firstLine="420" w:firstLineChars="200"/>
        <w:rPr>
          <w:rFonts w:hint="eastAsia"/>
        </w:rPr>
      </w:pPr>
    </w:p>
    <w:p w14:paraId="139D4668">
      <w:pPr>
        <w:spacing w:line="480" w:lineRule="exact"/>
        <w:ind w:firstLine="482" w:firstLineChars="200"/>
        <w:rPr>
          <w:rFonts w:hint="eastAsia" w:ascii="宋体" w:hAnsi="宋体" w:cs="宋体"/>
          <w:b/>
          <w:sz w:val="24"/>
        </w:rPr>
      </w:pPr>
      <w:r>
        <w:rPr>
          <w:rFonts w:hint="eastAsia" w:ascii="宋体" w:hAnsi="宋体"/>
          <w:b/>
          <w:sz w:val="24"/>
        </w:rPr>
        <w:t>中标服务费由中标</w:t>
      </w:r>
      <w:r>
        <w:rPr>
          <w:rFonts w:ascii="宋体" w:hAnsi="宋体"/>
          <w:b/>
          <w:sz w:val="24"/>
        </w:rPr>
        <w:t>人</w:t>
      </w:r>
      <w:r>
        <w:rPr>
          <w:rFonts w:hint="eastAsia" w:ascii="宋体" w:hAnsi="宋体"/>
          <w:b/>
          <w:sz w:val="24"/>
        </w:rPr>
        <w:t>汇至以下账户：</w:t>
      </w:r>
    </w:p>
    <w:p w14:paraId="30738C42">
      <w:pPr>
        <w:spacing w:line="348" w:lineRule="auto"/>
        <w:ind w:firstLine="482" w:firstLineChars="200"/>
        <w:rPr>
          <w:rFonts w:hint="eastAsia" w:ascii="宋体" w:hAnsi="宋体" w:cs="宋体"/>
          <w:b/>
          <w:sz w:val="24"/>
        </w:rPr>
      </w:pPr>
      <w:r>
        <w:rPr>
          <w:rFonts w:hint="eastAsia" w:ascii="宋体" w:hAnsi="宋体" w:cs="宋体"/>
          <w:b/>
          <w:sz w:val="24"/>
        </w:rPr>
        <w:t>帐户名称：东阳市鑫盛工程咨询有限公司</w:t>
      </w:r>
    </w:p>
    <w:p w14:paraId="6C311963">
      <w:pPr>
        <w:spacing w:line="348" w:lineRule="auto"/>
        <w:ind w:firstLine="482" w:firstLineChars="200"/>
        <w:rPr>
          <w:rFonts w:hint="eastAsia" w:ascii="宋体" w:hAnsi="宋体" w:cs="宋体"/>
          <w:b/>
          <w:sz w:val="24"/>
        </w:rPr>
      </w:pPr>
      <w:r>
        <w:rPr>
          <w:rFonts w:hint="eastAsia" w:ascii="宋体" w:hAnsi="宋体" w:cs="宋体"/>
          <w:b/>
          <w:sz w:val="24"/>
        </w:rPr>
        <w:t>开户银行：兴业银行股份有限公司金华东阳支行</w:t>
      </w:r>
    </w:p>
    <w:p w14:paraId="432F99B9">
      <w:pPr>
        <w:spacing w:line="348" w:lineRule="auto"/>
        <w:ind w:firstLine="482" w:firstLineChars="200"/>
        <w:rPr>
          <w:rFonts w:hint="eastAsia" w:ascii="宋体" w:hAnsi="宋体"/>
          <w:b/>
          <w:sz w:val="24"/>
        </w:rPr>
      </w:pPr>
      <w:r>
        <w:rPr>
          <w:rFonts w:hint="eastAsia" w:ascii="宋体" w:hAnsi="宋体" w:cs="宋体"/>
          <w:b/>
          <w:sz w:val="24"/>
        </w:rPr>
        <w:t xml:space="preserve">账号：356090100100082625     </w:t>
      </w:r>
      <w:r>
        <w:rPr>
          <w:rFonts w:hint="eastAsia" w:ascii="宋体" w:hAnsi="宋体"/>
          <w:b/>
          <w:sz w:val="24"/>
        </w:rPr>
        <w:t xml:space="preserve">                                </w:t>
      </w:r>
    </w:p>
    <w:p w14:paraId="43D7652C">
      <w:pPr>
        <w:numPr>
          <w:ilvl w:val="0"/>
          <w:numId w:val="16"/>
        </w:numPr>
        <w:spacing w:line="480" w:lineRule="exact"/>
        <w:rPr>
          <w:rFonts w:hint="eastAsia" w:ascii="宋体" w:hAnsi="宋体"/>
          <w:b/>
          <w:sz w:val="24"/>
        </w:rPr>
      </w:pPr>
      <w:r>
        <w:rPr>
          <w:rFonts w:hint="eastAsia" w:ascii="宋体" w:hAnsi="宋体"/>
          <w:b/>
          <w:sz w:val="24"/>
        </w:rPr>
        <w:t>联合体投标</w:t>
      </w:r>
      <w:r>
        <w:rPr>
          <w:rFonts w:hint="eastAsia" w:ascii="宋体" w:hAnsi="宋体"/>
          <w:b/>
          <w:sz w:val="24"/>
        </w:rPr>
        <w:tab/>
      </w:r>
    </w:p>
    <w:p w14:paraId="0DD328FA">
      <w:pPr>
        <w:spacing w:line="480" w:lineRule="exact"/>
        <w:ind w:firstLine="480"/>
        <w:rPr>
          <w:rFonts w:hint="eastAsia"/>
        </w:rPr>
      </w:pPr>
      <w:r>
        <w:rPr>
          <w:rFonts w:hint="eastAsia" w:ascii="宋体" w:hAnsi="宋体" w:cs="Arial"/>
          <w:sz w:val="24"/>
        </w:rPr>
        <w:t>本项目不接受联合体投标。</w:t>
      </w:r>
    </w:p>
    <w:p w14:paraId="5DD2D661">
      <w:pPr>
        <w:spacing w:line="440" w:lineRule="exact"/>
        <w:rPr>
          <w:rFonts w:hint="eastAsia" w:ascii="宋体" w:hAnsi="宋体" w:cs="宋体"/>
          <w:b/>
          <w:kern w:val="0"/>
          <w:sz w:val="24"/>
        </w:rPr>
      </w:pPr>
      <w:r>
        <w:rPr>
          <w:rFonts w:hint="eastAsia" w:ascii="宋体" w:hAnsi="宋体" w:cs="宋体"/>
          <w:b/>
          <w:sz w:val="24"/>
        </w:rPr>
        <w:t>（七）</w:t>
      </w:r>
      <w:r>
        <w:rPr>
          <w:rFonts w:hint="eastAsia" w:ascii="宋体" w:hAnsi="宋体" w:cs="宋体"/>
          <w:b/>
          <w:kern w:val="0"/>
          <w:sz w:val="24"/>
        </w:rPr>
        <w:t>转包与分包</w:t>
      </w:r>
    </w:p>
    <w:p w14:paraId="33F78A0E">
      <w:pPr>
        <w:spacing w:line="440" w:lineRule="exact"/>
        <w:ind w:firstLine="240" w:firstLineChars="100"/>
        <w:rPr>
          <w:rFonts w:hint="eastAsia" w:ascii="宋体" w:hAnsi="宋体" w:cs="宋体"/>
          <w:kern w:val="0"/>
          <w:sz w:val="24"/>
        </w:rPr>
      </w:pPr>
      <w:r>
        <w:rPr>
          <w:rFonts w:hint="eastAsia" w:ascii="宋体" w:hAnsi="宋体" w:cs="宋体"/>
          <w:kern w:val="0"/>
          <w:sz w:val="24"/>
        </w:rPr>
        <w:t>1.本项目不允许转包。</w:t>
      </w:r>
    </w:p>
    <w:p w14:paraId="58BA0171">
      <w:pPr>
        <w:spacing w:line="440" w:lineRule="exact"/>
        <w:ind w:firstLine="240" w:firstLineChars="100"/>
        <w:rPr>
          <w:rFonts w:hint="eastAsia"/>
        </w:rPr>
      </w:pPr>
      <w:r>
        <w:rPr>
          <w:rFonts w:hint="eastAsia" w:ascii="宋体" w:hAnsi="宋体" w:cs="宋体"/>
          <w:kern w:val="0"/>
          <w:sz w:val="24"/>
        </w:rPr>
        <w:t>2.本项目不允许分包。</w:t>
      </w:r>
    </w:p>
    <w:p w14:paraId="1F8C2034">
      <w:pPr>
        <w:spacing w:line="480" w:lineRule="exact"/>
        <w:rPr>
          <w:rFonts w:hint="eastAsia" w:ascii="宋体" w:hAnsi="宋体"/>
          <w:b/>
          <w:sz w:val="24"/>
        </w:rPr>
      </w:pPr>
      <w:r>
        <w:rPr>
          <w:rFonts w:hint="eastAsia" w:ascii="宋体" w:hAnsi="宋体" w:cs="宋体"/>
          <w:sz w:val="24"/>
          <w:lang w:val="zh-TW" w:eastAsia="zh-TW"/>
        </w:rPr>
        <w:t>▲</w:t>
      </w:r>
      <w:r>
        <w:rPr>
          <w:rFonts w:hint="eastAsia" w:ascii="宋体" w:hAnsi="宋体"/>
          <w:b/>
          <w:sz w:val="24"/>
        </w:rPr>
        <w:t>（八）特别说明：</w:t>
      </w:r>
    </w:p>
    <w:p w14:paraId="0CA33E11">
      <w:pPr>
        <w:spacing w:line="360" w:lineRule="auto"/>
        <w:rPr>
          <w:rFonts w:hint="eastAsia" w:ascii="宋体" w:hAnsi="宋体"/>
          <w:sz w:val="24"/>
        </w:rPr>
      </w:pPr>
      <w:r>
        <w:rPr>
          <w:rFonts w:hint="eastAsia" w:ascii="宋体" w:hAnsi="宋体"/>
          <w:sz w:val="24"/>
        </w:rPr>
        <w:t>1.多家供应商参加投标，如其中两家或两家以上供应商的法定代表人为同一人或相互之间存在投资关系且达到控股的，同时提供的是同一品牌产品的，应当按一个供应商认定。</w:t>
      </w:r>
    </w:p>
    <w:p w14:paraId="1D38FE95">
      <w:pPr>
        <w:spacing w:line="360" w:lineRule="auto"/>
        <w:ind w:firstLine="480" w:firstLineChars="200"/>
        <w:rPr>
          <w:rFonts w:hint="eastAsia" w:ascii="宋体" w:hAnsi="宋体" w:cs="宋体"/>
          <w:kern w:val="0"/>
          <w:sz w:val="24"/>
        </w:rPr>
      </w:pPr>
      <w:r>
        <w:rPr>
          <w:rFonts w:hint="eastAsia" w:ascii="宋体" w:hAnsi="宋体"/>
          <w:sz w:val="24"/>
        </w:rPr>
        <w:t>评审时，提供相同品牌产品且通过资格审查、符合性审查的不同投标人参加同一合同下投标的，按一家投标人计算，评审后得分最高的同品牌投标人获得</w:t>
      </w:r>
      <w:r>
        <w:rPr>
          <w:rFonts w:ascii="宋体" w:hAnsi="宋体"/>
          <w:sz w:val="24"/>
        </w:rPr>
        <w:t>中标人</w:t>
      </w:r>
      <w:r>
        <w:rPr>
          <w:rFonts w:hint="eastAsia" w:ascii="宋体" w:hAnsi="宋体"/>
          <w:sz w:val="24"/>
        </w:rPr>
        <w:t>推荐资格；评审得分相同的由采购人或者采购人委托评标委员会采取随机抽取方式，来确定一个投标人获得</w:t>
      </w:r>
      <w:r>
        <w:rPr>
          <w:rFonts w:ascii="宋体" w:hAnsi="宋体"/>
          <w:sz w:val="24"/>
        </w:rPr>
        <w:t>中标人</w:t>
      </w:r>
      <w:r>
        <w:rPr>
          <w:rFonts w:hint="eastAsia" w:ascii="宋体" w:hAnsi="宋体"/>
          <w:sz w:val="24"/>
        </w:rPr>
        <w:t>推荐资格，其他同品牌投标人不作为中标候选人。</w:t>
      </w:r>
      <w:r>
        <w:rPr>
          <w:rFonts w:hint="eastAsia" w:ascii="宋体" w:hAnsi="宋体" w:cs="宋体"/>
          <w:kern w:val="0"/>
          <w:sz w:val="24"/>
        </w:rPr>
        <w:t xml:space="preserve"> </w:t>
      </w:r>
    </w:p>
    <w:p w14:paraId="21EF45DB">
      <w:pPr>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 多家代理商或经销商参加投标，如其中两家或两家以上供应商存在分级代理或代销关系，且提供的是其所代理品牌产品的，评审时，按上述规定确定其中一家为有效供应商。</w:t>
      </w:r>
    </w:p>
    <w:p w14:paraId="4167444E">
      <w:pPr>
        <w:spacing w:line="360" w:lineRule="auto"/>
        <w:rPr>
          <w:rFonts w:hint="eastAsia" w:ascii="宋体" w:hAnsi="宋体"/>
          <w:sz w:val="24"/>
        </w:rPr>
      </w:pPr>
      <w:r>
        <w:rPr>
          <w:rFonts w:hint="eastAsia" w:ascii="宋体" w:hAnsi="宋体"/>
          <w:sz w:val="24"/>
        </w:rPr>
        <w:t>2.投标人投标所使用的资格、信誉、荣誉、业绩与企业认证必须为本法人所拥有。投标人投标所使用的采购项目实施人员必须为本法人（或必须为本法人或控股公司正式员工）。</w:t>
      </w:r>
    </w:p>
    <w:p w14:paraId="70E90A23">
      <w:pPr>
        <w:spacing w:line="360" w:lineRule="auto"/>
        <w:rPr>
          <w:rFonts w:hint="eastAsia" w:ascii="宋体" w:hAnsi="宋体"/>
          <w:sz w:val="24"/>
        </w:rPr>
      </w:pPr>
      <w:r>
        <w:rPr>
          <w:rFonts w:hint="eastAsia" w:ascii="宋体" w:hAnsi="宋体"/>
          <w:sz w:val="24"/>
        </w:rPr>
        <w:t>3.投标人应仔细阅读招标文件的所有内容，按照招标文件的要求提交投标文件，并对所提供的全部资料的真实性承担法律责任。</w:t>
      </w:r>
    </w:p>
    <w:p w14:paraId="4B47AB72">
      <w:pPr>
        <w:spacing w:line="360" w:lineRule="auto"/>
        <w:rPr>
          <w:rFonts w:hint="eastAsia" w:ascii="宋体" w:hAnsi="宋体"/>
          <w:sz w:val="24"/>
        </w:rPr>
      </w:pPr>
      <w:r>
        <w:rPr>
          <w:rFonts w:hint="eastAsia" w:ascii="宋体" w:hAnsi="宋体"/>
          <w:sz w:val="24"/>
        </w:rPr>
        <w:t>4.投标人在投标活动中提供任何虚假材料,其投标无效，并报监管部门查处；中标后发现的,</w:t>
      </w:r>
      <w:r>
        <w:rPr>
          <w:rFonts w:ascii="宋体" w:hAnsi="宋体"/>
          <w:sz w:val="24"/>
        </w:rPr>
        <w:t>中标人</w:t>
      </w:r>
      <w:r>
        <w:rPr>
          <w:rFonts w:hint="eastAsia" w:ascii="宋体" w:hAnsi="宋体"/>
          <w:sz w:val="24"/>
        </w:rPr>
        <w:t>须依照《中华人民共和国消费者权益保护法》第49条之规定双倍赔偿采购人，且民事赔偿并不免除违法投标人的行政与刑事责任。</w:t>
      </w:r>
    </w:p>
    <w:p w14:paraId="7987645F">
      <w:pPr>
        <w:spacing w:line="360" w:lineRule="auto"/>
        <w:rPr>
          <w:rFonts w:hint="eastAsia" w:ascii="宋体" w:hAnsi="宋体"/>
          <w:sz w:val="24"/>
        </w:rPr>
      </w:pPr>
      <w:r>
        <w:rPr>
          <w:rFonts w:hint="eastAsia" w:ascii="宋体" w:hAnsi="宋体"/>
          <w:sz w:val="24"/>
        </w:rPr>
        <w:t>5.</w:t>
      </w:r>
      <w:r>
        <w:rPr>
          <w:rFonts w:hint="eastAsia"/>
        </w:rPr>
        <w:t xml:space="preserve"> </w:t>
      </w:r>
      <w:r>
        <w:rPr>
          <w:rFonts w:hint="eastAsia" w:ascii="宋体" w:hAnsi="宋体"/>
          <w:sz w:val="24"/>
        </w:rPr>
        <w:t>评标委员会认为预</w:t>
      </w:r>
      <w:r>
        <w:rPr>
          <w:rFonts w:ascii="宋体" w:hAnsi="宋体"/>
          <w:sz w:val="24"/>
        </w:rPr>
        <w:t>中标人</w:t>
      </w:r>
      <w:r>
        <w:rPr>
          <w:rFonts w:hint="eastAsia" w:ascii="宋体" w:hAnsi="宋体"/>
          <w:sz w:val="24"/>
        </w:rPr>
        <w:t>的投标</w:t>
      </w:r>
      <w:r>
        <w:rPr>
          <w:rFonts w:ascii="宋体" w:hAnsi="宋体"/>
          <w:sz w:val="24"/>
        </w:rPr>
        <w:t>报价</w:t>
      </w:r>
      <w:r>
        <w:rPr>
          <w:rFonts w:hint="eastAsia" w:ascii="宋体" w:hAnsi="宋体"/>
          <w:sz w:val="24"/>
        </w:rPr>
        <w:t>明显低于其他通过符合性审查投标人的报价，有可能影响成果质量或者不能诚信履约的，应当要求其在评标现场合理的时间内提供书面说明，必要时提交相关证明材料；预</w:t>
      </w:r>
      <w:r>
        <w:rPr>
          <w:rFonts w:ascii="宋体" w:hAnsi="宋体"/>
          <w:sz w:val="24"/>
        </w:rPr>
        <w:t>中标人</w:t>
      </w:r>
      <w:r>
        <w:rPr>
          <w:rFonts w:hint="eastAsia" w:ascii="宋体" w:hAnsi="宋体"/>
          <w:sz w:val="24"/>
        </w:rPr>
        <w:t>不能证明其报价合理性的，评标委员会应当将其作为无效投标处理。</w:t>
      </w:r>
    </w:p>
    <w:p w14:paraId="21293994">
      <w:pPr>
        <w:spacing w:line="360" w:lineRule="auto"/>
        <w:rPr>
          <w:rFonts w:hint="eastAsia" w:ascii="宋体" w:hAnsi="宋体"/>
          <w:sz w:val="24"/>
        </w:rPr>
      </w:pPr>
      <w:r>
        <w:rPr>
          <w:rFonts w:hint="eastAsia" w:ascii="宋体" w:hAnsi="宋体"/>
          <w:sz w:val="24"/>
        </w:rPr>
        <w:t>6.</w:t>
      </w:r>
      <w:r>
        <w:rPr>
          <w:rFonts w:ascii="宋体" w:hAnsi="宋体"/>
          <w:sz w:val="24"/>
        </w:rPr>
        <w:t xml:space="preserve"> 招标方不保证最低报价者为中标人。</w:t>
      </w:r>
    </w:p>
    <w:p w14:paraId="3141DBB8">
      <w:pPr>
        <w:spacing w:line="360" w:lineRule="auto"/>
        <w:rPr>
          <w:rFonts w:ascii="宋体" w:hAnsi="宋体"/>
          <w:sz w:val="24"/>
        </w:rPr>
      </w:pPr>
      <w:r>
        <w:rPr>
          <w:rFonts w:hint="eastAsia" w:ascii="宋体" w:hAnsi="宋体"/>
          <w:sz w:val="24"/>
        </w:rPr>
        <w:t>7.</w:t>
      </w:r>
      <w:r>
        <w:rPr>
          <w:rFonts w:ascii="宋体" w:hAnsi="宋体"/>
          <w:sz w:val="24"/>
        </w:rPr>
        <w:t xml:space="preserve"> 为维护国家利益及招标方自身利益，招标方在授予合同之前仍有选择或拒绝任何或全部投标的权力。</w:t>
      </w:r>
    </w:p>
    <w:p w14:paraId="46C2C6F0">
      <w:pPr>
        <w:spacing w:line="480" w:lineRule="exact"/>
        <w:rPr>
          <w:rFonts w:hint="eastAsia" w:ascii="宋体" w:hAnsi="宋体"/>
          <w:b/>
          <w:bCs/>
          <w:sz w:val="24"/>
        </w:rPr>
      </w:pPr>
      <w:r>
        <w:rPr>
          <w:rFonts w:hint="eastAsia" w:ascii="宋体" w:hAnsi="宋体"/>
          <w:b/>
          <w:bCs/>
          <w:sz w:val="24"/>
        </w:rPr>
        <w:t>（九）质疑</w:t>
      </w:r>
    </w:p>
    <w:p w14:paraId="1ED90692">
      <w:pPr>
        <w:spacing w:line="480" w:lineRule="exact"/>
        <w:ind w:firstLine="480"/>
        <w:rPr>
          <w:rFonts w:hint="eastAsia"/>
          <w:sz w:val="24"/>
        </w:rPr>
      </w:pPr>
      <w:bookmarkStart w:id="34" w:name="_Toc454196066"/>
      <w:r>
        <w:rPr>
          <w:rFonts w:hint="eastAsia"/>
          <w:sz w:val="24"/>
        </w:rPr>
        <w:t>1.投标人认为招标文件、招标过程或中标结果使自己的合法权益受到损害的，应当在知道或者应知其权益受到损害之日起七个工作日内，以书面形式向采购人、招标方提出质疑。投标人对招标采购单位的质疑答复不满意或者招标采购单位未在规定时间内作出答复的，可以在答复期满后十五个工作日内向同级采购监管部门反映。</w:t>
      </w:r>
    </w:p>
    <w:p w14:paraId="2CCD7B0A">
      <w:pPr>
        <w:spacing w:line="480" w:lineRule="exact"/>
        <w:ind w:firstLine="480"/>
        <w:rPr>
          <w:rFonts w:hint="eastAsia"/>
          <w:b/>
          <w:sz w:val="24"/>
        </w:rPr>
      </w:pPr>
      <w:r>
        <w:rPr>
          <w:rFonts w:hint="eastAsia"/>
          <w:sz w:val="24"/>
        </w:rPr>
        <w:t>2.质疑应当采用书面形式，质疑书均应明确阐述招标文件、招标过程或中标结果中使自己合法权益受到损害的实质性内容，提供相关事实、依据和证据及其来源或线索，便于有关单位调查、答复和处理。</w:t>
      </w:r>
    </w:p>
    <w:p w14:paraId="31FE6D8C">
      <w:pPr>
        <w:pStyle w:val="2"/>
        <w:pageBreakBefore/>
        <w:spacing w:line="360" w:lineRule="auto"/>
        <w:jc w:val="center"/>
        <w:rPr>
          <w:rFonts w:hint="eastAsia" w:ascii="宋体" w:hAnsi="宋体"/>
        </w:rPr>
      </w:pPr>
      <w:bookmarkStart w:id="35" w:name="_Toc23801"/>
      <w:bookmarkStart w:id="36" w:name="_Toc15092"/>
      <w:r>
        <w:rPr>
          <w:rFonts w:hint="eastAsia" w:ascii="宋体" w:hAnsi="宋体"/>
        </w:rPr>
        <w:t>二、招标文件</w:t>
      </w:r>
      <w:bookmarkEnd w:id="34"/>
      <w:bookmarkEnd w:id="35"/>
      <w:bookmarkEnd w:id="36"/>
    </w:p>
    <w:p w14:paraId="32E48882">
      <w:pPr>
        <w:spacing w:line="360" w:lineRule="auto"/>
        <w:rPr>
          <w:rFonts w:hint="eastAsia" w:ascii="宋体" w:hAnsi="宋体"/>
          <w:b/>
          <w:sz w:val="24"/>
        </w:rPr>
      </w:pPr>
      <w:r>
        <w:rPr>
          <w:rFonts w:hint="eastAsia" w:ascii="宋体" w:hAnsi="宋体"/>
          <w:b/>
          <w:sz w:val="24"/>
        </w:rPr>
        <w:t>（一）招标文件的构成。本招标文件由以下部份组成：</w:t>
      </w:r>
    </w:p>
    <w:p w14:paraId="391EDC04">
      <w:pPr>
        <w:spacing w:line="360" w:lineRule="auto"/>
        <w:ind w:firstLine="480" w:firstLineChars="200"/>
        <w:rPr>
          <w:rFonts w:hint="eastAsia" w:ascii="宋体" w:hAnsi="宋体"/>
          <w:sz w:val="24"/>
        </w:rPr>
      </w:pPr>
      <w:r>
        <w:rPr>
          <w:rFonts w:hint="eastAsia" w:ascii="宋体" w:hAnsi="宋体"/>
          <w:sz w:val="24"/>
        </w:rPr>
        <w:t>1.招标公告</w:t>
      </w:r>
    </w:p>
    <w:p w14:paraId="5E0F477E">
      <w:pPr>
        <w:spacing w:line="360" w:lineRule="auto"/>
        <w:ind w:firstLine="480" w:firstLineChars="200"/>
        <w:rPr>
          <w:rFonts w:hint="eastAsia" w:ascii="宋体" w:hAnsi="宋体"/>
          <w:sz w:val="24"/>
        </w:rPr>
      </w:pPr>
      <w:r>
        <w:rPr>
          <w:rFonts w:hint="eastAsia" w:ascii="宋体" w:hAnsi="宋体"/>
          <w:sz w:val="24"/>
        </w:rPr>
        <w:t>2.招标需求</w:t>
      </w:r>
    </w:p>
    <w:p w14:paraId="388D152B">
      <w:pPr>
        <w:spacing w:line="360" w:lineRule="auto"/>
        <w:ind w:firstLine="480" w:firstLineChars="200"/>
        <w:rPr>
          <w:rFonts w:hint="eastAsia" w:ascii="宋体" w:hAnsi="宋体"/>
          <w:sz w:val="24"/>
        </w:rPr>
      </w:pPr>
      <w:r>
        <w:rPr>
          <w:rFonts w:hint="eastAsia" w:ascii="宋体" w:hAnsi="宋体"/>
          <w:sz w:val="24"/>
        </w:rPr>
        <w:t>3.投标人须知</w:t>
      </w:r>
    </w:p>
    <w:p w14:paraId="3886C237">
      <w:pPr>
        <w:spacing w:line="360" w:lineRule="auto"/>
        <w:ind w:firstLine="480" w:firstLineChars="200"/>
        <w:rPr>
          <w:rFonts w:hint="eastAsia" w:ascii="宋体" w:hAnsi="宋体"/>
          <w:sz w:val="24"/>
        </w:rPr>
      </w:pPr>
      <w:r>
        <w:rPr>
          <w:rFonts w:hint="eastAsia" w:ascii="宋体" w:hAnsi="宋体"/>
          <w:sz w:val="24"/>
        </w:rPr>
        <w:t>4.评标办法及标准</w:t>
      </w:r>
    </w:p>
    <w:p w14:paraId="628752C3">
      <w:pPr>
        <w:spacing w:line="360" w:lineRule="auto"/>
        <w:ind w:firstLine="480" w:firstLineChars="200"/>
        <w:rPr>
          <w:rFonts w:hint="eastAsia" w:ascii="宋体" w:hAnsi="宋体"/>
          <w:sz w:val="24"/>
        </w:rPr>
      </w:pPr>
      <w:r>
        <w:rPr>
          <w:rFonts w:hint="eastAsia" w:ascii="宋体" w:hAnsi="宋体"/>
          <w:sz w:val="24"/>
        </w:rPr>
        <w:t>5.合同主要条款</w:t>
      </w:r>
    </w:p>
    <w:p w14:paraId="380E2D0F">
      <w:pPr>
        <w:spacing w:line="360" w:lineRule="auto"/>
        <w:ind w:firstLine="480" w:firstLineChars="200"/>
        <w:rPr>
          <w:rFonts w:hint="eastAsia" w:ascii="宋体" w:hAnsi="宋体"/>
          <w:sz w:val="24"/>
        </w:rPr>
      </w:pPr>
      <w:r>
        <w:rPr>
          <w:rFonts w:hint="eastAsia" w:ascii="宋体" w:hAnsi="宋体"/>
          <w:sz w:val="24"/>
        </w:rPr>
        <w:t>6.投标文件格式</w:t>
      </w:r>
    </w:p>
    <w:p w14:paraId="7EC64FDB">
      <w:pPr>
        <w:spacing w:line="360" w:lineRule="auto"/>
        <w:ind w:firstLine="480" w:firstLineChars="200"/>
        <w:rPr>
          <w:rFonts w:hint="eastAsia" w:ascii="宋体" w:hAnsi="宋体"/>
          <w:sz w:val="24"/>
        </w:rPr>
      </w:pPr>
      <w:r>
        <w:rPr>
          <w:rFonts w:hint="eastAsia" w:ascii="宋体" w:hAnsi="宋体"/>
          <w:sz w:val="24"/>
        </w:rPr>
        <w:t>7.本项目招标文件的澄清、答复、修改、补充的内容</w:t>
      </w:r>
    </w:p>
    <w:p w14:paraId="1AB7AEC9">
      <w:pPr>
        <w:spacing w:line="360" w:lineRule="auto"/>
        <w:rPr>
          <w:rFonts w:hint="eastAsia" w:ascii="宋体" w:hAnsi="宋体"/>
          <w:b/>
          <w:sz w:val="24"/>
        </w:rPr>
      </w:pPr>
      <w:r>
        <w:rPr>
          <w:rFonts w:hint="eastAsia" w:ascii="宋体" w:hAnsi="宋体"/>
          <w:b/>
          <w:sz w:val="24"/>
        </w:rPr>
        <w:t>（二）投标人的风险</w:t>
      </w:r>
    </w:p>
    <w:p w14:paraId="16AC7CF8">
      <w:pPr>
        <w:spacing w:line="360" w:lineRule="auto"/>
        <w:ind w:firstLine="480" w:firstLineChars="200"/>
        <w:rPr>
          <w:rFonts w:hint="eastAsia" w:ascii="宋体" w:hAnsi="宋体"/>
          <w:sz w:val="24"/>
        </w:rPr>
      </w:pPr>
      <w:r>
        <w:rPr>
          <w:rFonts w:hint="eastAsia" w:ascii="宋体" w:hAnsi="宋体"/>
          <w:sz w:val="24"/>
        </w:rPr>
        <w:t>投标人没有按照招标文件要求提供全部资料，或者投标人没有对招标文件在各方面作出实质性响应是投标人的风险，并可能导致其投标被拒绝。</w:t>
      </w:r>
    </w:p>
    <w:p w14:paraId="740D282F">
      <w:pPr>
        <w:spacing w:line="360" w:lineRule="auto"/>
        <w:rPr>
          <w:rFonts w:hint="eastAsia" w:ascii="宋体" w:hAnsi="宋体"/>
          <w:b/>
          <w:sz w:val="24"/>
        </w:rPr>
      </w:pPr>
      <w:r>
        <w:rPr>
          <w:rFonts w:hint="eastAsia" w:ascii="宋体" w:hAnsi="宋体"/>
          <w:b/>
          <w:sz w:val="24"/>
        </w:rPr>
        <w:t xml:space="preserve">（三）招标文件的澄清与修改 </w:t>
      </w:r>
    </w:p>
    <w:p w14:paraId="45358E8D">
      <w:pPr>
        <w:spacing w:line="360" w:lineRule="auto"/>
        <w:ind w:firstLine="480" w:firstLineChars="200"/>
        <w:rPr>
          <w:rFonts w:hint="eastAsia" w:ascii="宋体" w:hAnsi="宋体"/>
          <w:sz w:val="24"/>
        </w:rPr>
      </w:pPr>
      <w:r>
        <w:rPr>
          <w:rFonts w:hint="eastAsia" w:ascii="宋体" w:hAnsi="宋体"/>
          <w:sz w:val="24"/>
        </w:rPr>
        <w:t>1.</w:t>
      </w:r>
      <w:r>
        <w:rPr>
          <w:rFonts w:hint="eastAsia" w:ascii="宋体" w:hAnsi="宋体"/>
          <w:bCs/>
          <w:sz w:val="24"/>
        </w:rPr>
        <w:t>投标人应认真阅读本招标文件，发现其中有误或有不合理要求的，投标人必须以书面形式要求招标采购单位澄清</w:t>
      </w:r>
      <w:r>
        <w:rPr>
          <w:rFonts w:hint="eastAsia" w:ascii="宋体" w:hAnsi="宋体"/>
          <w:sz w:val="24"/>
        </w:rPr>
        <w:t>。招标方对已发出的招标文件进行必要澄清、答复、修改或补充的，应当在招标文件要求提交投标文件截止时间十五日前，在指定的采购信息发布媒体上发布更正公告，并以书面形式通知所有招标文件收受人。</w:t>
      </w:r>
    </w:p>
    <w:p w14:paraId="6B65EA06">
      <w:pPr>
        <w:spacing w:line="360" w:lineRule="auto"/>
        <w:ind w:firstLine="480" w:firstLineChars="200"/>
        <w:rPr>
          <w:rFonts w:hint="eastAsia" w:ascii="宋体" w:hAnsi="宋体"/>
          <w:sz w:val="24"/>
        </w:rPr>
      </w:pPr>
      <w:r>
        <w:rPr>
          <w:rFonts w:hint="eastAsia" w:ascii="宋体" w:hAnsi="宋体"/>
          <w:sz w:val="24"/>
        </w:rPr>
        <w:t>2.招标方必须以书面形式答复投标人要求澄清的问题，并将不包含问题来源的答复书面通知所有购买招标文件的投标人；除书面答复以外的其他澄清方式及澄清内容均无效。</w:t>
      </w:r>
    </w:p>
    <w:p w14:paraId="0B3203E8">
      <w:pPr>
        <w:spacing w:line="360" w:lineRule="auto"/>
        <w:ind w:firstLine="480" w:firstLineChars="200"/>
        <w:rPr>
          <w:rFonts w:hint="eastAsia" w:ascii="宋体" w:hAnsi="宋体"/>
          <w:sz w:val="24"/>
        </w:rPr>
      </w:pPr>
      <w:r>
        <w:rPr>
          <w:rFonts w:hint="eastAsia" w:ascii="宋体" w:hAnsi="宋体"/>
          <w:sz w:val="24"/>
        </w:rPr>
        <w:t>3.招标文件澄清、答复、修改、补充的内容为招标文件的组成部分。当招标文件与招标文件的答复、澄清、修改、补充通知就同一内容的表述不一致时，以最后发出的书面文件为准。</w:t>
      </w:r>
    </w:p>
    <w:p w14:paraId="5F92FFCE">
      <w:pPr>
        <w:spacing w:line="360" w:lineRule="auto"/>
        <w:ind w:firstLine="480" w:firstLineChars="200"/>
        <w:rPr>
          <w:rFonts w:hint="eastAsia" w:ascii="宋体" w:hAnsi="宋体"/>
          <w:sz w:val="24"/>
        </w:rPr>
      </w:pPr>
      <w:r>
        <w:rPr>
          <w:rFonts w:hint="eastAsia" w:ascii="宋体" w:hAnsi="宋体"/>
          <w:sz w:val="24"/>
        </w:rPr>
        <w:t>4.招标文件的澄清、答复、修改或补充都应该通过本招标机构以法定形式发布，采购人非通过本机构，不得擅自澄清、答复、修改或补充招标文件。</w:t>
      </w:r>
    </w:p>
    <w:p w14:paraId="51226433">
      <w:pPr>
        <w:spacing w:line="360" w:lineRule="auto"/>
        <w:rPr>
          <w:rFonts w:hint="eastAsia" w:ascii="宋体" w:hAnsi="宋体"/>
          <w:b/>
          <w:sz w:val="24"/>
        </w:rPr>
      </w:pPr>
    </w:p>
    <w:p w14:paraId="69C09835">
      <w:pPr>
        <w:pStyle w:val="2"/>
        <w:pageBreakBefore/>
        <w:spacing w:line="360" w:lineRule="auto"/>
        <w:jc w:val="center"/>
        <w:rPr>
          <w:rFonts w:hint="eastAsia" w:ascii="宋体" w:hAnsi="宋体"/>
        </w:rPr>
      </w:pPr>
      <w:bookmarkStart w:id="37" w:name="_Toc7006"/>
      <w:bookmarkStart w:id="38" w:name="_Toc454196067"/>
      <w:bookmarkStart w:id="39" w:name="_Toc25377"/>
      <w:r>
        <w:rPr>
          <w:rFonts w:hint="eastAsia" w:ascii="宋体" w:hAnsi="宋体"/>
        </w:rPr>
        <w:t>三、投标文件的编制</w:t>
      </w:r>
      <w:bookmarkEnd w:id="37"/>
      <w:bookmarkEnd w:id="38"/>
      <w:bookmarkEnd w:id="39"/>
    </w:p>
    <w:p w14:paraId="466B877A">
      <w:pPr>
        <w:spacing w:line="460" w:lineRule="exact"/>
        <w:rPr>
          <w:rFonts w:hint="eastAsia" w:ascii="宋体" w:hAnsi="宋体"/>
          <w:b/>
          <w:sz w:val="24"/>
        </w:rPr>
      </w:pPr>
      <w:r>
        <w:rPr>
          <w:rFonts w:hint="eastAsia" w:ascii="宋体" w:hAnsi="宋体" w:cs="宋体"/>
          <w:sz w:val="24"/>
          <w:lang w:val="zh-TW" w:eastAsia="zh-TW"/>
        </w:rPr>
        <w:t>▲</w:t>
      </w:r>
      <w:r>
        <w:rPr>
          <w:rFonts w:hint="eastAsia" w:ascii="宋体" w:hAnsi="宋体"/>
          <w:b/>
          <w:sz w:val="24"/>
        </w:rPr>
        <w:t>（一）投标文件的组成</w:t>
      </w:r>
    </w:p>
    <w:p w14:paraId="4DC2204E">
      <w:pPr>
        <w:spacing w:line="460" w:lineRule="exact"/>
        <w:ind w:firstLine="480" w:firstLineChars="200"/>
        <w:rPr>
          <w:rFonts w:hint="eastAsia" w:ascii="宋体" w:hAnsi="宋体"/>
          <w:sz w:val="24"/>
        </w:rPr>
      </w:pPr>
      <w:r>
        <w:rPr>
          <w:rFonts w:hint="eastAsia" w:ascii="宋体" w:hAnsi="宋体"/>
          <w:sz w:val="24"/>
        </w:rPr>
        <w:t>投标文件由资格审查文件、资信及商务文件、技术文件、投标报价文件四部份组成。</w:t>
      </w:r>
    </w:p>
    <w:p w14:paraId="1E031155">
      <w:pPr>
        <w:spacing w:line="360" w:lineRule="auto"/>
        <w:rPr>
          <w:rFonts w:hint="eastAsia" w:ascii="宋体" w:hAnsi="宋体"/>
          <w:b/>
          <w:sz w:val="24"/>
        </w:rPr>
      </w:pPr>
      <w:r>
        <w:rPr>
          <w:rFonts w:hint="eastAsia" w:ascii="宋体" w:hAnsi="宋体"/>
          <w:b/>
          <w:sz w:val="24"/>
        </w:rPr>
        <w:t>1.资格审查文件：</w:t>
      </w:r>
    </w:p>
    <w:p w14:paraId="39A1BADD">
      <w:pPr>
        <w:spacing w:line="450" w:lineRule="exact"/>
        <w:rPr>
          <w:rFonts w:hint="eastAsia" w:ascii="宋体" w:hAnsi="宋体" w:cs="宋体"/>
          <w:sz w:val="24"/>
        </w:rPr>
      </w:pPr>
      <w:r>
        <w:rPr>
          <w:rFonts w:hint="eastAsia" w:ascii="宋体" w:hAnsi="宋体" w:cs="宋体"/>
          <w:sz w:val="24"/>
        </w:rPr>
        <w:t>（1）具有独立承担民事责任的能力：投标人须在</w:t>
      </w:r>
      <w:r>
        <w:rPr>
          <w:rFonts w:ascii="宋体" w:hAnsi="宋体" w:cs="宋体"/>
          <w:sz w:val="24"/>
        </w:rPr>
        <w:t>投标</w:t>
      </w:r>
      <w:r>
        <w:rPr>
          <w:rFonts w:hint="eastAsia" w:ascii="宋体" w:hAnsi="宋体" w:cs="宋体"/>
          <w:sz w:val="24"/>
        </w:rPr>
        <w:t>文件中出具符合以下情况的证明材料复印件（五选一）：</w:t>
      </w:r>
    </w:p>
    <w:p w14:paraId="20745233">
      <w:pPr>
        <w:spacing w:line="450" w:lineRule="exact"/>
        <w:ind w:firstLine="360" w:firstLineChars="150"/>
        <w:rPr>
          <w:rFonts w:hint="eastAsia" w:ascii="宋体" w:hAnsi="宋体" w:cs="宋体"/>
          <w:sz w:val="24"/>
        </w:rPr>
      </w:pPr>
      <w:r>
        <w:rPr>
          <w:rFonts w:hint="eastAsia" w:ascii="宋体" w:hAnsi="宋体" w:cs="宋体"/>
          <w:sz w:val="24"/>
        </w:rPr>
        <w:t>①如投标人是企业（包括合伙企业），提供在工商部门注册的有效“企业法人营业执照”或“营业执照”；</w:t>
      </w:r>
    </w:p>
    <w:p w14:paraId="7A6E2BCB">
      <w:pPr>
        <w:spacing w:line="450" w:lineRule="exact"/>
        <w:ind w:firstLine="360" w:firstLineChars="150"/>
        <w:rPr>
          <w:rFonts w:hint="eastAsia" w:ascii="宋体" w:hAnsi="宋体" w:cs="宋体"/>
          <w:sz w:val="24"/>
        </w:rPr>
      </w:pPr>
      <w:r>
        <w:rPr>
          <w:rFonts w:hint="eastAsia" w:ascii="宋体" w:hAnsi="宋体" w:cs="宋体"/>
          <w:sz w:val="24"/>
        </w:rPr>
        <w:t>②如投标人是事业单位，提供有效的“事业单位法人证书”；</w:t>
      </w:r>
    </w:p>
    <w:p w14:paraId="44FF2B61">
      <w:pPr>
        <w:spacing w:line="450" w:lineRule="exact"/>
        <w:ind w:firstLine="360" w:firstLineChars="150"/>
        <w:rPr>
          <w:rFonts w:hint="eastAsia" w:ascii="宋体" w:hAnsi="宋体" w:cs="宋体"/>
          <w:sz w:val="24"/>
        </w:rPr>
      </w:pPr>
      <w:r>
        <w:rPr>
          <w:rFonts w:hint="eastAsia" w:ascii="宋体" w:hAnsi="宋体" w:cs="宋体"/>
          <w:sz w:val="24"/>
        </w:rPr>
        <w:t>③如投标人是非企业专业服务机构的，提供执业许可证等证明文件；</w:t>
      </w:r>
    </w:p>
    <w:p w14:paraId="42933728">
      <w:pPr>
        <w:spacing w:line="450" w:lineRule="exact"/>
        <w:ind w:firstLine="360" w:firstLineChars="150"/>
        <w:rPr>
          <w:rFonts w:hint="eastAsia" w:ascii="宋体" w:hAnsi="宋体" w:cs="宋体"/>
          <w:sz w:val="24"/>
        </w:rPr>
      </w:pPr>
      <w:r>
        <w:rPr>
          <w:rFonts w:hint="eastAsia" w:ascii="宋体" w:hAnsi="宋体" w:cs="宋体"/>
          <w:sz w:val="24"/>
        </w:rPr>
        <w:t>④如投标人是个体工商户，提供有效的“个体工商户营业执照”；</w:t>
      </w:r>
    </w:p>
    <w:p w14:paraId="4DA15A19">
      <w:pPr>
        <w:spacing w:line="450" w:lineRule="exact"/>
        <w:ind w:firstLine="360" w:firstLineChars="150"/>
        <w:rPr>
          <w:rFonts w:hint="eastAsia" w:ascii="宋体" w:hAnsi="宋体" w:cs="宋体"/>
          <w:sz w:val="24"/>
        </w:rPr>
      </w:pPr>
      <w:r>
        <w:rPr>
          <w:rFonts w:hint="eastAsia" w:ascii="宋体" w:hAnsi="宋体" w:cs="宋体"/>
          <w:sz w:val="24"/>
        </w:rPr>
        <w:t>⑤如投标人是自然人，提供有效的自然人身份证明（居民身份证正反面或公安机关出具的临时居民身份证正反面或港澳台胞证或护照）。</w:t>
      </w:r>
    </w:p>
    <w:p w14:paraId="45AF6CD1">
      <w:pPr>
        <w:spacing w:line="450" w:lineRule="exact"/>
        <w:rPr>
          <w:rFonts w:hint="eastAsia" w:ascii="宋体" w:hAnsi="宋体" w:eastAsia="宋体" w:cs="宋体"/>
          <w:sz w:val="24"/>
        </w:rPr>
      </w:pPr>
      <w:r>
        <w:rPr>
          <w:rFonts w:hint="eastAsia" w:ascii="宋体" w:hAnsi="宋体" w:eastAsia="宋体" w:cs="宋体"/>
          <w:sz w:val="24"/>
        </w:rPr>
        <w:t xml:space="preserve">（2）法定代表人身份证复印件或法定代表人授权委托书(格式见附件)； </w:t>
      </w:r>
    </w:p>
    <w:p w14:paraId="35050A22">
      <w:pPr>
        <w:spacing w:line="450" w:lineRule="exac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）信用记录网络查询页面截图（信用中国与中国政府采购网）；</w:t>
      </w:r>
    </w:p>
    <w:p w14:paraId="7544AC95">
      <w:pPr>
        <w:spacing w:line="450" w:lineRule="exac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）符合参加采购活动应当具备的一般条件的承诺函(格式见附件)；</w:t>
      </w:r>
    </w:p>
    <w:p w14:paraId="67A4F413">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5</w:t>
      </w:r>
      <w:r>
        <w:rPr>
          <w:rFonts w:hint="eastAsia" w:ascii="宋体" w:hAnsi="宋体"/>
          <w:spacing w:val="-6"/>
          <w:sz w:val="24"/>
          <w:highlight w:val="none"/>
        </w:rPr>
        <w:t>）代理机构社会评价表；（加盖投标单位公章的原件装订在正本）</w:t>
      </w:r>
    </w:p>
    <w:p w14:paraId="7F34F1B3">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6</w:t>
      </w:r>
      <w:r>
        <w:rPr>
          <w:rFonts w:hint="eastAsia" w:ascii="宋体" w:hAnsi="宋体"/>
          <w:spacing w:val="-6"/>
          <w:sz w:val="24"/>
          <w:highlight w:val="none"/>
        </w:rPr>
        <w:t>）投标声明书 (格式见附件) ；</w:t>
      </w:r>
    </w:p>
    <w:p w14:paraId="01B90DAA">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7</w:t>
      </w:r>
      <w:r>
        <w:rPr>
          <w:rFonts w:hint="eastAsia" w:ascii="宋体" w:hAnsi="宋体"/>
          <w:spacing w:val="-6"/>
          <w:sz w:val="24"/>
          <w:highlight w:val="none"/>
        </w:rPr>
        <w:t>）投标人企业情况介绍；</w:t>
      </w:r>
    </w:p>
    <w:p w14:paraId="27DEAB18">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8</w:t>
      </w:r>
      <w:r>
        <w:rPr>
          <w:rFonts w:hint="eastAsia" w:ascii="宋体" w:hAnsi="宋体"/>
          <w:spacing w:val="-6"/>
          <w:sz w:val="24"/>
          <w:highlight w:val="none"/>
        </w:rPr>
        <w:t>）投标人认为有必要提供的其它文件。</w:t>
      </w:r>
    </w:p>
    <w:p w14:paraId="7CFB99DD">
      <w:pPr>
        <w:spacing w:line="360" w:lineRule="auto"/>
        <w:rPr>
          <w:rFonts w:hint="eastAsia" w:ascii="宋体" w:hAnsi="宋体"/>
          <w:b/>
          <w:bCs/>
          <w:spacing w:val="-6"/>
          <w:sz w:val="24"/>
        </w:rPr>
      </w:pPr>
      <w:r>
        <w:rPr>
          <w:rFonts w:hint="eastAsia" w:ascii="宋体" w:hAnsi="宋体"/>
          <w:b/>
          <w:bCs/>
          <w:spacing w:val="-6"/>
          <w:sz w:val="24"/>
          <w:lang w:val="en-US" w:eastAsia="zh-CN"/>
        </w:rPr>
        <w:t>2</w:t>
      </w:r>
      <w:r>
        <w:rPr>
          <w:rFonts w:hint="eastAsia" w:ascii="宋体" w:hAnsi="宋体"/>
          <w:b/>
          <w:bCs/>
          <w:spacing w:val="-6"/>
          <w:sz w:val="24"/>
        </w:rPr>
        <w:t>.技术文件</w:t>
      </w:r>
    </w:p>
    <w:p w14:paraId="2F0A3A2A">
      <w:pPr>
        <w:spacing w:line="450" w:lineRule="exact"/>
        <w:rPr>
          <w:rFonts w:hint="eastAsia" w:ascii="宋体" w:hAnsi="宋体" w:eastAsia="宋体" w:cs="宋体"/>
          <w:sz w:val="24"/>
          <w:highlight w:val="none"/>
        </w:rPr>
      </w:pPr>
      <w:r>
        <w:rPr>
          <w:rFonts w:hint="eastAsia" w:ascii="宋体" w:hAnsi="宋体" w:cs="宋体"/>
          <w:sz w:val="24"/>
          <w:highlight w:val="none"/>
        </w:rPr>
        <w:t>（</w:t>
      </w:r>
      <w:r>
        <w:rPr>
          <w:rFonts w:hint="eastAsia" w:ascii="宋体" w:hAnsi="宋体" w:eastAsia="宋体" w:cs="宋体"/>
          <w:sz w:val="24"/>
          <w:highlight w:val="none"/>
        </w:rPr>
        <w:t>1）技术响应表（格式见附件）；</w:t>
      </w:r>
    </w:p>
    <w:p w14:paraId="31046015">
      <w:pPr>
        <w:spacing w:line="450" w:lineRule="exact"/>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（2）产品配置清单（格式见附件）；</w:t>
      </w:r>
    </w:p>
    <w:p w14:paraId="2FB70A78">
      <w:pPr>
        <w:spacing w:line="450" w:lineRule="exact"/>
        <w:rPr>
          <w:rFonts w:hint="default"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3</w:t>
      </w:r>
      <w:r>
        <w:rPr>
          <w:rFonts w:hint="eastAsia" w:ascii="宋体" w:hAnsi="宋体" w:cs="宋体"/>
          <w:sz w:val="24"/>
          <w:highlight w:val="none"/>
          <w:lang w:val="en-US" w:eastAsia="zh-CN"/>
        </w:rPr>
        <w:t>）</w:t>
      </w:r>
      <w:r>
        <w:rPr>
          <w:rFonts w:hint="eastAsia" w:ascii="宋体" w:hAnsi="宋体" w:cs="宋体"/>
          <w:color w:val="auto"/>
          <w:sz w:val="24"/>
          <w:highlight w:val="none"/>
          <w:lang w:val="en-US" w:eastAsia="zh-CN"/>
        </w:rPr>
        <w:t>技术响应情况</w:t>
      </w:r>
      <w:r>
        <w:rPr>
          <w:rFonts w:hint="eastAsia" w:ascii="宋体" w:hAnsi="宋体" w:eastAsia="宋体" w:cs="宋体"/>
          <w:sz w:val="24"/>
          <w:highlight w:val="none"/>
          <w:lang w:val="en-US" w:eastAsia="zh-CN"/>
        </w:rPr>
        <w:t>；</w:t>
      </w:r>
    </w:p>
    <w:p w14:paraId="5CF836C3">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w:t>
      </w:r>
      <w:r>
        <w:rPr>
          <w:rFonts w:hint="eastAsia" w:ascii="宋体" w:hAnsi="宋体" w:cs="宋体"/>
          <w:sz w:val="24"/>
          <w:highlight w:val="none"/>
          <w:lang w:val="en-US" w:eastAsia="zh-CN"/>
        </w:rPr>
        <w:t>生产能力</w:t>
      </w:r>
      <w:r>
        <w:rPr>
          <w:rFonts w:hint="eastAsia" w:ascii="宋体" w:hAnsi="宋体" w:eastAsia="宋体" w:cs="宋体"/>
          <w:sz w:val="24"/>
          <w:highlight w:val="none"/>
        </w:rPr>
        <w:t>；</w:t>
      </w:r>
    </w:p>
    <w:p w14:paraId="346BF182">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供货计划及运输方案</w:t>
      </w:r>
      <w:r>
        <w:rPr>
          <w:rFonts w:hint="eastAsia" w:ascii="宋体" w:hAnsi="宋体" w:eastAsia="宋体" w:cs="宋体"/>
          <w:sz w:val="24"/>
          <w:highlight w:val="none"/>
        </w:rPr>
        <w:t>；</w:t>
      </w:r>
    </w:p>
    <w:p w14:paraId="5D9C3487">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w:t>
      </w:r>
      <w:r>
        <w:rPr>
          <w:rFonts w:hint="eastAsia" w:ascii="Times New Roman" w:hAnsi="宋体" w:eastAsia="宋体" w:cs="宋体"/>
          <w:color w:val="auto"/>
          <w:sz w:val="24"/>
          <w:highlight w:val="none"/>
        </w:rPr>
        <w:t>实施团队</w:t>
      </w:r>
      <w:r>
        <w:rPr>
          <w:rFonts w:hint="eastAsia" w:ascii="宋体" w:hAnsi="宋体" w:eastAsia="宋体" w:cs="宋体"/>
          <w:sz w:val="24"/>
          <w:highlight w:val="none"/>
        </w:rPr>
        <w:t>；</w:t>
      </w:r>
    </w:p>
    <w:p w14:paraId="363C540D">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7）应急方案</w:t>
      </w:r>
      <w:r>
        <w:rPr>
          <w:rFonts w:hint="eastAsia" w:ascii="宋体" w:hAnsi="宋体" w:eastAsia="宋体" w:cs="宋体"/>
          <w:sz w:val="24"/>
          <w:highlight w:val="none"/>
        </w:rPr>
        <w:t>；</w:t>
      </w:r>
    </w:p>
    <w:p w14:paraId="2358226B">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（8）质量保证措施；</w:t>
      </w:r>
    </w:p>
    <w:p w14:paraId="1E39C7A5">
      <w:pPr>
        <w:spacing w:line="450" w:lineRule="exact"/>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（9）合理化建议；</w:t>
      </w:r>
    </w:p>
    <w:p w14:paraId="32ABDB8B">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（10）</w:t>
      </w:r>
      <w:r>
        <w:rPr>
          <w:rFonts w:hint="eastAsia" w:ascii="宋体" w:hAnsi="宋体" w:eastAsia="宋体" w:cs="宋体"/>
          <w:sz w:val="24"/>
          <w:highlight w:val="none"/>
        </w:rPr>
        <w:t>安全生产承诺函（格式</w:t>
      </w:r>
      <w:r>
        <w:rPr>
          <w:rFonts w:hint="eastAsia" w:ascii="宋体" w:hAnsi="宋体"/>
          <w:color w:val="auto"/>
          <w:sz w:val="24"/>
          <w:highlight w:val="none"/>
        </w:rPr>
        <w:t xml:space="preserve">见附件）； </w:t>
      </w:r>
    </w:p>
    <w:p w14:paraId="4DDB84D7">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（11）投标人认为有必要提供的其它文件。</w:t>
      </w:r>
    </w:p>
    <w:p w14:paraId="3B00C924">
      <w:pPr>
        <w:spacing w:line="360" w:lineRule="auto"/>
        <w:rPr>
          <w:rFonts w:hint="eastAsia" w:ascii="宋体" w:hAnsi="宋体"/>
          <w:b/>
          <w:sz w:val="24"/>
          <w:highlight w:val="none"/>
        </w:rPr>
      </w:pPr>
      <w:r>
        <w:rPr>
          <w:rFonts w:hint="eastAsia" w:ascii="宋体" w:hAnsi="宋体"/>
          <w:b/>
          <w:sz w:val="24"/>
          <w:highlight w:val="none"/>
          <w:lang w:val="en-US" w:eastAsia="zh-CN"/>
        </w:rPr>
        <w:t>3</w:t>
      </w:r>
      <w:r>
        <w:rPr>
          <w:rFonts w:hint="eastAsia" w:ascii="宋体" w:hAnsi="宋体"/>
          <w:b/>
          <w:sz w:val="24"/>
          <w:highlight w:val="none"/>
        </w:rPr>
        <w:t>.资信及商务文件</w:t>
      </w:r>
    </w:p>
    <w:p w14:paraId="157BED7E">
      <w:pPr>
        <w:spacing w:line="450" w:lineRule="exact"/>
        <w:rPr>
          <w:rFonts w:hint="eastAsia" w:ascii="宋体" w:hAnsi="宋体" w:eastAsia="宋体" w:cs="宋体"/>
          <w:sz w:val="24"/>
          <w:highlight w:val="none"/>
        </w:rPr>
      </w:pPr>
      <w:r>
        <w:rPr>
          <w:rFonts w:hint="eastAsia" w:ascii="宋体" w:hAnsi="宋体" w:eastAsia="宋体" w:cs="宋体"/>
          <w:sz w:val="24"/>
          <w:highlight w:val="none"/>
        </w:rPr>
        <w:t>（1）投标人资信商务、技术自评得分表（格式见附件）；</w:t>
      </w:r>
    </w:p>
    <w:p w14:paraId="606F4F36">
      <w:pPr>
        <w:spacing w:line="450" w:lineRule="exact"/>
        <w:rPr>
          <w:rFonts w:hint="eastAsia" w:ascii="宋体" w:hAnsi="宋体" w:eastAsia="宋体" w:cs="宋体"/>
          <w:sz w:val="24"/>
          <w:highlight w:val="none"/>
        </w:rPr>
      </w:pPr>
      <w:r>
        <w:rPr>
          <w:rFonts w:hint="eastAsia" w:ascii="宋体" w:hAnsi="宋体" w:eastAsia="宋体" w:cs="宋体"/>
          <w:sz w:val="24"/>
          <w:highlight w:val="none"/>
        </w:rPr>
        <w:t>（2）商务响应表（格式见附件）；</w:t>
      </w:r>
    </w:p>
    <w:p w14:paraId="18C202D8">
      <w:pPr>
        <w:spacing w:line="450" w:lineRule="exact"/>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认证证书</w:t>
      </w:r>
      <w:r>
        <w:rPr>
          <w:rFonts w:hint="eastAsia" w:ascii="宋体" w:hAnsi="宋体" w:eastAsia="宋体" w:cs="宋体"/>
          <w:sz w:val="24"/>
          <w:highlight w:val="none"/>
          <w:lang w:eastAsia="zh-CN"/>
        </w:rPr>
        <w:t>；</w:t>
      </w:r>
    </w:p>
    <w:p w14:paraId="6C94D754">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w:t>
      </w:r>
      <w:r>
        <w:rPr>
          <w:rFonts w:hint="eastAsia" w:ascii="宋体" w:hAnsi="宋体" w:eastAsia="宋体" w:cs="宋体"/>
          <w:sz w:val="24"/>
          <w:highlight w:val="none"/>
        </w:rPr>
        <w:t>售后服务方案</w:t>
      </w:r>
      <w:r>
        <w:rPr>
          <w:rFonts w:hint="eastAsia" w:ascii="宋体" w:hAnsi="宋体" w:eastAsia="宋体" w:cs="宋体"/>
          <w:sz w:val="24"/>
          <w:highlight w:val="none"/>
          <w:lang w:eastAsia="zh-CN"/>
        </w:rPr>
        <w:t>；</w:t>
      </w:r>
    </w:p>
    <w:p w14:paraId="370DBDD6">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）同类项目业绩（格式见附件）；</w:t>
      </w:r>
    </w:p>
    <w:p w14:paraId="0B82F969">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）优惠</w:t>
      </w:r>
      <w:r>
        <w:rPr>
          <w:rFonts w:hint="eastAsia" w:ascii="宋体" w:hAnsi="宋体" w:eastAsia="宋体" w:cs="宋体"/>
          <w:sz w:val="24"/>
          <w:highlight w:val="none"/>
          <w:lang w:val="en-US" w:eastAsia="zh-CN"/>
        </w:rPr>
        <w:t>承诺</w:t>
      </w:r>
      <w:r>
        <w:rPr>
          <w:rFonts w:hint="eastAsia" w:ascii="宋体" w:hAnsi="宋体" w:eastAsia="宋体" w:cs="宋体"/>
          <w:sz w:val="24"/>
          <w:highlight w:val="none"/>
        </w:rPr>
        <w:t>；</w:t>
      </w:r>
    </w:p>
    <w:p w14:paraId="74A418C1">
      <w:pPr>
        <w:spacing w:line="450" w:lineRule="exac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w:t>
      </w:r>
      <w:r>
        <w:rPr>
          <w:rFonts w:hint="eastAsia" w:ascii="宋体" w:hAnsi="宋体" w:eastAsia="宋体" w:cs="宋体"/>
          <w:sz w:val="24"/>
          <w:highlight w:val="none"/>
        </w:rPr>
        <w:t>环保、节能产品</w:t>
      </w:r>
      <w:r>
        <w:rPr>
          <w:rFonts w:hint="eastAsia" w:ascii="宋体" w:hAnsi="宋体" w:eastAsia="宋体" w:cs="宋体"/>
          <w:sz w:val="24"/>
          <w:highlight w:val="none"/>
          <w:lang w:eastAsia="zh-CN"/>
        </w:rPr>
        <w:t>；</w:t>
      </w:r>
    </w:p>
    <w:p w14:paraId="69C3CD2B">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cs="宋体"/>
          <w:sz w:val="24"/>
          <w:highlight w:val="none"/>
          <w:lang w:val="en-US" w:eastAsia="zh-CN"/>
        </w:rPr>
        <w:t>8</w:t>
      </w:r>
      <w:r>
        <w:rPr>
          <w:rFonts w:hint="eastAsia" w:ascii="宋体" w:hAnsi="宋体" w:eastAsia="宋体" w:cs="宋体"/>
          <w:sz w:val="24"/>
          <w:highlight w:val="none"/>
        </w:rPr>
        <w:t>）服务费承诺书（格式见附件）；</w:t>
      </w:r>
    </w:p>
    <w:p w14:paraId="03D52D89">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cs="宋体"/>
          <w:sz w:val="24"/>
          <w:highlight w:val="none"/>
          <w:lang w:val="en-US" w:eastAsia="zh-CN"/>
        </w:rPr>
        <w:t>9</w:t>
      </w:r>
      <w:r>
        <w:rPr>
          <w:rFonts w:hint="eastAsia" w:ascii="宋体" w:hAnsi="宋体" w:eastAsia="宋体" w:cs="宋体"/>
          <w:sz w:val="24"/>
          <w:highlight w:val="none"/>
        </w:rPr>
        <w:t>）投标人需要说明的其他文件和说明。</w:t>
      </w:r>
    </w:p>
    <w:p w14:paraId="7732A14C">
      <w:pPr>
        <w:spacing w:line="360" w:lineRule="auto"/>
        <w:rPr>
          <w:rFonts w:hint="eastAsia" w:ascii="宋体" w:hAnsi="宋体"/>
          <w:b/>
          <w:sz w:val="24"/>
        </w:rPr>
      </w:pPr>
      <w:r>
        <w:rPr>
          <w:rFonts w:hint="eastAsia" w:ascii="宋体" w:hAnsi="宋体"/>
          <w:b/>
          <w:sz w:val="24"/>
          <w:lang w:val="en-US" w:eastAsia="zh-CN"/>
        </w:rPr>
        <w:t>4</w:t>
      </w:r>
      <w:r>
        <w:rPr>
          <w:rFonts w:hint="eastAsia" w:ascii="宋体" w:hAnsi="宋体"/>
          <w:b/>
          <w:sz w:val="24"/>
        </w:rPr>
        <w:t>.报价文件</w:t>
      </w:r>
    </w:p>
    <w:p w14:paraId="5E12C901">
      <w:pPr>
        <w:snapToGrid w:val="0"/>
        <w:spacing w:line="360" w:lineRule="auto"/>
        <w:jc w:val="left"/>
        <w:rPr>
          <w:rFonts w:hint="eastAsia" w:ascii="宋体" w:hAnsi="宋体"/>
          <w:sz w:val="24"/>
        </w:rPr>
      </w:pPr>
      <w:r>
        <w:rPr>
          <w:rFonts w:hint="eastAsia" w:ascii="宋体" w:hAnsi="宋体"/>
          <w:sz w:val="24"/>
        </w:rPr>
        <w:t xml:space="preserve">（1）投标函（格式见附件）； </w:t>
      </w:r>
    </w:p>
    <w:p w14:paraId="08E1FFB4">
      <w:pPr>
        <w:snapToGrid w:val="0"/>
        <w:spacing w:line="360" w:lineRule="auto"/>
        <w:jc w:val="left"/>
        <w:rPr>
          <w:rFonts w:hint="eastAsia" w:ascii="宋体" w:hAnsi="宋体"/>
          <w:sz w:val="24"/>
        </w:rPr>
      </w:pPr>
      <w:r>
        <w:rPr>
          <w:rFonts w:hint="eastAsia" w:ascii="宋体" w:hAnsi="宋体"/>
          <w:sz w:val="24"/>
        </w:rPr>
        <w:t xml:space="preserve">（2）中小企业声明函（格式见附件）； </w:t>
      </w:r>
    </w:p>
    <w:p w14:paraId="20446B9F">
      <w:pPr>
        <w:snapToGrid w:val="0"/>
        <w:spacing w:line="360" w:lineRule="auto"/>
        <w:jc w:val="left"/>
        <w:rPr>
          <w:rFonts w:hint="eastAsia" w:ascii="宋体" w:hAnsi="宋体"/>
          <w:sz w:val="24"/>
        </w:rPr>
      </w:pPr>
      <w:r>
        <w:rPr>
          <w:rFonts w:hint="eastAsia" w:ascii="宋体" w:hAnsi="宋体"/>
          <w:sz w:val="24"/>
        </w:rPr>
        <w:t xml:space="preserve">（3）残疾人福利性单位声明函（格式见附件）； </w:t>
      </w:r>
    </w:p>
    <w:p w14:paraId="6186D97D">
      <w:pPr>
        <w:snapToGrid w:val="0"/>
        <w:spacing w:line="360" w:lineRule="auto"/>
        <w:jc w:val="left"/>
        <w:rPr>
          <w:rFonts w:hint="eastAsia" w:ascii="宋体" w:hAnsi="宋体"/>
          <w:sz w:val="24"/>
        </w:rPr>
      </w:pPr>
      <w:r>
        <w:rPr>
          <w:rFonts w:hint="eastAsia" w:ascii="宋体" w:hAnsi="宋体"/>
          <w:sz w:val="24"/>
        </w:rPr>
        <w:t>（4）监狱企业声明函；</w:t>
      </w:r>
    </w:p>
    <w:p w14:paraId="2821FA44">
      <w:pPr>
        <w:snapToGrid w:val="0"/>
        <w:spacing w:line="360" w:lineRule="auto"/>
        <w:jc w:val="left"/>
        <w:rPr>
          <w:rFonts w:hint="eastAsia" w:ascii="宋体" w:hAnsi="宋体"/>
          <w:sz w:val="24"/>
        </w:rPr>
      </w:pPr>
      <w:r>
        <w:rPr>
          <w:rFonts w:hint="eastAsia" w:ascii="宋体" w:hAnsi="宋体"/>
          <w:sz w:val="24"/>
        </w:rPr>
        <w:t xml:space="preserve">（5）开标一览表（格式见附件）； </w:t>
      </w:r>
    </w:p>
    <w:p w14:paraId="4AC9FC05">
      <w:pPr>
        <w:snapToGrid w:val="0"/>
        <w:spacing w:line="360" w:lineRule="auto"/>
        <w:jc w:val="left"/>
        <w:rPr>
          <w:rFonts w:hint="eastAsia" w:ascii="宋体" w:hAnsi="宋体"/>
          <w:sz w:val="24"/>
        </w:rPr>
      </w:pPr>
      <w:r>
        <w:rPr>
          <w:rFonts w:hint="eastAsia" w:ascii="宋体" w:hAnsi="宋体"/>
          <w:sz w:val="24"/>
        </w:rPr>
        <w:t>（6）投标人针对报价需要说明的其他文件和说明（格式自拟）。</w:t>
      </w:r>
    </w:p>
    <w:p w14:paraId="424D1D0D">
      <w:pPr>
        <w:spacing w:line="460" w:lineRule="exact"/>
        <w:rPr>
          <w:rFonts w:hint="eastAsia" w:ascii="宋体" w:hAnsi="宋体"/>
          <w:b/>
          <w:sz w:val="24"/>
        </w:rPr>
      </w:pPr>
      <w:r>
        <w:rPr>
          <w:rFonts w:hint="eastAsia" w:ascii="宋体" w:hAnsi="宋体" w:cs="宋体"/>
          <w:sz w:val="24"/>
          <w:lang w:val="zh-TW" w:eastAsia="zh-TW"/>
        </w:rPr>
        <w:t>▲</w:t>
      </w:r>
      <w:r>
        <w:rPr>
          <w:rFonts w:hint="eastAsia" w:ascii="宋体" w:hAnsi="宋体"/>
          <w:b/>
          <w:sz w:val="24"/>
        </w:rPr>
        <w:t>（二）投标文件的语言及计量</w:t>
      </w:r>
    </w:p>
    <w:p w14:paraId="0572E1D2">
      <w:pPr>
        <w:spacing w:line="460" w:lineRule="exact"/>
        <w:ind w:firstLine="480" w:firstLineChars="200"/>
        <w:rPr>
          <w:rFonts w:hint="eastAsia" w:ascii="宋体" w:hAnsi="宋体"/>
          <w:sz w:val="24"/>
        </w:rPr>
      </w:pPr>
      <w:r>
        <w:rPr>
          <w:rFonts w:hint="eastAsia" w:ascii="宋体" w:hAnsi="宋体"/>
          <w:sz w:val="24"/>
        </w:rPr>
        <w:t>1．投标文件以及投标方与招标方就有关投标事宜的所有来往函电，均应以中文汉语书写。除签名、盖章、专用名称等特殊情形外，以中文汉语以外的文字表述的投标文件视同未提供。</w:t>
      </w:r>
    </w:p>
    <w:p w14:paraId="611517CF">
      <w:pPr>
        <w:spacing w:line="460" w:lineRule="exact"/>
        <w:ind w:firstLine="480" w:firstLineChars="200"/>
        <w:rPr>
          <w:rFonts w:hint="eastAsia" w:ascii="宋体" w:hAnsi="宋体"/>
          <w:b/>
          <w:bCs/>
          <w:sz w:val="24"/>
        </w:rPr>
      </w:pPr>
      <w:r>
        <w:rPr>
          <w:rFonts w:hint="eastAsia" w:ascii="宋体" w:hAnsi="宋体"/>
          <w:sz w:val="24"/>
        </w:rPr>
        <w:t>2．投标计量单位，应采用中华人民共和国法定计量单位（货币单位：人民币元），否则视同未响应。</w:t>
      </w:r>
    </w:p>
    <w:p w14:paraId="3A14DBB4">
      <w:pPr>
        <w:spacing w:line="460" w:lineRule="exact"/>
        <w:rPr>
          <w:rFonts w:hint="eastAsia" w:ascii="宋体" w:hAnsi="宋体"/>
          <w:b/>
          <w:bCs/>
          <w:sz w:val="24"/>
        </w:rPr>
      </w:pPr>
      <w:r>
        <w:rPr>
          <w:rFonts w:hint="eastAsia" w:ascii="宋体" w:hAnsi="宋体" w:cs="宋体"/>
          <w:sz w:val="24"/>
          <w:lang w:val="zh-TW" w:eastAsia="zh-TW"/>
        </w:rPr>
        <w:t>▲</w:t>
      </w:r>
      <w:r>
        <w:rPr>
          <w:rFonts w:hint="eastAsia" w:ascii="宋体" w:hAnsi="宋体"/>
          <w:b/>
          <w:bCs/>
          <w:sz w:val="24"/>
        </w:rPr>
        <w:t>（三）投标报价</w:t>
      </w:r>
    </w:p>
    <w:p w14:paraId="71A45996">
      <w:pPr>
        <w:spacing w:line="460" w:lineRule="exact"/>
        <w:ind w:firstLine="480" w:firstLineChars="200"/>
        <w:rPr>
          <w:rFonts w:hint="eastAsia" w:ascii="宋体" w:hAnsi="宋体"/>
          <w:sz w:val="24"/>
        </w:rPr>
      </w:pPr>
      <w:r>
        <w:rPr>
          <w:rFonts w:hint="eastAsia" w:ascii="宋体" w:hAnsi="宋体"/>
          <w:sz w:val="24"/>
        </w:rPr>
        <w:t>1.投标报价应按招标文件中相关附表格式填写。</w:t>
      </w:r>
    </w:p>
    <w:p w14:paraId="73B116A8">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sz w:val="24"/>
        </w:rPr>
        <w:t>2.</w:t>
      </w:r>
      <w:r>
        <w:rPr>
          <w:rFonts w:hint="eastAsia" w:ascii="宋体" w:hAnsi="宋体" w:cs="宋体"/>
          <w:sz w:val="24"/>
        </w:rPr>
        <w:t>投标</w:t>
      </w:r>
      <w:r>
        <w:rPr>
          <w:rFonts w:hint="eastAsia" w:ascii="宋体" w:hAnsi="宋体" w:cs="宋体"/>
          <w:sz w:val="24"/>
          <w:lang w:val="en-US" w:eastAsia="zh-CN"/>
        </w:rPr>
        <w:t>报价</w:t>
      </w:r>
      <w:r>
        <w:rPr>
          <w:rFonts w:hint="eastAsia" w:ascii="宋体" w:hAnsi="宋体" w:cs="宋体"/>
          <w:sz w:val="24"/>
        </w:rPr>
        <w:t>是履行合同的最终价格，投标</w:t>
      </w:r>
      <w:r>
        <w:rPr>
          <w:rFonts w:hint="eastAsia" w:ascii="宋体" w:hAnsi="宋体" w:cs="宋体"/>
          <w:sz w:val="24"/>
          <w:lang w:val="en-US" w:eastAsia="zh-CN"/>
        </w:rPr>
        <w:t>报价</w:t>
      </w:r>
      <w:r>
        <w:rPr>
          <w:rFonts w:hint="eastAsia" w:ascii="宋体" w:hAnsi="宋体" w:eastAsia="宋体" w:cs="宋体"/>
          <w:color w:val="auto"/>
          <w:sz w:val="24"/>
          <w:highlight w:val="none"/>
        </w:rPr>
        <w:t>包括货款、标准附件、包装、运输、装卸、到货验收、保管、安装、调试、检验、验收、交付使用、保修期内的售后服务等有关本项目的一切费用及税金。投标人所投报的投标报价为投标人所能承受的整个项目的一次性最终最低报价，如有漏项，视同已包含在</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rPr>
        <w:t>项目中，合同</w:t>
      </w:r>
      <w:r>
        <w:rPr>
          <w:rFonts w:hint="eastAsia" w:ascii="宋体" w:hAnsi="宋体" w:cs="宋体"/>
          <w:color w:val="auto"/>
          <w:sz w:val="24"/>
          <w:highlight w:val="none"/>
          <w:lang w:val="en-US" w:eastAsia="zh-CN"/>
        </w:rPr>
        <w:t>单价和</w:t>
      </w:r>
      <w:r>
        <w:rPr>
          <w:rFonts w:hint="eastAsia" w:ascii="宋体" w:hAnsi="宋体" w:eastAsia="宋体" w:cs="宋体"/>
          <w:color w:val="auto"/>
          <w:sz w:val="24"/>
          <w:highlight w:val="none"/>
        </w:rPr>
        <w:t>总价不作调整。</w:t>
      </w:r>
    </w:p>
    <w:p w14:paraId="45C93F8F">
      <w:pPr>
        <w:spacing w:line="460" w:lineRule="exact"/>
        <w:ind w:firstLine="480" w:firstLineChars="200"/>
        <w:rPr>
          <w:rFonts w:hint="eastAsia" w:ascii="宋体" w:hAnsi="宋体"/>
          <w:sz w:val="24"/>
        </w:rPr>
      </w:pPr>
      <w:r>
        <w:rPr>
          <w:rFonts w:hint="eastAsia" w:ascii="宋体" w:hAnsi="宋体"/>
          <w:sz w:val="24"/>
        </w:rPr>
        <w:t>3.投标文件只允许有一个报价，有选择的或有条件的报价将不予接受。</w:t>
      </w:r>
    </w:p>
    <w:p w14:paraId="01A62D0E">
      <w:pPr>
        <w:spacing w:line="460" w:lineRule="exact"/>
        <w:rPr>
          <w:rFonts w:hint="eastAsia" w:ascii="宋体" w:hAnsi="宋体"/>
          <w:b/>
          <w:bCs/>
          <w:sz w:val="24"/>
        </w:rPr>
      </w:pPr>
      <w:r>
        <w:rPr>
          <w:rFonts w:hint="eastAsia" w:ascii="宋体" w:hAnsi="宋体"/>
          <w:b/>
          <w:bCs/>
          <w:sz w:val="24"/>
        </w:rPr>
        <w:t>（四）投标文件的有效期</w:t>
      </w:r>
    </w:p>
    <w:p w14:paraId="3E0B1C2F">
      <w:pPr>
        <w:spacing w:line="460" w:lineRule="exact"/>
        <w:ind w:firstLine="480" w:firstLineChars="200"/>
        <w:rPr>
          <w:rFonts w:hint="eastAsia" w:ascii="宋体" w:hAnsi="宋体"/>
          <w:sz w:val="24"/>
        </w:rPr>
      </w:pPr>
      <w:bookmarkStart w:id="40" w:name="_Toc405368930"/>
      <w:bookmarkStart w:id="41" w:name="_Toc450548873"/>
      <w:r>
        <w:rPr>
          <w:rFonts w:hint="eastAsia" w:ascii="宋体" w:hAnsi="宋体" w:cs="宋体"/>
          <w:sz w:val="24"/>
          <w:lang w:val="zh-TW" w:eastAsia="zh-TW"/>
        </w:rPr>
        <w:t>▲</w:t>
      </w:r>
      <w:r>
        <w:rPr>
          <w:rFonts w:hint="eastAsia" w:ascii="宋体" w:hAnsi="宋体"/>
          <w:sz w:val="24"/>
        </w:rPr>
        <w:t>1.自投标截止日起</w:t>
      </w:r>
      <w:r>
        <w:rPr>
          <w:rFonts w:hint="eastAsia" w:ascii="宋体" w:hAnsi="宋体"/>
          <w:sz w:val="24"/>
          <w:u w:val="single"/>
        </w:rPr>
        <w:t>60</w:t>
      </w:r>
      <w:r>
        <w:rPr>
          <w:rFonts w:hint="eastAsia" w:ascii="宋体" w:hAnsi="宋体"/>
          <w:sz w:val="24"/>
        </w:rPr>
        <w:t>天投标文件应保持有效。有效期不足的投标文件将被拒绝。</w:t>
      </w:r>
    </w:p>
    <w:p w14:paraId="76F63CED">
      <w:pPr>
        <w:spacing w:line="460" w:lineRule="exact"/>
        <w:ind w:firstLine="480" w:firstLineChars="200"/>
        <w:rPr>
          <w:rFonts w:hint="eastAsia" w:ascii="宋体" w:hAnsi="宋体"/>
          <w:sz w:val="24"/>
        </w:rPr>
      </w:pPr>
      <w:r>
        <w:rPr>
          <w:rFonts w:hint="eastAsia" w:ascii="宋体" w:hAnsi="宋体"/>
          <w:sz w:val="24"/>
        </w:rPr>
        <w:t>2.在特殊情况下，</w:t>
      </w:r>
      <w:r>
        <w:rPr>
          <w:rFonts w:ascii="宋体" w:hAnsi="宋体"/>
          <w:sz w:val="24"/>
        </w:rPr>
        <w:t>采购人</w:t>
      </w:r>
      <w:r>
        <w:rPr>
          <w:rFonts w:hint="eastAsia" w:ascii="宋体" w:hAnsi="宋体"/>
          <w:sz w:val="24"/>
        </w:rPr>
        <w:t>可与投标人协商延长投标书的有效期，这种要求和答复均以书面形式进行。</w:t>
      </w:r>
    </w:p>
    <w:p w14:paraId="2FB67104">
      <w:pPr>
        <w:spacing w:line="460" w:lineRule="exact"/>
        <w:ind w:firstLine="480" w:firstLineChars="200"/>
        <w:rPr>
          <w:rFonts w:hint="eastAsia" w:ascii="宋体" w:hAnsi="宋体"/>
          <w:sz w:val="24"/>
        </w:rPr>
      </w:pPr>
      <w:r>
        <w:rPr>
          <w:rFonts w:hint="eastAsia" w:ascii="宋体" w:hAnsi="宋体"/>
          <w:sz w:val="24"/>
        </w:rPr>
        <w:t>3.</w:t>
      </w:r>
      <w:r>
        <w:rPr>
          <w:rFonts w:ascii="宋体" w:hAnsi="宋体"/>
          <w:sz w:val="24"/>
        </w:rPr>
        <w:t>中标人</w:t>
      </w:r>
      <w:r>
        <w:rPr>
          <w:rFonts w:hint="eastAsia" w:ascii="宋体" w:hAnsi="宋体"/>
          <w:sz w:val="24"/>
        </w:rPr>
        <w:t>的投标文件自开标之日起至合同履行完毕止均应保持有效。</w:t>
      </w:r>
    </w:p>
    <w:p w14:paraId="5110CEA3">
      <w:pPr>
        <w:spacing w:line="460" w:lineRule="exact"/>
        <w:rPr>
          <w:b/>
          <w:sz w:val="24"/>
        </w:rPr>
      </w:pPr>
      <w:r>
        <w:rPr>
          <w:rFonts w:hint="eastAsia"/>
          <w:b/>
          <w:sz w:val="24"/>
        </w:rPr>
        <w:t>（五）履约保证金</w:t>
      </w:r>
    </w:p>
    <w:p w14:paraId="433F19F8">
      <w:pPr>
        <w:spacing w:line="460" w:lineRule="exact"/>
        <w:rPr>
          <w:rFonts w:hint="eastAsia" w:eastAsia="等线"/>
          <w:sz w:val="24"/>
        </w:rPr>
      </w:pPr>
      <w:r>
        <w:rPr>
          <w:rFonts w:hint="eastAsia" w:ascii="宋体" w:hAnsi="宋体" w:cs="宋体"/>
          <w:sz w:val="24"/>
          <w:lang w:val="zh-TW" w:eastAsia="zh-TW"/>
        </w:rPr>
        <w:t>▲</w:t>
      </w:r>
      <w:r>
        <w:rPr>
          <w:rFonts w:hint="eastAsia"/>
          <w:sz w:val="24"/>
        </w:rPr>
        <w:t>1.履约保证金交纳形式：</w:t>
      </w:r>
      <w:r>
        <w:rPr>
          <w:rFonts w:hint="eastAsia"/>
          <w:sz w:val="24"/>
          <w:u w:val="single"/>
        </w:rPr>
        <w:t>汇票、电汇、转账、保函</w:t>
      </w:r>
    </w:p>
    <w:p w14:paraId="01944422">
      <w:pPr>
        <w:spacing w:line="360" w:lineRule="auto"/>
        <w:rPr>
          <w:rFonts w:hint="eastAsia" w:ascii="宋体" w:hAnsi="宋体"/>
          <w:sz w:val="24"/>
        </w:rPr>
      </w:pPr>
      <w:r>
        <w:rPr>
          <w:rFonts w:hint="eastAsia" w:ascii="宋体" w:hAnsi="宋体" w:cs="宋体"/>
          <w:sz w:val="24"/>
          <w:lang w:val="zh-TW" w:eastAsia="zh-TW"/>
        </w:rPr>
        <w:t>▲</w:t>
      </w:r>
      <w:r>
        <w:rPr>
          <w:rFonts w:hint="eastAsia"/>
          <w:sz w:val="24"/>
        </w:rPr>
        <w:t>2.</w:t>
      </w:r>
      <w:r>
        <w:rPr>
          <w:sz w:val="24"/>
        </w:rPr>
        <w:t>中标人</w:t>
      </w:r>
      <w:r>
        <w:rPr>
          <w:rFonts w:hint="eastAsia"/>
          <w:sz w:val="24"/>
        </w:rPr>
        <w:t>应在中标通知书发出后</w:t>
      </w:r>
      <w:r>
        <w:rPr>
          <w:rFonts w:hint="eastAsia"/>
          <w:sz w:val="24"/>
          <w:u w:val="single"/>
        </w:rPr>
        <w:t>30日</w:t>
      </w:r>
      <w:r>
        <w:rPr>
          <w:rFonts w:hint="eastAsia"/>
          <w:sz w:val="24"/>
        </w:rPr>
        <w:t>内与采购人签订合同，</w:t>
      </w:r>
      <w:bookmarkEnd w:id="40"/>
      <w:bookmarkEnd w:id="41"/>
      <w:r>
        <w:rPr>
          <w:rFonts w:hint="eastAsia" w:ascii="宋体" w:hAnsi="宋体"/>
          <w:sz w:val="24"/>
        </w:rPr>
        <w:t>履约保证金为中标价的1%，在领取中标通知书前交纳至采购人指定账户或办理保函手续（保函期限应大于履约期限2个月），保函手续也可在东阳市鑫盛工程咨询有限公司办理（办理保函需提供资料详见附件）。</w:t>
      </w:r>
    </w:p>
    <w:p w14:paraId="221D7101">
      <w:pPr>
        <w:spacing w:line="460" w:lineRule="exact"/>
        <w:rPr>
          <w:rFonts w:hint="eastAsia" w:ascii="宋体" w:hAnsi="宋体"/>
          <w:b/>
          <w:sz w:val="24"/>
        </w:rPr>
      </w:pPr>
      <w:r>
        <w:rPr>
          <w:rFonts w:hint="eastAsia" w:ascii="宋体" w:hAnsi="宋体" w:cs="宋体"/>
          <w:sz w:val="24"/>
          <w:lang w:val="zh-TW" w:eastAsia="zh-TW"/>
        </w:rPr>
        <w:t>▲</w:t>
      </w:r>
      <w:r>
        <w:rPr>
          <w:rFonts w:hint="eastAsia" w:ascii="宋体" w:hAnsi="宋体"/>
          <w:b/>
          <w:sz w:val="24"/>
        </w:rPr>
        <w:t>（六）投标文件的签署和份数</w:t>
      </w:r>
    </w:p>
    <w:p w14:paraId="4AFC43DD">
      <w:pPr>
        <w:spacing w:line="460" w:lineRule="exact"/>
        <w:ind w:firstLine="480" w:firstLineChars="200"/>
        <w:rPr>
          <w:rFonts w:hint="eastAsia" w:ascii="宋体" w:hAnsi="宋体"/>
          <w:sz w:val="24"/>
        </w:rPr>
      </w:pPr>
      <w:r>
        <w:rPr>
          <w:rFonts w:hint="eastAsia" w:ascii="宋体" w:hAnsi="宋体"/>
          <w:sz w:val="24"/>
        </w:rPr>
        <w:t>1.投标人应按本招标文件规定的格式和顺序编制、装订投标文件并标注页码，投标文件内容不完整、编排混乱导致投标文件被误读、漏读或者查找不到相关内容的，是投标人的责任。</w:t>
      </w:r>
    </w:p>
    <w:p w14:paraId="7C075971">
      <w:pPr>
        <w:spacing w:line="460" w:lineRule="exact"/>
        <w:ind w:firstLine="480" w:firstLineChars="200"/>
        <w:rPr>
          <w:rFonts w:hint="eastAsia" w:ascii="宋体" w:hAnsi="宋体"/>
          <w:sz w:val="24"/>
        </w:rPr>
      </w:pPr>
      <w:r>
        <w:rPr>
          <w:rFonts w:hint="eastAsia" w:ascii="宋体" w:hAnsi="宋体"/>
          <w:sz w:val="24"/>
        </w:rPr>
        <w:t>2.投标人应按资格审查文件、资信及商务文件、技术文件、投标报价文件正本各1份，副本各4份分别编制并单独装订成册，投标文件的封面应注明“正本”、“副本”字样。</w:t>
      </w:r>
    </w:p>
    <w:p w14:paraId="02B5B4D4">
      <w:pPr>
        <w:spacing w:line="460" w:lineRule="exact"/>
        <w:ind w:firstLine="480" w:firstLineChars="200"/>
        <w:rPr>
          <w:rFonts w:ascii="宋体" w:hAnsi="宋体"/>
          <w:sz w:val="24"/>
        </w:rPr>
      </w:pPr>
      <w:r>
        <w:rPr>
          <w:rFonts w:hint="eastAsia" w:ascii="宋体" w:hAnsi="宋体"/>
          <w:sz w:val="24"/>
        </w:rPr>
        <w:t>3.投标文件需打印或用不褪色的墨水填写，投标文件正本除本《投标人须知》中规定的可提供复印件外均须提供原件。副本可为正本的复印件。</w:t>
      </w:r>
    </w:p>
    <w:p w14:paraId="7C68C732">
      <w:pPr>
        <w:spacing w:line="460" w:lineRule="exact"/>
        <w:ind w:firstLine="480" w:firstLineChars="200"/>
        <w:rPr>
          <w:rFonts w:hint="eastAsia" w:ascii="宋体" w:hAnsi="宋体"/>
          <w:sz w:val="24"/>
        </w:rPr>
      </w:pPr>
      <w:r>
        <w:rPr>
          <w:rFonts w:hint="eastAsia" w:ascii="宋体" w:hAnsi="宋体"/>
          <w:sz w:val="24"/>
        </w:rPr>
        <w:t>4.</w:t>
      </w:r>
      <w:r>
        <w:rPr>
          <w:rFonts w:hint="eastAsia" w:ascii="宋体" w:hAnsi="宋体"/>
          <w:b/>
          <w:bCs/>
          <w:sz w:val="24"/>
        </w:rPr>
        <w:t>投标文件需盖章签字的地方无论正本或副本必须由投标人法定代表人或法定代表人的授权委托人签署并加盖单位公章，投标人应写全称。</w:t>
      </w:r>
    </w:p>
    <w:p w14:paraId="62B15775">
      <w:pPr>
        <w:spacing w:line="460" w:lineRule="exact"/>
        <w:ind w:firstLine="480" w:firstLineChars="200"/>
        <w:rPr>
          <w:rFonts w:hint="eastAsia" w:ascii="宋体" w:hAnsi="宋体"/>
          <w:sz w:val="24"/>
        </w:rPr>
      </w:pPr>
      <w:r>
        <w:rPr>
          <w:rFonts w:hint="eastAsia" w:ascii="宋体" w:hAnsi="宋体"/>
          <w:sz w:val="24"/>
        </w:rPr>
        <w:t>5.投标文件不得涂改，若有修改错漏处，须加盖单位公章和由法定代表人或授权委托人签字或盖章。投标文件因字迹潦草或表达不清所引起的后果由投标人负责。</w:t>
      </w:r>
    </w:p>
    <w:p w14:paraId="0E0472FE">
      <w:pPr>
        <w:spacing w:line="460" w:lineRule="exact"/>
        <w:rPr>
          <w:rFonts w:ascii="宋体" w:hAnsi="宋体"/>
          <w:b/>
          <w:sz w:val="24"/>
        </w:rPr>
      </w:pPr>
      <w:r>
        <w:rPr>
          <w:rFonts w:hint="eastAsia" w:ascii="宋体" w:hAnsi="宋体" w:cs="宋体"/>
          <w:sz w:val="24"/>
          <w:lang w:val="zh-TW" w:eastAsia="zh-TW"/>
        </w:rPr>
        <w:t>▲</w:t>
      </w:r>
      <w:r>
        <w:rPr>
          <w:rFonts w:hint="eastAsia" w:ascii="宋体" w:hAnsi="宋体"/>
          <w:b/>
          <w:sz w:val="24"/>
        </w:rPr>
        <w:t>（七）投标文件的装订、包装、递交、修改和撤回</w:t>
      </w:r>
      <w:r>
        <w:rPr>
          <w:rFonts w:ascii="宋体" w:hAnsi="宋体"/>
          <w:b/>
          <w:sz w:val="24"/>
        </w:rPr>
        <w:t xml:space="preserve"> </w:t>
      </w:r>
    </w:p>
    <w:p w14:paraId="49BCDC03">
      <w:pPr>
        <w:spacing w:line="460" w:lineRule="exact"/>
        <w:rPr>
          <w:rFonts w:hint="eastAsia" w:ascii="宋体" w:hAnsi="宋体"/>
          <w:b/>
          <w:sz w:val="24"/>
        </w:rPr>
      </w:pPr>
      <w:r>
        <w:rPr>
          <w:rFonts w:ascii="宋体" w:hAnsi="宋体"/>
          <w:b/>
          <w:sz w:val="24"/>
        </w:rPr>
        <w:t xml:space="preserve"> </w:t>
      </w:r>
      <w:r>
        <w:rPr>
          <w:rFonts w:hint="eastAsia" w:ascii="宋体" w:hAnsi="宋体"/>
          <w:b/>
          <w:sz w:val="24"/>
        </w:rPr>
        <w:t xml:space="preserve"> 1.投标文件的包装与密封</w:t>
      </w:r>
    </w:p>
    <w:p w14:paraId="2F5D8E1B">
      <w:pPr>
        <w:spacing w:line="460" w:lineRule="exact"/>
        <w:ind w:firstLine="480" w:firstLineChars="200"/>
        <w:rPr>
          <w:rFonts w:hint="eastAsia" w:ascii="宋体" w:hAnsi="宋体"/>
          <w:sz w:val="24"/>
        </w:rPr>
      </w:pPr>
      <w:r>
        <w:rPr>
          <w:rFonts w:hint="eastAsia" w:ascii="宋体" w:hAnsi="宋体"/>
          <w:sz w:val="24"/>
        </w:rPr>
        <w:t>1.1投标文件应按以下方法装订、装袋密封标记：资格审查文件、技术文件、资信商务文件及报价文件装订成册，按照投标文件的内容分别包装密封；</w:t>
      </w:r>
    </w:p>
    <w:p w14:paraId="2E40364B">
      <w:pPr>
        <w:spacing w:line="460" w:lineRule="exact"/>
        <w:ind w:firstLine="480" w:firstLineChars="200"/>
        <w:rPr>
          <w:rFonts w:hint="eastAsia" w:ascii="宋体" w:hAnsi="宋体"/>
          <w:sz w:val="24"/>
        </w:rPr>
      </w:pPr>
      <w:r>
        <w:rPr>
          <w:rFonts w:hint="eastAsia" w:ascii="宋体" w:hAnsi="宋体"/>
          <w:sz w:val="24"/>
        </w:rPr>
        <w:t>1.2密封包装袋内装相应的《资格审查文件》、《技术文件》、《资信商务文件》及《报价文件》正本1份和副本4份；</w:t>
      </w:r>
    </w:p>
    <w:p w14:paraId="4DF7FACC">
      <w:pPr>
        <w:spacing w:line="460" w:lineRule="exact"/>
        <w:ind w:firstLine="480" w:firstLineChars="200"/>
        <w:rPr>
          <w:rFonts w:hint="eastAsia" w:ascii="宋体" w:hAnsi="宋体"/>
          <w:sz w:val="24"/>
        </w:rPr>
      </w:pPr>
      <w:r>
        <w:rPr>
          <w:rFonts w:hint="eastAsia" w:ascii="宋体" w:hAnsi="宋体"/>
          <w:sz w:val="24"/>
        </w:rPr>
        <w:t>1.3各密封包装袋封面上应标明“招标编号、投标项目名称、投标文件名称、投标人名称、于</w:t>
      </w:r>
      <w:r>
        <w:rPr>
          <w:rFonts w:hint="eastAsia" w:ascii="宋体" w:hAnsi="宋体" w:cs="宋体"/>
          <w:sz w:val="24"/>
        </w:rPr>
        <w:t>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w:t>
      </w:r>
      <w:r>
        <w:rPr>
          <w:rFonts w:hint="eastAsia" w:ascii="宋体" w:hAnsi="宋体"/>
          <w:sz w:val="24"/>
        </w:rPr>
        <w:t>前不准启封”等，并在各封口骑缝加盖单位公章；</w:t>
      </w:r>
    </w:p>
    <w:p w14:paraId="061E33DD">
      <w:pPr>
        <w:spacing w:line="460" w:lineRule="exact"/>
        <w:ind w:firstLine="480" w:firstLineChars="200"/>
        <w:rPr>
          <w:rFonts w:hint="eastAsia" w:ascii="宋体" w:hAnsi="宋体"/>
          <w:sz w:val="24"/>
        </w:rPr>
      </w:pPr>
      <w:r>
        <w:rPr>
          <w:rFonts w:hint="eastAsia" w:ascii="宋体" w:hAnsi="宋体"/>
          <w:sz w:val="24"/>
        </w:rPr>
        <w:t>1.4资格审查文件、技术文件、资信商务文件内不得有商务报价出现，否则作无效标处理。</w:t>
      </w:r>
    </w:p>
    <w:p w14:paraId="441C600E">
      <w:pPr>
        <w:spacing w:line="460" w:lineRule="exact"/>
        <w:ind w:firstLine="480" w:firstLineChars="200"/>
        <w:rPr>
          <w:rFonts w:hint="eastAsia" w:ascii="宋体" w:hAnsi="宋体"/>
          <w:sz w:val="24"/>
        </w:rPr>
      </w:pPr>
      <w:r>
        <w:rPr>
          <w:rFonts w:hint="eastAsia" w:ascii="宋体" w:hAnsi="宋体"/>
          <w:sz w:val="24"/>
        </w:rPr>
        <w:t>2.未按规定密封或标记的投标文件将被拒绝，由此造成投标文件被误投或提前拆封的风险由投标人承担。</w:t>
      </w:r>
    </w:p>
    <w:p w14:paraId="7DA9A419">
      <w:pPr>
        <w:spacing w:line="460" w:lineRule="exact"/>
        <w:ind w:firstLine="480" w:firstLineChars="200"/>
        <w:rPr>
          <w:rFonts w:hint="eastAsia" w:ascii="宋体" w:hAnsi="宋体"/>
          <w:sz w:val="24"/>
        </w:rPr>
      </w:pPr>
      <w:r>
        <w:rPr>
          <w:rFonts w:hint="eastAsia" w:ascii="宋体" w:hAnsi="宋体"/>
          <w:sz w:val="24"/>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14:paraId="7CF35DA2">
      <w:pPr>
        <w:spacing w:line="460" w:lineRule="exact"/>
        <w:rPr>
          <w:rFonts w:hint="eastAsia" w:ascii="宋体" w:hAnsi="宋体"/>
          <w:b/>
          <w:sz w:val="24"/>
        </w:rPr>
      </w:pPr>
      <w:r>
        <w:rPr>
          <w:rFonts w:hint="eastAsia" w:ascii="宋体" w:hAnsi="宋体"/>
          <w:b/>
          <w:sz w:val="24"/>
        </w:rPr>
        <w:t>（八）投标无效的情形</w:t>
      </w:r>
    </w:p>
    <w:p w14:paraId="01A6723A">
      <w:pPr>
        <w:spacing w:line="460" w:lineRule="exact"/>
        <w:ind w:firstLine="480" w:firstLineChars="200"/>
        <w:rPr>
          <w:rFonts w:hint="eastAsia" w:ascii="宋体" w:hAnsi="宋体"/>
          <w:sz w:val="24"/>
        </w:rPr>
      </w:pPr>
      <w:r>
        <w:rPr>
          <w:rFonts w:hint="eastAsia" w:ascii="宋体" w:hAnsi="宋体"/>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885D50C">
      <w:pPr>
        <w:spacing w:line="460" w:lineRule="exact"/>
        <w:ind w:firstLine="482" w:firstLineChars="200"/>
        <w:rPr>
          <w:rFonts w:hint="eastAsia" w:ascii="宋体" w:hAnsi="宋体"/>
          <w:b/>
          <w:sz w:val="24"/>
        </w:rPr>
      </w:pPr>
      <w:r>
        <w:rPr>
          <w:rFonts w:hint="eastAsia" w:ascii="宋体" w:hAnsi="宋体"/>
          <w:b/>
          <w:sz w:val="24"/>
        </w:rPr>
        <w:t>1.在符合性审查和商务评审时，如发现下列情形之一的，投标文件将被视为无效：</w:t>
      </w:r>
    </w:p>
    <w:p w14:paraId="7D5F0212">
      <w:pPr>
        <w:spacing w:line="460" w:lineRule="exact"/>
        <w:ind w:firstLine="480" w:firstLineChars="200"/>
        <w:rPr>
          <w:rFonts w:hint="eastAsia" w:ascii="宋体" w:hAnsi="宋体"/>
          <w:sz w:val="24"/>
        </w:rPr>
      </w:pPr>
      <w:r>
        <w:rPr>
          <w:rFonts w:hint="eastAsia" w:ascii="宋体" w:hAnsi="宋体"/>
          <w:sz w:val="24"/>
        </w:rPr>
        <w:t>（1）</w:t>
      </w:r>
      <w:r>
        <w:rPr>
          <w:rFonts w:ascii="宋体" w:hAnsi="宋体"/>
          <w:sz w:val="24"/>
        </w:rPr>
        <w:t>未按招标文件要求进行投标确认</w:t>
      </w:r>
      <w:r>
        <w:rPr>
          <w:rFonts w:hint="eastAsia" w:ascii="宋体" w:hAnsi="宋体"/>
          <w:sz w:val="24"/>
        </w:rPr>
        <w:t>的；</w:t>
      </w:r>
    </w:p>
    <w:p w14:paraId="0BF3F245">
      <w:pPr>
        <w:spacing w:line="460" w:lineRule="exact"/>
        <w:ind w:firstLine="480" w:firstLineChars="200"/>
        <w:rPr>
          <w:rFonts w:hint="eastAsia" w:ascii="宋体" w:hAnsi="宋体"/>
          <w:sz w:val="24"/>
        </w:rPr>
      </w:pPr>
      <w:r>
        <w:rPr>
          <w:rFonts w:hint="eastAsia" w:ascii="宋体" w:hAnsi="宋体"/>
          <w:sz w:val="24"/>
        </w:rPr>
        <w:t>（2）投标文件未按招标文件要求密封、包装的；</w:t>
      </w:r>
    </w:p>
    <w:p w14:paraId="046F9639">
      <w:pPr>
        <w:spacing w:line="460" w:lineRule="exact"/>
        <w:ind w:firstLine="480" w:firstLineChars="200"/>
        <w:rPr>
          <w:rFonts w:hint="eastAsia" w:ascii="宋体" w:hAnsi="宋体"/>
          <w:sz w:val="24"/>
        </w:rPr>
      </w:pPr>
      <w:r>
        <w:rPr>
          <w:rFonts w:hint="eastAsia" w:ascii="宋体" w:hAnsi="宋体"/>
          <w:sz w:val="24"/>
        </w:rPr>
        <w:t>（3）不能提供真实性查询证明的；</w:t>
      </w:r>
    </w:p>
    <w:p w14:paraId="3E28EB8D">
      <w:pPr>
        <w:spacing w:line="460" w:lineRule="exact"/>
        <w:ind w:firstLine="480" w:firstLineChars="200"/>
        <w:rPr>
          <w:rFonts w:hint="eastAsia" w:ascii="宋体" w:hAnsi="宋体"/>
          <w:sz w:val="24"/>
        </w:rPr>
      </w:pPr>
      <w:r>
        <w:rPr>
          <w:rFonts w:hint="eastAsia" w:ascii="宋体" w:hAnsi="宋体"/>
          <w:sz w:val="24"/>
        </w:rPr>
        <w:t>（4）资格证明文件不全的，或者不符合招标文件标明的资格要求的，及未提供招标文件中标有</w:t>
      </w:r>
      <w:r>
        <w:rPr>
          <w:rFonts w:hint="eastAsia" w:ascii="宋体" w:hAnsi="宋体" w:eastAsia="宋体" w:cs="Times New Roman"/>
          <w:sz w:val="24"/>
        </w:rPr>
        <w:t>“*”、 “▲”、 “★”、 “※”</w:t>
      </w:r>
      <w:r>
        <w:rPr>
          <w:rFonts w:hint="eastAsia" w:ascii="宋体" w:hAnsi="宋体"/>
          <w:sz w:val="24"/>
        </w:rPr>
        <w:t>特殊符号的证明文件的；</w:t>
      </w:r>
    </w:p>
    <w:p w14:paraId="77278F72">
      <w:pPr>
        <w:spacing w:line="460" w:lineRule="exact"/>
        <w:ind w:firstLine="480" w:firstLineChars="200"/>
        <w:rPr>
          <w:rFonts w:hint="eastAsia" w:ascii="宋体" w:hAnsi="宋体"/>
          <w:sz w:val="24"/>
        </w:rPr>
      </w:pPr>
      <w:r>
        <w:rPr>
          <w:rFonts w:hint="eastAsia" w:ascii="宋体" w:hAnsi="宋体"/>
          <w:sz w:val="24"/>
        </w:rPr>
        <w:t>（5）本项目投标截止之日前三年内，在“信用中国”网站、中国政府采购网有失信行为或被列入受惩黑名单。</w:t>
      </w:r>
    </w:p>
    <w:p w14:paraId="218DB26C">
      <w:pPr>
        <w:spacing w:line="460" w:lineRule="exact"/>
        <w:ind w:firstLine="480" w:firstLineChars="200"/>
        <w:rPr>
          <w:rFonts w:hint="eastAsia" w:ascii="宋体" w:hAnsi="宋体"/>
          <w:sz w:val="24"/>
        </w:rPr>
      </w:pPr>
      <w:r>
        <w:rPr>
          <w:rFonts w:hint="eastAsia" w:ascii="宋体" w:hAnsi="宋体"/>
          <w:sz w:val="24"/>
        </w:rPr>
        <w:t>（6）投标文件无法定代表人签字,或未提供法定代表人授权委托书、投标声明书或者填写项目不齐全的；</w:t>
      </w:r>
    </w:p>
    <w:p w14:paraId="259D79CA">
      <w:pPr>
        <w:spacing w:line="460" w:lineRule="exact"/>
        <w:ind w:firstLine="480" w:firstLineChars="200"/>
        <w:rPr>
          <w:rFonts w:hint="eastAsia" w:ascii="宋体" w:hAnsi="宋体"/>
          <w:sz w:val="24"/>
        </w:rPr>
      </w:pPr>
      <w:r>
        <w:rPr>
          <w:rFonts w:hint="eastAsia" w:ascii="宋体" w:hAnsi="宋体"/>
          <w:sz w:val="24"/>
        </w:rPr>
        <w:t xml:space="preserve">（7）投标代表人未能出具身份证明或与法定代表人授权委托人身份不符的； </w:t>
      </w:r>
    </w:p>
    <w:p w14:paraId="0E16CFED">
      <w:pPr>
        <w:spacing w:line="460" w:lineRule="exact"/>
        <w:ind w:firstLine="480" w:firstLineChars="200"/>
        <w:rPr>
          <w:rFonts w:hint="eastAsia" w:ascii="宋体" w:hAnsi="宋体"/>
          <w:sz w:val="24"/>
        </w:rPr>
      </w:pPr>
      <w:r>
        <w:rPr>
          <w:rFonts w:hint="eastAsia" w:ascii="宋体" w:hAnsi="宋体"/>
          <w:sz w:val="24"/>
        </w:rPr>
        <w:t>（8）投标文件格式未按招标文件规定格式的、未按招标文件规定的内容编制投标文件的或者内容虚假的、未按规定签字或盖章的；</w:t>
      </w:r>
    </w:p>
    <w:p w14:paraId="6D1D6395">
      <w:pPr>
        <w:spacing w:line="460" w:lineRule="exact"/>
        <w:ind w:firstLine="480" w:firstLineChars="200"/>
        <w:rPr>
          <w:rFonts w:hint="eastAsia" w:ascii="宋体" w:hAnsi="宋体"/>
          <w:sz w:val="24"/>
        </w:rPr>
      </w:pPr>
      <w:r>
        <w:rPr>
          <w:rFonts w:hint="eastAsia" w:ascii="宋体" w:hAnsi="宋体"/>
          <w:sz w:val="24"/>
        </w:rPr>
        <w:t>（9）投标文件的实质性内容未使用中文表述的或意思表述不明确、前后矛盾的或者使用计量单位不符合招标文件要求的（经评标委员会认定并允许其当场更正的笔误除外）</w:t>
      </w:r>
    </w:p>
    <w:p w14:paraId="4434125F">
      <w:pPr>
        <w:spacing w:line="460" w:lineRule="exact"/>
        <w:ind w:firstLine="480" w:firstLineChars="200"/>
        <w:rPr>
          <w:rFonts w:hint="eastAsia" w:ascii="宋体" w:hAnsi="宋体"/>
          <w:sz w:val="24"/>
        </w:rPr>
      </w:pPr>
      <w:r>
        <w:rPr>
          <w:rFonts w:hint="eastAsia" w:ascii="宋体" w:hAnsi="宋体"/>
          <w:sz w:val="24"/>
        </w:rPr>
        <w:t>（10）投标有效期、交货时间、质保期、付款方式等商务条款不能满足招标文件要求的；</w:t>
      </w:r>
    </w:p>
    <w:p w14:paraId="02F7F17B">
      <w:pPr>
        <w:spacing w:line="460" w:lineRule="exact"/>
        <w:ind w:firstLine="480" w:firstLineChars="200"/>
        <w:rPr>
          <w:rFonts w:hint="eastAsia" w:ascii="宋体" w:hAnsi="宋体"/>
          <w:sz w:val="24"/>
        </w:rPr>
      </w:pPr>
      <w:r>
        <w:rPr>
          <w:rFonts w:hint="eastAsia" w:ascii="宋体" w:hAnsi="宋体"/>
          <w:sz w:val="24"/>
        </w:rPr>
        <w:t>（11）未实质性响应招标文件要求或者投标文件有招标方不能接受的附加条件的；</w:t>
      </w:r>
    </w:p>
    <w:p w14:paraId="239DCA26">
      <w:pPr>
        <w:spacing w:line="460" w:lineRule="exact"/>
        <w:ind w:firstLine="480" w:firstLineChars="200"/>
        <w:rPr>
          <w:rFonts w:hint="eastAsia" w:ascii="宋体" w:hAnsi="宋体"/>
          <w:sz w:val="24"/>
        </w:rPr>
      </w:pPr>
      <w:r>
        <w:rPr>
          <w:rFonts w:hint="eastAsia" w:ascii="宋体" w:hAnsi="宋体"/>
          <w:sz w:val="24"/>
        </w:rPr>
        <w:t>（12）招标文件规定的其它投标无效的情况；</w:t>
      </w:r>
    </w:p>
    <w:p w14:paraId="26F548A9">
      <w:pPr>
        <w:spacing w:line="460" w:lineRule="exact"/>
        <w:ind w:firstLine="480" w:firstLineChars="200"/>
        <w:rPr>
          <w:rFonts w:hint="eastAsia" w:ascii="宋体" w:hAnsi="宋体"/>
          <w:sz w:val="24"/>
        </w:rPr>
      </w:pPr>
      <w:r>
        <w:rPr>
          <w:rFonts w:hint="eastAsia" w:ascii="宋体" w:hAnsi="宋体"/>
          <w:sz w:val="24"/>
        </w:rPr>
        <w:t>（13）法律、法规规定的其它投标无效情况。</w:t>
      </w:r>
    </w:p>
    <w:p w14:paraId="6350C6D7">
      <w:pPr>
        <w:spacing w:line="460" w:lineRule="exact"/>
        <w:ind w:firstLine="482" w:firstLineChars="200"/>
        <w:rPr>
          <w:rFonts w:hint="eastAsia" w:ascii="宋体" w:hAnsi="宋体"/>
          <w:b/>
          <w:sz w:val="24"/>
        </w:rPr>
      </w:pPr>
      <w:r>
        <w:rPr>
          <w:rFonts w:hint="eastAsia" w:ascii="宋体" w:hAnsi="宋体"/>
          <w:b/>
          <w:sz w:val="24"/>
        </w:rPr>
        <w:t>2.在技术资信评审时，如发现下列情形之一的，投标文件将被视为无效：</w:t>
      </w:r>
    </w:p>
    <w:p w14:paraId="44D22DC2">
      <w:pPr>
        <w:spacing w:line="460" w:lineRule="exact"/>
        <w:ind w:firstLine="480" w:firstLineChars="200"/>
        <w:rPr>
          <w:rFonts w:hint="eastAsia" w:ascii="宋体" w:hAnsi="宋体"/>
          <w:sz w:val="24"/>
        </w:rPr>
      </w:pPr>
      <w:r>
        <w:rPr>
          <w:rFonts w:hint="eastAsia" w:ascii="宋体" w:hAnsi="宋体"/>
          <w:sz w:val="24"/>
        </w:rPr>
        <w:t>（1）投标文件标明的响应或偏离与事实不符的或虚假投标的；</w:t>
      </w:r>
    </w:p>
    <w:p w14:paraId="1C62A7D2">
      <w:pPr>
        <w:spacing w:line="460" w:lineRule="exact"/>
        <w:ind w:left="959" w:leftChars="228" w:hanging="480" w:hangingChars="200"/>
        <w:rPr>
          <w:rFonts w:hint="eastAsia" w:ascii="宋体" w:hAnsi="宋体"/>
          <w:sz w:val="24"/>
        </w:rPr>
      </w:pPr>
      <w:r>
        <w:rPr>
          <w:rFonts w:hint="eastAsia" w:ascii="宋体" w:hAnsi="宋体"/>
          <w:sz w:val="24"/>
        </w:rPr>
        <w:t>（2）明显不符合招标文件质量标准的，或者与招标文件中标有</w:t>
      </w:r>
      <w:r>
        <w:rPr>
          <w:rFonts w:hint="eastAsia" w:ascii="宋体" w:hAnsi="宋体" w:eastAsia="宋体" w:cs="Times New Roman"/>
          <w:sz w:val="24"/>
        </w:rPr>
        <w:t>“*”、 “▲”、 “★”、 “※”</w:t>
      </w:r>
      <w:r>
        <w:rPr>
          <w:rFonts w:hint="eastAsia" w:ascii="宋体" w:hAnsi="宋体"/>
          <w:sz w:val="24"/>
        </w:rPr>
        <w:t>的技术指标、主要功能项目发生实质性偏离的；</w:t>
      </w:r>
    </w:p>
    <w:p w14:paraId="4F94E3B8">
      <w:pPr>
        <w:spacing w:line="460" w:lineRule="exact"/>
        <w:ind w:left="959" w:leftChars="228" w:hanging="480" w:hangingChars="200"/>
        <w:rPr>
          <w:rFonts w:hint="eastAsia" w:ascii="宋体" w:hAnsi="宋体"/>
          <w:sz w:val="24"/>
        </w:rPr>
      </w:pPr>
      <w:r>
        <w:rPr>
          <w:rFonts w:hint="eastAsia" w:ascii="宋体" w:hAnsi="宋体"/>
          <w:sz w:val="24"/>
        </w:rPr>
        <w:t>（3）招标文件中允许偏离的技术、性能指标或者辅助功能发生较大负偏离的，经评标委员会认定对项目实际使用造成影响的；</w:t>
      </w:r>
    </w:p>
    <w:p w14:paraId="5271B1B9">
      <w:pPr>
        <w:spacing w:line="460" w:lineRule="exact"/>
        <w:ind w:firstLine="480" w:firstLineChars="200"/>
        <w:rPr>
          <w:rFonts w:hint="eastAsia" w:ascii="宋体" w:hAnsi="宋体"/>
          <w:sz w:val="24"/>
        </w:rPr>
      </w:pPr>
      <w:r>
        <w:rPr>
          <w:rFonts w:hint="eastAsia" w:ascii="宋体" w:hAnsi="宋体"/>
          <w:sz w:val="24"/>
        </w:rPr>
        <w:t>（4）投标技术方案不明确，存在一个或一个以上备选（替代）投标方案的；</w:t>
      </w:r>
    </w:p>
    <w:p w14:paraId="0FD27BF6">
      <w:pPr>
        <w:spacing w:line="460" w:lineRule="exact"/>
        <w:ind w:left="959" w:leftChars="228" w:hanging="480" w:hangingChars="200"/>
        <w:rPr>
          <w:rFonts w:hint="eastAsia" w:ascii="宋体" w:hAnsi="宋体"/>
          <w:sz w:val="24"/>
        </w:rPr>
      </w:pPr>
      <w:r>
        <w:rPr>
          <w:rFonts w:hint="eastAsia" w:ascii="宋体" w:hAnsi="宋体"/>
          <w:sz w:val="24"/>
        </w:rPr>
        <w:t>（5）与其他参加本次投标供应商的投标文件的文字表述内容相同连续20行以上或者差错相同2处以上的；</w:t>
      </w:r>
    </w:p>
    <w:p w14:paraId="28D4F0EA">
      <w:pPr>
        <w:spacing w:line="460" w:lineRule="exact"/>
        <w:ind w:firstLine="480" w:firstLineChars="200"/>
        <w:rPr>
          <w:rFonts w:hint="eastAsia" w:ascii="宋体" w:hAnsi="宋体"/>
          <w:sz w:val="24"/>
        </w:rPr>
      </w:pPr>
      <w:r>
        <w:rPr>
          <w:rFonts w:hint="eastAsia" w:ascii="宋体" w:hAnsi="宋体"/>
          <w:sz w:val="24"/>
        </w:rPr>
        <w:t>（6）在资信及商务文件、技术文件内出现报价的；</w:t>
      </w:r>
    </w:p>
    <w:p w14:paraId="3F175B9C">
      <w:pPr>
        <w:spacing w:line="460" w:lineRule="exact"/>
        <w:ind w:firstLine="480" w:firstLineChars="200"/>
        <w:rPr>
          <w:rFonts w:hint="eastAsia" w:ascii="宋体" w:hAnsi="宋体"/>
          <w:sz w:val="24"/>
        </w:rPr>
      </w:pPr>
      <w:r>
        <w:rPr>
          <w:rFonts w:hint="eastAsia" w:ascii="宋体" w:hAnsi="宋体"/>
          <w:sz w:val="24"/>
        </w:rPr>
        <w:t>（7）招标文件规定的其它投标无效的情况；</w:t>
      </w:r>
    </w:p>
    <w:p w14:paraId="261E2919">
      <w:pPr>
        <w:spacing w:line="460" w:lineRule="exact"/>
        <w:ind w:firstLine="480" w:firstLineChars="200"/>
        <w:rPr>
          <w:rFonts w:hint="eastAsia" w:ascii="宋体" w:hAnsi="宋体"/>
          <w:sz w:val="24"/>
        </w:rPr>
      </w:pPr>
      <w:r>
        <w:rPr>
          <w:rFonts w:hint="eastAsia" w:ascii="宋体" w:hAnsi="宋体"/>
          <w:sz w:val="24"/>
        </w:rPr>
        <w:t>（8）法律、法规规定的其它投标无效情况。</w:t>
      </w:r>
    </w:p>
    <w:p w14:paraId="4577601F">
      <w:pPr>
        <w:spacing w:line="460" w:lineRule="exact"/>
        <w:ind w:firstLine="482" w:firstLineChars="200"/>
        <w:rPr>
          <w:rFonts w:hint="eastAsia" w:ascii="宋体" w:hAnsi="宋体"/>
          <w:b/>
          <w:sz w:val="24"/>
        </w:rPr>
      </w:pPr>
      <w:r>
        <w:rPr>
          <w:rFonts w:hint="eastAsia" w:ascii="宋体" w:hAnsi="宋体"/>
          <w:b/>
          <w:sz w:val="24"/>
        </w:rPr>
        <w:t>3.在报价评审时，如发现下列情形之一的，投标文件将被视为无效：</w:t>
      </w:r>
    </w:p>
    <w:p w14:paraId="74C294D0">
      <w:pPr>
        <w:spacing w:line="460" w:lineRule="exact"/>
        <w:ind w:firstLine="480" w:firstLineChars="200"/>
        <w:rPr>
          <w:rFonts w:hint="eastAsia" w:ascii="宋体" w:hAnsi="宋体" w:cs="宋体"/>
          <w:bCs/>
          <w:sz w:val="24"/>
        </w:rPr>
      </w:pPr>
      <w:r>
        <w:rPr>
          <w:rFonts w:hint="eastAsia" w:ascii="宋体" w:hAnsi="宋体" w:cs="宋体"/>
          <w:bCs/>
          <w:sz w:val="24"/>
        </w:rPr>
        <w:t>（1）未填写投标报价或者未采用人民币报价或者未按照招标文件标明的币种报价的；</w:t>
      </w:r>
    </w:p>
    <w:p w14:paraId="7E801743">
      <w:pPr>
        <w:spacing w:line="460" w:lineRule="exact"/>
        <w:ind w:firstLine="480" w:firstLineChars="200"/>
        <w:rPr>
          <w:rFonts w:hint="eastAsia" w:ascii="宋体" w:hAnsi="宋体" w:cs="宋体"/>
          <w:bCs/>
          <w:sz w:val="24"/>
        </w:rPr>
      </w:pPr>
      <w:r>
        <w:rPr>
          <w:rFonts w:hint="eastAsia" w:ascii="宋体" w:hAnsi="宋体" w:cs="宋体"/>
          <w:bCs/>
          <w:sz w:val="24"/>
        </w:rPr>
        <w:t>（2）投标报价具有选择性的，或者开标价格与投标文件承诺的优惠（折扣）价格不一致的。</w:t>
      </w:r>
    </w:p>
    <w:p w14:paraId="31FD1AE9">
      <w:pPr>
        <w:spacing w:line="460" w:lineRule="exact"/>
        <w:ind w:firstLine="480" w:firstLineChars="200"/>
        <w:rPr>
          <w:rFonts w:hint="eastAsia" w:ascii="宋体" w:hAnsi="宋体" w:cs="宋体"/>
          <w:bCs/>
          <w:sz w:val="24"/>
        </w:rPr>
      </w:pPr>
      <w:r>
        <w:rPr>
          <w:rFonts w:hint="eastAsia" w:ascii="宋体" w:hAnsi="宋体" w:cs="宋体"/>
          <w:bCs/>
          <w:sz w:val="24"/>
        </w:rPr>
        <w:t>（3）报价超出用户设定的最高限价的。</w:t>
      </w:r>
    </w:p>
    <w:p w14:paraId="3517CBF8">
      <w:pPr>
        <w:spacing w:line="460" w:lineRule="exact"/>
        <w:ind w:firstLine="480" w:firstLineChars="200"/>
        <w:rPr>
          <w:rFonts w:hint="eastAsia" w:ascii="宋体" w:hAnsi="宋体" w:cs="宋体"/>
          <w:bCs/>
          <w:sz w:val="24"/>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）投标人的报价低于预算金额的</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0%（含），有可能影响服务质量或者不能诚信履约的，评标委员会应当要求其在评标现场合理的时间内提供书面说明，必要时提交相关证明材料；投标人不能证明其报价合理性，评标委员会将其作为无效投标处理。</w:t>
      </w:r>
    </w:p>
    <w:p w14:paraId="605E5804">
      <w:pPr>
        <w:spacing w:line="460" w:lineRule="exact"/>
        <w:ind w:firstLine="480" w:firstLineChars="200"/>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）招标文件规定的其它投标无效的情况；</w:t>
      </w:r>
    </w:p>
    <w:p w14:paraId="310471D6">
      <w:pPr>
        <w:spacing w:line="460" w:lineRule="exact"/>
        <w:ind w:firstLine="480" w:firstLineChars="200"/>
        <w:rPr>
          <w:rFonts w:hint="eastAsia" w:ascii="宋体" w:hAnsi="宋体" w:cs="宋体"/>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）法律、法规规定的其它投标无效情况。</w:t>
      </w:r>
    </w:p>
    <w:p w14:paraId="57844FB5">
      <w:pPr>
        <w:spacing w:line="460" w:lineRule="exact"/>
        <w:ind w:firstLine="482" w:firstLineChars="200"/>
        <w:rPr>
          <w:rFonts w:hint="eastAsia" w:ascii="宋体" w:hAnsi="宋体"/>
          <w:b/>
          <w:sz w:val="24"/>
        </w:rPr>
      </w:pPr>
      <w:r>
        <w:rPr>
          <w:rFonts w:hint="eastAsia" w:ascii="宋体" w:hAnsi="宋体"/>
          <w:b/>
          <w:sz w:val="24"/>
        </w:rPr>
        <w:t>4.被拒绝的投标文件为无效。</w:t>
      </w:r>
    </w:p>
    <w:p w14:paraId="6D6A508A">
      <w:pPr>
        <w:spacing w:line="460" w:lineRule="exact"/>
        <w:ind w:firstLine="482" w:firstLineChars="200"/>
        <w:rPr>
          <w:rFonts w:hint="eastAsia" w:ascii="宋体" w:hAnsi="宋体"/>
          <w:b/>
          <w:sz w:val="24"/>
        </w:rPr>
      </w:pPr>
      <w:r>
        <w:rPr>
          <w:rFonts w:hint="eastAsia" w:ascii="宋体" w:hAnsi="宋体"/>
          <w:b/>
          <w:sz w:val="24"/>
        </w:rPr>
        <w:t>5.根据有关法律、法规规定为无效、废标的，按法律、法规规定执行。</w:t>
      </w:r>
    </w:p>
    <w:p w14:paraId="00650A59">
      <w:pPr>
        <w:pStyle w:val="2"/>
        <w:pageBreakBefore/>
        <w:spacing w:line="240" w:lineRule="auto"/>
        <w:jc w:val="center"/>
        <w:rPr>
          <w:rFonts w:hint="eastAsia" w:ascii="宋体" w:hAnsi="宋体"/>
        </w:rPr>
      </w:pPr>
      <w:bookmarkStart w:id="42" w:name="_Toc31324"/>
      <w:bookmarkStart w:id="43" w:name="_Toc15266"/>
      <w:bookmarkStart w:id="44" w:name="_Toc457300218"/>
      <w:r>
        <w:rPr>
          <w:rFonts w:hint="eastAsia" w:ascii="宋体" w:hAnsi="宋体"/>
        </w:rPr>
        <w:t>四、开标</w:t>
      </w:r>
      <w:bookmarkEnd w:id="42"/>
      <w:bookmarkEnd w:id="43"/>
      <w:bookmarkEnd w:id="44"/>
    </w:p>
    <w:p w14:paraId="22F4BCEF">
      <w:pPr>
        <w:spacing w:line="400" w:lineRule="exact"/>
        <w:rPr>
          <w:rFonts w:hint="eastAsia" w:ascii="宋体" w:hAnsi="宋体"/>
          <w:b/>
          <w:sz w:val="24"/>
        </w:rPr>
      </w:pPr>
      <w:r>
        <w:rPr>
          <w:rFonts w:hint="eastAsia" w:ascii="宋体" w:hAnsi="宋体"/>
          <w:b/>
          <w:sz w:val="24"/>
        </w:rPr>
        <w:t>（一）开标准备</w:t>
      </w:r>
    </w:p>
    <w:p w14:paraId="311E6B53">
      <w:pPr>
        <w:spacing w:line="360" w:lineRule="auto"/>
        <w:ind w:firstLine="480" w:firstLineChars="200"/>
        <w:rPr>
          <w:rFonts w:hint="eastAsia" w:ascii="宋体" w:hAnsi="宋体"/>
          <w:bCs/>
          <w:sz w:val="24"/>
        </w:rPr>
      </w:pPr>
      <w:r>
        <w:rPr>
          <w:rFonts w:hint="eastAsia" w:ascii="宋体" w:hAnsi="宋体"/>
          <w:bCs/>
          <w:sz w:val="24"/>
        </w:rPr>
        <w:t>采购代理机构将在规定的时间进行开标，投标人无须到开标现场，但投标人的法定代表人或其委托代理人【委托代理人应当是投标人的在职正式职工（以投标人本单位缴纳社保花名册为准）】应做好投标准备，准时在线参加开标会议，随时关注开标进度。</w:t>
      </w:r>
    </w:p>
    <w:p w14:paraId="37CB0F92">
      <w:pPr>
        <w:spacing w:line="400" w:lineRule="exact"/>
        <w:rPr>
          <w:rFonts w:hint="eastAsia" w:ascii="宋体" w:hAnsi="宋体"/>
          <w:b/>
          <w:sz w:val="24"/>
        </w:rPr>
      </w:pPr>
      <w:r>
        <w:rPr>
          <w:rFonts w:hint="eastAsia" w:ascii="宋体" w:hAnsi="宋体"/>
          <w:b/>
          <w:sz w:val="24"/>
        </w:rPr>
        <w:t>（二） 开标程序</w:t>
      </w:r>
    </w:p>
    <w:p w14:paraId="1ABF6F89">
      <w:pPr>
        <w:spacing w:line="360" w:lineRule="auto"/>
        <w:ind w:firstLine="480" w:firstLineChars="200"/>
        <w:rPr>
          <w:rFonts w:hint="eastAsia" w:ascii="宋体" w:hAnsi="宋体"/>
          <w:bCs/>
          <w:sz w:val="24"/>
        </w:rPr>
      </w:pPr>
      <w:r>
        <w:rPr>
          <w:rFonts w:hint="eastAsia" w:ascii="宋体" w:hAnsi="宋体"/>
          <w:bCs/>
          <w:sz w:val="24"/>
        </w:rPr>
        <w:t>1.开标会由招标代理机构主持，主持人宣布开标会议开始；</w:t>
      </w:r>
    </w:p>
    <w:p w14:paraId="51BC8CDC">
      <w:pPr>
        <w:spacing w:line="360" w:lineRule="auto"/>
        <w:ind w:firstLine="480" w:firstLineChars="200"/>
        <w:rPr>
          <w:rFonts w:hint="eastAsia" w:ascii="宋体" w:hAnsi="宋体"/>
          <w:bCs/>
          <w:sz w:val="24"/>
        </w:rPr>
      </w:pPr>
      <w:r>
        <w:rPr>
          <w:rFonts w:hint="eastAsia" w:ascii="宋体" w:hAnsi="宋体"/>
          <w:bCs/>
          <w:sz w:val="24"/>
        </w:rPr>
        <w:t>2.主持人宣布评标室会议纪律及评标期间的有关事项；告知应当回避的情形,提请有关人员回避；</w:t>
      </w:r>
    </w:p>
    <w:p w14:paraId="48C665D1">
      <w:pPr>
        <w:spacing w:line="360" w:lineRule="auto"/>
        <w:ind w:firstLine="480" w:firstLineChars="200"/>
        <w:rPr>
          <w:rFonts w:hint="eastAsia" w:ascii="宋体" w:hAnsi="宋体"/>
          <w:sz w:val="24"/>
        </w:rPr>
      </w:pPr>
      <w:r>
        <w:rPr>
          <w:rFonts w:hint="eastAsia" w:ascii="宋体" w:hAnsi="宋体"/>
          <w:bCs/>
          <w:sz w:val="24"/>
        </w:rPr>
        <w:t>3.由采购人代表或招标采购单位委托的公证机构检查投标文件密封的完整性，由招</w:t>
      </w:r>
      <w:r>
        <w:rPr>
          <w:rFonts w:hint="eastAsia" w:ascii="宋体" w:hAnsi="宋体"/>
          <w:sz w:val="24"/>
        </w:rPr>
        <w:t>标代理机构逐一开启各投标人的投标文件；</w:t>
      </w:r>
    </w:p>
    <w:p w14:paraId="1C839AF4">
      <w:pPr>
        <w:spacing w:line="360" w:lineRule="auto"/>
        <w:ind w:firstLine="480" w:firstLineChars="200"/>
        <w:rPr>
          <w:rFonts w:hint="eastAsia" w:ascii="宋体" w:hAnsi="宋体"/>
          <w:sz w:val="24"/>
        </w:rPr>
      </w:pPr>
      <w:r>
        <w:rPr>
          <w:rFonts w:hint="eastAsia" w:ascii="宋体" w:hAnsi="宋体"/>
          <w:sz w:val="24"/>
        </w:rPr>
        <w:t>4.由采购人进行资格审查，通过资格审查的投标人进入商务技术响应文件评审环节；</w:t>
      </w:r>
    </w:p>
    <w:p w14:paraId="0DB48D02">
      <w:pPr>
        <w:spacing w:line="360" w:lineRule="auto"/>
        <w:ind w:firstLine="480" w:firstLineChars="200"/>
        <w:rPr>
          <w:rFonts w:hint="eastAsia" w:ascii="宋体" w:hAnsi="宋体"/>
          <w:sz w:val="24"/>
        </w:rPr>
      </w:pPr>
      <w:r>
        <w:rPr>
          <w:rFonts w:hint="eastAsia" w:ascii="宋体" w:hAnsi="宋体"/>
          <w:sz w:val="24"/>
        </w:rPr>
        <w:t>5.将通过符合性审查投标人的技术文件、资信商务文件发放给各评标委员会成员，评标委员会成员对技术文件、资信商务文件进行评审；</w:t>
      </w:r>
    </w:p>
    <w:p w14:paraId="2F8C28F1">
      <w:pPr>
        <w:spacing w:line="360" w:lineRule="auto"/>
        <w:ind w:firstLine="480" w:firstLineChars="200"/>
        <w:rPr>
          <w:rFonts w:hint="eastAsia" w:ascii="宋体" w:hAnsi="宋体"/>
          <w:sz w:val="24"/>
        </w:rPr>
      </w:pPr>
      <w:r>
        <w:rPr>
          <w:rFonts w:hint="eastAsia" w:ascii="宋体" w:hAnsi="宋体"/>
          <w:sz w:val="24"/>
        </w:rPr>
        <w:t>6. 技术文件、资信商务文件评分结束后，由代理机构人员公布无效投标的投标人名单、投标无效的原因及技术</w:t>
      </w:r>
      <w:r>
        <w:rPr>
          <w:rFonts w:ascii="宋体" w:hAnsi="宋体"/>
          <w:sz w:val="24"/>
        </w:rPr>
        <w:t>、</w:t>
      </w:r>
      <w:r>
        <w:rPr>
          <w:rFonts w:hint="eastAsia" w:ascii="宋体" w:hAnsi="宋体"/>
          <w:sz w:val="24"/>
        </w:rPr>
        <w:t>资信</w:t>
      </w:r>
      <w:r>
        <w:rPr>
          <w:rFonts w:ascii="宋体" w:hAnsi="宋体"/>
          <w:sz w:val="24"/>
        </w:rPr>
        <w:t>商务总得分</w:t>
      </w:r>
      <w:r>
        <w:rPr>
          <w:rFonts w:hint="eastAsia" w:ascii="宋体" w:hAnsi="宋体"/>
          <w:bCs/>
          <w:sz w:val="24"/>
        </w:rPr>
        <w:t>；</w:t>
      </w:r>
    </w:p>
    <w:p w14:paraId="27512681">
      <w:pPr>
        <w:spacing w:line="360" w:lineRule="auto"/>
        <w:ind w:firstLine="480" w:firstLineChars="200"/>
        <w:rPr>
          <w:rFonts w:hint="eastAsia" w:ascii="宋体" w:hAnsi="宋体"/>
          <w:sz w:val="24"/>
        </w:rPr>
      </w:pPr>
      <w:r>
        <w:rPr>
          <w:rFonts w:hint="eastAsia" w:ascii="宋体" w:hAnsi="宋体"/>
          <w:sz w:val="24"/>
        </w:rPr>
        <w:t>7.由代理机构人员宣读各投标人是否属于小型、微型企业待遇，宣读《投标报价一览表》中的投标人名称及在其投标文件中承诺的投标报价、投标内容（投标服务项目名称），以及招标方认为有必要宣读的其他内容</w:t>
      </w:r>
      <w:r>
        <w:rPr>
          <w:rFonts w:hint="eastAsia" w:ascii="宋体" w:hAnsi="宋体"/>
          <w:bCs/>
          <w:sz w:val="24"/>
        </w:rPr>
        <w:t>。</w:t>
      </w:r>
    </w:p>
    <w:p w14:paraId="0F1A148C">
      <w:pPr>
        <w:spacing w:line="360" w:lineRule="auto"/>
        <w:ind w:firstLine="480" w:firstLineChars="200"/>
        <w:rPr>
          <w:rFonts w:hint="eastAsia" w:ascii="宋体" w:hAnsi="宋体"/>
          <w:sz w:val="24"/>
        </w:rPr>
      </w:pPr>
      <w:r>
        <w:rPr>
          <w:rFonts w:hint="eastAsia" w:ascii="宋体" w:hAnsi="宋体"/>
          <w:sz w:val="24"/>
        </w:rPr>
        <w:t>8.由招标方做开标记录。</w:t>
      </w:r>
    </w:p>
    <w:p w14:paraId="4FBFB63F">
      <w:pPr>
        <w:spacing w:line="440" w:lineRule="exact"/>
        <w:ind w:firstLine="480" w:firstLineChars="200"/>
        <w:rPr>
          <w:rFonts w:hint="eastAsia" w:ascii="宋体" w:hAnsi="宋体"/>
          <w:sz w:val="24"/>
        </w:rPr>
      </w:pPr>
    </w:p>
    <w:p w14:paraId="26112FE4">
      <w:pPr>
        <w:pStyle w:val="2"/>
        <w:pageBreakBefore/>
        <w:spacing w:line="360" w:lineRule="auto"/>
        <w:jc w:val="center"/>
        <w:rPr>
          <w:rFonts w:hint="eastAsia" w:ascii="宋体" w:hAnsi="宋体"/>
        </w:rPr>
      </w:pPr>
      <w:bookmarkStart w:id="45" w:name="_Toc457300219"/>
      <w:bookmarkStart w:id="46" w:name="_Toc11475"/>
      <w:bookmarkStart w:id="47" w:name="_Toc23658"/>
      <w:r>
        <w:rPr>
          <w:rFonts w:hint="eastAsia" w:ascii="宋体" w:hAnsi="宋体"/>
        </w:rPr>
        <w:t>五、评标</w:t>
      </w:r>
      <w:bookmarkEnd w:id="45"/>
      <w:bookmarkEnd w:id="46"/>
      <w:bookmarkEnd w:id="47"/>
    </w:p>
    <w:p w14:paraId="0879E580">
      <w:pPr>
        <w:spacing w:line="360" w:lineRule="auto"/>
        <w:rPr>
          <w:rFonts w:hint="eastAsia" w:ascii="宋体" w:hAnsi="宋体"/>
          <w:b/>
          <w:sz w:val="24"/>
        </w:rPr>
      </w:pPr>
      <w:r>
        <w:rPr>
          <w:rFonts w:hint="eastAsia" w:ascii="宋体" w:hAnsi="宋体"/>
          <w:b/>
          <w:sz w:val="24"/>
        </w:rPr>
        <w:t>（一）组建评标委员会</w:t>
      </w:r>
    </w:p>
    <w:p w14:paraId="1C742FB4">
      <w:pPr>
        <w:spacing w:line="360" w:lineRule="auto"/>
        <w:ind w:firstLine="480" w:firstLineChars="200"/>
        <w:rPr>
          <w:rFonts w:hint="eastAsia" w:eastAsia="宋体"/>
          <w:sz w:val="24"/>
          <w:lang w:eastAsia="zh-CN"/>
        </w:rPr>
      </w:pPr>
      <w:r>
        <w:rPr>
          <w:rFonts w:hint="eastAsia"/>
          <w:sz w:val="24"/>
        </w:rPr>
        <w:t>本项目评标委员会由评审专家</w:t>
      </w:r>
      <w:r>
        <w:rPr>
          <w:rFonts w:hint="eastAsia"/>
          <w:sz w:val="24"/>
          <w:u w:val="single"/>
        </w:rPr>
        <w:t>4</w:t>
      </w:r>
      <w:r>
        <w:rPr>
          <w:rFonts w:hint="eastAsia"/>
          <w:sz w:val="24"/>
        </w:rPr>
        <w:t>人和采购人代表</w:t>
      </w:r>
      <w:r>
        <w:rPr>
          <w:rFonts w:hint="eastAsia"/>
          <w:sz w:val="24"/>
          <w:u w:val="single"/>
        </w:rPr>
        <w:t>1</w:t>
      </w:r>
      <w:r>
        <w:rPr>
          <w:rFonts w:hint="eastAsia"/>
          <w:sz w:val="24"/>
        </w:rPr>
        <w:t>人,共</w:t>
      </w:r>
      <w:r>
        <w:rPr>
          <w:rFonts w:hint="eastAsia"/>
          <w:sz w:val="24"/>
          <w:u w:val="single"/>
        </w:rPr>
        <w:t>5</w:t>
      </w:r>
      <w:r>
        <w:rPr>
          <w:rFonts w:hint="eastAsia"/>
          <w:sz w:val="24"/>
        </w:rPr>
        <w:t>人组成</w:t>
      </w:r>
      <w:r>
        <w:rPr>
          <w:rFonts w:hint="eastAsia"/>
          <w:sz w:val="24"/>
          <w:lang w:eastAsia="zh-CN"/>
        </w:rPr>
        <w:t>。</w:t>
      </w:r>
    </w:p>
    <w:p w14:paraId="21EE84D5">
      <w:pPr>
        <w:spacing w:line="360" w:lineRule="auto"/>
        <w:rPr>
          <w:rFonts w:hint="eastAsia" w:ascii="宋体" w:hAnsi="宋体"/>
          <w:b/>
          <w:sz w:val="24"/>
        </w:rPr>
      </w:pPr>
      <w:r>
        <w:rPr>
          <w:rFonts w:hint="eastAsia" w:ascii="宋体" w:hAnsi="宋体"/>
          <w:b/>
          <w:sz w:val="24"/>
        </w:rPr>
        <w:t>（二）评标的方式</w:t>
      </w:r>
    </w:p>
    <w:p w14:paraId="72FBBB65">
      <w:pPr>
        <w:spacing w:line="360" w:lineRule="auto"/>
        <w:ind w:firstLine="480" w:firstLineChars="200"/>
        <w:rPr>
          <w:rFonts w:hint="eastAsia" w:ascii="宋体" w:hAnsi="宋体"/>
          <w:sz w:val="24"/>
        </w:rPr>
      </w:pPr>
      <w:r>
        <w:rPr>
          <w:rFonts w:hint="eastAsia" w:ascii="宋体" w:hAnsi="宋体"/>
          <w:sz w:val="24"/>
        </w:rPr>
        <w:t>本项目采用不公开方式评标，评标的依据为招标文件和投标文件。</w:t>
      </w:r>
    </w:p>
    <w:p w14:paraId="7EA098A9">
      <w:pPr>
        <w:spacing w:line="360" w:lineRule="auto"/>
        <w:rPr>
          <w:rFonts w:hint="eastAsia" w:ascii="宋体" w:hAnsi="宋体"/>
          <w:b/>
          <w:sz w:val="24"/>
        </w:rPr>
      </w:pPr>
      <w:r>
        <w:rPr>
          <w:rFonts w:hint="eastAsia" w:ascii="宋体" w:hAnsi="宋体"/>
          <w:b/>
          <w:sz w:val="24"/>
        </w:rPr>
        <w:t>（三）评标程序</w:t>
      </w:r>
    </w:p>
    <w:p w14:paraId="15BA8240">
      <w:pPr>
        <w:spacing w:line="360" w:lineRule="auto"/>
        <w:ind w:firstLine="482" w:firstLineChars="200"/>
        <w:rPr>
          <w:rFonts w:hint="eastAsia" w:ascii="宋体" w:hAnsi="宋体"/>
          <w:b/>
          <w:bCs/>
          <w:sz w:val="24"/>
        </w:rPr>
      </w:pPr>
      <w:r>
        <w:rPr>
          <w:rFonts w:hint="eastAsia" w:ascii="宋体" w:hAnsi="宋体"/>
          <w:b/>
          <w:bCs/>
          <w:sz w:val="24"/>
        </w:rPr>
        <w:t>1.形式审查</w:t>
      </w:r>
    </w:p>
    <w:p w14:paraId="20497446">
      <w:pPr>
        <w:spacing w:line="360" w:lineRule="auto"/>
        <w:ind w:firstLine="480" w:firstLineChars="200"/>
        <w:rPr>
          <w:rFonts w:hint="eastAsia" w:ascii="宋体" w:hAnsi="宋体"/>
          <w:b/>
          <w:sz w:val="24"/>
        </w:rPr>
      </w:pPr>
      <w:r>
        <w:rPr>
          <w:rFonts w:hint="eastAsia" w:ascii="宋体" w:hAnsi="宋体"/>
          <w:sz w:val="24"/>
        </w:rPr>
        <w:t>招标方工作人员协助评标委员会对投标人的资格和投标文件的完整性、合法性等进行审查。</w:t>
      </w:r>
    </w:p>
    <w:p w14:paraId="1D340B45">
      <w:pPr>
        <w:spacing w:line="360" w:lineRule="auto"/>
        <w:ind w:firstLine="482" w:firstLineChars="200"/>
        <w:rPr>
          <w:rFonts w:hint="eastAsia" w:ascii="宋体" w:hAnsi="宋体"/>
          <w:b/>
          <w:bCs/>
          <w:sz w:val="24"/>
        </w:rPr>
      </w:pPr>
      <w:r>
        <w:rPr>
          <w:rFonts w:hint="eastAsia" w:ascii="宋体" w:hAnsi="宋体"/>
          <w:b/>
          <w:bCs/>
          <w:sz w:val="24"/>
        </w:rPr>
        <w:t>2.实质审查与比较</w:t>
      </w:r>
    </w:p>
    <w:p w14:paraId="24469D11">
      <w:pPr>
        <w:spacing w:line="360" w:lineRule="auto"/>
        <w:ind w:firstLine="480" w:firstLineChars="200"/>
        <w:rPr>
          <w:rFonts w:hint="eastAsia" w:ascii="宋体" w:hAnsi="宋体"/>
          <w:sz w:val="24"/>
        </w:rPr>
      </w:pPr>
      <w:r>
        <w:rPr>
          <w:rFonts w:hint="eastAsia" w:ascii="宋体" w:hAnsi="宋体"/>
          <w:sz w:val="24"/>
        </w:rPr>
        <w:t>（1）评标委员会审查投标文件的实质性内容是否符合招标文件的实质性要求。</w:t>
      </w:r>
    </w:p>
    <w:p w14:paraId="28B94169">
      <w:pPr>
        <w:spacing w:line="360" w:lineRule="auto"/>
        <w:ind w:firstLine="480" w:firstLineChars="200"/>
        <w:rPr>
          <w:rFonts w:hint="eastAsia" w:ascii="宋体" w:hAnsi="宋体"/>
          <w:sz w:val="24"/>
        </w:rPr>
      </w:pPr>
      <w:r>
        <w:rPr>
          <w:rFonts w:hint="eastAsia" w:ascii="宋体" w:hAnsi="宋体"/>
          <w:sz w:val="24"/>
        </w:rPr>
        <w:t>（2）评标委员会将对投标人的投标文件进行审查、核对,如有疑问,将对投标人进行询标,投标人要向评标委员会澄清有关问题,并最终以书面形式进行答复。</w:t>
      </w:r>
    </w:p>
    <w:p w14:paraId="031F15D5">
      <w:pPr>
        <w:spacing w:line="360" w:lineRule="auto"/>
        <w:rPr>
          <w:rFonts w:hint="eastAsia" w:ascii="宋体" w:hAnsi="宋体"/>
          <w:sz w:val="24"/>
        </w:rPr>
      </w:pPr>
      <w:r>
        <w:rPr>
          <w:rFonts w:hint="eastAsia" w:ascii="宋体" w:hAnsi="宋体"/>
          <w:sz w:val="24"/>
        </w:rPr>
        <w:t>投标人拒绝澄清或者澄清的内容改变了投标文件的实质性内容的，评标委员会有权对该投标文件作出不利于投标人的评判。</w:t>
      </w:r>
    </w:p>
    <w:p w14:paraId="48BFD61A">
      <w:pPr>
        <w:spacing w:line="360" w:lineRule="auto"/>
        <w:ind w:firstLine="480" w:firstLineChars="200"/>
        <w:rPr>
          <w:rFonts w:hint="eastAsia" w:ascii="宋体" w:hAnsi="宋体"/>
          <w:sz w:val="24"/>
        </w:rPr>
      </w:pPr>
      <w:r>
        <w:rPr>
          <w:rFonts w:hint="eastAsia" w:ascii="宋体" w:hAnsi="宋体"/>
          <w:sz w:val="24"/>
        </w:rPr>
        <w:t>（3）各投标人的技术得分为所有评委的有效评分的算术平均数，由指定专人进行计算复核。</w:t>
      </w:r>
    </w:p>
    <w:p w14:paraId="095F484C">
      <w:pPr>
        <w:spacing w:line="360" w:lineRule="auto"/>
        <w:ind w:firstLine="480" w:firstLineChars="200"/>
        <w:rPr>
          <w:rFonts w:hint="eastAsia" w:ascii="宋体" w:hAnsi="宋体"/>
          <w:sz w:val="24"/>
        </w:rPr>
      </w:pPr>
      <w:r>
        <w:rPr>
          <w:rFonts w:hint="eastAsia" w:ascii="宋体" w:hAnsi="宋体"/>
          <w:sz w:val="24"/>
        </w:rPr>
        <w:t>（4）招标方工作人员协助评标委员会审核商务报价有无计算错误，并根据本项目的评分标准计算各投标人的商务报价得分。</w:t>
      </w:r>
    </w:p>
    <w:p w14:paraId="341B8BCE">
      <w:pPr>
        <w:spacing w:line="360" w:lineRule="auto"/>
        <w:ind w:firstLine="480" w:firstLineChars="200"/>
        <w:rPr>
          <w:rFonts w:hint="eastAsia" w:ascii="宋体" w:hAnsi="宋体"/>
          <w:sz w:val="24"/>
        </w:rPr>
      </w:pPr>
      <w:r>
        <w:rPr>
          <w:rFonts w:hint="eastAsia" w:ascii="宋体" w:hAnsi="宋体"/>
          <w:sz w:val="24"/>
        </w:rPr>
        <w:t>（5）评标委员会完成评标后, 招标方工作人员对各部分得分汇总,计算出本项目最终得分。</w:t>
      </w:r>
    </w:p>
    <w:p w14:paraId="6CF94CD6">
      <w:pPr>
        <w:spacing w:line="360" w:lineRule="auto"/>
        <w:rPr>
          <w:rFonts w:hint="eastAsia" w:ascii="宋体" w:hAnsi="宋体"/>
          <w:b/>
          <w:sz w:val="24"/>
        </w:rPr>
      </w:pPr>
      <w:r>
        <w:rPr>
          <w:rFonts w:hint="eastAsia" w:ascii="宋体" w:hAnsi="宋体"/>
          <w:b/>
          <w:sz w:val="24"/>
        </w:rPr>
        <w:t>（四）澄清问题的形式</w:t>
      </w:r>
    </w:p>
    <w:p w14:paraId="00E4CBD0">
      <w:pPr>
        <w:spacing w:line="360" w:lineRule="auto"/>
        <w:ind w:firstLine="480" w:firstLineChars="200"/>
        <w:rPr>
          <w:rFonts w:hint="eastAsia" w:ascii="宋体" w:hAnsi="宋体"/>
          <w:sz w:val="24"/>
        </w:rPr>
      </w:pPr>
      <w:r>
        <w:rPr>
          <w:rFonts w:hint="eastAsia" w:ascii="宋体" w:hAnsi="宋体"/>
          <w:sz w:val="24"/>
        </w:rPr>
        <w:t>对投标文件中含义不明确、同类问题表述不一致或者有明显文字和计算错误的内容，评标委员会可要求投标人作出必要的澄清、说明或者纠正。投标人的澄清、说明或者补正应当采用书面形式，由法定代表人或其委托代理人签字确认，并不得超出投标文件的范围或者改变投标文件的实质性内容。</w:t>
      </w:r>
    </w:p>
    <w:p w14:paraId="0B8352C6">
      <w:pPr>
        <w:spacing w:line="360" w:lineRule="auto"/>
        <w:rPr>
          <w:rFonts w:hint="eastAsia" w:ascii="宋体" w:hAnsi="宋体"/>
          <w:b/>
          <w:sz w:val="24"/>
        </w:rPr>
      </w:pPr>
      <w:r>
        <w:rPr>
          <w:rFonts w:hint="eastAsia" w:ascii="宋体" w:hAnsi="宋体"/>
          <w:b/>
          <w:sz w:val="24"/>
        </w:rPr>
        <w:t>（五）错误修正</w:t>
      </w:r>
    </w:p>
    <w:p w14:paraId="439AD984">
      <w:pPr>
        <w:spacing w:line="360" w:lineRule="auto"/>
        <w:ind w:firstLine="480" w:firstLineChars="200"/>
        <w:rPr>
          <w:rFonts w:hint="eastAsia" w:ascii="宋体" w:hAnsi="宋体"/>
          <w:sz w:val="24"/>
        </w:rPr>
      </w:pPr>
      <w:r>
        <w:rPr>
          <w:rFonts w:hint="eastAsia" w:ascii="宋体" w:hAnsi="宋体"/>
          <w:sz w:val="24"/>
        </w:rPr>
        <w:t>投标文件如果出现计算或表达上的错误，修正错误的原则如下：</w:t>
      </w:r>
    </w:p>
    <w:p w14:paraId="249DEF01">
      <w:pPr>
        <w:spacing w:line="360" w:lineRule="auto"/>
        <w:ind w:firstLine="480" w:firstLineChars="200"/>
        <w:rPr>
          <w:rFonts w:hint="eastAsia" w:ascii="宋体" w:hAnsi="宋体"/>
          <w:sz w:val="24"/>
          <w:szCs w:val="20"/>
        </w:rPr>
      </w:pPr>
      <w:r>
        <w:rPr>
          <w:rFonts w:hint="eastAsia" w:ascii="宋体" w:hAnsi="宋体"/>
          <w:sz w:val="24"/>
        </w:rPr>
        <w:t>1.投标文件中开标一览表（报价表）内容与与投标文件中相应内容不一致的，</w:t>
      </w:r>
      <w:r>
        <w:rPr>
          <w:rFonts w:hint="eastAsia" w:ascii="宋体" w:hAnsi="宋体" w:cs="Arial"/>
          <w:kern w:val="0"/>
          <w:sz w:val="24"/>
        </w:rPr>
        <w:t>以开标一览表（报价表）为准；</w:t>
      </w:r>
    </w:p>
    <w:p w14:paraId="6FC21733">
      <w:pPr>
        <w:pStyle w:val="36"/>
        <w:spacing w:before="0" w:beforeLines="0" w:after="0" w:afterLines="0" w:line="360" w:lineRule="auto"/>
        <w:ind w:firstLine="480" w:firstLineChars="200"/>
        <w:rPr>
          <w:rFonts w:hint="eastAsia" w:hAnsi="宋体"/>
        </w:rPr>
      </w:pPr>
      <w:r>
        <w:rPr>
          <w:rFonts w:hint="eastAsia" w:hAnsi="宋体"/>
        </w:rPr>
        <w:t>2.大写金额和小写金额不一致的，以大写金额为准；</w:t>
      </w:r>
    </w:p>
    <w:p w14:paraId="5B3AC90B">
      <w:pPr>
        <w:pStyle w:val="36"/>
        <w:spacing w:before="0" w:beforeLines="0" w:after="0" w:afterLines="0" w:line="360" w:lineRule="auto"/>
        <w:ind w:firstLine="480" w:firstLineChars="200"/>
        <w:rPr>
          <w:rFonts w:hint="eastAsia" w:hAnsi="宋体"/>
        </w:rPr>
      </w:pPr>
      <w:r>
        <w:rPr>
          <w:rFonts w:hint="eastAsia" w:hAnsi="宋体"/>
        </w:rPr>
        <w:t>3.单价金额小数点或者百分比有明显错位的，以开标一览表的总价为准，并修改单价；</w:t>
      </w:r>
    </w:p>
    <w:p w14:paraId="4E66637D">
      <w:pPr>
        <w:pStyle w:val="36"/>
        <w:spacing w:before="0" w:beforeLines="0" w:after="0" w:afterLines="0" w:line="360" w:lineRule="auto"/>
        <w:ind w:firstLine="480" w:firstLineChars="200"/>
        <w:rPr>
          <w:rFonts w:hint="eastAsia" w:hAnsi="宋体"/>
        </w:rPr>
      </w:pPr>
      <w:r>
        <w:rPr>
          <w:rFonts w:hint="eastAsia" w:hAnsi="宋体"/>
        </w:rPr>
        <w:t>4.总价金额与按单价汇总金额不一致的，以单价金额计算结果为准；</w:t>
      </w:r>
    </w:p>
    <w:p w14:paraId="53EFF468">
      <w:pPr>
        <w:pStyle w:val="36"/>
        <w:spacing w:before="0" w:beforeLines="0" w:after="0" w:afterLines="0" w:line="360" w:lineRule="auto"/>
        <w:ind w:firstLine="480" w:firstLineChars="200"/>
        <w:rPr>
          <w:rFonts w:hint="eastAsia" w:hAnsi="宋体"/>
        </w:rPr>
      </w:pPr>
      <w:r>
        <w:rPr>
          <w:rFonts w:hint="eastAsia" w:hAnsi="宋体"/>
        </w:rPr>
        <w:t>5.对不同文字文本投标文件的解释发生异议的，以中文文本为准。</w:t>
      </w:r>
    </w:p>
    <w:p w14:paraId="4DF347AD">
      <w:pPr>
        <w:spacing w:line="360" w:lineRule="auto"/>
        <w:ind w:firstLine="480" w:firstLineChars="200"/>
        <w:rPr>
          <w:rFonts w:hint="eastAsia" w:ascii="宋体" w:hAnsi="宋体"/>
          <w:sz w:val="24"/>
        </w:rPr>
      </w:pPr>
      <w:r>
        <w:rPr>
          <w:rFonts w:hint="eastAsia" w:ascii="宋体" w:hAnsi="宋体"/>
          <w:sz w:val="24"/>
        </w:rPr>
        <w:t>同时出现两种以上不一致的，按照前款规定的顺序修正。</w:t>
      </w:r>
      <w:r>
        <w:rPr>
          <w:rFonts w:hint="eastAsia"/>
          <w:sz w:val="24"/>
        </w:rPr>
        <w:t>修正后的报价按照《东阳市国有企业采购管理办法（2020年修订）》 三、采购方式和程序 （二）公开招标 第4点第（2）条规定：对</w:t>
      </w:r>
      <w:r>
        <w:rPr>
          <w:rFonts w:hint="eastAsia" w:ascii="宋体" w:hAnsi="宋体"/>
          <w:sz w:val="24"/>
        </w:rPr>
        <w:t xml:space="preserve">投标文件中有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  </w:t>
      </w:r>
    </w:p>
    <w:p w14:paraId="76308164">
      <w:pPr>
        <w:spacing w:line="360" w:lineRule="auto"/>
        <w:ind w:firstLine="361" w:firstLineChars="150"/>
        <w:rPr>
          <w:rFonts w:hint="eastAsia" w:ascii="宋体" w:hAnsi="宋体"/>
          <w:b/>
          <w:bCs/>
          <w:sz w:val="24"/>
        </w:rPr>
      </w:pPr>
      <w:r>
        <w:rPr>
          <w:rFonts w:hint="eastAsia" w:ascii="宋体" w:hAnsi="宋体"/>
          <w:b/>
          <w:sz w:val="24"/>
        </w:rPr>
        <w:t>（六）评标原则和评标办法</w:t>
      </w:r>
    </w:p>
    <w:p w14:paraId="09EE2B0B">
      <w:pPr>
        <w:spacing w:line="360" w:lineRule="auto"/>
        <w:ind w:firstLine="480" w:firstLineChars="200"/>
        <w:rPr>
          <w:rFonts w:hint="eastAsia" w:ascii="宋体" w:hAnsi="宋体"/>
          <w:sz w:val="24"/>
        </w:rPr>
      </w:pPr>
      <w:r>
        <w:rPr>
          <w:rFonts w:hint="eastAsia" w:ascii="宋体" w:hAnsi="宋体"/>
          <w:sz w:val="24"/>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884245D">
      <w:pPr>
        <w:spacing w:line="360" w:lineRule="auto"/>
        <w:ind w:firstLine="480" w:firstLineChars="200"/>
        <w:rPr>
          <w:rFonts w:hint="eastAsia" w:ascii="宋体" w:hAnsi="宋体"/>
          <w:sz w:val="24"/>
        </w:rPr>
      </w:pPr>
      <w:r>
        <w:rPr>
          <w:rFonts w:hint="eastAsia" w:ascii="宋体" w:hAnsi="宋体"/>
          <w:sz w:val="24"/>
        </w:rPr>
        <w:t>2.评标办法。本项目评标办法是：综合评分法 ，具体评标内容及评分标准等详见《第四章：评标办法及评分标准》。</w:t>
      </w:r>
    </w:p>
    <w:p w14:paraId="689FDFE0">
      <w:pPr>
        <w:spacing w:line="360" w:lineRule="auto"/>
        <w:ind w:firstLine="241" w:firstLineChars="100"/>
        <w:rPr>
          <w:rFonts w:hint="eastAsia" w:ascii="宋体" w:hAnsi="宋体"/>
          <w:b/>
          <w:sz w:val="24"/>
        </w:rPr>
      </w:pPr>
      <w:r>
        <w:rPr>
          <w:rFonts w:hint="eastAsia" w:ascii="宋体" w:hAnsi="宋体"/>
          <w:b/>
          <w:sz w:val="24"/>
        </w:rPr>
        <w:t>（七）评标过程的监控</w:t>
      </w:r>
    </w:p>
    <w:p w14:paraId="74783B94">
      <w:pPr>
        <w:spacing w:line="360" w:lineRule="auto"/>
        <w:ind w:firstLine="480" w:firstLineChars="200"/>
        <w:rPr>
          <w:rFonts w:hint="eastAsia" w:ascii="宋体" w:hAnsi="宋体"/>
          <w:sz w:val="24"/>
        </w:rPr>
      </w:pPr>
      <w:r>
        <w:rPr>
          <w:rFonts w:hint="eastAsia" w:ascii="宋体" w:hAnsi="宋体"/>
          <w:sz w:val="24"/>
        </w:rPr>
        <w:t>本项目评标过程实行全程录音、录像监控，投标人在评标过程中所进行的试图影响评标结果的不公正活动，可能导致其投标被拒绝。</w:t>
      </w:r>
    </w:p>
    <w:p w14:paraId="59A1A842">
      <w:pPr>
        <w:pStyle w:val="2"/>
        <w:pageBreakBefore/>
        <w:spacing w:line="360" w:lineRule="auto"/>
        <w:jc w:val="center"/>
        <w:rPr>
          <w:rFonts w:hint="eastAsia" w:ascii="宋体" w:hAnsi="宋体"/>
        </w:rPr>
      </w:pPr>
      <w:bookmarkStart w:id="48" w:name="_Toc30378"/>
      <w:bookmarkStart w:id="49" w:name="_Toc457300220"/>
      <w:bookmarkStart w:id="50" w:name="_Toc31113"/>
      <w:r>
        <w:rPr>
          <w:rFonts w:hint="eastAsia" w:ascii="宋体" w:hAnsi="宋体"/>
        </w:rPr>
        <w:t>六、定标</w:t>
      </w:r>
      <w:bookmarkEnd w:id="48"/>
      <w:bookmarkEnd w:id="49"/>
      <w:bookmarkEnd w:id="50"/>
    </w:p>
    <w:p w14:paraId="4E08BAE3">
      <w:pPr>
        <w:spacing w:line="360" w:lineRule="auto"/>
        <w:rPr>
          <w:rFonts w:hint="eastAsia" w:ascii="宋体" w:hAnsi="宋体"/>
          <w:sz w:val="24"/>
        </w:rPr>
      </w:pPr>
      <w:r>
        <w:rPr>
          <w:rFonts w:hint="eastAsia" w:ascii="宋体" w:hAnsi="宋体"/>
          <w:sz w:val="24"/>
        </w:rPr>
        <w:t>（一）确定</w:t>
      </w:r>
      <w:r>
        <w:rPr>
          <w:rFonts w:ascii="宋体" w:hAnsi="宋体"/>
          <w:sz w:val="24"/>
        </w:rPr>
        <w:t>中标人</w:t>
      </w:r>
      <w:r>
        <w:rPr>
          <w:rFonts w:hint="eastAsia" w:ascii="宋体" w:hAnsi="宋体"/>
          <w:sz w:val="24"/>
        </w:rPr>
        <w:t>，</w:t>
      </w:r>
      <w:r>
        <w:rPr>
          <w:rFonts w:hint="eastAsia" w:ascii="宋体" w:hAnsi="宋体"/>
          <w:b/>
          <w:bCs/>
          <w:sz w:val="24"/>
        </w:rPr>
        <w:t>本项目由采购人授权评标委员会确定</w:t>
      </w:r>
      <w:r>
        <w:rPr>
          <w:rFonts w:ascii="宋体" w:hAnsi="宋体"/>
          <w:b/>
          <w:bCs/>
          <w:sz w:val="24"/>
        </w:rPr>
        <w:t>中标人</w:t>
      </w:r>
      <w:r>
        <w:rPr>
          <w:rFonts w:hint="eastAsia" w:ascii="宋体" w:hAnsi="宋体"/>
          <w:b/>
          <w:bCs/>
          <w:sz w:val="24"/>
        </w:rPr>
        <w:t>。</w:t>
      </w:r>
    </w:p>
    <w:p w14:paraId="045980CC">
      <w:pPr>
        <w:spacing w:line="360" w:lineRule="auto"/>
        <w:ind w:firstLine="480" w:firstLineChars="200"/>
        <w:rPr>
          <w:rFonts w:hint="eastAsia"/>
          <w:sz w:val="24"/>
        </w:rPr>
      </w:pPr>
      <w:r>
        <w:rPr>
          <w:rFonts w:hint="eastAsia"/>
          <w:sz w:val="24"/>
        </w:rPr>
        <w:t>1.招标方在评标结束后2个工作日内将评标报告交采购人确认。</w:t>
      </w:r>
    </w:p>
    <w:p w14:paraId="3E52BA95">
      <w:pPr>
        <w:spacing w:line="360" w:lineRule="auto"/>
        <w:ind w:firstLine="480" w:firstLineChars="200"/>
        <w:rPr>
          <w:rFonts w:hint="eastAsia"/>
          <w:sz w:val="24"/>
        </w:rPr>
      </w:pPr>
      <w:r>
        <w:rPr>
          <w:rFonts w:hint="eastAsia"/>
          <w:sz w:val="24"/>
        </w:rPr>
        <w:t>2.投标人对评标结果无异议的，采购人应在收到评标报告后5个工作日内对评标结果进行确认。如有投标人对评标结果提出质疑的，采购人可在质疑处理完毕后确定</w:t>
      </w:r>
      <w:r>
        <w:rPr>
          <w:sz w:val="24"/>
        </w:rPr>
        <w:t>中标人</w:t>
      </w:r>
      <w:r>
        <w:rPr>
          <w:rFonts w:hint="eastAsia"/>
          <w:sz w:val="24"/>
        </w:rPr>
        <w:t>。</w:t>
      </w:r>
    </w:p>
    <w:p w14:paraId="0D7F58CC">
      <w:pPr>
        <w:spacing w:line="360" w:lineRule="auto"/>
        <w:ind w:firstLine="480" w:firstLineChars="200"/>
        <w:rPr>
          <w:rFonts w:hint="eastAsia"/>
          <w:sz w:val="24"/>
        </w:rPr>
      </w:pPr>
      <w:r>
        <w:rPr>
          <w:rFonts w:hint="eastAsia"/>
          <w:sz w:val="24"/>
        </w:rPr>
        <w:t>3.采购人依法确定</w:t>
      </w:r>
      <w:r>
        <w:rPr>
          <w:sz w:val="24"/>
        </w:rPr>
        <w:t>中标人</w:t>
      </w:r>
      <w:r>
        <w:rPr>
          <w:rFonts w:hint="eastAsia"/>
          <w:sz w:val="24"/>
        </w:rPr>
        <w:t>后2个工作日内，招标</w:t>
      </w:r>
      <w:r>
        <w:rPr>
          <w:sz w:val="24"/>
        </w:rPr>
        <w:t>人</w:t>
      </w:r>
      <w:r>
        <w:rPr>
          <w:rFonts w:hint="eastAsia"/>
          <w:sz w:val="24"/>
        </w:rPr>
        <w:t>在相关网站上发布中标结果公告，中标公示三个工作日后无异议的，发出《中标通知书》。</w:t>
      </w:r>
    </w:p>
    <w:p w14:paraId="5274D776">
      <w:pPr>
        <w:spacing w:line="360" w:lineRule="auto"/>
        <w:ind w:firstLine="480" w:firstLineChars="200"/>
        <w:rPr>
          <w:rFonts w:hint="eastAsia" w:ascii="宋体" w:hAnsi="宋体"/>
          <w:sz w:val="24"/>
        </w:rPr>
      </w:pPr>
      <w:r>
        <w:rPr>
          <w:rFonts w:hint="eastAsia" w:ascii="宋体" w:hAnsi="宋体"/>
          <w:sz w:val="24"/>
        </w:rPr>
        <w:t>4.确定</w:t>
      </w:r>
      <w:r>
        <w:rPr>
          <w:rFonts w:ascii="宋体" w:hAnsi="宋体"/>
          <w:sz w:val="24"/>
        </w:rPr>
        <w:t>中标人</w:t>
      </w:r>
      <w:r>
        <w:rPr>
          <w:rFonts w:hint="eastAsia" w:ascii="宋体" w:hAnsi="宋体"/>
          <w:sz w:val="24"/>
        </w:rPr>
        <w:t>后，</w:t>
      </w:r>
      <w:r>
        <w:rPr>
          <w:rFonts w:ascii="宋体" w:hAnsi="宋体"/>
          <w:sz w:val="24"/>
        </w:rPr>
        <w:t>中标人</w:t>
      </w:r>
      <w:r>
        <w:rPr>
          <w:rFonts w:hint="eastAsia" w:ascii="宋体" w:hAnsi="宋体"/>
          <w:sz w:val="24"/>
        </w:rPr>
        <w:t>应在三个工作日内，向招标人领取《中标通知书》，否则，按放弃中标资格处理，并由第二预</w:t>
      </w:r>
      <w:r>
        <w:rPr>
          <w:rFonts w:ascii="宋体" w:hAnsi="宋体"/>
          <w:sz w:val="24"/>
        </w:rPr>
        <w:t>中标人</w:t>
      </w:r>
      <w:r>
        <w:rPr>
          <w:rFonts w:hint="eastAsia" w:ascii="宋体" w:hAnsi="宋体"/>
          <w:sz w:val="24"/>
        </w:rPr>
        <w:t>接替中标，以此类推。</w:t>
      </w:r>
    </w:p>
    <w:p w14:paraId="153E9D1F">
      <w:pPr>
        <w:spacing w:line="360" w:lineRule="auto"/>
        <w:ind w:firstLine="480" w:firstLineChars="200"/>
        <w:rPr>
          <w:rFonts w:hint="eastAsia" w:ascii="宋体" w:hAnsi="宋体"/>
          <w:sz w:val="24"/>
        </w:rPr>
      </w:pPr>
    </w:p>
    <w:p w14:paraId="321EB631">
      <w:pPr>
        <w:spacing w:line="360" w:lineRule="auto"/>
        <w:ind w:firstLine="480" w:firstLineChars="200"/>
        <w:rPr>
          <w:rFonts w:hint="eastAsia" w:ascii="宋体" w:hAnsi="宋体"/>
          <w:sz w:val="24"/>
        </w:rPr>
      </w:pPr>
    </w:p>
    <w:p w14:paraId="3FB0C11F">
      <w:pPr>
        <w:pStyle w:val="2"/>
        <w:pageBreakBefore/>
        <w:spacing w:line="360" w:lineRule="auto"/>
        <w:jc w:val="center"/>
        <w:rPr>
          <w:rFonts w:hint="eastAsia" w:ascii="宋体" w:hAnsi="宋体"/>
        </w:rPr>
      </w:pPr>
      <w:bookmarkStart w:id="51" w:name="_Toc22624"/>
      <w:bookmarkStart w:id="52" w:name="_Toc457300221"/>
      <w:bookmarkStart w:id="53" w:name="_Toc22330"/>
      <w:r>
        <w:rPr>
          <w:rFonts w:hint="eastAsia" w:ascii="宋体" w:hAnsi="宋体"/>
        </w:rPr>
        <w:t>七、合同授予</w:t>
      </w:r>
      <w:bookmarkEnd w:id="51"/>
      <w:bookmarkEnd w:id="52"/>
      <w:bookmarkEnd w:id="53"/>
    </w:p>
    <w:p w14:paraId="13DD1DDC">
      <w:pPr>
        <w:spacing w:line="360" w:lineRule="auto"/>
        <w:rPr>
          <w:rFonts w:hint="eastAsia"/>
          <w:b/>
          <w:sz w:val="24"/>
        </w:rPr>
      </w:pPr>
      <w:r>
        <w:rPr>
          <w:rFonts w:hint="eastAsia"/>
          <w:b/>
          <w:sz w:val="24"/>
        </w:rPr>
        <w:t>（一）签订合同</w:t>
      </w:r>
    </w:p>
    <w:p w14:paraId="20B71E66">
      <w:pPr>
        <w:spacing w:line="360" w:lineRule="auto"/>
        <w:ind w:firstLine="480" w:firstLineChars="200"/>
        <w:rPr>
          <w:rFonts w:hint="eastAsia"/>
          <w:sz w:val="24"/>
        </w:rPr>
      </w:pPr>
      <w:r>
        <w:rPr>
          <w:rFonts w:hint="eastAsia"/>
          <w:sz w:val="24"/>
        </w:rPr>
        <w:t>1.采购人与</w:t>
      </w:r>
      <w:r>
        <w:rPr>
          <w:sz w:val="24"/>
        </w:rPr>
        <w:t>中标人</w:t>
      </w:r>
      <w:r>
        <w:rPr>
          <w:rFonts w:hint="eastAsia"/>
          <w:sz w:val="24"/>
        </w:rPr>
        <w:t>应当在《中标通知书》发出之日起</w:t>
      </w:r>
      <w:r>
        <w:rPr>
          <w:sz w:val="24"/>
        </w:rPr>
        <w:t>30</w:t>
      </w:r>
      <w:r>
        <w:rPr>
          <w:rFonts w:hint="eastAsia"/>
          <w:sz w:val="24"/>
        </w:rPr>
        <w:t>日内签订采购合同。同时，招标方对合同内容进行审查，如发现与采购结果和投标承诺内容不一致的，应予以纠正。</w:t>
      </w:r>
    </w:p>
    <w:p w14:paraId="7BB7E766">
      <w:pPr>
        <w:spacing w:line="360" w:lineRule="auto"/>
        <w:ind w:firstLine="480" w:firstLineChars="200"/>
        <w:rPr>
          <w:rFonts w:hint="eastAsia"/>
          <w:sz w:val="24"/>
        </w:rPr>
      </w:pPr>
      <w:r>
        <w:rPr>
          <w:rFonts w:hint="eastAsia"/>
          <w:sz w:val="24"/>
        </w:rPr>
        <w:t>2.</w:t>
      </w:r>
      <w:r>
        <w:rPr>
          <w:sz w:val="24"/>
        </w:rPr>
        <w:t>中标人</w:t>
      </w:r>
      <w:r>
        <w:rPr>
          <w:rFonts w:hint="eastAsia"/>
          <w:sz w:val="24"/>
        </w:rPr>
        <w:t>拖延、拒签合同的,在30日内未完成合同签订的，将被扣罚履约保证金并取消其中标资格，由第二预</w:t>
      </w:r>
      <w:r>
        <w:rPr>
          <w:sz w:val="24"/>
        </w:rPr>
        <w:t>中标人</w:t>
      </w:r>
      <w:r>
        <w:rPr>
          <w:rFonts w:hint="eastAsia"/>
          <w:sz w:val="24"/>
        </w:rPr>
        <w:t>接替，以此类推。但第二预</w:t>
      </w:r>
      <w:r>
        <w:rPr>
          <w:sz w:val="24"/>
        </w:rPr>
        <w:t>中标人</w:t>
      </w:r>
      <w:r>
        <w:rPr>
          <w:rFonts w:hint="eastAsia"/>
          <w:sz w:val="24"/>
        </w:rPr>
        <w:t>的投标报价与第一预</w:t>
      </w:r>
      <w:r>
        <w:rPr>
          <w:sz w:val="24"/>
        </w:rPr>
        <w:t>中标人</w:t>
      </w:r>
      <w:r>
        <w:rPr>
          <w:rFonts w:hint="eastAsia"/>
          <w:sz w:val="24"/>
        </w:rPr>
        <w:t>的投标报价差额大于第一预</w:t>
      </w:r>
      <w:r>
        <w:rPr>
          <w:sz w:val="24"/>
        </w:rPr>
        <w:t>中标人</w:t>
      </w:r>
      <w:r>
        <w:rPr>
          <w:rFonts w:hint="eastAsia"/>
          <w:sz w:val="24"/>
        </w:rPr>
        <w:t>所交纳的履约保证金时，将重新组织招标。</w:t>
      </w:r>
    </w:p>
    <w:p w14:paraId="18367E74">
      <w:pPr>
        <w:spacing w:line="360" w:lineRule="auto"/>
        <w:rPr>
          <w:rFonts w:hint="eastAsia"/>
          <w:b/>
          <w:sz w:val="24"/>
        </w:rPr>
      </w:pPr>
      <w:r>
        <w:rPr>
          <w:rFonts w:hint="eastAsia"/>
          <w:b/>
          <w:sz w:val="24"/>
        </w:rPr>
        <w:t>（二）履约保证金</w:t>
      </w:r>
    </w:p>
    <w:p w14:paraId="0B1B505C">
      <w:pPr>
        <w:spacing w:line="360" w:lineRule="auto"/>
        <w:ind w:firstLine="480" w:firstLineChars="200"/>
        <w:jc w:val="left"/>
        <w:rPr>
          <w:rFonts w:hint="eastAsia"/>
          <w:sz w:val="24"/>
        </w:rPr>
      </w:pPr>
      <w:r>
        <w:rPr>
          <w:rFonts w:hint="eastAsia"/>
          <w:sz w:val="24"/>
        </w:rPr>
        <w:t>1.</w:t>
      </w:r>
      <w:r>
        <w:rPr>
          <w:rFonts w:hint="eastAsia" w:ascii="宋体" w:hAnsi="宋体"/>
        </w:rPr>
        <w:t xml:space="preserve"> </w:t>
      </w:r>
      <w:r>
        <w:rPr>
          <w:rFonts w:hint="eastAsia" w:ascii="宋体" w:hAnsi="宋体"/>
          <w:sz w:val="24"/>
        </w:rPr>
        <w:t>履约保证金为中标价的1%，在</w:t>
      </w:r>
      <w:r>
        <w:rPr>
          <w:rFonts w:hint="eastAsia" w:ascii="宋体" w:hAnsi="宋体" w:cs="宋体"/>
          <w:sz w:val="24"/>
        </w:rPr>
        <w:t>领取中标通知书前交纳至采购人指定账户或办理保函手续（保函期限应大于履约期限2个月）</w:t>
      </w:r>
      <w:r>
        <w:rPr>
          <w:rFonts w:hint="eastAsia" w:ascii="宋体" w:hAnsi="宋体"/>
          <w:sz w:val="24"/>
        </w:rPr>
        <w:t xml:space="preserve">，保函手续也可在东阳市鑫盛工程咨询有限公司办理（办理保函需提供资料详见附件）。     </w:t>
      </w:r>
      <w:r>
        <w:rPr>
          <w:rFonts w:hint="eastAsia"/>
          <w:sz w:val="24"/>
        </w:rPr>
        <w:t xml:space="preserve">          </w:t>
      </w:r>
    </w:p>
    <w:p w14:paraId="4FB6015A">
      <w:pPr>
        <w:spacing w:line="360" w:lineRule="auto"/>
        <w:ind w:firstLine="480" w:firstLineChars="200"/>
        <w:jc w:val="left"/>
        <w:rPr>
          <w:rFonts w:hint="eastAsia"/>
          <w:sz w:val="24"/>
        </w:rPr>
      </w:pPr>
      <w:r>
        <w:rPr>
          <w:rFonts w:hint="eastAsia"/>
          <w:sz w:val="24"/>
        </w:rPr>
        <w:t>2.签订合同后，如</w:t>
      </w:r>
      <w:r>
        <w:rPr>
          <w:sz w:val="24"/>
        </w:rPr>
        <w:t>中标人</w:t>
      </w:r>
      <w:r>
        <w:rPr>
          <w:rFonts w:hint="eastAsia"/>
          <w:sz w:val="24"/>
        </w:rPr>
        <w:t>不按双方合同约定履约，则没收其全部履约保证金，履约保证金不足以赔偿损失的，按实际损失赔偿。</w:t>
      </w:r>
    </w:p>
    <w:p w14:paraId="6A89EF19">
      <w:pPr>
        <w:spacing w:line="360" w:lineRule="auto"/>
        <w:rPr>
          <w:rFonts w:hint="eastAsia" w:hAnsi="宋体"/>
        </w:rPr>
      </w:pPr>
    </w:p>
    <w:p w14:paraId="7D1E4EDA">
      <w:pPr>
        <w:rPr>
          <w:rFonts w:hint="eastAsia" w:hAnsi="宋体"/>
        </w:rPr>
      </w:pPr>
    </w:p>
    <w:p w14:paraId="30BE9BB5">
      <w:pPr>
        <w:rPr>
          <w:rFonts w:hint="eastAsia" w:hAnsi="宋体"/>
        </w:rPr>
      </w:pPr>
    </w:p>
    <w:p w14:paraId="7281C672">
      <w:pPr>
        <w:rPr>
          <w:rFonts w:hint="eastAsia" w:hAnsi="宋体"/>
        </w:rPr>
      </w:pPr>
    </w:p>
    <w:p w14:paraId="018CB8FE">
      <w:pPr>
        <w:spacing w:line="360" w:lineRule="auto"/>
        <w:ind w:firstLine="480" w:firstLineChars="200"/>
        <w:rPr>
          <w:rFonts w:hint="eastAsia" w:ascii="宋体" w:hAnsi="宋体"/>
          <w:sz w:val="24"/>
        </w:rPr>
      </w:pPr>
    </w:p>
    <w:p w14:paraId="10FCA781">
      <w:pPr>
        <w:pageBreakBefore/>
        <w:snapToGrid w:val="0"/>
        <w:spacing w:line="360" w:lineRule="auto"/>
        <w:jc w:val="center"/>
        <w:outlineLvl w:val="0"/>
        <w:rPr>
          <w:rFonts w:hint="eastAsia" w:ascii="黑体" w:hAnsi="宋体" w:eastAsia="黑体"/>
          <w:spacing w:val="10"/>
          <w:sz w:val="30"/>
        </w:rPr>
      </w:pPr>
      <w:bookmarkStart w:id="54" w:name="_Toc3260"/>
      <w:bookmarkStart w:id="55" w:name="_Toc17580"/>
      <w:r>
        <w:rPr>
          <w:rFonts w:hint="eastAsia" w:ascii="黑体" w:hAnsi="宋体" w:eastAsia="黑体"/>
          <w:spacing w:val="10"/>
          <w:sz w:val="30"/>
        </w:rPr>
        <w:t>第四章  评标办法及评分标准</w:t>
      </w:r>
      <w:bookmarkEnd w:id="54"/>
      <w:bookmarkEnd w:id="55"/>
    </w:p>
    <w:p w14:paraId="61F4F674">
      <w:pPr>
        <w:spacing w:line="520" w:lineRule="exact"/>
        <w:ind w:firstLine="480" w:firstLineChars="200"/>
        <w:rPr>
          <w:rFonts w:hint="eastAsia" w:ascii="宋体" w:hAnsi="宋体"/>
          <w:sz w:val="24"/>
        </w:rPr>
      </w:pPr>
      <w:r>
        <w:rPr>
          <w:rFonts w:hint="eastAsia" w:ascii="宋体" w:hAnsi="宋体"/>
          <w:sz w:val="24"/>
        </w:rPr>
        <w:t>为公正、公平、科学地选择</w:t>
      </w:r>
      <w:r>
        <w:rPr>
          <w:rFonts w:ascii="宋体" w:hAnsi="宋体"/>
          <w:sz w:val="24"/>
        </w:rPr>
        <w:t>中标人</w:t>
      </w:r>
      <w:r>
        <w:rPr>
          <w:rFonts w:hint="eastAsia" w:ascii="宋体" w:hAnsi="宋体"/>
          <w:sz w:val="24"/>
        </w:rPr>
        <w:t>，</w:t>
      </w:r>
      <w:r>
        <w:rPr>
          <w:rFonts w:hint="eastAsia" w:ascii="宋体" w:hAnsi="宋体"/>
          <w:sz w:val="24"/>
          <w:lang w:val="en-US" w:eastAsia="zh-CN"/>
        </w:rPr>
        <w:t>根据</w:t>
      </w:r>
      <w:r>
        <w:rPr>
          <w:rFonts w:hint="eastAsia"/>
          <w:sz w:val="24"/>
        </w:rPr>
        <w:t>《东阳市国有企业采购管理办法（2020年修订）》规定，</w:t>
      </w:r>
      <w:r>
        <w:rPr>
          <w:rFonts w:hint="eastAsia" w:ascii="宋体" w:hAnsi="宋体"/>
          <w:sz w:val="24"/>
        </w:rPr>
        <w:t>并结合本项目的实际，制定本办法。</w:t>
      </w:r>
    </w:p>
    <w:p w14:paraId="12E81D30">
      <w:pPr>
        <w:spacing w:line="520" w:lineRule="exact"/>
        <w:ind w:firstLine="480" w:firstLineChars="200"/>
        <w:rPr>
          <w:rFonts w:hint="eastAsia" w:ascii="宋体" w:hAnsi="宋体"/>
          <w:sz w:val="24"/>
        </w:rPr>
      </w:pPr>
      <w:r>
        <w:rPr>
          <w:rFonts w:hint="eastAsia" w:ascii="宋体" w:hAnsi="宋体"/>
          <w:sz w:val="24"/>
        </w:rPr>
        <w:t>本办法适用于</w:t>
      </w:r>
      <w:r>
        <w:rPr>
          <w:rFonts w:hint="eastAsia" w:ascii="宋体" w:hAnsi="宋体" w:cs="Arial"/>
          <w:sz w:val="24"/>
          <w:lang w:eastAsia="zh-CN"/>
        </w:rPr>
        <w:t>东阳市白云、南马应急救援中心项目厨房设备、电器设备、家具采购项目</w:t>
      </w:r>
      <w:r>
        <w:rPr>
          <w:rFonts w:hint="eastAsia" w:ascii="宋体" w:hAnsi="宋体"/>
          <w:sz w:val="24"/>
        </w:rPr>
        <w:t>的评标。</w:t>
      </w:r>
    </w:p>
    <w:p w14:paraId="175B8B2D">
      <w:pPr>
        <w:spacing w:line="520" w:lineRule="exact"/>
        <w:rPr>
          <w:rFonts w:hint="eastAsia" w:ascii="宋体" w:hAnsi="宋体"/>
          <w:b/>
          <w:sz w:val="28"/>
          <w:szCs w:val="28"/>
        </w:rPr>
      </w:pPr>
      <w:r>
        <w:rPr>
          <w:rFonts w:hint="eastAsia" w:ascii="宋体" w:hAnsi="宋体"/>
          <w:b/>
          <w:sz w:val="28"/>
          <w:szCs w:val="28"/>
        </w:rPr>
        <w:t>一、总则</w:t>
      </w:r>
    </w:p>
    <w:p w14:paraId="5789B7C7">
      <w:pPr>
        <w:spacing w:line="360" w:lineRule="auto"/>
        <w:ind w:firstLine="480" w:firstLineChars="200"/>
        <w:rPr>
          <w:rFonts w:hint="eastAsia" w:ascii="宋体" w:hAnsi="宋体" w:cs="宋体"/>
          <w:b/>
          <w:bCs/>
          <w:color w:val="auto"/>
          <w:sz w:val="24"/>
          <w:highlight w:val="none"/>
        </w:rPr>
      </w:pPr>
      <w:r>
        <w:rPr>
          <w:rFonts w:hint="eastAsia" w:ascii="宋体" w:hAnsi="宋体" w:cs="宋体"/>
          <w:color w:val="auto"/>
          <w:sz w:val="24"/>
          <w:highlight w:val="none"/>
        </w:rPr>
        <w:t>本次评标采用综合评分法，总分为100分，其中价格分</w:t>
      </w:r>
      <w:r>
        <w:rPr>
          <w:rFonts w:hint="eastAsia" w:ascii="宋体" w:hAnsi="宋体" w:cs="宋体"/>
          <w:color w:val="auto"/>
          <w:sz w:val="24"/>
          <w:highlight w:val="none"/>
          <w:lang w:val="en-US" w:eastAsia="zh-CN"/>
        </w:rPr>
        <w:t>40</w:t>
      </w:r>
      <w:r>
        <w:rPr>
          <w:rFonts w:hint="eastAsia" w:ascii="宋体" w:hAnsi="宋体" w:cs="宋体"/>
          <w:color w:val="auto"/>
          <w:sz w:val="24"/>
          <w:highlight w:val="none"/>
        </w:rPr>
        <w:t>分，技术、商务资信及其他分</w:t>
      </w:r>
      <w:r>
        <w:rPr>
          <w:rFonts w:hint="eastAsia" w:ascii="宋体" w:hAnsi="宋体" w:cs="宋体"/>
          <w:color w:val="auto"/>
          <w:sz w:val="24"/>
          <w:highlight w:val="none"/>
          <w:lang w:val="en-US" w:eastAsia="zh-CN"/>
        </w:rPr>
        <w:t>60</w:t>
      </w:r>
      <w:r>
        <w:rPr>
          <w:rFonts w:hint="eastAsia" w:ascii="宋体" w:hAnsi="宋体" w:cs="宋体"/>
          <w:color w:val="auto"/>
          <w:sz w:val="24"/>
          <w:highlight w:val="none"/>
        </w:rPr>
        <w:t>分。合格投标人的评标得分为各项目汇总得分，中标候选资格按评标综合得分由高到低顺序排列，得分相同的，按投标报价由低到高顺序排列；得分且投标报价相同的，按技术得分由高到低顺序排列。有效投标人为3家时推荐2名中标候选人，有效投标人大于3家时，推荐3名中标候选人（排名第一的中标候选人为中标人，排名第二的中标候选人为替补中标人</w:t>
      </w:r>
      <w:r>
        <w:rPr>
          <w:rFonts w:hint="eastAsia" w:ascii="宋体" w:hAnsi="宋体" w:cs="宋体"/>
          <w:color w:val="auto"/>
          <w:sz w:val="24"/>
          <w:highlight w:val="none"/>
          <w:lang w:eastAsia="zh-CN"/>
        </w:rPr>
        <w:t>，</w:t>
      </w:r>
      <w:r>
        <w:rPr>
          <w:rFonts w:hint="eastAsia" w:ascii="宋体" w:hAnsi="宋体" w:cs="宋体"/>
          <w:color w:val="auto"/>
          <w:sz w:val="24"/>
          <w:highlight w:val="none"/>
        </w:rPr>
        <w:t>其他投标人中标候选资格依此类推）。</w:t>
      </w:r>
      <w:r>
        <w:rPr>
          <w:rFonts w:hint="eastAsia" w:ascii="宋体" w:hAnsi="宋体" w:cs="宋体"/>
          <w:bCs/>
          <w:color w:val="auto"/>
          <w:sz w:val="24"/>
          <w:highlight w:val="none"/>
        </w:rPr>
        <w:t>评分过程中采用四舍五入法，并保留小数2位。</w:t>
      </w:r>
    </w:p>
    <w:p w14:paraId="70092B92">
      <w:pPr>
        <w:spacing w:line="520" w:lineRule="exact"/>
        <w:ind w:firstLine="480" w:firstLineChars="200"/>
        <w:rPr>
          <w:rFonts w:hint="eastAsia" w:ascii="宋体" w:hAnsi="宋体"/>
          <w:sz w:val="24"/>
        </w:rPr>
      </w:pPr>
      <w:r>
        <w:rPr>
          <w:rFonts w:hint="eastAsia" w:ascii="宋体" w:hAnsi="宋体"/>
          <w:sz w:val="24"/>
        </w:rPr>
        <w:t>投标人评标综合得分= (技术分+商务分+资信及其他分) + 价格分</w:t>
      </w:r>
    </w:p>
    <w:p w14:paraId="45C580B0">
      <w:pPr>
        <w:spacing w:line="520" w:lineRule="exact"/>
        <w:rPr>
          <w:rFonts w:hint="eastAsia" w:ascii="宋体" w:hAnsi="宋体"/>
          <w:sz w:val="24"/>
        </w:rPr>
      </w:pPr>
      <w:r>
        <w:rPr>
          <w:rFonts w:hint="eastAsia" w:ascii="宋体" w:hAnsi="宋体"/>
          <w:b/>
          <w:sz w:val="28"/>
          <w:szCs w:val="28"/>
        </w:rPr>
        <w:t>二、评标内容及标准</w:t>
      </w:r>
    </w:p>
    <w:p w14:paraId="05B4F7E0">
      <w:pPr>
        <w:spacing w:line="520" w:lineRule="exact"/>
        <w:rPr>
          <w:rFonts w:hint="eastAsia" w:ascii="宋体" w:hAnsi="宋体"/>
          <w:b/>
          <w:bCs/>
          <w:sz w:val="24"/>
        </w:rPr>
      </w:pPr>
      <w:r>
        <w:rPr>
          <w:rFonts w:hint="eastAsia" w:ascii="宋体" w:hAnsi="宋体"/>
          <w:b/>
          <w:bCs/>
          <w:sz w:val="24"/>
        </w:rPr>
        <w:t>（一）技术、商务、资信及其他分（</w:t>
      </w:r>
      <w:r>
        <w:rPr>
          <w:rFonts w:hint="eastAsia" w:ascii="宋体" w:hAnsi="宋体"/>
          <w:b/>
          <w:bCs/>
          <w:sz w:val="24"/>
          <w:lang w:val="en-US" w:eastAsia="zh-CN"/>
        </w:rPr>
        <w:t>6</w:t>
      </w:r>
      <w:r>
        <w:rPr>
          <w:rFonts w:hint="eastAsia" w:ascii="宋体" w:hAnsi="宋体"/>
          <w:b/>
          <w:bCs/>
          <w:sz w:val="24"/>
        </w:rPr>
        <w:t>0分）</w:t>
      </w:r>
    </w:p>
    <w:p w14:paraId="4D7FB6CD">
      <w:pPr>
        <w:spacing w:line="520" w:lineRule="exact"/>
        <w:ind w:firstLine="480" w:firstLineChars="200"/>
        <w:rPr>
          <w:rFonts w:hint="eastAsia" w:ascii="宋体" w:hAnsi="宋体"/>
          <w:sz w:val="24"/>
        </w:rPr>
      </w:pPr>
      <w:r>
        <w:rPr>
          <w:rFonts w:hint="eastAsia" w:ascii="宋体" w:hAnsi="宋体"/>
          <w:sz w:val="24"/>
        </w:rPr>
        <w:t>技术、商务资信及其他分响应标书要求的投标单位全部进入商务报价评审。</w:t>
      </w:r>
    </w:p>
    <w:p w14:paraId="03DDB073">
      <w:pPr>
        <w:spacing w:line="520" w:lineRule="exact"/>
        <w:rPr>
          <w:rFonts w:hint="eastAsia" w:ascii="宋体" w:hAnsi="宋体"/>
          <w:b/>
          <w:bCs/>
          <w:sz w:val="24"/>
        </w:rPr>
      </w:pPr>
      <w:r>
        <w:rPr>
          <w:rFonts w:hint="eastAsia" w:ascii="宋体" w:hAnsi="宋体"/>
          <w:b/>
          <w:sz w:val="24"/>
        </w:rPr>
        <w:t>（二）</w:t>
      </w:r>
      <w:r>
        <w:rPr>
          <w:rFonts w:hint="eastAsia" w:ascii="宋体" w:hAnsi="宋体"/>
          <w:b/>
          <w:bCs/>
          <w:sz w:val="24"/>
        </w:rPr>
        <w:t>价格分（</w:t>
      </w:r>
      <w:r>
        <w:rPr>
          <w:rFonts w:hint="eastAsia" w:ascii="宋体" w:hAnsi="宋体"/>
          <w:b/>
          <w:bCs/>
          <w:sz w:val="24"/>
          <w:lang w:val="en-US" w:eastAsia="zh-CN"/>
        </w:rPr>
        <w:t>4</w:t>
      </w:r>
      <w:r>
        <w:rPr>
          <w:rFonts w:hint="eastAsia" w:ascii="宋体" w:hAnsi="宋体"/>
          <w:b/>
          <w:bCs/>
          <w:sz w:val="24"/>
        </w:rPr>
        <w:t xml:space="preserve">0分） </w:t>
      </w:r>
    </w:p>
    <w:p w14:paraId="2A0F9534">
      <w:pPr>
        <w:spacing w:before="156" w:beforeLines="50" w:after="156" w:afterLines="50" w:line="480" w:lineRule="exact"/>
        <w:ind w:firstLine="464" w:firstLineChars="200"/>
        <w:rPr>
          <w:rFonts w:ascii="宋体" w:hAnsi="宋体" w:cs="宋体"/>
          <w:bCs/>
          <w:sz w:val="24"/>
        </w:rPr>
      </w:pPr>
      <w:r>
        <w:rPr>
          <w:rFonts w:hint="eastAsia" w:ascii="宋体" w:hAnsi="宋体" w:cs="宋体"/>
          <w:bCs/>
          <w:spacing w:val="-4"/>
          <w:sz w:val="24"/>
          <w:szCs w:val="20"/>
        </w:rPr>
        <w:t>（1）</w:t>
      </w:r>
      <w:r>
        <w:rPr>
          <w:rFonts w:hint="eastAsia" w:ascii="宋体" w:hAnsi="宋体" w:cs="宋体"/>
          <w:bCs/>
          <w:sz w:val="24"/>
        </w:rPr>
        <w:t>价格分采用低价优先法计算，取所有技术、资信商务得分入围投标人中，投标价格最低的投标报价为评标基准价（</w:t>
      </w:r>
      <w:r>
        <w:rPr>
          <w:rFonts w:hint="eastAsia" w:ascii="宋体" w:hAnsi="宋体" w:cs="宋体"/>
          <w:sz w:val="24"/>
        </w:rPr>
        <w:t>小型、微型企业待遇报价</w:t>
      </w:r>
      <w:r>
        <w:rPr>
          <w:rFonts w:hint="eastAsia" w:ascii="宋体" w:hAnsi="宋体" w:cs="宋体"/>
          <w:bCs/>
          <w:spacing w:val="-4"/>
          <w:sz w:val="24"/>
          <w:szCs w:val="20"/>
        </w:rPr>
        <w:t>或监狱企业待遇报价或残疾人福利企业待遇报价</w:t>
      </w:r>
      <w:r>
        <w:rPr>
          <w:rFonts w:hint="eastAsia" w:ascii="宋体" w:hAnsi="宋体" w:cs="宋体"/>
          <w:sz w:val="24"/>
        </w:rPr>
        <w:t>低于最低投标报价时，小型、微型企业待遇报价</w:t>
      </w:r>
      <w:r>
        <w:rPr>
          <w:rFonts w:hint="eastAsia" w:ascii="宋体" w:hAnsi="宋体" w:cs="宋体"/>
          <w:bCs/>
          <w:spacing w:val="-4"/>
          <w:sz w:val="24"/>
          <w:szCs w:val="20"/>
        </w:rPr>
        <w:t>或监狱企业待遇报价或残疾人福利企业待遇报价</w:t>
      </w:r>
      <w:r>
        <w:rPr>
          <w:rFonts w:hint="eastAsia" w:ascii="宋体" w:hAnsi="宋体" w:cs="宋体"/>
          <w:sz w:val="24"/>
        </w:rPr>
        <w:t>为评标基准价</w:t>
      </w:r>
      <w:r>
        <w:rPr>
          <w:rFonts w:hint="eastAsia" w:ascii="宋体" w:hAnsi="宋体" w:cs="宋体"/>
          <w:bCs/>
          <w:sz w:val="24"/>
        </w:rPr>
        <w:t>），其他投标人的价格分按照下列公式计算：</w:t>
      </w:r>
    </w:p>
    <w:p w14:paraId="4A9C4E9D">
      <w:pPr>
        <w:spacing w:before="156" w:beforeLines="50" w:after="156" w:afterLines="50" w:line="480" w:lineRule="exact"/>
        <w:ind w:firstLine="464" w:firstLineChars="200"/>
        <w:rPr>
          <w:rFonts w:ascii="宋体" w:hAnsi="宋体" w:cs="宋体"/>
          <w:bCs/>
          <w:spacing w:val="-4"/>
          <w:sz w:val="24"/>
          <w:szCs w:val="20"/>
        </w:rPr>
      </w:pPr>
      <w:r>
        <w:rPr>
          <w:rFonts w:hint="eastAsia" w:ascii="宋体" w:hAnsi="宋体" w:cs="宋体"/>
          <w:bCs/>
          <w:spacing w:val="-4"/>
          <w:sz w:val="24"/>
          <w:szCs w:val="20"/>
        </w:rPr>
        <w:t>价格分=评标基准价/投标报价（或小型、微型企业待遇报价或监狱企业待遇报价或残疾人福利企业待遇报价）×</w:t>
      </w:r>
      <w:r>
        <w:rPr>
          <w:rFonts w:hint="eastAsia" w:ascii="宋体" w:hAnsi="宋体" w:cs="宋体"/>
          <w:bCs/>
          <w:spacing w:val="-4"/>
          <w:sz w:val="24"/>
          <w:szCs w:val="20"/>
          <w:lang w:val="en-US" w:eastAsia="zh-CN"/>
        </w:rPr>
        <w:t>4</w:t>
      </w:r>
      <w:r>
        <w:rPr>
          <w:rFonts w:hint="eastAsia" w:ascii="宋体" w:hAnsi="宋体" w:cs="宋体"/>
          <w:bCs/>
          <w:spacing w:val="-4"/>
          <w:sz w:val="24"/>
          <w:szCs w:val="20"/>
        </w:rPr>
        <w:t>0</w:t>
      </w:r>
    </w:p>
    <w:p w14:paraId="2A8BC6CB">
      <w:pPr>
        <w:tabs>
          <w:tab w:val="left" w:pos="982"/>
        </w:tabs>
        <w:snapToGrid w:val="0"/>
        <w:spacing w:line="360" w:lineRule="auto"/>
        <w:ind w:left="-2" w:leftChars="-1" w:firstLine="510" w:firstLineChars="220"/>
        <w:rPr>
          <w:rFonts w:hint="eastAsia" w:ascii="宋体" w:hAnsi="宋体"/>
          <w:bCs/>
          <w:sz w:val="24"/>
        </w:rPr>
      </w:pPr>
      <w:r>
        <w:rPr>
          <w:rFonts w:hint="eastAsia" w:ascii="宋体" w:hAnsi="宋体"/>
          <w:bCs/>
          <w:spacing w:val="-4"/>
          <w:sz w:val="24"/>
        </w:rPr>
        <w:t>（2）参照《关于印发&lt;政府采购促进中小企业发展管理办法&gt;的通知》(财库〔2020〕46号)文件、《财政部、司法部关于政府采购支持监狱企业发展有关问题的通知》（财库〔2014〕68号）文件及《财政部、民政部、中国残疾人联合会关于促进残疾人就业政府采购政策的通知》（财库〔2017〕141号）的规定，本项目对小型和微型企业、监狱企业、残疾人福利性单位生产的产品价格给予20%扣除，用扣除后的价格参与评审，</w:t>
      </w:r>
      <w:r>
        <w:rPr>
          <w:rFonts w:hint="eastAsia" w:ascii="宋体" w:hAnsi="宋体"/>
          <w:b/>
          <w:spacing w:val="-4"/>
          <w:sz w:val="24"/>
        </w:rPr>
        <w:t>但不重复享受价格扣除</w:t>
      </w:r>
      <w:r>
        <w:rPr>
          <w:rFonts w:hint="eastAsia" w:ascii="宋体" w:hAnsi="宋体"/>
          <w:bCs/>
          <w:spacing w:val="-4"/>
          <w:sz w:val="24"/>
        </w:rPr>
        <w:t>。小型和微型企业是指投标文件中提供了中小企业声明函且符合《关于印发&lt;政府采购促进中小企业发展管理办法&gt;的通知》(财库〔2020〕46号)规定的要求。残疾人福利性单位是指投标文件中提供了残疾人福利性单位声明函且符合《财政部、民政部、中国残疾人联合会关于促进残疾人就业政府采购政策的通知》（财库〔2017〕141号）规定的企业。监狱企业是指投标文件中提供了由省级以上监狱管理局、戒毒管理局（含新疆生产建设兵团）出具的属于监狱企业的证明文件的企业。</w:t>
      </w:r>
    </w:p>
    <w:p w14:paraId="6ED24532">
      <w:pPr>
        <w:spacing w:line="520" w:lineRule="exact"/>
        <w:ind w:firstLine="480" w:firstLineChars="200"/>
        <w:rPr>
          <w:rFonts w:hint="eastAsia" w:ascii="宋体" w:hAnsi="宋体"/>
          <w:sz w:val="24"/>
        </w:rPr>
      </w:pPr>
      <w:r>
        <w:rPr>
          <w:rFonts w:hint="eastAsia" w:ascii="宋体" w:hAnsi="宋体"/>
          <w:sz w:val="24"/>
        </w:rPr>
        <w:t>小型、微型企业（或监狱企业或残疾人福利企业）待遇报价的计算方法：</w:t>
      </w:r>
    </w:p>
    <w:p w14:paraId="159B48C4">
      <w:pPr>
        <w:spacing w:line="520" w:lineRule="exact"/>
        <w:ind w:firstLine="480" w:firstLineChars="200"/>
        <w:rPr>
          <w:rFonts w:hint="eastAsia" w:ascii="宋体" w:hAnsi="宋体"/>
          <w:sz w:val="24"/>
        </w:rPr>
      </w:pPr>
      <w:r>
        <w:rPr>
          <w:rFonts w:hint="eastAsia" w:ascii="宋体" w:hAnsi="宋体"/>
          <w:sz w:val="24"/>
        </w:rPr>
        <w:t>小型、微型企业（或监狱企业或残疾人福利企业）待遇报价=</w:t>
      </w:r>
      <w:r>
        <w:rPr>
          <w:rFonts w:hint="eastAsia" w:ascii="宋体" w:hAnsi="宋体"/>
          <w:spacing w:val="-4"/>
          <w:sz w:val="24"/>
          <w:szCs w:val="20"/>
        </w:rPr>
        <w:t>小型、微型企业（或监狱企业或残疾人福利企业）</w:t>
      </w:r>
      <w:r>
        <w:rPr>
          <w:rFonts w:hint="eastAsia" w:ascii="宋体" w:hAnsi="宋体"/>
          <w:sz w:val="24"/>
        </w:rPr>
        <w:t>投标人投标报价*（1-20%）</w:t>
      </w:r>
    </w:p>
    <w:p w14:paraId="62057155">
      <w:pPr>
        <w:spacing w:line="520" w:lineRule="exact"/>
        <w:rPr>
          <w:rFonts w:hint="eastAsia" w:ascii="宋体" w:hAnsi="宋体"/>
          <w:b/>
          <w:bCs/>
          <w:sz w:val="24"/>
        </w:rPr>
      </w:pPr>
      <w:r>
        <w:rPr>
          <w:rFonts w:hint="eastAsia" w:ascii="宋体" w:hAnsi="宋体"/>
          <w:b/>
          <w:bCs/>
          <w:sz w:val="24"/>
        </w:rPr>
        <w:t>（三）技术、商务、资信及其他分的计算</w:t>
      </w:r>
    </w:p>
    <w:p w14:paraId="465959F9">
      <w:pPr>
        <w:spacing w:line="520" w:lineRule="exact"/>
        <w:ind w:firstLine="480" w:firstLineChars="200"/>
        <w:rPr>
          <w:rFonts w:hint="eastAsia" w:ascii="宋体" w:hAnsi="宋体"/>
          <w:sz w:val="24"/>
        </w:rPr>
      </w:pPr>
      <w:r>
        <w:rPr>
          <w:rFonts w:hint="eastAsia" w:ascii="宋体" w:hAnsi="宋体"/>
          <w:sz w:val="24"/>
        </w:rPr>
        <w:t>技术、商务、资信及其他分按照评标委员会成员的独立评分结果的算术平均分计算，计算公式为：</w:t>
      </w:r>
    </w:p>
    <w:p w14:paraId="13C1949A">
      <w:pPr>
        <w:spacing w:line="520" w:lineRule="exact"/>
        <w:ind w:firstLine="480" w:firstLineChars="200"/>
        <w:rPr>
          <w:rFonts w:hint="eastAsia" w:ascii="宋体" w:hAnsi="宋体"/>
          <w:sz w:val="24"/>
        </w:rPr>
      </w:pPr>
      <w:r>
        <w:rPr>
          <w:rFonts w:hint="eastAsia" w:ascii="宋体" w:hAnsi="宋体"/>
          <w:sz w:val="24"/>
        </w:rPr>
        <w:t>技术商务资信及其他分=评标委员会所有成员有效评分合计数/5</w:t>
      </w:r>
    </w:p>
    <w:p w14:paraId="60139887">
      <w:pPr>
        <w:numPr>
          <w:ilvl w:val="0"/>
          <w:numId w:val="0"/>
        </w:numPr>
        <w:spacing w:before="156" w:beforeLines="50" w:after="156" w:afterLines="50" w:line="520" w:lineRule="exact"/>
        <w:rPr>
          <w:rFonts w:hint="eastAsia" w:ascii="宋体" w:hAnsi="宋体"/>
          <w:b/>
          <w:sz w:val="24"/>
        </w:rPr>
      </w:pPr>
      <w:bookmarkStart w:id="56" w:name="_Toc504549893"/>
      <w:bookmarkStart w:id="57" w:name="_Toc491242402"/>
      <w:r>
        <w:rPr>
          <w:rFonts w:hint="eastAsia" w:ascii="宋体" w:hAnsi="宋体" w:eastAsia="宋体" w:cs="Times New Roman"/>
          <w:b/>
          <w:kern w:val="2"/>
          <w:sz w:val="24"/>
          <w:szCs w:val="24"/>
          <w:lang w:val="en-US" w:eastAsia="zh-CN" w:bidi="ar-SA"/>
        </w:rPr>
        <w:t>（四）</w:t>
      </w:r>
      <w:r>
        <w:rPr>
          <w:rFonts w:hint="eastAsia" w:ascii="宋体" w:hAnsi="宋体"/>
          <w:b/>
          <w:sz w:val="24"/>
        </w:rPr>
        <w:t>技术、商务、资信及其他分评分标准</w:t>
      </w:r>
      <w:r>
        <w:rPr>
          <w:rFonts w:hint="eastAsia" w:ascii="宋体" w:hAnsi="宋体"/>
          <w:b/>
          <w:sz w:val="24"/>
          <w:lang w:val="en-US" w:eastAsia="zh-CN"/>
        </w:rPr>
        <w:t>6</w:t>
      </w:r>
      <w:r>
        <w:rPr>
          <w:rFonts w:hint="eastAsia" w:ascii="宋体" w:hAnsi="宋体"/>
          <w:b/>
          <w:sz w:val="24"/>
        </w:rPr>
        <w:t>0分</w:t>
      </w:r>
    </w:p>
    <w:p w14:paraId="21178D2F">
      <w:pPr>
        <w:numPr>
          <w:ilvl w:val="0"/>
          <w:numId w:val="0"/>
        </w:numPr>
        <w:spacing w:before="156" w:beforeLines="50" w:after="156" w:afterLines="50" w:line="520" w:lineRule="exact"/>
        <w:ind w:firstLine="482" w:firstLineChars="200"/>
        <w:rPr>
          <w:rFonts w:hint="eastAsia" w:ascii="宋体" w:hAnsi="宋体"/>
          <w:b/>
          <w:sz w:val="24"/>
        </w:rPr>
      </w:pPr>
      <w:r>
        <w:rPr>
          <w:rFonts w:hint="eastAsia" w:ascii="宋体" w:hAnsi="宋体"/>
          <w:b/>
          <w:sz w:val="24"/>
          <w:lang w:val="en-US" w:eastAsia="zh-CN"/>
        </w:rPr>
        <w:t>标一、标二、标三</w:t>
      </w:r>
    </w:p>
    <w:tbl>
      <w:tblPr>
        <w:tblStyle w:val="65"/>
        <w:tblW w:w="54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461"/>
        <w:gridCol w:w="1722"/>
        <w:gridCol w:w="6296"/>
        <w:gridCol w:w="879"/>
      </w:tblGrid>
      <w:tr w14:paraId="6111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794F762C">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序号</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14:paraId="033839A9">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评分内容</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3BE6C2E9">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评分标准及细则</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5B98512B">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得分</w:t>
            </w:r>
          </w:p>
        </w:tc>
      </w:tr>
      <w:tr w14:paraId="2AD6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2F6B51D2">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一</w:t>
            </w:r>
          </w:p>
        </w:tc>
        <w:tc>
          <w:tcPr>
            <w:tcW w:w="4165" w:type="pct"/>
            <w:gridSpan w:val="3"/>
            <w:tcBorders>
              <w:top w:val="single" w:color="auto" w:sz="4" w:space="0"/>
              <w:left w:val="single" w:color="auto" w:sz="4" w:space="0"/>
              <w:bottom w:val="single" w:color="auto" w:sz="4" w:space="0"/>
              <w:right w:val="single" w:color="auto" w:sz="4" w:space="0"/>
            </w:tcBorders>
            <w:noWrap w:val="0"/>
            <w:vAlign w:val="center"/>
          </w:tcPr>
          <w:p w14:paraId="765074FF">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技术分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54C10416">
            <w:pPr>
              <w:spacing w:line="380" w:lineRule="exact"/>
              <w:jc w:val="center"/>
              <w:rPr>
                <w:rFonts w:hint="eastAsia" w:ascii="宋体" w:hAnsi="宋体" w:cs="宋体"/>
                <w:b/>
                <w:bCs/>
                <w:sz w:val="24"/>
                <w:highlight w:val="none"/>
                <w:lang w:val="zh-CN"/>
              </w:rPr>
            </w:pPr>
            <w:r>
              <w:rPr>
                <w:rFonts w:hint="eastAsia" w:ascii="宋体" w:hAnsi="宋体" w:cs="宋体"/>
                <w:b/>
                <w:bCs/>
                <w:color w:val="auto"/>
                <w:sz w:val="24"/>
                <w:highlight w:val="none"/>
                <w:lang w:val="en-US" w:eastAsia="zh-CN"/>
              </w:rPr>
              <w:t>43</w:t>
            </w:r>
            <w:r>
              <w:rPr>
                <w:rFonts w:hint="eastAsia" w:ascii="宋体" w:hAnsi="宋体" w:cs="宋体"/>
                <w:b/>
                <w:bCs/>
                <w:sz w:val="24"/>
                <w:highlight w:val="none"/>
                <w:lang w:val="zh-CN"/>
              </w:rPr>
              <w:t>分</w:t>
            </w:r>
          </w:p>
        </w:tc>
      </w:tr>
      <w:tr w14:paraId="206D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402" w:type="pct"/>
            <w:tcBorders>
              <w:top w:val="single" w:color="auto" w:sz="4" w:space="0"/>
              <w:left w:val="single" w:color="auto" w:sz="4" w:space="0"/>
              <w:right w:val="single" w:color="auto" w:sz="4" w:space="0"/>
            </w:tcBorders>
            <w:noWrap w:val="0"/>
            <w:vAlign w:val="center"/>
          </w:tcPr>
          <w:p w14:paraId="3BCCF3DC">
            <w:pPr>
              <w:spacing w:line="380" w:lineRule="exact"/>
              <w:jc w:val="center"/>
              <w:rPr>
                <w:rFonts w:hint="eastAsia" w:ascii="宋体" w:hAnsi="宋体" w:eastAsia="宋体" w:cs="宋体"/>
                <w:bCs/>
                <w:sz w:val="24"/>
                <w:highlight w:val="none"/>
                <w:lang w:val="en-US" w:eastAsia="zh-CN"/>
              </w:rPr>
            </w:pPr>
            <w:r>
              <w:rPr>
                <w:rFonts w:hint="eastAsia" w:ascii="宋体" w:hAnsi="宋体" w:cs="宋体"/>
                <w:bCs/>
                <w:sz w:val="24"/>
                <w:highlight w:val="none"/>
                <w:lang w:val="en-US" w:eastAsia="zh-CN"/>
              </w:rPr>
              <w:t>1</w:t>
            </w:r>
          </w:p>
        </w:tc>
        <w:tc>
          <w:tcPr>
            <w:tcW w:w="226" w:type="pct"/>
            <w:tcBorders>
              <w:top w:val="single" w:color="auto" w:sz="4" w:space="0"/>
              <w:left w:val="single" w:color="auto" w:sz="4" w:space="0"/>
              <w:right w:val="single" w:color="auto" w:sz="4" w:space="0"/>
            </w:tcBorders>
            <w:noWrap w:val="0"/>
            <w:vAlign w:val="center"/>
          </w:tcPr>
          <w:p w14:paraId="33216504">
            <w:pPr>
              <w:spacing w:line="380" w:lineRule="exact"/>
              <w:jc w:val="center"/>
              <w:rPr>
                <w:rFonts w:hint="eastAsia" w:ascii="宋体" w:hAnsi="宋体" w:cs="宋体"/>
                <w:bCs/>
                <w:sz w:val="24"/>
                <w:highlight w:val="none"/>
                <w:lang w:val="zh-CN"/>
              </w:rPr>
            </w:pPr>
          </w:p>
        </w:tc>
        <w:tc>
          <w:tcPr>
            <w:tcW w:w="846" w:type="pct"/>
            <w:tcBorders>
              <w:top w:val="single" w:color="auto" w:sz="4" w:space="0"/>
              <w:left w:val="single" w:color="auto" w:sz="4" w:space="0"/>
              <w:right w:val="single" w:color="auto" w:sz="4" w:space="0"/>
            </w:tcBorders>
            <w:noWrap w:val="0"/>
            <w:vAlign w:val="center"/>
          </w:tcPr>
          <w:p w14:paraId="6307DCB8">
            <w:pPr>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技术响应情况</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352701C3">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en-US" w:eastAsia="zh-CN"/>
              </w:rPr>
              <w:t>完</w:t>
            </w:r>
            <w:r>
              <w:rPr>
                <w:rFonts w:hint="eastAsia" w:ascii="Times New Roman" w:hAnsi="宋体" w:eastAsia="宋体" w:cs="宋体"/>
                <w:color w:val="000000"/>
                <w:sz w:val="24"/>
                <w:highlight w:val="none"/>
                <w:lang w:val="zh-CN" w:eastAsia="zh-CN"/>
              </w:rPr>
              <w:t>全响应招标文件《招标需求》中“技术参数”中技术指标的得</w:t>
            </w:r>
            <w:r>
              <w:rPr>
                <w:rFonts w:hint="eastAsia" w:ascii="Times New Roman" w:hAnsi="宋体" w:eastAsia="宋体" w:cs="宋体"/>
                <w:color w:val="000000"/>
                <w:sz w:val="24"/>
                <w:highlight w:val="none"/>
                <w:lang w:val="en-US" w:eastAsia="zh-CN"/>
              </w:rPr>
              <w:t>12</w:t>
            </w:r>
            <w:r>
              <w:rPr>
                <w:rFonts w:hint="eastAsia" w:ascii="Times New Roman" w:hAnsi="宋体" w:eastAsia="宋体" w:cs="宋体"/>
                <w:color w:val="000000"/>
                <w:sz w:val="24"/>
                <w:highlight w:val="none"/>
                <w:lang w:val="zh-CN" w:eastAsia="zh-CN"/>
              </w:rPr>
              <w:t>分；每负偏离一条扣</w:t>
            </w:r>
            <w:r>
              <w:rPr>
                <w:rFonts w:hint="eastAsia" w:ascii="Times New Roman" w:hAnsi="宋体" w:eastAsia="宋体" w:cs="宋体"/>
                <w:color w:val="000000"/>
                <w:sz w:val="24"/>
                <w:highlight w:val="none"/>
                <w:lang w:val="en-US" w:eastAsia="zh-CN"/>
              </w:rPr>
              <w:t>1</w:t>
            </w:r>
            <w:r>
              <w:rPr>
                <w:rFonts w:hint="eastAsia" w:ascii="Times New Roman" w:hAnsi="宋体" w:eastAsia="宋体" w:cs="宋体"/>
                <w:color w:val="000000"/>
                <w:sz w:val="24"/>
                <w:highlight w:val="none"/>
                <w:lang w:val="zh-CN" w:eastAsia="zh-CN"/>
              </w:rPr>
              <w:t>分，扣完为止。</w:t>
            </w:r>
          </w:p>
        </w:tc>
        <w:tc>
          <w:tcPr>
            <w:tcW w:w="431" w:type="pct"/>
            <w:tcBorders>
              <w:top w:val="single" w:color="auto" w:sz="4" w:space="0"/>
              <w:left w:val="single" w:color="auto" w:sz="4" w:space="0"/>
              <w:right w:val="single" w:color="auto" w:sz="4" w:space="0"/>
            </w:tcBorders>
            <w:noWrap w:val="0"/>
            <w:vAlign w:val="center"/>
          </w:tcPr>
          <w:p w14:paraId="6CFF3062">
            <w:pPr>
              <w:snapToGrid w:val="0"/>
              <w:spacing w:line="380" w:lineRule="exact"/>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12</w:t>
            </w:r>
          </w:p>
        </w:tc>
      </w:tr>
      <w:tr w14:paraId="6887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402" w:type="pct"/>
            <w:tcBorders>
              <w:top w:val="single" w:color="auto" w:sz="4" w:space="0"/>
              <w:left w:val="single" w:color="auto" w:sz="4" w:space="0"/>
              <w:right w:val="single" w:color="auto" w:sz="4" w:space="0"/>
            </w:tcBorders>
            <w:noWrap w:val="0"/>
            <w:vAlign w:val="center"/>
          </w:tcPr>
          <w:p w14:paraId="1D9EA125">
            <w:pPr>
              <w:spacing w:line="380" w:lineRule="exact"/>
              <w:jc w:val="center"/>
              <w:rPr>
                <w:rFonts w:hint="eastAsia" w:ascii="宋体" w:hAnsi="宋体" w:eastAsia="宋体" w:cs="宋体"/>
                <w:bCs/>
                <w:sz w:val="24"/>
                <w:highlight w:val="none"/>
                <w:lang w:val="zh-CN" w:eastAsia="zh-CN"/>
              </w:rPr>
            </w:pPr>
            <w:r>
              <w:rPr>
                <w:rFonts w:hint="eastAsia" w:ascii="宋体" w:hAnsi="宋体" w:cs="宋体"/>
                <w:bCs/>
                <w:sz w:val="24"/>
                <w:highlight w:val="none"/>
                <w:lang w:val="en-US" w:eastAsia="zh-CN"/>
              </w:rPr>
              <w:t>2</w:t>
            </w:r>
          </w:p>
        </w:tc>
        <w:tc>
          <w:tcPr>
            <w:tcW w:w="226" w:type="pct"/>
            <w:vMerge w:val="restart"/>
            <w:tcBorders>
              <w:top w:val="single" w:color="auto" w:sz="4" w:space="0"/>
              <w:left w:val="single" w:color="auto" w:sz="4" w:space="0"/>
              <w:right w:val="single" w:color="auto" w:sz="4" w:space="0"/>
            </w:tcBorders>
            <w:noWrap w:val="0"/>
            <w:vAlign w:val="center"/>
          </w:tcPr>
          <w:p w14:paraId="5CA5CC50">
            <w:pPr>
              <w:spacing w:line="380" w:lineRule="exact"/>
              <w:jc w:val="center"/>
              <w:rPr>
                <w:rFonts w:hint="eastAsia" w:ascii="宋体" w:hAnsi="宋体" w:cs="宋体"/>
                <w:bCs/>
                <w:sz w:val="24"/>
                <w:highlight w:val="none"/>
                <w:lang w:val="zh-CN"/>
              </w:rPr>
            </w:pPr>
          </w:p>
          <w:p w14:paraId="66C87FDE">
            <w:pPr>
              <w:spacing w:line="380" w:lineRule="exact"/>
              <w:jc w:val="center"/>
              <w:rPr>
                <w:rFonts w:hint="eastAsia" w:ascii="宋体" w:hAnsi="宋体" w:cs="宋体"/>
                <w:bCs/>
                <w:sz w:val="24"/>
                <w:highlight w:val="none"/>
                <w:lang w:val="zh-CN"/>
              </w:rPr>
            </w:pPr>
          </w:p>
          <w:p w14:paraId="2F19F0DB">
            <w:pPr>
              <w:spacing w:line="380" w:lineRule="exact"/>
              <w:jc w:val="center"/>
              <w:rPr>
                <w:rFonts w:hint="eastAsia" w:ascii="宋体" w:hAnsi="宋体" w:cs="宋体"/>
                <w:bCs/>
                <w:sz w:val="24"/>
                <w:highlight w:val="none"/>
                <w:lang w:val="zh-CN"/>
              </w:rPr>
            </w:pPr>
          </w:p>
          <w:p w14:paraId="15CA4528">
            <w:pPr>
              <w:spacing w:line="380" w:lineRule="exact"/>
              <w:jc w:val="center"/>
              <w:rPr>
                <w:rFonts w:hint="eastAsia" w:ascii="宋体" w:hAnsi="宋体" w:cs="宋体"/>
                <w:bCs/>
                <w:sz w:val="24"/>
                <w:highlight w:val="none"/>
                <w:lang w:val="zh-CN"/>
              </w:rPr>
            </w:pPr>
          </w:p>
          <w:p w14:paraId="2C131290">
            <w:pPr>
              <w:spacing w:line="380" w:lineRule="exact"/>
              <w:jc w:val="center"/>
              <w:rPr>
                <w:rFonts w:hint="eastAsia" w:ascii="宋体" w:hAnsi="宋体" w:cs="宋体"/>
                <w:bCs/>
                <w:sz w:val="24"/>
                <w:highlight w:val="none"/>
                <w:lang w:val="zh-CN"/>
              </w:rPr>
            </w:pPr>
          </w:p>
          <w:p w14:paraId="4050075C">
            <w:pPr>
              <w:spacing w:line="380" w:lineRule="exact"/>
              <w:jc w:val="center"/>
              <w:rPr>
                <w:rFonts w:hint="eastAsia" w:ascii="宋体" w:hAnsi="宋体" w:cs="宋体"/>
                <w:bCs/>
                <w:sz w:val="24"/>
                <w:highlight w:val="none"/>
                <w:lang w:val="zh-CN"/>
              </w:rPr>
            </w:pPr>
          </w:p>
          <w:p w14:paraId="2E48E25D">
            <w:pPr>
              <w:spacing w:line="380" w:lineRule="exact"/>
              <w:jc w:val="center"/>
              <w:rPr>
                <w:rFonts w:hint="eastAsia" w:ascii="宋体" w:hAnsi="宋体" w:cs="宋体"/>
                <w:bCs/>
                <w:sz w:val="24"/>
                <w:highlight w:val="none"/>
                <w:lang w:val="zh-CN"/>
              </w:rPr>
            </w:pPr>
          </w:p>
          <w:p w14:paraId="775F14FE">
            <w:pPr>
              <w:spacing w:line="380" w:lineRule="exact"/>
              <w:jc w:val="center"/>
              <w:rPr>
                <w:rFonts w:hint="eastAsia" w:ascii="宋体" w:hAnsi="宋体" w:cs="宋体"/>
                <w:bCs/>
                <w:sz w:val="24"/>
                <w:highlight w:val="none"/>
                <w:lang w:val="zh-CN"/>
              </w:rPr>
            </w:pPr>
          </w:p>
          <w:p w14:paraId="25F24926">
            <w:pPr>
              <w:spacing w:line="380" w:lineRule="exact"/>
              <w:jc w:val="center"/>
              <w:rPr>
                <w:rFonts w:hint="eastAsia" w:ascii="宋体" w:hAnsi="宋体" w:cs="宋体"/>
                <w:bCs/>
                <w:sz w:val="24"/>
                <w:highlight w:val="none"/>
                <w:lang w:val="zh-CN"/>
              </w:rPr>
            </w:pPr>
          </w:p>
          <w:p w14:paraId="21156056">
            <w:pPr>
              <w:pStyle w:val="3"/>
              <w:rPr>
                <w:rFonts w:hint="eastAsia"/>
                <w:highlight w:val="none"/>
                <w:lang w:val="zh-CN"/>
              </w:rPr>
            </w:pPr>
          </w:p>
          <w:p w14:paraId="47660F78">
            <w:pPr>
              <w:spacing w:line="380" w:lineRule="exact"/>
              <w:jc w:val="center"/>
              <w:rPr>
                <w:rFonts w:hint="eastAsia" w:ascii="宋体" w:hAnsi="宋体" w:cs="宋体"/>
                <w:bCs/>
                <w:sz w:val="24"/>
                <w:highlight w:val="none"/>
                <w:lang w:val="zh-CN"/>
              </w:rPr>
            </w:pPr>
          </w:p>
          <w:p w14:paraId="00DD9573">
            <w:pPr>
              <w:spacing w:line="380" w:lineRule="exact"/>
              <w:jc w:val="center"/>
              <w:rPr>
                <w:rFonts w:hint="eastAsia" w:ascii="宋体" w:hAnsi="宋体" w:cs="宋体"/>
                <w:bCs/>
                <w:sz w:val="24"/>
                <w:highlight w:val="none"/>
                <w:lang w:val="zh-CN"/>
              </w:rPr>
            </w:pPr>
          </w:p>
          <w:p w14:paraId="0CDE9039">
            <w:pPr>
              <w:spacing w:line="380" w:lineRule="exact"/>
              <w:jc w:val="center"/>
              <w:rPr>
                <w:rFonts w:hint="eastAsia" w:ascii="宋体" w:hAnsi="宋体" w:cs="宋体"/>
                <w:bCs/>
                <w:sz w:val="24"/>
                <w:highlight w:val="none"/>
                <w:lang w:val="zh-CN"/>
              </w:rPr>
            </w:pPr>
          </w:p>
          <w:p w14:paraId="28E7ED1D">
            <w:pPr>
              <w:spacing w:line="380" w:lineRule="exact"/>
              <w:jc w:val="center"/>
              <w:rPr>
                <w:rFonts w:hint="eastAsia" w:ascii="宋体" w:hAnsi="宋体" w:cs="宋体"/>
                <w:bCs/>
                <w:sz w:val="24"/>
                <w:highlight w:val="none"/>
                <w:lang w:val="zh-CN"/>
              </w:rPr>
            </w:pPr>
          </w:p>
          <w:p w14:paraId="223BE21E">
            <w:pPr>
              <w:spacing w:line="380" w:lineRule="exact"/>
              <w:jc w:val="center"/>
              <w:rPr>
                <w:rFonts w:hint="eastAsia" w:ascii="宋体" w:hAnsi="宋体" w:cs="宋体"/>
                <w:bCs/>
                <w:sz w:val="24"/>
                <w:highlight w:val="none"/>
                <w:lang w:val="zh-CN"/>
              </w:rPr>
            </w:pPr>
            <w:r>
              <w:rPr>
                <w:rFonts w:hint="eastAsia" w:ascii="宋体" w:hAnsi="宋体" w:cs="宋体"/>
                <w:bCs/>
                <w:sz w:val="24"/>
                <w:highlight w:val="none"/>
                <w:lang w:val="zh-CN"/>
              </w:rPr>
              <w:t>技术服务水平</w:t>
            </w:r>
          </w:p>
        </w:tc>
        <w:tc>
          <w:tcPr>
            <w:tcW w:w="846" w:type="pct"/>
            <w:tcBorders>
              <w:top w:val="single" w:color="auto" w:sz="4" w:space="0"/>
              <w:left w:val="single" w:color="auto" w:sz="4" w:space="0"/>
              <w:right w:val="single" w:color="auto" w:sz="4" w:space="0"/>
            </w:tcBorders>
            <w:noWrap w:val="0"/>
            <w:vAlign w:val="center"/>
          </w:tcPr>
          <w:p w14:paraId="7649879F">
            <w:pPr>
              <w:jc w:val="center"/>
              <w:rPr>
                <w:rFonts w:hint="default" w:ascii="宋体" w:hAnsi="宋体" w:eastAsia="宋体" w:cs="宋体"/>
                <w:bCs/>
                <w:sz w:val="24"/>
                <w:highlight w:val="none"/>
                <w:lang w:val="en-US" w:eastAsia="zh-CN"/>
              </w:rPr>
            </w:pPr>
            <w:r>
              <w:rPr>
                <w:rFonts w:hint="eastAsia" w:ascii="宋体" w:hAnsi="宋体" w:cs="宋体"/>
                <w:bCs/>
                <w:sz w:val="24"/>
                <w:highlight w:val="none"/>
                <w:lang w:val="en-US" w:eastAsia="zh-CN"/>
              </w:rPr>
              <w:t>生产能力</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71D8DC15">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rPr>
            </w:pPr>
            <w:r>
              <w:rPr>
                <w:rFonts w:hint="eastAsia" w:ascii="Times New Roman" w:hAnsi="宋体" w:eastAsia="宋体" w:cs="宋体"/>
                <w:color w:val="000000"/>
                <w:sz w:val="24"/>
                <w:highlight w:val="none"/>
                <w:lang w:val="en-US" w:eastAsia="zh-CN"/>
              </w:rPr>
              <w:t>根据</w:t>
            </w:r>
            <w:r>
              <w:rPr>
                <w:rFonts w:hint="eastAsia" w:ascii="Times New Roman" w:hAnsi="宋体" w:eastAsia="宋体" w:cs="宋体"/>
                <w:color w:val="000000"/>
                <w:sz w:val="24"/>
                <w:highlight w:val="none"/>
              </w:rPr>
              <w:t>投标人</w:t>
            </w:r>
            <w:r>
              <w:rPr>
                <w:rFonts w:hint="eastAsia" w:ascii="Times New Roman" w:hAnsi="宋体" w:eastAsia="宋体" w:cs="宋体"/>
                <w:color w:val="000000"/>
                <w:sz w:val="24"/>
                <w:highlight w:val="none"/>
                <w:lang w:val="en-US" w:eastAsia="zh-CN"/>
              </w:rPr>
              <w:t>或投标产品制造商</w:t>
            </w:r>
            <w:r>
              <w:rPr>
                <w:rFonts w:hint="eastAsia" w:ascii="Times New Roman" w:hAnsi="宋体" w:eastAsia="宋体" w:cs="宋体"/>
                <w:color w:val="000000"/>
                <w:sz w:val="24"/>
                <w:highlight w:val="none"/>
              </w:rPr>
              <w:t>提供产品的生产工艺介绍</w:t>
            </w:r>
            <w:r>
              <w:rPr>
                <w:rFonts w:hint="eastAsia" w:ascii="Times New Roman" w:hAnsi="宋体" w:eastAsia="宋体" w:cs="宋体"/>
                <w:color w:val="000000"/>
                <w:sz w:val="24"/>
                <w:highlight w:val="none"/>
                <w:lang w:eastAsia="zh-CN"/>
              </w:rPr>
              <w:t>（</w:t>
            </w:r>
            <w:r>
              <w:rPr>
                <w:rFonts w:hint="eastAsia" w:ascii="Times New Roman" w:hAnsi="宋体" w:eastAsia="宋体" w:cs="宋体"/>
                <w:color w:val="000000"/>
                <w:sz w:val="24"/>
                <w:highlight w:val="none"/>
                <w:lang w:val="en-US" w:eastAsia="zh-CN"/>
              </w:rPr>
              <w:t>0-2</w:t>
            </w:r>
            <w:r>
              <w:rPr>
                <w:rFonts w:hint="eastAsia" w:ascii="Times New Roman" w:hAnsi="宋体" w:eastAsia="宋体" w:cs="宋体"/>
                <w:color w:val="000000"/>
                <w:sz w:val="24"/>
                <w:highlight w:val="none"/>
                <w:lang w:eastAsia="zh-CN"/>
              </w:rPr>
              <w:t>）、</w:t>
            </w:r>
            <w:r>
              <w:rPr>
                <w:rFonts w:hint="eastAsia" w:ascii="Times New Roman" w:hAnsi="宋体" w:eastAsia="宋体" w:cs="宋体"/>
                <w:color w:val="000000"/>
                <w:sz w:val="24"/>
                <w:highlight w:val="none"/>
              </w:rPr>
              <w:t>生产设备</w:t>
            </w:r>
            <w:r>
              <w:rPr>
                <w:rFonts w:hint="eastAsia" w:ascii="Times New Roman" w:hAnsi="宋体" w:eastAsia="宋体" w:cs="宋体"/>
                <w:color w:val="000000"/>
                <w:sz w:val="24"/>
                <w:highlight w:val="none"/>
                <w:lang w:val="en-US" w:eastAsia="zh-CN"/>
              </w:rPr>
              <w:t>配置（0-2）</w:t>
            </w:r>
            <w:r>
              <w:rPr>
                <w:rFonts w:hint="eastAsia" w:ascii="Times New Roman" w:hAnsi="宋体" w:eastAsia="宋体" w:cs="宋体"/>
                <w:color w:val="000000"/>
                <w:sz w:val="24"/>
                <w:highlight w:val="none"/>
                <w:lang w:eastAsia="zh-CN"/>
              </w:rPr>
              <w:t>、</w:t>
            </w:r>
            <w:r>
              <w:rPr>
                <w:rFonts w:hint="eastAsia" w:ascii="Times New Roman" w:hAnsi="宋体" w:eastAsia="宋体" w:cs="宋体"/>
                <w:color w:val="000000"/>
                <w:sz w:val="24"/>
                <w:highlight w:val="none"/>
              </w:rPr>
              <w:t>生产能力情况</w:t>
            </w:r>
            <w:r>
              <w:rPr>
                <w:rFonts w:hint="eastAsia" w:ascii="Times New Roman" w:hAnsi="宋体" w:eastAsia="宋体" w:cs="宋体"/>
                <w:color w:val="000000"/>
                <w:sz w:val="24"/>
                <w:highlight w:val="none"/>
                <w:lang w:eastAsia="zh-CN"/>
              </w:rPr>
              <w:t>及</w:t>
            </w:r>
            <w:r>
              <w:rPr>
                <w:rFonts w:hint="eastAsia" w:ascii="Times New Roman" w:hAnsi="宋体" w:eastAsia="宋体" w:cs="宋体"/>
                <w:color w:val="000000"/>
                <w:sz w:val="24"/>
                <w:highlight w:val="none"/>
              </w:rPr>
              <w:t>技术</w:t>
            </w:r>
            <w:r>
              <w:rPr>
                <w:rFonts w:hint="eastAsia" w:ascii="Times New Roman" w:hAnsi="宋体" w:eastAsia="宋体" w:cs="宋体"/>
                <w:color w:val="000000"/>
                <w:sz w:val="24"/>
                <w:highlight w:val="none"/>
                <w:lang w:val="en-US" w:eastAsia="zh-CN"/>
              </w:rPr>
              <w:t>服务水平</w:t>
            </w:r>
            <w:r>
              <w:rPr>
                <w:rFonts w:hint="eastAsia" w:ascii="Times New Roman" w:hAnsi="宋体" w:eastAsia="宋体" w:cs="宋体"/>
                <w:color w:val="000000"/>
                <w:sz w:val="24"/>
                <w:highlight w:val="none"/>
                <w:lang w:eastAsia="zh-CN"/>
              </w:rPr>
              <w:t>等</w:t>
            </w:r>
            <w:r>
              <w:rPr>
                <w:rFonts w:hint="eastAsia" w:ascii="Times New Roman" w:hAnsi="宋体" w:eastAsia="宋体" w:cs="宋体"/>
                <w:color w:val="000000"/>
                <w:sz w:val="24"/>
                <w:highlight w:val="none"/>
                <w:lang w:val="en-US" w:eastAsia="zh-CN"/>
              </w:rPr>
              <w:t>情况（0-2），进行</w:t>
            </w:r>
            <w:r>
              <w:rPr>
                <w:rFonts w:hint="eastAsia" w:ascii="Times New Roman" w:hAnsi="宋体" w:eastAsia="宋体" w:cs="宋体"/>
                <w:color w:val="000000"/>
                <w:sz w:val="24"/>
                <w:highlight w:val="none"/>
              </w:rPr>
              <w:t>打分。</w:t>
            </w:r>
          </w:p>
        </w:tc>
        <w:tc>
          <w:tcPr>
            <w:tcW w:w="431" w:type="pct"/>
            <w:tcBorders>
              <w:top w:val="single" w:color="auto" w:sz="4" w:space="0"/>
              <w:left w:val="single" w:color="auto" w:sz="4" w:space="0"/>
              <w:right w:val="single" w:color="auto" w:sz="4" w:space="0"/>
            </w:tcBorders>
            <w:noWrap w:val="0"/>
            <w:vAlign w:val="center"/>
          </w:tcPr>
          <w:p w14:paraId="1BE94265">
            <w:pPr>
              <w:snapToGrid w:val="0"/>
              <w:spacing w:line="380" w:lineRule="exact"/>
              <w:jc w:val="center"/>
              <w:rPr>
                <w:rFonts w:hint="eastAsia" w:ascii="宋体" w:hAnsi="宋体" w:eastAsia="宋体" w:cs="宋体"/>
                <w:bCs/>
                <w:color w:val="auto"/>
                <w:sz w:val="24"/>
                <w:highlight w:val="none"/>
                <w:lang w:eastAsia="zh-CN"/>
              </w:rPr>
            </w:pPr>
            <w:r>
              <w:rPr>
                <w:rFonts w:hint="eastAsia" w:ascii="宋体" w:hAnsi="宋体" w:cs="宋体"/>
                <w:color w:val="auto"/>
                <w:sz w:val="24"/>
                <w:highlight w:val="none"/>
                <w:lang w:val="en-US" w:eastAsia="zh-CN"/>
              </w:rPr>
              <w:t>6</w:t>
            </w:r>
          </w:p>
        </w:tc>
      </w:tr>
      <w:tr w14:paraId="0E02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402" w:type="pct"/>
            <w:tcBorders>
              <w:top w:val="single" w:color="auto" w:sz="4" w:space="0"/>
              <w:left w:val="single" w:color="auto" w:sz="4" w:space="0"/>
              <w:right w:val="single" w:color="auto" w:sz="4" w:space="0"/>
            </w:tcBorders>
            <w:noWrap w:val="0"/>
            <w:vAlign w:val="center"/>
          </w:tcPr>
          <w:p w14:paraId="125DFB7A">
            <w:pPr>
              <w:spacing w:line="480" w:lineRule="exact"/>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3</w:t>
            </w:r>
          </w:p>
        </w:tc>
        <w:tc>
          <w:tcPr>
            <w:tcW w:w="226" w:type="pct"/>
            <w:vMerge w:val="continue"/>
            <w:tcBorders>
              <w:left w:val="single" w:color="auto" w:sz="4" w:space="0"/>
              <w:right w:val="single" w:color="auto" w:sz="4" w:space="0"/>
            </w:tcBorders>
            <w:noWrap w:val="0"/>
            <w:vAlign w:val="center"/>
          </w:tcPr>
          <w:p w14:paraId="2C157E02">
            <w:pPr>
              <w:spacing w:line="380" w:lineRule="exact"/>
              <w:jc w:val="center"/>
              <w:rPr>
                <w:rFonts w:hint="eastAsia" w:ascii="宋体" w:hAnsi="宋体" w:cs="宋体"/>
                <w:bCs/>
                <w:sz w:val="24"/>
                <w:highlight w:val="none"/>
                <w:lang w:val="zh-CN"/>
              </w:rPr>
            </w:pPr>
          </w:p>
        </w:tc>
        <w:tc>
          <w:tcPr>
            <w:tcW w:w="846" w:type="pct"/>
            <w:vMerge w:val="restart"/>
            <w:tcBorders>
              <w:left w:val="single" w:color="auto" w:sz="4" w:space="0"/>
              <w:right w:val="single" w:color="auto" w:sz="4" w:space="0"/>
            </w:tcBorders>
            <w:noWrap w:val="0"/>
            <w:vAlign w:val="center"/>
          </w:tcPr>
          <w:p w14:paraId="4F08672A">
            <w:pPr>
              <w:pStyle w:val="291"/>
              <w:jc w:val="center"/>
              <w:rPr>
                <w:rFonts w:hint="eastAsia"/>
                <w:highlight w:val="none"/>
              </w:rPr>
            </w:pPr>
            <w:r>
              <w:rPr>
                <w:rFonts w:hint="eastAsia" w:ascii="宋体" w:hAnsi="宋体" w:eastAsia="宋体" w:cs="宋体"/>
                <w:color w:val="auto"/>
                <w:kern w:val="2"/>
                <w:sz w:val="24"/>
                <w:szCs w:val="24"/>
                <w:highlight w:val="none"/>
                <w:lang w:val="en-US" w:eastAsia="zh-CN" w:bidi="ar-SA"/>
              </w:rPr>
              <w:t>供货计划及运输方案</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18D4439A">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en-US" w:eastAsia="zh-CN"/>
              </w:rPr>
              <w:t>根据投标人对供货计划的安排（0-2）、</w:t>
            </w:r>
            <w:r>
              <w:rPr>
                <w:rFonts w:hint="eastAsia" w:hAnsi="宋体" w:cs="宋体"/>
                <w:color w:val="000000"/>
                <w:sz w:val="24"/>
                <w:highlight w:val="none"/>
                <w:lang w:val="en-US" w:eastAsia="zh-CN"/>
              </w:rPr>
              <w:t>工作经验</w:t>
            </w:r>
            <w:r>
              <w:rPr>
                <w:rFonts w:hint="eastAsia" w:ascii="Times New Roman" w:hAnsi="宋体" w:eastAsia="宋体" w:cs="宋体"/>
                <w:color w:val="000000"/>
                <w:sz w:val="24"/>
                <w:highlight w:val="none"/>
                <w:lang w:val="en-US" w:eastAsia="zh-CN"/>
              </w:rPr>
              <w:t>（0-2）、供货方案（0-2），进行评分。</w:t>
            </w:r>
          </w:p>
        </w:tc>
        <w:tc>
          <w:tcPr>
            <w:tcW w:w="431" w:type="pct"/>
            <w:tcBorders>
              <w:top w:val="single" w:color="auto" w:sz="4" w:space="0"/>
              <w:left w:val="single" w:color="auto" w:sz="4" w:space="0"/>
              <w:right w:val="single" w:color="auto" w:sz="4" w:space="0"/>
            </w:tcBorders>
            <w:noWrap w:val="0"/>
            <w:vAlign w:val="center"/>
          </w:tcPr>
          <w:p w14:paraId="05D49A3F">
            <w:pPr>
              <w:spacing w:line="36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r>
      <w:tr w14:paraId="4B6E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02" w:type="pct"/>
            <w:tcBorders>
              <w:left w:val="single" w:color="auto" w:sz="4" w:space="0"/>
              <w:right w:val="single" w:color="auto" w:sz="4" w:space="0"/>
            </w:tcBorders>
            <w:noWrap w:val="0"/>
            <w:vAlign w:val="center"/>
          </w:tcPr>
          <w:p w14:paraId="2D725B5F">
            <w:pPr>
              <w:spacing w:line="48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226" w:type="pct"/>
            <w:vMerge w:val="continue"/>
            <w:tcBorders>
              <w:left w:val="single" w:color="auto" w:sz="4" w:space="0"/>
              <w:right w:val="single" w:color="auto" w:sz="4" w:space="0"/>
            </w:tcBorders>
            <w:noWrap w:val="0"/>
            <w:vAlign w:val="center"/>
          </w:tcPr>
          <w:p w14:paraId="26F0665F">
            <w:pPr>
              <w:pStyle w:val="7"/>
              <w:keepNext w:val="0"/>
              <w:keepLines w:val="0"/>
              <w:pageBreakBefore w:val="0"/>
              <w:widowControl/>
              <w:kinsoku/>
              <w:wordWrap/>
              <w:overflowPunct/>
              <w:topLinePunct w:val="0"/>
              <w:autoSpaceDE/>
              <w:autoSpaceDN/>
              <w:bidi w:val="0"/>
              <w:adjustRightInd/>
              <w:snapToGrid/>
              <w:spacing w:before="0" w:after="0" w:line="240" w:lineRule="exact"/>
              <w:textAlignment w:val="auto"/>
              <w:rPr>
                <w:highlight w:val="none"/>
              </w:rPr>
            </w:pPr>
          </w:p>
        </w:tc>
        <w:tc>
          <w:tcPr>
            <w:tcW w:w="846" w:type="pct"/>
            <w:vMerge w:val="continue"/>
            <w:tcBorders>
              <w:left w:val="single" w:color="auto" w:sz="4" w:space="0"/>
              <w:right w:val="single" w:color="auto" w:sz="4" w:space="0"/>
            </w:tcBorders>
            <w:noWrap w:val="0"/>
            <w:vAlign w:val="center"/>
          </w:tcPr>
          <w:p w14:paraId="0F13EA92">
            <w:pPr>
              <w:pStyle w:val="7"/>
              <w:keepNext w:val="0"/>
              <w:keepLines w:val="0"/>
              <w:pageBreakBefore w:val="0"/>
              <w:widowControl/>
              <w:kinsoku/>
              <w:wordWrap/>
              <w:overflowPunct/>
              <w:topLinePunct w:val="0"/>
              <w:autoSpaceDE/>
              <w:autoSpaceDN/>
              <w:bidi w:val="0"/>
              <w:adjustRightInd/>
              <w:snapToGrid/>
              <w:spacing w:before="0" w:after="0" w:line="240" w:lineRule="exact"/>
              <w:textAlignment w:val="auto"/>
              <w:rPr>
                <w:highlight w:val="none"/>
              </w:rPr>
            </w:pPr>
          </w:p>
        </w:tc>
        <w:tc>
          <w:tcPr>
            <w:tcW w:w="3093" w:type="pct"/>
            <w:tcBorders>
              <w:top w:val="single" w:color="auto" w:sz="4" w:space="0"/>
              <w:left w:val="single" w:color="auto" w:sz="4" w:space="0"/>
              <w:bottom w:val="single" w:color="auto" w:sz="4" w:space="0"/>
              <w:right w:val="single" w:color="auto" w:sz="4" w:space="0"/>
            </w:tcBorders>
            <w:noWrap w:val="0"/>
            <w:vAlign w:val="center"/>
          </w:tcPr>
          <w:p w14:paraId="462F7DD0">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en-US" w:eastAsia="zh-CN"/>
              </w:rPr>
              <w:t>根据投标人对运输环节的方案（0-2）及措施内容（0-2），进行评分。</w:t>
            </w:r>
          </w:p>
        </w:tc>
        <w:tc>
          <w:tcPr>
            <w:tcW w:w="431" w:type="pct"/>
            <w:tcBorders>
              <w:left w:val="single" w:color="auto" w:sz="4" w:space="0"/>
              <w:right w:val="single" w:color="auto" w:sz="4" w:space="0"/>
            </w:tcBorders>
            <w:noWrap w:val="0"/>
            <w:vAlign w:val="center"/>
          </w:tcPr>
          <w:p w14:paraId="3305782B">
            <w:pPr>
              <w:pStyle w:val="7"/>
              <w:keepNext w:val="0"/>
              <w:keepLines w:val="0"/>
              <w:pageBreakBefore w:val="0"/>
              <w:widowControl/>
              <w:kinsoku/>
              <w:wordWrap/>
              <w:overflowPunct/>
              <w:topLinePunct w:val="0"/>
              <w:autoSpaceDE/>
              <w:autoSpaceDN/>
              <w:bidi w:val="0"/>
              <w:adjustRightInd/>
              <w:snapToGrid/>
              <w:spacing w:before="0" w:after="0" w:line="240" w:lineRule="exact"/>
              <w:jc w:val="center"/>
              <w:textAlignment w:val="auto"/>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w:t>
            </w:r>
          </w:p>
        </w:tc>
      </w:tr>
      <w:tr w14:paraId="41D3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500753FB">
            <w:pPr>
              <w:spacing w:line="380" w:lineRule="exact"/>
              <w:jc w:val="center"/>
              <w:rPr>
                <w:rFonts w:hint="default" w:ascii="宋体" w:hAnsi="宋体" w:cs="宋体"/>
                <w:bCs/>
                <w:sz w:val="24"/>
                <w:highlight w:val="none"/>
                <w:lang w:val="en-US" w:eastAsia="zh-CN"/>
              </w:rPr>
            </w:pPr>
            <w:r>
              <w:rPr>
                <w:rFonts w:hint="eastAsia" w:ascii="宋体" w:hAnsi="宋体" w:cs="宋体"/>
                <w:bCs/>
                <w:sz w:val="24"/>
                <w:highlight w:val="none"/>
                <w:lang w:val="en-US" w:eastAsia="zh-CN"/>
              </w:rPr>
              <w:t>5</w:t>
            </w:r>
          </w:p>
        </w:tc>
        <w:tc>
          <w:tcPr>
            <w:tcW w:w="226" w:type="pct"/>
            <w:vMerge w:val="continue"/>
            <w:tcBorders>
              <w:left w:val="single" w:color="auto" w:sz="4" w:space="0"/>
              <w:right w:val="single" w:color="auto" w:sz="4" w:space="0"/>
            </w:tcBorders>
            <w:noWrap w:val="0"/>
            <w:vAlign w:val="center"/>
          </w:tcPr>
          <w:p w14:paraId="6A1A5379">
            <w:pPr>
              <w:spacing w:line="380" w:lineRule="exact"/>
              <w:jc w:val="center"/>
              <w:rPr>
                <w:rFonts w:hint="eastAsia" w:ascii="宋体" w:hAnsi="宋体" w:cs="宋体"/>
                <w:bCs/>
                <w:sz w:val="24"/>
                <w:highlight w:val="none"/>
                <w:lang w:val="zh-CN"/>
              </w:rPr>
            </w:pPr>
          </w:p>
        </w:tc>
        <w:tc>
          <w:tcPr>
            <w:tcW w:w="846" w:type="pct"/>
            <w:tcBorders>
              <w:left w:val="single" w:color="auto" w:sz="4" w:space="0"/>
              <w:bottom w:val="single" w:color="auto" w:sz="4" w:space="0"/>
              <w:right w:val="single" w:color="auto" w:sz="4" w:space="0"/>
            </w:tcBorders>
            <w:shd w:val="clear" w:color="auto" w:fill="auto"/>
            <w:noWrap w:val="0"/>
            <w:vAlign w:val="center"/>
          </w:tcPr>
          <w:p w14:paraId="0E42E717">
            <w:pPr>
              <w:spacing w:line="360" w:lineRule="auto"/>
              <w:jc w:val="center"/>
              <w:rPr>
                <w:rFonts w:hint="default" w:ascii="Times New Roman" w:hAnsi="宋体" w:eastAsia="宋体" w:cs="宋体"/>
                <w:color w:val="auto"/>
                <w:kern w:val="2"/>
                <w:sz w:val="24"/>
                <w:szCs w:val="24"/>
                <w:highlight w:val="none"/>
                <w:lang w:val="en-US" w:eastAsia="zh-CN" w:bidi="ar-SA"/>
              </w:rPr>
            </w:pPr>
            <w:r>
              <w:rPr>
                <w:rFonts w:hint="eastAsia" w:ascii="Times New Roman" w:hAnsi="宋体" w:eastAsia="宋体" w:cs="宋体"/>
                <w:color w:val="auto"/>
                <w:sz w:val="24"/>
                <w:highlight w:val="none"/>
              </w:rPr>
              <w:t>实施团队</w:t>
            </w:r>
          </w:p>
        </w:tc>
        <w:tc>
          <w:tcPr>
            <w:tcW w:w="30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6F7DC8">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zh-CN"/>
              </w:rPr>
              <w:t>拟投入本项目人员素质、技术能力、</w:t>
            </w:r>
            <w:r>
              <w:rPr>
                <w:rFonts w:hint="eastAsia" w:hAnsi="宋体" w:cs="宋体"/>
                <w:color w:val="000000"/>
                <w:sz w:val="24"/>
                <w:highlight w:val="none"/>
                <w:lang w:val="en-US" w:eastAsia="zh-CN"/>
              </w:rPr>
              <w:t>工作经验</w:t>
            </w:r>
            <w:r>
              <w:rPr>
                <w:rFonts w:hint="eastAsia" w:ascii="Times New Roman" w:hAnsi="宋体" w:eastAsia="宋体" w:cs="宋体"/>
                <w:color w:val="000000"/>
                <w:sz w:val="24"/>
                <w:highlight w:val="none"/>
                <w:lang w:val="zh-CN"/>
              </w:rPr>
              <w:t>等情况，</w:t>
            </w:r>
            <w:r>
              <w:rPr>
                <w:rFonts w:hint="eastAsia" w:ascii="Times New Roman" w:hAnsi="宋体" w:eastAsia="宋体" w:cs="宋体"/>
                <w:color w:val="000000"/>
                <w:sz w:val="24"/>
                <w:highlight w:val="none"/>
                <w:lang w:val="en-US" w:eastAsia="zh-CN"/>
              </w:rPr>
              <w:t>进行</w:t>
            </w:r>
            <w:r>
              <w:rPr>
                <w:rFonts w:hint="eastAsia" w:ascii="Times New Roman" w:hAnsi="宋体" w:eastAsia="宋体" w:cs="宋体"/>
                <w:color w:val="000000"/>
                <w:sz w:val="24"/>
                <w:highlight w:val="none"/>
                <w:lang w:val="zh-CN"/>
              </w:rPr>
              <w:t>打分。</w:t>
            </w:r>
            <w:r>
              <w:rPr>
                <w:rFonts w:hint="eastAsia" w:ascii="Times New Roman" w:hAnsi="宋体" w:eastAsia="宋体" w:cs="宋体"/>
                <w:color w:val="000000"/>
                <w:sz w:val="24"/>
                <w:highlight w:val="none"/>
              </w:rPr>
              <w:t>（</w:t>
            </w:r>
            <w:r>
              <w:rPr>
                <w:rFonts w:hint="eastAsia" w:ascii="Times New Roman" w:hAnsi="宋体" w:eastAsia="宋体" w:cs="宋体"/>
                <w:color w:val="000000"/>
                <w:sz w:val="24"/>
                <w:highlight w:val="none"/>
                <w:lang w:val="en-US" w:eastAsia="zh-CN"/>
              </w:rPr>
              <w:t>需提供证书复印件，并且必须是</w:t>
            </w:r>
            <w:r>
              <w:rPr>
                <w:rFonts w:hint="eastAsia" w:ascii="Times New Roman" w:hAnsi="宋体" w:eastAsia="宋体" w:cs="宋体"/>
                <w:color w:val="000000"/>
                <w:sz w:val="24"/>
                <w:highlight w:val="none"/>
              </w:rPr>
              <w:t>投标人本单位在职员工，</w:t>
            </w:r>
            <w:r>
              <w:rPr>
                <w:rFonts w:hint="eastAsia" w:ascii="Times New Roman" w:hAnsi="宋体" w:eastAsia="宋体" w:cs="宋体"/>
                <w:color w:val="000000"/>
                <w:sz w:val="24"/>
                <w:highlight w:val="none"/>
                <w:lang w:val="en-US" w:eastAsia="zh-CN"/>
              </w:rPr>
              <w:t>还</w:t>
            </w:r>
            <w:r>
              <w:rPr>
                <w:rFonts w:hint="eastAsia" w:ascii="Times New Roman" w:hAnsi="宋体" w:eastAsia="宋体" w:cs="宋体"/>
                <w:color w:val="000000"/>
                <w:sz w:val="24"/>
                <w:highlight w:val="none"/>
              </w:rPr>
              <w:t>须</w:t>
            </w:r>
            <w:r>
              <w:rPr>
                <w:rFonts w:hint="eastAsia" w:ascii="Times New Roman" w:hAnsi="宋体" w:eastAsia="宋体" w:cs="宋体"/>
                <w:color w:val="000000"/>
                <w:sz w:val="24"/>
                <w:highlight w:val="none"/>
                <w:lang w:val="en-US" w:eastAsia="zh-CN"/>
              </w:rPr>
              <w:t>提供已在本单位缴纳社保的承诺书并加盖投标人公章，否则不得分</w:t>
            </w:r>
            <w:r>
              <w:rPr>
                <w:rFonts w:hint="eastAsia" w:ascii="Times New Roman" w:hAnsi="宋体" w:eastAsia="宋体" w:cs="宋体"/>
                <w:color w:val="000000"/>
                <w:sz w:val="24"/>
                <w:highlight w:val="none"/>
              </w:rPr>
              <w:t>）</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1BCEDF">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3</w:t>
            </w:r>
          </w:p>
        </w:tc>
      </w:tr>
      <w:tr w14:paraId="02B7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75A0D80E">
            <w:pPr>
              <w:spacing w:line="380" w:lineRule="exact"/>
              <w:jc w:val="center"/>
              <w:rPr>
                <w:rFonts w:hint="default" w:ascii="宋体" w:hAnsi="宋体" w:cs="宋体"/>
                <w:bCs/>
                <w:sz w:val="24"/>
                <w:highlight w:val="none"/>
                <w:lang w:val="en-US" w:eastAsia="zh-CN"/>
              </w:rPr>
            </w:pPr>
            <w:r>
              <w:rPr>
                <w:rFonts w:hint="eastAsia" w:ascii="宋体" w:hAnsi="宋体" w:cs="宋体"/>
                <w:bCs/>
                <w:sz w:val="24"/>
                <w:highlight w:val="none"/>
                <w:lang w:val="en-US" w:eastAsia="zh-CN"/>
              </w:rPr>
              <w:t>6</w:t>
            </w:r>
          </w:p>
        </w:tc>
        <w:tc>
          <w:tcPr>
            <w:tcW w:w="226" w:type="pct"/>
            <w:vMerge w:val="continue"/>
            <w:tcBorders>
              <w:left w:val="single" w:color="auto" w:sz="4" w:space="0"/>
              <w:right w:val="single" w:color="auto" w:sz="4" w:space="0"/>
            </w:tcBorders>
            <w:noWrap w:val="0"/>
            <w:vAlign w:val="center"/>
          </w:tcPr>
          <w:p w14:paraId="395DD3EE">
            <w:pPr>
              <w:spacing w:line="380" w:lineRule="exact"/>
              <w:jc w:val="center"/>
              <w:rPr>
                <w:rFonts w:hint="eastAsia" w:ascii="宋体" w:hAnsi="宋体" w:cs="宋体"/>
                <w:bCs/>
                <w:sz w:val="24"/>
                <w:highlight w:val="none"/>
                <w:lang w:val="zh-CN"/>
              </w:rPr>
            </w:pPr>
          </w:p>
        </w:tc>
        <w:tc>
          <w:tcPr>
            <w:tcW w:w="846" w:type="pct"/>
            <w:tcBorders>
              <w:left w:val="single" w:color="auto" w:sz="4" w:space="0"/>
              <w:bottom w:val="single" w:color="auto" w:sz="4" w:space="0"/>
              <w:right w:val="single" w:color="auto" w:sz="4" w:space="0"/>
            </w:tcBorders>
            <w:noWrap w:val="0"/>
            <w:vAlign w:val="center"/>
          </w:tcPr>
          <w:p w14:paraId="179E1664">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应急</w:t>
            </w:r>
            <w:r>
              <w:rPr>
                <w:rFonts w:hint="eastAsia" w:ascii="宋体" w:hAnsi="宋体" w:eastAsia="宋体" w:cs="宋体"/>
                <w:color w:val="auto"/>
                <w:sz w:val="24"/>
                <w:highlight w:val="none"/>
                <w:lang w:val="en-US" w:eastAsia="zh-CN"/>
              </w:rPr>
              <w:t>方案</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7CDB5464">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en-US" w:eastAsia="zh-CN"/>
              </w:rPr>
              <w:t>根据投标人针对本项目突发的问题（0-2）及其它情况（包含应急供货措施或承诺等）提供的应急服务方案（0-3），进行打分。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8976BFE">
            <w:pPr>
              <w:spacing w:line="360" w:lineRule="exact"/>
              <w:jc w:val="center"/>
              <w:rPr>
                <w:rFonts w:hint="eastAsia" w:ascii="宋体" w:hAnsi="宋体" w:eastAsia="宋体" w:cs="宋体"/>
                <w:b/>
                <w:bCs/>
                <w:i w:val="0"/>
                <w:iCs w:val="0"/>
                <w:color w:val="auto"/>
                <w:sz w:val="24"/>
                <w:szCs w:val="24"/>
                <w:highlight w:val="none"/>
                <w:lang w:val="en-US" w:eastAsia="zh-CN"/>
              </w:rPr>
            </w:pPr>
            <w:r>
              <w:rPr>
                <w:rFonts w:hint="eastAsia" w:ascii="宋体" w:hAnsi="宋体" w:cs="宋体"/>
                <w:color w:val="auto"/>
                <w:sz w:val="24"/>
                <w:highlight w:val="none"/>
                <w:lang w:val="en-US" w:eastAsia="zh-CN"/>
              </w:rPr>
              <w:t>5</w:t>
            </w:r>
          </w:p>
        </w:tc>
      </w:tr>
      <w:tr w14:paraId="2248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535FC3FC">
            <w:pPr>
              <w:spacing w:line="380" w:lineRule="exact"/>
              <w:jc w:val="center"/>
              <w:rPr>
                <w:rFonts w:hint="default" w:ascii="宋体" w:hAnsi="宋体" w:cs="宋体"/>
                <w:bCs/>
                <w:sz w:val="24"/>
                <w:highlight w:val="none"/>
                <w:lang w:val="en-US" w:eastAsia="zh-CN"/>
              </w:rPr>
            </w:pPr>
            <w:r>
              <w:rPr>
                <w:rFonts w:hint="eastAsia" w:ascii="宋体" w:hAnsi="宋体" w:cs="宋体"/>
                <w:bCs/>
                <w:sz w:val="24"/>
                <w:highlight w:val="none"/>
                <w:lang w:val="en-US" w:eastAsia="zh-CN"/>
              </w:rPr>
              <w:t>7</w:t>
            </w:r>
          </w:p>
        </w:tc>
        <w:tc>
          <w:tcPr>
            <w:tcW w:w="226" w:type="pct"/>
            <w:vMerge w:val="continue"/>
            <w:tcBorders>
              <w:left w:val="single" w:color="auto" w:sz="4" w:space="0"/>
              <w:right w:val="single" w:color="auto" w:sz="4" w:space="0"/>
            </w:tcBorders>
            <w:noWrap w:val="0"/>
            <w:vAlign w:val="center"/>
          </w:tcPr>
          <w:p w14:paraId="3F21D76A">
            <w:pPr>
              <w:spacing w:line="380" w:lineRule="exact"/>
              <w:jc w:val="center"/>
              <w:rPr>
                <w:rFonts w:hint="eastAsia" w:ascii="宋体" w:hAnsi="宋体" w:cs="宋体"/>
                <w:bCs/>
                <w:sz w:val="24"/>
                <w:highlight w:val="none"/>
                <w:lang w:val="zh-CN"/>
              </w:rPr>
            </w:pPr>
          </w:p>
        </w:tc>
        <w:tc>
          <w:tcPr>
            <w:tcW w:w="846" w:type="pct"/>
            <w:tcBorders>
              <w:left w:val="single" w:color="auto" w:sz="4" w:space="0"/>
              <w:bottom w:val="single" w:color="auto" w:sz="4" w:space="0"/>
              <w:right w:val="single" w:color="auto" w:sz="4" w:space="0"/>
            </w:tcBorders>
            <w:noWrap w:val="0"/>
            <w:vAlign w:val="center"/>
          </w:tcPr>
          <w:p w14:paraId="14786D1E">
            <w:pPr>
              <w:jc w:val="center"/>
              <w:rPr>
                <w:rFonts w:hint="eastAsia" w:ascii="宋体" w:hAnsi="宋体" w:cs="宋体"/>
                <w:color w:val="auto"/>
                <w:sz w:val="24"/>
                <w:highlight w:val="none"/>
                <w:lang w:val="en-US" w:eastAsia="zh-CN"/>
              </w:rPr>
            </w:pPr>
            <w:r>
              <w:rPr>
                <w:rFonts w:hint="eastAsia" w:ascii="宋体" w:hAnsi="宋体" w:eastAsia="宋体" w:cs="宋体"/>
                <w:color w:val="auto"/>
                <w:kern w:val="0"/>
                <w:sz w:val="24"/>
                <w:szCs w:val="24"/>
                <w:highlight w:val="none"/>
              </w:rPr>
              <w:t>质量保证措施</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6DEE9740">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en-US" w:eastAsia="zh-CN"/>
              </w:rPr>
              <w:t>根据投标人对投标产品供货质量（0-2）、技术保障措施及承诺内容（0-2），进行评分。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AD4A89F">
            <w:pPr>
              <w:spacing w:line="360" w:lineRule="exact"/>
              <w:jc w:val="center"/>
              <w:rPr>
                <w:rFonts w:hint="default" w:ascii="宋体" w:hAnsi="宋体" w:eastAsia="宋体" w:cs="宋体"/>
                <w:b/>
                <w:bCs/>
                <w:i w:val="0"/>
                <w:iCs w:val="0"/>
                <w:color w:val="auto"/>
                <w:sz w:val="24"/>
                <w:szCs w:val="24"/>
                <w:highlight w:val="none"/>
                <w:lang w:val="en-US" w:eastAsia="zh-CN"/>
              </w:rPr>
            </w:pPr>
            <w:r>
              <w:rPr>
                <w:rFonts w:hint="eastAsia" w:ascii="宋体" w:hAnsi="宋体" w:cs="宋体"/>
                <w:color w:val="auto"/>
                <w:sz w:val="24"/>
                <w:highlight w:val="none"/>
                <w:lang w:val="en-US" w:eastAsia="zh-CN"/>
              </w:rPr>
              <w:t>4</w:t>
            </w:r>
          </w:p>
        </w:tc>
      </w:tr>
      <w:tr w14:paraId="34E5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2DF57A63">
            <w:pPr>
              <w:spacing w:line="380" w:lineRule="exact"/>
              <w:jc w:val="center"/>
              <w:rPr>
                <w:rFonts w:hint="default"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8</w:t>
            </w:r>
          </w:p>
        </w:tc>
        <w:tc>
          <w:tcPr>
            <w:tcW w:w="226" w:type="pct"/>
            <w:vMerge w:val="continue"/>
            <w:tcBorders>
              <w:left w:val="single" w:color="auto" w:sz="4" w:space="0"/>
              <w:right w:val="single" w:color="auto" w:sz="4" w:space="0"/>
            </w:tcBorders>
            <w:noWrap w:val="0"/>
            <w:vAlign w:val="center"/>
          </w:tcPr>
          <w:p w14:paraId="642D28E4">
            <w:pPr>
              <w:spacing w:line="380" w:lineRule="exact"/>
              <w:jc w:val="center"/>
              <w:rPr>
                <w:rFonts w:hint="eastAsia" w:ascii="宋体" w:hAnsi="宋体" w:cs="宋体"/>
                <w:bCs/>
                <w:color w:val="auto"/>
                <w:sz w:val="24"/>
                <w:highlight w:val="none"/>
                <w:lang w:val="zh-CN"/>
              </w:rPr>
            </w:pPr>
          </w:p>
        </w:tc>
        <w:tc>
          <w:tcPr>
            <w:tcW w:w="846" w:type="pct"/>
            <w:tcBorders>
              <w:left w:val="single" w:color="auto" w:sz="4" w:space="0"/>
              <w:bottom w:val="single" w:color="auto" w:sz="4" w:space="0"/>
              <w:right w:val="single" w:color="auto" w:sz="4" w:space="0"/>
            </w:tcBorders>
            <w:noWrap w:val="0"/>
            <w:vAlign w:val="center"/>
          </w:tcPr>
          <w:p w14:paraId="1908DE1F">
            <w:pPr>
              <w:jc w:val="center"/>
              <w:rPr>
                <w:rFonts w:hint="eastAsia" w:ascii="宋体" w:hAnsi="宋体" w:eastAsia="宋体" w:cs="宋体"/>
                <w:color w:val="auto"/>
                <w:kern w:val="0"/>
                <w:sz w:val="24"/>
                <w:szCs w:val="24"/>
                <w:highlight w:val="none"/>
              </w:rPr>
            </w:pPr>
            <w:r>
              <w:rPr>
                <w:rFonts w:hint="eastAsia" w:ascii="宋体" w:hAnsi="宋体" w:cs="宋体"/>
                <w:color w:val="auto"/>
                <w:sz w:val="24"/>
                <w:highlight w:val="none"/>
              </w:rPr>
              <w:t>合理化建议</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77781140">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rPr>
            </w:pPr>
            <w:r>
              <w:rPr>
                <w:rFonts w:hint="eastAsia" w:ascii="Times New Roman" w:hAnsi="宋体" w:eastAsia="宋体" w:cs="宋体"/>
                <w:color w:val="000000"/>
                <w:sz w:val="24"/>
                <w:highlight w:val="none"/>
              </w:rPr>
              <w:t>根据投标人提出的合理化建议的可行性、针对性、可实现程度，进行打分。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7916A29C">
            <w:pPr>
              <w:spacing w:line="3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r>
      <w:tr w14:paraId="4F46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402" w:type="pct"/>
            <w:tcBorders>
              <w:left w:val="single" w:color="auto" w:sz="4" w:space="0"/>
              <w:bottom w:val="single" w:color="auto" w:sz="4" w:space="0"/>
              <w:right w:val="single" w:color="auto" w:sz="4" w:space="0"/>
            </w:tcBorders>
            <w:noWrap w:val="0"/>
            <w:vAlign w:val="center"/>
          </w:tcPr>
          <w:p w14:paraId="01D58A60">
            <w:pPr>
              <w:spacing w:line="380" w:lineRule="exact"/>
              <w:jc w:val="center"/>
              <w:rPr>
                <w:rFonts w:hint="eastAsia" w:ascii="宋体" w:hAnsi="宋体" w:cs="宋体"/>
                <w:b/>
                <w:bCs/>
                <w:sz w:val="24"/>
                <w:highlight w:val="none"/>
                <w:lang w:val="zh-CN"/>
              </w:rPr>
            </w:pPr>
            <w:r>
              <w:rPr>
                <w:rFonts w:hint="eastAsia" w:ascii="宋体" w:hAnsi="宋体" w:cs="宋体"/>
                <w:b/>
                <w:bCs/>
                <w:sz w:val="24"/>
                <w:highlight w:val="none"/>
                <w:lang w:val="zh-CN"/>
              </w:rPr>
              <w:t>二</w:t>
            </w:r>
          </w:p>
        </w:tc>
        <w:tc>
          <w:tcPr>
            <w:tcW w:w="4165" w:type="pct"/>
            <w:gridSpan w:val="3"/>
            <w:tcBorders>
              <w:left w:val="single" w:color="auto" w:sz="4" w:space="0"/>
              <w:bottom w:val="single" w:color="auto" w:sz="4" w:space="0"/>
              <w:right w:val="single" w:color="auto" w:sz="4" w:space="0"/>
            </w:tcBorders>
            <w:noWrap w:val="0"/>
            <w:vAlign w:val="center"/>
          </w:tcPr>
          <w:p w14:paraId="1E7D5C4A">
            <w:pPr>
              <w:keepNext w:val="0"/>
              <w:keepLines w:val="0"/>
              <w:pageBreakBefore w:val="0"/>
              <w:kinsoku/>
              <w:wordWrap/>
              <w:overflowPunct/>
              <w:topLinePunct w:val="0"/>
              <w:autoSpaceDE/>
              <w:autoSpaceDN/>
              <w:bidi w:val="0"/>
              <w:spacing w:line="312" w:lineRule="auto"/>
              <w:jc w:val="center"/>
              <w:rPr>
                <w:rFonts w:hint="eastAsia" w:ascii="Times New Roman" w:hAnsi="宋体" w:eastAsia="宋体" w:cs="宋体"/>
                <w:color w:val="000000"/>
                <w:sz w:val="24"/>
                <w:highlight w:val="none"/>
                <w:lang w:val="zh-CN"/>
              </w:rPr>
            </w:pPr>
            <w:r>
              <w:rPr>
                <w:rFonts w:hint="eastAsia" w:ascii="宋体" w:hAnsi="宋体" w:eastAsia="宋体" w:cs="宋体"/>
                <w:b/>
                <w:bCs/>
                <w:sz w:val="24"/>
                <w:highlight w:val="none"/>
                <w:lang w:val="zh-CN"/>
              </w:rPr>
              <w:t>商务资信及其他分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63BE3FD3">
            <w:pPr>
              <w:spacing w:line="380" w:lineRule="exact"/>
              <w:jc w:val="center"/>
              <w:rPr>
                <w:rFonts w:hint="eastAsia" w:ascii="宋体" w:hAnsi="宋体" w:cs="宋体"/>
                <w:b/>
                <w:bCs/>
                <w:color w:val="auto"/>
                <w:sz w:val="24"/>
                <w:highlight w:val="none"/>
                <w:lang w:val="zh-CN"/>
              </w:rPr>
            </w:pPr>
            <w:r>
              <w:rPr>
                <w:rFonts w:hint="eastAsia" w:ascii="宋体" w:hAnsi="宋体" w:cs="宋体"/>
                <w:b/>
                <w:bCs/>
                <w:color w:val="auto"/>
                <w:sz w:val="24"/>
                <w:highlight w:val="none"/>
                <w:lang w:val="en-US" w:eastAsia="zh-CN"/>
              </w:rPr>
              <w:t>17</w:t>
            </w:r>
            <w:r>
              <w:rPr>
                <w:rFonts w:hint="eastAsia" w:ascii="宋体" w:hAnsi="宋体" w:cs="宋体"/>
                <w:b/>
                <w:bCs/>
                <w:color w:val="auto"/>
                <w:sz w:val="24"/>
                <w:highlight w:val="none"/>
                <w:lang w:val="zh-CN"/>
              </w:rPr>
              <w:t>分</w:t>
            </w:r>
          </w:p>
        </w:tc>
      </w:tr>
      <w:tr w14:paraId="05B9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5BAA9342">
            <w:pPr>
              <w:spacing w:line="380" w:lineRule="exact"/>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9</w:t>
            </w:r>
          </w:p>
        </w:tc>
        <w:tc>
          <w:tcPr>
            <w:tcW w:w="226" w:type="pct"/>
            <w:vMerge w:val="restart"/>
            <w:tcBorders>
              <w:left w:val="single" w:color="auto" w:sz="4" w:space="0"/>
              <w:right w:val="single" w:color="auto" w:sz="4" w:space="0"/>
            </w:tcBorders>
            <w:noWrap w:val="0"/>
            <w:vAlign w:val="center"/>
          </w:tcPr>
          <w:p w14:paraId="587FFE95">
            <w:pPr>
              <w:spacing w:line="440" w:lineRule="exact"/>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履</w:t>
            </w:r>
          </w:p>
          <w:p w14:paraId="5E3E8FE4">
            <w:pPr>
              <w:spacing w:line="380" w:lineRule="exact"/>
              <w:jc w:val="center"/>
              <w:rPr>
                <w:rFonts w:hint="default" w:ascii="宋体" w:hAnsi="宋体" w:eastAsia="宋体" w:cs="宋体"/>
                <w:bCs/>
                <w:sz w:val="24"/>
                <w:highlight w:val="none"/>
                <w:lang w:val="en-US" w:eastAsia="zh-CN"/>
              </w:rPr>
            </w:pPr>
            <w:r>
              <w:rPr>
                <w:rFonts w:hint="eastAsia" w:ascii="宋体" w:hAnsi="宋体" w:eastAsia="宋体" w:cs="宋体"/>
                <w:color w:val="auto"/>
                <w:sz w:val="24"/>
                <w:highlight w:val="none"/>
              </w:rPr>
              <w:t>约能力及售后服务能</w:t>
            </w:r>
            <w:r>
              <w:rPr>
                <w:rFonts w:hint="eastAsia" w:ascii="宋体" w:hAnsi="宋体" w:cs="宋体"/>
                <w:bCs/>
                <w:sz w:val="24"/>
                <w:highlight w:val="none"/>
                <w:lang w:val="en-US" w:eastAsia="zh-CN"/>
              </w:rPr>
              <w:t>力</w:t>
            </w:r>
          </w:p>
        </w:tc>
        <w:tc>
          <w:tcPr>
            <w:tcW w:w="846" w:type="pct"/>
            <w:tcBorders>
              <w:top w:val="single" w:color="auto" w:sz="4" w:space="0"/>
              <w:left w:val="single" w:color="auto" w:sz="4" w:space="0"/>
              <w:bottom w:val="single" w:color="auto" w:sz="4" w:space="0"/>
              <w:right w:val="single" w:color="auto" w:sz="4" w:space="0"/>
            </w:tcBorders>
            <w:noWrap w:val="0"/>
            <w:vAlign w:val="center"/>
          </w:tcPr>
          <w:p w14:paraId="00526A9B">
            <w:pPr>
              <w:widowControl/>
              <w:jc w:val="center"/>
              <w:rPr>
                <w:rFonts w:hint="eastAsia" w:ascii="宋体" w:hAnsi="宋体" w:cs="宋体"/>
                <w:sz w:val="24"/>
                <w:highlight w:val="none"/>
              </w:rPr>
            </w:pPr>
            <w:r>
              <w:rPr>
                <w:rFonts w:hint="eastAsia" w:ascii="宋体" w:hAnsi="宋体" w:eastAsia="宋体" w:cs="宋体"/>
                <w:color w:val="auto"/>
                <w:kern w:val="0"/>
                <w:sz w:val="24"/>
                <w:szCs w:val="24"/>
                <w:highlight w:val="none"/>
                <w:lang w:val="en-US" w:eastAsia="zh-CN" w:bidi="ar"/>
              </w:rPr>
              <w:t>认证证书</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0AFB5706">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rPr>
            </w:pPr>
            <w:r>
              <w:rPr>
                <w:rFonts w:hint="eastAsia" w:ascii="Times New Roman" w:hAnsi="宋体" w:eastAsia="宋体" w:cs="宋体"/>
                <w:color w:val="000000"/>
                <w:sz w:val="24"/>
                <w:highlight w:val="none"/>
                <w:lang w:val="en-US" w:eastAsia="zh-CN"/>
              </w:rPr>
              <w:t>投标人或投标产品制造商具有质量管理体系、环境管理体系、职业健康管理体系的每个得1分，最高得3分。（须</w:t>
            </w:r>
            <w:r>
              <w:rPr>
                <w:rFonts w:hint="eastAsia" w:ascii="Times New Roman" w:hAnsi="宋体" w:eastAsia="宋体" w:cs="宋体"/>
                <w:color w:val="000000"/>
                <w:sz w:val="24"/>
                <w:highlight w:val="none"/>
              </w:rPr>
              <w:t>提供相关证书</w:t>
            </w:r>
            <w:r>
              <w:rPr>
                <w:rFonts w:hint="eastAsia" w:ascii="Times New Roman" w:hAnsi="宋体" w:eastAsia="宋体" w:cs="宋体"/>
                <w:color w:val="000000"/>
                <w:sz w:val="24"/>
                <w:highlight w:val="none"/>
                <w:lang w:val="en-US" w:eastAsia="zh-CN"/>
              </w:rPr>
              <w:t>复印件及</w:t>
            </w:r>
            <w:r>
              <w:rPr>
                <w:rFonts w:hint="eastAsia" w:ascii="Times New Roman" w:hAnsi="宋体" w:eastAsia="宋体" w:cs="宋体"/>
                <w:color w:val="000000"/>
                <w:sz w:val="24"/>
                <w:highlight w:val="none"/>
                <w:lang w:eastAsia="zh-CN"/>
              </w:rPr>
              <w:t>www.cnca.gov.cn认监委官方网站</w:t>
            </w:r>
            <w:r>
              <w:rPr>
                <w:rFonts w:hint="eastAsia" w:ascii="Times New Roman" w:hAnsi="宋体" w:eastAsia="宋体" w:cs="宋体"/>
                <w:color w:val="000000"/>
                <w:sz w:val="24"/>
                <w:highlight w:val="none"/>
                <w:lang w:val="en-US" w:eastAsia="zh-CN"/>
              </w:rPr>
              <w:t>截图，未提供不得分</w:t>
            </w:r>
            <w:r>
              <w:rPr>
                <w:rFonts w:hint="eastAsia" w:ascii="Times New Roman" w:hAnsi="宋体" w:eastAsia="宋体" w:cs="宋体"/>
                <w:color w:val="000000"/>
                <w:sz w:val="24"/>
                <w:highlight w:val="none"/>
                <w:lang w:eastAsia="zh-CN"/>
              </w:rPr>
              <w:t>）</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7ACB1C6">
            <w:pPr>
              <w:widowControl/>
              <w:jc w:val="center"/>
              <w:rPr>
                <w:rFonts w:ascii="宋体" w:hAnsi="宋体" w:cs="宋体"/>
                <w:b w:val="0"/>
                <w:bCs w:val="0"/>
                <w:sz w:val="24"/>
                <w:highlight w:val="none"/>
              </w:rPr>
            </w:pPr>
            <w:r>
              <w:rPr>
                <w:rFonts w:hint="eastAsia" w:ascii="宋体" w:hAnsi="宋体" w:cs="宋体"/>
                <w:b w:val="0"/>
                <w:bCs w:val="0"/>
                <w:i w:val="0"/>
                <w:iCs w:val="0"/>
                <w:color w:val="auto"/>
                <w:kern w:val="0"/>
                <w:sz w:val="24"/>
                <w:szCs w:val="24"/>
                <w:highlight w:val="none"/>
                <w:lang w:val="en-US" w:eastAsia="zh-CN" w:bidi="ar"/>
              </w:rPr>
              <w:t>3</w:t>
            </w:r>
          </w:p>
        </w:tc>
      </w:tr>
      <w:tr w14:paraId="73AD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402" w:type="pct"/>
            <w:tcBorders>
              <w:top w:val="single" w:color="auto" w:sz="4" w:space="0"/>
              <w:left w:val="single" w:color="auto" w:sz="4" w:space="0"/>
              <w:right w:val="single" w:color="auto" w:sz="4" w:space="0"/>
            </w:tcBorders>
            <w:noWrap w:val="0"/>
            <w:vAlign w:val="center"/>
          </w:tcPr>
          <w:p w14:paraId="50625AC8">
            <w:pPr>
              <w:spacing w:line="380" w:lineRule="exact"/>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10</w:t>
            </w:r>
          </w:p>
        </w:tc>
        <w:tc>
          <w:tcPr>
            <w:tcW w:w="226" w:type="pct"/>
            <w:vMerge w:val="continue"/>
            <w:tcBorders>
              <w:left w:val="single" w:color="auto" w:sz="4" w:space="0"/>
              <w:right w:val="single" w:color="auto" w:sz="4" w:space="0"/>
            </w:tcBorders>
            <w:noWrap w:val="0"/>
            <w:vAlign w:val="center"/>
          </w:tcPr>
          <w:p w14:paraId="74CCEE16">
            <w:pPr>
              <w:spacing w:line="380" w:lineRule="exact"/>
              <w:jc w:val="center"/>
              <w:rPr>
                <w:rFonts w:hint="eastAsia" w:ascii="宋体" w:hAnsi="宋体" w:cs="宋体"/>
                <w:bCs/>
                <w:sz w:val="24"/>
                <w:highlight w:val="none"/>
                <w:lang w:val="zh-CN"/>
              </w:rPr>
            </w:pPr>
          </w:p>
        </w:tc>
        <w:tc>
          <w:tcPr>
            <w:tcW w:w="846" w:type="pct"/>
            <w:vMerge w:val="restart"/>
            <w:tcBorders>
              <w:top w:val="single" w:color="auto" w:sz="4" w:space="0"/>
              <w:left w:val="single" w:color="auto" w:sz="4" w:space="0"/>
              <w:right w:val="single" w:color="auto" w:sz="4" w:space="0"/>
            </w:tcBorders>
            <w:noWrap w:val="0"/>
            <w:vAlign w:val="center"/>
          </w:tcPr>
          <w:p w14:paraId="05094712">
            <w:pPr>
              <w:jc w:val="center"/>
              <w:rPr>
                <w:rFonts w:hint="eastAsia" w:ascii="宋体" w:hAnsi="宋体" w:cs="宋体"/>
                <w:bCs/>
                <w:sz w:val="24"/>
                <w:highlight w:val="none"/>
              </w:rPr>
            </w:pPr>
            <w:r>
              <w:rPr>
                <w:rFonts w:hint="eastAsia" w:ascii="宋体" w:hAnsi="宋体" w:eastAsia="宋体" w:cs="宋体"/>
                <w:color w:val="auto"/>
                <w:sz w:val="24"/>
                <w:szCs w:val="24"/>
                <w:highlight w:val="none"/>
              </w:rPr>
              <w:t>售后服务方案</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6778683A">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lang w:val="zh-CN"/>
              </w:rPr>
            </w:pPr>
            <w:r>
              <w:rPr>
                <w:rFonts w:hint="eastAsia" w:ascii="Times New Roman" w:hAnsi="宋体" w:eastAsia="宋体" w:cs="宋体"/>
                <w:color w:val="000000"/>
                <w:sz w:val="24"/>
                <w:highlight w:val="none"/>
                <w:lang w:val="en-US" w:eastAsia="zh-CN"/>
              </w:rPr>
              <w:t>根据投标人提供的售后服务方案（0-2）、售后人员和机构等情况的服务程度（0-2），进行打分。</w:t>
            </w:r>
          </w:p>
        </w:tc>
        <w:tc>
          <w:tcPr>
            <w:tcW w:w="431" w:type="pct"/>
            <w:tcBorders>
              <w:top w:val="single" w:color="auto" w:sz="4" w:space="0"/>
              <w:left w:val="single" w:color="auto" w:sz="4" w:space="0"/>
              <w:right w:val="single" w:color="auto" w:sz="4" w:space="0"/>
            </w:tcBorders>
            <w:noWrap w:val="0"/>
            <w:vAlign w:val="center"/>
          </w:tcPr>
          <w:p w14:paraId="35CF0EEC">
            <w:pPr>
              <w:jc w:val="center"/>
              <w:rPr>
                <w:rFonts w:hint="eastAsia" w:ascii="宋体" w:hAnsi="宋体" w:cs="宋体"/>
                <w:b w:val="0"/>
                <w:bCs w:val="0"/>
                <w:sz w:val="24"/>
                <w:highlight w:val="none"/>
              </w:rPr>
            </w:pPr>
            <w:r>
              <w:rPr>
                <w:rFonts w:hint="eastAsia" w:ascii="宋体" w:hAnsi="宋体" w:cs="宋体"/>
                <w:b w:val="0"/>
                <w:bCs w:val="0"/>
                <w:i w:val="0"/>
                <w:iCs w:val="0"/>
                <w:color w:val="auto"/>
                <w:kern w:val="0"/>
                <w:sz w:val="24"/>
                <w:szCs w:val="24"/>
                <w:highlight w:val="none"/>
                <w:lang w:val="en-US" w:eastAsia="zh-CN" w:bidi="ar"/>
              </w:rPr>
              <w:t>4</w:t>
            </w:r>
          </w:p>
        </w:tc>
      </w:tr>
      <w:tr w14:paraId="1C51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02" w:type="pct"/>
            <w:tcBorders>
              <w:left w:val="single" w:color="auto" w:sz="4" w:space="0"/>
              <w:right w:val="single" w:color="auto" w:sz="4" w:space="0"/>
            </w:tcBorders>
            <w:noWrap w:val="0"/>
            <w:vAlign w:val="center"/>
          </w:tcPr>
          <w:p w14:paraId="586FE84D">
            <w:pPr>
              <w:spacing w:line="380" w:lineRule="exact"/>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11</w:t>
            </w:r>
          </w:p>
        </w:tc>
        <w:tc>
          <w:tcPr>
            <w:tcW w:w="226" w:type="pct"/>
            <w:vMerge w:val="continue"/>
            <w:tcBorders>
              <w:left w:val="single" w:color="auto" w:sz="4" w:space="0"/>
              <w:right w:val="single" w:color="auto" w:sz="4" w:space="0"/>
            </w:tcBorders>
            <w:noWrap w:val="0"/>
            <w:vAlign w:val="center"/>
          </w:tcPr>
          <w:p w14:paraId="63D03DD0">
            <w:pPr>
              <w:widowControl/>
              <w:jc w:val="left"/>
            </w:pPr>
          </w:p>
        </w:tc>
        <w:tc>
          <w:tcPr>
            <w:tcW w:w="846" w:type="pct"/>
            <w:vMerge w:val="continue"/>
            <w:tcBorders>
              <w:left w:val="single" w:color="auto" w:sz="4" w:space="0"/>
              <w:right w:val="single" w:color="auto" w:sz="4" w:space="0"/>
            </w:tcBorders>
            <w:noWrap w:val="0"/>
            <w:vAlign w:val="center"/>
          </w:tcPr>
          <w:p w14:paraId="1584D3B6">
            <w:pPr>
              <w:widowControl/>
              <w:jc w:val="left"/>
            </w:pPr>
          </w:p>
        </w:tc>
        <w:tc>
          <w:tcPr>
            <w:tcW w:w="3093" w:type="pct"/>
            <w:tcBorders>
              <w:top w:val="single" w:color="auto" w:sz="4" w:space="0"/>
              <w:left w:val="single" w:color="auto" w:sz="4" w:space="0"/>
              <w:bottom w:val="single" w:color="auto" w:sz="4" w:space="0"/>
              <w:right w:val="single" w:color="auto" w:sz="4" w:space="0"/>
            </w:tcBorders>
            <w:noWrap w:val="0"/>
            <w:vAlign w:val="center"/>
          </w:tcPr>
          <w:p w14:paraId="564A223F">
            <w:pPr>
              <w:keepNext w:val="0"/>
              <w:keepLines w:val="0"/>
              <w:pageBreakBefore w:val="0"/>
              <w:kinsoku/>
              <w:wordWrap/>
              <w:overflowPunct/>
              <w:topLinePunct w:val="0"/>
              <w:autoSpaceDE/>
              <w:autoSpaceDN/>
              <w:bidi w:val="0"/>
              <w:spacing w:line="312" w:lineRule="auto"/>
              <w:rPr>
                <w:rFonts w:hint="default" w:ascii="Times New Roman" w:hAnsi="宋体" w:eastAsia="宋体" w:cs="宋体"/>
                <w:color w:val="000000"/>
                <w:sz w:val="24"/>
                <w:highlight w:val="none"/>
                <w:lang w:val="en-US" w:eastAsia="zh-CN"/>
              </w:rPr>
            </w:pPr>
            <w:r>
              <w:rPr>
                <w:rFonts w:hint="eastAsia" w:ascii="Times New Roman" w:hAnsi="宋体" w:eastAsia="宋体" w:cs="宋体"/>
                <w:color w:val="000000"/>
                <w:sz w:val="24"/>
                <w:highlight w:val="none"/>
                <w:lang w:val="en-US" w:eastAsia="zh-CN"/>
              </w:rPr>
              <w:t>根据投标人服务响应时间、便捷性（0-1），服务承诺的可行性、完整性（0-1），进行打分。</w:t>
            </w:r>
          </w:p>
        </w:tc>
        <w:tc>
          <w:tcPr>
            <w:tcW w:w="431" w:type="pct"/>
            <w:tcBorders>
              <w:left w:val="single" w:color="auto" w:sz="4" w:space="0"/>
              <w:right w:val="single" w:color="auto" w:sz="4" w:space="0"/>
            </w:tcBorders>
            <w:noWrap w:val="0"/>
            <w:vAlign w:val="center"/>
          </w:tcPr>
          <w:p w14:paraId="13F13D9F">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w:t>
            </w:r>
          </w:p>
        </w:tc>
      </w:tr>
      <w:tr w14:paraId="3699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73CA156D">
            <w:pPr>
              <w:spacing w:line="380" w:lineRule="exact"/>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12</w:t>
            </w:r>
          </w:p>
        </w:tc>
        <w:tc>
          <w:tcPr>
            <w:tcW w:w="226" w:type="pct"/>
            <w:vMerge w:val="continue"/>
            <w:tcBorders>
              <w:left w:val="single" w:color="auto" w:sz="4" w:space="0"/>
              <w:right w:val="single" w:color="auto" w:sz="4" w:space="0"/>
            </w:tcBorders>
            <w:noWrap w:val="0"/>
            <w:vAlign w:val="center"/>
          </w:tcPr>
          <w:p w14:paraId="53CF9131">
            <w:pPr>
              <w:spacing w:line="380" w:lineRule="exact"/>
              <w:jc w:val="center"/>
              <w:rPr>
                <w:rFonts w:hint="eastAsia" w:ascii="宋体" w:hAnsi="宋体" w:cs="宋体"/>
                <w:bCs/>
                <w:sz w:val="24"/>
                <w:highlight w:val="none"/>
                <w:lang w:val="zh-CN"/>
              </w:rPr>
            </w:pPr>
          </w:p>
        </w:tc>
        <w:tc>
          <w:tcPr>
            <w:tcW w:w="846" w:type="pct"/>
            <w:tcBorders>
              <w:left w:val="single" w:color="auto" w:sz="4" w:space="0"/>
              <w:right w:val="single" w:color="auto" w:sz="4" w:space="0"/>
            </w:tcBorders>
            <w:noWrap w:val="0"/>
            <w:vAlign w:val="center"/>
          </w:tcPr>
          <w:p w14:paraId="043D8C36">
            <w:pPr>
              <w:widowControl/>
              <w:jc w:val="center"/>
              <w:rPr>
                <w:rFonts w:hint="eastAsia" w:ascii="宋体" w:hAnsi="宋体" w:cs="宋体"/>
                <w:sz w:val="24"/>
                <w:highlight w:val="none"/>
              </w:rPr>
            </w:pPr>
            <w:r>
              <w:rPr>
                <w:rFonts w:hint="eastAsia" w:ascii="宋体" w:hAnsi="宋体" w:cs="宋体"/>
                <w:color w:val="auto"/>
                <w:sz w:val="24"/>
                <w:highlight w:val="none"/>
              </w:rPr>
              <w:t>同类</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业绩</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61F26F55">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rPr>
            </w:pPr>
            <w:r>
              <w:rPr>
                <w:rFonts w:hint="eastAsia" w:ascii="Times New Roman" w:hAnsi="宋体" w:eastAsia="宋体" w:cs="宋体"/>
                <w:color w:val="000000"/>
                <w:sz w:val="24"/>
                <w:highlight w:val="none"/>
              </w:rPr>
              <w:t>投标人自20</w:t>
            </w:r>
            <w:r>
              <w:rPr>
                <w:rFonts w:hint="eastAsia" w:ascii="Times New Roman" w:hAnsi="宋体" w:eastAsia="宋体" w:cs="宋体"/>
                <w:color w:val="000000"/>
                <w:sz w:val="24"/>
                <w:highlight w:val="none"/>
                <w:lang w:val="en-US" w:eastAsia="zh-CN"/>
              </w:rPr>
              <w:t>21</w:t>
            </w:r>
            <w:r>
              <w:rPr>
                <w:rFonts w:hint="eastAsia" w:ascii="Times New Roman" w:hAnsi="宋体" w:eastAsia="宋体" w:cs="宋体"/>
                <w:color w:val="000000"/>
                <w:sz w:val="24"/>
                <w:highlight w:val="none"/>
              </w:rPr>
              <w:t>年</w:t>
            </w:r>
            <w:r>
              <w:rPr>
                <w:rFonts w:hint="eastAsia" w:ascii="Times New Roman" w:hAnsi="宋体" w:eastAsia="宋体" w:cs="宋体"/>
                <w:color w:val="000000"/>
                <w:sz w:val="24"/>
                <w:highlight w:val="none"/>
                <w:lang w:val="en-US" w:eastAsia="zh-CN"/>
              </w:rPr>
              <w:t>6</w:t>
            </w:r>
            <w:r>
              <w:rPr>
                <w:rFonts w:hint="eastAsia" w:ascii="Times New Roman" w:hAnsi="宋体" w:eastAsia="宋体" w:cs="宋体"/>
                <w:color w:val="000000"/>
                <w:sz w:val="24"/>
                <w:highlight w:val="none"/>
              </w:rPr>
              <w:t>月以来（以合同签订时间为准），提供同类项目业绩的，每个得</w:t>
            </w:r>
            <w:r>
              <w:rPr>
                <w:rFonts w:hint="eastAsia" w:ascii="Times New Roman" w:hAnsi="宋体" w:eastAsia="宋体" w:cs="宋体"/>
                <w:color w:val="000000"/>
                <w:sz w:val="24"/>
                <w:highlight w:val="none"/>
                <w:lang w:val="en-US" w:eastAsia="zh-CN"/>
              </w:rPr>
              <w:t>1</w:t>
            </w:r>
            <w:r>
              <w:rPr>
                <w:rFonts w:hint="eastAsia" w:ascii="Times New Roman" w:hAnsi="宋体" w:eastAsia="宋体" w:cs="宋体"/>
                <w:color w:val="000000"/>
                <w:sz w:val="24"/>
                <w:highlight w:val="none"/>
              </w:rPr>
              <w:t>分，最</w:t>
            </w:r>
            <w:r>
              <w:rPr>
                <w:rFonts w:hint="eastAsia" w:ascii="Times New Roman" w:hAnsi="宋体" w:eastAsia="宋体" w:cs="宋体"/>
                <w:color w:val="000000"/>
                <w:sz w:val="24"/>
                <w:highlight w:val="none"/>
                <w:lang w:val="en-US" w:eastAsia="zh-CN"/>
              </w:rPr>
              <w:t>高</w:t>
            </w:r>
            <w:r>
              <w:rPr>
                <w:rFonts w:hint="eastAsia" w:ascii="Times New Roman" w:hAnsi="宋体" w:eastAsia="宋体" w:cs="宋体"/>
                <w:color w:val="000000"/>
                <w:sz w:val="24"/>
                <w:highlight w:val="none"/>
              </w:rPr>
              <w:t>得</w:t>
            </w:r>
            <w:r>
              <w:rPr>
                <w:rFonts w:hint="eastAsia" w:ascii="Times New Roman" w:hAnsi="宋体" w:eastAsia="宋体" w:cs="宋体"/>
                <w:color w:val="000000"/>
                <w:sz w:val="24"/>
                <w:highlight w:val="none"/>
                <w:lang w:val="en-US" w:eastAsia="zh-CN"/>
              </w:rPr>
              <w:t>4</w:t>
            </w:r>
            <w:r>
              <w:rPr>
                <w:rFonts w:hint="eastAsia" w:ascii="Times New Roman" w:hAnsi="宋体" w:eastAsia="宋体" w:cs="宋体"/>
                <w:color w:val="000000"/>
                <w:sz w:val="24"/>
                <w:highlight w:val="none"/>
              </w:rPr>
              <w:t>分</w:t>
            </w:r>
            <w:r>
              <w:rPr>
                <w:rFonts w:hint="eastAsia" w:ascii="Times New Roman" w:hAnsi="宋体" w:eastAsia="宋体" w:cs="宋体"/>
                <w:color w:val="000000"/>
                <w:sz w:val="24"/>
                <w:highlight w:val="none"/>
                <w:lang w:val="en-US" w:eastAsia="zh-CN"/>
              </w:rPr>
              <w:t>。</w:t>
            </w:r>
            <w:r>
              <w:rPr>
                <w:rFonts w:hint="eastAsia" w:ascii="Times New Roman" w:hAnsi="宋体" w:eastAsia="宋体" w:cs="宋体"/>
                <w:color w:val="000000"/>
                <w:sz w:val="24"/>
                <w:highlight w:val="none"/>
              </w:rPr>
              <w:t>（以提供中标通知书或合同复印件为准</w:t>
            </w:r>
            <w:r>
              <w:rPr>
                <w:rFonts w:hint="eastAsia" w:ascii="Times New Roman" w:hAnsi="宋体" w:eastAsia="宋体" w:cs="宋体"/>
                <w:color w:val="000000"/>
                <w:sz w:val="24"/>
                <w:highlight w:val="none"/>
                <w:lang w:eastAsia="zh-CN"/>
              </w:rPr>
              <w:t>，</w:t>
            </w:r>
            <w:r>
              <w:rPr>
                <w:rFonts w:hint="eastAsia" w:ascii="Times New Roman" w:hAnsi="宋体" w:eastAsia="宋体" w:cs="宋体"/>
                <w:color w:val="000000"/>
                <w:sz w:val="24"/>
                <w:highlight w:val="none"/>
              </w:rPr>
              <w:t>未提供的不得分）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ADB9EBA">
            <w:pPr>
              <w:jc w:val="center"/>
              <w:rPr>
                <w:rFonts w:hint="eastAsia" w:ascii="宋体" w:hAnsi="宋体" w:cs="宋体"/>
                <w:b w:val="0"/>
                <w:bCs w:val="0"/>
                <w:color w:val="auto"/>
                <w:sz w:val="24"/>
                <w:highlight w:val="none"/>
              </w:rPr>
            </w:pPr>
            <w:r>
              <w:rPr>
                <w:rFonts w:hint="eastAsia" w:ascii="宋体" w:hAnsi="宋体" w:cs="宋体"/>
                <w:b w:val="0"/>
                <w:bCs w:val="0"/>
                <w:i w:val="0"/>
                <w:iCs w:val="0"/>
                <w:color w:val="auto"/>
                <w:kern w:val="0"/>
                <w:sz w:val="24"/>
                <w:szCs w:val="24"/>
                <w:highlight w:val="none"/>
                <w:lang w:val="en-US" w:eastAsia="zh-CN" w:bidi="ar"/>
              </w:rPr>
              <w:t>4</w:t>
            </w:r>
          </w:p>
        </w:tc>
      </w:tr>
      <w:tr w14:paraId="3FED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3EE08197">
            <w:pPr>
              <w:spacing w:line="380" w:lineRule="exact"/>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13</w:t>
            </w:r>
          </w:p>
        </w:tc>
        <w:tc>
          <w:tcPr>
            <w:tcW w:w="226" w:type="pct"/>
            <w:vMerge w:val="continue"/>
            <w:tcBorders>
              <w:left w:val="single" w:color="auto" w:sz="4" w:space="0"/>
              <w:right w:val="single" w:color="auto" w:sz="4" w:space="0"/>
            </w:tcBorders>
            <w:noWrap w:val="0"/>
            <w:vAlign w:val="center"/>
          </w:tcPr>
          <w:p w14:paraId="7331E568">
            <w:pPr>
              <w:spacing w:line="380" w:lineRule="exact"/>
              <w:jc w:val="center"/>
              <w:rPr>
                <w:rFonts w:hint="eastAsia" w:ascii="宋体" w:hAnsi="宋体" w:cs="宋体"/>
                <w:bCs/>
                <w:sz w:val="24"/>
                <w:highlight w:val="none"/>
                <w:lang w:val="zh-CN"/>
              </w:rPr>
            </w:pPr>
          </w:p>
        </w:tc>
        <w:tc>
          <w:tcPr>
            <w:tcW w:w="846" w:type="pct"/>
            <w:tcBorders>
              <w:left w:val="single" w:color="auto" w:sz="4" w:space="0"/>
              <w:right w:val="single" w:color="auto" w:sz="4" w:space="0"/>
            </w:tcBorders>
            <w:noWrap w:val="0"/>
            <w:vAlign w:val="center"/>
          </w:tcPr>
          <w:p w14:paraId="7BC0927F">
            <w:pPr>
              <w:jc w:val="center"/>
              <w:rPr>
                <w:rFonts w:hint="eastAsia" w:ascii="宋体" w:hAnsi="宋体" w:cs="宋体"/>
                <w:sz w:val="24"/>
                <w:highlight w:val="none"/>
              </w:rPr>
            </w:pPr>
            <w:r>
              <w:rPr>
                <w:rFonts w:hint="eastAsia" w:ascii="宋体" w:hAnsi="宋体" w:eastAsia="宋体" w:cs="宋体"/>
                <w:color w:val="auto"/>
                <w:sz w:val="24"/>
                <w:szCs w:val="24"/>
                <w:highlight w:val="none"/>
              </w:rPr>
              <w:t>优惠承诺</w:t>
            </w:r>
          </w:p>
        </w:tc>
        <w:tc>
          <w:tcPr>
            <w:tcW w:w="3093" w:type="pct"/>
            <w:tcBorders>
              <w:top w:val="single" w:color="auto" w:sz="4" w:space="0"/>
              <w:left w:val="single" w:color="auto" w:sz="4" w:space="0"/>
              <w:bottom w:val="single" w:color="auto" w:sz="4" w:space="0"/>
              <w:right w:val="single" w:color="auto" w:sz="4" w:space="0"/>
            </w:tcBorders>
            <w:noWrap w:val="0"/>
            <w:vAlign w:val="center"/>
          </w:tcPr>
          <w:p w14:paraId="0CD1B35B">
            <w:pPr>
              <w:keepNext w:val="0"/>
              <w:keepLines w:val="0"/>
              <w:pageBreakBefore w:val="0"/>
              <w:kinsoku/>
              <w:wordWrap/>
              <w:overflowPunct/>
              <w:topLinePunct w:val="0"/>
              <w:autoSpaceDE/>
              <w:autoSpaceDN/>
              <w:bidi w:val="0"/>
              <w:spacing w:line="312" w:lineRule="auto"/>
              <w:rPr>
                <w:rFonts w:hint="eastAsia" w:ascii="Times New Roman" w:hAnsi="宋体" w:eastAsia="宋体" w:cs="宋体"/>
                <w:color w:val="000000"/>
                <w:sz w:val="24"/>
                <w:highlight w:val="none"/>
              </w:rPr>
            </w:pPr>
            <w:r>
              <w:rPr>
                <w:rFonts w:hint="eastAsia" w:ascii="Times New Roman" w:hAnsi="宋体" w:eastAsia="宋体" w:cs="宋体"/>
                <w:color w:val="000000"/>
                <w:sz w:val="24"/>
                <w:highlight w:val="none"/>
              </w:rPr>
              <w:t>投标人是否有超出招标文件的优惠条件进行打分</w:t>
            </w:r>
            <w:r>
              <w:rPr>
                <w:rFonts w:hint="eastAsia" w:ascii="Times New Roman" w:hAnsi="宋体" w:eastAsia="宋体" w:cs="宋体"/>
                <w:color w:val="000000"/>
                <w:sz w:val="24"/>
                <w:highlight w:val="none"/>
                <w:lang w:eastAsia="zh-CN"/>
              </w:rPr>
              <w:t>（</w:t>
            </w:r>
            <w:r>
              <w:rPr>
                <w:rFonts w:hint="eastAsia" w:ascii="Times New Roman" w:hAnsi="宋体" w:eastAsia="宋体" w:cs="宋体"/>
                <w:color w:val="000000"/>
                <w:sz w:val="24"/>
                <w:highlight w:val="none"/>
                <w:lang w:val="en-US" w:eastAsia="zh-CN"/>
              </w:rPr>
              <w:t>0-2</w:t>
            </w:r>
            <w:r>
              <w:rPr>
                <w:rFonts w:hint="eastAsia" w:ascii="Times New Roman" w:hAnsi="宋体" w:eastAsia="宋体" w:cs="宋体"/>
                <w:color w:val="000000"/>
                <w:sz w:val="24"/>
                <w:highlight w:val="none"/>
                <w:lang w:eastAsia="zh-CN"/>
              </w:rPr>
              <w:t>）</w:t>
            </w:r>
            <w:r>
              <w:rPr>
                <w:rFonts w:hint="eastAsia" w:ascii="Times New Roman" w:hAnsi="宋体" w:eastAsia="宋体" w:cs="宋体"/>
                <w:color w:val="000000"/>
                <w:sz w:val="24"/>
                <w:highlight w:val="none"/>
              </w:rPr>
              <w:t>，没有实质性或不合实际优惠条件不得分。</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946E099">
            <w:pPr>
              <w:jc w:val="center"/>
              <w:rPr>
                <w:rFonts w:hint="eastAsia" w:ascii="宋体" w:hAnsi="宋体" w:cs="宋体"/>
                <w:b w:val="0"/>
                <w:bCs w:val="0"/>
                <w:color w:val="auto"/>
                <w:sz w:val="24"/>
                <w:highlight w:val="none"/>
              </w:rPr>
            </w:pPr>
            <w:r>
              <w:rPr>
                <w:rFonts w:hint="eastAsia" w:ascii="宋体" w:hAnsi="宋体" w:cs="宋体"/>
                <w:b w:val="0"/>
                <w:bCs w:val="0"/>
                <w:i w:val="0"/>
                <w:iCs w:val="0"/>
                <w:color w:val="auto"/>
                <w:sz w:val="24"/>
                <w:szCs w:val="24"/>
                <w:highlight w:val="none"/>
                <w:lang w:val="en-US" w:eastAsia="zh-CN"/>
              </w:rPr>
              <w:t>2</w:t>
            </w:r>
          </w:p>
        </w:tc>
      </w:tr>
      <w:tr w14:paraId="6270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02E0D523">
            <w:pPr>
              <w:spacing w:line="480" w:lineRule="exact"/>
              <w:jc w:val="center"/>
              <w:rPr>
                <w:rFonts w:hint="default" w:ascii="宋体" w:hAnsi="宋体" w:eastAsia="宋体" w:cs="宋体"/>
                <w:b w:val="0"/>
                <w:bCs w:val="0"/>
                <w:color w:val="auto"/>
                <w:sz w:val="24"/>
                <w:szCs w:val="24"/>
                <w:highlight w:val="none"/>
                <w:lang w:val="en-US" w:eastAsia="zh-CN"/>
              </w:rPr>
            </w:pPr>
            <w:bookmarkStart w:id="58" w:name="_Toc14257"/>
            <w:bookmarkStart w:id="59" w:name="_Toc23971"/>
            <w:r>
              <w:rPr>
                <w:rFonts w:hint="eastAsia" w:ascii="宋体" w:hAnsi="宋体" w:cs="宋体"/>
                <w:b w:val="0"/>
                <w:bCs w:val="0"/>
                <w:color w:val="auto"/>
                <w:sz w:val="24"/>
                <w:szCs w:val="24"/>
                <w:highlight w:val="none"/>
                <w:lang w:val="en-US" w:eastAsia="zh-CN"/>
              </w:rPr>
              <w:t>14</w:t>
            </w:r>
          </w:p>
        </w:tc>
        <w:tc>
          <w:tcPr>
            <w:tcW w:w="226" w:type="pct"/>
            <w:tcBorders>
              <w:left w:val="single" w:color="auto" w:sz="4" w:space="0"/>
              <w:right w:val="single" w:color="auto" w:sz="4" w:space="0"/>
            </w:tcBorders>
            <w:noWrap w:val="0"/>
            <w:vAlign w:val="center"/>
          </w:tcPr>
          <w:p w14:paraId="780F9D31">
            <w:pPr>
              <w:spacing w:line="380" w:lineRule="exact"/>
              <w:jc w:val="center"/>
              <w:rPr>
                <w:rFonts w:hint="eastAsia" w:ascii="宋体" w:hAnsi="宋体" w:cs="宋体"/>
                <w:bCs/>
                <w:sz w:val="24"/>
                <w:highlight w:val="none"/>
                <w:lang w:val="zh-CN"/>
              </w:rPr>
            </w:pPr>
          </w:p>
        </w:tc>
        <w:tc>
          <w:tcPr>
            <w:tcW w:w="846" w:type="pct"/>
            <w:tcBorders>
              <w:left w:val="single" w:color="auto" w:sz="4" w:space="0"/>
              <w:right w:val="single" w:color="auto" w:sz="4" w:space="0"/>
            </w:tcBorders>
            <w:shd w:val="clear" w:color="auto" w:fill="auto"/>
            <w:noWrap w:val="0"/>
            <w:vAlign w:val="center"/>
          </w:tcPr>
          <w:p w14:paraId="04E6B77B">
            <w:pPr>
              <w:keepNext w:val="0"/>
              <w:keepLines w:val="0"/>
              <w:pageBreakBefore w:val="0"/>
              <w:kinsoku/>
              <w:wordWrap/>
              <w:overflowPunct/>
              <w:topLinePunct w:val="0"/>
              <w:autoSpaceDE/>
              <w:autoSpaceDN/>
              <w:bidi w:val="0"/>
              <w:spacing w:line="312" w:lineRule="auto"/>
              <w:jc w:val="center"/>
              <w:rPr>
                <w:rFonts w:ascii="宋体" w:cs="宋体"/>
                <w:color w:val="000000"/>
                <w:sz w:val="24"/>
                <w:highlight w:val="none"/>
              </w:rPr>
            </w:pPr>
            <w:r>
              <w:rPr>
                <w:rFonts w:hint="eastAsia" w:ascii="宋体" w:cs="宋体"/>
                <w:color w:val="000000"/>
                <w:sz w:val="24"/>
                <w:highlight w:val="none"/>
              </w:rPr>
              <w:t>环保、节能</w:t>
            </w:r>
          </w:p>
          <w:p w14:paraId="75F75353">
            <w:pPr>
              <w:keepNext w:val="0"/>
              <w:keepLines w:val="0"/>
              <w:pageBreakBefore w:val="0"/>
              <w:kinsoku/>
              <w:wordWrap/>
              <w:overflowPunct/>
              <w:topLinePunct w:val="0"/>
              <w:autoSpaceDE/>
              <w:autoSpaceDN/>
              <w:bidi w:val="0"/>
              <w:spacing w:line="312" w:lineRule="auto"/>
              <w:jc w:val="center"/>
              <w:rPr>
                <w:rFonts w:hint="eastAsia" w:ascii="宋体" w:hAnsi="Times New Roman" w:eastAsia="宋体" w:cs="宋体"/>
                <w:color w:val="000000"/>
                <w:kern w:val="2"/>
                <w:sz w:val="24"/>
                <w:szCs w:val="24"/>
                <w:highlight w:val="none"/>
                <w:lang w:val="en-US" w:eastAsia="zh-CN" w:bidi="ar-SA"/>
              </w:rPr>
            </w:pPr>
            <w:r>
              <w:rPr>
                <w:rFonts w:hint="eastAsia" w:ascii="宋体" w:cs="宋体"/>
                <w:color w:val="000000"/>
                <w:sz w:val="24"/>
                <w:highlight w:val="none"/>
              </w:rPr>
              <w:t>产品</w:t>
            </w:r>
          </w:p>
        </w:tc>
        <w:tc>
          <w:tcPr>
            <w:tcW w:w="30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E9D297">
            <w:pPr>
              <w:keepNext w:val="0"/>
              <w:keepLines w:val="0"/>
              <w:pageBreakBefore w:val="0"/>
              <w:kinsoku/>
              <w:wordWrap/>
              <w:overflowPunct/>
              <w:topLinePunct w:val="0"/>
              <w:autoSpaceDE/>
              <w:autoSpaceDN/>
              <w:bidi w:val="0"/>
              <w:spacing w:line="312" w:lineRule="auto"/>
              <w:rPr>
                <w:rFonts w:hint="eastAsia" w:hAnsi="宋体" w:cs="宋体"/>
                <w:color w:val="000000"/>
                <w:sz w:val="24"/>
                <w:highlight w:val="none"/>
              </w:rPr>
            </w:pPr>
            <w:r>
              <w:rPr>
                <w:rFonts w:hint="eastAsia" w:hAnsi="宋体" w:cs="宋体"/>
                <w:color w:val="000000"/>
                <w:sz w:val="24"/>
                <w:highlight w:val="none"/>
              </w:rPr>
              <w:t>1）投标产品列入财政部、发展改革委发布的节能产品品目清单的，提供国家市场监督管理总局公布的《参与实施政府采购节能产品认证机构名录》内的认证</w:t>
            </w:r>
            <w:r>
              <w:rPr>
                <w:rFonts w:hint="eastAsia" w:hAnsi="宋体" w:cs="宋体"/>
                <w:color w:val="000000"/>
                <w:sz w:val="24"/>
                <w:highlight w:val="none"/>
                <w:lang w:val="en-US" w:eastAsia="zh-CN"/>
              </w:rPr>
              <w:t>1</w:t>
            </w:r>
            <w:r>
              <w:rPr>
                <w:rFonts w:hint="eastAsia" w:hAnsi="宋体" w:cs="宋体"/>
                <w:color w:val="000000"/>
                <w:sz w:val="24"/>
                <w:highlight w:val="none"/>
              </w:rPr>
              <w:t>分。</w:t>
            </w:r>
          </w:p>
          <w:p w14:paraId="050978A5">
            <w:pPr>
              <w:keepNext w:val="0"/>
              <w:keepLines w:val="0"/>
              <w:pageBreakBefore w:val="0"/>
              <w:kinsoku/>
              <w:wordWrap/>
              <w:overflowPunct/>
              <w:topLinePunct w:val="0"/>
              <w:autoSpaceDE/>
              <w:autoSpaceDN/>
              <w:bidi w:val="0"/>
              <w:snapToGrid w:val="0"/>
              <w:spacing w:line="312" w:lineRule="auto"/>
              <w:ind w:left="16" w:leftChars="0" w:hanging="16" w:firstLineChars="0"/>
              <w:jc w:val="left"/>
              <w:rPr>
                <w:rFonts w:hint="eastAsia" w:ascii="宋体" w:hAnsi="Times New Roman" w:eastAsia="宋体" w:cs="宋体"/>
                <w:color w:val="000000"/>
                <w:kern w:val="2"/>
                <w:sz w:val="24"/>
                <w:szCs w:val="24"/>
                <w:highlight w:val="none"/>
                <w:lang w:val="en-US" w:eastAsia="zh-CN" w:bidi="ar-SA"/>
              </w:rPr>
            </w:pPr>
            <w:r>
              <w:rPr>
                <w:rFonts w:hint="eastAsia" w:hAnsi="宋体" w:cs="宋体"/>
                <w:color w:val="000000"/>
                <w:sz w:val="24"/>
                <w:highlight w:val="none"/>
              </w:rPr>
              <w:t>2）投标产品列入财政部、生态环境部发布的环境标志产品品目清单的，提供国家市场监督管理总局公布的《参与实施政府采购环境标志产品认证机构名录》内的认证机构出具的、处于有效期之内的环境标志产品认证证书，得</w:t>
            </w:r>
            <w:r>
              <w:rPr>
                <w:rFonts w:hint="eastAsia" w:hAnsi="宋体" w:cs="宋体"/>
                <w:color w:val="000000"/>
                <w:sz w:val="24"/>
                <w:highlight w:val="none"/>
                <w:lang w:val="en-US" w:eastAsia="zh-CN"/>
              </w:rPr>
              <w:t>1</w:t>
            </w:r>
            <w:r>
              <w:rPr>
                <w:rFonts w:hint="eastAsia" w:hAnsi="宋体" w:cs="宋体"/>
                <w:color w:val="000000"/>
                <w:sz w:val="24"/>
                <w:highlight w:val="none"/>
              </w:rPr>
              <w:t>分。</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ABEF4E">
            <w:pPr>
              <w:pStyle w:val="601"/>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312" w:lineRule="auto"/>
              <w:jc w:val="center"/>
              <w:rPr>
                <w:rFonts w:hint="eastAsia" w:ascii="宋体" w:hAnsi="Arial Unicode MS" w:eastAsia="宋体" w:cs="宋体"/>
                <w:color w:val="000000"/>
                <w:sz w:val="24"/>
                <w:szCs w:val="24"/>
                <w:highlight w:val="none"/>
                <w:u w:val="none" w:color="000000"/>
                <w:lang w:val="en-US" w:eastAsia="zh-CN" w:bidi="ar-SA"/>
              </w:rPr>
            </w:pPr>
            <w:r>
              <w:rPr>
                <w:rStyle w:val="178"/>
                <w:rFonts w:hint="eastAsia" w:ascii="宋体" w:hAnsi="宋体" w:eastAsia="宋体" w:cs="宋体"/>
                <w:color w:val="000000"/>
                <w:highlight w:val="none"/>
                <w:lang w:val="en-US" w:eastAsia="zh-CN"/>
              </w:rPr>
              <w:t>2</w:t>
            </w:r>
          </w:p>
        </w:tc>
      </w:tr>
    </w:tbl>
    <w:p w14:paraId="03804563">
      <w:pPr>
        <w:pageBreakBefore/>
        <w:snapToGrid w:val="0"/>
        <w:spacing w:line="360" w:lineRule="auto"/>
        <w:jc w:val="center"/>
        <w:outlineLvl w:val="0"/>
        <w:rPr>
          <w:rFonts w:hint="eastAsia" w:ascii="黑体" w:hAnsi="宋体" w:eastAsia="黑体"/>
          <w:b/>
          <w:sz w:val="30"/>
        </w:rPr>
      </w:pPr>
      <w:r>
        <w:rPr>
          <w:rFonts w:hint="eastAsia" w:ascii="黑体" w:hAnsi="宋体" w:eastAsia="黑体"/>
          <w:spacing w:val="10"/>
          <w:sz w:val="30"/>
        </w:rPr>
        <w:t>第五章  采购合同主要条款</w:t>
      </w:r>
      <w:bookmarkEnd w:id="56"/>
      <w:bookmarkEnd w:id="57"/>
      <w:bookmarkEnd w:id="58"/>
      <w:bookmarkEnd w:id="59"/>
    </w:p>
    <w:p w14:paraId="3905CE39">
      <w:pPr>
        <w:pStyle w:val="2"/>
        <w:keepNext w:val="0"/>
        <w:keepLines w:val="0"/>
        <w:spacing w:before="0" w:after="0" w:line="440" w:lineRule="exact"/>
        <w:jc w:val="center"/>
        <w:rPr>
          <w:rFonts w:hint="eastAsia" w:ascii="宋体" w:hAnsi="宋体"/>
          <w:bCs w:val="0"/>
          <w:sz w:val="30"/>
          <w:szCs w:val="20"/>
        </w:rPr>
      </w:pPr>
      <w:bookmarkStart w:id="60" w:name="_Toc499821705"/>
      <w:bookmarkStart w:id="61" w:name="_Toc534374877"/>
      <w:bookmarkStart w:id="62" w:name="_Toc29098"/>
      <w:bookmarkStart w:id="63" w:name="_Toc32706"/>
      <w:bookmarkStart w:id="64" w:name="_Toc491242403"/>
      <w:bookmarkStart w:id="65" w:name="_Toc2859"/>
      <w:r>
        <w:rPr>
          <w:rFonts w:hint="eastAsia" w:ascii="宋体" w:hAnsi="宋体"/>
          <w:sz w:val="30"/>
        </w:rPr>
        <w:t>国有企业采购合同（样本）</w:t>
      </w:r>
      <w:bookmarkEnd w:id="60"/>
      <w:bookmarkEnd w:id="61"/>
      <w:bookmarkEnd w:id="62"/>
      <w:bookmarkEnd w:id="63"/>
      <w:bookmarkEnd w:id="64"/>
      <w:bookmarkEnd w:id="65"/>
    </w:p>
    <w:p w14:paraId="20B52E60">
      <w:pPr>
        <w:spacing w:line="276" w:lineRule="auto"/>
        <w:rPr>
          <w:rFonts w:hint="eastAsia" w:ascii="宋体" w:hAnsi="宋体"/>
          <w:sz w:val="24"/>
        </w:rPr>
      </w:pPr>
      <w:r>
        <w:rPr>
          <w:rFonts w:hint="eastAsia" w:ascii="宋体" w:hAnsi="宋体"/>
          <w:sz w:val="24"/>
        </w:rPr>
        <w:t>项目名称：                   项目编号：               合同号：</w:t>
      </w:r>
    </w:p>
    <w:p w14:paraId="6FDBB809">
      <w:pPr>
        <w:spacing w:line="360" w:lineRule="auto"/>
        <w:rPr>
          <w:rFonts w:hint="eastAsia" w:ascii="宋体" w:hAnsi="宋体"/>
          <w:sz w:val="24"/>
        </w:rPr>
      </w:pPr>
      <w:r>
        <w:rPr>
          <w:rFonts w:hint="eastAsia" w:ascii="宋体" w:hAnsi="宋体"/>
          <w:sz w:val="24"/>
        </w:rPr>
        <w:t>甲方（买方）：</w:t>
      </w:r>
    </w:p>
    <w:p w14:paraId="1C5BF8D3">
      <w:pPr>
        <w:spacing w:line="360" w:lineRule="auto"/>
        <w:rPr>
          <w:rFonts w:hint="eastAsia" w:ascii="宋体" w:hAnsi="宋体"/>
          <w:sz w:val="24"/>
        </w:rPr>
      </w:pPr>
      <w:r>
        <w:rPr>
          <w:rFonts w:hint="eastAsia" w:ascii="宋体" w:hAnsi="宋体"/>
          <w:sz w:val="24"/>
        </w:rPr>
        <w:t>乙方（卖方）：</w:t>
      </w:r>
    </w:p>
    <w:p w14:paraId="07103C50">
      <w:pPr>
        <w:spacing w:line="360" w:lineRule="auto"/>
        <w:rPr>
          <w:rFonts w:hint="eastAsia" w:ascii="宋体" w:hAnsi="宋体"/>
          <w:sz w:val="24"/>
        </w:rPr>
      </w:pPr>
      <w:r>
        <w:rPr>
          <w:rFonts w:hint="eastAsia" w:ascii="宋体" w:hAnsi="宋体"/>
          <w:sz w:val="24"/>
        </w:rPr>
        <w:t>鉴证方（招标方）：</w:t>
      </w:r>
    </w:p>
    <w:p w14:paraId="318C1348">
      <w:pPr>
        <w:spacing w:line="360" w:lineRule="auto"/>
        <w:rPr>
          <w:rFonts w:hint="eastAsia" w:ascii="宋体" w:hAnsi="宋体"/>
          <w:b/>
          <w:sz w:val="24"/>
        </w:rPr>
      </w:pPr>
      <w:r>
        <w:rPr>
          <w:rFonts w:hint="eastAsia" w:ascii="宋体" w:hAnsi="宋体"/>
          <w:b/>
          <w:sz w:val="24"/>
        </w:rPr>
        <w:t xml:space="preserve">   </w:t>
      </w:r>
      <w:r>
        <w:rPr>
          <w:rFonts w:hint="eastAsia" w:ascii="宋体" w:hAnsi="宋体"/>
          <w:sz w:val="24"/>
        </w:rPr>
        <w:t>甲、乙双方根据</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日东阳市鑫盛工程咨询有限公司关于</w:t>
      </w:r>
      <w:r>
        <w:rPr>
          <w:rFonts w:hint="eastAsia" w:ascii="宋体" w:hAnsi="宋体"/>
          <w:sz w:val="24"/>
          <w:u w:val="single"/>
        </w:rPr>
        <w:t xml:space="preserve">                               </w:t>
      </w:r>
      <w:r>
        <w:rPr>
          <w:rFonts w:hint="eastAsia" w:ascii="宋体" w:hAnsi="宋体"/>
          <w:sz w:val="24"/>
        </w:rPr>
        <w:t>项目公开招标的结果，签署本合同。</w:t>
      </w:r>
    </w:p>
    <w:p w14:paraId="430DF4EC">
      <w:pPr>
        <w:spacing w:line="360" w:lineRule="auto"/>
        <w:rPr>
          <w:rFonts w:hint="eastAsia" w:ascii="宋体" w:hAnsi="宋体"/>
          <w:b/>
          <w:sz w:val="24"/>
        </w:rPr>
      </w:pPr>
      <w:r>
        <w:rPr>
          <w:rFonts w:hint="eastAsia" w:ascii="宋体" w:hAnsi="宋体"/>
          <w:b/>
          <w:sz w:val="24"/>
        </w:rPr>
        <w:t>一、货物内容</w:t>
      </w:r>
    </w:p>
    <w:p w14:paraId="5DE8AF63">
      <w:pPr>
        <w:spacing w:line="360" w:lineRule="auto"/>
        <w:rPr>
          <w:rFonts w:hint="eastAsia" w:ascii="宋体" w:hAnsi="宋体"/>
          <w:sz w:val="24"/>
        </w:rPr>
      </w:pPr>
      <w:r>
        <w:rPr>
          <w:rFonts w:hint="eastAsia" w:ascii="宋体" w:hAnsi="宋体"/>
          <w:sz w:val="24"/>
        </w:rPr>
        <w:t>1. 货物名称：</w:t>
      </w:r>
    </w:p>
    <w:p w14:paraId="6791603F">
      <w:pPr>
        <w:spacing w:line="360" w:lineRule="auto"/>
        <w:rPr>
          <w:rFonts w:hint="eastAsia" w:ascii="宋体" w:hAnsi="宋体"/>
          <w:sz w:val="24"/>
        </w:rPr>
      </w:pPr>
      <w:r>
        <w:rPr>
          <w:rFonts w:hint="eastAsia" w:ascii="宋体" w:hAnsi="宋体"/>
          <w:sz w:val="24"/>
        </w:rPr>
        <w:t>2. 型号规格：</w:t>
      </w:r>
    </w:p>
    <w:p w14:paraId="71E39C2C">
      <w:pPr>
        <w:spacing w:line="360" w:lineRule="auto"/>
        <w:rPr>
          <w:rFonts w:hint="eastAsia" w:ascii="宋体" w:hAnsi="宋体"/>
          <w:sz w:val="24"/>
        </w:rPr>
      </w:pPr>
      <w:r>
        <w:rPr>
          <w:rFonts w:hint="eastAsia" w:ascii="宋体" w:hAnsi="宋体"/>
          <w:sz w:val="24"/>
        </w:rPr>
        <w:t>3. 技术参数：</w:t>
      </w:r>
    </w:p>
    <w:p w14:paraId="38DFD02D">
      <w:pPr>
        <w:spacing w:line="360" w:lineRule="auto"/>
        <w:rPr>
          <w:rFonts w:hint="eastAsia" w:ascii="宋体" w:hAnsi="宋体"/>
          <w:sz w:val="24"/>
        </w:rPr>
      </w:pPr>
      <w:r>
        <w:rPr>
          <w:rFonts w:hint="eastAsia" w:ascii="宋体" w:hAnsi="宋体"/>
          <w:sz w:val="24"/>
        </w:rPr>
        <w:t>4. 数量（单位）：</w:t>
      </w:r>
    </w:p>
    <w:p w14:paraId="404637A1">
      <w:pPr>
        <w:spacing w:line="360" w:lineRule="auto"/>
        <w:rPr>
          <w:rFonts w:hint="eastAsia" w:ascii="宋体" w:hAnsi="宋体"/>
          <w:b/>
          <w:sz w:val="24"/>
        </w:rPr>
      </w:pPr>
      <w:r>
        <w:rPr>
          <w:rFonts w:hint="eastAsia" w:ascii="宋体" w:hAnsi="宋体"/>
          <w:b/>
          <w:sz w:val="24"/>
        </w:rPr>
        <w:t>二、合同金额</w:t>
      </w:r>
    </w:p>
    <w:p w14:paraId="3D3D396D">
      <w:pPr>
        <w:spacing w:line="360" w:lineRule="auto"/>
        <w:rPr>
          <w:rFonts w:hint="eastAsia" w:ascii="宋体" w:hAnsi="宋体"/>
          <w:sz w:val="24"/>
        </w:rPr>
      </w:pPr>
      <w:r>
        <w:rPr>
          <w:rFonts w:hint="eastAsia" w:ascii="宋体" w:hAnsi="宋体"/>
          <w:sz w:val="24"/>
        </w:rPr>
        <w:t xml:space="preserve"> 本合同金额为（大写）：____________元（￥_______________元）人民币。</w:t>
      </w:r>
    </w:p>
    <w:p w14:paraId="21D26AB7">
      <w:pPr>
        <w:spacing w:line="360" w:lineRule="auto"/>
        <w:rPr>
          <w:rFonts w:hint="eastAsia" w:ascii="宋体" w:hAnsi="宋体"/>
          <w:b/>
          <w:sz w:val="24"/>
        </w:rPr>
      </w:pPr>
      <w:r>
        <w:rPr>
          <w:rFonts w:hint="eastAsia" w:ascii="宋体" w:hAnsi="宋体"/>
          <w:b/>
          <w:sz w:val="24"/>
        </w:rPr>
        <w:t>三、技术资料</w:t>
      </w:r>
    </w:p>
    <w:p w14:paraId="0963F7C7">
      <w:pPr>
        <w:spacing w:line="360" w:lineRule="auto"/>
        <w:rPr>
          <w:rFonts w:hint="eastAsia" w:ascii="宋体" w:hAnsi="宋体"/>
          <w:sz w:val="24"/>
        </w:rPr>
      </w:pPr>
      <w:r>
        <w:rPr>
          <w:rFonts w:hint="eastAsia" w:ascii="宋体" w:hAnsi="宋体"/>
          <w:sz w:val="24"/>
        </w:rPr>
        <w:t>1.乙方应按招标文件规定的时间向甲方提供使用货物的有关技术资料。</w:t>
      </w:r>
    </w:p>
    <w:p w14:paraId="601F80D3">
      <w:pPr>
        <w:spacing w:line="360" w:lineRule="auto"/>
        <w:rPr>
          <w:rFonts w:hint="eastAsia" w:ascii="宋体" w:hAnsi="宋体"/>
          <w:sz w:val="24"/>
        </w:rPr>
      </w:pPr>
      <w:r>
        <w:rPr>
          <w:rFonts w:hint="eastAsia" w:ascii="宋体" w:hAnsi="宋体"/>
          <w:sz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D0A99F2">
      <w:pPr>
        <w:spacing w:line="360" w:lineRule="auto"/>
        <w:rPr>
          <w:rFonts w:hint="eastAsia" w:ascii="宋体" w:hAnsi="宋体"/>
          <w:b/>
          <w:bCs/>
          <w:sz w:val="24"/>
        </w:rPr>
      </w:pPr>
      <w:r>
        <w:rPr>
          <w:rFonts w:hint="eastAsia" w:ascii="宋体" w:hAnsi="宋体"/>
          <w:b/>
          <w:bCs/>
          <w:sz w:val="24"/>
        </w:rPr>
        <w:t>四、知识产权</w:t>
      </w:r>
    </w:p>
    <w:p w14:paraId="349A84B1">
      <w:pPr>
        <w:spacing w:line="360" w:lineRule="auto"/>
        <w:rPr>
          <w:rFonts w:hint="eastAsia" w:ascii="宋体" w:hAnsi="宋体"/>
          <w:sz w:val="24"/>
        </w:rPr>
      </w:pPr>
      <w:r>
        <w:rPr>
          <w:rFonts w:hint="eastAsia" w:ascii="宋体" w:hAnsi="宋体"/>
          <w:sz w:val="24"/>
        </w:rPr>
        <w:t>乙方应保证所提供的货物或其任何一部分均不会侵犯任何第三方的知识产权。</w:t>
      </w:r>
    </w:p>
    <w:p w14:paraId="05F34A06">
      <w:pPr>
        <w:spacing w:line="360" w:lineRule="auto"/>
        <w:rPr>
          <w:rFonts w:hint="eastAsia" w:ascii="宋体" w:hAnsi="宋体"/>
          <w:b/>
          <w:bCs/>
          <w:sz w:val="24"/>
        </w:rPr>
      </w:pPr>
      <w:r>
        <w:rPr>
          <w:rFonts w:hint="eastAsia" w:ascii="宋体" w:hAnsi="宋体"/>
          <w:b/>
          <w:bCs/>
          <w:sz w:val="24"/>
        </w:rPr>
        <w:t>五、产权担保</w:t>
      </w:r>
    </w:p>
    <w:p w14:paraId="5D20597B">
      <w:pPr>
        <w:spacing w:line="360" w:lineRule="auto"/>
        <w:rPr>
          <w:rFonts w:hint="eastAsia" w:ascii="宋体" w:hAnsi="宋体"/>
          <w:sz w:val="24"/>
        </w:rPr>
      </w:pPr>
      <w:r>
        <w:rPr>
          <w:rFonts w:hint="eastAsia" w:ascii="宋体" w:hAnsi="宋体"/>
          <w:sz w:val="24"/>
        </w:rPr>
        <w:t>乙方保证所交付的货物的所有权完全属于乙方且无任何抵押、查封等产权瑕疵。</w:t>
      </w:r>
    </w:p>
    <w:p w14:paraId="4675D65C">
      <w:pPr>
        <w:spacing w:line="360" w:lineRule="auto"/>
        <w:rPr>
          <w:rFonts w:hint="eastAsia" w:ascii="宋体" w:hAnsi="宋体"/>
          <w:b/>
          <w:bCs/>
          <w:sz w:val="24"/>
        </w:rPr>
      </w:pPr>
      <w:r>
        <w:rPr>
          <w:rFonts w:hint="eastAsia" w:ascii="宋体" w:hAnsi="宋体"/>
          <w:b/>
          <w:bCs/>
          <w:sz w:val="24"/>
        </w:rPr>
        <w:t>六、履约保证金</w:t>
      </w:r>
    </w:p>
    <w:p w14:paraId="3B3ECB09">
      <w:pPr>
        <w:spacing w:line="360" w:lineRule="auto"/>
        <w:rPr>
          <w:rFonts w:hint="eastAsia" w:ascii="宋体" w:hAnsi="宋体"/>
          <w:b/>
          <w:bCs/>
          <w:sz w:val="24"/>
        </w:rPr>
      </w:pPr>
      <w:r>
        <w:rPr>
          <w:rFonts w:hint="eastAsia" w:ascii="宋体" w:hAnsi="宋体"/>
          <w:b/>
          <w:bCs/>
          <w:sz w:val="24"/>
        </w:rPr>
        <w:t>七、转包或分包</w:t>
      </w:r>
    </w:p>
    <w:p w14:paraId="1A3495AB">
      <w:pPr>
        <w:spacing w:line="360" w:lineRule="auto"/>
        <w:rPr>
          <w:rFonts w:hint="eastAsia" w:ascii="宋体" w:hAnsi="宋体"/>
          <w:sz w:val="24"/>
        </w:rPr>
      </w:pPr>
      <w:r>
        <w:rPr>
          <w:rFonts w:hint="eastAsia" w:ascii="宋体" w:hAnsi="宋体"/>
          <w:sz w:val="24"/>
        </w:rPr>
        <w:t>1.本合同范围的货物，应由乙方直接供应，不得转让他人供应；</w:t>
      </w:r>
    </w:p>
    <w:p w14:paraId="0C0F7AC7">
      <w:pPr>
        <w:spacing w:line="360" w:lineRule="auto"/>
        <w:rPr>
          <w:rFonts w:hint="eastAsia" w:ascii="宋体" w:hAnsi="宋体"/>
          <w:sz w:val="24"/>
        </w:rPr>
      </w:pPr>
      <w:r>
        <w:rPr>
          <w:rFonts w:hint="eastAsia" w:ascii="宋体" w:hAnsi="宋体"/>
          <w:sz w:val="24"/>
        </w:rPr>
        <w:t>2.除非得到甲方的书面同意，乙方不得将本合同范围的货物全部或部分分包给他人供应；</w:t>
      </w:r>
    </w:p>
    <w:p w14:paraId="09287A04">
      <w:pPr>
        <w:spacing w:line="360" w:lineRule="auto"/>
        <w:rPr>
          <w:rFonts w:hint="eastAsia" w:ascii="宋体" w:hAnsi="宋体"/>
          <w:sz w:val="24"/>
        </w:rPr>
      </w:pPr>
      <w:r>
        <w:rPr>
          <w:rFonts w:hint="eastAsia" w:ascii="宋体" w:hAnsi="宋体"/>
          <w:sz w:val="24"/>
        </w:rPr>
        <w:t>3.如有转让和未经甲方同意的分包行为，甲方有权解除合同，没收履约保证金并追究乙方的违约责任。</w:t>
      </w:r>
    </w:p>
    <w:p w14:paraId="6BC208E4">
      <w:pPr>
        <w:spacing w:line="360" w:lineRule="auto"/>
        <w:rPr>
          <w:rFonts w:hint="eastAsia" w:ascii="宋体" w:hAnsi="宋体"/>
          <w:sz w:val="24"/>
        </w:rPr>
      </w:pPr>
      <w:r>
        <w:rPr>
          <w:rFonts w:hint="eastAsia" w:ascii="宋体" w:hAnsi="宋体"/>
          <w:b/>
          <w:sz w:val="24"/>
        </w:rPr>
        <w:t>八、质保期</w:t>
      </w:r>
    </w:p>
    <w:p w14:paraId="2BE084C1">
      <w:pPr>
        <w:spacing w:line="360" w:lineRule="auto"/>
        <w:rPr>
          <w:rFonts w:hint="eastAsia" w:ascii="宋体" w:hAnsi="宋体"/>
          <w:sz w:val="24"/>
        </w:rPr>
      </w:pPr>
      <w:r>
        <w:rPr>
          <w:rFonts w:hint="eastAsia" w:ascii="宋体" w:hAnsi="宋体"/>
          <w:sz w:val="24"/>
        </w:rPr>
        <w:t xml:space="preserve"> 质保期</w:t>
      </w:r>
      <w:r>
        <w:rPr>
          <w:rFonts w:hint="eastAsia" w:ascii="宋体" w:hAnsi="宋体"/>
          <w:sz w:val="24"/>
          <w:u w:val="single"/>
        </w:rPr>
        <w:t xml:space="preserve">      </w:t>
      </w:r>
      <w:r>
        <w:rPr>
          <w:rFonts w:hint="eastAsia" w:ascii="宋体" w:hAnsi="宋体"/>
          <w:sz w:val="24"/>
        </w:rPr>
        <w:t>年。（自交货验收合格之日起计）</w:t>
      </w:r>
    </w:p>
    <w:p w14:paraId="7095FA7A">
      <w:pPr>
        <w:spacing w:line="360" w:lineRule="auto"/>
        <w:rPr>
          <w:rFonts w:hint="eastAsia" w:ascii="宋体" w:hAnsi="宋体"/>
          <w:b/>
          <w:sz w:val="24"/>
        </w:rPr>
      </w:pPr>
      <w:r>
        <w:rPr>
          <w:rFonts w:hint="eastAsia" w:ascii="宋体" w:hAnsi="宋体"/>
          <w:b/>
          <w:sz w:val="24"/>
        </w:rPr>
        <w:t>九、交货期、交货地点</w:t>
      </w:r>
    </w:p>
    <w:p w14:paraId="70BB913C">
      <w:pPr>
        <w:spacing w:line="360" w:lineRule="auto"/>
        <w:rPr>
          <w:rFonts w:hint="eastAsia" w:ascii="宋体" w:hAnsi="宋体"/>
          <w:bCs/>
          <w:sz w:val="24"/>
          <w:u w:val="single"/>
        </w:rPr>
      </w:pPr>
      <w:r>
        <w:rPr>
          <w:rFonts w:hint="eastAsia" w:ascii="宋体" w:hAnsi="宋体"/>
          <w:bCs/>
          <w:sz w:val="24"/>
        </w:rPr>
        <w:t>1. 交货期：</w:t>
      </w:r>
      <w:r>
        <w:rPr>
          <w:rFonts w:hint="eastAsia" w:ascii="宋体" w:hAnsi="宋体"/>
          <w:bCs/>
          <w:sz w:val="24"/>
          <w:u w:val="single"/>
        </w:rPr>
        <w:t xml:space="preserve">                 </w:t>
      </w:r>
    </w:p>
    <w:p w14:paraId="5B4D2EE8">
      <w:pPr>
        <w:spacing w:line="360" w:lineRule="auto"/>
        <w:rPr>
          <w:rFonts w:hint="eastAsia" w:ascii="宋体" w:hAnsi="宋体"/>
          <w:b/>
          <w:sz w:val="24"/>
          <w:u w:val="single"/>
        </w:rPr>
      </w:pPr>
      <w:r>
        <w:rPr>
          <w:rFonts w:hint="eastAsia" w:ascii="宋体" w:hAnsi="宋体"/>
          <w:bCs/>
          <w:sz w:val="24"/>
        </w:rPr>
        <w:t>2.交货地点：</w:t>
      </w:r>
      <w:r>
        <w:rPr>
          <w:rFonts w:hint="eastAsia" w:ascii="宋体" w:hAnsi="宋体"/>
          <w:bCs/>
          <w:sz w:val="24"/>
          <w:u w:val="single"/>
        </w:rPr>
        <w:t xml:space="preserve">                </w:t>
      </w:r>
    </w:p>
    <w:p w14:paraId="5B285763">
      <w:pPr>
        <w:spacing w:line="360" w:lineRule="auto"/>
        <w:rPr>
          <w:rFonts w:ascii="宋体" w:hAnsi="宋体"/>
          <w:b/>
          <w:sz w:val="24"/>
        </w:rPr>
      </w:pPr>
      <w:r>
        <w:rPr>
          <w:rFonts w:hint="eastAsia" w:ascii="宋体" w:hAnsi="宋体"/>
          <w:b/>
          <w:sz w:val="24"/>
        </w:rPr>
        <w:t>十、付款方式</w:t>
      </w:r>
    </w:p>
    <w:p w14:paraId="51B99E24">
      <w:pPr>
        <w:spacing w:line="360" w:lineRule="auto"/>
        <w:rPr>
          <w:rFonts w:hint="eastAsia" w:ascii="宋体" w:hAnsi="宋体"/>
          <w:b/>
          <w:sz w:val="24"/>
          <w:szCs w:val="20"/>
        </w:rPr>
      </w:pPr>
      <w:r>
        <w:rPr>
          <w:rFonts w:hint="eastAsia" w:ascii="宋体" w:hAnsi="宋体"/>
          <w:b/>
          <w:sz w:val="24"/>
        </w:rPr>
        <w:t>十一、税费</w:t>
      </w:r>
    </w:p>
    <w:p w14:paraId="03AABF24">
      <w:pPr>
        <w:spacing w:line="360" w:lineRule="auto"/>
        <w:rPr>
          <w:rFonts w:hint="eastAsia" w:ascii="宋体" w:hAnsi="宋体"/>
          <w:sz w:val="24"/>
          <w:szCs w:val="20"/>
        </w:rPr>
      </w:pPr>
      <w:r>
        <w:rPr>
          <w:rFonts w:hint="eastAsia" w:ascii="宋体" w:hAnsi="宋体"/>
          <w:sz w:val="24"/>
        </w:rPr>
        <w:t>本合同执行中相关的一切税费均由乙方负担。</w:t>
      </w:r>
    </w:p>
    <w:p w14:paraId="5E9705CF">
      <w:pPr>
        <w:spacing w:line="360" w:lineRule="auto"/>
        <w:rPr>
          <w:rFonts w:hint="eastAsia" w:ascii="宋体" w:hAnsi="宋体"/>
          <w:sz w:val="24"/>
        </w:rPr>
      </w:pPr>
      <w:r>
        <w:rPr>
          <w:rFonts w:hint="eastAsia" w:ascii="宋体" w:hAnsi="宋体"/>
          <w:b/>
          <w:sz w:val="24"/>
        </w:rPr>
        <w:t>十二、</w:t>
      </w:r>
      <w:bookmarkStart w:id="66" w:name="OLE_LINK2"/>
      <w:r>
        <w:rPr>
          <w:rFonts w:hint="eastAsia" w:ascii="宋体" w:hAnsi="宋体"/>
          <w:b/>
          <w:sz w:val="24"/>
        </w:rPr>
        <w:t>质量保证及售后服务</w:t>
      </w:r>
    </w:p>
    <w:bookmarkEnd w:id="66"/>
    <w:p w14:paraId="43EAEEE5">
      <w:pPr>
        <w:spacing w:line="360" w:lineRule="auto"/>
        <w:rPr>
          <w:rFonts w:hint="eastAsia" w:ascii="宋体" w:hAnsi="宋体"/>
          <w:sz w:val="24"/>
        </w:rPr>
      </w:pPr>
      <w:r>
        <w:rPr>
          <w:rFonts w:hint="eastAsia" w:ascii="宋体" w:hAnsi="宋体"/>
          <w:sz w:val="24"/>
        </w:rPr>
        <w:t>1. 乙方应按招标文件规定的货物性能、技术要求、质量标准向甲方提供未经使用的全新产品。</w:t>
      </w:r>
    </w:p>
    <w:p w14:paraId="053C8914">
      <w:pPr>
        <w:spacing w:line="360" w:lineRule="auto"/>
        <w:rPr>
          <w:rFonts w:hint="eastAsia" w:ascii="宋体" w:hAnsi="宋体"/>
          <w:sz w:val="24"/>
        </w:rPr>
      </w:pPr>
      <w:r>
        <w:rPr>
          <w:rFonts w:hint="eastAsia" w:ascii="宋体" w:hAnsi="宋体"/>
          <w:sz w:val="24"/>
        </w:rPr>
        <w:t>2. 乙方提供的货物在质保期内因货物本身的质量问题，乙方应负责在</w:t>
      </w:r>
      <w:r>
        <w:rPr>
          <w:rFonts w:hint="eastAsia" w:ascii="宋体" w:hAnsi="宋体"/>
          <w:sz w:val="24"/>
          <w:u w:val="single"/>
        </w:rPr>
        <w:t xml:space="preserve">     </w:t>
      </w:r>
      <w:r>
        <w:rPr>
          <w:rFonts w:hint="eastAsia" w:ascii="宋体" w:hAnsi="宋体"/>
          <w:sz w:val="24"/>
        </w:rPr>
        <w:t>小时内免费更换。对达不到技术要求者，根据实际情况，经双方协商，可按以下办法处理：</w:t>
      </w:r>
    </w:p>
    <w:p w14:paraId="04F78F94">
      <w:pPr>
        <w:spacing w:line="360" w:lineRule="auto"/>
        <w:rPr>
          <w:rFonts w:hint="eastAsia" w:ascii="宋体" w:hAnsi="宋体"/>
          <w:sz w:val="24"/>
        </w:rPr>
      </w:pPr>
      <w:r>
        <w:rPr>
          <w:rFonts w:hint="eastAsia" w:ascii="宋体" w:hAnsi="宋体"/>
          <w:sz w:val="24"/>
        </w:rPr>
        <w:t>⑴更换：由乙方承担所发生的全部费用。</w:t>
      </w:r>
    </w:p>
    <w:p w14:paraId="2E1C5AB3">
      <w:pPr>
        <w:spacing w:line="360" w:lineRule="auto"/>
        <w:rPr>
          <w:rFonts w:hint="eastAsia" w:ascii="宋体" w:hAnsi="宋体"/>
          <w:sz w:val="24"/>
        </w:rPr>
      </w:pPr>
      <w:r>
        <w:rPr>
          <w:rFonts w:hint="eastAsia" w:ascii="宋体" w:hAnsi="宋体"/>
          <w:sz w:val="24"/>
        </w:rPr>
        <w:t>⑵贬值处理：由甲乙双方合议定价。</w:t>
      </w:r>
    </w:p>
    <w:p w14:paraId="704FE214">
      <w:pPr>
        <w:spacing w:line="360" w:lineRule="auto"/>
        <w:rPr>
          <w:rFonts w:hint="eastAsia" w:ascii="宋体" w:hAnsi="宋体"/>
          <w:sz w:val="24"/>
        </w:rPr>
      </w:pPr>
      <w:r>
        <w:rPr>
          <w:rFonts w:hint="eastAsia" w:ascii="宋体" w:hAnsi="宋体"/>
          <w:sz w:val="24"/>
        </w:rPr>
        <w:t>⑶退货处理：乙方应退还甲方支付的合同款，同时应承担该货物的直接费用（运输、保险、检验、货款利息及银行手续费等）。</w:t>
      </w:r>
    </w:p>
    <w:p w14:paraId="3559B23F">
      <w:pPr>
        <w:spacing w:line="360" w:lineRule="auto"/>
        <w:rPr>
          <w:rFonts w:hint="eastAsia" w:ascii="宋体" w:hAnsi="宋体"/>
          <w:sz w:val="24"/>
        </w:rPr>
      </w:pPr>
      <w:r>
        <w:rPr>
          <w:rFonts w:hint="eastAsia" w:ascii="宋体" w:hAnsi="宋体"/>
          <w:sz w:val="24"/>
        </w:rPr>
        <w:t>3. 如在使用过程中发生质量问题，乙方在接到甲方通知后在</w:t>
      </w:r>
      <w:r>
        <w:rPr>
          <w:rFonts w:hint="eastAsia" w:ascii="宋体" w:hAnsi="宋体"/>
          <w:sz w:val="24"/>
          <w:u w:val="single"/>
        </w:rPr>
        <w:t xml:space="preserve">    </w:t>
      </w:r>
      <w:r>
        <w:rPr>
          <w:rFonts w:hint="eastAsia" w:ascii="宋体" w:hAnsi="宋体"/>
          <w:sz w:val="24"/>
        </w:rPr>
        <w:t>小时内到达甲方现场。</w:t>
      </w:r>
    </w:p>
    <w:p w14:paraId="14F28E16">
      <w:pPr>
        <w:spacing w:line="360" w:lineRule="auto"/>
        <w:rPr>
          <w:rFonts w:hint="eastAsia" w:ascii="宋体" w:hAnsi="宋体"/>
          <w:sz w:val="24"/>
        </w:rPr>
      </w:pPr>
      <w:r>
        <w:rPr>
          <w:rFonts w:hint="eastAsia" w:ascii="宋体" w:hAnsi="宋体"/>
          <w:sz w:val="24"/>
        </w:rPr>
        <w:t>4. 在质保期内，乙方应对货物出现的质量及安全问题负责处理解决并承担一切费用。</w:t>
      </w:r>
    </w:p>
    <w:p w14:paraId="1E137AA9">
      <w:pPr>
        <w:spacing w:line="360" w:lineRule="auto"/>
        <w:rPr>
          <w:rFonts w:hint="eastAsia" w:ascii="宋体" w:hAnsi="宋体"/>
          <w:strike w:val="0"/>
          <w:dstrike w:val="0"/>
          <w:sz w:val="24"/>
        </w:rPr>
      </w:pPr>
      <w:r>
        <w:rPr>
          <w:rFonts w:hint="eastAsia" w:ascii="宋体" w:hAnsi="宋体"/>
          <w:b/>
          <w:strike w:val="0"/>
          <w:dstrike w:val="0"/>
          <w:sz w:val="24"/>
        </w:rPr>
        <w:t>十三、验收</w:t>
      </w:r>
    </w:p>
    <w:p w14:paraId="4B434EC9">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1.乙方每批次货物到场，应随带该批次产品检测报告、产品合格证交给甲方查验。</w:t>
      </w:r>
    </w:p>
    <w:p w14:paraId="32181EF3">
      <w:pPr>
        <w:spacing w:line="360" w:lineRule="auto"/>
        <w:jc w:val="left"/>
        <w:rPr>
          <w:rFonts w:hint="eastAsia" w:ascii="宋体" w:hAnsi="宋体" w:eastAsia="宋体" w:cs="Times New Roman"/>
          <w:color w:val="auto"/>
          <w:sz w:val="24"/>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w:t>
      </w:r>
      <w:bookmarkStart w:id="67" w:name="OLE_LINK4"/>
      <w:r>
        <w:rPr>
          <w:rFonts w:hint="eastAsia" w:ascii="宋体" w:hAnsi="宋体" w:eastAsia="宋体" w:cs="宋体"/>
          <w:color w:val="auto"/>
          <w:sz w:val="24"/>
          <w:highlight w:val="none"/>
          <w:lang w:val="en-US" w:eastAsia="zh-CN"/>
        </w:rPr>
        <w:t>货物的数量验收以地磅计量作为结算依据，并需要</w:t>
      </w:r>
      <w:r>
        <w:rPr>
          <w:rFonts w:hint="eastAsia" w:ascii="宋体" w:hAnsi="宋体" w:cs="宋体"/>
          <w:color w:val="auto"/>
          <w:sz w:val="24"/>
          <w:highlight w:val="none"/>
          <w:lang w:val="en-US" w:eastAsia="zh-CN"/>
        </w:rPr>
        <w:t>甲、乙</w:t>
      </w:r>
      <w:r>
        <w:rPr>
          <w:rFonts w:hint="eastAsia" w:ascii="宋体" w:hAnsi="宋体" w:eastAsia="宋体" w:cs="宋体"/>
          <w:color w:val="auto"/>
          <w:sz w:val="24"/>
          <w:highlight w:val="none"/>
          <w:lang w:val="en-US" w:eastAsia="zh-CN"/>
        </w:rPr>
        <w:t>双方签字确认。</w:t>
      </w:r>
      <w:bookmarkEnd w:id="67"/>
      <w:r>
        <w:rPr>
          <w:rFonts w:hint="eastAsia" w:ascii="宋体" w:hAnsi="宋体" w:eastAsia="宋体" w:cs="宋体"/>
          <w:color w:val="auto"/>
          <w:sz w:val="24"/>
          <w:highlight w:val="none"/>
          <w:lang w:val="en-US" w:eastAsia="zh-CN"/>
        </w:rPr>
        <w:t>按招标文件上的技术规格要求和国家有关质量标准进行检验。经检验，如果质量未达到标准，甲方应在5日内提出异议，乙方应于接到书面要求后的3日内更换，否则拒付货款。</w:t>
      </w:r>
      <w:r>
        <w:rPr>
          <w:rFonts w:hint="eastAsia" w:ascii="宋体" w:hAnsi="宋体" w:eastAsia="宋体" w:cs="Times New Roman"/>
          <w:color w:val="auto"/>
          <w:sz w:val="24"/>
          <w:lang w:val="en-US" w:eastAsia="zh-CN"/>
        </w:rPr>
        <w:t>如出现不合格时，检测费用由乙方支付；合格则由甲方支付。</w:t>
      </w:r>
    </w:p>
    <w:p w14:paraId="53F2C1D2">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6179B16">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4.验收费用由乙方</w:t>
      </w:r>
      <w:r>
        <w:rPr>
          <w:rFonts w:hint="eastAsia" w:ascii="宋体" w:hAnsi="宋体" w:cs="宋体"/>
          <w:color w:val="auto"/>
          <w:sz w:val="24"/>
          <w:highlight w:val="none"/>
          <w:lang w:val="en-US" w:eastAsia="zh-CN"/>
        </w:rPr>
        <w:t>支付</w:t>
      </w:r>
      <w:r>
        <w:rPr>
          <w:rFonts w:hint="eastAsia" w:ascii="宋体" w:hAnsi="宋体" w:eastAsia="宋体" w:cs="宋体"/>
          <w:color w:val="auto"/>
          <w:sz w:val="24"/>
          <w:highlight w:val="none"/>
          <w:lang w:val="en-US" w:eastAsia="zh-CN"/>
        </w:rPr>
        <w:t>。</w:t>
      </w:r>
    </w:p>
    <w:p w14:paraId="0786D2DA">
      <w:pPr>
        <w:spacing w:line="360" w:lineRule="auto"/>
        <w:rPr>
          <w:rFonts w:hint="eastAsia" w:ascii="宋体" w:hAnsi="宋体"/>
          <w:b/>
          <w:sz w:val="24"/>
        </w:rPr>
      </w:pPr>
      <w:r>
        <w:rPr>
          <w:rFonts w:hint="eastAsia" w:ascii="宋体" w:hAnsi="宋体"/>
          <w:b/>
          <w:sz w:val="24"/>
        </w:rPr>
        <w:t>十四、货物包装、发运及运输</w:t>
      </w:r>
    </w:p>
    <w:p w14:paraId="547AC3B0">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1. 乙方应在货物发运前对其进行满足运输距离、防潮、防震、防锈和防破损装卸等要求包装，以保证货物安全运达甲方指定地点。</w:t>
      </w:r>
    </w:p>
    <w:p w14:paraId="7BB803D5">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2. 使用说明书、质量检验证明书、随配附件和工具以及清单一并附于货物内。</w:t>
      </w:r>
    </w:p>
    <w:p w14:paraId="4EBB258B">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3. 乙方在货物发运手续办理完毕后24小时内或货到甲方48小时前通知甲方，以准备接货。</w:t>
      </w:r>
    </w:p>
    <w:p w14:paraId="0CC4B579">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4. 货物在交付甲方前发生的风险均由乙方负责。</w:t>
      </w:r>
    </w:p>
    <w:p w14:paraId="1995060E">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5. 货物在规定的交付期限内由乙方送达甲方指定的地点视为交付，乙方同时需</w:t>
      </w:r>
    </w:p>
    <w:p w14:paraId="2A272B40">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通知甲方货物已送达。</w:t>
      </w:r>
    </w:p>
    <w:p w14:paraId="7DED1DED">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b/>
          <w:sz w:val="24"/>
        </w:rPr>
      </w:pPr>
      <w:r>
        <w:rPr>
          <w:rFonts w:hint="eastAsia" w:ascii="宋体" w:hAnsi="宋体"/>
          <w:b/>
          <w:sz w:val="24"/>
        </w:rPr>
        <w:t>十五、</w:t>
      </w:r>
      <w:bookmarkStart w:id="68" w:name="OLE_LINK5"/>
      <w:r>
        <w:rPr>
          <w:rFonts w:hint="eastAsia" w:ascii="宋体" w:hAnsi="宋体"/>
          <w:b/>
          <w:sz w:val="24"/>
        </w:rPr>
        <w:t>违约责任</w:t>
      </w:r>
      <w:bookmarkEnd w:id="68"/>
    </w:p>
    <w:p w14:paraId="6FB48D77">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1. 甲方无正当理由拒收货物的，甲方向乙方偿付拒收货款总值的百分之</w:t>
      </w:r>
      <w:r>
        <w:rPr>
          <w:rFonts w:hint="eastAsia" w:ascii="宋体" w:hAnsi="宋体"/>
          <w:sz w:val="24"/>
          <w:u w:val="single"/>
        </w:rPr>
        <w:t>五</w:t>
      </w:r>
      <w:r>
        <w:rPr>
          <w:rFonts w:hint="eastAsia" w:ascii="宋体" w:hAnsi="宋体"/>
          <w:sz w:val="24"/>
        </w:rPr>
        <w:t>违约金。</w:t>
      </w:r>
    </w:p>
    <w:p w14:paraId="5163A6EE">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2. 甲方无故逾期验收和办理货款支付手续的,甲方应按逾期付款总额每日万分之</w:t>
      </w:r>
      <w:r>
        <w:rPr>
          <w:rFonts w:hint="eastAsia" w:ascii="宋体" w:hAnsi="宋体"/>
          <w:sz w:val="24"/>
          <w:u w:val="single"/>
        </w:rPr>
        <w:t>五</w:t>
      </w:r>
      <w:r>
        <w:rPr>
          <w:rFonts w:hint="eastAsia" w:ascii="宋体" w:hAnsi="宋体"/>
          <w:sz w:val="24"/>
        </w:rPr>
        <w:t>向乙方支付违约金。</w:t>
      </w:r>
    </w:p>
    <w:p w14:paraId="3266813F">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bookmarkStart w:id="69" w:name="OLE_LINK6"/>
      <w:r>
        <w:rPr>
          <w:rFonts w:hint="eastAsia" w:ascii="宋体" w:hAnsi="宋体"/>
          <w:sz w:val="24"/>
        </w:rPr>
        <w:t>3. 乙方逾期交付货物的，乙方应按逾期交货总额</w:t>
      </w:r>
      <w:r>
        <w:rPr>
          <w:rFonts w:hint="eastAsia" w:ascii="宋体" w:hAnsi="宋体"/>
          <w:sz w:val="24"/>
          <w:u w:val="single"/>
        </w:rPr>
        <w:t>每日千分之六</w:t>
      </w:r>
      <w:r>
        <w:rPr>
          <w:rFonts w:hint="eastAsia" w:ascii="宋体" w:hAnsi="宋体"/>
          <w:sz w:val="24"/>
        </w:rPr>
        <w:t>向甲方支付违约金。</w:t>
      </w:r>
      <w:r>
        <w:rPr>
          <w:rFonts w:hint="eastAsia" w:ascii="宋体" w:hAnsi="宋体"/>
          <w:sz w:val="24"/>
          <w:lang w:val="en-US" w:eastAsia="zh-CN"/>
        </w:rPr>
        <w:t>乙方</w:t>
      </w:r>
      <w:r>
        <w:rPr>
          <w:rFonts w:hint="eastAsia" w:ascii="宋体" w:hAnsi="宋体"/>
          <w:sz w:val="24"/>
        </w:rPr>
        <w:t>逾期超过约定日期10个工作日不能交货的，甲方可解除本合同。乙方因逾期交货或因其他违约行为导致甲方解除合同的，乙方应向甲方支付合同总值百分之</w:t>
      </w:r>
      <w:r>
        <w:rPr>
          <w:rFonts w:hint="eastAsia" w:ascii="宋体" w:hAnsi="宋体"/>
          <w:sz w:val="24"/>
          <w:u w:val="single"/>
        </w:rPr>
        <w:t>五</w:t>
      </w:r>
      <w:r>
        <w:rPr>
          <w:rFonts w:hint="eastAsia" w:ascii="宋体" w:hAnsi="宋体"/>
          <w:sz w:val="24"/>
        </w:rPr>
        <w:t>的违约金，如造成甲方损失超过违约金的，超出部分由乙方继续承担赔偿责任。</w:t>
      </w:r>
      <w:bookmarkEnd w:id="69"/>
      <w:r>
        <w:rPr>
          <w:rFonts w:hint="eastAsia" w:ascii="宋体" w:hAnsi="宋体"/>
          <w:sz w:val="24"/>
        </w:rPr>
        <w:t xml:space="preserve"> </w:t>
      </w:r>
    </w:p>
    <w:p w14:paraId="33F61217">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74C8ADF3">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b/>
          <w:sz w:val="24"/>
        </w:rPr>
      </w:pPr>
      <w:r>
        <w:rPr>
          <w:rFonts w:hint="eastAsia" w:ascii="宋体" w:hAnsi="宋体"/>
          <w:b/>
          <w:sz w:val="24"/>
        </w:rPr>
        <w:t>十六、不可抗力事件处理</w:t>
      </w:r>
    </w:p>
    <w:p w14:paraId="1D4C606C">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1. 在合同有效期内，任何一方因不可抗力事件导致不能履行合同，则合同履行期可延长，其延长期与不可抗力影响期相同。</w:t>
      </w:r>
    </w:p>
    <w:p w14:paraId="3347FC08">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2. 不可抗力事件发生后，应立即通知对方，并寄送有关权威机构出具的证明。</w:t>
      </w:r>
    </w:p>
    <w:p w14:paraId="5D7D5586">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3. 不可抗力事件延续120天以上，双方应通过友好协商，确定是否继续履行合同。</w:t>
      </w:r>
    </w:p>
    <w:p w14:paraId="667724E1">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b/>
          <w:sz w:val="24"/>
        </w:rPr>
      </w:pPr>
      <w:r>
        <w:rPr>
          <w:rFonts w:hint="eastAsia" w:ascii="宋体" w:hAnsi="宋体"/>
          <w:b/>
          <w:sz w:val="24"/>
        </w:rPr>
        <w:t>十七、诉讼</w:t>
      </w:r>
    </w:p>
    <w:p w14:paraId="37C4EF06">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 xml:space="preserve"> 双方在执行合同中所发生的一切争议，应通过协商解决。如协商不成，可向甲方所在地法院起诉。</w:t>
      </w:r>
    </w:p>
    <w:p w14:paraId="57731F9E">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b/>
          <w:sz w:val="24"/>
        </w:rPr>
      </w:pPr>
      <w:r>
        <w:rPr>
          <w:rFonts w:hint="eastAsia" w:ascii="宋体" w:hAnsi="宋体"/>
          <w:b/>
          <w:sz w:val="24"/>
        </w:rPr>
        <w:t>十八、合同生效及其它</w:t>
      </w:r>
    </w:p>
    <w:p w14:paraId="68B71C72">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1. 合同经三方法定代表人或委托代理人签字并加盖单位公章后，报东阳市国资办备案后生效。</w:t>
      </w:r>
    </w:p>
    <w:p w14:paraId="1B6D5A7E">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2.合同执行中涉及采购资金和采购内容修改或补充的，按国资办相关政策执行，方可作为主合同不可分割的一部分。</w:t>
      </w:r>
    </w:p>
    <w:p w14:paraId="423B5EEC">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sz w:val="24"/>
        </w:rPr>
      </w:pPr>
      <w:r>
        <w:rPr>
          <w:rFonts w:hint="eastAsia" w:ascii="宋体" w:hAnsi="宋体"/>
          <w:sz w:val="24"/>
        </w:rPr>
        <w:t>3.本合同未尽事宜，遵照《中华人民共和国民法典》有关条文执行。</w:t>
      </w:r>
    </w:p>
    <w:p w14:paraId="08B207A4">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Times New Roman"/>
          <w:sz w:val="24"/>
        </w:rPr>
      </w:pPr>
      <w:r>
        <w:rPr>
          <w:rFonts w:hint="eastAsia" w:ascii="宋体" w:hAnsi="宋体" w:eastAsia="宋体" w:cs="Times New Roman"/>
          <w:sz w:val="24"/>
        </w:rPr>
        <w:t>4. 本合同一式陆份，双方各执二份，东阳市国资办、招标代理机构各执一份，其都具有同等法律效力。</w:t>
      </w:r>
    </w:p>
    <w:p w14:paraId="220876CB">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5.本合同样本仅供参考，甲乙双方可就招标文件的非实质性条款进行修改，但不能修改项目的服务期限、中标折扣、付款方式、质保期等实质性条款，甲乙双方对合同的真实性负责，鉴证方只负责见证项目招标的真实性。</w:t>
      </w:r>
    </w:p>
    <w:p w14:paraId="71105BEC">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Times New Roman"/>
          <w:sz w:val="24"/>
          <w:lang w:val="en-US" w:eastAsia="zh-CN"/>
        </w:rPr>
      </w:pPr>
    </w:p>
    <w:p w14:paraId="6EAECBA5">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宋体" w:hAnsi="宋体" w:eastAsia="宋体" w:cs="Times New Roman"/>
          <w:sz w:val="24"/>
          <w:lang w:val="en-US" w:eastAsia="zh-CN"/>
        </w:rPr>
      </w:pPr>
    </w:p>
    <w:p w14:paraId="3E43ECE3">
      <w:pPr>
        <w:spacing w:line="360" w:lineRule="auto"/>
        <w:rPr>
          <w:rFonts w:hint="eastAsia" w:ascii="宋体" w:hAnsi="宋体"/>
          <w:sz w:val="24"/>
        </w:rPr>
      </w:pPr>
      <w:r>
        <w:rPr>
          <w:rFonts w:hint="eastAsia" w:ascii="宋体" w:hAnsi="宋体"/>
          <w:b/>
          <w:bCs/>
          <w:sz w:val="24"/>
        </w:rPr>
        <w:t>甲方（盖</w:t>
      </w:r>
      <w:r>
        <w:rPr>
          <w:rFonts w:ascii="宋体" w:hAnsi="宋体"/>
          <w:b/>
          <w:bCs/>
          <w:sz w:val="24"/>
        </w:rPr>
        <w:t>公</w:t>
      </w:r>
      <w:r>
        <w:rPr>
          <w:rFonts w:hint="eastAsia" w:ascii="宋体" w:hAnsi="宋体"/>
          <w:b/>
          <w:bCs/>
          <w:sz w:val="24"/>
        </w:rPr>
        <w:t>章）：                       乙方（盖</w:t>
      </w:r>
      <w:r>
        <w:rPr>
          <w:rFonts w:ascii="宋体" w:hAnsi="宋体"/>
          <w:b/>
          <w:bCs/>
          <w:sz w:val="24"/>
        </w:rPr>
        <w:t>公</w:t>
      </w:r>
      <w:r>
        <w:rPr>
          <w:rFonts w:hint="eastAsia" w:ascii="宋体" w:hAnsi="宋体"/>
          <w:b/>
          <w:bCs/>
          <w:sz w:val="24"/>
        </w:rPr>
        <w:t>章）：</w:t>
      </w:r>
    </w:p>
    <w:p w14:paraId="5FC20DF4">
      <w:pPr>
        <w:spacing w:line="360" w:lineRule="auto"/>
        <w:rPr>
          <w:rFonts w:hint="eastAsia" w:ascii="宋体" w:hAnsi="宋体"/>
          <w:sz w:val="24"/>
        </w:rPr>
      </w:pPr>
      <w:r>
        <w:rPr>
          <w:rFonts w:hint="eastAsia" w:ascii="宋体" w:hAnsi="宋体"/>
          <w:sz w:val="24"/>
        </w:rPr>
        <w:t>法定代表人或受委托人                 法定代表人或受委托人</w:t>
      </w:r>
    </w:p>
    <w:p w14:paraId="16A4C005">
      <w:pPr>
        <w:spacing w:line="360" w:lineRule="auto"/>
        <w:rPr>
          <w:rFonts w:hint="eastAsia" w:ascii="宋体" w:hAnsi="宋体"/>
          <w:sz w:val="24"/>
        </w:rPr>
      </w:pPr>
      <w:r>
        <w:rPr>
          <w:rFonts w:hint="eastAsia" w:ascii="宋体" w:hAnsi="宋体"/>
          <w:sz w:val="24"/>
        </w:rPr>
        <w:t>（签字）                            （签字）</w:t>
      </w:r>
    </w:p>
    <w:p w14:paraId="4BE37893">
      <w:pPr>
        <w:spacing w:line="360" w:lineRule="auto"/>
        <w:rPr>
          <w:rFonts w:hint="eastAsia" w:ascii="宋体" w:hAnsi="宋体"/>
          <w:sz w:val="24"/>
        </w:rPr>
      </w:pPr>
      <w:r>
        <w:rPr>
          <w:rFonts w:hint="eastAsia" w:ascii="宋体" w:hAnsi="宋体"/>
          <w:sz w:val="24"/>
        </w:rPr>
        <w:t xml:space="preserve">地址：                               地址： </w:t>
      </w:r>
    </w:p>
    <w:p w14:paraId="4D222039">
      <w:pPr>
        <w:spacing w:line="360" w:lineRule="auto"/>
        <w:rPr>
          <w:rFonts w:hint="eastAsia" w:ascii="宋体" w:hAnsi="宋体"/>
          <w:sz w:val="24"/>
        </w:rPr>
      </w:pPr>
      <w:r>
        <w:rPr>
          <w:rFonts w:hint="eastAsia" w:ascii="宋体" w:hAnsi="宋体"/>
          <w:sz w:val="24"/>
        </w:rPr>
        <w:t>邮编：                               邮编：</w:t>
      </w:r>
    </w:p>
    <w:p w14:paraId="4BF5CB52">
      <w:pPr>
        <w:spacing w:line="360" w:lineRule="auto"/>
        <w:rPr>
          <w:rFonts w:hint="eastAsia" w:ascii="宋体" w:hAnsi="宋体"/>
          <w:sz w:val="24"/>
        </w:rPr>
      </w:pPr>
      <w:r>
        <w:rPr>
          <w:rFonts w:hint="eastAsia" w:ascii="宋体" w:hAnsi="宋体"/>
          <w:sz w:val="24"/>
        </w:rPr>
        <w:t>电话：                               电话：</w:t>
      </w:r>
    </w:p>
    <w:p w14:paraId="35638DA1">
      <w:pPr>
        <w:spacing w:line="360" w:lineRule="auto"/>
        <w:rPr>
          <w:rFonts w:hint="eastAsia" w:ascii="宋体" w:hAnsi="宋体"/>
          <w:sz w:val="24"/>
        </w:rPr>
      </w:pPr>
      <w:r>
        <w:rPr>
          <w:rFonts w:hint="eastAsia" w:ascii="宋体" w:hAnsi="宋体"/>
          <w:sz w:val="24"/>
        </w:rPr>
        <w:t>传真：                               传真：</w:t>
      </w:r>
    </w:p>
    <w:p w14:paraId="7BABC250">
      <w:pPr>
        <w:spacing w:line="360" w:lineRule="auto"/>
        <w:rPr>
          <w:rFonts w:hint="eastAsia" w:ascii="宋体" w:hAnsi="宋体"/>
          <w:sz w:val="24"/>
        </w:rPr>
      </w:pPr>
      <w:r>
        <w:rPr>
          <w:rFonts w:hint="eastAsia" w:ascii="宋体" w:hAnsi="宋体"/>
          <w:sz w:val="24"/>
        </w:rPr>
        <w:t>开户银行：                           开户银行：</w:t>
      </w:r>
    </w:p>
    <w:p w14:paraId="105BB66F">
      <w:pPr>
        <w:spacing w:line="360" w:lineRule="auto"/>
        <w:rPr>
          <w:rFonts w:ascii="宋体" w:hAnsi="宋体"/>
          <w:sz w:val="24"/>
        </w:rPr>
      </w:pPr>
      <w:r>
        <w:rPr>
          <w:rFonts w:hint="eastAsia" w:ascii="宋体" w:hAnsi="宋体"/>
          <w:sz w:val="24"/>
        </w:rPr>
        <w:t>账号：                               账号：</w:t>
      </w:r>
    </w:p>
    <w:p w14:paraId="59ACAA63">
      <w:pPr>
        <w:spacing w:line="360" w:lineRule="auto"/>
        <w:rPr>
          <w:rFonts w:hint="eastAsia" w:ascii="宋体" w:hAnsi="宋体"/>
          <w:sz w:val="24"/>
        </w:rPr>
      </w:pPr>
    </w:p>
    <w:p w14:paraId="647CC89A">
      <w:pPr>
        <w:spacing w:line="360" w:lineRule="auto"/>
        <w:rPr>
          <w:rFonts w:hint="eastAsia" w:ascii="宋体" w:hAnsi="宋体"/>
          <w:sz w:val="24"/>
        </w:rPr>
      </w:pPr>
      <w:r>
        <w:rPr>
          <w:rFonts w:hint="eastAsia" w:ascii="宋体" w:hAnsi="宋体"/>
          <w:sz w:val="24"/>
        </w:rPr>
        <w:t>鉴证方:</w:t>
      </w:r>
    </w:p>
    <w:p w14:paraId="542F0649">
      <w:pPr>
        <w:spacing w:line="360" w:lineRule="auto"/>
        <w:rPr>
          <w:rFonts w:hint="eastAsia"/>
        </w:rPr>
      </w:pPr>
      <w:r>
        <w:rPr>
          <w:rFonts w:hint="eastAsia" w:ascii="宋体" w:hAnsi="宋体"/>
          <w:sz w:val="24"/>
        </w:rPr>
        <w:t>法定代表人或受委托人（签字）:</w:t>
      </w:r>
    </w:p>
    <w:p w14:paraId="37F64590">
      <w:pPr>
        <w:spacing w:line="360" w:lineRule="auto"/>
      </w:pPr>
      <w:r>
        <w:rPr>
          <w:rFonts w:hint="eastAsia" w:ascii="宋体" w:hAnsi="宋体"/>
          <w:sz w:val="24"/>
        </w:rPr>
        <w:t>签约地点：                            签约时间：</w:t>
      </w:r>
    </w:p>
    <w:p w14:paraId="23FD973F">
      <w:pPr>
        <w:snapToGrid w:val="0"/>
        <w:spacing w:before="156" w:beforeLines="50" w:after="156" w:afterLines="50"/>
        <w:jc w:val="center"/>
        <w:rPr>
          <w:rFonts w:hint="eastAsia" w:ascii="宋体" w:hAnsi="宋体"/>
          <w:b/>
          <w:sz w:val="24"/>
        </w:rPr>
      </w:pPr>
      <w:r>
        <w:rPr>
          <w:rFonts w:hint="eastAsia" w:ascii="宋体" w:hAnsi="宋体"/>
          <w:b/>
          <w:sz w:val="24"/>
        </w:rPr>
        <w:t>注：签订合同时，可以使用项目相关国家标准合同文本</w:t>
      </w:r>
    </w:p>
    <w:p w14:paraId="348DD1F9">
      <w:pPr>
        <w:pStyle w:val="3"/>
        <w:keepNext w:val="0"/>
        <w:pageBreakBefore/>
        <w:ind w:left="0" w:firstLine="0"/>
        <w:jc w:val="center"/>
        <w:rPr>
          <w:rFonts w:hint="eastAsia" w:ascii="黑体" w:eastAsia="黑体"/>
          <w:sz w:val="30"/>
          <w:szCs w:val="30"/>
        </w:rPr>
      </w:pPr>
      <w:bookmarkStart w:id="70" w:name="_Toc2723"/>
      <w:bookmarkStart w:id="71" w:name="_Toc28501"/>
      <w:r>
        <w:rPr>
          <w:rFonts w:hint="eastAsia" w:ascii="黑体" w:eastAsia="黑体"/>
          <w:sz w:val="30"/>
          <w:szCs w:val="30"/>
        </w:rPr>
        <w:t>第六章　投标文件组成内容及格式</w:t>
      </w:r>
      <w:bookmarkEnd w:id="70"/>
      <w:bookmarkEnd w:id="71"/>
    </w:p>
    <w:p w14:paraId="78B77B60">
      <w:pPr>
        <w:spacing w:before="120" w:after="120"/>
        <w:ind w:leftChars="-1" w:hanging="2"/>
        <w:jc w:val="center"/>
        <w:rPr>
          <w:rFonts w:hint="eastAsia" w:ascii="宋体" w:hAnsi="宋体"/>
          <w:sz w:val="24"/>
          <w:u w:val="single"/>
        </w:rPr>
      </w:pPr>
    </w:p>
    <w:p w14:paraId="3766C488">
      <w:pPr>
        <w:spacing w:before="120" w:after="120"/>
        <w:ind w:leftChars="-1" w:hanging="2"/>
        <w:jc w:val="center"/>
        <w:rPr>
          <w:rFonts w:hint="eastAsia" w:ascii="宋体" w:hAnsi="宋体"/>
          <w:sz w:val="24"/>
          <w:u w:val="single"/>
        </w:rPr>
      </w:pPr>
    </w:p>
    <w:p w14:paraId="121CBF3A">
      <w:pPr>
        <w:pStyle w:val="2"/>
        <w:keepNext w:val="0"/>
        <w:keepLines w:val="0"/>
        <w:spacing w:line="415" w:lineRule="auto"/>
        <w:rPr>
          <w:rFonts w:hint="eastAsia" w:ascii="宋体" w:hAnsi="宋体"/>
          <w:b w:val="0"/>
          <w:sz w:val="28"/>
          <w:szCs w:val="28"/>
        </w:rPr>
      </w:pPr>
      <w:bookmarkStart w:id="72" w:name="_Toc8004"/>
      <w:bookmarkStart w:id="73" w:name="_Toc11639"/>
      <w:r>
        <w:rPr>
          <w:rFonts w:hint="eastAsia" w:ascii="宋体" w:hAnsi="宋体"/>
          <w:b w:val="0"/>
          <w:sz w:val="28"/>
          <w:szCs w:val="28"/>
        </w:rPr>
        <w:t>一、投标文件封面格式</w:t>
      </w:r>
      <w:bookmarkEnd w:id="72"/>
      <w:bookmarkEnd w:id="73"/>
    </w:p>
    <w:p w14:paraId="367AF1EE">
      <w:pPr>
        <w:rPr>
          <w:rFonts w:hint="eastAsia" w:ascii="宋体" w:hAnsi="宋体"/>
          <w:b/>
          <w:sz w:val="28"/>
          <w:szCs w:val="28"/>
        </w:rPr>
      </w:pPr>
    </w:p>
    <w:p w14:paraId="2D7AE0C2">
      <w:pPr>
        <w:snapToGrid w:val="0"/>
        <w:spacing w:before="156" w:beforeLines="50" w:after="50"/>
        <w:rPr>
          <w:rFonts w:hint="eastAsia" w:ascii="宋体" w:hAnsi="宋体"/>
          <w:b/>
          <w:sz w:val="24"/>
          <w:szCs w:val="20"/>
        </w:rPr>
      </w:pPr>
      <w:r>
        <w:rPr>
          <w:rFonts w:hint="eastAsia" w:ascii="宋体" w:hAnsi="宋体"/>
          <w:b/>
          <w:sz w:val="24"/>
        </w:rPr>
        <w:t>1.所有投标文件的外包装封面格式：</w:t>
      </w:r>
    </w:p>
    <w:p w14:paraId="0F29FA00">
      <w:pPr>
        <w:snapToGrid w:val="0"/>
        <w:spacing w:before="156" w:beforeLines="50" w:after="50"/>
        <w:jc w:val="center"/>
        <w:rPr>
          <w:rFonts w:hint="eastAsia" w:ascii="宋体" w:hAnsi="宋体"/>
          <w:bCs/>
          <w:sz w:val="24"/>
          <w:szCs w:val="20"/>
        </w:rPr>
      </w:pPr>
    </w:p>
    <w:p w14:paraId="15D07F72">
      <w:pPr>
        <w:snapToGrid w:val="0"/>
        <w:spacing w:before="156" w:beforeLines="50" w:after="50"/>
        <w:rPr>
          <w:rFonts w:hint="eastAsia" w:ascii="宋体" w:hAnsi="宋体"/>
          <w:bCs/>
          <w:sz w:val="24"/>
          <w:szCs w:val="20"/>
        </w:rPr>
      </w:pPr>
    </w:p>
    <w:p w14:paraId="557B477F">
      <w:pPr>
        <w:snapToGrid w:val="0"/>
        <w:spacing w:before="156" w:beforeLines="50" w:after="50"/>
        <w:jc w:val="center"/>
        <w:rPr>
          <w:rFonts w:hint="eastAsia" w:ascii="宋体" w:hAnsi="宋体"/>
          <w:bCs/>
          <w:sz w:val="24"/>
          <w:szCs w:val="20"/>
        </w:rPr>
      </w:pPr>
      <w:r>
        <w:rPr>
          <w:rFonts w:hint="eastAsia" w:ascii="宋体" w:hAnsi="宋体"/>
          <w:bCs/>
          <w:sz w:val="24"/>
        </w:rPr>
        <w:t>投 标 文 件</w:t>
      </w:r>
    </w:p>
    <w:p w14:paraId="48C5EC6D">
      <w:pPr>
        <w:snapToGrid w:val="0"/>
        <w:spacing w:before="156" w:beforeLines="50" w:after="50"/>
        <w:rPr>
          <w:rFonts w:hint="eastAsia" w:ascii="宋体" w:hAnsi="宋体"/>
          <w:bCs/>
          <w:sz w:val="24"/>
          <w:szCs w:val="20"/>
        </w:rPr>
      </w:pPr>
    </w:p>
    <w:p w14:paraId="262F5A0D">
      <w:pPr>
        <w:snapToGrid w:val="0"/>
        <w:spacing w:before="156" w:beforeLines="50" w:after="50" w:line="360" w:lineRule="auto"/>
        <w:rPr>
          <w:rFonts w:hint="eastAsia" w:ascii="宋体" w:hAnsi="宋体"/>
          <w:bCs/>
          <w:sz w:val="24"/>
          <w:lang w:eastAsia="zh-CN"/>
        </w:rPr>
      </w:pPr>
      <w:r>
        <w:rPr>
          <w:rFonts w:hint="eastAsia" w:ascii="宋体" w:hAnsi="宋体"/>
          <w:bCs/>
          <w:sz w:val="24"/>
        </w:rPr>
        <w:t>项目名称：</w:t>
      </w:r>
      <w:r>
        <w:rPr>
          <w:rFonts w:hint="eastAsia" w:ascii="宋体" w:hAnsi="宋体"/>
          <w:bCs/>
          <w:sz w:val="24"/>
          <w:lang w:eastAsia="zh-CN"/>
        </w:rPr>
        <w:t>东阳市白云、南马应急救援中心项目厨房设备、电器设备、家具采购项目</w:t>
      </w:r>
    </w:p>
    <w:p w14:paraId="2CF501FE">
      <w:pPr>
        <w:snapToGrid w:val="0"/>
        <w:spacing w:before="156" w:beforeLines="50" w:after="50" w:line="360" w:lineRule="auto"/>
        <w:rPr>
          <w:rFonts w:hint="eastAsia" w:ascii="宋体" w:hAnsi="宋体"/>
          <w:bCs/>
          <w:sz w:val="24"/>
        </w:rPr>
      </w:pPr>
      <w:r>
        <w:rPr>
          <w:rFonts w:hint="eastAsia" w:ascii="宋体" w:hAnsi="宋体"/>
          <w:bCs/>
          <w:sz w:val="24"/>
        </w:rPr>
        <w:t>项目编号：</w:t>
      </w:r>
    </w:p>
    <w:p w14:paraId="4AF8952E">
      <w:pPr>
        <w:snapToGrid w:val="0"/>
        <w:spacing w:before="156" w:beforeLines="50" w:after="50" w:line="360" w:lineRule="auto"/>
        <w:rPr>
          <w:rFonts w:hint="eastAsia" w:ascii="宋体" w:hAnsi="宋体"/>
          <w:bCs/>
          <w:sz w:val="24"/>
        </w:rPr>
      </w:pPr>
      <w:r>
        <w:rPr>
          <w:rFonts w:hint="eastAsia" w:ascii="宋体" w:hAnsi="宋体"/>
          <w:bCs/>
          <w:sz w:val="24"/>
        </w:rPr>
        <w:t>标 项：</w:t>
      </w:r>
    </w:p>
    <w:p w14:paraId="7B4D95BA">
      <w:pPr>
        <w:spacing w:line="360" w:lineRule="auto"/>
        <w:rPr>
          <w:rFonts w:hint="eastAsia" w:ascii="宋体" w:hAnsi="宋体"/>
          <w:bCs/>
          <w:sz w:val="24"/>
        </w:rPr>
      </w:pPr>
      <w:r>
        <w:rPr>
          <w:rFonts w:hint="eastAsia" w:ascii="宋体" w:hAnsi="宋体"/>
          <w:bCs/>
          <w:sz w:val="24"/>
        </w:rPr>
        <w:t>投标文件名称：资格审查文件、技术文件、资信商务文件、报价文件</w:t>
      </w:r>
    </w:p>
    <w:p w14:paraId="030ABBE2">
      <w:pPr>
        <w:spacing w:line="360" w:lineRule="auto"/>
        <w:ind w:firstLine="1440" w:firstLineChars="600"/>
        <w:rPr>
          <w:rFonts w:hint="eastAsia" w:ascii="宋体" w:hAnsi="宋体"/>
          <w:bCs/>
          <w:sz w:val="24"/>
        </w:rPr>
      </w:pPr>
      <w:r>
        <w:rPr>
          <w:rFonts w:hint="eastAsia" w:ascii="宋体" w:hAnsi="宋体"/>
          <w:bCs/>
          <w:sz w:val="24"/>
        </w:rPr>
        <w:t>（相应选择一个投标文件封面外包装名称）</w:t>
      </w:r>
    </w:p>
    <w:p w14:paraId="63D722E2">
      <w:pPr>
        <w:snapToGrid w:val="0"/>
        <w:spacing w:before="156" w:beforeLines="50" w:after="50" w:line="360" w:lineRule="auto"/>
        <w:rPr>
          <w:rFonts w:hint="eastAsia" w:ascii="宋体" w:hAnsi="宋体"/>
          <w:bCs/>
          <w:sz w:val="24"/>
        </w:rPr>
      </w:pPr>
      <w:r>
        <w:rPr>
          <w:rFonts w:hint="eastAsia" w:ascii="宋体" w:hAnsi="宋体"/>
          <w:bCs/>
          <w:sz w:val="24"/>
        </w:rPr>
        <w:t>投标人名称：</w:t>
      </w:r>
    </w:p>
    <w:p w14:paraId="6F84C88F">
      <w:pPr>
        <w:snapToGrid w:val="0"/>
        <w:spacing w:before="156" w:beforeLines="50" w:after="50" w:line="360" w:lineRule="auto"/>
        <w:rPr>
          <w:rFonts w:hint="eastAsia" w:ascii="宋体" w:hAnsi="宋体"/>
          <w:bCs/>
          <w:sz w:val="24"/>
        </w:rPr>
      </w:pPr>
      <w:r>
        <w:rPr>
          <w:rFonts w:hint="eastAsia" w:ascii="宋体" w:hAnsi="宋体"/>
          <w:bCs/>
          <w:sz w:val="24"/>
        </w:rPr>
        <w:t>投标人地址：</w:t>
      </w:r>
    </w:p>
    <w:p w14:paraId="2D4F5661">
      <w:pPr>
        <w:snapToGrid w:val="0"/>
        <w:spacing w:before="156" w:beforeLines="50" w:after="50" w:line="360" w:lineRule="auto"/>
        <w:rPr>
          <w:rFonts w:hint="eastAsia" w:ascii="宋体" w:hAnsi="宋体"/>
          <w:bCs/>
          <w:sz w:val="24"/>
        </w:rPr>
      </w:pPr>
      <w:r>
        <w:rPr>
          <w:rFonts w:hint="eastAsia" w:ascii="宋体" w:hAnsi="宋体"/>
          <w:bCs/>
          <w:sz w:val="24"/>
        </w:rPr>
        <w:t>在</w:t>
      </w:r>
      <w:r>
        <w:rPr>
          <w:rFonts w:hint="eastAsia" w:ascii="宋体" w:hAnsi="宋体" w:cs="宋体"/>
          <w:sz w:val="24"/>
        </w:rPr>
        <w:t>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w:t>
      </w:r>
      <w:r>
        <w:rPr>
          <w:rFonts w:hint="eastAsia" w:ascii="宋体" w:hAnsi="宋体"/>
          <w:bCs/>
          <w:sz w:val="24"/>
        </w:rPr>
        <w:t>之前不得启封</w:t>
      </w:r>
    </w:p>
    <w:p w14:paraId="57EFDA16">
      <w:pPr>
        <w:snapToGrid w:val="0"/>
        <w:spacing w:before="156" w:beforeLines="50" w:after="50"/>
        <w:ind w:firstLine="4080" w:firstLineChars="1700"/>
        <w:rPr>
          <w:rFonts w:hint="eastAsia" w:ascii="宋体" w:hAnsi="宋体"/>
          <w:bCs/>
          <w:sz w:val="24"/>
          <w:szCs w:val="20"/>
        </w:rPr>
      </w:pPr>
    </w:p>
    <w:p w14:paraId="4FDCF4B7">
      <w:pPr>
        <w:snapToGrid w:val="0"/>
        <w:spacing w:before="156" w:beforeLines="50" w:after="50"/>
        <w:ind w:firstLine="4080" w:firstLineChars="1700"/>
        <w:rPr>
          <w:rFonts w:hint="eastAsia" w:ascii="宋体" w:hAnsi="宋体"/>
          <w:bCs/>
          <w:sz w:val="24"/>
          <w:szCs w:val="20"/>
        </w:rPr>
      </w:pPr>
    </w:p>
    <w:p w14:paraId="712EFD44">
      <w:pPr>
        <w:snapToGrid w:val="0"/>
        <w:spacing w:before="156" w:beforeLines="50" w:after="50"/>
        <w:ind w:firstLine="4080" w:firstLineChars="1700"/>
        <w:rPr>
          <w:rFonts w:hint="eastAsia" w:ascii="宋体" w:hAnsi="宋体"/>
          <w:bCs/>
          <w:sz w:val="24"/>
          <w:szCs w:val="20"/>
        </w:rPr>
      </w:pPr>
    </w:p>
    <w:p w14:paraId="7C6B2E0D">
      <w:pPr>
        <w:snapToGrid w:val="0"/>
        <w:spacing w:before="156" w:beforeLines="50" w:after="50"/>
        <w:ind w:firstLine="645"/>
        <w:jc w:val="center"/>
        <w:rPr>
          <w:rFonts w:hint="eastAsia" w:ascii="宋体" w:hAnsi="宋体"/>
          <w:bCs/>
          <w:sz w:val="24"/>
          <w:szCs w:val="20"/>
        </w:rPr>
      </w:pPr>
      <w:r>
        <w:rPr>
          <w:rFonts w:hint="eastAsia" w:ascii="宋体" w:hAnsi="宋体"/>
          <w:bCs/>
          <w:sz w:val="24"/>
        </w:rPr>
        <w:t xml:space="preserve">                        年  月  日</w:t>
      </w:r>
    </w:p>
    <w:p w14:paraId="5F095DE2">
      <w:pPr>
        <w:snapToGrid w:val="0"/>
        <w:spacing w:before="156" w:beforeLines="50" w:after="50"/>
        <w:rPr>
          <w:rFonts w:hint="eastAsia" w:ascii="宋体" w:hAnsi="宋体"/>
          <w:b/>
          <w:sz w:val="24"/>
        </w:rPr>
      </w:pPr>
    </w:p>
    <w:p w14:paraId="4A454D2D">
      <w:pPr>
        <w:pageBreakBefore/>
        <w:snapToGrid w:val="0"/>
        <w:spacing w:before="156" w:beforeLines="50" w:after="50"/>
        <w:rPr>
          <w:rFonts w:hint="eastAsia" w:ascii="宋体" w:hAnsi="宋体"/>
          <w:b/>
          <w:sz w:val="24"/>
          <w:szCs w:val="20"/>
        </w:rPr>
      </w:pPr>
      <w:r>
        <w:rPr>
          <w:rFonts w:hint="eastAsia" w:ascii="宋体" w:hAnsi="宋体"/>
          <w:b/>
          <w:sz w:val="24"/>
        </w:rPr>
        <w:t xml:space="preserve">2.所有投标文件封面格式： </w:t>
      </w:r>
    </w:p>
    <w:p w14:paraId="2A0A3C93">
      <w:pPr>
        <w:snapToGrid w:val="0"/>
        <w:spacing w:before="156" w:beforeLines="50" w:after="50"/>
        <w:rPr>
          <w:rFonts w:hint="eastAsia" w:ascii="宋体" w:hAnsi="宋体"/>
          <w:b/>
          <w:bCs/>
          <w:sz w:val="32"/>
          <w:szCs w:val="20"/>
        </w:rPr>
      </w:pPr>
      <w:r>
        <w:rPr>
          <w:rFonts w:hint="eastAsia" w:ascii="宋体" w:hAnsi="宋体"/>
          <w:sz w:val="24"/>
        </w:rPr>
        <w:t xml:space="preserve">                                                    </w:t>
      </w:r>
      <w:r>
        <w:rPr>
          <w:rFonts w:hint="eastAsia" w:ascii="宋体" w:hAnsi="宋体"/>
          <w:b/>
          <w:bCs/>
        </w:rPr>
        <w:t>正本/或副本</w:t>
      </w:r>
    </w:p>
    <w:p w14:paraId="08ADEDF0">
      <w:pPr>
        <w:snapToGrid w:val="0"/>
        <w:spacing w:before="156" w:beforeLines="50" w:after="50"/>
        <w:rPr>
          <w:rFonts w:ascii="宋体" w:hAnsi="宋体"/>
          <w:bCs/>
          <w:sz w:val="24"/>
          <w:szCs w:val="20"/>
        </w:rPr>
      </w:pPr>
    </w:p>
    <w:p w14:paraId="4FC0E65D">
      <w:pPr>
        <w:snapToGrid w:val="0"/>
        <w:spacing w:before="156" w:beforeLines="50" w:after="50"/>
        <w:rPr>
          <w:rFonts w:hint="eastAsia" w:ascii="宋体" w:hAnsi="宋体"/>
          <w:bCs/>
          <w:sz w:val="24"/>
          <w:szCs w:val="20"/>
        </w:rPr>
      </w:pPr>
    </w:p>
    <w:p w14:paraId="0D1B706C">
      <w:pPr>
        <w:spacing w:line="360" w:lineRule="auto"/>
        <w:rPr>
          <w:rFonts w:hint="eastAsia" w:ascii="宋体" w:hAnsi="宋体"/>
          <w:bCs/>
          <w:sz w:val="24"/>
        </w:rPr>
      </w:pPr>
      <w:r>
        <w:rPr>
          <w:rFonts w:hint="eastAsia" w:ascii="宋体" w:hAnsi="宋体"/>
          <w:bCs/>
          <w:sz w:val="24"/>
        </w:rPr>
        <w:t>资格审查文件、技术文件、资信商务文件、报价文件</w:t>
      </w:r>
    </w:p>
    <w:p w14:paraId="07E0E364">
      <w:pPr>
        <w:spacing w:line="360" w:lineRule="auto"/>
        <w:rPr>
          <w:rFonts w:hint="eastAsia" w:ascii="宋体" w:hAnsi="宋体"/>
          <w:bCs/>
          <w:sz w:val="24"/>
        </w:rPr>
      </w:pPr>
      <w:r>
        <w:rPr>
          <w:rFonts w:hint="eastAsia" w:ascii="宋体" w:hAnsi="宋体"/>
          <w:bCs/>
          <w:sz w:val="24"/>
        </w:rPr>
        <w:t>（相应选择一个投标文件封面外包装名称）</w:t>
      </w:r>
    </w:p>
    <w:p w14:paraId="1C5C35FA">
      <w:pPr>
        <w:snapToGrid w:val="0"/>
        <w:spacing w:before="156" w:beforeLines="50" w:after="50" w:line="360" w:lineRule="auto"/>
        <w:rPr>
          <w:rFonts w:hint="eastAsia" w:ascii="宋体" w:hAnsi="宋体"/>
          <w:bCs/>
          <w:sz w:val="24"/>
          <w:szCs w:val="20"/>
        </w:rPr>
      </w:pPr>
    </w:p>
    <w:p w14:paraId="5598D30C">
      <w:pPr>
        <w:snapToGrid w:val="0"/>
        <w:spacing w:before="156" w:beforeLines="50" w:after="50" w:line="360" w:lineRule="auto"/>
        <w:rPr>
          <w:rFonts w:hint="eastAsia" w:ascii="宋体" w:hAnsi="宋体"/>
          <w:bCs/>
          <w:sz w:val="24"/>
          <w:lang w:eastAsia="zh-CN"/>
        </w:rPr>
      </w:pPr>
      <w:r>
        <w:rPr>
          <w:rFonts w:hint="eastAsia" w:ascii="宋体" w:hAnsi="宋体"/>
          <w:bCs/>
          <w:sz w:val="24"/>
        </w:rPr>
        <w:t>项目名称：</w:t>
      </w:r>
      <w:r>
        <w:rPr>
          <w:rFonts w:hint="eastAsia" w:ascii="宋体" w:hAnsi="宋体"/>
          <w:bCs/>
          <w:sz w:val="24"/>
          <w:lang w:eastAsia="zh-CN"/>
        </w:rPr>
        <w:t>东阳市白云、南马应急救援中心项目厨房设备、电器设备、家具采购项目</w:t>
      </w:r>
    </w:p>
    <w:p w14:paraId="3635D85E">
      <w:pPr>
        <w:snapToGrid w:val="0"/>
        <w:spacing w:before="156" w:beforeLines="50" w:after="50" w:line="360" w:lineRule="auto"/>
        <w:rPr>
          <w:rFonts w:hint="eastAsia" w:ascii="宋体" w:hAnsi="宋体"/>
          <w:bCs/>
          <w:sz w:val="24"/>
        </w:rPr>
      </w:pPr>
      <w:r>
        <w:rPr>
          <w:rFonts w:hint="eastAsia" w:ascii="宋体" w:hAnsi="宋体"/>
          <w:bCs/>
          <w:sz w:val="24"/>
        </w:rPr>
        <w:t xml:space="preserve">项目编号： </w:t>
      </w:r>
    </w:p>
    <w:p w14:paraId="504D91CB">
      <w:pPr>
        <w:snapToGrid w:val="0"/>
        <w:spacing w:before="156" w:beforeLines="50" w:after="50" w:line="360" w:lineRule="auto"/>
        <w:rPr>
          <w:rFonts w:hint="eastAsia" w:ascii="宋体" w:hAnsi="宋体"/>
          <w:bCs/>
          <w:sz w:val="24"/>
        </w:rPr>
      </w:pPr>
      <w:r>
        <w:rPr>
          <w:rFonts w:hint="eastAsia" w:ascii="宋体" w:hAnsi="宋体"/>
          <w:bCs/>
          <w:sz w:val="24"/>
        </w:rPr>
        <w:t>标 项：</w:t>
      </w:r>
    </w:p>
    <w:p w14:paraId="6FE9A8B8">
      <w:pPr>
        <w:snapToGrid w:val="0"/>
        <w:spacing w:before="156" w:beforeLines="50" w:after="50" w:line="360" w:lineRule="auto"/>
        <w:rPr>
          <w:rFonts w:hint="eastAsia" w:ascii="宋体" w:hAnsi="宋体"/>
          <w:bCs/>
          <w:sz w:val="24"/>
        </w:rPr>
      </w:pPr>
      <w:r>
        <w:rPr>
          <w:rFonts w:hint="eastAsia" w:ascii="宋体" w:hAnsi="宋体"/>
          <w:bCs/>
          <w:sz w:val="24"/>
        </w:rPr>
        <w:t>投标人名称：</w:t>
      </w:r>
    </w:p>
    <w:p w14:paraId="5A74419B">
      <w:pPr>
        <w:snapToGrid w:val="0"/>
        <w:spacing w:before="156" w:beforeLines="50" w:after="50" w:line="360" w:lineRule="auto"/>
        <w:rPr>
          <w:rFonts w:ascii="宋体" w:hAnsi="宋体"/>
          <w:bCs/>
          <w:sz w:val="24"/>
        </w:rPr>
      </w:pPr>
      <w:r>
        <w:rPr>
          <w:rFonts w:hint="eastAsia" w:ascii="宋体" w:hAnsi="宋体"/>
          <w:bCs/>
          <w:sz w:val="24"/>
        </w:rPr>
        <w:t>投标人地址：</w:t>
      </w:r>
    </w:p>
    <w:p w14:paraId="025C73E5">
      <w:pPr>
        <w:snapToGrid w:val="0"/>
        <w:spacing w:before="156" w:beforeLines="50" w:after="50"/>
        <w:ind w:firstLine="4080" w:firstLineChars="1700"/>
        <w:rPr>
          <w:rFonts w:hint="eastAsia" w:ascii="宋体" w:hAnsi="宋体"/>
          <w:sz w:val="24"/>
          <w:szCs w:val="20"/>
        </w:rPr>
      </w:pPr>
    </w:p>
    <w:p w14:paraId="40FE54C3">
      <w:pPr>
        <w:snapToGrid w:val="0"/>
        <w:spacing w:before="156" w:beforeLines="50" w:after="50"/>
        <w:ind w:firstLine="4080" w:firstLineChars="1700"/>
        <w:rPr>
          <w:rFonts w:hint="eastAsia" w:ascii="宋体" w:hAnsi="宋体"/>
          <w:sz w:val="24"/>
          <w:szCs w:val="20"/>
        </w:rPr>
      </w:pPr>
    </w:p>
    <w:p w14:paraId="553D0402">
      <w:pPr>
        <w:snapToGrid w:val="0"/>
        <w:spacing w:before="156" w:beforeLines="50" w:after="50"/>
        <w:ind w:firstLine="645"/>
        <w:jc w:val="center"/>
        <w:rPr>
          <w:rFonts w:hint="eastAsia" w:ascii="宋体" w:hAnsi="宋体"/>
          <w:sz w:val="24"/>
          <w:szCs w:val="20"/>
        </w:rPr>
      </w:pPr>
      <w:r>
        <w:rPr>
          <w:rFonts w:hint="eastAsia" w:ascii="宋体" w:hAnsi="宋体"/>
          <w:sz w:val="24"/>
        </w:rPr>
        <w:t xml:space="preserve">                        年    月   日</w:t>
      </w:r>
    </w:p>
    <w:p w14:paraId="7EC58742">
      <w:pPr>
        <w:snapToGrid w:val="0"/>
        <w:spacing w:line="360" w:lineRule="auto"/>
        <w:jc w:val="left"/>
        <w:rPr>
          <w:rFonts w:hint="eastAsia" w:ascii="宋体" w:hAnsi="宋体"/>
        </w:rPr>
      </w:pPr>
    </w:p>
    <w:p w14:paraId="7856618C">
      <w:pPr>
        <w:pStyle w:val="26"/>
        <w:rPr>
          <w:rFonts w:hint="eastAsia" w:ascii="宋体" w:hAnsi="宋体"/>
        </w:rPr>
      </w:pPr>
    </w:p>
    <w:p w14:paraId="2745086F">
      <w:pPr>
        <w:pStyle w:val="26"/>
        <w:rPr>
          <w:rFonts w:hint="eastAsia"/>
        </w:rPr>
      </w:pPr>
    </w:p>
    <w:p w14:paraId="0DA762C4">
      <w:pPr>
        <w:rPr>
          <w:rFonts w:hint="eastAsia"/>
        </w:rPr>
      </w:pPr>
    </w:p>
    <w:p w14:paraId="6A2875D3">
      <w:pPr>
        <w:pStyle w:val="27"/>
        <w:ind w:firstLine="480"/>
        <w:rPr>
          <w:rFonts w:hint="eastAsia"/>
        </w:rPr>
      </w:pPr>
    </w:p>
    <w:p w14:paraId="0279BB4C">
      <w:pPr>
        <w:pStyle w:val="27"/>
        <w:ind w:firstLine="480"/>
        <w:rPr>
          <w:rFonts w:hint="eastAsia"/>
        </w:rPr>
      </w:pPr>
    </w:p>
    <w:p w14:paraId="58E2818C">
      <w:pPr>
        <w:pStyle w:val="27"/>
        <w:ind w:firstLine="480"/>
        <w:rPr>
          <w:rFonts w:hint="eastAsia"/>
        </w:rPr>
      </w:pPr>
    </w:p>
    <w:p w14:paraId="1D27F9F8">
      <w:pPr>
        <w:pStyle w:val="27"/>
        <w:ind w:firstLine="480"/>
        <w:rPr>
          <w:rFonts w:hint="eastAsia"/>
        </w:rPr>
      </w:pPr>
    </w:p>
    <w:p w14:paraId="2B9B7D48">
      <w:pPr>
        <w:pStyle w:val="27"/>
        <w:ind w:firstLine="480"/>
        <w:rPr>
          <w:rFonts w:hint="eastAsia"/>
        </w:rPr>
      </w:pPr>
    </w:p>
    <w:p w14:paraId="1EAB413F">
      <w:pPr>
        <w:pStyle w:val="27"/>
        <w:ind w:firstLine="480"/>
        <w:rPr>
          <w:rFonts w:hint="eastAsia"/>
        </w:rPr>
      </w:pPr>
    </w:p>
    <w:p w14:paraId="7B9CF6FB">
      <w:pPr>
        <w:spacing w:line="360" w:lineRule="auto"/>
        <w:rPr>
          <w:rFonts w:hint="eastAsia" w:ascii="宋体" w:hAnsi="宋体"/>
          <w:b/>
          <w:sz w:val="24"/>
        </w:rPr>
      </w:pPr>
      <w:bookmarkStart w:id="74" w:name="_Toc504549895"/>
      <w:bookmarkStart w:id="75" w:name="_Toc491242404"/>
      <w:bookmarkStart w:id="76" w:name="_Toc29833"/>
      <w:r>
        <w:rPr>
          <w:rFonts w:hint="eastAsia" w:ascii="宋体" w:hAnsi="宋体"/>
          <w:b/>
          <w:sz w:val="24"/>
        </w:rPr>
        <w:t>3.资格审查文件：</w:t>
      </w:r>
    </w:p>
    <w:p w14:paraId="78728880">
      <w:pPr>
        <w:spacing w:line="450" w:lineRule="exact"/>
        <w:rPr>
          <w:rFonts w:hint="eastAsia" w:ascii="宋体" w:hAnsi="宋体" w:cs="宋体"/>
          <w:sz w:val="24"/>
        </w:rPr>
      </w:pPr>
      <w:r>
        <w:rPr>
          <w:rFonts w:hint="eastAsia" w:ascii="宋体" w:hAnsi="宋体" w:cs="宋体"/>
          <w:sz w:val="24"/>
        </w:rPr>
        <w:t>（1）具有独立承担民事责任的能力：投标人须在</w:t>
      </w:r>
      <w:r>
        <w:rPr>
          <w:rFonts w:ascii="宋体" w:hAnsi="宋体" w:cs="宋体"/>
          <w:sz w:val="24"/>
        </w:rPr>
        <w:t>投标</w:t>
      </w:r>
      <w:r>
        <w:rPr>
          <w:rFonts w:hint="eastAsia" w:ascii="宋体" w:hAnsi="宋体" w:cs="宋体"/>
          <w:sz w:val="24"/>
        </w:rPr>
        <w:t>文件中出具符合以下情况的证明材料复印件（五选一）：</w:t>
      </w:r>
    </w:p>
    <w:p w14:paraId="344AB0A5">
      <w:pPr>
        <w:spacing w:line="450" w:lineRule="exact"/>
        <w:ind w:firstLine="360" w:firstLineChars="150"/>
        <w:rPr>
          <w:rFonts w:hint="eastAsia" w:ascii="宋体" w:hAnsi="宋体" w:cs="宋体"/>
          <w:sz w:val="24"/>
        </w:rPr>
      </w:pPr>
      <w:r>
        <w:rPr>
          <w:rFonts w:hint="eastAsia" w:ascii="宋体" w:hAnsi="宋体" w:cs="宋体"/>
          <w:sz w:val="24"/>
        </w:rPr>
        <w:t>①如投标人是企业（包括合伙企业），提供在工商部门注册的有效“企业法人营业执照”或“营业执照”；</w:t>
      </w:r>
    </w:p>
    <w:p w14:paraId="56C0E376">
      <w:pPr>
        <w:spacing w:line="450" w:lineRule="exact"/>
        <w:ind w:firstLine="360" w:firstLineChars="150"/>
        <w:rPr>
          <w:rFonts w:hint="eastAsia" w:ascii="宋体" w:hAnsi="宋体" w:cs="宋体"/>
          <w:sz w:val="24"/>
        </w:rPr>
      </w:pPr>
      <w:r>
        <w:rPr>
          <w:rFonts w:hint="eastAsia" w:ascii="宋体" w:hAnsi="宋体" w:cs="宋体"/>
          <w:sz w:val="24"/>
        </w:rPr>
        <w:t>②如投标人是事业单位，提供有效的“事业单位法人证书”；</w:t>
      </w:r>
    </w:p>
    <w:p w14:paraId="5AC52CD6">
      <w:pPr>
        <w:spacing w:line="450" w:lineRule="exact"/>
        <w:ind w:firstLine="360" w:firstLineChars="150"/>
        <w:rPr>
          <w:rFonts w:hint="eastAsia" w:ascii="宋体" w:hAnsi="宋体" w:cs="宋体"/>
          <w:sz w:val="24"/>
        </w:rPr>
      </w:pPr>
      <w:r>
        <w:rPr>
          <w:rFonts w:hint="eastAsia" w:ascii="宋体" w:hAnsi="宋体" w:cs="宋体"/>
          <w:sz w:val="24"/>
        </w:rPr>
        <w:t>③如投标人是非企业专业服务机构的，提供执业许可证等证明文件；</w:t>
      </w:r>
    </w:p>
    <w:p w14:paraId="199E39F9">
      <w:pPr>
        <w:spacing w:line="450" w:lineRule="exact"/>
        <w:ind w:firstLine="360" w:firstLineChars="150"/>
        <w:rPr>
          <w:rFonts w:hint="eastAsia" w:ascii="宋体" w:hAnsi="宋体" w:cs="宋体"/>
          <w:sz w:val="24"/>
        </w:rPr>
      </w:pPr>
      <w:r>
        <w:rPr>
          <w:rFonts w:hint="eastAsia" w:ascii="宋体" w:hAnsi="宋体" w:cs="宋体"/>
          <w:sz w:val="24"/>
        </w:rPr>
        <w:t>④如投标人是个体工商户，提供有效的“个体工商户营业执照”；</w:t>
      </w:r>
    </w:p>
    <w:p w14:paraId="3BE8B04A">
      <w:pPr>
        <w:spacing w:line="450" w:lineRule="exact"/>
        <w:ind w:firstLine="360" w:firstLineChars="150"/>
        <w:rPr>
          <w:rFonts w:hint="eastAsia" w:ascii="宋体" w:hAnsi="宋体" w:cs="宋体"/>
          <w:sz w:val="24"/>
        </w:rPr>
      </w:pPr>
      <w:r>
        <w:rPr>
          <w:rFonts w:hint="eastAsia" w:ascii="宋体" w:hAnsi="宋体" w:cs="宋体"/>
          <w:sz w:val="24"/>
        </w:rPr>
        <w:t>⑤如投标人是自然人，提供有效的自然人身份证明（居民身份证正反面或公安机关出具的临时居民身份证正反面或港澳台胞证或护照）。</w:t>
      </w:r>
    </w:p>
    <w:p w14:paraId="22F9EC33">
      <w:pPr>
        <w:spacing w:line="450" w:lineRule="exact"/>
        <w:rPr>
          <w:rFonts w:hint="eastAsia" w:ascii="宋体" w:hAnsi="宋体" w:eastAsia="宋体" w:cs="宋体"/>
          <w:sz w:val="24"/>
        </w:rPr>
      </w:pPr>
      <w:r>
        <w:rPr>
          <w:rFonts w:hint="eastAsia" w:ascii="宋体" w:hAnsi="宋体" w:eastAsia="宋体" w:cs="宋体"/>
          <w:sz w:val="24"/>
        </w:rPr>
        <w:t xml:space="preserve">（2）法定代表人身份证复印件或法定代表人授权委托书(格式见附件)； </w:t>
      </w:r>
    </w:p>
    <w:p w14:paraId="51339187">
      <w:pPr>
        <w:spacing w:line="450" w:lineRule="exac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）信用记录网络查询页面截图（信用中国与中国政府采购网）；</w:t>
      </w:r>
    </w:p>
    <w:p w14:paraId="2A303B2A">
      <w:pPr>
        <w:spacing w:line="450" w:lineRule="exac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）符合参加采购活动应当具备的一般条件的承诺函(格式见附件)；</w:t>
      </w:r>
    </w:p>
    <w:p w14:paraId="1B22C91F">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5</w:t>
      </w:r>
      <w:r>
        <w:rPr>
          <w:rFonts w:hint="eastAsia" w:ascii="宋体" w:hAnsi="宋体"/>
          <w:spacing w:val="-6"/>
          <w:sz w:val="24"/>
          <w:highlight w:val="none"/>
        </w:rPr>
        <w:t>）代理机构社会评价表；（加盖投标单位公章的原件装订在正本）</w:t>
      </w:r>
    </w:p>
    <w:p w14:paraId="01D97240">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6</w:t>
      </w:r>
      <w:r>
        <w:rPr>
          <w:rFonts w:hint="eastAsia" w:ascii="宋体" w:hAnsi="宋体"/>
          <w:spacing w:val="-6"/>
          <w:sz w:val="24"/>
          <w:highlight w:val="none"/>
        </w:rPr>
        <w:t>）投标声明书 (格式见附件) ；</w:t>
      </w:r>
    </w:p>
    <w:p w14:paraId="6AAE9383">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7</w:t>
      </w:r>
      <w:r>
        <w:rPr>
          <w:rFonts w:hint="eastAsia" w:ascii="宋体" w:hAnsi="宋体"/>
          <w:spacing w:val="-6"/>
          <w:sz w:val="24"/>
          <w:highlight w:val="none"/>
        </w:rPr>
        <w:t>）投标人企业情况介绍；</w:t>
      </w:r>
    </w:p>
    <w:p w14:paraId="0058BC29">
      <w:pPr>
        <w:spacing w:line="460" w:lineRule="exact"/>
        <w:rPr>
          <w:rFonts w:hint="eastAsia" w:ascii="宋体" w:hAnsi="宋体"/>
          <w:spacing w:val="-6"/>
          <w:sz w:val="24"/>
          <w:highlight w:val="none"/>
        </w:rPr>
      </w:pPr>
      <w:r>
        <w:rPr>
          <w:rFonts w:hint="eastAsia" w:ascii="宋体" w:hAnsi="宋体"/>
          <w:spacing w:val="-6"/>
          <w:sz w:val="24"/>
          <w:highlight w:val="none"/>
        </w:rPr>
        <w:t>（</w:t>
      </w:r>
      <w:r>
        <w:rPr>
          <w:rFonts w:hint="eastAsia" w:ascii="宋体" w:hAnsi="宋体"/>
          <w:spacing w:val="-6"/>
          <w:sz w:val="24"/>
          <w:highlight w:val="none"/>
          <w:lang w:val="en-US" w:eastAsia="zh-CN"/>
        </w:rPr>
        <w:t>8</w:t>
      </w:r>
      <w:r>
        <w:rPr>
          <w:rFonts w:hint="eastAsia" w:ascii="宋体" w:hAnsi="宋体"/>
          <w:spacing w:val="-6"/>
          <w:sz w:val="24"/>
          <w:highlight w:val="none"/>
        </w:rPr>
        <w:t>）投标人认为有必要提供的其它文件。</w:t>
      </w:r>
    </w:p>
    <w:p w14:paraId="089F344E">
      <w:pPr>
        <w:spacing w:line="360" w:lineRule="auto"/>
        <w:rPr>
          <w:rFonts w:hint="eastAsia" w:ascii="宋体" w:hAnsi="宋体"/>
          <w:b/>
          <w:bCs/>
          <w:spacing w:val="-6"/>
          <w:sz w:val="24"/>
        </w:rPr>
      </w:pPr>
      <w:r>
        <w:rPr>
          <w:rFonts w:hint="eastAsia" w:ascii="宋体" w:hAnsi="宋体"/>
          <w:b/>
          <w:bCs/>
          <w:spacing w:val="-6"/>
          <w:sz w:val="24"/>
          <w:lang w:val="en-US" w:eastAsia="zh-CN"/>
        </w:rPr>
        <w:t>4</w:t>
      </w:r>
      <w:r>
        <w:rPr>
          <w:rFonts w:hint="eastAsia" w:ascii="宋体" w:hAnsi="宋体"/>
          <w:b/>
          <w:bCs/>
          <w:spacing w:val="-6"/>
          <w:sz w:val="24"/>
        </w:rPr>
        <w:t>.技术文件</w:t>
      </w:r>
    </w:p>
    <w:p w14:paraId="4CE7BBD4">
      <w:pPr>
        <w:spacing w:line="450" w:lineRule="exact"/>
        <w:rPr>
          <w:rFonts w:hint="eastAsia" w:ascii="宋体" w:hAnsi="宋体" w:eastAsia="宋体" w:cs="宋体"/>
          <w:sz w:val="24"/>
          <w:highlight w:val="none"/>
        </w:rPr>
      </w:pPr>
      <w:r>
        <w:rPr>
          <w:rFonts w:hint="eastAsia" w:ascii="宋体" w:hAnsi="宋体" w:cs="宋体"/>
          <w:sz w:val="24"/>
          <w:highlight w:val="none"/>
        </w:rPr>
        <w:t>（</w:t>
      </w:r>
      <w:r>
        <w:rPr>
          <w:rFonts w:hint="eastAsia" w:ascii="宋体" w:hAnsi="宋体" w:eastAsia="宋体" w:cs="宋体"/>
          <w:sz w:val="24"/>
          <w:highlight w:val="none"/>
        </w:rPr>
        <w:t>1）技术响应表（格式见附件）；</w:t>
      </w:r>
    </w:p>
    <w:p w14:paraId="4D966FF4">
      <w:pPr>
        <w:spacing w:line="450" w:lineRule="exact"/>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（2）产品配置清单（格式见附件）；</w:t>
      </w:r>
    </w:p>
    <w:p w14:paraId="1CF05429">
      <w:pPr>
        <w:spacing w:line="450" w:lineRule="exact"/>
        <w:rPr>
          <w:rFonts w:hint="default"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3</w:t>
      </w:r>
      <w:r>
        <w:rPr>
          <w:rFonts w:hint="eastAsia" w:ascii="宋体" w:hAnsi="宋体" w:cs="宋体"/>
          <w:sz w:val="24"/>
          <w:highlight w:val="none"/>
          <w:lang w:val="en-US" w:eastAsia="zh-CN"/>
        </w:rPr>
        <w:t>）</w:t>
      </w:r>
      <w:r>
        <w:rPr>
          <w:rFonts w:hint="eastAsia" w:ascii="宋体" w:hAnsi="宋体" w:cs="宋体"/>
          <w:color w:val="auto"/>
          <w:sz w:val="24"/>
          <w:highlight w:val="none"/>
          <w:lang w:val="en-US" w:eastAsia="zh-CN"/>
        </w:rPr>
        <w:t>技术响应情况</w:t>
      </w:r>
      <w:r>
        <w:rPr>
          <w:rFonts w:hint="eastAsia" w:ascii="宋体" w:hAnsi="宋体" w:eastAsia="宋体" w:cs="宋体"/>
          <w:sz w:val="24"/>
          <w:highlight w:val="none"/>
          <w:lang w:val="en-US" w:eastAsia="zh-CN"/>
        </w:rPr>
        <w:t>；</w:t>
      </w:r>
    </w:p>
    <w:p w14:paraId="616C2DF9">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w:t>
      </w:r>
      <w:r>
        <w:rPr>
          <w:rFonts w:hint="eastAsia" w:ascii="宋体" w:hAnsi="宋体" w:cs="宋体"/>
          <w:sz w:val="24"/>
          <w:highlight w:val="none"/>
          <w:lang w:val="en-US" w:eastAsia="zh-CN"/>
        </w:rPr>
        <w:t>生产能力</w:t>
      </w:r>
      <w:r>
        <w:rPr>
          <w:rFonts w:hint="eastAsia" w:ascii="宋体" w:hAnsi="宋体" w:eastAsia="宋体" w:cs="宋体"/>
          <w:sz w:val="24"/>
          <w:highlight w:val="none"/>
        </w:rPr>
        <w:t>；</w:t>
      </w:r>
    </w:p>
    <w:p w14:paraId="4CE76A7C">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供货计划及运输方案</w:t>
      </w:r>
      <w:r>
        <w:rPr>
          <w:rFonts w:hint="eastAsia" w:ascii="宋体" w:hAnsi="宋体" w:eastAsia="宋体" w:cs="宋体"/>
          <w:sz w:val="24"/>
          <w:highlight w:val="none"/>
        </w:rPr>
        <w:t>；</w:t>
      </w:r>
    </w:p>
    <w:p w14:paraId="2A918730">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w:t>
      </w:r>
      <w:r>
        <w:rPr>
          <w:rFonts w:hint="eastAsia" w:ascii="Times New Roman" w:hAnsi="宋体" w:eastAsia="宋体" w:cs="宋体"/>
          <w:color w:val="auto"/>
          <w:sz w:val="24"/>
          <w:highlight w:val="none"/>
        </w:rPr>
        <w:t>实施团队</w:t>
      </w:r>
      <w:r>
        <w:rPr>
          <w:rFonts w:hint="eastAsia" w:ascii="宋体" w:hAnsi="宋体" w:eastAsia="宋体" w:cs="宋体"/>
          <w:sz w:val="24"/>
          <w:highlight w:val="none"/>
        </w:rPr>
        <w:t>；</w:t>
      </w:r>
    </w:p>
    <w:p w14:paraId="7A86F53A">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7）应急方案</w:t>
      </w:r>
      <w:r>
        <w:rPr>
          <w:rFonts w:hint="eastAsia" w:ascii="宋体" w:hAnsi="宋体" w:eastAsia="宋体" w:cs="宋体"/>
          <w:sz w:val="24"/>
          <w:highlight w:val="none"/>
        </w:rPr>
        <w:t>；</w:t>
      </w:r>
    </w:p>
    <w:p w14:paraId="7D845E15">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（8）质量保证措施；</w:t>
      </w:r>
    </w:p>
    <w:p w14:paraId="25B6F8F5">
      <w:pPr>
        <w:spacing w:line="450" w:lineRule="exact"/>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（9）合理化建议；</w:t>
      </w:r>
    </w:p>
    <w:p w14:paraId="773D3E9F">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（10）</w:t>
      </w:r>
      <w:r>
        <w:rPr>
          <w:rFonts w:hint="eastAsia" w:ascii="宋体" w:hAnsi="宋体" w:eastAsia="宋体" w:cs="宋体"/>
          <w:sz w:val="24"/>
          <w:highlight w:val="none"/>
        </w:rPr>
        <w:t>安全生产承诺函（格式</w:t>
      </w:r>
      <w:r>
        <w:rPr>
          <w:rFonts w:hint="eastAsia" w:ascii="宋体" w:hAnsi="宋体"/>
          <w:color w:val="auto"/>
          <w:sz w:val="24"/>
          <w:highlight w:val="none"/>
        </w:rPr>
        <w:t xml:space="preserve">见附件）； </w:t>
      </w:r>
    </w:p>
    <w:p w14:paraId="7AB80F66">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（11）投标人认为有必要提供的其它文件。</w:t>
      </w:r>
    </w:p>
    <w:p w14:paraId="1B5FB45F">
      <w:pPr>
        <w:spacing w:line="360" w:lineRule="auto"/>
        <w:rPr>
          <w:rFonts w:hint="eastAsia" w:ascii="宋体" w:hAnsi="宋体"/>
          <w:b/>
          <w:sz w:val="24"/>
          <w:highlight w:val="none"/>
        </w:rPr>
      </w:pPr>
      <w:r>
        <w:rPr>
          <w:rFonts w:hint="eastAsia" w:ascii="宋体" w:hAnsi="宋体"/>
          <w:b/>
          <w:sz w:val="24"/>
          <w:highlight w:val="none"/>
          <w:lang w:val="en-US" w:eastAsia="zh-CN"/>
        </w:rPr>
        <w:t>5</w:t>
      </w:r>
      <w:r>
        <w:rPr>
          <w:rFonts w:hint="eastAsia" w:ascii="宋体" w:hAnsi="宋体"/>
          <w:b/>
          <w:sz w:val="24"/>
          <w:highlight w:val="none"/>
        </w:rPr>
        <w:t>.资信及商务文件</w:t>
      </w:r>
    </w:p>
    <w:p w14:paraId="64FB66BC">
      <w:pPr>
        <w:spacing w:line="450" w:lineRule="exact"/>
        <w:rPr>
          <w:rFonts w:hint="eastAsia" w:ascii="宋体" w:hAnsi="宋体" w:eastAsia="宋体" w:cs="宋体"/>
          <w:sz w:val="24"/>
          <w:highlight w:val="none"/>
        </w:rPr>
      </w:pPr>
      <w:r>
        <w:rPr>
          <w:rFonts w:hint="eastAsia" w:ascii="宋体" w:hAnsi="宋体" w:eastAsia="宋体" w:cs="宋体"/>
          <w:sz w:val="24"/>
          <w:highlight w:val="none"/>
        </w:rPr>
        <w:t>（1）投标人资信商务、技术自评得分表（格式见附件）；</w:t>
      </w:r>
    </w:p>
    <w:p w14:paraId="544EFB38">
      <w:pPr>
        <w:spacing w:line="450" w:lineRule="exact"/>
        <w:rPr>
          <w:rFonts w:hint="eastAsia" w:ascii="宋体" w:hAnsi="宋体" w:eastAsia="宋体" w:cs="宋体"/>
          <w:sz w:val="24"/>
          <w:highlight w:val="none"/>
        </w:rPr>
      </w:pPr>
      <w:r>
        <w:rPr>
          <w:rFonts w:hint="eastAsia" w:ascii="宋体" w:hAnsi="宋体" w:eastAsia="宋体" w:cs="宋体"/>
          <w:sz w:val="24"/>
          <w:highlight w:val="none"/>
        </w:rPr>
        <w:t>（2）商务响应表（格式见附件）；</w:t>
      </w:r>
    </w:p>
    <w:p w14:paraId="23B2E514">
      <w:pPr>
        <w:spacing w:line="450" w:lineRule="exact"/>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认证证书</w:t>
      </w:r>
      <w:r>
        <w:rPr>
          <w:rFonts w:hint="eastAsia" w:ascii="宋体" w:hAnsi="宋体" w:eastAsia="宋体" w:cs="宋体"/>
          <w:sz w:val="24"/>
          <w:highlight w:val="none"/>
          <w:lang w:eastAsia="zh-CN"/>
        </w:rPr>
        <w:t>；</w:t>
      </w:r>
    </w:p>
    <w:p w14:paraId="12C71371">
      <w:pPr>
        <w:spacing w:line="450" w:lineRule="exact"/>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w:t>
      </w:r>
      <w:r>
        <w:rPr>
          <w:rFonts w:hint="eastAsia" w:ascii="宋体" w:hAnsi="宋体" w:eastAsia="宋体" w:cs="宋体"/>
          <w:sz w:val="24"/>
          <w:highlight w:val="none"/>
        </w:rPr>
        <w:t>售后服务方案</w:t>
      </w:r>
      <w:r>
        <w:rPr>
          <w:rFonts w:hint="eastAsia" w:ascii="宋体" w:hAnsi="宋体" w:eastAsia="宋体" w:cs="宋体"/>
          <w:sz w:val="24"/>
          <w:highlight w:val="none"/>
          <w:lang w:eastAsia="zh-CN"/>
        </w:rPr>
        <w:t>；</w:t>
      </w:r>
    </w:p>
    <w:p w14:paraId="7DFDBF4C">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）同类项目业绩（格式见附件）；</w:t>
      </w:r>
    </w:p>
    <w:p w14:paraId="5512C7E5">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）优惠</w:t>
      </w:r>
      <w:r>
        <w:rPr>
          <w:rFonts w:hint="eastAsia" w:ascii="宋体" w:hAnsi="宋体" w:eastAsia="宋体" w:cs="宋体"/>
          <w:sz w:val="24"/>
          <w:highlight w:val="none"/>
          <w:lang w:val="en-US" w:eastAsia="zh-CN"/>
        </w:rPr>
        <w:t>承诺</w:t>
      </w:r>
      <w:r>
        <w:rPr>
          <w:rFonts w:hint="eastAsia" w:ascii="宋体" w:hAnsi="宋体" w:eastAsia="宋体" w:cs="宋体"/>
          <w:sz w:val="24"/>
          <w:highlight w:val="none"/>
        </w:rPr>
        <w:t>；</w:t>
      </w:r>
    </w:p>
    <w:p w14:paraId="7759CFF9">
      <w:pPr>
        <w:spacing w:line="450" w:lineRule="exac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w:t>
      </w:r>
      <w:r>
        <w:rPr>
          <w:rFonts w:hint="eastAsia" w:ascii="宋体" w:hAnsi="宋体" w:eastAsia="宋体" w:cs="宋体"/>
          <w:sz w:val="24"/>
          <w:highlight w:val="none"/>
        </w:rPr>
        <w:t>环保、节能产品</w:t>
      </w:r>
      <w:r>
        <w:rPr>
          <w:rFonts w:hint="eastAsia" w:ascii="宋体" w:hAnsi="宋体" w:eastAsia="宋体" w:cs="宋体"/>
          <w:sz w:val="24"/>
          <w:highlight w:val="none"/>
          <w:lang w:eastAsia="zh-CN"/>
        </w:rPr>
        <w:t>；</w:t>
      </w:r>
    </w:p>
    <w:p w14:paraId="04224C80">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cs="宋体"/>
          <w:sz w:val="24"/>
          <w:highlight w:val="none"/>
          <w:lang w:val="en-US" w:eastAsia="zh-CN"/>
        </w:rPr>
        <w:t>8</w:t>
      </w:r>
      <w:r>
        <w:rPr>
          <w:rFonts w:hint="eastAsia" w:ascii="宋体" w:hAnsi="宋体" w:eastAsia="宋体" w:cs="宋体"/>
          <w:sz w:val="24"/>
          <w:highlight w:val="none"/>
        </w:rPr>
        <w:t>）服务费承诺书（格式见附件）；</w:t>
      </w:r>
    </w:p>
    <w:p w14:paraId="10E6676B">
      <w:pPr>
        <w:spacing w:line="450" w:lineRule="exac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cs="宋体"/>
          <w:sz w:val="24"/>
          <w:highlight w:val="none"/>
          <w:lang w:val="en-US" w:eastAsia="zh-CN"/>
        </w:rPr>
        <w:t>9</w:t>
      </w:r>
      <w:r>
        <w:rPr>
          <w:rFonts w:hint="eastAsia" w:ascii="宋体" w:hAnsi="宋体" w:eastAsia="宋体" w:cs="宋体"/>
          <w:sz w:val="24"/>
          <w:highlight w:val="none"/>
        </w:rPr>
        <w:t>）投标人需要说明的其他文件和说明。</w:t>
      </w:r>
    </w:p>
    <w:p w14:paraId="492B140B">
      <w:pPr>
        <w:spacing w:line="360" w:lineRule="auto"/>
        <w:rPr>
          <w:rFonts w:hint="eastAsia" w:ascii="宋体" w:hAnsi="宋体"/>
          <w:b/>
          <w:sz w:val="24"/>
        </w:rPr>
      </w:pPr>
      <w:r>
        <w:rPr>
          <w:rFonts w:hint="eastAsia" w:ascii="宋体" w:hAnsi="宋体"/>
          <w:b/>
          <w:sz w:val="24"/>
        </w:rPr>
        <w:t>6.报价文件</w:t>
      </w:r>
    </w:p>
    <w:p w14:paraId="7B827EDA">
      <w:pPr>
        <w:snapToGrid w:val="0"/>
        <w:spacing w:line="360" w:lineRule="auto"/>
        <w:jc w:val="left"/>
        <w:rPr>
          <w:rFonts w:hint="eastAsia" w:ascii="宋体" w:hAnsi="宋体"/>
          <w:sz w:val="24"/>
        </w:rPr>
      </w:pPr>
      <w:r>
        <w:rPr>
          <w:rFonts w:hint="eastAsia" w:ascii="宋体" w:hAnsi="宋体"/>
          <w:sz w:val="24"/>
        </w:rPr>
        <w:t xml:space="preserve">（1）投标函（格式见附件）； </w:t>
      </w:r>
    </w:p>
    <w:p w14:paraId="5E33EEC9">
      <w:pPr>
        <w:snapToGrid w:val="0"/>
        <w:spacing w:line="360" w:lineRule="auto"/>
        <w:jc w:val="left"/>
        <w:rPr>
          <w:rFonts w:hint="eastAsia" w:ascii="宋体" w:hAnsi="宋体"/>
          <w:sz w:val="24"/>
        </w:rPr>
      </w:pPr>
      <w:r>
        <w:rPr>
          <w:rFonts w:hint="eastAsia" w:ascii="宋体" w:hAnsi="宋体"/>
          <w:sz w:val="24"/>
        </w:rPr>
        <w:t xml:space="preserve">（2）中小企业声明函（格式见附件）； </w:t>
      </w:r>
    </w:p>
    <w:p w14:paraId="4C59B564">
      <w:pPr>
        <w:snapToGrid w:val="0"/>
        <w:spacing w:line="360" w:lineRule="auto"/>
        <w:jc w:val="left"/>
        <w:rPr>
          <w:rFonts w:hint="eastAsia" w:ascii="宋体" w:hAnsi="宋体"/>
          <w:sz w:val="24"/>
        </w:rPr>
      </w:pPr>
      <w:r>
        <w:rPr>
          <w:rFonts w:hint="eastAsia" w:ascii="宋体" w:hAnsi="宋体"/>
          <w:sz w:val="24"/>
        </w:rPr>
        <w:t xml:space="preserve">（3）残疾人福利性单位声明函（格式见附件）； </w:t>
      </w:r>
    </w:p>
    <w:p w14:paraId="025A425E">
      <w:pPr>
        <w:snapToGrid w:val="0"/>
        <w:spacing w:line="360" w:lineRule="auto"/>
        <w:jc w:val="left"/>
        <w:rPr>
          <w:rFonts w:hint="eastAsia" w:ascii="宋体" w:hAnsi="宋体"/>
          <w:sz w:val="24"/>
        </w:rPr>
      </w:pPr>
      <w:r>
        <w:rPr>
          <w:rFonts w:hint="eastAsia" w:ascii="宋体" w:hAnsi="宋体"/>
          <w:sz w:val="24"/>
        </w:rPr>
        <w:t>（4）监狱企业声明函；</w:t>
      </w:r>
    </w:p>
    <w:p w14:paraId="71A08053">
      <w:pPr>
        <w:snapToGrid w:val="0"/>
        <w:spacing w:line="360" w:lineRule="auto"/>
        <w:jc w:val="left"/>
        <w:rPr>
          <w:rFonts w:hint="eastAsia" w:ascii="宋体" w:hAnsi="宋体"/>
          <w:sz w:val="24"/>
        </w:rPr>
      </w:pPr>
      <w:r>
        <w:rPr>
          <w:rFonts w:hint="eastAsia" w:ascii="宋体" w:hAnsi="宋体"/>
          <w:sz w:val="24"/>
        </w:rPr>
        <w:t xml:space="preserve">（5）开标一览表（格式见附件）； </w:t>
      </w:r>
    </w:p>
    <w:p w14:paraId="19D7472F">
      <w:pPr>
        <w:snapToGrid w:val="0"/>
        <w:spacing w:line="360" w:lineRule="auto"/>
        <w:jc w:val="left"/>
        <w:rPr>
          <w:rFonts w:hint="eastAsia" w:ascii="宋体" w:hAnsi="宋体"/>
          <w:sz w:val="24"/>
        </w:rPr>
      </w:pPr>
      <w:r>
        <w:rPr>
          <w:rFonts w:hint="eastAsia" w:ascii="宋体" w:hAnsi="宋体"/>
          <w:sz w:val="24"/>
        </w:rPr>
        <w:t>（6）投标人针对报价需要说明的其他文件和说明（格式自拟）。</w:t>
      </w:r>
    </w:p>
    <w:p w14:paraId="746D9121">
      <w:pPr>
        <w:pageBreakBefore/>
        <w:spacing w:line="415" w:lineRule="auto"/>
        <w:outlineLvl w:val="1"/>
        <w:rPr>
          <w:rFonts w:hint="eastAsia" w:ascii="宋体" w:hAnsi="宋体"/>
          <w:sz w:val="24"/>
        </w:rPr>
      </w:pPr>
      <w:bookmarkStart w:id="77" w:name="_Toc21011"/>
      <w:r>
        <w:rPr>
          <w:rFonts w:hint="eastAsia" w:ascii="宋体" w:hAnsi="宋体"/>
          <w:sz w:val="24"/>
        </w:rPr>
        <w:t>附件一：</w:t>
      </w:r>
      <w:bookmarkEnd w:id="74"/>
      <w:bookmarkEnd w:id="75"/>
      <w:r>
        <w:rPr>
          <w:rFonts w:hint="eastAsia" w:ascii="宋体" w:hAnsi="宋体"/>
          <w:sz w:val="24"/>
        </w:rPr>
        <w:t>投标声明书</w:t>
      </w:r>
      <w:bookmarkEnd w:id="76"/>
      <w:bookmarkEnd w:id="77"/>
    </w:p>
    <w:p w14:paraId="4383283A">
      <w:pPr>
        <w:snapToGrid w:val="0"/>
        <w:spacing w:before="156" w:beforeLines="50" w:after="50"/>
        <w:jc w:val="center"/>
        <w:rPr>
          <w:rFonts w:hint="eastAsia" w:ascii="宋体" w:hAnsi="宋体"/>
          <w:sz w:val="24"/>
          <w:szCs w:val="20"/>
        </w:rPr>
      </w:pPr>
      <w:r>
        <w:rPr>
          <w:rFonts w:hint="eastAsia" w:ascii="宋体" w:hAnsi="宋体"/>
          <w:sz w:val="30"/>
        </w:rPr>
        <w:t>投标声明书</w:t>
      </w:r>
    </w:p>
    <w:p w14:paraId="6F5D4B12">
      <w:pPr>
        <w:snapToGrid w:val="0"/>
        <w:spacing w:before="156" w:beforeLines="50" w:after="50"/>
        <w:rPr>
          <w:rFonts w:hint="eastAsia" w:ascii="宋体" w:hAnsi="宋体"/>
          <w:sz w:val="24"/>
          <w:szCs w:val="20"/>
        </w:rPr>
      </w:pPr>
      <w:r>
        <w:rPr>
          <w:rFonts w:hint="eastAsia" w:ascii="宋体" w:hAnsi="宋体"/>
          <w:sz w:val="24"/>
        </w:rPr>
        <w:t>致：</w:t>
      </w:r>
      <w:r>
        <w:rPr>
          <w:rFonts w:ascii="宋体" w:hAnsi="宋体"/>
          <w:sz w:val="24"/>
          <w:u w:val="single"/>
        </w:rPr>
        <w:t xml:space="preserve">                </w:t>
      </w:r>
      <w:r>
        <w:rPr>
          <w:rFonts w:hint="eastAsia" w:ascii="宋体" w:hAnsi="宋体"/>
          <w:sz w:val="24"/>
        </w:rPr>
        <w:t>（招标采购单位名称）：</w:t>
      </w:r>
    </w:p>
    <w:p w14:paraId="59535908">
      <w:pPr>
        <w:snapToGrid w:val="0"/>
        <w:spacing w:before="156" w:beforeLines="50" w:after="50"/>
        <w:ind w:firstLine="720" w:firstLineChars="300"/>
        <w:rPr>
          <w:rFonts w:hint="eastAsia" w:ascii="宋体" w:hAnsi="宋体"/>
          <w:sz w:val="24"/>
          <w:szCs w:val="20"/>
        </w:rPr>
      </w:pPr>
      <w:r>
        <w:rPr>
          <w:rFonts w:ascii="宋体" w:hAnsi="宋体"/>
          <w:sz w:val="24"/>
        </w:rPr>
        <w:t xml:space="preserve"> </w:t>
      </w:r>
      <w:r>
        <w:rPr>
          <w:rFonts w:ascii="宋体" w:hAnsi="宋体"/>
          <w:sz w:val="24"/>
          <w:u w:val="single"/>
        </w:rPr>
        <w:t xml:space="preserve">                   </w:t>
      </w:r>
      <w:r>
        <w:rPr>
          <w:rFonts w:hint="eastAsia" w:ascii="宋体" w:hAnsi="宋体"/>
          <w:sz w:val="24"/>
        </w:rPr>
        <w:t>（投标人名称）系中华人民共和国合法企业，经营地址</w:t>
      </w:r>
      <w:r>
        <w:rPr>
          <w:rFonts w:hint="eastAsia" w:ascii="宋体" w:hAnsi="宋体"/>
          <w:sz w:val="24"/>
          <w:u w:val="single"/>
        </w:rPr>
        <w:t xml:space="preserve">                               </w:t>
      </w:r>
      <w:r>
        <w:rPr>
          <w:rFonts w:hint="eastAsia" w:ascii="宋体" w:hAnsi="宋体"/>
          <w:sz w:val="24"/>
        </w:rPr>
        <w:t>。</w:t>
      </w:r>
    </w:p>
    <w:p w14:paraId="2A622874">
      <w:pPr>
        <w:snapToGrid w:val="0"/>
        <w:spacing w:before="156" w:beforeLines="50" w:after="50"/>
        <w:ind w:firstLine="645"/>
        <w:rPr>
          <w:rFonts w:hint="eastAsia" w:ascii="宋体" w:hAnsi="宋体"/>
          <w:sz w:val="24"/>
          <w:szCs w:val="20"/>
        </w:rPr>
      </w:pPr>
      <w:r>
        <w:rPr>
          <w:rFonts w:hint="eastAsia" w:ascii="宋体" w:hAnsi="宋体"/>
          <w:sz w:val="24"/>
        </w:rPr>
        <w:t>我</w:t>
      </w:r>
      <w:r>
        <w:rPr>
          <w:rFonts w:ascii="宋体" w:hAnsi="宋体"/>
          <w:sz w:val="24"/>
          <w:u w:val="single"/>
        </w:rPr>
        <w:t xml:space="preserve">         </w:t>
      </w:r>
      <w:r>
        <w:rPr>
          <w:rFonts w:hint="eastAsia" w:ascii="宋体" w:hAnsi="宋体"/>
          <w:sz w:val="24"/>
        </w:rPr>
        <w:t>（姓名）系</w:t>
      </w:r>
      <w:r>
        <w:rPr>
          <w:rFonts w:ascii="宋体" w:hAnsi="宋体"/>
          <w:sz w:val="24"/>
          <w:u w:val="single"/>
        </w:rPr>
        <w:t xml:space="preserve">              </w:t>
      </w:r>
      <w:r>
        <w:rPr>
          <w:rFonts w:hint="eastAsia" w:ascii="宋体" w:hAnsi="宋体"/>
          <w:sz w:val="24"/>
        </w:rPr>
        <w:t>（投标人名称）的法定代表人，我方愿意参加贵方组织的</w:t>
      </w:r>
      <w:r>
        <w:rPr>
          <w:rFonts w:ascii="宋体" w:hAnsi="宋体"/>
          <w:sz w:val="24"/>
          <w:u w:val="single"/>
        </w:rPr>
        <w:t xml:space="preserve">                       </w:t>
      </w:r>
      <w:r>
        <w:rPr>
          <w:rFonts w:hint="eastAsia" w:ascii="宋体" w:hAnsi="宋体"/>
          <w:sz w:val="24"/>
        </w:rPr>
        <w:t>项目的投标，为便于贵方公正、择优地确定</w:t>
      </w:r>
      <w:r>
        <w:rPr>
          <w:rFonts w:ascii="宋体" w:hAnsi="宋体"/>
          <w:sz w:val="24"/>
        </w:rPr>
        <w:t>中标人</w:t>
      </w:r>
      <w:r>
        <w:rPr>
          <w:rFonts w:hint="eastAsia" w:ascii="宋体" w:hAnsi="宋体"/>
          <w:sz w:val="24"/>
        </w:rPr>
        <w:t>及其投标产品和服务，我方就本次投标有关事项郑重声明如下：</w:t>
      </w:r>
    </w:p>
    <w:p w14:paraId="7E4EA662">
      <w:pPr>
        <w:snapToGrid w:val="0"/>
        <w:ind w:firstLine="480" w:firstLineChars="200"/>
        <w:rPr>
          <w:rFonts w:hint="eastAsia" w:ascii="宋体" w:hAnsi="宋体"/>
          <w:sz w:val="24"/>
          <w:szCs w:val="20"/>
        </w:rPr>
      </w:pPr>
      <w:r>
        <w:rPr>
          <w:rFonts w:hint="eastAsia" w:ascii="宋体" w:hAnsi="宋体"/>
          <w:sz w:val="24"/>
        </w:rPr>
        <w:t>1.我方向贵方提交的所有投标文件、资料都是准确的和真实的。</w:t>
      </w:r>
    </w:p>
    <w:p w14:paraId="71304E3D">
      <w:pPr>
        <w:snapToGrid w:val="0"/>
        <w:spacing w:before="156" w:beforeLines="50"/>
        <w:ind w:firstLine="480" w:firstLineChars="200"/>
        <w:rPr>
          <w:rFonts w:hint="eastAsia" w:ascii="宋体" w:hAnsi="宋体"/>
          <w:sz w:val="24"/>
          <w:szCs w:val="20"/>
        </w:rPr>
      </w:pPr>
      <w:r>
        <w:rPr>
          <w:rFonts w:hint="eastAsia" w:ascii="宋体" w:hAnsi="宋体"/>
          <w:sz w:val="24"/>
        </w:rPr>
        <w:t>2.我方不是采购人的附属机构；在获知本项目采购信息后，与采购人聘请的为此项目提供咨询服务的公司及其附属机构没有任何联系。</w:t>
      </w:r>
    </w:p>
    <w:p w14:paraId="3E07D9EF">
      <w:pPr>
        <w:snapToGrid w:val="0"/>
        <w:spacing w:before="156" w:beforeLines="50"/>
        <w:ind w:firstLine="480" w:firstLineChars="200"/>
        <w:rPr>
          <w:rFonts w:hint="eastAsia" w:ascii="宋体" w:hAnsi="宋体"/>
          <w:sz w:val="24"/>
          <w:szCs w:val="20"/>
        </w:rPr>
      </w:pPr>
      <w:r>
        <w:rPr>
          <w:rFonts w:hint="eastAsia" w:ascii="宋体" w:hAnsi="宋体"/>
          <w:sz w:val="24"/>
        </w:rPr>
        <w:t>3.我方诚意提请贵方关注：近期有关</w:t>
      </w:r>
      <w:r>
        <w:rPr>
          <w:rFonts w:hint="eastAsia" w:ascii="宋体" w:hAnsi="宋体"/>
          <w:sz w:val="24"/>
          <w:u w:val="single"/>
        </w:rPr>
        <w:t xml:space="preserve">             （采购内容）</w:t>
      </w:r>
      <w:r>
        <w:rPr>
          <w:rFonts w:hint="eastAsia" w:ascii="宋体" w:hAnsi="宋体"/>
          <w:sz w:val="24"/>
        </w:rPr>
        <w:t>项目方面的重大决策和事项有：</w:t>
      </w:r>
    </w:p>
    <w:p w14:paraId="4873B729">
      <w:pPr>
        <w:snapToGrid w:val="0"/>
        <w:spacing w:before="156" w:beforeLines="50"/>
        <w:ind w:firstLine="480" w:firstLineChars="200"/>
        <w:rPr>
          <w:rFonts w:hint="eastAsia" w:ascii="宋体" w:hAnsi="宋体"/>
          <w:sz w:val="24"/>
          <w:szCs w:val="20"/>
          <w:u w:val="single"/>
        </w:rPr>
      </w:pPr>
      <w:r>
        <w:rPr>
          <w:rFonts w:hint="eastAsia" w:ascii="宋体" w:hAnsi="宋体"/>
          <w:sz w:val="24"/>
          <w:u w:val="single"/>
        </w:rPr>
        <w:t>　　　　　　　　　　　　　　　　　　　　　　　　　　　</w:t>
      </w:r>
    </w:p>
    <w:p w14:paraId="213A8710">
      <w:pPr>
        <w:snapToGrid w:val="0"/>
        <w:spacing w:before="156" w:beforeLines="50"/>
        <w:ind w:firstLine="480" w:firstLineChars="200"/>
        <w:rPr>
          <w:rFonts w:hint="eastAsia" w:ascii="宋体" w:hAnsi="宋体"/>
          <w:sz w:val="24"/>
          <w:szCs w:val="20"/>
        </w:rPr>
      </w:pPr>
      <w:r>
        <w:rPr>
          <w:rFonts w:hint="eastAsia" w:ascii="宋体" w:hAnsi="宋体"/>
          <w:sz w:val="24"/>
          <w:u w:val="single"/>
        </w:rPr>
        <w:t>　　　　　　　　　　　　　　　　　　　　　　　　　　　</w:t>
      </w:r>
    </w:p>
    <w:p w14:paraId="2691211E">
      <w:pPr>
        <w:pStyle w:val="16"/>
        <w:snapToGrid w:val="0"/>
        <w:spacing w:line="240" w:lineRule="auto"/>
        <w:ind w:firstLine="464" w:firstLineChars="200"/>
        <w:rPr>
          <w:rFonts w:hint="eastAsia" w:hAnsi="宋体"/>
          <w:sz w:val="24"/>
        </w:rPr>
      </w:pPr>
      <w:r>
        <w:rPr>
          <w:rFonts w:hint="eastAsia" w:hAnsi="宋体"/>
          <w:sz w:val="24"/>
        </w:rPr>
        <w:t>4.我方及由本人担任法定代表人的其他机构最近三年内被通报或者被处罚的违法行为有：</w:t>
      </w:r>
    </w:p>
    <w:p w14:paraId="59FA04C6">
      <w:pPr>
        <w:snapToGrid w:val="0"/>
        <w:spacing w:before="156" w:beforeLines="50"/>
        <w:ind w:firstLine="480" w:firstLineChars="200"/>
        <w:rPr>
          <w:rFonts w:hint="eastAsia" w:ascii="宋体" w:hAnsi="宋体"/>
          <w:sz w:val="24"/>
          <w:szCs w:val="20"/>
          <w:u w:val="single"/>
        </w:rPr>
      </w:pPr>
      <w:r>
        <w:rPr>
          <w:rFonts w:hint="eastAsia" w:ascii="宋体" w:hAnsi="宋体"/>
          <w:sz w:val="24"/>
          <w:u w:val="single"/>
        </w:rPr>
        <w:t>　　　　　　　　　　　　　　　　　　　　　　　　　　　</w:t>
      </w:r>
    </w:p>
    <w:p w14:paraId="4FEFF7F3">
      <w:pPr>
        <w:snapToGrid w:val="0"/>
        <w:spacing w:before="156" w:beforeLines="50"/>
        <w:ind w:firstLine="480" w:firstLineChars="200"/>
        <w:rPr>
          <w:rFonts w:hint="eastAsia" w:ascii="宋体" w:hAnsi="宋体"/>
          <w:sz w:val="24"/>
          <w:szCs w:val="20"/>
          <w:u w:val="single"/>
        </w:rPr>
      </w:pPr>
      <w:r>
        <w:rPr>
          <w:rFonts w:hint="eastAsia" w:ascii="宋体" w:hAnsi="宋体"/>
          <w:sz w:val="24"/>
          <w:u w:val="single"/>
        </w:rPr>
        <w:t>　　　　　　　　　　　　　　　　　　　　　　　　　　　</w:t>
      </w:r>
    </w:p>
    <w:p w14:paraId="272806DF">
      <w:pPr>
        <w:snapToGrid w:val="0"/>
        <w:ind w:firstLine="480" w:firstLineChars="200"/>
        <w:rPr>
          <w:rFonts w:hint="eastAsia" w:ascii="宋体" w:hAnsi="宋体"/>
          <w:sz w:val="24"/>
          <w:szCs w:val="20"/>
        </w:rPr>
      </w:pPr>
      <w:r>
        <w:rPr>
          <w:rFonts w:hint="eastAsia" w:ascii="宋体" w:hAnsi="宋体"/>
          <w:sz w:val="24"/>
        </w:rPr>
        <w:t>5.以上事项如有虚假或隐瞒，我方愿意承担一切后果，并不再寻求任何旨在减轻或免除法律责任的辩解。</w:t>
      </w:r>
    </w:p>
    <w:p w14:paraId="31BD99E7">
      <w:pPr>
        <w:pStyle w:val="30"/>
        <w:tabs>
          <w:tab w:val="left" w:pos="939"/>
        </w:tabs>
        <w:snapToGrid w:val="0"/>
        <w:ind w:left="773" w:leftChars="150" w:hanging="458" w:hangingChars="191"/>
        <w:rPr>
          <w:rFonts w:hint="eastAsia" w:ascii="宋体" w:hAnsi="宋体"/>
          <w:sz w:val="24"/>
        </w:rPr>
      </w:pPr>
    </w:p>
    <w:p w14:paraId="1C5F5770">
      <w:pPr>
        <w:pStyle w:val="480"/>
        <w:snapToGrid w:val="0"/>
        <w:spacing w:before="156" w:beforeLines="50"/>
        <w:ind w:firstLine="200"/>
        <w:rPr>
          <w:rFonts w:hint="eastAsia" w:ascii="宋体" w:hAnsi="宋体"/>
        </w:rPr>
      </w:pPr>
    </w:p>
    <w:p w14:paraId="47662C67">
      <w:pPr>
        <w:snapToGrid w:val="0"/>
        <w:spacing w:before="156" w:beforeLines="50"/>
        <w:ind w:firstLine="319" w:firstLineChars="133"/>
        <w:rPr>
          <w:rFonts w:hint="eastAsia" w:ascii="宋体" w:hAnsi="宋体"/>
          <w:sz w:val="24"/>
          <w:szCs w:val="20"/>
          <w:u w:val="single"/>
        </w:rPr>
      </w:pPr>
      <w:r>
        <w:rPr>
          <w:rFonts w:hint="eastAsia" w:ascii="宋体" w:hAnsi="宋体"/>
          <w:sz w:val="24"/>
        </w:rPr>
        <w:t>法定代表人或委托代理人签字：</w:t>
      </w:r>
      <w:r>
        <w:rPr>
          <w:rFonts w:hint="eastAsia" w:ascii="宋体" w:hAnsi="宋体"/>
          <w:sz w:val="24"/>
          <w:u w:val="single"/>
        </w:rPr>
        <w:t xml:space="preserve">             </w:t>
      </w:r>
    </w:p>
    <w:p w14:paraId="046A073F">
      <w:pPr>
        <w:snapToGrid w:val="0"/>
        <w:spacing w:before="156" w:beforeLines="50" w:after="50"/>
        <w:ind w:firstLine="360" w:firstLineChars="150"/>
        <w:rPr>
          <w:rFonts w:hint="eastAsia" w:ascii="宋体" w:hAnsi="宋体"/>
          <w:sz w:val="24"/>
        </w:rPr>
      </w:pPr>
      <w:r>
        <w:rPr>
          <w:rFonts w:hint="eastAsia" w:ascii="宋体" w:hAnsi="宋体"/>
          <w:sz w:val="24"/>
        </w:rPr>
        <w:t>投标人公章：</w:t>
      </w:r>
      <w:r>
        <w:rPr>
          <w:rFonts w:hint="eastAsia" w:ascii="宋体" w:hAnsi="宋体"/>
          <w:sz w:val="24"/>
          <w:u w:val="single"/>
        </w:rPr>
        <w:t xml:space="preserve">               </w:t>
      </w:r>
      <w:r>
        <w:rPr>
          <w:rFonts w:hint="eastAsia" w:ascii="宋体" w:hAnsi="宋体"/>
          <w:sz w:val="24"/>
        </w:rPr>
        <w:t xml:space="preserve">                      </w:t>
      </w:r>
    </w:p>
    <w:p w14:paraId="11B857A8">
      <w:pPr>
        <w:snapToGrid w:val="0"/>
        <w:spacing w:before="156" w:beforeLines="50" w:after="50"/>
        <w:ind w:firstLine="6240" w:firstLineChars="2600"/>
        <w:rPr>
          <w:rFonts w:hint="eastAsia" w:ascii="宋体" w:hAnsi="宋体"/>
          <w:sz w:val="24"/>
        </w:rPr>
      </w:pPr>
    </w:p>
    <w:p w14:paraId="248789A7">
      <w:pPr>
        <w:snapToGrid w:val="0"/>
        <w:spacing w:before="156" w:beforeLines="50" w:after="50"/>
        <w:ind w:firstLine="6240" w:firstLineChars="2600"/>
        <w:rPr>
          <w:rFonts w:hint="eastAsia" w:ascii="宋体" w:hAnsi="宋体"/>
          <w:sz w:val="24"/>
          <w:szCs w:val="20"/>
        </w:rPr>
      </w:pPr>
      <w:r>
        <w:rPr>
          <w:rFonts w:hint="eastAsia" w:ascii="宋体" w:hAnsi="宋体"/>
          <w:sz w:val="24"/>
        </w:rPr>
        <w:t>年    月    日</w:t>
      </w:r>
    </w:p>
    <w:p w14:paraId="32550E57">
      <w:pPr>
        <w:snapToGrid w:val="0"/>
        <w:spacing w:before="50" w:after="156" w:afterLines="50"/>
        <w:jc w:val="left"/>
        <w:rPr>
          <w:rFonts w:hint="eastAsia" w:ascii="宋体" w:hAnsi="宋体"/>
          <w:b/>
          <w:sz w:val="24"/>
        </w:rPr>
      </w:pPr>
    </w:p>
    <w:p w14:paraId="6D1DB6B5">
      <w:pPr>
        <w:snapToGrid w:val="0"/>
        <w:spacing w:before="50" w:after="156" w:afterLines="50"/>
        <w:jc w:val="left"/>
        <w:rPr>
          <w:rFonts w:hint="eastAsia" w:ascii="宋体" w:hAnsi="宋体"/>
          <w:b/>
          <w:sz w:val="24"/>
        </w:rPr>
      </w:pPr>
    </w:p>
    <w:p w14:paraId="2570B18E">
      <w:pPr>
        <w:snapToGrid w:val="0"/>
        <w:spacing w:before="50" w:after="156" w:afterLines="50"/>
        <w:jc w:val="left"/>
        <w:rPr>
          <w:rFonts w:hint="eastAsia" w:ascii="宋体" w:hAnsi="宋体"/>
          <w:b/>
          <w:sz w:val="24"/>
        </w:rPr>
      </w:pPr>
    </w:p>
    <w:p w14:paraId="0D3620FD">
      <w:pPr>
        <w:snapToGrid w:val="0"/>
        <w:spacing w:before="50" w:after="156" w:afterLines="50"/>
        <w:jc w:val="left"/>
        <w:rPr>
          <w:rFonts w:hint="eastAsia" w:ascii="宋体" w:hAnsi="宋体"/>
          <w:b/>
          <w:sz w:val="24"/>
        </w:rPr>
      </w:pPr>
    </w:p>
    <w:p w14:paraId="2B1F7849">
      <w:pPr>
        <w:keepNext/>
        <w:keepLines/>
        <w:spacing w:before="260" w:after="260" w:line="416" w:lineRule="auto"/>
        <w:outlineLvl w:val="1"/>
        <w:rPr>
          <w:rFonts w:hint="eastAsia" w:ascii="宋体" w:hAnsi="宋体"/>
          <w:bCs/>
          <w:sz w:val="24"/>
          <w:szCs w:val="32"/>
        </w:rPr>
      </w:pPr>
      <w:bookmarkStart w:id="78" w:name="_Toc491242405"/>
      <w:bookmarkStart w:id="79" w:name="_Toc504549896"/>
      <w:bookmarkStart w:id="80" w:name="_Toc25301"/>
      <w:bookmarkStart w:id="81" w:name="_Toc31101"/>
      <w:r>
        <w:rPr>
          <w:rFonts w:hint="eastAsia" w:ascii="宋体" w:hAnsi="宋体"/>
          <w:bCs/>
          <w:sz w:val="24"/>
          <w:szCs w:val="32"/>
        </w:rPr>
        <w:t>附件二：</w:t>
      </w:r>
      <w:bookmarkEnd w:id="78"/>
      <w:bookmarkEnd w:id="79"/>
      <w:r>
        <w:rPr>
          <w:rFonts w:hint="eastAsia" w:ascii="宋体" w:hAnsi="宋体"/>
          <w:bCs/>
          <w:sz w:val="24"/>
          <w:szCs w:val="32"/>
        </w:rPr>
        <w:t>法定代表人授权委托书</w:t>
      </w:r>
      <w:bookmarkEnd w:id="80"/>
      <w:bookmarkEnd w:id="81"/>
    </w:p>
    <w:p w14:paraId="0E980E98">
      <w:pPr>
        <w:snapToGrid w:val="0"/>
        <w:spacing w:before="156" w:beforeLines="50" w:after="50"/>
        <w:jc w:val="center"/>
        <w:rPr>
          <w:rFonts w:hint="eastAsia" w:ascii="宋体" w:hAnsi="宋体"/>
          <w:b/>
          <w:sz w:val="24"/>
          <w:szCs w:val="20"/>
        </w:rPr>
      </w:pPr>
      <w:r>
        <w:rPr>
          <w:rFonts w:hint="eastAsia" w:ascii="宋体" w:hAnsi="宋体"/>
          <w:b/>
          <w:sz w:val="24"/>
        </w:rPr>
        <w:t>法定代表人授权委托书</w:t>
      </w:r>
    </w:p>
    <w:p w14:paraId="0A3AECCC">
      <w:pPr>
        <w:snapToGrid w:val="0"/>
        <w:spacing w:before="156" w:beforeLines="50" w:after="50" w:line="300" w:lineRule="exact"/>
        <w:rPr>
          <w:rFonts w:hint="eastAsia" w:ascii="宋体" w:hAnsi="宋体"/>
          <w:b/>
          <w:bCs/>
          <w:sz w:val="24"/>
          <w:szCs w:val="20"/>
        </w:rPr>
      </w:pPr>
      <w:r>
        <w:rPr>
          <w:rFonts w:hint="eastAsia" w:ascii="宋体" w:hAnsi="宋体"/>
          <w:bCs/>
          <w:sz w:val="24"/>
        </w:rPr>
        <w:t>致：</w:t>
      </w:r>
      <w:r>
        <w:rPr>
          <w:rFonts w:ascii="宋体" w:hAnsi="宋体"/>
          <w:sz w:val="24"/>
          <w:u w:val="single"/>
        </w:rPr>
        <w:t xml:space="preserve">             </w:t>
      </w:r>
      <w:r>
        <w:rPr>
          <w:rFonts w:hint="eastAsia" w:ascii="宋体" w:hAnsi="宋体"/>
          <w:sz w:val="24"/>
        </w:rPr>
        <w:t>（招标采购单位名称）：</w:t>
      </w:r>
    </w:p>
    <w:p w14:paraId="5B5B93F7">
      <w:pPr>
        <w:snapToGrid w:val="0"/>
        <w:spacing w:before="156" w:beforeLines="50" w:after="50"/>
        <w:ind w:firstLine="720" w:firstLineChars="300"/>
        <w:rPr>
          <w:rFonts w:hint="eastAsia"/>
          <w:sz w:val="24"/>
        </w:rPr>
      </w:pPr>
      <w:r>
        <w:rPr>
          <w:rFonts w:hint="eastAsia"/>
          <w:sz w:val="24"/>
        </w:rPr>
        <w:t>我</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（投标人名称）的法定代表人，现授权委托本单位在职职工</w:t>
      </w:r>
      <w:r>
        <w:rPr>
          <w:rFonts w:hint="eastAsia"/>
          <w:sz w:val="24"/>
          <w:u w:val="single"/>
        </w:rPr>
        <w:t xml:space="preserve">                </w:t>
      </w:r>
      <w:r>
        <w:rPr>
          <w:rFonts w:hint="eastAsia"/>
          <w:sz w:val="24"/>
        </w:rPr>
        <w:t>（姓名）</w:t>
      </w:r>
      <w:r>
        <w:rPr>
          <w:rFonts w:hint="eastAsia"/>
          <w:sz w:val="24"/>
          <w:u w:val="single"/>
        </w:rPr>
        <w:t xml:space="preserve">       </w:t>
      </w:r>
      <w:r>
        <w:rPr>
          <w:rFonts w:hint="eastAsia"/>
          <w:sz w:val="24"/>
        </w:rPr>
        <w:t>（联系方式</w:t>
      </w:r>
      <w:r>
        <w:rPr>
          <w:rFonts w:hint="eastAsia"/>
          <w:sz w:val="24"/>
          <w:u w:val="single"/>
        </w:rPr>
        <w:t xml:space="preserve">）        </w:t>
      </w:r>
      <w:r>
        <w:rPr>
          <w:rFonts w:hint="eastAsia"/>
          <w:sz w:val="24"/>
        </w:rPr>
        <w:t>（电子邮箱地址）</w:t>
      </w:r>
      <w:r>
        <w:rPr>
          <w:rFonts w:hint="eastAsia"/>
          <w:sz w:val="24"/>
          <w:u w:val="single"/>
        </w:rPr>
        <w:t xml:space="preserve">     </w:t>
      </w:r>
      <w:r>
        <w:rPr>
          <w:rFonts w:hint="eastAsia"/>
          <w:sz w:val="24"/>
        </w:rPr>
        <w:t>（钉钉）以我方的名义参加</w:t>
      </w:r>
      <w:r>
        <w:rPr>
          <w:rFonts w:hint="eastAsia"/>
          <w:sz w:val="24"/>
          <w:u w:val="single"/>
          <w:lang w:eastAsia="zh-CN"/>
        </w:rPr>
        <w:t>东阳市白云、南马应急救援中心项目厨房设备、电器设备、家具采购项目</w:t>
      </w:r>
      <w:r>
        <w:rPr>
          <w:rFonts w:hint="eastAsia"/>
          <w:sz w:val="24"/>
        </w:rPr>
        <w:t>的投标活动，并代表我方全权办理针对上述项目的投标、开标、评标、签约等具体事务和签署相关文件。</w:t>
      </w:r>
    </w:p>
    <w:p w14:paraId="7657F387">
      <w:pPr>
        <w:numPr>
          <w:ilvl w:val="0"/>
          <w:numId w:val="17"/>
        </w:numPr>
        <w:snapToGrid w:val="0"/>
        <w:spacing w:before="156" w:beforeLines="50" w:after="50"/>
        <w:rPr>
          <w:rFonts w:hint="eastAsia"/>
          <w:sz w:val="24"/>
        </w:rPr>
      </w:pPr>
      <w:r>
        <w:rPr>
          <w:rFonts w:hint="eastAsia"/>
          <w:sz w:val="24"/>
        </w:rPr>
        <w:t>我方对委托代理人的签名事项及电子邮箱、钉钉中作出的澄清、说明或补正的相关内容负全部责任。</w:t>
      </w:r>
    </w:p>
    <w:p w14:paraId="15267545">
      <w:pPr>
        <w:snapToGrid w:val="0"/>
        <w:ind w:firstLine="480" w:firstLineChars="200"/>
        <w:rPr>
          <w:rFonts w:hint="eastAsia"/>
          <w:sz w:val="24"/>
          <w:szCs w:val="20"/>
        </w:rPr>
      </w:pPr>
      <w:r>
        <w:rPr>
          <w:rFonts w:hint="eastAsia"/>
          <w:sz w:val="24"/>
        </w:rPr>
        <w:t>2、我方本次投标往来信件电子邮箱地址为</w:t>
      </w:r>
      <w:r>
        <w:rPr>
          <w:rFonts w:hint="eastAsia"/>
          <w:sz w:val="24"/>
          <w:u w:val="single"/>
        </w:rPr>
        <w:t xml:space="preserve">            </w:t>
      </w:r>
      <w:r>
        <w:rPr>
          <w:rFonts w:hint="eastAsia"/>
          <w:sz w:val="24"/>
        </w:rPr>
        <w:t>、钉钉号：</w:t>
      </w:r>
      <w:r>
        <w:rPr>
          <w:rFonts w:hint="eastAsia"/>
          <w:sz w:val="24"/>
          <w:u w:val="single"/>
        </w:rPr>
        <w:t xml:space="preserve">      </w:t>
      </w:r>
      <w:r>
        <w:rPr>
          <w:rFonts w:hint="eastAsia"/>
          <w:sz w:val="24"/>
        </w:rPr>
        <w:t xml:space="preserve"> ，在开评标过程中需澄清、说明或者补正的，均通过该电子邮箱或钉钉进行澄清、说明或者补正。</w:t>
      </w:r>
    </w:p>
    <w:p w14:paraId="75D1CBEF">
      <w:pPr>
        <w:snapToGrid w:val="0"/>
        <w:spacing w:before="156" w:beforeLines="50" w:after="50"/>
        <w:ind w:firstLine="480" w:firstLineChars="200"/>
        <w:rPr>
          <w:rFonts w:hint="eastAsia"/>
          <w:sz w:val="24"/>
          <w:szCs w:val="20"/>
        </w:rPr>
      </w:pPr>
      <w:r>
        <w:rPr>
          <w:rFonts w:hint="eastAsia"/>
          <w:sz w:val="24"/>
          <w:u w:val="single"/>
        </w:rPr>
        <w:t>在撤销授权的书面通知以前，本授权书一直有效。</w:t>
      </w:r>
      <w:r>
        <w:rPr>
          <w:rFonts w:hint="eastAsia"/>
          <w:sz w:val="24"/>
        </w:rPr>
        <w:t>委托代理人在授权书有效期内签署的所有文件不因授权的撤销而失效。</w:t>
      </w:r>
    </w:p>
    <w:p w14:paraId="748B3CE8">
      <w:pPr>
        <w:snapToGrid w:val="0"/>
        <w:spacing w:before="156" w:beforeLines="50" w:after="50"/>
        <w:ind w:firstLine="480"/>
        <w:rPr>
          <w:rFonts w:hint="eastAsia"/>
          <w:sz w:val="24"/>
          <w:szCs w:val="20"/>
        </w:rPr>
      </w:pPr>
      <w:r>
        <w:rPr>
          <w:rFonts w:hint="eastAsia"/>
          <w:sz w:val="24"/>
        </w:rPr>
        <w:t>委托代理人无转委托权，特此委托。</w:t>
      </w:r>
    </w:p>
    <w:p w14:paraId="44935149">
      <w:pPr>
        <w:snapToGrid w:val="0"/>
        <w:spacing w:before="156" w:beforeLines="50" w:after="50"/>
        <w:rPr>
          <w:rFonts w:hint="eastAsia"/>
          <w:sz w:val="24"/>
          <w:szCs w:val="20"/>
          <w:u w:val="single"/>
        </w:rPr>
      </w:pPr>
      <w:r>
        <w:rPr>
          <w:rFonts w:hint="eastAsia"/>
          <w:sz w:val="24"/>
        </w:rPr>
        <w:t>委托代理人签名：</w:t>
      </w:r>
      <w:r>
        <w:rPr>
          <w:rFonts w:hint="eastAsia"/>
          <w:sz w:val="24"/>
          <w:u w:val="single"/>
        </w:rPr>
        <w:t xml:space="preserve">          </w:t>
      </w:r>
      <w:r>
        <w:rPr>
          <w:rFonts w:hint="eastAsia"/>
          <w:sz w:val="24"/>
        </w:rPr>
        <w:t xml:space="preserve">                 法定代表人签名：</w:t>
      </w:r>
      <w:r>
        <w:rPr>
          <w:rFonts w:hint="eastAsia"/>
          <w:sz w:val="24"/>
          <w:u w:val="single"/>
        </w:rPr>
        <w:t xml:space="preserve">          </w:t>
      </w:r>
    </w:p>
    <w:p w14:paraId="548955D8">
      <w:pPr>
        <w:snapToGrid w:val="0"/>
        <w:spacing w:before="156" w:beforeLines="50" w:after="50"/>
        <w:ind w:firstLine="960" w:firstLineChars="400"/>
        <w:rPr>
          <w:rFonts w:hint="eastAsia"/>
          <w:sz w:val="24"/>
          <w:szCs w:val="20"/>
        </w:rPr>
      </w:pPr>
      <w:r>
        <w:rPr>
          <w:rFonts w:hint="eastAsia"/>
          <w:sz w:val="24"/>
        </w:rPr>
        <w:t>职务：</w:t>
      </w:r>
      <w:r>
        <w:rPr>
          <w:rFonts w:hint="eastAsia"/>
          <w:sz w:val="24"/>
          <w:u w:val="single"/>
        </w:rPr>
        <w:t xml:space="preserve">           </w:t>
      </w:r>
      <w:r>
        <w:rPr>
          <w:rFonts w:hint="eastAsia"/>
          <w:sz w:val="24"/>
        </w:rPr>
        <w:t xml:space="preserve">                          职务：</w:t>
      </w:r>
      <w:r>
        <w:rPr>
          <w:rFonts w:hint="eastAsia"/>
          <w:sz w:val="24"/>
          <w:u w:val="single"/>
        </w:rPr>
        <w:t xml:space="preserve">           </w:t>
      </w:r>
    </w:p>
    <w:p w14:paraId="79CBDE6B">
      <w:pPr>
        <w:snapToGrid w:val="0"/>
        <w:spacing w:before="156" w:beforeLines="50" w:after="50" w:line="300" w:lineRule="exact"/>
        <w:rPr>
          <w:rFonts w:hint="eastAsia" w:ascii="宋体" w:hAnsi="宋体"/>
          <w:sz w:val="24"/>
        </w:rPr>
      </w:pPr>
      <w:r>
        <w:rPr>
          <w:rFonts w:hint="eastAsia" w:ascii="宋体" w:hAnsi="宋体"/>
          <w:sz w:val="24"/>
        </w:rPr>
        <w:t>委托代理人身份证复印件（正反双面）：</w:t>
      </w:r>
    </w:p>
    <w:tbl>
      <w:tblPr>
        <w:tblStyle w:val="65"/>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240"/>
      </w:tblGrid>
      <w:tr w14:paraId="4973981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775" w:hRule="atLeast"/>
        </w:trPr>
        <w:tc>
          <w:tcPr>
            <w:tcW w:w="5240" w:type="dxa"/>
            <w:noWrap w:val="0"/>
            <w:vAlign w:val="top"/>
          </w:tcPr>
          <w:p w14:paraId="39C86794">
            <w:pPr>
              <w:snapToGrid w:val="0"/>
              <w:spacing w:before="156" w:beforeLines="50" w:after="50"/>
              <w:rPr>
                <w:rFonts w:hint="eastAsia" w:ascii="宋体" w:hAnsi="宋体"/>
                <w:sz w:val="24"/>
              </w:rPr>
            </w:pPr>
          </w:p>
          <w:p w14:paraId="0936F3DE">
            <w:pPr>
              <w:snapToGrid w:val="0"/>
              <w:spacing w:before="156" w:beforeLines="50" w:after="50"/>
              <w:rPr>
                <w:rFonts w:hint="eastAsia" w:ascii="宋体" w:hAnsi="宋体"/>
                <w:sz w:val="24"/>
              </w:rPr>
            </w:pPr>
          </w:p>
          <w:p w14:paraId="6C63CA36">
            <w:pPr>
              <w:snapToGrid w:val="0"/>
              <w:spacing w:before="156" w:beforeLines="50" w:after="50"/>
              <w:rPr>
                <w:rFonts w:hint="eastAsia" w:ascii="宋体" w:hAnsi="宋体"/>
                <w:sz w:val="24"/>
              </w:rPr>
            </w:pPr>
          </w:p>
          <w:p w14:paraId="3E4CAAA3">
            <w:pPr>
              <w:snapToGrid w:val="0"/>
              <w:spacing w:before="156" w:beforeLines="50" w:after="50"/>
              <w:jc w:val="center"/>
              <w:rPr>
                <w:rFonts w:hint="eastAsia" w:ascii="宋体" w:hAnsi="宋体"/>
                <w:sz w:val="48"/>
                <w:szCs w:val="48"/>
              </w:rPr>
            </w:pPr>
            <w:r>
              <w:rPr>
                <w:rFonts w:hint="eastAsia" w:ascii="宋体" w:hAnsi="宋体"/>
                <w:sz w:val="48"/>
                <w:szCs w:val="48"/>
              </w:rPr>
              <w:t>粘</w:t>
            </w:r>
          </w:p>
          <w:p w14:paraId="1ADED6A8">
            <w:pPr>
              <w:snapToGrid w:val="0"/>
              <w:spacing w:before="156" w:beforeLines="50" w:after="50"/>
              <w:jc w:val="center"/>
              <w:rPr>
                <w:rFonts w:hint="eastAsia" w:ascii="宋体" w:hAnsi="宋体"/>
                <w:sz w:val="48"/>
                <w:szCs w:val="48"/>
              </w:rPr>
            </w:pPr>
          </w:p>
          <w:p w14:paraId="289F5667">
            <w:pPr>
              <w:snapToGrid w:val="0"/>
              <w:spacing w:before="156" w:beforeLines="50" w:after="50"/>
              <w:jc w:val="center"/>
              <w:rPr>
                <w:rFonts w:hint="eastAsia" w:ascii="宋体" w:hAnsi="宋体"/>
                <w:sz w:val="48"/>
                <w:szCs w:val="48"/>
              </w:rPr>
            </w:pPr>
            <w:r>
              <w:rPr>
                <w:rFonts w:hint="eastAsia" w:ascii="宋体" w:hAnsi="宋体"/>
                <w:sz w:val="48"/>
                <w:szCs w:val="48"/>
              </w:rPr>
              <w:t>贴</w:t>
            </w:r>
          </w:p>
          <w:p w14:paraId="08293810">
            <w:pPr>
              <w:snapToGrid w:val="0"/>
              <w:spacing w:before="156" w:beforeLines="50" w:after="50"/>
              <w:jc w:val="center"/>
              <w:rPr>
                <w:rFonts w:hint="eastAsia" w:ascii="宋体" w:hAnsi="宋体"/>
                <w:sz w:val="48"/>
                <w:szCs w:val="48"/>
              </w:rPr>
            </w:pPr>
          </w:p>
          <w:p w14:paraId="4B9A8FED">
            <w:pPr>
              <w:snapToGrid w:val="0"/>
              <w:spacing w:before="156" w:beforeLines="50" w:after="50"/>
              <w:jc w:val="center"/>
              <w:rPr>
                <w:rFonts w:hint="eastAsia" w:ascii="宋体" w:hAnsi="宋体"/>
                <w:sz w:val="36"/>
                <w:szCs w:val="36"/>
              </w:rPr>
            </w:pPr>
            <w:r>
              <w:rPr>
                <w:rFonts w:hint="eastAsia" w:ascii="宋体" w:hAnsi="宋体"/>
                <w:sz w:val="48"/>
                <w:szCs w:val="48"/>
              </w:rPr>
              <w:t>处</w:t>
            </w:r>
          </w:p>
        </w:tc>
      </w:tr>
    </w:tbl>
    <w:p w14:paraId="1C7DAF51">
      <w:pPr>
        <w:snapToGrid w:val="0"/>
        <w:spacing w:before="156" w:beforeLines="50" w:after="50"/>
        <w:rPr>
          <w:rFonts w:hint="eastAsia" w:ascii="宋体" w:hAnsi="宋体"/>
          <w:sz w:val="24"/>
        </w:rPr>
      </w:pPr>
    </w:p>
    <w:p w14:paraId="24A5D5C8">
      <w:pPr>
        <w:snapToGrid w:val="0"/>
        <w:spacing w:before="156" w:beforeLines="50" w:after="50"/>
        <w:rPr>
          <w:rFonts w:hint="eastAsia" w:ascii="宋体" w:hAnsi="宋体"/>
          <w:sz w:val="24"/>
        </w:rPr>
      </w:pPr>
    </w:p>
    <w:p w14:paraId="2561A22C">
      <w:pPr>
        <w:snapToGrid w:val="0"/>
        <w:spacing w:before="156" w:beforeLines="50" w:after="50"/>
        <w:rPr>
          <w:rFonts w:hint="eastAsia" w:ascii="宋体" w:hAnsi="宋体"/>
          <w:sz w:val="24"/>
        </w:rPr>
      </w:pPr>
      <w:r>
        <w:rPr>
          <w:rFonts w:ascii="宋体" w:hAnsi="宋体"/>
          <w:sz w:val="24"/>
        </w:rPr>
        <w:t xml:space="preserve"> </w:t>
      </w:r>
    </w:p>
    <w:p w14:paraId="31B02EA3">
      <w:pPr>
        <w:snapToGrid w:val="0"/>
        <w:spacing w:before="156" w:beforeLines="50" w:after="50"/>
        <w:rPr>
          <w:rFonts w:hint="eastAsia" w:ascii="宋体" w:hAnsi="宋体"/>
          <w:sz w:val="24"/>
          <w:szCs w:val="20"/>
        </w:rPr>
      </w:pPr>
    </w:p>
    <w:p w14:paraId="564B0B5A">
      <w:pPr>
        <w:snapToGrid w:val="0"/>
        <w:spacing w:before="156" w:beforeLines="50" w:after="50"/>
        <w:rPr>
          <w:rFonts w:hint="eastAsia" w:ascii="宋体" w:hAnsi="宋体"/>
          <w:sz w:val="24"/>
        </w:rPr>
      </w:pP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p>
    <w:p w14:paraId="2ED5114E">
      <w:pPr>
        <w:snapToGrid w:val="0"/>
        <w:spacing w:before="156" w:beforeLines="50" w:after="50"/>
        <w:rPr>
          <w:rFonts w:hint="eastAsia" w:ascii="宋体" w:hAnsi="宋体"/>
          <w:sz w:val="24"/>
        </w:rPr>
      </w:pPr>
    </w:p>
    <w:p w14:paraId="2173BD56">
      <w:pPr>
        <w:snapToGrid w:val="0"/>
        <w:spacing w:before="156" w:beforeLines="50" w:after="50"/>
        <w:rPr>
          <w:rFonts w:hint="eastAsia" w:ascii="宋体" w:hAnsi="宋体"/>
          <w:sz w:val="24"/>
        </w:rPr>
      </w:pPr>
    </w:p>
    <w:p w14:paraId="4711F33E">
      <w:pPr>
        <w:snapToGrid w:val="0"/>
        <w:spacing w:before="156" w:beforeLines="50" w:after="50"/>
        <w:rPr>
          <w:rFonts w:hint="eastAsia" w:ascii="宋体" w:hAnsi="宋体"/>
          <w:sz w:val="24"/>
        </w:rPr>
      </w:pPr>
    </w:p>
    <w:p w14:paraId="5DCE5CED">
      <w:pPr>
        <w:snapToGrid w:val="0"/>
        <w:spacing w:before="156" w:beforeLines="50" w:after="50"/>
        <w:rPr>
          <w:rFonts w:hint="eastAsia" w:ascii="宋体" w:hAnsi="宋体"/>
          <w:sz w:val="24"/>
        </w:rPr>
      </w:pPr>
    </w:p>
    <w:p w14:paraId="1525ED93">
      <w:pPr>
        <w:snapToGrid w:val="0"/>
        <w:spacing w:before="156" w:beforeLines="50" w:after="50"/>
        <w:ind w:firstLine="600" w:firstLineChars="250"/>
        <w:rPr>
          <w:rFonts w:ascii="宋体" w:hAnsi="宋体"/>
          <w:sz w:val="24"/>
          <w:szCs w:val="20"/>
        </w:rPr>
      </w:pPr>
      <w:r>
        <w:rPr>
          <w:rFonts w:hint="eastAsia" w:ascii="宋体" w:hAnsi="宋体"/>
          <w:sz w:val="24"/>
        </w:rPr>
        <w:t>投标人公章：</w:t>
      </w:r>
    </w:p>
    <w:p w14:paraId="4EEBA251">
      <w:pPr>
        <w:snapToGrid w:val="0"/>
        <w:spacing w:before="156" w:beforeLines="50" w:after="50"/>
        <w:jc w:val="center"/>
        <w:rPr>
          <w:rFonts w:ascii="宋体" w:hAnsi="宋体"/>
          <w:sz w:val="24"/>
          <w:szCs w:val="20"/>
        </w:rPr>
      </w:pP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14:paraId="614B8039">
      <w:pPr>
        <w:snapToGrid w:val="0"/>
        <w:spacing w:before="50" w:after="156" w:afterLines="50"/>
        <w:jc w:val="left"/>
        <w:rPr>
          <w:rFonts w:hint="eastAsia" w:ascii="宋体" w:hAnsi="宋体"/>
        </w:rPr>
      </w:pPr>
      <w:r>
        <w:rPr>
          <w:b/>
          <w:sz w:val="25"/>
          <w:szCs w:val="25"/>
        </w:rPr>
        <w:t>*</w:t>
      </w:r>
      <w:r>
        <w:rPr>
          <w:rFonts w:hint="eastAsia" w:ascii="宋体" w:hAnsi="宋体"/>
        </w:rPr>
        <w:t>注；此表格格式不得修改。</w:t>
      </w:r>
    </w:p>
    <w:p w14:paraId="624C61A4">
      <w:pPr>
        <w:keepNext/>
        <w:keepLines/>
        <w:spacing w:before="260" w:after="260" w:line="416" w:lineRule="auto"/>
        <w:outlineLvl w:val="1"/>
        <w:rPr>
          <w:rFonts w:hint="eastAsia" w:ascii="宋体" w:hAnsi="宋体" w:cs="宋体"/>
          <w:bCs/>
          <w:sz w:val="24"/>
          <w:szCs w:val="32"/>
        </w:rPr>
      </w:pPr>
      <w:bookmarkStart w:id="82" w:name="_Toc24340"/>
      <w:bookmarkStart w:id="83" w:name="_Toc30843"/>
      <w:bookmarkStart w:id="84" w:name="_Toc4377"/>
      <w:bookmarkStart w:id="85" w:name="_Toc5846"/>
      <w:bookmarkStart w:id="86" w:name="_Toc27823"/>
      <w:bookmarkStart w:id="87" w:name="_Toc23315"/>
      <w:r>
        <w:rPr>
          <w:rFonts w:hint="eastAsia" w:ascii="宋体" w:hAnsi="宋体" w:cs="宋体"/>
          <w:bCs/>
          <w:sz w:val="24"/>
          <w:szCs w:val="32"/>
        </w:rPr>
        <w:t>附件三：</w:t>
      </w:r>
      <w:bookmarkEnd w:id="82"/>
      <w:bookmarkEnd w:id="83"/>
      <w:r>
        <w:rPr>
          <w:rFonts w:hint="eastAsia" w:ascii="宋体" w:hAnsi="宋体" w:cs="宋体"/>
          <w:bCs/>
          <w:sz w:val="24"/>
          <w:szCs w:val="32"/>
        </w:rPr>
        <w:t>符合参加采购活动应当具备的一般条件的承诺函</w:t>
      </w:r>
      <w:bookmarkEnd w:id="84"/>
      <w:bookmarkEnd w:id="85"/>
      <w:bookmarkEnd w:id="86"/>
      <w:bookmarkEnd w:id="87"/>
    </w:p>
    <w:p w14:paraId="4CC301B7">
      <w:pPr>
        <w:pStyle w:val="60"/>
        <w:spacing w:beforeAutospacing="0" w:afterAutospacing="0" w:line="360" w:lineRule="auto"/>
        <w:jc w:val="center"/>
        <w:rPr>
          <w:rFonts w:hint="eastAsia"/>
        </w:rPr>
      </w:pPr>
      <w:r>
        <w:rPr>
          <w:rFonts w:hint="eastAsia"/>
          <w:b/>
          <w:bCs/>
          <w:sz w:val="27"/>
          <w:szCs w:val="27"/>
        </w:rPr>
        <w:t>符合参加采购活动应当具备的一般条件的承诺函</w:t>
      </w:r>
    </w:p>
    <w:p w14:paraId="61C2746A">
      <w:pPr>
        <w:snapToGrid w:val="0"/>
        <w:spacing w:before="156" w:beforeLines="50" w:after="50" w:line="276"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（招标采购单位名称）：</w:t>
      </w:r>
    </w:p>
    <w:p w14:paraId="4AD64CFB">
      <w:pPr>
        <w:pStyle w:val="60"/>
        <w:spacing w:before="0" w:beforeAutospacing="0" w:after="0" w:afterAutospacing="0" w:line="360" w:lineRule="auto"/>
        <w:ind w:left="480"/>
        <w:jc w:val="both"/>
        <w:rPr>
          <w:rFonts w:hint="eastAsia"/>
          <w:kern w:val="2"/>
        </w:rPr>
      </w:pPr>
      <w:r>
        <w:rPr>
          <w:rFonts w:hint="eastAsia"/>
          <w:kern w:val="2"/>
        </w:rPr>
        <w:t>我方参与</w:t>
      </w:r>
      <w:r>
        <w:rPr>
          <w:rFonts w:hint="eastAsia"/>
          <w:u w:val="single"/>
        </w:rPr>
        <w:t xml:space="preserve">              </w:t>
      </w:r>
      <w:r>
        <w:rPr>
          <w:rFonts w:hint="eastAsia"/>
          <w:kern w:val="2"/>
        </w:rPr>
        <w:t>项目【项目编号：</w:t>
      </w:r>
      <w:r>
        <w:rPr>
          <w:rFonts w:hint="eastAsia"/>
          <w:u w:val="single"/>
        </w:rPr>
        <w:t xml:space="preserve">             </w:t>
      </w:r>
      <w:r>
        <w:rPr>
          <w:rFonts w:hint="eastAsia"/>
          <w:kern w:val="2"/>
        </w:rPr>
        <w:t>】采购活动，郑重承诺：</w:t>
      </w:r>
    </w:p>
    <w:p w14:paraId="5DF493E7">
      <w:pPr>
        <w:pStyle w:val="60"/>
        <w:numPr>
          <w:ilvl w:val="0"/>
          <w:numId w:val="18"/>
        </w:numPr>
        <w:spacing w:before="0" w:beforeAutospacing="0" w:after="0" w:afterAutospacing="0" w:line="360" w:lineRule="auto"/>
        <w:ind w:left="480"/>
        <w:jc w:val="both"/>
        <w:rPr>
          <w:rFonts w:hint="eastAsia"/>
          <w:kern w:val="2"/>
        </w:rPr>
      </w:pPr>
      <w:r>
        <w:rPr>
          <w:rFonts w:hint="eastAsia"/>
          <w:kern w:val="2"/>
        </w:rPr>
        <w:t>具备东阳市国有企业采购管理办法（2020年修订）二、采购当事人 第（三）条规定的条件；</w:t>
      </w:r>
    </w:p>
    <w:p w14:paraId="156BC3EB">
      <w:pPr>
        <w:pStyle w:val="60"/>
        <w:spacing w:before="0" w:beforeAutospacing="0" w:after="0" w:afterAutospacing="0" w:line="360" w:lineRule="auto"/>
        <w:ind w:firstLine="480" w:firstLineChars="200"/>
        <w:jc w:val="both"/>
        <w:rPr>
          <w:rFonts w:hint="eastAsia"/>
          <w:kern w:val="2"/>
        </w:rPr>
      </w:pPr>
      <w:r>
        <w:rPr>
          <w:rFonts w:hint="eastAsia"/>
          <w:kern w:val="2"/>
        </w:rPr>
        <w:t>1、具有独立承担民事责任的能力；</w:t>
      </w:r>
    </w:p>
    <w:p w14:paraId="4C1307E3">
      <w:pPr>
        <w:pStyle w:val="60"/>
        <w:spacing w:before="0" w:beforeAutospacing="0" w:after="0" w:afterAutospacing="0" w:line="360" w:lineRule="auto"/>
        <w:ind w:left="480"/>
        <w:jc w:val="both"/>
        <w:rPr>
          <w:rFonts w:hint="eastAsia"/>
          <w:kern w:val="2"/>
        </w:rPr>
      </w:pPr>
      <w:r>
        <w:rPr>
          <w:rFonts w:hint="eastAsia"/>
          <w:kern w:val="2"/>
        </w:rPr>
        <w:t xml:space="preserve">2、具有良好的商业信誉和健全的财务会计制度； </w:t>
      </w:r>
    </w:p>
    <w:p w14:paraId="04763B33">
      <w:pPr>
        <w:pStyle w:val="60"/>
        <w:spacing w:before="0" w:beforeAutospacing="0" w:after="0" w:afterAutospacing="0" w:line="360" w:lineRule="auto"/>
        <w:ind w:left="480"/>
        <w:jc w:val="both"/>
        <w:rPr>
          <w:rFonts w:hint="eastAsia"/>
          <w:kern w:val="2"/>
        </w:rPr>
      </w:pPr>
      <w:r>
        <w:rPr>
          <w:rFonts w:hint="eastAsia"/>
          <w:kern w:val="2"/>
        </w:rPr>
        <w:t>3、具有履行合同所必需的设备和专业技术、售后保障等能力；</w:t>
      </w:r>
    </w:p>
    <w:p w14:paraId="1B6A6A9C">
      <w:pPr>
        <w:pStyle w:val="60"/>
        <w:spacing w:before="0" w:beforeAutospacing="0" w:after="0" w:afterAutospacing="0" w:line="360" w:lineRule="auto"/>
        <w:ind w:left="480"/>
        <w:jc w:val="both"/>
        <w:rPr>
          <w:rFonts w:hint="eastAsia"/>
          <w:kern w:val="2"/>
        </w:rPr>
      </w:pPr>
      <w:r>
        <w:rPr>
          <w:rFonts w:hint="eastAsia"/>
          <w:kern w:val="2"/>
        </w:rPr>
        <w:t>4、有依法缴纳税收和社会保障资金的良好记录；</w:t>
      </w:r>
    </w:p>
    <w:p w14:paraId="581BC094">
      <w:pPr>
        <w:pStyle w:val="60"/>
        <w:spacing w:before="0" w:beforeAutospacing="0" w:after="0" w:afterAutospacing="0" w:line="360" w:lineRule="auto"/>
        <w:ind w:left="480"/>
        <w:jc w:val="both"/>
        <w:rPr>
          <w:rFonts w:hint="eastAsia"/>
          <w:kern w:val="2"/>
        </w:rPr>
      </w:pPr>
      <w:r>
        <w:rPr>
          <w:rFonts w:hint="eastAsia"/>
          <w:kern w:val="2"/>
        </w:rPr>
        <w:t>5、参加采购、招投标等活动前三年内，在经营活动中没有重大违法记录和行贿记录；</w:t>
      </w:r>
    </w:p>
    <w:p w14:paraId="3BA235C2">
      <w:pPr>
        <w:pStyle w:val="60"/>
        <w:spacing w:before="0" w:beforeAutospacing="0" w:after="0" w:afterAutospacing="0" w:line="360" w:lineRule="auto"/>
        <w:ind w:left="480"/>
        <w:jc w:val="both"/>
        <w:rPr>
          <w:rFonts w:hint="eastAsia"/>
          <w:kern w:val="2"/>
        </w:rPr>
      </w:pPr>
      <w:r>
        <w:rPr>
          <w:rFonts w:hint="eastAsia"/>
          <w:kern w:val="2"/>
        </w:rPr>
        <w:t>6、法律、法规规定的其他条件。</w:t>
      </w:r>
    </w:p>
    <w:p w14:paraId="5DB14CE1">
      <w:pPr>
        <w:pStyle w:val="60"/>
        <w:spacing w:before="0" w:beforeAutospacing="0" w:after="0" w:afterAutospacing="0" w:line="360" w:lineRule="auto"/>
        <w:ind w:left="480"/>
        <w:jc w:val="both"/>
        <w:rPr>
          <w:rFonts w:hint="eastAsia"/>
          <w:kern w:val="2"/>
        </w:rPr>
      </w:pPr>
      <w:r>
        <w:rPr>
          <w:rFonts w:hint="eastAsia"/>
          <w:kern w:val="2"/>
        </w:rPr>
        <w:t>（二）未被信用中国（www.creditchina.gov.cn)、中国政府采购网（www.ccgp.gov.cn）列入失信被执行人、重大税收违法案件当事人名单、政府采购严重违法失信行为记录名单。</w:t>
      </w:r>
    </w:p>
    <w:p w14:paraId="736610A5">
      <w:pPr>
        <w:pStyle w:val="60"/>
        <w:spacing w:before="0" w:beforeAutospacing="0" w:after="0" w:afterAutospacing="0" w:line="360" w:lineRule="auto"/>
        <w:ind w:left="480"/>
        <w:jc w:val="both"/>
        <w:rPr>
          <w:rFonts w:hint="eastAsia"/>
          <w:kern w:val="2"/>
        </w:rPr>
      </w:pPr>
      <w:r>
        <w:rPr>
          <w:rFonts w:hint="eastAsia"/>
          <w:kern w:val="2"/>
        </w:rPr>
        <w:t>（三）不存在以下情况：</w:t>
      </w:r>
    </w:p>
    <w:p w14:paraId="23A8F6F3">
      <w:pPr>
        <w:pStyle w:val="60"/>
        <w:spacing w:before="0" w:beforeAutospacing="0" w:after="0" w:afterAutospacing="0" w:line="360" w:lineRule="auto"/>
        <w:ind w:left="480"/>
        <w:jc w:val="both"/>
        <w:rPr>
          <w:rFonts w:hint="eastAsia"/>
          <w:kern w:val="2"/>
        </w:rPr>
      </w:pPr>
      <w:r>
        <w:rPr>
          <w:rFonts w:hint="eastAsia"/>
          <w:kern w:val="2"/>
        </w:rPr>
        <w:t>1、单位负责人为同一人或者存在直接控股、管理关系的不同供应商参加同一合同项下的政府采购活动的；</w:t>
      </w:r>
    </w:p>
    <w:p w14:paraId="194421B0">
      <w:pPr>
        <w:pStyle w:val="60"/>
        <w:spacing w:before="0" w:beforeAutospacing="0" w:after="0" w:afterAutospacing="0" w:line="360" w:lineRule="auto"/>
        <w:ind w:left="480"/>
        <w:jc w:val="both"/>
        <w:rPr>
          <w:rFonts w:hint="eastAsia"/>
          <w:kern w:val="2"/>
        </w:rPr>
      </w:pPr>
      <w:r>
        <w:rPr>
          <w:rFonts w:hint="eastAsia"/>
          <w:kern w:val="2"/>
        </w:rPr>
        <w:t>2、为采购项目提供整体设计、规范编制或者项目管理、监理、检测等服务后再参加该采购项目的其他采购活动的。</w:t>
      </w:r>
    </w:p>
    <w:p w14:paraId="18C51B25">
      <w:pPr>
        <w:pStyle w:val="60"/>
        <w:spacing w:before="0" w:beforeAutospacing="0" w:after="0" w:afterAutospacing="0" w:line="360" w:lineRule="auto"/>
        <w:ind w:left="480"/>
        <w:jc w:val="both"/>
        <w:rPr>
          <w:rFonts w:hint="eastAsia"/>
          <w:kern w:val="2"/>
        </w:rPr>
      </w:pPr>
    </w:p>
    <w:p w14:paraId="37A9F018">
      <w:pPr>
        <w:pStyle w:val="60"/>
        <w:spacing w:before="0" w:beforeAutospacing="0" w:after="0" w:afterAutospacing="0" w:line="360" w:lineRule="auto"/>
        <w:ind w:left="480"/>
        <w:jc w:val="both"/>
        <w:rPr>
          <w:rFonts w:hint="eastAsia"/>
          <w:kern w:val="2"/>
        </w:rPr>
      </w:pPr>
    </w:p>
    <w:p w14:paraId="00F7A302">
      <w:pPr>
        <w:pStyle w:val="60"/>
        <w:spacing w:before="0" w:beforeAutospacing="0" w:after="0" w:afterAutospacing="0" w:line="360" w:lineRule="auto"/>
        <w:ind w:left="480"/>
        <w:jc w:val="both"/>
        <w:rPr>
          <w:rFonts w:hint="eastAsia"/>
          <w:kern w:val="2"/>
        </w:rPr>
      </w:pPr>
    </w:p>
    <w:p w14:paraId="21350386">
      <w:pPr>
        <w:snapToGrid w:val="0"/>
        <w:spacing w:before="50" w:after="50"/>
        <w:rPr>
          <w:rFonts w:ascii="宋体" w:hAnsi="宋体" w:cs="宋体"/>
          <w:spacing w:val="20"/>
          <w:sz w:val="24"/>
          <w:u w:val="single"/>
        </w:rPr>
      </w:pPr>
      <w:r>
        <w:rPr>
          <w:rFonts w:hint="eastAsia" w:ascii="宋体" w:hAnsi="宋体" w:cs="宋体"/>
          <w:sz w:val="24"/>
        </w:rPr>
        <w:t>法定代表人或委托代理人签字</w:t>
      </w:r>
      <w:r>
        <w:rPr>
          <w:rFonts w:hint="eastAsia" w:ascii="宋体" w:hAnsi="宋体" w:cs="宋体"/>
          <w:spacing w:val="20"/>
          <w:sz w:val="24"/>
        </w:rPr>
        <w:t>：</w:t>
      </w:r>
      <w:r>
        <w:rPr>
          <w:rFonts w:hint="eastAsia" w:ascii="宋体" w:hAnsi="宋体" w:cs="宋体"/>
          <w:spacing w:val="20"/>
          <w:sz w:val="24"/>
          <w:u w:val="single"/>
        </w:rPr>
        <w:t xml:space="preserve">        </w:t>
      </w:r>
    </w:p>
    <w:p w14:paraId="4D1F64C2">
      <w:pPr>
        <w:snapToGrid w:val="0"/>
        <w:spacing w:before="156" w:beforeLines="50"/>
        <w:rPr>
          <w:rFonts w:ascii="宋体" w:hAnsi="宋体" w:cs="宋体"/>
          <w:sz w:val="24"/>
        </w:rPr>
      </w:pPr>
      <w:r>
        <w:rPr>
          <w:rFonts w:hint="eastAsia" w:ascii="宋体" w:hAnsi="宋体" w:cs="宋体"/>
          <w:spacing w:val="20"/>
          <w:sz w:val="24"/>
        </w:rPr>
        <w:t>投标人盖章：</w:t>
      </w:r>
      <w:r>
        <w:rPr>
          <w:rFonts w:hint="eastAsia" w:ascii="宋体" w:hAnsi="宋体" w:cs="宋体"/>
          <w:spacing w:val="20"/>
          <w:sz w:val="24"/>
          <w:u w:val="single"/>
        </w:rPr>
        <w:t xml:space="preserve">            </w:t>
      </w:r>
      <w:r>
        <w:rPr>
          <w:rFonts w:hint="eastAsia" w:ascii="宋体" w:hAnsi="宋体" w:cs="宋体"/>
          <w:spacing w:val="20"/>
          <w:sz w:val="24"/>
        </w:rPr>
        <w:t xml:space="preserve">              日 期：</w:t>
      </w:r>
      <w:r>
        <w:rPr>
          <w:rFonts w:hint="eastAsia" w:ascii="宋体" w:hAnsi="宋体" w:cs="宋体"/>
          <w:spacing w:val="20"/>
          <w:sz w:val="24"/>
          <w:u w:val="single"/>
        </w:rPr>
        <w:t xml:space="preserve">            </w:t>
      </w:r>
    </w:p>
    <w:p w14:paraId="4244857E">
      <w:pPr>
        <w:rPr>
          <w:rFonts w:ascii="宋体" w:hAnsi="宋体" w:cs="宋体"/>
          <w:sz w:val="24"/>
        </w:rPr>
      </w:pPr>
    </w:p>
    <w:p w14:paraId="5777A5FE">
      <w:pPr>
        <w:pStyle w:val="27"/>
        <w:ind w:firstLine="0" w:firstLineChars="0"/>
        <w:rPr>
          <w:rFonts w:hint="eastAsia"/>
        </w:rPr>
      </w:pPr>
    </w:p>
    <w:p w14:paraId="0AB9FD23">
      <w:pPr>
        <w:keepNext/>
        <w:keepLines/>
        <w:spacing w:before="260" w:after="260" w:line="416" w:lineRule="auto"/>
        <w:outlineLvl w:val="1"/>
        <w:rPr>
          <w:rFonts w:hint="eastAsia" w:ascii="宋体" w:hAnsi="宋体"/>
          <w:bCs/>
          <w:sz w:val="24"/>
          <w:szCs w:val="32"/>
        </w:rPr>
      </w:pPr>
      <w:bookmarkStart w:id="88" w:name="_Toc491242407"/>
      <w:bookmarkStart w:id="89" w:name="_Toc504549897"/>
      <w:bookmarkStart w:id="90" w:name="_Toc25045"/>
      <w:bookmarkStart w:id="91" w:name="_Toc7161"/>
      <w:r>
        <w:rPr>
          <w:rFonts w:hint="eastAsia" w:ascii="宋体" w:hAnsi="宋体"/>
          <w:bCs/>
          <w:sz w:val="24"/>
          <w:szCs w:val="32"/>
        </w:rPr>
        <w:t>附件四：</w:t>
      </w:r>
      <w:bookmarkEnd w:id="88"/>
      <w:bookmarkEnd w:id="89"/>
      <w:r>
        <w:rPr>
          <w:rFonts w:hint="eastAsia" w:ascii="宋体" w:hAnsi="宋体"/>
          <w:bCs/>
          <w:sz w:val="24"/>
          <w:szCs w:val="32"/>
        </w:rPr>
        <w:t xml:space="preserve"> 投标人资信商务、技术自评得分表</w:t>
      </w:r>
      <w:bookmarkEnd w:id="90"/>
      <w:bookmarkEnd w:id="91"/>
    </w:p>
    <w:p w14:paraId="520234CF">
      <w:pPr>
        <w:jc w:val="center"/>
        <w:rPr>
          <w:rFonts w:hint="eastAsia"/>
          <w:b/>
          <w:sz w:val="36"/>
          <w:szCs w:val="36"/>
        </w:rPr>
      </w:pPr>
      <w:r>
        <w:rPr>
          <w:rFonts w:hint="eastAsia"/>
          <w:b/>
          <w:sz w:val="36"/>
          <w:szCs w:val="36"/>
        </w:rPr>
        <w:t>投标人技术、资信商务自评得分表</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300"/>
        <w:gridCol w:w="2976"/>
        <w:gridCol w:w="851"/>
        <w:gridCol w:w="1134"/>
      </w:tblGrid>
      <w:tr w14:paraId="4C63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36F33D1D">
            <w:pPr>
              <w:jc w:val="center"/>
              <w:rPr>
                <w:rFonts w:hint="eastAsia"/>
                <w:sz w:val="28"/>
                <w:szCs w:val="28"/>
              </w:rPr>
            </w:pPr>
            <w:r>
              <w:rPr>
                <w:rFonts w:hint="eastAsia"/>
                <w:sz w:val="28"/>
                <w:szCs w:val="28"/>
              </w:rPr>
              <w:t>序号</w:t>
            </w:r>
          </w:p>
        </w:tc>
        <w:tc>
          <w:tcPr>
            <w:tcW w:w="3300" w:type="dxa"/>
            <w:noWrap w:val="0"/>
            <w:vAlign w:val="center"/>
          </w:tcPr>
          <w:p w14:paraId="0183E020">
            <w:pPr>
              <w:jc w:val="center"/>
              <w:rPr>
                <w:rFonts w:hint="eastAsia"/>
                <w:sz w:val="28"/>
                <w:szCs w:val="28"/>
              </w:rPr>
            </w:pPr>
            <w:r>
              <w:rPr>
                <w:rFonts w:hint="eastAsia"/>
                <w:sz w:val="28"/>
                <w:szCs w:val="28"/>
              </w:rPr>
              <w:t>评分标准</w:t>
            </w:r>
          </w:p>
        </w:tc>
        <w:tc>
          <w:tcPr>
            <w:tcW w:w="2976" w:type="dxa"/>
            <w:noWrap w:val="0"/>
            <w:vAlign w:val="center"/>
          </w:tcPr>
          <w:p w14:paraId="1076776E">
            <w:pPr>
              <w:jc w:val="center"/>
              <w:rPr>
                <w:rFonts w:hint="eastAsia"/>
                <w:sz w:val="28"/>
                <w:szCs w:val="28"/>
              </w:rPr>
            </w:pPr>
            <w:r>
              <w:rPr>
                <w:rFonts w:hint="eastAsia"/>
                <w:sz w:val="28"/>
                <w:szCs w:val="28"/>
              </w:rPr>
              <w:t>得分内容</w:t>
            </w:r>
          </w:p>
        </w:tc>
        <w:tc>
          <w:tcPr>
            <w:tcW w:w="851" w:type="dxa"/>
            <w:noWrap w:val="0"/>
            <w:vAlign w:val="center"/>
          </w:tcPr>
          <w:p w14:paraId="028E6949">
            <w:pPr>
              <w:jc w:val="center"/>
              <w:rPr>
                <w:rFonts w:hint="eastAsia"/>
                <w:sz w:val="28"/>
                <w:szCs w:val="28"/>
              </w:rPr>
            </w:pPr>
            <w:r>
              <w:rPr>
                <w:rFonts w:hint="eastAsia"/>
                <w:sz w:val="28"/>
                <w:szCs w:val="28"/>
              </w:rPr>
              <w:t>自评</w:t>
            </w:r>
          </w:p>
          <w:p w14:paraId="25F04DB5">
            <w:pPr>
              <w:jc w:val="center"/>
              <w:rPr>
                <w:rFonts w:hint="eastAsia"/>
                <w:sz w:val="28"/>
                <w:szCs w:val="28"/>
              </w:rPr>
            </w:pPr>
            <w:r>
              <w:rPr>
                <w:rFonts w:hint="eastAsia"/>
                <w:sz w:val="28"/>
                <w:szCs w:val="28"/>
              </w:rPr>
              <w:t>得分</w:t>
            </w:r>
          </w:p>
        </w:tc>
        <w:tc>
          <w:tcPr>
            <w:tcW w:w="1134" w:type="dxa"/>
            <w:noWrap w:val="0"/>
            <w:vAlign w:val="center"/>
          </w:tcPr>
          <w:p w14:paraId="253C9AD4">
            <w:pPr>
              <w:jc w:val="center"/>
              <w:rPr>
                <w:rFonts w:hint="eastAsia"/>
                <w:sz w:val="28"/>
                <w:szCs w:val="28"/>
              </w:rPr>
            </w:pPr>
            <w:r>
              <w:rPr>
                <w:rFonts w:hint="eastAsia"/>
                <w:sz w:val="28"/>
                <w:szCs w:val="28"/>
              </w:rPr>
              <w:t>页码</w:t>
            </w:r>
          </w:p>
        </w:tc>
      </w:tr>
      <w:tr w14:paraId="1E5A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3FC1029F">
            <w:pPr>
              <w:jc w:val="center"/>
              <w:rPr>
                <w:rFonts w:hint="eastAsia"/>
                <w:sz w:val="28"/>
                <w:szCs w:val="28"/>
              </w:rPr>
            </w:pPr>
            <w:r>
              <w:rPr>
                <w:rFonts w:hint="eastAsia"/>
                <w:sz w:val="28"/>
                <w:szCs w:val="28"/>
              </w:rPr>
              <w:t>1</w:t>
            </w:r>
          </w:p>
        </w:tc>
        <w:tc>
          <w:tcPr>
            <w:tcW w:w="3300" w:type="dxa"/>
            <w:noWrap w:val="0"/>
            <w:vAlign w:val="center"/>
          </w:tcPr>
          <w:p w14:paraId="7D41FC08">
            <w:pPr>
              <w:jc w:val="center"/>
              <w:rPr>
                <w:rFonts w:hint="eastAsia"/>
              </w:rPr>
            </w:pPr>
          </w:p>
        </w:tc>
        <w:tc>
          <w:tcPr>
            <w:tcW w:w="2976" w:type="dxa"/>
            <w:noWrap w:val="0"/>
            <w:vAlign w:val="center"/>
          </w:tcPr>
          <w:p w14:paraId="5421AE7F">
            <w:pPr>
              <w:jc w:val="center"/>
              <w:rPr>
                <w:rFonts w:hint="eastAsia"/>
              </w:rPr>
            </w:pPr>
          </w:p>
        </w:tc>
        <w:tc>
          <w:tcPr>
            <w:tcW w:w="851" w:type="dxa"/>
            <w:noWrap w:val="0"/>
            <w:vAlign w:val="center"/>
          </w:tcPr>
          <w:p w14:paraId="176B2E8B">
            <w:pPr>
              <w:jc w:val="center"/>
              <w:rPr>
                <w:rFonts w:hint="eastAsia"/>
              </w:rPr>
            </w:pPr>
          </w:p>
        </w:tc>
        <w:tc>
          <w:tcPr>
            <w:tcW w:w="1134" w:type="dxa"/>
            <w:noWrap w:val="0"/>
            <w:vAlign w:val="center"/>
          </w:tcPr>
          <w:p w14:paraId="1808B87E">
            <w:pPr>
              <w:jc w:val="center"/>
              <w:rPr>
                <w:rFonts w:hint="eastAsia"/>
              </w:rPr>
            </w:pPr>
          </w:p>
        </w:tc>
      </w:tr>
      <w:tr w14:paraId="7BF8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4362B9F0">
            <w:pPr>
              <w:jc w:val="center"/>
              <w:rPr>
                <w:rFonts w:hint="eastAsia"/>
                <w:sz w:val="28"/>
                <w:szCs w:val="28"/>
              </w:rPr>
            </w:pPr>
            <w:r>
              <w:rPr>
                <w:rFonts w:hint="eastAsia"/>
                <w:sz w:val="28"/>
                <w:szCs w:val="28"/>
              </w:rPr>
              <w:t>2</w:t>
            </w:r>
          </w:p>
        </w:tc>
        <w:tc>
          <w:tcPr>
            <w:tcW w:w="3300" w:type="dxa"/>
            <w:noWrap w:val="0"/>
            <w:vAlign w:val="center"/>
          </w:tcPr>
          <w:p w14:paraId="27EC9B4F">
            <w:pPr>
              <w:jc w:val="center"/>
              <w:rPr>
                <w:rFonts w:hint="eastAsia"/>
              </w:rPr>
            </w:pPr>
          </w:p>
        </w:tc>
        <w:tc>
          <w:tcPr>
            <w:tcW w:w="2976" w:type="dxa"/>
            <w:noWrap w:val="0"/>
            <w:vAlign w:val="center"/>
          </w:tcPr>
          <w:p w14:paraId="2479E787">
            <w:pPr>
              <w:jc w:val="center"/>
              <w:rPr>
                <w:rFonts w:hint="eastAsia"/>
              </w:rPr>
            </w:pPr>
          </w:p>
        </w:tc>
        <w:tc>
          <w:tcPr>
            <w:tcW w:w="851" w:type="dxa"/>
            <w:noWrap w:val="0"/>
            <w:vAlign w:val="center"/>
          </w:tcPr>
          <w:p w14:paraId="2719AE0B">
            <w:pPr>
              <w:jc w:val="center"/>
              <w:rPr>
                <w:rFonts w:hint="eastAsia"/>
              </w:rPr>
            </w:pPr>
          </w:p>
        </w:tc>
        <w:tc>
          <w:tcPr>
            <w:tcW w:w="1134" w:type="dxa"/>
            <w:noWrap w:val="0"/>
            <w:vAlign w:val="center"/>
          </w:tcPr>
          <w:p w14:paraId="3ADA1368">
            <w:pPr>
              <w:jc w:val="center"/>
              <w:rPr>
                <w:rFonts w:hint="eastAsia"/>
              </w:rPr>
            </w:pPr>
          </w:p>
        </w:tc>
      </w:tr>
      <w:tr w14:paraId="1A99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254716BA">
            <w:pPr>
              <w:jc w:val="center"/>
              <w:rPr>
                <w:rFonts w:hint="eastAsia"/>
                <w:sz w:val="28"/>
                <w:szCs w:val="28"/>
              </w:rPr>
            </w:pPr>
            <w:r>
              <w:rPr>
                <w:rFonts w:hint="eastAsia"/>
                <w:sz w:val="28"/>
                <w:szCs w:val="28"/>
              </w:rPr>
              <w:t>3</w:t>
            </w:r>
          </w:p>
        </w:tc>
        <w:tc>
          <w:tcPr>
            <w:tcW w:w="3300" w:type="dxa"/>
            <w:noWrap w:val="0"/>
            <w:vAlign w:val="center"/>
          </w:tcPr>
          <w:p w14:paraId="0177478A">
            <w:pPr>
              <w:jc w:val="center"/>
              <w:rPr>
                <w:rFonts w:hint="eastAsia"/>
              </w:rPr>
            </w:pPr>
          </w:p>
        </w:tc>
        <w:tc>
          <w:tcPr>
            <w:tcW w:w="2976" w:type="dxa"/>
            <w:noWrap w:val="0"/>
            <w:vAlign w:val="center"/>
          </w:tcPr>
          <w:p w14:paraId="3CA69ED2">
            <w:pPr>
              <w:jc w:val="center"/>
              <w:rPr>
                <w:rFonts w:hint="eastAsia"/>
              </w:rPr>
            </w:pPr>
          </w:p>
        </w:tc>
        <w:tc>
          <w:tcPr>
            <w:tcW w:w="851" w:type="dxa"/>
            <w:noWrap w:val="0"/>
            <w:vAlign w:val="center"/>
          </w:tcPr>
          <w:p w14:paraId="3546085E">
            <w:pPr>
              <w:jc w:val="center"/>
              <w:rPr>
                <w:rFonts w:hint="eastAsia"/>
              </w:rPr>
            </w:pPr>
          </w:p>
        </w:tc>
        <w:tc>
          <w:tcPr>
            <w:tcW w:w="1134" w:type="dxa"/>
            <w:noWrap w:val="0"/>
            <w:vAlign w:val="center"/>
          </w:tcPr>
          <w:p w14:paraId="033C2CB3">
            <w:pPr>
              <w:jc w:val="center"/>
              <w:rPr>
                <w:rFonts w:hint="eastAsia"/>
              </w:rPr>
            </w:pPr>
          </w:p>
        </w:tc>
      </w:tr>
      <w:tr w14:paraId="1206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75241789">
            <w:pPr>
              <w:jc w:val="center"/>
              <w:rPr>
                <w:rFonts w:hint="eastAsia"/>
                <w:sz w:val="28"/>
                <w:szCs w:val="28"/>
              </w:rPr>
            </w:pPr>
            <w:r>
              <w:rPr>
                <w:rFonts w:hint="eastAsia"/>
                <w:sz w:val="28"/>
                <w:szCs w:val="28"/>
              </w:rPr>
              <w:t>4</w:t>
            </w:r>
          </w:p>
        </w:tc>
        <w:tc>
          <w:tcPr>
            <w:tcW w:w="3300" w:type="dxa"/>
            <w:noWrap w:val="0"/>
            <w:vAlign w:val="center"/>
          </w:tcPr>
          <w:p w14:paraId="51C40883">
            <w:pPr>
              <w:jc w:val="center"/>
              <w:rPr>
                <w:rFonts w:hint="eastAsia"/>
              </w:rPr>
            </w:pPr>
          </w:p>
        </w:tc>
        <w:tc>
          <w:tcPr>
            <w:tcW w:w="2976" w:type="dxa"/>
            <w:noWrap w:val="0"/>
            <w:vAlign w:val="center"/>
          </w:tcPr>
          <w:p w14:paraId="5CA6E884">
            <w:pPr>
              <w:jc w:val="center"/>
              <w:rPr>
                <w:rFonts w:hint="eastAsia"/>
              </w:rPr>
            </w:pPr>
          </w:p>
        </w:tc>
        <w:tc>
          <w:tcPr>
            <w:tcW w:w="851" w:type="dxa"/>
            <w:noWrap w:val="0"/>
            <w:vAlign w:val="center"/>
          </w:tcPr>
          <w:p w14:paraId="6228A976">
            <w:pPr>
              <w:jc w:val="center"/>
              <w:rPr>
                <w:rFonts w:hint="eastAsia"/>
              </w:rPr>
            </w:pPr>
          </w:p>
        </w:tc>
        <w:tc>
          <w:tcPr>
            <w:tcW w:w="1134" w:type="dxa"/>
            <w:noWrap w:val="0"/>
            <w:vAlign w:val="center"/>
          </w:tcPr>
          <w:p w14:paraId="3DBEFC5F">
            <w:pPr>
              <w:jc w:val="center"/>
              <w:rPr>
                <w:rFonts w:hint="eastAsia"/>
              </w:rPr>
            </w:pPr>
          </w:p>
        </w:tc>
      </w:tr>
      <w:tr w14:paraId="375A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6740E61E">
            <w:pPr>
              <w:jc w:val="center"/>
              <w:rPr>
                <w:rFonts w:hint="eastAsia"/>
                <w:sz w:val="28"/>
                <w:szCs w:val="28"/>
              </w:rPr>
            </w:pPr>
            <w:r>
              <w:rPr>
                <w:rFonts w:hint="eastAsia"/>
                <w:sz w:val="28"/>
                <w:szCs w:val="28"/>
              </w:rPr>
              <w:t>5</w:t>
            </w:r>
          </w:p>
        </w:tc>
        <w:tc>
          <w:tcPr>
            <w:tcW w:w="3300" w:type="dxa"/>
            <w:noWrap w:val="0"/>
            <w:vAlign w:val="center"/>
          </w:tcPr>
          <w:p w14:paraId="441F3F52">
            <w:pPr>
              <w:jc w:val="center"/>
              <w:rPr>
                <w:rFonts w:hint="eastAsia"/>
              </w:rPr>
            </w:pPr>
          </w:p>
        </w:tc>
        <w:tc>
          <w:tcPr>
            <w:tcW w:w="2976" w:type="dxa"/>
            <w:noWrap w:val="0"/>
            <w:vAlign w:val="center"/>
          </w:tcPr>
          <w:p w14:paraId="1770F9CE">
            <w:pPr>
              <w:jc w:val="center"/>
              <w:rPr>
                <w:rFonts w:hint="eastAsia"/>
              </w:rPr>
            </w:pPr>
          </w:p>
        </w:tc>
        <w:tc>
          <w:tcPr>
            <w:tcW w:w="851" w:type="dxa"/>
            <w:noWrap w:val="0"/>
            <w:vAlign w:val="center"/>
          </w:tcPr>
          <w:p w14:paraId="495168B1">
            <w:pPr>
              <w:jc w:val="center"/>
              <w:rPr>
                <w:rFonts w:hint="eastAsia"/>
              </w:rPr>
            </w:pPr>
          </w:p>
        </w:tc>
        <w:tc>
          <w:tcPr>
            <w:tcW w:w="1134" w:type="dxa"/>
            <w:noWrap w:val="0"/>
            <w:vAlign w:val="center"/>
          </w:tcPr>
          <w:p w14:paraId="40D7CEDC">
            <w:pPr>
              <w:jc w:val="center"/>
              <w:rPr>
                <w:rFonts w:hint="eastAsia"/>
              </w:rPr>
            </w:pPr>
          </w:p>
        </w:tc>
      </w:tr>
      <w:tr w14:paraId="1F58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0CB452A5">
            <w:pPr>
              <w:jc w:val="center"/>
              <w:rPr>
                <w:rFonts w:hint="eastAsia"/>
                <w:sz w:val="28"/>
                <w:szCs w:val="28"/>
              </w:rPr>
            </w:pPr>
            <w:r>
              <w:rPr>
                <w:rFonts w:hint="eastAsia"/>
                <w:sz w:val="28"/>
                <w:szCs w:val="28"/>
              </w:rPr>
              <w:t>6</w:t>
            </w:r>
          </w:p>
        </w:tc>
        <w:tc>
          <w:tcPr>
            <w:tcW w:w="3300" w:type="dxa"/>
            <w:noWrap w:val="0"/>
            <w:vAlign w:val="center"/>
          </w:tcPr>
          <w:p w14:paraId="1521A040">
            <w:pPr>
              <w:jc w:val="center"/>
              <w:rPr>
                <w:rFonts w:hint="eastAsia"/>
              </w:rPr>
            </w:pPr>
          </w:p>
        </w:tc>
        <w:tc>
          <w:tcPr>
            <w:tcW w:w="2976" w:type="dxa"/>
            <w:noWrap w:val="0"/>
            <w:vAlign w:val="center"/>
          </w:tcPr>
          <w:p w14:paraId="1AE38E32">
            <w:pPr>
              <w:jc w:val="center"/>
              <w:rPr>
                <w:rFonts w:hint="eastAsia"/>
              </w:rPr>
            </w:pPr>
          </w:p>
        </w:tc>
        <w:tc>
          <w:tcPr>
            <w:tcW w:w="851" w:type="dxa"/>
            <w:noWrap w:val="0"/>
            <w:vAlign w:val="center"/>
          </w:tcPr>
          <w:p w14:paraId="54BA471E">
            <w:pPr>
              <w:jc w:val="center"/>
              <w:rPr>
                <w:rFonts w:hint="eastAsia"/>
              </w:rPr>
            </w:pPr>
          </w:p>
        </w:tc>
        <w:tc>
          <w:tcPr>
            <w:tcW w:w="1134" w:type="dxa"/>
            <w:noWrap w:val="0"/>
            <w:vAlign w:val="center"/>
          </w:tcPr>
          <w:p w14:paraId="2EECCADB">
            <w:pPr>
              <w:jc w:val="center"/>
              <w:rPr>
                <w:rFonts w:hint="eastAsia"/>
              </w:rPr>
            </w:pPr>
          </w:p>
        </w:tc>
      </w:tr>
      <w:tr w14:paraId="0075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352ECD89">
            <w:pPr>
              <w:jc w:val="center"/>
              <w:rPr>
                <w:rFonts w:hint="eastAsia"/>
                <w:sz w:val="28"/>
                <w:szCs w:val="28"/>
              </w:rPr>
            </w:pPr>
            <w:r>
              <w:rPr>
                <w:rFonts w:hint="eastAsia"/>
                <w:sz w:val="28"/>
                <w:szCs w:val="28"/>
              </w:rPr>
              <w:t>7</w:t>
            </w:r>
          </w:p>
        </w:tc>
        <w:tc>
          <w:tcPr>
            <w:tcW w:w="3300" w:type="dxa"/>
            <w:noWrap w:val="0"/>
            <w:vAlign w:val="center"/>
          </w:tcPr>
          <w:p w14:paraId="374D8005">
            <w:pPr>
              <w:jc w:val="center"/>
              <w:rPr>
                <w:rFonts w:hint="eastAsia"/>
              </w:rPr>
            </w:pPr>
          </w:p>
        </w:tc>
        <w:tc>
          <w:tcPr>
            <w:tcW w:w="2976" w:type="dxa"/>
            <w:noWrap w:val="0"/>
            <w:vAlign w:val="center"/>
          </w:tcPr>
          <w:p w14:paraId="4503A62B">
            <w:pPr>
              <w:jc w:val="center"/>
              <w:rPr>
                <w:rFonts w:hint="eastAsia"/>
              </w:rPr>
            </w:pPr>
          </w:p>
        </w:tc>
        <w:tc>
          <w:tcPr>
            <w:tcW w:w="851" w:type="dxa"/>
            <w:noWrap w:val="0"/>
            <w:vAlign w:val="center"/>
          </w:tcPr>
          <w:p w14:paraId="53BA9A71">
            <w:pPr>
              <w:jc w:val="center"/>
              <w:rPr>
                <w:rFonts w:hint="eastAsia"/>
              </w:rPr>
            </w:pPr>
          </w:p>
        </w:tc>
        <w:tc>
          <w:tcPr>
            <w:tcW w:w="1134" w:type="dxa"/>
            <w:noWrap w:val="0"/>
            <w:vAlign w:val="center"/>
          </w:tcPr>
          <w:p w14:paraId="39BF998B">
            <w:pPr>
              <w:jc w:val="center"/>
              <w:rPr>
                <w:rFonts w:hint="eastAsia"/>
              </w:rPr>
            </w:pPr>
          </w:p>
        </w:tc>
      </w:tr>
      <w:tr w14:paraId="24B5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6EC810DC">
            <w:pPr>
              <w:jc w:val="center"/>
              <w:rPr>
                <w:rFonts w:hint="eastAsia"/>
                <w:sz w:val="28"/>
                <w:szCs w:val="28"/>
              </w:rPr>
            </w:pPr>
            <w:r>
              <w:rPr>
                <w:rFonts w:hint="eastAsia"/>
                <w:sz w:val="28"/>
                <w:szCs w:val="28"/>
              </w:rPr>
              <w:t>8</w:t>
            </w:r>
          </w:p>
        </w:tc>
        <w:tc>
          <w:tcPr>
            <w:tcW w:w="3300" w:type="dxa"/>
            <w:noWrap w:val="0"/>
            <w:vAlign w:val="center"/>
          </w:tcPr>
          <w:p w14:paraId="0A24BF41">
            <w:pPr>
              <w:jc w:val="center"/>
              <w:rPr>
                <w:rFonts w:hint="eastAsia"/>
              </w:rPr>
            </w:pPr>
          </w:p>
        </w:tc>
        <w:tc>
          <w:tcPr>
            <w:tcW w:w="2976" w:type="dxa"/>
            <w:noWrap w:val="0"/>
            <w:vAlign w:val="center"/>
          </w:tcPr>
          <w:p w14:paraId="63E1F94D">
            <w:pPr>
              <w:jc w:val="center"/>
              <w:rPr>
                <w:rFonts w:hint="eastAsia"/>
              </w:rPr>
            </w:pPr>
          </w:p>
        </w:tc>
        <w:tc>
          <w:tcPr>
            <w:tcW w:w="851" w:type="dxa"/>
            <w:noWrap w:val="0"/>
            <w:vAlign w:val="center"/>
          </w:tcPr>
          <w:p w14:paraId="1BC4D17A">
            <w:pPr>
              <w:jc w:val="center"/>
              <w:rPr>
                <w:rFonts w:hint="eastAsia"/>
              </w:rPr>
            </w:pPr>
          </w:p>
        </w:tc>
        <w:tc>
          <w:tcPr>
            <w:tcW w:w="1134" w:type="dxa"/>
            <w:noWrap w:val="0"/>
            <w:vAlign w:val="center"/>
          </w:tcPr>
          <w:p w14:paraId="63A854E4">
            <w:pPr>
              <w:jc w:val="center"/>
              <w:rPr>
                <w:rFonts w:hint="eastAsia"/>
              </w:rPr>
            </w:pPr>
          </w:p>
        </w:tc>
      </w:tr>
      <w:tr w14:paraId="21B4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59217DA5">
            <w:pPr>
              <w:jc w:val="center"/>
              <w:rPr>
                <w:rFonts w:hint="eastAsia"/>
                <w:sz w:val="28"/>
                <w:szCs w:val="28"/>
              </w:rPr>
            </w:pPr>
            <w:r>
              <w:rPr>
                <w:rFonts w:hint="eastAsia"/>
                <w:sz w:val="28"/>
                <w:szCs w:val="28"/>
              </w:rPr>
              <w:t>9</w:t>
            </w:r>
          </w:p>
        </w:tc>
        <w:tc>
          <w:tcPr>
            <w:tcW w:w="3300" w:type="dxa"/>
            <w:noWrap w:val="0"/>
            <w:vAlign w:val="center"/>
          </w:tcPr>
          <w:p w14:paraId="57B44544">
            <w:pPr>
              <w:jc w:val="center"/>
              <w:rPr>
                <w:rFonts w:hint="eastAsia"/>
              </w:rPr>
            </w:pPr>
          </w:p>
        </w:tc>
        <w:tc>
          <w:tcPr>
            <w:tcW w:w="2976" w:type="dxa"/>
            <w:noWrap w:val="0"/>
            <w:vAlign w:val="center"/>
          </w:tcPr>
          <w:p w14:paraId="2C94E631">
            <w:pPr>
              <w:jc w:val="center"/>
              <w:rPr>
                <w:rFonts w:hint="eastAsia"/>
              </w:rPr>
            </w:pPr>
          </w:p>
        </w:tc>
        <w:tc>
          <w:tcPr>
            <w:tcW w:w="851" w:type="dxa"/>
            <w:noWrap w:val="0"/>
            <w:vAlign w:val="center"/>
          </w:tcPr>
          <w:p w14:paraId="068644D9">
            <w:pPr>
              <w:jc w:val="center"/>
              <w:rPr>
                <w:rFonts w:hint="eastAsia"/>
              </w:rPr>
            </w:pPr>
          </w:p>
        </w:tc>
        <w:tc>
          <w:tcPr>
            <w:tcW w:w="1134" w:type="dxa"/>
            <w:noWrap w:val="0"/>
            <w:vAlign w:val="center"/>
          </w:tcPr>
          <w:p w14:paraId="5AA0CE67">
            <w:pPr>
              <w:jc w:val="center"/>
              <w:rPr>
                <w:rFonts w:hint="eastAsia"/>
              </w:rPr>
            </w:pPr>
          </w:p>
        </w:tc>
      </w:tr>
      <w:tr w14:paraId="4BC6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5008513E">
            <w:pPr>
              <w:jc w:val="center"/>
              <w:rPr>
                <w:rFonts w:hint="eastAsia"/>
                <w:sz w:val="28"/>
                <w:szCs w:val="28"/>
              </w:rPr>
            </w:pPr>
            <w:r>
              <w:rPr>
                <w:rFonts w:hint="eastAsia"/>
                <w:sz w:val="28"/>
                <w:szCs w:val="28"/>
              </w:rPr>
              <w:t>10</w:t>
            </w:r>
          </w:p>
        </w:tc>
        <w:tc>
          <w:tcPr>
            <w:tcW w:w="3300" w:type="dxa"/>
            <w:noWrap w:val="0"/>
            <w:vAlign w:val="center"/>
          </w:tcPr>
          <w:p w14:paraId="309D5E8E">
            <w:pPr>
              <w:jc w:val="center"/>
              <w:rPr>
                <w:rFonts w:hint="eastAsia"/>
              </w:rPr>
            </w:pPr>
          </w:p>
        </w:tc>
        <w:tc>
          <w:tcPr>
            <w:tcW w:w="2976" w:type="dxa"/>
            <w:noWrap w:val="0"/>
            <w:vAlign w:val="center"/>
          </w:tcPr>
          <w:p w14:paraId="0F706B89">
            <w:pPr>
              <w:jc w:val="center"/>
              <w:rPr>
                <w:rFonts w:hint="eastAsia"/>
              </w:rPr>
            </w:pPr>
          </w:p>
        </w:tc>
        <w:tc>
          <w:tcPr>
            <w:tcW w:w="851" w:type="dxa"/>
            <w:noWrap w:val="0"/>
            <w:vAlign w:val="center"/>
          </w:tcPr>
          <w:p w14:paraId="5CCEE09A">
            <w:pPr>
              <w:jc w:val="center"/>
              <w:rPr>
                <w:rFonts w:hint="eastAsia"/>
              </w:rPr>
            </w:pPr>
          </w:p>
        </w:tc>
        <w:tc>
          <w:tcPr>
            <w:tcW w:w="1134" w:type="dxa"/>
            <w:noWrap w:val="0"/>
            <w:vAlign w:val="center"/>
          </w:tcPr>
          <w:p w14:paraId="4BFB2EF3">
            <w:pPr>
              <w:jc w:val="center"/>
              <w:rPr>
                <w:rFonts w:hint="eastAsia"/>
              </w:rPr>
            </w:pPr>
          </w:p>
        </w:tc>
      </w:tr>
      <w:tr w14:paraId="7729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0F3A88F0">
            <w:pPr>
              <w:jc w:val="center"/>
              <w:rPr>
                <w:rFonts w:hint="eastAsia"/>
                <w:sz w:val="28"/>
                <w:szCs w:val="28"/>
              </w:rPr>
            </w:pPr>
            <w:r>
              <w:rPr>
                <w:rFonts w:hint="eastAsia"/>
                <w:sz w:val="28"/>
                <w:szCs w:val="28"/>
              </w:rPr>
              <w:t>11</w:t>
            </w:r>
          </w:p>
        </w:tc>
        <w:tc>
          <w:tcPr>
            <w:tcW w:w="3300" w:type="dxa"/>
            <w:noWrap w:val="0"/>
            <w:vAlign w:val="center"/>
          </w:tcPr>
          <w:p w14:paraId="73B12BEF">
            <w:pPr>
              <w:jc w:val="center"/>
              <w:rPr>
                <w:rFonts w:hint="eastAsia"/>
              </w:rPr>
            </w:pPr>
          </w:p>
        </w:tc>
        <w:tc>
          <w:tcPr>
            <w:tcW w:w="2976" w:type="dxa"/>
            <w:noWrap w:val="0"/>
            <w:vAlign w:val="center"/>
          </w:tcPr>
          <w:p w14:paraId="39A9C8B3">
            <w:pPr>
              <w:jc w:val="center"/>
              <w:rPr>
                <w:rFonts w:hint="eastAsia"/>
              </w:rPr>
            </w:pPr>
          </w:p>
        </w:tc>
        <w:tc>
          <w:tcPr>
            <w:tcW w:w="851" w:type="dxa"/>
            <w:noWrap w:val="0"/>
            <w:vAlign w:val="center"/>
          </w:tcPr>
          <w:p w14:paraId="10710F24">
            <w:pPr>
              <w:jc w:val="center"/>
              <w:rPr>
                <w:rFonts w:hint="eastAsia"/>
              </w:rPr>
            </w:pPr>
          </w:p>
        </w:tc>
        <w:tc>
          <w:tcPr>
            <w:tcW w:w="1134" w:type="dxa"/>
            <w:noWrap w:val="0"/>
            <w:vAlign w:val="center"/>
          </w:tcPr>
          <w:p w14:paraId="0C757D42">
            <w:pPr>
              <w:jc w:val="center"/>
              <w:rPr>
                <w:rFonts w:hint="eastAsia"/>
              </w:rPr>
            </w:pPr>
          </w:p>
        </w:tc>
      </w:tr>
      <w:tr w14:paraId="67C1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3CE8AF06">
            <w:pPr>
              <w:jc w:val="center"/>
              <w:rPr>
                <w:rFonts w:hint="eastAsia"/>
                <w:sz w:val="28"/>
                <w:szCs w:val="28"/>
              </w:rPr>
            </w:pPr>
            <w:r>
              <w:rPr>
                <w:rFonts w:hint="eastAsia"/>
                <w:sz w:val="28"/>
                <w:szCs w:val="28"/>
              </w:rPr>
              <w:t>12</w:t>
            </w:r>
          </w:p>
        </w:tc>
        <w:tc>
          <w:tcPr>
            <w:tcW w:w="3300" w:type="dxa"/>
            <w:noWrap w:val="0"/>
            <w:vAlign w:val="center"/>
          </w:tcPr>
          <w:p w14:paraId="73B8DD7F">
            <w:pPr>
              <w:jc w:val="center"/>
              <w:rPr>
                <w:rFonts w:hint="eastAsia"/>
              </w:rPr>
            </w:pPr>
          </w:p>
        </w:tc>
        <w:tc>
          <w:tcPr>
            <w:tcW w:w="2976" w:type="dxa"/>
            <w:noWrap w:val="0"/>
            <w:vAlign w:val="center"/>
          </w:tcPr>
          <w:p w14:paraId="3903EE57">
            <w:pPr>
              <w:jc w:val="center"/>
              <w:rPr>
                <w:rFonts w:hint="eastAsia"/>
              </w:rPr>
            </w:pPr>
          </w:p>
        </w:tc>
        <w:tc>
          <w:tcPr>
            <w:tcW w:w="851" w:type="dxa"/>
            <w:noWrap w:val="0"/>
            <w:vAlign w:val="center"/>
          </w:tcPr>
          <w:p w14:paraId="186EC95D">
            <w:pPr>
              <w:jc w:val="center"/>
              <w:rPr>
                <w:rFonts w:hint="eastAsia"/>
              </w:rPr>
            </w:pPr>
          </w:p>
        </w:tc>
        <w:tc>
          <w:tcPr>
            <w:tcW w:w="1134" w:type="dxa"/>
            <w:noWrap w:val="0"/>
            <w:vAlign w:val="center"/>
          </w:tcPr>
          <w:p w14:paraId="7E4F0AD3">
            <w:pPr>
              <w:jc w:val="center"/>
              <w:rPr>
                <w:rFonts w:hint="eastAsia"/>
              </w:rPr>
            </w:pPr>
          </w:p>
        </w:tc>
      </w:tr>
      <w:tr w14:paraId="2747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69A7F6D4">
            <w:pPr>
              <w:jc w:val="center"/>
              <w:rPr>
                <w:rFonts w:hint="eastAsia"/>
                <w:sz w:val="28"/>
                <w:szCs w:val="28"/>
              </w:rPr>
            </w:pPr>
            <w:r>
              <w:rPr>
                <w:rFonts w:hint="eastAsia"/>
                <w:sz w:val="28"/>
                <w:szCs w:val="28"/>
              </w:rPr>
              <w:t>13</w:t>
            </w:r>
          </w:p>
        </w:tc>
        <w:tc>
          <w:tcPr>
            <w:tcW w:w="3300" w:type="dxa"/>
            <w:noWrap w:val="0"/>
            <w:vAlign w:val="center"/>
          </w:tcPr>
          <w:p w14:paraId="2FBF6B4A">
            <w:pPr>
              <w:jc w:val="center"/>
              <w:rPr>
                <w:rFonts w:hint="eastAsia"/>
              </w:rPr>
            </w:pPr>
          </w:p>
        </w:tc>
        <w:tc>
          <w:tcPr>
            <w:tcW w:w="2976" w:type="dxa"/>
            <w:noWrap w:val="0"/>
            <w:vAlign w:val="center"/>
          </w:tcPr>
          <w:p w14:paraId="355D3471">
            <w:pPr>
              <w:jc w:val="center"/>
              <w:rPr>
                <w:rFonts w:hint="eastAsia"/>
              </w:rPr>
            </w:pPr>
          </w:p>
        </w:tc>
        <w:tc>
          <w:tcPr>
            <w:tcW w:w="851" w:type="dxa"/>
            <w:noWrap w:val="0"/>
            <w:vAlign w:val="center"/>
          </w:tcPr>
          <w:p w14:paraId="5C2C0EBF">
            <w:pPr>
              <w:jc w:val="center"/>
              <w:rPr>
                <w:rFonts w:hint="eastAsia"/>
              </w:rPr>
            </w:pPr>
          </w:p>
        </w:tc>
        <w:tc>
          <w:tcPr>
            <w:tcW w:w="1134" w:type="dxa"/>
            <w:noWrap w:val="0"/>
            <w:vAlign w:val="center"/>
          </w:tcPr>
          <w:p w14:paraId="557510D4">
            <w:pPr>
              <w:jc w:val="center"/>
              <w:rPr>
                <w:rFonts w:hint="eastAsia"/>
              </w:rPr>
            </w:pPr>
          </w:p>
        </w:tc>
      </w:tr>
      <w:tr w14:paraId="32BB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406F355E">
            <w:pPr>
              <w:jc w:val="center"/>
              <w:rPr>
                <w:rFonts w:hint="eastAsia"/>
                <w:sz w:val="28"/>
                <w:szCs w:val="28"/>
              </w:rPr>
            </w:pPr>
            <w:r>
              <w:rPr>
                <w:rFonts w:hint="eastAsia"/>
                <w:sz w:val="28"/>
                <w:szCs w:val="28"/>
              </w:rPr>
              <w:t>……</w:t>
            </w:r>
          </w:p>
        </w:tc>
        <w:tc>
          <w:tcPr>
            <w:tcW w:w="3300" w:type="dxa"/>
            <w:noWrap w:val="0"/>
            <w:vAlign w:val="center"/>
          </w:tcPr>
          <w:p w14:paraId="025BF0BB">
            <w:pPr>
              <w:jc w:val="center"/>
              <w:rPr>
                <w:rFonts w:hint="eastAsia"/>
              </w:rPr>
            </w:pPr>
          </w:p>
        </w:tc>
        <w:tc>
          <w:tcPr>
            <w:tcW w:w="2976" w:type="dxa"/>
            <w:noWrap w:val="0"/>
            <w:vAlign w:val="center"/>
          </w:tcPr>
          <w:p w14:paraId="406C6581">
            <w:pPr>
              <w:jc w:val="center"/>
              <w:rPr>
                <w:rFonts w:hint="eastAsia"/>
              </w:rPr>
            </w:pPr>
          </w:p>
        </w:tc>
        <w:tc>
          <w:tcPr>
            <w:tcW w:w="851" w:type="dxa"/>
            <w:noWrap w:val="0"/>
            <w:vAlign w:val="center"/>
          </w:tcPr>
          <w:p w14:paraId="649DF299">
            <w:pPr>
              <w:jc w:val="center"/>
              <w:rPr>
                <w:rFonts w:hint="eastAsia"/>
              </w:rPr>
            </w:pPr>
          </w:p>
        </w:tc>
        <w:tc>
          <w:tcPr>
            <w:tcW w:w="1134" w:type="dxa"/>
            <w:noWrap w:val="0"/>
            <w:vAlign w:val="center"/>
          </w:tcPr>
          <w:p w14:paraId="3CDEA845">
            <w:pPr>
              <w:jc w:val="center"/>
              <w:rPr>
                <w:rFonts w:hint="eastAsia"/>
              </w:rPr>
            </w:pPr>
          </w:p>
        </w:tc>
      </w:tr>
    </w:tbl>
    <w:p w14:paraId="50CF8811">
      <w:pPr>
        <w:rPr>
          <w:rFonts w:hint="eastAsia"/>
        </w:rPr>
      </w:pPr>
    </w:p>
    <w:p w14:paraId="51CDE405">
      <w:pPr>
        <w:rPr>
          <w:rFonts w:hint="eastAsia"/>
        </w:rPr>
      </w:pPr>
    </w:p>
    <w:p w14:paraId="612DC955">
      <w:pPr>
        <w:rPr>
          <w:rFonts w:hint="eastAsia"/>
          <w:sz w:val="28"/>
          <w:szCs w:val="28"/>
        </w:rPr>
      </w:pPr>
      <w:r>
        <w:rPr>
          <w:rFonts w:hint="eastAsia"/>
          <w:sz w:val="28"/>
          <w:szCs w:val="28"/>
        </w:rPr>
        <w:t>投标人名称（盖章）：                          年   月   日</w:t>
      </w:r>
    </w:p>
    <w:p w14:paraId="6D858C9B">
      <w:pPr>
        <w:pageBreakBefore/>
        <w:spacing w:before="260" w:after="260" w:line="415" w:lineRule="auto"/>
        <w:outlineLvl w:val="1"/>
        <w:rPr>
          <w:rFonts w:hint="eastAsia" w:ascii="宋体" w:hAnsi="宋体"/>
          <w:bCs/>
          <w:sz w:val="24"/>
          <w:szCs w:val="32"/>
        </w:rPr>
      </w:pPr>
      <w:bookmarkStart w:id="92" w:name="_Toc24774"/>
      <w:bookmarkStart w:id="93" w:name="_Toc25577"/>
      <w:r>
        <w:rPr>
          <w:rFonts w:hint="eastAsia" w:ascii="宋体" w:hAnsi="宋体"/>
          <w:bCs/>
          <w:sz w:val="24"/>
          <w:szCs w:val="32"/>
        </w:rPr>
        <w:t>附件五：商务响应表</w:t>
      </w:r>
      <w:bookmarkEnd w:id="92"/>
      <w:bookmarkEnd w:id="93"/>
    </w:p>
    <w:p w14:paraId="6AC0AB8C">
      <w:pPr>
        <w:snapToGrid w:val="0"/>
        <w:spacing w:before="50" w:after="156" w:afterLines="50"/>
        <w:jc w:val="center"/>
        <w:rPr>
          <w:rFonts w:hint="eastAsia" w:ascii="宋体" w:hAnsi="宋体"/>
          <w:b/>
          <w:sz w:val="32"/>
        </w:rPr>
      </w:pPr>
      <w:r>
        <w:rPr>
          <w:rFonts w:hint="eastAsia" w:ascii="宋体" w:hAnsi="宋体"/>
          <w:b/>
          <w:sz w:val="32"/>
        </w:rPr>
        <w:t>商务响应表</w:t>
      </w:r>
    </w:p>
    <w:p w14:paraId="354A15BD">
      <w:pPr>
        <w:snapToGrid w:val="0"/>
        <w:spacing w:before="50" w:after="156" w:afterLines="50"/>
        <w:jc w:val="left"/>
        <w:rPr>
          <w:rFonts w:hint="eastAsia" w:ascii="宋体" w:hAnsi="宋体"/>
          <w:sz w:val="28"/>
          <w:u w:val="single"/>
        </w:rPr>
      </w:pPr>
    </w:p>
    <w:tbl>
      <w:tblPr>
        <w:tblStyle w:val="6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4"/>
        <w:gridCol w:w="2510"/>
        <w:gridCol w:w="1377"/>
        <w:gridCol w:w="3302"/>
      </w:tblGrid>
      <w:tr w14:paraId="33BF2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7E537866">
            <w:pPr>
              <w:jc w:val="center"/>
              <w:rPr>
                <w:rFonts w:ascii="宋体" w:hAnsi="宋体"/>
                <w:sz w:val="24"/>
                <w:szCs w:val="20"/>
              </w:rPr>
            </w:pPr>
            <w:r>
              <w:rPr>
                <w:rFonts w:hint="eastAsia" w:ascii="宋体" w:hAnsi="宋体"/>
                <w:sz w:val="24"/>
              </w:rPr>
              <w:t>项目</w:t>
            </w:r>
          </w:p>
        </w:tc>
        <w:tc>
          <w:tcPr>
            <w:tcW w:w="2510" w:type="dxa"/>
            <w:tcBorders>
              <w:top w:val="single" w:color="auto" w:sz="4" w:space="0"/>
              <w:left w:val="single" w:color="auto" w:sz="4" w:space="0"/>
              <w:bottom w:val="single" w:color="auto" w:sz="4" w:space="0"/>
              <w:right w:val="single" w:color="auto" w:sz="4" w:space="0"/>
            </w:tcBorders>
            <w:noWrap w:val="0"/>
            <w:vAlign w:val="center"/>
          </w:tcPr>
          <w:p w14:paraId="082C2396">
            <w:pPr>
              <w:jc w:val="center"/>
              <w:rPr>
                <w:rFonts w:ascii="宋体" w:hAnsi="宋体"/>
                <w:sz w:val="24"/>
                <w:szCs w:val="20"/>
              </w:rPr>
            </w:pPr>
            <w:r>
              <w:rPr>
                <w:rFonts w:hint="eastAsia" w:ascii="宋体" w:hAnsi="宋体"/>
                <w:sz w:val="24"/>
              </w:rPr>
              <w:t>招标文件要求</w:t>
            </w:r>
          </w:p>
        </w:tc>
        <w:tc>
          <w:tcPr>
            <w:tcW w:w="1377" w:type="dxa"/>
            <w:tcBorders>
              <w:top w:val="single" w:color="auto" w:sz="4" w:space="0"/>
              <w:left w:val="single" w:color="auto" w:sz="4" w:space="0"/>
              <w:bottom w:val="single" w:color="auto" w:sz="4" w:space="0"/>
              <w:right w:val="single" w:color="auto" w:sz="4" w:space="0"/>
            </w:tcBorders>
            <w:noWrap w:val="0"/>
            <w:vAlign w:val="center"/>
          </w:tcPr>
          <w:p w14:paraId="5FBBE0F4">
            <w:pPr>
              <w:jc w:val="center"/>
              <w:rPr>
                <w:rFonts w:ascii="宋体" w:hAnsi="宋体"/>
                <w:sz w:val="24"/>
                <w:szCs w:val="20"/>
              </w:rPr>
            </w:pPr>
            <w:r>
              <w:rPr>
                <w:rFonts w:hint="eastAsia" w:ascii="宋体" w:hAnsi="宋体"/>
                <w:sz w:val="24"/>
              </w:rPr>
              <w:t>响应及偏离情况</w:t>
            </w:r>
          </w:p>
        </w:tc>
        <w:tc>
          <w:tcPr>
            <w:tcW w:w="3302" w:type="dxa"/>
            <w:tcBorders>
              <w:top w:val="single" w:color="auto" w:sz="4" w:space="0"/>
              <w:left w:val="single" w:color="auto" w:sz="4" w:space="0"/>
              <w:bottom w:val="single" w:color="auto" w:sz="4" w:space="0"/>
              <w:right w:val="single" w:color="auto" w:sz="4" w:space="0"/>
            </w:tcBorders>
            <w:noWrap w:val="0"/>
            <w:vAlign w:val="center"/>
          </w:tcPr>
          <w:p w14:paraId="658B5408">
            <w:pPr>
              <w:jc w:val="center"/>
              <w:rPr>
                <w:rFonts w:ascii="宋体" w:hAnsi="宋体"/>
                <w:sz w:val="24"/>
                <w:szCs w:val="20"/>
              </w:rPr>
            </w:pPr>
            <w:r>
              <w:rPr>
                <w:rFonts w:hint="eastAsia" w:ascii="宋体" w:hAnsi="宋体"/>
                <w:sz w:val="24"/>
              </w:rPr>
              <w:t>投标人的承诺或说明</w:t>
            </w:r>
          </w:p>
        </w:tc>
      </w:tr>
      <w:tr w14:paraId="76D5F4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6AE78AD0">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099555C4">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44F8FF08">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30BBCC47">
            <w:pPr>
              <w:rPr>
                <w:rFonts w:ascii="宋体" w:hAnsi="宋体"/>
                <w:sz w:val="24"/>
              </w:rPr>
            </w:pPr>
          </w:p>
        </w:tc>
      </w:tr>
      <w:tr w14:paraId="73B75B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0495F59F">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35E6F4CE">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24368A5E">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405C2E6D">
            <w:pPr>
              <w:rPr>
                <w:rFonts w:ascii="宋体" w:hAnsi="宋体"/>
                <w:sz w:val="24"/>
              </w:rPr>
            </w:pPr>
          </w:p>
        </w:tc>
      </w:tr>
      <w:tr w14:paraId="4B00B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2B5592E4">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2364C3AA">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1BB1F424">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3CE80F53">
            <w:pPr>
              <w:rPr>
                <w:rFonts w:ascii="宋体" w:hAnsi="宋体"/>
                <w:sz w:val="24"/>
              </w:rPr>
            </w:pPr>
          </w:p>
        </w:tc>
      </w:tr>
      <w:tr w14:paraId="56CF6E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7E9914C7">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59EE434D">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5FCABB01">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19A135F7">
            <w:pPr>
              <w:rPr>
                <w:rFonts w:ascii="宋体" w:hAnsi="宋体"/>
                <w:sz w:val="24"/>
              </w:rPr>
            </w:pPr>
          </w:p>
        </w:tc>
      </w:tr>
      <w:tr w14:paraId="32DBB7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5A84679B">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5B2A6CD5">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32344ABA">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0FF2DC1A">
            <w:pPr>
              <w:rPr>
                <w:rFonts w:ascii="宋体" w:hAnsi="宋体"/>
                <w:sz w:val="24"/>
              </w:rPr>
            </w:pPr>
          </w:p>
        </w:tc>
      </w:tr>
      <w:tr w14:paraId="62BF2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012FD32E">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19BB2F34">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0B4DF513">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0FBE57D9">
            <w:pPr>
              <w:rPr>
                <w:rFonts w:ascii="宋体" w:hAnsi="宋体"/>
                <w:sz w:val="24"/>
              </w:rPr>
            </w:pPr>
          </w:p>
        </w:tc>
      </w:tr>
      <w:tr w14:paraId="6C10F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4B5C18D0">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167C112F">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2F5D17D1">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4E30845A">
            <w:pPr>
              <w:rPr>
                <w:rFonts w:ascii="宋体" w:hAnsi="宋体"/>
                <w:sz w:val="24"/>
              </w:rPr>
            </w:pPr>
          </w:p>
        </w:tc>
      </w:tr>
      <w:tr w14:paraId="5CB4F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4FF45DB0">
            <w:pPr>
              <w:rPr>
                <w:rFonts w:hAnsi="宋体"/>
              </w:rPr>
            </w:pPr>
          </w:p>
        </w:tc>
        <w:tc>
          <w:tcPr>
            <w:tcW w:w="2510" w:type="dxa"/>
            <w:tcBorders>
              <w:top w:val="single" w:color="auto" w:sz="4" w:space="0"/>
              <w:left w:val="single" w:color="auto" w:sz="4" w:space="0"/>
              <w:bottom w:val="single" w:color="auto" w:sz="4" w:space="0"/>
              <w:right w:val="single" w:color="auto" w:sz="4" w:space="0"/>
            </w:tcBorders>
            <w:noWrap w:val="0"/>
            <w:vAlign w:val="top"/>
          </w:tcPr>
          <w:p w14:paraId="505CAB24">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7C105F91">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3BE94A40">
            <w:pPr>
              <w:rPr>
                <w:rFonts w:ascii="宋体" w:hAnsi="宋体"/>
                <w:sz w:val="24"/>
              </w:rPr>
            </w:pPr>
          </w:p>
        </w:tc>
      </w:tr>
      <w:tr w14:paraId="02BE4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noWrap w:val="0"/>
            <w:vAlign w:val="center"/>
          </w:tcPr>
          <w:p w14:paraId="0DCF5B66">
            <w:pPr>
              <w:rPr>
                <w:rFonts w:hAnsi="宋体"/>
              </w:rPr>
            </w:pPr>
            <w:r>
              <w:rPr>
                <w:rFonts w:hint="eastAsia" w:hAnsi="宋体"/>
              </w:rPr>
              <w:t>……</w:t>
            </w:r>
          </w:p>
        </w:tc>
        <w:tc>
          <w:tcPr>
            <w:tcW w:w="2510" w:type="dxa"/>
            <w:tcBorders>
              <w:top w:val="single" w:color="auto" w:sz="4" w:space="0"/>
              <w:left w:val="single" w:color="auto" w:sz="4" w:space="0"/>
              <w:bottom w:val="single" w:color="auto" w:sz="4" w:space="0"/>
              <w:right w:val="single" w:color="auto" w:sz="4" w:space="0"/>
            </w:tcBorders>
            <w:noWrap w:val="0"/>
            <w:vAlign w:val="top"/>
          </w:tcPr>
          <w:p w14:paraId="232A03F1">
            <w:pPr>
              <w:rPr>
                <w:rFonts w:ascii="宋体" w:hAnsi="宋体"/>
                <w:sz w:val="24"/>
              </w:rPr>
            </w:pPr>
          </w:p>
        </w:tc>
        <w:tc>
          <w:tcPr>
            <w:tcW w:w="1377" w:type="dxa"/>
            <w:tcBorders>
              <w:top w:val="single" w:color="auto" w:sz="4" w:space="0"/>
              <w:left w:val="single" w:color="auto" w:sz="4" w:space="0"/>
              <w:bottom w:val="single" w:color="auto" w:sz="4" w:space="0"/>
              <w:right w:val="single" w:color="auto" w:sz="4" w:space="0"/>
            </w:tcBorders>
            <w:noWrap w:val="0"/>
            <w:vAlign w:val="top"/>
          </w:tcPr>
          <w:p w14:paraId="15B3D614">
            <w:pPr>
              <w:rPr>
                <w:rFonts w:ascii="宋体" w:hAnsi="宋体"/>
                <w:sz w:val="24"/>
              </w:rPr>
            </w:pPr>
          </w:p>
        </w:tc>
        <w:tc>
          <w:tcPr>
            <w:tcW w:w="3302" w:type="dxa"/>
            <w:tcBorders>
              <w:top w:val="single" w:color="auto" w:sz="4" w:space="0"/>
              <w:left w:val="single" w:color="auto" w:sz="4" w:space="0"/>
              <w:bottom w:val="single" w:color="auto" w:sz="4" w:space="0"/>
              <w:right w:val="single" w:color="auto" w:sz="4" w:space="0"/>
            </w:tcBorders>
            <w:noWrap w:val="0"/>
            <w:vAlign w:val="top"/>
          </w:tcPr>
          <w:p w14:paraId="375D7A3C">
            <w:pPr>
              <w:rPr>
                <w:rFonts w:ascii="宋体" w:hAnsi="宋体"/>
                <w:sz w:val="24"/>
              </w:rPr>
            </w:pPr>
          </w:p>
        </w:tc>
      </w:tr>
    </w:tbl>
    <w:p w14:paraId="2C32DE42">
      <w:pPr>
        <w:rPr>
          <w:rFonts w:hint="eastAsia" w:ascii="宋体" w:hAnsi="宋体"/>
          <w:sz w:val="24"/>
          <w:szCs w:val="20"/>
        </w:rPr>
      </w:pPr>
    </w:p>
    <w:p w14:paraId="40D1DF09">
      <w:pPr>
        <w:spacing w:line="360" w:lineRule="auto"/>
        <w:rPr>
          <w:rFonts w:hint="eastAsia" w:ascii="宋体" w:hAnsi="宋体"/>
          <w:spacing w:val="20"/>
          <w:sz w:val="24"/>
          <w:szCs w:val="20"/>
          <w:u w:val="single"/>
        </w:rPr>
      </w:pPr>
      <w:r>
        <w:rPr>
          <w:rFonts w:hint="eastAsia" w:ascii="宋体" w:hAnsi="宋体"/>
          <w:sz w:val="24"/>
        </w:rPr>
        <w:t>法定代表人或委托代理人签字</w:t>
      </w:r>
      <w:r>
        <w:rPr>
          <w:rFonts w:hint="eastAsia" w:ascii="宋体" w:hAnsi="宋体"/>
          <w:spacing w:val="20"/>
          <w:sz w:val="24"/>
        </w:rPr>
        <w:t>：</w:t>
      </w:r>
      <w:r>
        <w:rPr>
          <w:rFonts w:hint="eastAsia" w:ascii="宋体" w:hAnsi="宋体"/>
          <w:spacing w:val="20"/>
          <w:sz w:val="24"/>
          <w:u w:val="single"/>
        </w:rPr>
        <w:t xml:space="preserve">        </w:t>
      </w:r>
    </w:p>
    <w:p w14:paraId="10E99198">
      <w:pPr>
        <w:spacing w:line="360" w:lineRule="auto"/>
        <w:rPr>
          <w:rFonts w:hint="eastAsia" w:ascii="宋体" w:hAnsi="宋体"/>
          <w:sz w:val="24"/>
        </w:rPr>
      </w:pPr>
      <w:r>
        <w:rPr>
          <w:rFonts w:hint="eastAsia" w:ascii="宋体" w:hAnsi="宋体"/>
          <w:spacing w:val="20"/>
          <w:sz w:val="24"/>
        </w:rPr>
        <w:t>投标人盖章：</w:t>
      </w:r>
      <w:r>
        <w:rPr>
          <w:rFonts w:hint="eastAsia" w:ascii="宋体" w:hAnsi="宋体"/>
          <w:spacing w:val="20"/>
          <w:sz w:val="24"/>
          <w:u w:val="single"/>
        </w:rPr>
        <w:t xml:space="preserve">            </w:t>
      </w:r>
      <w:r>
        <w:rPr>
          <w:rFonts w:hint="eastAsia" w:ascii="宋体" w:hAnsi="宋体"/>
          <w:spacing w:val="20"/>
          <w:sz w:val="24"/>
        </w:rPr>
        <w:t xml:space="preserve">              日 期：</w:t>
      </w:r>
      <w:r>
        <w:rPr>
          <w:rFonts w:hint="eastAsia" w:ascii="宋体" w:hAnsi="宋体"/>
          <w:spacing w:val="20"/>
          <w:sz w:val="24"/>
          <w:u w:val="single"/>
        </w:rPr>
        <w:t xml:space="preserve">           </w:t>
      </w:r>
    </w:p>
    <w:p w14:paraId="016A6652">
      <w:pPr>
        <w:spacing w:line="360" w:lineRule="auto"/>
        <w:rPr>
          <w:rFonts w:hint="eastAsia" w:ascii="宋体" w:hAnsi="宋体"/>
          <w:bCs/>
          <w:sz w:val="24"/>
          <w:szCs w:val="32"/>
        </w:rPr>
      </w:pPr>
    </w:p>
    <w:p w14:paraId="55ACAF77">
      <w:pPr>
        <w:spacing w:line="360" w:lineRule="auto"/>
        <w:rPr>
          <w:rFonts w:hint="eastAsia" w:ascii="宋体" w:hAnsi="宋体"/>
          <w:bCs/>
          <w:sz w:val="24"/>
          <w:szCs w:val="32"/>
        </w:rPr>
      </w:pPr>
    </w:p>
    <w:p w14:paraId="5CFD5080">
      <w:pPr>
        <w:rPr>
          <w:rFonts w:hint="eastAsia" w:ascii="宋体" w:hAnsi="宋体"/>
          <w:bCs/>
          <w:sz w:val="24"/>
          <w:szCs w:val="32"/>
        </w:rPr>
      </w:pPr>
    </w:p>
    <w:p w14:paraId="05E16A7D">
      <w:pPr>
        <w:rPr>
          <w:rFonts w:hint="eastAsia" w:ascii="宋体" w:hAnsi="宋体"/>
          <w:bCs/>
          <w:sz w:val="24"/>
          <w:szCs w:val="32"/>
        </w:rPr>
      </w:pPr>
    </w:p>
    <w:p w14:paraId="3EE084B9">
      <w:pPr>
        <w:rPr>
          <w:rFonts w:hint="eastAsia" w:ascii="宋体" w:hAnsi="宋体"/>
          <w:bCs/>
          <w:sz w:val="24"/>
          <w:szCs w:val="32"/>
        </w:rPr>
      </w:pPr>
    </w:p>
    <w:p w14:paraId="0B49E1AB">
      <w:pPr>
        <w:rPr>
          <w:rFonts w:hint="eastAsia" w:ascii="宋体" w:hAnsi="宋体"/>
          <w:bCs/>
          <w:sz w:val="24"/>
          <w:szCs w:val="32"/>
        </w:rPr>
      </w:pPr>
    </w:p>
    <w:p w14:paraId="370A0108">
      <w:pPr>
        <w:pageBreakBefore/>
        <w:spacing w:before="260" w:after="260" w:line="415" w:lineRule="auto"/>
        <w:outlineLvl w:val="1"/>
        <w:rPr>
          <w:rFonts w:hint="eastAsia" w:ascii="宋体" w:hAnsi="宋体"/>
          <w:sz w:val="24"/>
          <w:szCs w:val="32"/>
        </w:rPr>
      </w:pPr>
      <w:bookmarkStart w:id="94" w:name="_Toc517363257"/>
      <w:bookmarkStart w:id="95" w:name="_Toc17751"/>
      <w:bookmarkStart w:id="96" w:name="_Toc31077"/>
      <w:r>
        <w:rPr>
          <w:rFonts w:hint="eastAsia" w:ascii="宋体" w:hAnsi="宋体"/>
          <w:sz w:val="24"/>
          <w:szCs w:val="32"/>
        </w:rPr>
        <w:t>附件六：</w:t>
      </w:r>
      <w:bookmarkEnd w:id="94"/>
      <w:r>
        <w:rPr>
          <w:rFonts w:hint="eastAsia" w:ascii="宋体" w:hAnsi="宋体"/>
          <w:sz w:val="24"/>
          <w:szCs w:val="32"/>
        </w:rPr>
        <w:t>技术响应表</w:t>
      </w:r>
      <w:bookmarkEnd w:id="95"/>
      <w:bookmarkEnd w:id="96"/>
    </w:p>
    <w:p w14:paraId="61E1CC5E">
      <w:pPr>
        <w:snapToGrid w:val="0"/>
        <w:spacing w:before="50" w:after="156" w:afterLines="50"/>
        <w:jc w:val="center"/>
        <w:rPr>
          <w:rFonts w:hint="eastAsia" w:ascii="宋体" w:hAnsi="宋体"/>
          <w:b/>
          <w:sz w:val="32"/>
        </w:rPr>
      </w:pPr>
      <w:r>
        <w:rPr>
          <w:rFonts w:hint="eastAsia" w:ascii="宋体" w:hAnsi="宋体"/>
          <w:b/>
          <w:sz w:val="32"/>
        </w:rPr>
        <w:t>技术响应表</w:t>
      </w:r>
    </w:p>
    <w:p w14:paraId="3E6E4EBE">
      <w:pPr>
        <w:snapToGrid w:val="0"/>
        <w:spacing w:before="50" w:after="156" w:afterLines="50"/>
        <w:jc w:val="left"/>
        <w:rPr>
          <w:rFonts w:hint="eastAsia" w:ascii="宋体" w:hAnsi="宋体"/>
          <w:sz w:val="36"/>
          <w:szCs w:val="20"/>
          <w:u w:val="single"/>
        </w:rPr>
      </w:pP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861"/>
        <w:gridCol w:w="1962"/>
        <w:gridCol w:w="1625"/>
        <w:gridCol w:w="2334"/>
      </w:tblGrid>
      <w:tr w14:paraId="3EE5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1591ADA">
            <w:pPr>
              <w:jc w:val="center"/>
              <w:rPr>
                <w:rFonts w:ascii="宋体" w:hAnsi="宋体"/>
                <w:sz w:val="24"/>
              </w:rPr>
            </w:pPr>
            <w:r>
              <w:rPr>
                <w:rFonts w:hint="eastAsia" w:ascii="宋体" w:hAnsi="宋体"/>
                <w:sz w:val="24"/>
              </w:rPr>
              <w:t>序号</w:t>
            </w:r>
          </w:p>
        </w:tc>
        <w:tc>
          <w:tcPr>
            <w:tcW w:w="1861" w:type="dxa"/>
            <w:tcBorders>
              <w:top w:val="single" w:color="auto" w:sz="4" w:space="0"/>
              <w:left w:val="single" w:color="auto" w:sz="4" w:space="0"/>
              <w:bottom w:val="single" w:color="auto" w:sz="4" w:space="0"/>
              <w:right w:val="single" w:color="auto" w:sz="4" w:space="0"/>
            </w:tcBorders>
            <w:noWrap w:val="0"/>
            <w:vAlign w:val="center"/>
          </w:tcPr>
          <w:p w14:paraId="26DCBB29">
            <w:pPr>
              <w:jc w:val="center"/>
              <w:rPr>
                <w:rFonts w:ascii="宋体" w:hAnsi="宋体"/>
                <w:sz w:val="24"/>
              </w:rPr>
            </w:pPr>
            <w:r>
              <w:rPr>
                <w:rFonts w:hint="eastAsia" w:ascii="宋体" w:hAnsi="宋体"/>
                <w:sz w:val="24"/>
              </w:rPr>
              <w:t>内  容</w:t>
            </w:r>
          </w:p>
        </w:tc>
        <w:tc>
          <w:tcPr>
            <w:tcW w:w="1962" w:type="dxa"/>
            <w:tcBorders>
              <w:top w:val="single" w:color="auto" w:sz="4" w:space="0"/>
              <w:left w:val="single" w:color="auto" w:sz="4" w:space="0"/>
              <w:bottom w:val="single" w:color="auto" w:sz="4" w:space="0"/>
              <w:right w:val="single" w:color="auto" w:sz="4" w:space="0"/>
            </w:tcBorders>
            <w:noWrap w:val="0"/>
            <w:vAlign w:val="center"/>
          </w:tcPr>
          <w:p w14:paraId="6F66D7EE">
            <w:pPr>
              <w:jc w:val="center"/>
              <w:rPr>
                <w:rFonts w:ascii="宋体" w:hAnsi="宋体"/>
                <w:sz w:val="24"/>
              </w:rPr>
            </w:pPr>
            <w:r>
              <w:rPr>
                <w:rFonts w:hint="eastAsia" w:ascii="宋体" w:hAnsi="宋体"/>
                <w:sz w:val="24"/>
              </w:rPr>
              <w:t>招标文件</w:t>
            </w:r>
          </w:p>
          <w:p w14:paraId="7FD9CE98">
            <w:pPr>
              <w:jc w:val="center"/>
              <w:rPr>
                <w:rFonts w:ascii="宋体" w:hAnsi="宋体"/>
                <w:sz w:val="24"/>
              </w:rPr>
            </w:pPr>
            <w:r>
              <w:rPr>
                <w:rFonts w:hint="eastAsia" w:ascii="宋体" w:hAnsi="宋体"/>
                <w:sz w:val="24"/>
              </w:rPr>
              <w:t>规范要求</w:t>
            </w:r>
          </w:p>
        </w:tc>
        <w:tc>
          <w:tcPr>
            <w:tcW w:w="1625" w:type="dxa"/>
            <w:tcBorders>
              <w:top w:val="single" w:color="auto" w:sz="4" w:space="0"/>
              <w:left w:val="single" w:color="auto" w:sz="4" w:space="0"/>
              <w:bottom w:val="single" w:color="auto" w:sz="4" w:space="0"/>
              <w:right w:val="single" w:color="auto" w:sz="4" w:space="0"/>
            </w:tcBorders>
            <w:noWrap w:val="0"/>
            <w:vAlign w:val="center"/>
          </w:tcPr>
          <w:p w14:paraId="6FF4C179">
            <w:pPr>
              <w:jc w:val="center"/>
              <w:rPr>
                <w:rFonts w:ascii="宋体" w:hAnsi="宋体"/>
                <w:sz w:val="24"/>
              </w:rPr>
            </w:pPr>
            <w:r>
              <w:rPr>
                <w:rFonts w:hint="eastAsia" w:ascii="宋体" w:hAnsi="宋体"/>
                <w:sz w:val="24"/>
              </w:rPr>
              <w:t>投标文件</w:t>
            </w:r>
          </w:p>
          <w:p w14:paraId="257B87A0">
            <w:pPr>
              <w:jc w:val="center"/>
              <w:rPr>
                <w:rFonts w:ascii="宋体" w:hAnsi="宋体"/>
                <w:sz w:val="24"/>
              </w:rPr>
            </w:pPr>
            <w:r>
              <w:rPr>
                <w:rFonts w:hint="eastAsia" w:ascii="宋体" w:hAnsi="宋体"/>
                <w:sz w:val="24"/>
              </w:rPr>
              <w:t>对应规范</w:t>
            </w:r>
          </w:p>
        </w:tc>
        <w:tc>
          <w:tcPr>
            <w:tcW w:w="2334" w:type="dxa"/>
            <w:tcBorders>
              <w:top w:val="single" w:color="auto" w:sz="4" w:space="0"/>
              <w:left w:val="single" w:color="auto" w:sz="4" w:space="0"/>
              <w:bottom w:val="single" w:color="auto" w:sz="4" w:space="0"/>
              <w:right w:val="single" w:color="auto" w:sz="4" w:space="0"/>
            </w:tcBorders>
            <w:noWrap w:val="0"/>
            <w:vAlign w:val="center"/>
          </w:tcPr>
          <w:p w14:paraId="20B15038">
            <w:pPr>
              <w:jc w:val="center"/>
              <w:rPr>
                <w:rFonts w:ascii="宋体" w:hAnsi="宋体"/>
                <w:sz w:val="24"/>
              </w:rPr>
            </w:pPr>
            <w:r>
              <w:rPr>
                <w:rFonts w:hint="eastAsia" w:ascii="宋体" w:hAnsi="宋体"/>
                <w:sz w:val="24"/>
              </w:rPr>
              <w:t>偏离情况</w:t>
            </w:r>
          </w:p>
          <w:p w14:paraId="6B73C261">
            <w:pPr>
              <w:jc w:val="center"/>
              <w:rPr>
                <w:rFonts w:ascii="宋体" w:hAnsi="宋体"/>
                <w:sz w:val="24"/>
              </w:rPr>
            </w:pPr>
            <w:r>
              <w:rPr>
                <w:rFonts w:hint="eastAsia" w:ascii="宋体" w:hAnsi="宋体"/>
                <w:sz w:val="24"/>
              </w:rPr>
              <w:t>（注明正偏离、负偏离或无偏离）</w:t>
            </w:r>
          </w:p>
        </w:tc>
      </w:tr>
      <w:tr w14:paraId="0021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584DE795">
            <w:pPr>
              <w:jc w:val="center"/>
              <w:rPr>
                <w:rFonts w:hint="eastAsia" w:ascii="宋体" w:hAnsi="宋体"/>
                <w:sz w:val="24"/>
              </w:rPr>
            </w:pPr>
          </w:p>
          <w:p w14:paraId="23229195">
            <w:pPr>
              <w:jc w:val="cente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6430A8B8">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6CE0DCCA">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563EDBC4">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148FEC50">
            <w:pPr>
              <w:rPr>
                <w:rFonts w:ascii="宋体" w:hAnsi="宋体"/>
                <w:sz w:val="24"/>
              </w:rPr>
            </w:pPr>
          </w:p>
        </w:tc>
      </w:tr>
      <w:tr w14:paraId="38BE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70B38825">
            <w:pPr>
              <w:rPr>
                <w:rFonts w:hint="eastAsia" w:ascii="宋体" w:hAnsi="宋体"/>
                <w:sz w:val="24"/>
              </w:rPr>
            </w:pPr>
          </w:p>
          <w:p w14:paraId="6D67B785">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1330E7A9">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0191417E">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629B2DA2">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2A02C44C">
            <w:pPr>
              <w:rPr>
                <w:rFonts w:ascii="宋体" w:hAnsi="宋体"/>
                <w:sz w:val="24"/>
              </w:rPr>
            </w:pPr>
          </w:p>
        </w:tc>
      </w:tr>
      <w:tr w14:paraId="6CE7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4D16972E">
            <w:pPr>
              <w:rPr>
                <w:rFonts w:hint="eastAsia" w:ascii="宋体" w:hAnsi="宋体"/>
                <w:sz w:val="24"/>
              </w:rPr>
            </w:pPr>
          </w:p>
          <w:p w14:paraId="30DC005B">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7D36446B">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203532E8">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318FBD67">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3DF6518F">
            <w:pPr>
              <w:rPr>
                <w:rFonts w:ascii="宋体" w:hAnsi="宋体"/>
                <w:sz w:val="24"/>
              </w:rPr>
            </w:pPr>
          </w:p>
        </w:tc>
      </w:tr>
      <w:tr w14:paraId="3A69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3BBA4ADA">
            <w:pPr>
              <w:rPr>
                <w:rFonts w:hint="eastAsia" w:ascii="宋体" w:hAnsi="宋体"/>
                <w:sz w:val="24"/>
              </w:rPr>
            </w:pPr>
          </w:p>
          <w:p w14:paraId="0A44817B">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400B0896">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7D1D005B">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6C7D6509">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7F9C756E">
            <w:pPr>
              <w:rPr>
                <w:rFonts w:ascii="宋体" w:hAnsi="宋体"/>
                <w:sz w:val="24"/>
              </w:rPr>
            </w:pPr>
          </w:p>
        </w:tc>
      </w:tr>
      <w:tr w14:paraId="76A9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5D22CECE">
            <w:pPr>
              <w:rPr>
                <w:rFonts w:hint="eastAsia" w:ascii="宋体" w:hAnsi="宋体"/>
                <w:sz w:val="24"/>
              </w:rPr>
            </w:pPr>
          </w:p>
          <w:p w14:paraId="478FC04D">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2D337DFE">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14FD5FEF">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256F5C8D">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0851E4FF">
            <w:pPr>
              <w:rPr>
                <w:rFonts w:ascii="宋体" w:hAnsi="宋体"/>
                <w:sz w:val="24"/>
              </w:rPr>
            </w:pPr>
          </w:p>
        </w:tc>
      </w:tr>
      <w:tr w14:paraId="156A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3933C7CA">
            <w:pPr>
              <w:rPr>
                <w:rFonts w:hint="eastAsia" w:ascii="宋体" w:hAnsi="宋体"/>
                <w:sz w:val="24"/>
              </w:rPr>
            </w:pPr>
          </w:p>
          <w:p w14:paraId="0E3C2E2D">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72857F24">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79ABE00B">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7A9C605C">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77C4393C">
            <w:pPr>
              <w:rPr>
                <w:rFonts w:ascii="宋体" w:hAnsi="宋体"/>
                <w:sz w:val="24"/>
              </w:rPr>
            </w:pPr>
          </w:p>
        </w:tc>
      </w:tr>
      <w:tr w14:paraId="6C26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721C9FB4">
            <w:pPr>
              <w:rPr>
                <w:rFonts w:hint="eastAsia" w:ascii="宋体" w:hAnsi="宋体"/>
                <w:sz w:val="24"/>
              </w:rPr>
            </w:pPr>
          </w:p>
          <w:p w14:paraId="62BDFF0C">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056BCE46">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3A485C95">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5882C00D">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795DC173">
            <w:pPr>
              <w:rPr>
                <w:rFonts w:ascii="宋体" w:hAnsi="宋体"/>
                <w:sz w:val="24"/>
              </w:rPr>
            </w:pPr>
          </w:p>
        </w:tc>
      </w:tr>
      <w:tr w14:paraId="5DA9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6C784401">
            <w:pPr>
              <w:rPr>
                <w:rFonts w:hint="eastAsia" w:ascii="宋体" w:hAnsi="宋体"/>
                <w:sz w:val="24"/>
              </w:rPr>
            </w:pPr>
          </w:p>
          <w:p w14:paraId="6293B321">
            <w:pPr>
              <w:rPr>
                <w:rFonts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7EB1E0B4">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6C449AA6">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15C7EC11">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1D49F9F1">
            <w:pPr>
              <w:rPr>
                <w:rFonts w:ascii="宋体" w:hAnsi="宋体"/>
                <w:sz w:val="24"/>
              </w:rPr>
            </w:pPr>
          </w:p>
        </w:tc>
      </w:tr>
      <w:tr w14:paraId="2C8C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top"/>
          </w:tcPr>
          <w:p w14:paraId="3149AB5E">
            <w:pPr>
              <w:rPr>
                <w:rFonts w:hint="eastAsia" w:ascii="宋体" w:hAnsi="宋体"/>
                <w:sz w:val="24"/>
              </w:rPr>
            </w:pPr>
          </w:p>
          <w:p w14:paraId="67AFBD37">
            <w:pPr>
              <w:rPr>
                <w:rFonts w:hint="eastAsia" w:ascii="宋体" w:hAnsi="宋体"/>
                <w:sz w:val="24"/>
              </w:rPr>
            </w:pPr>
          </w:p>
        </w:tc>
        <w:tc>
          <w:tcPr>
            <w:tcW w:w="1861" w:type="dxa"/>
            <w:tcBorders>
              <w:top w:val="single" w:color="auto" w:sz="4" w:space="0"/>
              <w:left w:val="single" w:color="auto" w:sz="4" w:space="0"/>
              <w:bottom w:val="single" w:color="auto" w:sz="4" w:space="0"/>
              <w:right w:val="single" w:color="auto" w:sz="4" w:space="0"/>
            </w:tcBorders>
            <w:noWrap w:val="0"/>
            <w:vAlign w:val="top"/>
          </w:tcPr>
          <w:p w14:paraId="7DCAD988">
            <w:pPr>
              <w:rPr>
                <w:rFonts w:ascii="宋体" w:hAnsi="宋体"/>
                <w:sz w:val="24"/>
              </w:rPr>
            </w:pPr>
          </w:p>
        </w:tc>
        <w:tc>
          <w:tcPr>
            <w:tcW w:w="1962" w:type="dxa"/>
            <w:tcBorders>
              <w:top w:val="single" w:color="auto" w:sz="4" w:space="0"/>
              <w:left w:val="single" w:color="auto" w:sz="4" w:space="0"/>
              <w:bottom w:val="single" w:color="auto" w:sz="4" w:space="0"/>
              <w:right w:val="single" w:color="auto" w:sz="4" w:space="0"/>
            </w:tcBorders>
            <w:noWrap w:val="0"/>
            <w:vAlign w:val="top"/>
          </w:tcPr>
          <w:p w14:paraId="6F4FD4CD">
            <w:pPr>
              <w:rPr>
                <w:rFonts w:ascii="宋体" w:hAnsi="宋体"/>
                <w:sz w:val="24"/>
              </w:rPr>
            </w:pPr>
          </w:p>
        </w:tc>
        <w:tc>
          <w:tcPr>
            <w:tcW w:w="1625" w:type="dxa"/>
            <w:tcBorders>
              <w:top w:val="single" w:color="auto" w:sz="4" w:space="0"/>
              <w:left w:val="single" w:color="auto" w:sz="4" w:space="0"/>
              <w:bottom w:val="single" w:color="auto" w:sz="4" w:space="0"/>
              <w:right w:val="single" w:color="auto" w:sz="4" w:space="0"/>
            </w:tcBorders>
            <w:noWrap w:val="0"/>
            <w:vAlign w:val="top"/>
          </w:tcPr>
          <w:p w14:paraId="37603DD1">
            <w:pPr>
              <w:rPr>
                <w:rFonts w:ascii="宋体" w:hAnsi="宋体"/>
                <w:sz w:val="24"/>
              </w:rPr>
            </w:pPr>
          </w:p>
        </w:tc>
        <w:tc>
          <w:tcPr>
            <w:tcW w:w="2334" w:type="dxa"/>
            <w:tcBorders>
              <w:top w:val="single" w:color="auto" w:sz="4" w:space="0"/>
              <w:left w:val="single" w:color="auto" w:sz="4" w:space="0"/>
              <w:bottom w:val="single" w:color="auto" w:sz="4" w:space="0"/>
              <w:right w:val="single" w:color="auto" w:sz="4" w:space="0"/>
            </w:tcBorders>
            <w:noWrap w:val="0"/>
            <w:vAlign w:val="top"/>
          </w:tcPr>
          <w:p w14:paraId="1434B0FE">
            <w:pPr>
              <w:rPr>
                <w:rFonts w:ascii="宋体" w:hAnsi="宋体"/>
                <w:sz w:val="24"/>
              </w:rPr>
            </w:pPr>
          </w:p>
        </w:tc>
      </w:tr>
    </w:tbl>
    <w:p w14:paraId="0235F985">
      <w:pPr>
        <w:snapToGrid w:val="0"/>
        <w:spacing w:before="50" w:after="50"/>
        <w:rPr>
          <w:rFonts w:hint="eastAsia" w:ascii="宋体" w:hAnsi="宋体"/>
          <w:b/>
          <w:bCs/>
          <w:sz w:val="24"/>
          <w:szCs w:val="20"/>
        </w:rPr>
      </w:pPr>
    </w:p>
    <w:p w14:paraId="5284FD1C">
      <w:pPr>
        <w:snapToGrid w:val="0"/>
        <w:spacing w:before="50" w:after="50" w:line="360" w:lineRule="auto"/>
        <w:rPr>
          <w:rFonts w:hint="eastAsia" w:ascii="宋体" w:hAnsi="宋体"/>
          <w:b/>
          <w:bCs/>
          <w:spacing w:val="20"/>
          <w:sz w:val="24"/>
          <w:szCs w:val="20"/>
        </w:rPr>
      </w:pPr>
      <w:r>
        <w:rPr>
          <w:rFonts w:hint="eastAsia" w:ascii="宋体" w:hAnsi="宋体"/>
          <w:b/>
          <w:bCs/>
          <w:sz w:val="24"/>
          <w:szCs w:val="20"/>
        </w:rPr>
        <w:t>注：投标人应根据投标货物的性能指标、对照招标文件要求在“偏离情况”栏注明“正偏离”、“负偏离”或“无偏离”。</w:t>
      </w:r>
    </w:p>
    <w:p w14:paraId="490046DD">
      <w:pPr>
        <w:snapToGrid w:val="0"/>
        <w:spacing w:before="50" w:after="50" w:line="360" w:lineRule="auto"/>
        <w:rPr>
          <w:rFonts w:hint="eastAsia" w:ascii="宋体" w:hAnsi="宋体"/>
          <w:spacing w:val="20"/>
          <w:sz w:val="24"/>
        </w:rPr>
      </w:pPr>
    </w:p>
    <w:p w14:paraId="324CE933">
      <w:pPr>
        <w:snapToGrid w:val="0"/>
        <w:spacing w:before="50" w:after="50" w:line="360" w:lineRule="auto"/>
        <w:rPr>
          <w:rFonts w:hint="eastAsia" w:ascii="宋体" w:hAnsi="宋体"/>
          <w:spacing w:val="20"/>
          <w:sz w:val="24"/>
          <w:szCs w:val="20"/>
          <w:u w:val="single"/>
        </w:rPr>
      </w:pPr>
      <w:r>
        <w:rPr>
          <w:rFonts w:hint="eastAsia" w:ascii="宋体" w:hAnsi="宋体"/>
          <w:sz w:val="24"/>
        </w:rPr>
        <w:t>法定代表人或委托代理人签字</w:t>
      </w:r>
      <w:r>
        <w:rPr>
          <w:rFonts w:hint="eastAsia" w:ascii="宋体" w:hAnsi="宋体"/>
          <w:spacing w:val="20"/>
          <w:sz w:val="24"/>
        </w:rPr>
        <w:t>：</w:t>
      </w:r>
      <w:r>
        <w:rPr>
          <w:rFonts w:hint="eastAsia" w:ascii="宋体" w:hAnsi="宋体"/>
          <w:spacing w:val="20"/>
          <w:sz w:val="24"/>
          <w:u w:val="single"/>
        </w:rPr>
        <w:t xml:space="preserve">        </w:t>
      </w:r>
    </w:p>
    <w:p w14:paraId="014A2362">
      <w:pPr>
        <w:snapToGrid w:val="0"/>
        <w:spacing w:before="50" w:after="50" w:line="360" w:lineRule="auto"/>
        <w:rPr>
          <w:rFonts w:hint="eastAsia" w:ascii="宋体" w:hAnsi="宋体"/>
          <w:sz w:val="24"/>
          <w:szCs w:val="20"/>
        </w:rPr>
      </w:pPr>
      <w:r>
        <w:rPr>
          <w:rFonts w:hint="eastAsia" w:ascii="宋体" w:hAnsi="宋体"/>
          <w:spacing w:val="20"/>
          <w:sz w:val="24"/>
        </w:rPr>
        <w:t>投标人盖章：</w:t>
      </w:r>
      <w:r>
        <w:rPr>
          <w:rFonts w:hint="eastAsia" w:ascii="宋体" w:hAnsi="宋体"/>
          <w:spacing w:val="20"/>
          <w:sz w:val="24"/>
          <w:u w:val="single"/>
        </w:rPr>
        <w:t xml:space="preserve">            </w:t>
      </w:r>
      <w:r>
        <w:rPr>
          <w:rFonts w:hint="eastAsia" w:ascii="宋体" w:hAnsi="宋体"/>
          <w:spacing w:val="20"/>
          <w:sz w:val="24"/>
        </w:rPr>
        <w:t xml:space="preserve">              日 期：</w:t>
      </w:r>
      <w:r>
        <w:rPr>
          <w:rFonts w:hint="eastAsia" w:ascii="宋体" w:hAnsi="宋体"/>
          <w:spacing w:val="20"/>
          <w:sz w:val="24"/>
          <w:u w:val="single"/>
        </w:rPr>
        <w:t xml:space="preserve">            </w:t>
      </w:r>
    </w:p>
    <w:p w14:paraId="7E7DAF11">
      <w:pPr>
        <w:snapToGrid w:val="0"/>
        <w:spacing w:before="50" w:after="156" w:afterLines="50" w:line="360" w:lineRule="auto"/>
        <w:jc w:val="left"/>
        <w:rPr>
          <w:rFonts w:hint="eastAsia" w:ascii="宋体" w:hAnsi="宋体"/>
          <w:sz w:val="24"/>
          <w:szCs w:val="20"/>
        </w:rPr>
      </w:pPr>
    </w:p>
    <w:p w14:paraId="4DAF2A03">
      <w:pPr>
        <w:spacing w:before="260" w:after="260" w:line="360" w:lineRule="auto"/>
        <w:rPr>
          <w:rFonts w:hint="eastAsia" w:ascii="宋体" w:hAnsi="宋体"/>
          <w:bCs/>
          <w:sz w:val="24"/>
          <w:szCs w:val="32"/>
        </w:rPr>
      </w:pPr>
    </w:p>
    <w:p w14:paraId="27CD5067">
      <w:pPr>
        <w:pStyle w:val="109"/>
        <w:rPr>
          <w:rFonts w:hint="eastAsia" w:ascii="宋体" w:hAnsi="宋体"/>
          <w:bCs/>
          <w:sz w:val="24"/>
          <w:szCs w:val="32"/>
          <w:lang w:eastAsia="zh-CN"/>
        </w:rPr>
      </w:pPr>
    </w:p>
    <w:p w14:paraId="7C1BCC60">
      <w:pPr>
        <w:pageBreakBefore/>
        <w:spacing w:before="260" w:after="260" w:line="415" w:lineRule="auto"/>
        <w:outlineLvl w:val="1"/>
        <w:rPr>
          <w:rFonts w:hint="eastAsia" w:ascii="宋体" w:hAnsi="宋体" w:cs="宋体"/>
          <w:sz w:val="24"/>
          <w:szCs w:val="32"/>
        </w:rPr>
      </w:pPr>
      <w:bookmarkStart w:id="97" w:name="_Toc7101"/>
      <w:bookmarkStart w:id="98" w:name="_Toc25852"/>
      <w:bookmarkStart w:id="99" w:name="_Toc12262"/>
      <w:bookmarkStart w:id="100" w:name="_Toc12834"/>
      <w:bookmarkStart w:id="101" w:name="_Toc25711"/>
      <w:bookmarkStart w:id="102" w:name="_Toc13362"/>
      <w:bookmarkStart w:id="103" w:name="_Toc7600"/>
      <w:r>
        <w:rPr>
          <w:rFonts w:hint="eastAsia" w:ascii="宋体" w:hAnsi="宋体" w:cs="宋体"/>
          <w:sz w:val="24"/>
          <w:szCs w:val="32"/>
        </w:rPr>
        <w:t>附件七：产品配置清单</w:t>
      </w:r>
    </w:p>
    <w:p w14:paraId="30371B67">
      <w:pPr>
        <w:snapToGrid w:val="0"/>
        <w:spacing w:before="156" w:beforeLines="50" w:after="50" w:line="360" w:lineRule="auto"/>
        <w:jc w:val="center"/>
        <w:rPr>
          <w:rFonts w:ascii="宋体" w:hAnsi="宋体"/>
          <w:b/>
          <w:sz w:val="24"/>
        </w:rPr>
      </w:pPr>
      <w:r>
        <w:rPr>
          <w:rFonts w:hint="eastAsia" w:ascii="宋体" w:hAnsi="宋体"/>
          <w:b/>
          <w:sz w:val="28"/>
          <w:szCs w:val="28"/>
        </w:rPr>
        <w:t>产品配置清单</w:t>
      </w:r>
      <w:r>
        <w:rPr>
          <w:rFonts w:ascii="宋体" w:hAnsi="宋体"/>
          <w:b/>
          <w:sz w:val="28"/>
          <w:szCs w:val="28"/>
        </w:rPr>
        <w:t xml:space="preserve"> </w:t>
      </w:r>
    </w:p>
    <w:p w14:paraId="73D57F10">
      <w:pPr>
        <w:pStyle w:val="36"/>
        <w:spacing w:line="360" w:lineRule="auto"/>
        <w:ind w:right="904"/>
      </w:pPr>
      <w:r>
        <w:rPr>
          <w:rFonts w:hint="eastAsia"/>
        </w:rPr>
        <w:t xml:space="preserve">项目名称：                                             </w:t>
      </w:r>
      <w:r>
        <w:t>招标编号：</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624"/>
        <w:gridCol w:w="921"/>
        <w:gridCol w:w="676"/>
        <w:gridCol w:w="1245"/>
        <w:gridCol w:w="3307"/>
        <w:gridCol w:w="1132"/>
        <w:gridCol w:w="1132"/>
      </w:tblGrid>
      <w:tr w14:paraId="0035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624" w:type="dxa"/>
            <w:tcBorders>
              <w:bottom w:val="nil"/>
            </w:tcBorders>
            <w:noWrap w:val="0"/>
            <w:vAlign w:val="center"/>
          </w:tcPr>
          <w:p w14:paraId="6A9066EE">
            <w:pPr>
              <w:jc w:val="center"/>
              <w:rPr>
                <w:rFonts w:ascii="宋体" w:hAnsi="宋体"/>
                <w:sz w:val="24"/>
              </w:rPr>
            </w:pPr>
            <w:r>
              <w:rPr>
                <w:rFonts w:hint="eastAsia" w:ascii="宋体" w:hAnsi="宋体"/>
                <w:sz w:val="24"/>
              </w:rPr>
              <w:t>序号</w:t>
            </w:r>
          </w:p>
        </w:tc>
        <w:tc>
          <w:tcPr>
            <w:tcW w:w="921" w:type="dxa"/>
            <w:tcBorders>
              <w:bottom w:val="nil"/>
            </w:tcBorders>
            <w:noWrap w:val="0"/>
            <w:vAlign w:val="center"/>
          </w:tcPr>
          <w:p w14:paraId="23E13863">
            <w:pPr>
              <w:jc w:val="center"/>
              <w:rPr>
                <w:rFonts w:hint="eastAsia" w:ascii="宋体" w:hAnsi="宋体"/>
                <w:sz w:val="24"/>
              </w:rPr>
            </w:pPr>
            <w:r>
              <w:rPr>
                <w:rFonts w:hint="eastAsia" w:ascii="宋体" w:hAnsi="宋体"/>
                <w:sz w:val="24"/>
              </w:rPr>
              <w:t>货物</w:t>
            </w:r>
          </w:p>
          <w:p w14:paraId="7D32EFEB">
            <w:pPr>
              <w:jc w:val="center"/>
              <w:rPr>
                <w:rFonts w:ascii="宋体" w:hAnsi="宋体"/>
                <w:sz w:val="24"/>
              </w:rPr>
            </w:pPr>
            <w:r>
              <w:rPr>
                <w:rFonts w:hint="eastAsia" w:ascii="宋体" w:hAnsi="宋体"/>
                <w:sz w:val="24"/>
              </w:rPr>
              <w:t>名称</w:t>
            </w:r>
          </w:p>
        </w:tc>
        <w:tc>
          <w:tcPr>
            <w:tcW w:w="676" w:type="dxa"/>
            <w:tcBorders>
              <w:bottom w:val="nil"/>
            </w:tcBorders>
            <w:noWrap w:val="0"/>
            <w:vAlign w:val="center"/>
          </w:tcPr>
          <w:p w14:paraId="6F465AE3">
            <w:pPr>
              <w:jc w:val="center"/>
              <w:rPr>
                <w:rFonts w:hint="eastAsia" w:ascii="宋体" w:hAnsi="宋体"/>
                <w:sz w:val="24"/>
              </w:rPr>
            </w:pPr>
            <w:r>
              <w:rPr>
                <w:rFonts w:hint="eastAsia" w:ascii="宋体" w:hAnsi="宋体"/>
                <w:sz w:val="24"/>
              </w:rPr>
              <w:t>品牌</w:t>
            </w:r>
          </w:p>
        </w:tc>
        <w:tc>
          <w:tcPr>
            <w:tcW w:w="1245" w:type="dxa"/>
            <w:noWrap w:val="0"/>
            <w:vAlign w:val="center"/>
          </w:tcPr>
          <w:p w14:paraId="0394BB8E">
            <w:pPr>
              <w:jc w:val="center"/>
              <w:rPr>
                <w:rFonts w:ascii="宋体" w:hAnsi="宋体"/>
                <w:sz w:val="24"/>
              </w:rPr>
            </w:pPr>
            <w:r>
              <w:rPr>
                <w:rFonts w:hint="eastAsia" w:ascii="宋体" w:hAnsi="宋体"/>
                <w:sz w:val="24"/>
              </w:rPr>
              <w:t>规格型号</w:t>
            </w:r>
          </w:p>
        </w:tc>
        <w:tc>
          <w:tcPr>
            <w:tcW w:w="3307" w:type="dxa"/>
            <w:noWrap w:val="0"/>
            <w:vAlign w:val="center"/>
          </w:tcPr>
          <w:p w14:paraId="3C0F24AB">
            <w:pPr>
              <w:ind w:right="54"/>
              <w:jc w:val="center"/>
              <w:rPr>
                <w:rFonts w:ascii="宋体" w:hAnsi="宋体"/>
                <w:sz w:val="24"/>
              </w:rPr>
            </w:pPr>
            <w:r>
              <w:rPr>
                <w:rFonts w:hint="eastAsia" w:ascii="宋体" w:hAnsi="宋体"/>
                <w:sz w:val="24"/>
              </w:rPr>
              <w:t>技术指标、功能及配置描述</w:t>
            </w:r>
          </w:p>
        </w:tc>
        <w:tc>
          <w:tcPr>
            <w:tcW w:w="1132" w:type="dxa"/>
            <w:noWrap w:val="0"/>
            <w:vAlign w:val="center"/>
          </w:tcPr>
          <w:p w14:paraId="1CCB57B0">
            <w:pPr>
              <w:ind w:right="54"/>
              <w:jc w:val="center"/>
              <w:rPr>
                <w:rFonts w:ascii="宋体" w:hAnsi="宋体"/>
                <w:sz w:val="24"/>
              </w:rPr>
            </w:pPr>
            <w:r>
              <w:rPr>
                <w:rFonts w:hint="eastAsia" w:ascii="宋体" w:hAnsi="宋体"/>
                <w:sz w:val="24"/>
              </w:rPr>
              <w:t>产地</w:t>
            </w:r>
          </w:p>
        </w:tc>
        <w:tc>
          <w:tcPr>
            <w:tcW w:w="1132" w:type="dxa"/>
            <w:noWrap w:val="0"/>
            <w:vAlign w:val="center"/>
          </w:tcPr>
          <w:p w14:paraId="0B6AB645">
            <w:pPr>
              <w:ind w:right="54"/>
              <w:jc w:val="center"/>
              <w:rPr>
                <w:rFonts w:ascii="宋体" w:hAnsi="宋体"/>
                <w:sz w:val="24"/>
              </w:rPr>
            </w:pPr>
            <w:r>
              <w:rPr>
                <w:rFonts w:hint="eastAsia" w:ascii="宋体" w:hAnsi="宋体"/>
                <w:sz w:val="24"/>
              </w:rPr>
              <w:t>备注</w:t>
            </w:r>
          </w:p>
        </w:tc>
      </w:tr>
      <w:tr w14:paraId="7192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2291B572">
            <w:pPr>
              <w:spacing w:line="360" w:lineRule="auto"/>
              <w:jc w:val="center"/>
              <w:rPr>
                <w:rFonts w:ascii="宋体" w:hAnsi="宋体"/>
                <w:sz w:val="24"/>
              </w:rPr>
            </w:pPr>
          </w:p>
        </w:tc>
        <w:tc>
          <w:tcPr>
            <w:tcW w:w="921" w:type="dxa"/>
            <w:noWrap w:val="0"/>
            <w:vAlign w:val="center"/>
          </w:tcPr>
          <w:p w14:paraId="049BB274">
            <w:pPr>
              <w:spacing w:line="360" w:lineRule="auto"/>
              <w:jc w:val="center"/>
              <w:rPr>
                <w:rFonts w:ascii="宋体" w:hAnsi="宋体"/>
                <w:sz w:val="24"/>
              </w:rPr>
            </w:pPr>
          </w:p>
        </w:tc>
        <w:tc>
          <w:tcPr>
            <w:tcW w:w="676" w:type="dxa"/>
            <w:noWrap w:val="0"/>
            <w:vAlign w:val="center"/>
          </w:tcPr>
          <w:p w14:paraId="295342AB">
            <w:pPr>
              <w:spacing w:line="360" w:lineRule="auto"/>
              <w:jc w:val="center"/>
              <w:rPr>
                <w:rFonts w:ascii="宋体" w:hAnsi="宋体"/>
                <w:sz w:val="24"/>
              </w:rPr>
            </w:pPr>
          </w:p>
        </w:tc>
        <w:tc>
          <w:tcPr>
            <w:tcW w:w="1245" w:type="dxa"/>
            <w:noWrap w:val="0"/>
            <w:vAlign w:val="center"/>
          </w:tcPr>
          <w:p w14:paraId="5DEF31CE">
            <w:pPr>
              <w:spacing w:line="360" w:lineRule="auto"/>
              <w:jc w:val="center"/>
              <w:rPr>
                <w:rFonts w:ascii="宋体" w:hAnsi="宋体"/>
                <w:sz w:val="24"/>
              </w:rPr>
            </w:pPr>
          </w:p>
        </w:tc>
        <w:tc>
          <w:tcPr>
            <w:tcW w:w="3307" w:type="dxa"/>
            <w:noWrap w:val="0"/>
            <w:vAlign w:val="center"/>
          </w:tcPr>
          <w:p w14:paraId="2694CA52">
            <w:pPr>
              <w:spacing w:line="360" w:lineRule="auto"/>
              <w:ind w:right="54"/>
              <w:jc w:val="center"/>
              <w:rPr>
                <w:rFonts w:ascii="宋体" w:hAnsi="宋体"/>
                <w:sz w:val="24"/>
              </w:rPr>
            </w:pPr>
          </w:p>
        </w:tc>
        <w:tc>
          <w:tcPr>
            <w:tcW w:w="1132" w:type="dxa"/>
            <w:noWrap w:val="0"/>
            <w:vAlign w:val="center"/>
          </w:tcPr>
          <w:p w14:paraId="4895E2DA">
            <w:pPr>
              <w:spacing w:line="360" w:lineRule="auto"/>
              <w:ind w:right="54"/>
              <w:jc w:val="center"/>
              <w:rPr>
                <w:rFonts w:ascii="宋体" w:hAnsi="宋体"/>
                <w:sz w:val="24"/>
              </w:rPr>
            </w:pPr>
          </w:p>
        </w:tc>
        <w:tc>
          <w:tcPr>
            <w:tcW w:w="1132" w:type="dxa"/>
            <w:noWrap w:val="0"/>
            <w:vAlign w:val="center"/>
          </w:tcPr>
          <w:p w14:paraId="56044C5E">
            <w:pPr>
              <w:spacing w:line="360" w:lineRule="auto"/>
              <w:ind w:right="54"/>
              <w:jc w:val="center"/>
              <w:rPr>
                <w:rFonts w:ascii="宋体" w:hAnsi="宋体"/>
                <w:sz w:val="24"/>
              </w:rPr>
            </w:pPr>
          </w:p>
        </w:tc>
      </w:tr>
      <w:tr w14:paraId="7BD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794E2B3A">
            <w:pPr>
              <w:spacing w:line="360" w:lineRule="auto"/>
              <w:jc w:val="center"/>
              <w:rPr>
                <w:rFonts w:ascii="宋体" w:hAnsi="宋体"/>
                <w:sz w:val="24"/>
              </w:rPr>
            </w:pPr>
          </w:p>
        </w:tc>
        <w:tc>
          <w:tcPr>
            <w:tcW w:w="921" w:type="dxa"/>
            <w:noWrap w:val="0"/>
            <w:vAlign w:val="center"/>
          </w:tcPr>
          <w:p w14:paraId="63F3A9B9">
            <w:pPr>
              <w:spacing w:line="360" w:lineRule="auto"/>
              <w:jc w:val="center"/>
              <w:rPr>
                <w:rFonts w:ascii="宋体" w:hAnsi="宋体"/>
                <w:sz w:val="24"/>
              </w:rPr>
            </w:pPr>
          </w:p>
        </w:tc>
        <w:tc>
          <w:tcPr>
            <w:tcW w:w="676" w:type="dxa"/>
            <w:noWrap w:val="0"/>
            <w:vAlign w:val="center"/>
          </w:tcPr>
          <w:p w14:paraId="4E658485">
            <w:pPr>
              <w:spacing w:line="360" w:lineRule="auto"/>
              <w:jc w:val="center"/>
              <w:rPr>
                <w:rFonts w:ascii="宋体" w:hAnsi="宋体"/>
                <w:sz w:val="24"/>
              </w:rPr>
            </w:pPr>
          </w:p>
        </w:tc>
        <w:tc>
          <w:tcPr>
            <w:tcW w:w="1245" w:type="dxa"/>
            <w:noWrap w:val="0"/>
            <w:vAlign w:val="center"/>
          </w:tcPr>
          <w:p w14:paraId="7E6383EC">
            <w:pPr>
              <w:spacing w:line="360" w:lineRule="auto"/>
              <w:jc w:val="center"/>
              <w:rPr>
                <w:rFonts w:ascii="宋体" w:hAnsi="宋体"/>
                <w:sz w:val="24"/>
              </w:rPr>
            </w:pPr>
          </w:p>
        </w:tc>
        <w:tc>
          <w:tcPr>
            <w:tcW w:w="3307" w:type="dxa"/>
            <w:noWrap w:val="0"/>
            <w:vAlign w:val="center"/>
          </w:tcPr>
          <w:p w14:paraId="1B237687">
            <w:pPr>
              <w:spacing w:line="360" w:lineRule="auto"/>
              <w:ind w:right="54"/>
              <w:jc w:val="center"/>
              <w:rPr>
                <w:rFonts w:ascii="宋体" w:hAnsi="宋体"/>
                <w:sz w:val="24"/>
              </w:rPr>
            </w:pPr>
          </w:p>
        </w:tc>
        <w:tc>
          <w:tcPr>
            <w:tcW w:w="1132" w:type="dxa"/>
            <w:noWrap w:val="0"/>
            <w:vAlign w:val="center"/>
          </w:tcPr>
          <w:p w14:paraId="342487EE">
            <w:pPr>
              <w:spacing w:line="360" w:lineRule="auto"/>
              <w:ind w:right="54"/>
              <w:jc w:val="center"/>
              <w:rPr>
                <w:rFonts w:ascii="宋体" w:hAnsi="宋体"/>
                <w:sz w:val="24"/>
              </w:rPr>
            </w:pPr>
          </w:p>
        </w:tc>
        <w:tc>
          <w:tcPr>
            <w:tcW w:w="1132" w:type="dxa"/>
            <w:noWrap w:val="0"/>
            <w:vAlign w:val="center"/>
          </w:tcPr>
          <w:p w14:paraId="201756D5">
            <w:pPr>
              <w:spacing w:line="360" w:lineRule="auto"/>
              <w:ind w:right="54"/>
              <w:jc w:val="center"/>
              <w:rPr>
                <w:rFonts w:ascii="宋体" w:hAnsi="宋体"/>
                <w:sz w:val="24"/>
              </w:rPr>
            </w:pPr>
          </w:p>
        </w:tc>
      </w:tr>
      <w:tr w14:paraId="1A0C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250F026B">
            <w:pPr>
              <w:spacing w:line="360" w:lineRule="auto"/>
              <w:jc w:val="center"/>
              <w:rPr>
                <w:rFonts w:ascii="宋体" w:hAnsi="宋体"/>
                <w:sz w:val="24"/>
              </w:rPr>
            </w:pPr>
          </w:p>
        </w:tc>
        <w:tc>
          <w:tcPr>
            <w:tcW w:w="921" w:type="dxa"/>
            <w:noWrap w:val="0"/>
            <w:vAlign w:val="center"/>
          </w:tcPr>
          <w:p w14:paraId="044CD530">
            <w:pPr>
              <w:spacing w:line="360" w:lineRule="auto"/>
              <w:jc w:val="center"/>
              <w:rPr>
                <w:rFonts w:ascii="宋体" w:hAnsi="宋体"/>
                <w:sz w:val="24"/>
              </w:rPr>
            </w:pPr>
          </w:p>
        </w:tc>
        <w:tc>
          <w:tcPr>
            <w:tcW w:w="676" w:type="dxa"/>
            <w:noWrap w:val="0"/>
            <w:vAlign w:val="center"/>
          </w:tcPr>
          <w:p w14:paraId="5A7941B3">
            <w:pPr>
              <w:spacing w:line="360" w:lineRule="auto"/>
              <w:jc w:val="center"/>
              <w:rPr>
                <w:rFonts w:ascii="宋体" w:hAnsi="宋体"/>
                <w:sz w:val="24"/>
              </w:rPr>
            </w:pPr>
          </w:p>
        </w:tc>
        <w:tc>
          <w:tcPr>
            <w:tcW w:w="1245" w:type="dxa"/>
            <w:noWrap w:val="0"/>
            <w:vAlign w:val="center"/>
          </w:tcPr>
          <w:p w14:paraId="0859F736">
            <w:pPr>
              <w:spacing w:line="360" w:lineRule="auto"/>
              <w:jc w:val="center"/>
              <w:rPr>
                <w:rFonts w:ascii="宋体" w:hAnsi="宋体"/>
                <w:sz w:val="24"/>
              </w:rPr>
            </w:pPr>
          </w:p>
        </w:tc>
        <w:tc>
          <w:tcPr>
            <w:tcW w:w="3307" w:type="dxa"/>
            <w:noWrap w:val="0"/>
            <w:vAlign w:val="center"/>
          </w:tcPr>
          <w:p w14:paraId="40F44E1B">
            <w:pPr>
              <w:spacing w:line="360" w:lineRule="auto"/>
              <w:ind w:right="54"/>
              <w:jc w:val="center"/>
              <w:rPr>
                <w:rFonts w:ascii="宋体" w:hAnsi="宋体"/>
                <w:sz w:val="24"/>
              </w:rPr>
            </w:pPr>
          </w:p>
        </w:tc>
        <w:tc>
          <w:tcPr>
            <w:tcW w:w="1132" w:type="dxa"/>
            <w:noWrap w:val="0"/>
            <w:vAlign w:val="center"/>
          </w:tcPr>
          <w:p w14:paraId="7AF6600F">
            <w:pPr>
              <w:spacing w:line="360" w:lineRule="auto"/>
              <w:ind w:right="54"/>
              <w:jc w:val="center"/>
              <w:rPr>
                <w:rFonts w:ascii="宋体" w:hAnsi="宋体"/>
                <w:sz w:val="24"/>
              </w:rPr>
            </w:pPr>
          </w:p>
        </w:tc>
        <w:tc>
          <w:tcPr>
            <w:tcW w:w="1132" w:type="dxa"/>
            <w:noWrap w:val="0"/>
            <w:vAlign w:val="center"/>
          </w:tcPr>
          <w:p w14:paraId="635BB88F">
            <w:pPr>
              <w:spacing w:line="360" w:lineRule="auto"/>
              <w:ind w:right="54"/>
              <w:jc w:val="center"/>
              <w:rPr>
                <w:rFonts w:ascii="宋体" w:hAnsi="宋体"/>
                <w:sz w:val="24"/>
              </w:rPr>
            </w:pPr>
          </w:p>
        </w:tc>
      </w:tr>
      <w:tr w14:paraId="5A48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6621CE46">
            <w:pPr>
              <w:spacing w:line="360" w:lineRule="auto"/>
              <w:jc w:val="center"/>
              <w:rPr>
                <w:rFonts w:ascii="宋体" w:hAnsi="宋体"/>
                <w:sz w:val="24"/>
              </w:rPr>
            </w:pPr>
          </w:p>
        </w:tc>
        <w:tc>
          <w:tcPr>
            <w:tcW w:w="921" w:type="dxa"/>
            <w:noWrap w:val="0"/>
            <w:vAlign w:val="center"/>
          </w:tcPr>
          <w:p w14:paraId="4019FFB0">
            <w:pPr>
              <w:spacing w:line="360" w:lineRule="auto"/>
              <w:jc w:val="center"/>
              <w:rPr>
                <w:rFonts w:ascii="宋体" w:hAnsi="宋体"/>
                <w:sz w:val="24"/>
              </w:rPr>
            </w:pPr>
          </w:p>
        </w:tc>
        <w:tc>
          <w:tcPr>
            <w:tcW w:w="676" w:type="dxa"/>
            <w:noWrap w:val="0"/>
            <w:vAlign w:val="center"/>
          </w:tcPr>
          <w:p w14:paraId="11026FE4">
            <w:pPr>
              <w:spacing w:line="360" w:lineRule="auto"/>
              <w:jc w:val="center"/>
              <w:rPr>
                <w:rFonts w:ascii="宋体" w:hAnsi="宋体"/>
                <w:sz w:val="24"/>
              </w:rPr>
            </w:pPr>
          </w:p>
        </w:tc>
        <w:tc>
          <w:tcPr>
            <w:tcW w:w="1245" w:type="dxa"/>
            <w:noWrap w:val="0"/>
            <w:vAlign w:val="center"/>
          </w:tcPr>
          <w:p w14:paraId="5850C2DC">
            <w:pPr>
              <w:spacing w:line="360" w:lineRule="auto"/>
              <w:jc w:val="center"/>
              <w:rPr>
                <w:rFonts w:ascii="宋体" w:hAnsi="宋体"/>
                <w:sz w:val="24"/>
              </w:rPr>
            </w:pPr>
          </w:p>
        </w:tc>
        <w:tc>
          <w:tcPr>
            <w:tcW w:w="3307" w:type="dxa"/>
            <w:noWrap w:val="0"/>
            <w:vAlign w:val="center"/>
          </w:tcPr>
          <w:p w14:paraId="129C88A1">
            <w:pPr>
              <w:spacing w:line="360" w:lineRule="auto"/>
              <w:ind w:right="54"/>
              <w:jc w:val="center"/>
              <w:rPr>
                <w:rFonts w:ascii="宋体" w:hAnsi="宋体"/>
                <w:sz w:val="24"/>
              </w:rPr>
            </w:pPr>
          </w:p>
        </w:tc>
        <w:tc>
          <w:tcPr>
            <w:tcW w:w="1132" w:type="dxa"/>
            <w:noWrap w:val="0"/>
            <w:vAlign w:val="center"/>
          </w:tcPr>
          <w:p w14:paraId="696E1C87">
            <w:pPr>
              <w:spacing w:line="360" w:lineRule="auto"/>
              <w:ind w:right="54"/>
              <w:jc w:val="center"/>
              <w:rPr>
                <w:rFonts w:ascii="宋体" w:hAnsi="宋体"/>
                <w:sz w:val="24"/>
              </w:rPr>
            </w:pPr>
          </w:p>
        </w:tc>
        <w:tc>
          <w:tcPr>
            <w:tcW w:w="1132" w:type="dxa"/>
            <w:noWrap w:val="0"/>
            <w:vAlign w:val="center"/>
          </w:tcPr>
          <w:p w14:paraId="0C4D00CF">
            <w:pPr>
              <w:spacing w:line="360" w:lineRule="auto"/>
              <w:ind w:right="54"/>
              <w:jc w:val="center"/>
              <w:rPr>
                <w:rFonts w:ascii="宋体" w:hAnsi="宋体"/>
                <w:sz w:val="24"/>
              </w:rPr>
            </w:pPr>
          </w:p>
        </w:tc>
      </w:tr>
      <w:tr w14:paraId="59E1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3C088CD5">
            <w:pPr>
              <w:spacing w:line="360" w:lineRule="auto"/>
              <w:jc w:val="center"/>
              <w:rPr>
                <w:rFonts w:ascii="宋体" w:hAnsi="宋体"/>
                <w:sz w:val="24"/>
              </w:rPr>
            </w:pPr>
          </w:p>
        </w:tc>
        <w:tc>
          <w:tcPr>
            <w:tcW w:w="921" w:type="dxa"/>
            <w:noWrap w:val="0"/>
            <w:vAlign w:val="center"/>
          </w:tcPr>
          <w:p w14:paraId="618656B8">
            <w:pPr>
              <w:spacing w:line="360" w:lineRule="auto"/>
              <w:jc w:val="center"/>
              <w:rPr>
                <w:rFonts w:ascii="宋体" w:hAnsi="宋体"/>
                <w:sz w:val="24"/>
              </w:rPr>
            </w:pPr>
          </w:p>
        </w:tc>
        <w:tc>
          <w:tcPr>
            <w:tcW w:w="676" w:type="dxa"/>
            <w:noWrap w:val="0"/>
            <w:vAlign w:val="center"/>
          </w:tcPr>
          <w:p w14:paraId="069E8D62">
            <w:pPr>
              <w:spacing w:line="360" w:lineRule="auto"/>
              <w:jc w:val="center"/>
              <w:rPr>
                <w:rFonts w:ascii="宋体" w:hAnsi="宋体"/>
                <w:sz w:val="24"/>
              </w:rPr>
            </w:pPr>
          </w:p>
        </w:tc>
        <w:tc>
          <w:tcPr>
            <w:tcW w:w="1245" w:type="dxa"/>
            <w:noWrap w:val="0"/>
            <w:vAlign w:val="center"/>
          </w:tcPr>
          <w:p w14:paraId="326938D2">
            <w:pPr>
              <w:spacing w:line="360" w:lineRule="auto"/>
              <w:jc w:val="center"/>
              <w:rPr>
                <w:rFonts w:ascii="宋体" w:hAnsi="宋体"/>
                <w:sz w:val="24"/>
              </w:rPr>
            </w:pPr>
          </w:p>
        </w:tc>
        <w:tc>
          <w:tcPr>
            <w:tcW w:w="3307" w:type="dxa"/>
            <w:noWrap w:val="0"/>
            <w:vAlign w:val="center"/>
          </w:tcPr>
          <w:p w14:paraId="391174BE">
            <w:pPr>
              <w:spacing w:line="360" w:lineRule="auto"/>
              <w:ind w:right="54"/>
              <w:jc w:val="center"/>
              <w:rPr>
                <w:rFonts w:ascii="宋体" w:hAnsi="宋体"/>
                <w:sz w:val="24"/>
              </w:rPr>
            </w:pPr>
          </w:p>
        </w:tc>
        <w:tc>
          <w:tcPr>
            <w:tcW w:w="1132" w:type="dxa"/>
            <w:noWrap w:val="0"/>
            <w:vAlign w:val="center"/>
          </w:tcPr>
          <w:p w14:paraId="19A3B686">
            <w:pPr>
              <w:spacing w:line="360" w:lineRule="auto"/>
              <w:ind w:right="54"/>
              <w:jc w:val="center"/>
              <w:rPr>
                <w:rFonts w:ascii="宋体" w:hAnsi="宋体"/>
                <w:sz w:val="24"/>
              </w:rPr>
            </w:pPr>
          </w:p>
        </w:tc>
        <w:tc>
          <w:tcPr>
            <w:tcW w:w="1132" w:type="dxa"/>
            <w:noWrap w:val="0"/>
            <w:vAlign w:val="center"/>
          </w:tcPr>
          <w:p w14:paraId="09BC4AE8">
            <w:pPr>
              <w:spacing w:line="360" w:lineRule="auto"/>
              <w:ind w:right="54"/>
              <w:jc w:val="center"/>
              <w:rPr>
                <w:rFonts w:ascii="宋体" w:hAnsi="宋体"/>
                <w:sz w:val="24"/>
              </w:rPr>
            </w:pPr>
          </w:p>
        </w:tc>
      </w:tr>
      <w:tr w14:paraId="7EAB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6076DB8B">
            <w:pPr>
              <w:spacing w:line="360" w:lineRule="auto"/>
              <w:jc w:val="center"/>
              <w:rPr>
                <w:rFonts w:ascii="宋体" w:hAnsi="宋体"/>
                <w:sz w:val="24"/>
              </w:rPr>
            </w:pPr>
          </w:p>
        </w:tc>
        <w:tc>
          <w:tcPr>
            <w:tcW w:w="921" w:type="dxa"/>
            <w:noWrap w:val="0"/>
            <w:vAlign w:val="center"/>
          </w:tcPr>
          <w:p w14:paraId="57EB6DD4">
            <w:pPr>
              <w:spacing w:line="360" w:lineRule="auto"/>
              <w:jc w:val="center"/>
              <w:rPr>
                <w:rFonts w:ascii="宋体" w:hAnsi="宋体"/>
                <w:sz w:val="24"/>
              </w:rPr>
            </w:pPr>
          </w:p>
        </w:tc>
        <w:tc>
          <w:tcPr>
            <w:tcW w:w="676" w:type="dxa"/>
            <w:noWrap w:val="0"/>
            <w:vAlign w:val="center"/>
          </w:tcPr>
          <w:p w14:paraId="04119A9D">
            <w:pPr>
              <w:spacing w:line="360" w:lineRule="auto"/>
              <w:jc w:val="center"/>
              <w:rPr>
                <w:rFonts w:ascii="宋体" w:hAnsi="宋体"/>
                <w:sz w:val="24"/>
              </w:rPr>
            </w:pPr>
          </w:p>
        </w:tc>
        <w:tc>
          <w:tcPr>
            <w:tcW w:w="1245" w:type="dxa"/>
            <w:noWrap w:val="0"/>
            <w:vAlign w:val="center"/>
          </w:tcPr>
          <w:p w14:paraId="63BBDFC9">
            <w:pPr>
              <w:spacing w:line="360" w:lineRule="auto"/>
              <w:jc w:val="center"/>
              <w:rPr>
                <w:rFonts w:ascii="宋体" w:hAnsi="宋体"/>
                <w:sz w:val="24"/>
              </w:rPr>
            </w:pPr>
          </w:p>
        </w:tc>
        <w:tc>
          <w:tcPr>
            <w:tcW w:w="3307" w:type="dxa"/>
            <w:noWrap w:val="0"/>
            <w:vAlign w:val="center"/>
          </w:tcPr>
          <w:p w14:paraId="76400D65">
            <w:pPr>
              <w:spacing w:line="360" w:lineRule="auto"/>
              <w:ind w:right="54"/>
              <w:jc w:val="center"/>
              <w:rPr>
                <w:rFonts w:ascii="宋体" w:hAnsi="宋体"/>
                <w:sz w:val="24"/>
              </w:rPr>
            </w:pPr>
          </w:p>
        </w:tc>
        <w:tc>
          <w:tcPr>
            <w:tcW w:w="1132" w:type="dxa"/>
            <w:noWrap w:val="0"/>
            <w:vAlign w:val="center"/>
          </w:tcPr>
          <w:p w14:paraId="6BBC8D91">
            <w:pPr>
              <w:spacing w:line="360" w:lineRule="auto"/>
              <w:ind w:right="54"/>
              <w:jc w:val="center"/>
              <w:rPr>
                <w:rFonts w:ascii="宋体" w:hAnsi="宋体"/>
                <w:sz w:val="24"/>
              </w:rPr>
            </w:pPr>
          </w:p>
        </w:tc>
        <w:tc>
          <w:tcPr>
            <w:tcW w:w="1132" w:type="dxa"/>
            <w:noWrap w:val="0"/>
            <w:vAlign w:val="center"/>
          </w:tcPr>
          <w:p w14:paraId="66FE00EF">
            <w:pPr>
              <w:spacing w:line="360" w:lineRule="auto"/>
              <w:ind w:right="54"/>
              <w:jc w:val="center"/>
              <w:rPr>
                <w:rFonts w:ascii="宋体" w:hAnsi="宋体"/>
                <w:sz w:val="24"/>
              </w:rPr>
            </w:pPr>
          </w:p>
        </w:tc>
      </w:tr>
      <w:tr w14:paraId="0CA6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5EA30232">
            <w:pPr>
              <w:spacing w:line="360" w:lineRule="auto"/>
              <w:jc w:val="center"/>
              <w:rPr>
                <w:rFonts w:ascii="宋体" w:hAnsi="宋体"/>
                <w:sz w:val="24"/>
              </w:rPr>
            </w:pPr>
          </w:p>
        </w:tc>
        <w:tc>
          <w:tcPr>
            <w:tcW w:w="921" w:type="dxa"/>
            <w:noWrap w:val="0"/>
            <w:vAlign w:val="center"/>
          </w:tcPr>
          <w:p w14:paraId="283129EA">
            <w:pPr>
              <w:spacing w:line="360" w:lineRule="auto"/>
              <w:jc w:val="center"/>
              <w:rPr>
                <w:rFonts w:ascii="宋体" w:hAnsi="宋体"/>
                <w:sz w:val="24"/>
              </w:rPr>
            </w:pPr>
          </w:p>
        </w:tc>
        <w:tc>
          <w:tcPr>
            <w:tcW w:w="676" w:type="dxa"/>
            <w:noWrap w:val="0"/>
            <w:vAlign w:val="center"/>
          </w:tcPr>
          <w:p w14:paraId="7E98F2B5">
            <w:pPr>
              <w:spacing w:line="360" w:lineRule="auto"/>
              <w:jc w:val="center"/>
              <w:rPr>
                <w:rFonts w:ascii="宋体" w:hAnsi="宋体"/>
                <w:sz w:val="24"/>
              </w:rPr>
            </w:pPr>
          </w:p>
        </w:tc>
        <w:tc>
          <w:tcPr>
            <w:tcW w:w="1245" w:type="dxa"/>
            <w:noWrap w:val="0"/>
            <w:vAlign w:val="center"/>
          </w:tcPr>
          <w:p w14:paraId="5B8008EE">
            <w:pPr>
              <w:spacing w:line="360" w:lineRule="auto"/>
              <w:jc w:val="center"/>
              <w:rPr>
                <w:rFonts w:ascii="宋体" w:hAnsi="宋体"/>
                <w:sz w:val="24"/>
              </w:rPr>
            </w:pPr>
          </w:p>
        </w:tc>
        <w:tc>
          <w:tcPr>
            <w:tcW w:w="3307" w:type="dxa"/>
            <w:noWrap w:val="0"/>
            <w:vAlign w:val="center"/>
          </w:tcPr>
          <w:p w14:paraId="1DCA779E">
            <w:pPr>
              <w:spacing w:line="360" w:lineRule="auto"/>
              <w:ind w:right="54"/>
              <w:jc w:val="center"/>
              <w:rPr>
                <w:rFonts w:ascii="宋体" w:hAnsi="宋体"/>
                <w:sz w:val="24"/>
              </w:rPr>
            </w:pPr>
          </w:p>
        </w:tc>
        <w:tc>
          <w:tcPr>
            <w:tcW w:w="1132" w:type="dxa"/>
            <w:noWrap w:val="0"/>
            <w:vAlign w:val="center"/>
          </w:tcPr>
          <w:p w14:paraId="610D6127">
            <w:pPr>
              <w:spacing w:line="360" w:lineRule="auto"/>
              <w:ind w:right="54"/>
              <w:jc w:val="center"/>
              <w:rPr>
                <w:rFonts w:ascii="宋体" w:hAnsi="宋体"/>
                <w:sz w:val="24"/>
              </w:rPr>
            </w:pPr>
          </w:p>
        </w:tc>
        <w:tc>
          <w:tcPr>
            <w:tcW w:w="1132" w:type="dxa"/>
            <w:noWrap w:val="0"/>
            <w:vAlign w:val="center"/>
          </w:tcPr>
          <w:p w14:paraId="7192C0EE">
            <w:pPr>
              <w:spacing w:line="360" w:lineRule="auto"/>
              <w:ind w:right="54"/>
              <w:jc w:val="center"/>
              <w:rPr>
                <w:rFonts w:ascii="宋体" w:hAnsi="宋体"/>
                <w:sz w:val="24"/>
              </w:rPr>
            </w:pPr>
          </w:p>
        </w:tc>
      </w:tr>
      <w:tr w14:paraId="5037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796063BB">
            <w:pPr>
              <w:spacing w:line="360" w:lineRule="auto"/>
              <w:jc w:val="center"/>
              <w:rPr>
                <w:rFonts w:ascii="宋体" w:hAnsi="宋体"/>
                <w:sz w:val="24"/>
              </w:rPr>
            </w:pPr>
          </w:p>
        </w:tc>
        <w:tc>
          <w:tcPr>
            <w:tcW w:w="921" w:type="dxa"/>
            <w:noWrap w:val="0"/>
            <w:vAlign w:val="center"/>
          </w:tcPr>
          <w:p w14:paraId="702EE7E8">
            <w:pPr>
              <w:spacing w:line="360" w:lineRule="auto"/>
              <w:jc w:val="center"/>
              <w:rPr>
                <w:rFonts w:ascii="宋体" w:hAnsi="宋体"/>
                <w:sz w:val="24"/>
              </w:rPr>
            </w:pPr>
          </w:p>
        </w:tc>
        <w:tc>
          <w:tcPr>
            <w:tcW w:w="676" w:type="dxa"/>
            <w:noWrap w:val="0"/>
            <w:vAlign w:val="center"/>
          </w:tcPr>
          <w:p w14:paraId="136B0CEE">
            <w:pPr>
              <w:spacing w:line="360" w:lineRule="auto"/>
              <w:jc w:val="center"/>
              <w:rPr>
                <w:rFonts w:ascii="宋体" w:hAnsi="宋体"/>
                <w:sz w:val="24"/>
              </w:rPr>
            </w:pPr>
          </w:p>
        </w:tc>
        <w:tc>
          <w:tcPr>
            <w:tcW w:w="1245" w:type="dxa"/>
            <w:noWrap w:val="0"/>
            <w:vAlign w:val="center"/>
          </w:tcPr>
          <w:p w14:paraId="192D3376">
            <w:pPr>
              <w:spacing w:line="360" w:lineRule="auto"/>
              <w:jc w:val="center"/>
              <w:rPr>
                <w:rFonts w:ascii="宋体" w:hAnsi="宋体"/>
                <w:sz w:val="24"/>
              </w:rPr>
            </w:pPr>
          </w:p>
        </w:tc>
        <w:tc>
          <w:tcPr>
            <w:tcW w:w="3307" w:type="dxa"/>
            <w:noWrap w:val="0"/>
            <w:vAlign w:val="center"/>
          </w:tcPr>
          <w:p w14:paraId="2910C282">
            <w:pPr>
              <w:spacing w:line="360" w:lineRule="auto"/>
              <w:ind w:right="54"/>
              <w:jc w:val="center"/>
              <w:rPr>
                <w:rFonts w:ascii="宋体" w:hAnsi="宋体"/>
                <w:sz w:val="24"/>
              </w:rPr>
            </w:pPr>
          </w:p>
        </w:tc>
        <w:tc>
          <w:tcPr>
            <w:tcW w:w="1132" w:type="dxa"/>
            <w:noWrap w:val="0"/>
            <w:vAlign w:val="center"/>
          </w:tcPr>
          <w:p w14:paraId="00E14372">
            <w:pPr>
              <w:spacing w:line="360" w:lineRule="auto"/>
              <w:ind w:right="54"/>
              <w:jc w:val="center"/>
              <w:rPr>
                <w:rFonts w:ascii="宋体" w:hAnsi="宋体"/>
                <w:sz w:val="24"/>
              </w:rPr>
            </w:pPr>
          </w:p>
        </w:tc>
        <w:tc>
          <w:tcPr>
            <w:tcW w:w="1132" w:type="dxa"/>
            <w:noWrap w:val="0"/>
            <w:vAlign w:val="center"/>
          </w:tcPr>
          <w:p w14:paraId="0D450A6A">
            <w:pPr>
              <w:spacing w:line="360" w:lineRule="auto"/>
              <w:ind w:right="54"/>
              <w:jc w:val="center"/>
              <w:rPr>
                <w:rFonts w:ascii="宋体" w:hAnsi="宋体"/>
                <w:sz w:val="24"/>
              </w:rPr>
            </w:pPr>
          </w:p>
        </w:tc>
      </w:tr>
      <w:tr w14:paraId="1F7F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05FC1A2B">
            <w:pPr>
              <w:spacing w:line="360" w:lineRule="auto"/>
              <w:jc w:val="center"/>
              <w:rPr>
                <w:rFonts w:ascii="宋体" w:hAnsi="宋体"/>
                <w:sz w:val="24"/>
              </w:rPr>
            </w:pPr>
          </w:p>
        </w:tc>
        <w:tc>
          <w:tcPr>
            <w:tcW w:w="921" w:type="dxa"/>
            <w:noWrap w:val="0"/>
            <w:vAlign w:val="center"/>
          </w:tcPr>
          <w:p w14:paraId="0B33B355">
            <w:pPr>
              <w:spacing w:line="360" w:lineRule="auto"/>
              <w:jc w:val="center"/>
              <w:rPr>
                <w:rFonts w:ascii="宋体" w:hAnsi="宋体"/>
                <w:sz w:val="24"/>
              </w:rPr>
            </w:pPr>
          </w:p>
        </w:tc>
        <w:tc>
          <w:tcPr>
            <w:tcW w:w="676" w:type="dxa"/>
            <w:noWrap w:val="0"/>
            <w:vAlign w:val="center"/>
          </w:tcPr>
          <w:p w14:paraId="307903C9">
            <w:pPr>
              <w:spacing w:line="360" w:lineRule="auto"/>
              <w:jc w:val="center"/>
              <w:rPr>
                <w:rFonts w:ascii="宋体" w:hAnsi="宋体"/>
                <w:sz w:val="24"/>
              </w:rPr>
            </w:pPr>
          </w:p>
        </w:tc>
        <w:tc>
          <w:tcPr>
            <w:tcW w:w="1245" w:type="dxa"/>
            <w:noWrap w:val="0"/>
            <w:vAlign w:val="center"/>
          </w:tcPr>
          <w:p w14:paraId="3322A53A">
            <w:pPr>
              <w:spacing w:line="360" w:lineRule="auto"/>
              <w:jc w:val="center"/>
              <w:rPr>
                <w:rFonts w:ascii="宋体" w:hAnsi="宋体"/>
                <w:sz w:val="24"/>
              </w:rPr>
            </w:pPr>
          </w:p>
        </w:tc>
        <w:tc>
          <w:tcPr>
            <w:tcW w:w="3307" w:type="dxa"/>
            <w:noWrap w:val="0"/>
            <w:vAlign w:val="center"/>
          </w:tcPr>
          <w:p w14:paraId="1428ECDE">
            <w:pPr>
              <w:spacing w:line="360" w:lineRule="auto"/>
              <w:ind w:right="54"/>
              <w:jc w:val="center"/>
              <w:rPr>
                <w:rFonts w:ascii="宋体" w:hAnsi="宋体"/>
                <w:sz w:val="24"/>
              </w:rPr>
            </w:pPr>
          </w:p>
        </w:tc>
        <w:tc>
          <w:tcPr>
            <w:tcW w:w="1132" w:type="dxa"/>
            <w:noWrap w:val="0"/>
            <w:vAlign w:val="center"/>
          </w:tcPr>
          <w:p w14:paraId="4B6F8B25">
            <w:pPr>
              <w:spacing w:line="360" w:lineRule="auto"/>
              <w:ind w:right="54"/>
              <w:jc w:val="center"/>
              <w:rPr>
                <w:rFonts w:ascii="宋体" w:hAnsi="宋体"/>
                <w:sz w:val="24"/>
              </w:rPr>
            </w:pPr>
          </w:p>
        </w:tc>
        <w:tc>
          <w:tcPr>
            <w:tcW w:w="1132" w:type="dxa"/>
            <w:noWrap w:val="0"/>
            <w:vAlign w:val="center"/>
          </w:tcPr>
          <w:p w14:paraId="214D7D23">
            <w:pPr>
              <w:spacing w:line="360" w:lineRule="auto"/>
              <w:ind w:right="54"/>
              <w:jc w:val="center"/>
              <w:rPr>
                <w:rFonts w:ascii="宋体" w:hAnsi="宋体"/>
                <w:sz w:val="24"/>
              </w:rPr>
            </w:pPr>
          </w:p>
        </w:tc>
      </w:tr>
    </w:tbl>
    <w:p w14:paraId="2F09E153">
      <w:pPr>
        <w:pStyle w:val="36"/>
        <w:tabs>
          <w:tab w:val="left" w:pos="4312"/>
        </w:tabs>
        <w:spacing w:line="360" w:lineRule="auto"/>
      </w:pPr>
      <w:r>
        <w:t xml:space="preserve"> </w:t>
      </w:r>
    </w:p>
    <w:p w14:paraId="17E2D8EB">
      <w:pPr>
        <w:pStyle w:val="36"/>
        <w:tabs>
          <w:tab w:val="left" w:pos="4312"/>
        </w:tabs>
        <w:spacing w:line="360" w:lineRule="auto"/>
      </w:pPr>
      <w:r>
        <w:rPr>
          <w:rFonts w:hint="eastAsia"/>
        </w:rPr>
        <w:t>投标单位（公章）：</w:t>
      </w:r>
    </w:p>
    <w:p w14:paraId="1E6AF729">
      <w:pPr>
        <w:pStyle w:val="36"/>
        <w:tabs>
          <w:tab w:val="left" w:pos="4312"/>
        </w:tabs>
        <w:spacing w:line="360" w:lineRule="auto"/>
      </w:pPr>
      <w:r>
        <w:rPr>
          <w:rFonts w:hint="eastAsia"/>
        </w:rPr>
        <w:t>授权</w:t>
      </w:r>
      <w:r>
        <w:t>代表签字：</w:t>
      </w:r>
    </w:p>
    <w:p w14:paraId="2E5ADCB0">
      <w:pPr>
        <w:pStyle w:val="36"/>
        <w:tabs>
          <w:tab w:val="left" w:pos="4312"/>
        </w:tabs>
        <w:spacing w:line="360" w:lineRule="auto"/>
        <w:ind w:firstLine="360" w:firstLineChars="150"/>
      </w:pPr>
      <w:r>
        <w:rPr>
          <w:rFonts w:hint="eastAsia"/>
        </w:rPr>
        <w:t xml:space="preserve">      日期：</w:t>
      </w:r>
    </w:p>
    <w:p w14:paraId="7AAE897B">
      <w:pPr>
        <w:spacing w:line="360" w:lineRule="auto"/>
        <w:rPr>
          <w:sz w:val="24"/>
        </w:rPr>
      </w:pPr>
    </w:p>
    <w:p w14:paraId="51B73446">
      <w:pPr>
        <w:spacing w:line="360" w:lineRule="auto"/>
        <w:rPr>
          <w:sz w:val="24"/>
        </w:rPr>
      </w:pPr>
    </w:p>
    <w:p w14:paraId="229F51A1">
      <w:pPr>
        <w:spacing w:line="360" w:lineRule="auto"/>
        <w:rPr>
          <w:sz w:val="24"/>
        </w:rPr>
      </w:pPr>
      <w:r>
        <w:rPr>
          <w:rFonts w:hint="eastAsia"/>
          <w:sz w:val="24"/>
        </w:rPr>
        <w:t>注：此表在不改变投标内容的情况下可自行制作</w:t>
      </w:r>
    </w:p>
    <w:p w14:paraId="7E42FDD6">
      <w:pPr>
        <w:rPr>
          <w:sz w:val="24"/>
        </w:rPr>
      </w:pPr>
    </w:p>
    <w:p w14:paraId="06B080F6">
      <w:pPr>
        <w:pStyle w:val="2"/>
        <w:keepNext w:val="0"/>
        <w:keepLines w:val="0"/>
        <w:pageBreakBefore/>
        <w:spacing w:line="415" w:lineRule="auto"/>
        <w:rPr>
          <w:rFonts w:hint="eastAsia" w:ascii="宋体" w:hAnsi="宋体"/>
          <w:b w:val="0"/>
          <w:bCs w:val="0"/>
          <w:color w:val="auto"/>
          <w:sz w:val="24"/>
        </w:rPr>
      </w:pPr>
      <w:r>
        <w:rPr>
          <w:rFonts w:hint="eastAsia" w:ascii="宋体" w:hAnsi="宋体" w:cs="宋体"/>
          <w:b w:val="0"/>
          <w:bCs w:val="0"/>
          <w:sz w:val="24"/>
          <w:szCs w:val="32"/>
        </w:rPr>
        <w:t>附件</w:t>
      </w:r>
      <w:r>
        <w:rPr>
          <w:rFonts w:hint="eastAsia" w:ascii="宋体" w:hAnsi="宋体" w:cs="宋体"/>
          <w:b w:val="0"/>
          <w:bCs w:val="0"/>
          <w:sz w:val="24"/>
          <w:szCs w:val="32"/>
          <w:lang w:val="en-US" w:eastAsia="zh-CN"/>
        </w:rPr>
        <w:t>八</w:t>
      </w:r>
      <w:r>
        <w:rPr>
          <w:rFonts w:hint="eastAsia" w:ascii="宋体" w:hAnsi="宋体" w:cs="宋体"/>
          <w:b w:val="0"/>
          <w:bCs w:val="0"/>
          <w:sz w:val="24"/>
          <w:szCs w:val="32"/>
        </w:rPr>
        <w:t>：</w:t>
      </w:r>
      <w:bookmarkEnd w:id="97"/>
      <w:bookmarkEnd w:id="98"/>
      <w:bookmarkEnd w:id="99"/>
      <w:bookmarkStart w:id="104" w:name="_Toc14078"/>
      <w:r>
        <w:rPr>
          <w:rFonts w:hint="eastAsia" w:ascii="宋体" w:hAnsi="宋体"/>
          <w:b w:val="0"/>
          <w:bCs w:val="0"/>
          <w:color w:val="auto"/>
          <w:sz w:val="24"/>
        </w:rPr>
        <w:t>安全生产承诺函</w:t>
      </w:r>
      <w:bookmarkEnd w:id="104"/>
    </w:p>
    <w:p w14:paraId="0D9B2CB6">
      <w:pPr>
        <w:jc w:val="center"/>
        <w:rPr>
          <w:rFonts w:hint="eastAsia" w:ascii="宋体" w:hAnsi="宋体" w:cs="宋体"/>
          <w:color w:val="auto"/>
          <w:sz w:val="24"/>
        </w:rPr>
      </w:pPr>
      <w:r>
        <w:rPr>
          <w:rFonts w:hint="eastAsia" w:ascii="宋体" w:hAnsi="宋体" w:cs="宋体"/>
          <w:color w:val="auto"/>
          <w:sz w:val="32"/>
          <w:szCs w:val="32"/>
        </w:rPr>
        <w:t>安全生产承诺函</w:t>
      </w:r>
    </w:p>
    <w:p w14:paraId="27F321C6">
      <w:pPr>
        <w:rPr>
          <w:rFonts w:hint="eastAsia" w:ascii="宋体" w:hAnsi="宋体" w:cs="宋体"/>
          <w:color w:val="auto"/>
          <w:sz w:val="24"/>
        </w:rPr>
      </w:pPr>
      <w:r>
        <w:rPr>
          <w:rFonts w:hint="eastAsia" w:ascii="宋体" w:hAnsi="宋体" w:cs="宋体"/>
          <w:color w:val="auto"/>
          <w:sz w:val="24"/>
        </w:rPr>
        <w:t> </w:t>
      </w:r>
    </w:p>
    <w:p w14:paraId="0406456E">
      <w:pPr>
        <w:spacing w:line="360" w:lineRule="auto"/>
        <w:rPr>
          <w:rFonts w:hint="eastAsia"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lang w:eastAsia="zh-CN"/>
        </w:rPr>
        <w:t>东阳市保安服务有限公司</w:t>
      </w:r>
      <w:r>
        <w:rPr>
          <w:rFonts w:hint="eastAsia" w:ascii="宋体" w:hAnsi="宋体" w:cs="宋体"/>
          <w:color w:val="auto"/>
          <w:sz w:val="24"/>
        </w:rPr>
        <w:t>：</w:t>
      </w:r>
    </w:p>
    <w:p w14:paraId="5F578913">
      <w:pPr>
        <w:spacing w:line="360" w:lineRule="auto"/>
        <w:rPr>
          <w:rFonts w:hint="eastAsia" w:ascii="宋体" w:hAnsi="宋体" w:cs="宋体"/>
          <w:color w:val="auto"/>
          <w:sz w:val="24"/>
        </w:rPr>
      </w:pPr>
      <w:r>
        <w:rPr>
          <w:rFonts w:hint="eastAsia" w:ascii="宋体" w:hAnsi="宋体" w:cs="宋体"/>
          <w:color w:val="auto"/>
          <w:sz w:val="24"/>
        </w:rPr>
        <w:t> </w:t>
      </w:r>
    </w:p>
    <w:p w14:paraId="6B87E02B">
      <w:pPr>
        <w:spacing w:line="360" w:lineRule="auto"/>
        <w:ind w:firstLine="480" w:firstLineChars="200"/>
        <w:rPr>
          <w:rFonts w:hint="eastAsia" w:ascii="宋体" w:hAnsi="宋体" w:cs="宋体"/>
          <w:color w:val="auto"/>
          <w:sz w:val="24"/>
        </w:rPr>
      </w:pPr>
      <w:r>
        <w:rPr>
          <w:rFonts w:hint="eastAsia" w:ascii="宋体" w:hAnsi="宋体"/>
          <w:color w:val="auto"/>
          <w:sz w:val="24"/>
        </w:rPr>
        <w:t>根据贵方</w:t>
      </w:r>
      <w:r>
        <w:rPr>
          <w:rFonts w:hint="eastAsia" w:ascii="宋体" w:hAnsi="宋体"/>
          <w:color w:val="auto"/>
          <w:sz w:val="24"/>
          <w:u w:val="single"/>
          <w:lang w:eastAsia="zh-CN"/>
        </w:rPr>
        <w:t>东阳市白云、南马应急救援中心项目厨房设备、电器设备、家具采购项目</w:t>
      </w:r>
      <w:r>
        <w:rPr>
          <w:rFonts w:hint="eastAsia" w:ascii="宋体" w:hAnsi="宋体"/>
          <w:color w:val="auto"/>
          <w:sz w:val="24"/>
        </w:rPr>
        <w:t>的招标公告（项目编号：</w:t>
      </w:r>
      <w:r>
        <w:rPr>
          <w:rFonts w:hint="eastAsia" w:ascii="宋体" w:hAnsi="宋体" w:cs="Times New Roman"/>
          <w:color w:val="auto"/>
          <w:sz w:val="24"/>
          <w:u w:val="single"/>
          <w:lang w:eastAsia="zh-CN"/>
        </w:rPr>
        <w:t>XSGYCG2024-208</w:t>
      </w:r>
      <w:r>
        <w:rPr>
          <w:rFonts w:hint="eastAsia" w:ascii="宋体" w:hAnsi="宋体"/>
          <w:color w:val="auto"/>
          <w:sz w:val="24"/>
        </w:rPr>
        <w:t>），签字代表</w:t>
      </w:r>
      <w:r>
        <w:rPr>
          <w:rFonts w:hint="eastAsia" w:ascii="宋体" w:hAnsi="宋体"/>
          <w:color w:val="auto"/>
          <w:sz w:val="24"/>
          <w:u w:val="single"/>
        </w:rPr>
        <w:t xml:space="preserve">             </w:t>
      </w:r>
      <w:r>
        <w:rPr>
          <w:rFonts w:hint="eastAsia" w:ascii="宋体" w:hAnsi="宋体"/>
          <w:color w:val="auto"/>
          <w:sz w:val="24"/>
        </w:rPr>
        <w:t>（全名）经正式授权并代表投标人</w:t>
      </w:r>
      <w:r>
        <w:rPr>
          <w:rFonts w:hint="eastAsia" w:ascii="宋体" w:hAnsi="宋体"/>
          <w:color w:val="auto"/>
          <w:sz w:val="24"/>
          <w:u w:val="single"/>
        </w:rPr>
        <w:t xml:space="preserve">                         </w:t>
      </w:r>
      <w:r>
        <w:rPr>
          <w:rFonts w:hint="eastAsia" w:ascii="宋体" w:hAnsi="宋体"/>
          <w:color w:val="auto"/>
          <w:sz w:val="24"/>
        </w:rPr>
        <w:t>（投标人名称）作出如下承诺：</w:t>
      </w:r>
    </w:p>
    <w:p w14:paraId="5FC2F1F7">
      <w:pPr>
        <w:spacing w:line="360" w:lineRule="auto"/>
        <w:rPr>
          <w:rFonts w:hint="eastAsia" w:ascii="宋体" w:hAnsi="宋体" w:cs="宋体"/>
          <w:color w:val="auto"/>
          <w:sz w:val="24"/>
        </w:rPr>
      </w:pPr>
      <w:r>
        <w:rPr>
          <w:rFonts w:hint="eastAsia" w:ascii="宋体" w:hAnsi="宋体" w:cs="宋体"/>
          <w:color w:val="auto"/>
          <w:sz w:val="24"/>
        </w:rPr>
        <w:t> </w:t>
      </w:r>
    </w:p>
    <w:p w14:paraId="42B87DA3">
      <w:pPr>
        <w:spacing w:line="360" w:lineRule="auto"/>
        <w:ind w:firstLine="480" w:firstLineChars="200"/>
        <w:rPr>
          <w:rFonts w:hint="eastAsia" w:ascii="宋体" w:hAnsi="宋体" w:cs="宋体"/>
          <w:color w:val="auto"/>
          <w:sz w:val="24"/>
        </w:rPr>
      </w:pPr>
      <w:r>
        <w:rPr>
          <w:rFonts w:hint="eastAsia" w:ascii="宋体" w:hAnsi="宋体" w:cs="宋体"/>
          <w:color w:val="auto"/>
          <w:sz w:val="24"/>
        </w:rPr>
        <w:t>本项目将货物运输及吊卸至采购人仓库或指定的施工现场，在装车、运输和吊卸过程中发生的一切经济、安全及其他责任事故均由我公司承担，采购人不承担任何责任及损失。</w:t>
      </w:r>
    </w:p>
    <w:p w14:paraId="16AA2E49">
      <w:pPr>
        <w:spacing w:line="360" w:lineRule="auto"/>
        <w:rPr>
          <w:rFonts w:hint="eastAsia" w:ascii="宋体" w:hAnsi="宋体" w:cs="宋体"/>
          <w:color w:val="auto"/>
          <w:sz w:val="24"/>
        </w:rPr>
      </w:pPr>
      <w:r>
        <w:rPr>
          <w:rFonts w:hint="eastAsia" w:ascii="宋体" w:hAnsi="宋体" w:cs="宋体"/>
          <w:color w:val="auto"/>
          <w:sz w:val="24"/>
        </w:rPr>
        <w:t> </w:t>
      </w:r>
    </w:p>
    <w:p w14:paraId="406D391E">
      <w:pPr>
        <w:rPr>
          <w:rFonts w:hint="eastAsia" w:ascii="宋体" w:hAnsi="宋体" w:cs="宋体"/>
          <w:color w:val="auto"/>
          <w:sz w:val="24"/>
        </w:rPr>
      </w:pPr>
      <w:r>
        <w:rPr>
          <w:rFonts w:hint="eastAsia" w:ascii="宋体" w:hAnsi="宋体" w:cs="宋体"/>
          <w:color w:val="auto"/>
          <w:sz w:val="24"/>
        </w:rPr>
        <w:t> </w:t>
      </w:r>
    </w:p>
    <w:p w14:paraId="6CEE7430">
      <w:pPr>
        <w:rPr>
          <w:rFonts w:hint="eastAsia" w:ascii="宋体" w:hAnsi="宋体" w:cs="宋体"/>
          <w:color w:val="auto"/>
          <w:sz w:val="24"/>
        </w:rPr>
      </w:pPr>
      <w:r>
        <w:rPr>
          <w:rFonts w:hint="eastAsia" w:ascii="宋体" w:hAnsi="宋体" w:cs="宋体"/>
          <w:color w:val="auto"/>
          <w:sz w:val="24"/>
        </w:rPr>
        <w:t> </w:t>
      </w:r>
    </w:p>
    <w:p w14:paraId="2C07F869">
      <w:pPr>
        <w:rPr>
          <w:rFonts w:hint="eastAsia" w:ascii="宋体" w:hAnsi="宋体" w:cs="宋体"/>
          <w:color w:val="auto"/>
          <w:sz w:val="24"/>
        </w:rPr>
      </w:pPr>
      <w:r>
        <w:rPr>
          <w:rFonts w:hint="eastAsia" w:ascii="宋体" w:hAnsi="宋体" w:cs="宋体"/>
          <w:color w:val="auto"/>
          <w:sz w:val="24"/>
        </w:rPr>
        <w:t> </w:t>
      </w:r>
    </w:p>
    <w:p w14:paraId="4EC6429D">
      <w:pPr>
        <w:spacing w:line="360" w:lineRule="auto"/>
        <w:rPr>
          <w:rFonts w:hint="eastAsia" w:ascii="宋体" w:hAnsi="宋体" w:cs="宋体"/>
          <w:color w:val="auto"/>
          <w:sz w:val="24"/>
        </w:rPr>
      </w:pPr>
      <w:r>
        <w:rPr>
          <w:rFonts w:hint="eastAsia" w:ascii="宋体" w:hAnsi="宋体" w:cs="宋体"/>
          <w:color w:val="auto"/>
          <w:sz w:val="24"/>
        </w:rPr>
        <w:t> </w:t>
      </w:r>
    </w:p>
    <w:p w14:paraId="413EEB75">
      <w:pPr>
        <w:spacing w:line="360" w:lineRule="auto"/>
        <w:rPr>
          <w:rFonts w:hint="eastAsia" w:ascii="宋体" w:hAnsi="宋体" w:cs="宋体"/>
          <w:color w:val="auto"/>
          <w:sz w:val="24"/>
        </w:rPr>
      </w:pPr>
      <w:r>
        <w:rPr>
          <w:rFonts w:hint="eastAsia" w:ascii="宋体" w:hAnsi="宋体" w:cs="宋体"/>
          <w:color w:val="auto"/>
          <w:sz w:val="24"/>
        </w:rPr>
        <w:t> </w:t>
      </w:r>
    </w:p>
    <w:p w14:paraId="1C00A3D9">
      <w:pPr>
        <w:spacing w:line="360" w:lineRule="auto"/>
        <w:rPr>
          <w:rFonts w:hint="eastAsia" w:ascii="宋体" w:hAnsi="宋体" w:cs="宋体"/>
          <w:color w:val="auto"/>
          <w:sz w:val="24"/>
        </w:rPr>
      </w:pPr>
      <w:r>
        <w:rPr>
          <w:rFonts w:hint="eastAsia" w:ascii="宋体" w:hAnsi="宋体" w:cs="宋体"/>
          <w:color w:val="auto"/>
          <w:sz w:val="24"/>
        </w:rPr>
        <w:t xml:space="preserve">投标人名称(公章):                   </w:t>
      </w:r>
    </w:p>
    <w:p w14:paraId="163F4DDF">
      <w:pPr>
        <w:spacing w:line="360" w:lineRule="auto"/>
        <w:rPr>
          <w:rFonts w:hint="eastAsia" w:ascii="宋体" w:hAnsi="宋体" w:cs="宋体"/>
          <w:color w:val="auto"/>
          <w:sz w:val="24"/>
        </w:rPr>
      </w:pPr>
      <w:r>
        <w:rPr>
          <w:rFonts w:hint="eastAsia" w:ascii="宋体" w:hAnsi="宋体" w:cs="宋体"/>
          <w:color w:val="auto"/>
          <w:sz w:val="24"/>
        </w:rPr>
        <w:t>委托代理人签字:             </w:t>
      </w:r>
    </w:p>
    <w:p w14:paraId="280C244A">
      <w:pPr>
        <w:spacing w:line="416" w:lineRule="auto"/>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年___月___日</w:t>
      </w:r>
    </w:p>
    <w:p w14:paraId="7215D28B">
      <w:pPr>
        <w:spacing w:line="360" w:lineRule="auto"/>
        <w:rPr>
          <w:sz w:val="24"/>
        </w:rPr>
      </w:pPr>
    </w:p>
    <w:p w14:paraId="4BB989B3">
      <w:pPr>
        <w:pageBreakBefore/>
        <w:spacing w:before="260" w:after="260" w:line="415" w:lineRule="auto"/>
        <w:outlineLvl w:val="1"/>
        <w:rPr>
          <w:rFonts w:hint="eastAsia" w:ascii="宋体" w:hAnsi="宋体" w:cs="宋体"/>
          <w:sz w:val="24"/>
          <w:szCs w:val="32"/>
        </w:rPr>
      </w:pPr>
      <w:r>
        <w:rPr>
          <w:rFonts w:hint="eastAsia" w:ascii="宋体" w:hAnsi="宋体" w:cs="宋体"/>
          <w:sz w:val="24"/>
          <w:szCs w:val="32"/>
        </w:rPr>
        <w:t>附件</w:t>
      </w:r>
      <w:r>
        <w:rPr>
          <w:rFonts w:hint="eastAsia" w:ascii="宋体" w:hAnsi="宋体" w:cs="宋体"/>
          <w:sz w:val="24"/>
          <w:szCs w:val="32"/>
          <w:lang w:val="en-US" w:eastAsia="zh-CN"/>
        </w:rPr>
        <w:t>九</w:t>
      </w:r>
      <w:r>
        <w:rPr>
          <w:rFonts w:hint="eastAsia" w:ascii="宋体" w:hAnsi="宋体" w:cs="宋体"/>
          <w:sz w:val="24"/>
          <w:szCs w:val="32"/>
        </w:rPr>
        <w:t>：同类项目业绩一览表</w:t>
      </w:r>
      <w:bookmarkEnd w:id="100"/>
      <w:bookmarkEnd w:id="101"/>
      <w:bookmarkEnd w:id="102"/>
      <w:bookmarkEnd w:id="103"/>
    </w:p>
    <w:p w14:paraId="3E240245">
      <w:pPr>
        <w:jc w:val="center"/>
        <w:rPr>
          <w:rFonts w:hint="eastAsia" w:ascii="宋体" w:hAnsi="宋体" w:cs="宋体"/>
          <w:b/>
          <w:sz w:val="36"/>
          <w:szCs w:val="36"/>
        </w:rPr>
      </w:pPr>
      <w:r>
        <w:rPr>
          <w:rFonts w:hint="eastAsia" w:ascii="宋体" w:hAnsi="宋体" w:cs="宋体"/>
          <w:b/>
          <w:sz w:val="36"/>
          <w:szCs w:val="36"/>
        </w:rPr>
        <w:t>同类项目业绩证明</w:t>
      </w:r>
    </w:p>
    <w:p w14:paraId="086D1537">
      <w:pPr>
        <w:rPr>
          <w:rFonts w:hint="eastAsia" w:ascii="宋体" w:hAnsi="宋体" w:cs="宋体"/>
          <w:sz w:val="24"/>
        </w:rPr>
      </w:pPr>
    </w:p>
    <w:p w14:paraId="28210E93">
      <w:pPr>
        <w:rPr>
          <w:rFonts w:hint="eastAsia" w:ascii="宋体" w:hAnsi="宋体" w:cs="宋体"/>
          <w:sz w:val="24"/>
        </w:rPr>
      </w:pPr>
    </w:p>
    <w:tbl>
      <w:tblPr>
        <w:tblStyle w:val="65"/>
        <w:tblW w:w="0" w:type="auto"/>
        <w:tblInd w:w="108" w:type="dxa"/>
        <w:tblLayout w:type="fixed"/>
        <w:tblCellMar>
          <w:top w:w="0" w:type="dxa"/>
          <w:left w:w="108" w:type="dxa"/>
          <w:bottom w:w="0" w:type="dxa"/>
          <w:right w:w="108" w:type="dxa"/>
        </w:tblCellMar>
      </w:tblPr>
      <w:tblGrid>
        <w:gridCol w:w="1657"/>
        <w:gridCol w:w="2104"/>
        <w:gridCol w:w="1059"/>
        <w:gridCol w:w="709"/>
        <w:gridCol w:w="708"/>
        <w:gridCol w:w="851"/>
        <w:gridCol w:w="2410"/>
      </w:tblGrid>
      <w:tr w14:paraId="659761F3">
        <w:tblPrEx>
          <w:tblCellMar>
            <w:top w:w="0" w:type="dxa"/>
            <w:left w:w="108" w:type="dxa"/>
            <w:bottom w:w="0" w:type="dxa"/>
            <w:right w:w="108" w:type="dxa"/>
          </w:tblCellMar>
        </w:tblPrEx>
        <w:trPr>
          <w:trHeight w:val="500" w:hRule="atLeast"/>
        </w:trPr>
        <w:tc>
          <w:tcPr>
            <w:tcW w:w="1657" w:type="dxa"/>
            <w:vMerge w:val="restart"/>
            <w:tcBorders>
              <w:top w:val="single" w:color="auto" w:sz="4" w:space="0"/>
              <w:left w:val="single" w:color="auto" w:sz="4" w:space="0"/>
              <w:bottom w:val="single" w:color="auto" w:sz="4" w:space="0"/>
              <w:right w:val="single" w:color="auto" w:sz="4" w:space="0"/>
            </w:tcBorders>
            <w:noWrap w:val="0"/>
            <w:vAlign w:val="center"/>
          </w:tcPr>
          <w:p w14:paraId="07C7E215">
            <w:pPr>
              <w:jc w:val="center"/>
              <w:rPr>
                <w:rFonts w:hint="eastAsia" w:ascii="宋体" w:hAnsi="宋体" w:cs="宋体"/>
                <w:sz w:val="24"/>
              </w:rPr>
            </w:pPr>
            <w:r>
              <w:rPr>
                <w:rFonts w:hint="eastAsia" w:ascii="宋体" w:hAnsi="宋体" w:cs="宋体"/>
                <w:sz w:val="24"/>
              </w:rPr>
              <w:t>采购单位名称</w:t>
            </w:r>
          </w:p>
        </w:tc>
        <w:tc>
          <w:tcPr>
            <w:tcW w:w="2104" w:type="dxa"/>
            <w:vMerge w:val="restart"/>
            <w:tcBorders>
              <w:top w:val="single" w:color="auto" w:sz="4" w:space="0"/>
              <w:left w:val="single" w:color="auto" w:sz="4" w:space="0"/>
              <w:bottom w:val="single" w:color="auto" w:sz="4" w:space="0"/>
              <w:right w:val="single" w:color="auto" w:sz="4" w:space="0"/>
            </w:tcBorders>
            <w:noWrap w:val="0"/>
            <w:vAlign w:val="center"/>
          </w:tcPr>
          <w:p w14:paraId="7C91B40B">
            <w:pPr>
              <w:jc w:val="center"/>
              <w:rPr>
                <w:rFonts w:hint="eastAsia" w:ascii="宋体" w:hAnsi="宋体" w:cs="宋体"/>
                <w:sz w:val="24"/>
              </w:rPr>
            </w:pPr>
            <w:r>
              <w:rPr>
                <w:rFonts w:hint="eastAsia" w:ascii="宋体" w:hAnsi="宋体" w:cs="宋体"/>
                <w:sz w:val="24"/>
              </w:rPr>
              <w:t>项目名称</w:t>
            </w:r>
          </w:p>
        </w:tc>
        <w:tc>
          <w:tcPr>
            <w:tcW w:w="1059" w:type="dxa"/>
            <w:vMerge w:val="restart"/>
            <w:tcBorders>
              <w:top w:val="single" w:color="auto" w:sz="4" w:space="0"/>
              <w:left w:val="single" w:color="auto" w:sz="4" w:space="0"/>
              <w:bottom w:val="single" w:color="auto" w:sz="4" w:space="0"/>
              <w:right w:val="single" w:color="auto" w:sz="4" w:space="0"/>
            </w:tcBorders>
            <w:noWrap w:val="0"/>
            <w:vAlign w:val="center"/>
          </w:tcPr>
          <w:p w14:paraId="0B1B1FA9">
            <w:pPr>
              <w:jc w:val="center"/>
              <w:rPr>
                <w:rFonts w:hint="eastAsia" w:ascii="宋体" w:hAnsi="宋体" w:cs="宋体"/>
                <w:sz w:val="24"/>
              </w:rPr>
            </w:pPr>
            <w:r>
              <w:rPr>
                <w:rFonts w:hint="eastAsia" w:ascii="宋体" w:hAnsi="宋体" w:cs="宋体"/>
                <w:sz w:val="24"/>
              </w:rPr>
              <w:t>合同</w:t>
            </w:r>
          </w:p>
          <w:p w14:paraId="57C7F24E">
            <w:pPr>
              <w:jc w:val="center"/>
              <w:rPr>
                <w:rFonts w:hint="eastAsia" w:ascii="宋体" w:hAnsi="宋体" w:cs="宋体"/>
                <w:sz w:val="24"/>
              </w:rPr>
            </w:pPr>
            <w:r>
              <w:rPr>
                <w:rFonts w:hint="eastAsia" w:ascii="宋体" w:hAnsi="宋体" w:cs="宋体"/>
                <w:sz w:val="24"/>
              </w:rPr>
              <w:t>金额</w:t>
            </w:r>
          </w:p>
          <w:p w14:paraId="78724962">
            <w:pPr>
              <w:jc w:val="center"/>
              <w:rPr>
                <w:rFonts w:hint="eastAsia" w:ascii="宋体" w:hAnsi="宋体" w:cs="宋体"/>
                <w:sz w:val="24"/>
              </w:rPr>
            </w:pPr>
            <w:r>
              <w:rPr>
                <w:rFonts w:hint="eastAsia" w:ascii="宋体" w:hAnsi="宋体" w:cs="宋体"/>
                <w:sz w:val="24"/>
              </w:rPr>
              <w:t>（万元）</w:t>
            </w:r>
          </w:p>
        </w:tc>
        <w:tc>
          <w:tcPr>
            <w:tcW w:w="2268" w:type="dxa"/>
            <w:gridSpan w:val="3"/>
            <w:tcBorders>
              <w:top w:val="single" w:color="auto" w:sz="4" w:space="0"/>
              <w:left w:val="single" w:color="auto" w:sz="4" w:space="0"/>
              <w:bottom w:val="single" w:color="auto" w:sz="4" w:space="0"/>
              <w:right w:val="single" w:color="auto" w:sz="4" w:space="0"/>
            </w:tcBorders>
            <w:noWrap w:val="0"/>
            <w:vAlign w:val="center"/>
          </w:tcPr>
          <w:p w14:paraId="65EC8015">
            <w:pPr>
              <w:jc w:val="center"/>
              <w:rPr>
                <w:rFonts w:hint="eastAsia" w:ascii="宋体" w:hAnsi="宋体" w:cs="宋体"/>
                <w:sz w:val="24"/>
              </w:rPr>
            </w:pPr>
            <w:r>
              <w:rPr>
                <w:rFonts w:hint="eastAsia" w:ascii="宋体" w:hAnsi="宋体" w:cs="宋体"/>
                <w:sz w:val="24"/>
              </w:rPr>
              <w:t>附件页码</w:t>
            </w:r>
          </w:p>
        </w:tc>
        <w:tc>
          <w:tcPr>
            <w:tcW w:w="2410" w:type="dxa"/>
            <w:vMerge w:val="restart"/>
            <w:tcBorders>
              <w:top w:val="single" w:color="auto" w:sz="4" w:space="0"/>
              <w:left w:val="single" w:color="auto" w:sz="4" w:space="0"/>
              <w:bottom w:val="single" w:color="auto" w:sz="4" w:space="0"/>
              <w:right w:val="single" w:color="auto" w:sz="4" w:space="0"/>
            </w:tcBorders>
            <w:noWrap w:val="0"/>
            <w:vAlign w:val="center"/>
          </w:tcPr>
          <w:p w14:paraId="4EB2B2EC">
            <w:pPr>
              <w:jc w:val="center"/>
              <w:rPr>
                <w:rFonts w:hint="eastAsia" w:ascii="宋体" w:hAnsi="宋体" w:cs="宋体"/>
                <w:sz w:val="24"/>
              </w:rPr>
            </w:pPr>
            <w:r>
              <w:rPr>
                <w:rFonts w:hint="eastAsia" w:ascii="宋体" w:hAnsi="宋体" w:cs="宋体"/>
                <w:sz w:val="24"/>
              </w:rPr>
              <w:t>采购单位联系人</w:t>
            </w:r>
          </w:p>
          <w:p w14:paraId="3A400C72">
            <w:pPr>
              <w:jc w:val="center"/>
              <w:rPr>
                <w:rFonts w:hint="eastAsia" w:ascii="宋体" w:hAnsi="宋体" w:cs="宋体"/>
                <w:sz w:val="24"/>
              </w:rPr>
            </w:pPr>
            <w:r>
              <w:rPr>
                <w:rFonts w:hint="eastAsia" w:ascii="宋体" w:hAnsi="宋体" w:cs="宋体"/>
                <w:sz w:val="24"/>
              </w:rPr>
              <w:t>及联系电话</w:t>
            </w:r>
          </w:p>
        </w:tc>
      </w:tr>
      <w:tr w14:paraId="0268D81E">
        <w:tblPrEx>
          <w:tblCellMar>
            <w:top w:w="0" w:type="dxa"/>
            <w:left w:w="108" w:type="dxa"/>
            <w:bottom w:w="0" w:type="dxa"/>
            <w:right w:w="108" w:type="dxa"/>
          </w:tblCellMar>
        </w:tblPrEx>
        <w:trPr>
          <w:trHeight w:val="77" w:hRule="atLeast"/>
        </w:trPr>
        <w:tc>
          <w:tcPr>
            <w:tcW w:w="1657" w:type="dxa"/>
            <w:vMerge w:val="continue"/>
            <w:tcBorders>
              <w:top w:val="single" w:color="auto" w:sz="4" w:space="0"/>
              <w:left w:val="single" w:color="auto" w:sz="4" w:space="0"/>
              <w:bottom w:val="single" w:color="auto" w:sz="4" w:space="0"/>
              <w:right w:val="single" w:color="auto" w:sz="4" w:space="0"/>
            </w:tcBorders>
            <w:noWrap w:val="0"/>
            <w:vAlign w:val="center"/>
          </w:tcPr>
          <w:p w14:paraId="4E289FD4">
            <w:pPr>
              <w:rPr>
                <w:rFonts w:hint="eastAsia" w:ascii="宋体" w:hAnsi="宋体" w:cs="宋体"/>
                <w:sz w:val="24"/>
              </w:rPr>
            </w:pPr>
          </w:p>
        </w:tc>
        <w:tc>
          <w:tcPr>
            <w:tcW w:w="2104" w:type="dxa"/>
            <w:vMerge w:val="continue"/>
            <w:tcBorders>
              <w:top w:val="single" w:color="auto" w:sz="4" w:space="0"/>
              <w:left w:val="single" w:color="auto" w:sz="4" w:space="0"/>
              <w:bottom w:val="single" w:color="auto" w:sz="4" w:space="0"/>
              <w:right w:val="single" w:color="auto" w:sz="4" w:space="0"/>
            </w:tcBorders>
            <w:noWrap w:val="0"/>
            <w:vAlign w:val="center"/>
          </w:tcPr>
          <w:p w14:paraId="7387E008">
            <w:pPr>
              <w:rPr>
                <w:rFonts w:hint="eastAsia" w:ascii="宋体" w:hAnsi="宋体" w:cs="宋体"/>
                <w:sz w:val="24"/>
              </w:rPr>
            </w:pPr>
          </w:p>
        </w:tc>
        <w:tc>
          <w:tcPr>
            <w:tcW w:w="1059" w:type="dxa"/>
            <w:vMerge w:val="continue"/>
            <w:tcBorders>
              <w:top w:val="single" w:color="auto" w:sz="4" w:space="0"/>
              <w:left w:val="single" w:color="auto" w:sz="4" w:space="0"/>
              <w:bottom w:val="single" w:color="auto" w:sz="4" w:space="0"/>
              <w:right w:val="single" w:color="auto" w:sz="4" w:space="0"/>
            </w:tcBorders>
            <w:noWrap w:val="0"/>
            <w:vAlign w:val="center"/>
          </w:tcPr>
          <w:p w14:paraId="12D3C6C3">
            <w:pPr>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7472CF">
            <w:pPr>
              <w:rPr>
                <w:rFonts w:hint="eastAsia" w:ascii="宋体" w:hAnsi="宋体" w:cs="宋体"/>
                <w:sz w:val="24"/>
              </w:rPr>
            </w:pPr>
            <w:r>
              <w:rPr>
                <w:rFonts w:hint="eastAsia" w:ascii="宋体" w:hAnsi="宋体" w:cs="宋体"/>
                <w:sz w:val="24"/>
              </w:rPr>
              <w:t>合同</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3F02128">
            <w:pPr>
              <w:rPr>
                <w:rFonts w:hint="eastAsia" w:ascii="宋体" w:hAnsi="宋体" w:cs="宋体"/>
                <w:sz w:val="24"/>
              </w:rPr>
            </w:pPr>
            <w:r>
              <w:rPr>
                <w:rFonts w:hint="eastAsia" w:ascii="宋体" w:hAnsi="宋体" w:cs="宋体"/>
                <w:sz w:val="24"/>
              </w:rPr>
              <w:t>中标通知书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DA69CB7">
            <w:pPr>
              <w:rPr>
                <w:rFonts w:hint="eastAsia" w:ascii="宋体" w:hAnsi="宋体" w:cs="宋体"/>
                <w:sz w:val="24"/>
              </w:rPr>
            </w:pPr>
            <w:r>
              <w:rPr>
                <w:rFonts w:hint="eastAsia" w:ascii="宋体" w:hAnsi="宋体" w:cs="宋体"/>
                <w:sz w:val="24"/>
              </w:rPr>
              <w:t>用户</w:t>
            </w:r>
          </w:p>
          <w:p w14:paraId="1C186FB6">
            <w:pPr>
              <w:rPr>
                <w:rFonts w:hint="eastAsia" w:ascii="宋体" w:hAnsi="宋体" w:cs="宋体"/>
                <w:sz w:val="24"/>
              </w:rPr>
            </w:pPr>
            <w:r>
              <w:rPr>
                <w:rFonts w:hint="eastAsia" w:ascii="宋体" w:hAnsi="宋体" w:cs="宋体"/>
                <w:sz w:val="24"/>
              </w:rPr>
              <w:t>评价</w:t>
            </w:r>
          </w:p>
        </w:tc>
        <w:tc>
          <w:tcPr>
            <w:tcW w:w="2410" w:type="dxa"/>
            <w:vMerge w:val="continue"/>
            <w:tcBorders>
              <w:top w:val="single" w:color="auto" w:sz="4" w:space="0"/>
              <w:left w:val="single" w:color="auto" w:sz="4" w:space="0"/>
              <w:bottom w:val="single" w:color="auto" w:sz="4" w:space="0"/>
              <w:right w:val="single" w:color="auto" w:sz="4" w:space="0"/>
            </w:tcBorders>
            <w:noWrap w:val="0"/>
            <w:vAlign w:val="center"/>
          </w:tcPr>
          <w:p w14:paraId="1E537719">
            <w:pPr>
              <w:rPr>
                <w:rFonts w:hint="eastAsia" w:ascii="宋体" w:hAnsi="宋体" w:cs="宋体"/>
                <w:sz w:val="24"/>
              </w:rPr>
            </w:pPr>
          </w:p>
        </w:tc>
      </w:tr>
      <w:tr w14:paraId="5F4E6E97">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200B2C6A">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6E10BF68">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6A48129B">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3EDA40">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67A5DBE">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75C9A58">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50E51611">
            <w:pPr>
              <w:rPr>
                <w:rFonts w:hint="eastAsia" w:ascii="宋体" w:hAnsi="宋体" w:cs="宋体"/>
                <w:sz w:val="28"/>
                <w:szCs w:val="28"/>
              </w:rPr>
            </w:pPr>
          </w:p>
        </w:tc>
      </w:tr>
      <w:tr w14:paraId="5B9D1132">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108ED227">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490DB842">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31F59946">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BE07CA">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EC67E07">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E18E075">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0A33194">
            <w:pPr>
              <w:rPr>
                <w:rFonts w:hint="eastAsia" w:ascii="宋体" w:hAnsi="宋体" w:cs="宋体"/>
                <w:sz w:val="28"/>
                <w:szCs w:val="28"/>
              </w:rPr>
            </w:pPr>
          </w:p>
        </w:tc>
      </w:tr>
      <w:tr w14:paraId="44D7BC45">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2A8AF9D9">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80298F">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526FFB82">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3CF71F">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A670C0B">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C46460B">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0E646032">
            <w:pPr>
              <w:rPr>
                <w:rFonts w:hint="eastAsia" w:ascii="宋体" w:hAnsi="宋体" w:cs="宋体"/>
                <w:sz w:val="28"/>
                <w:szCs w:val="28"/>
              </w:rPr>
            </w:pPr>
          </w:p>
        </w:tc>
      </w:tr>
      <w:tr w14:paraId="2A941B41">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0C4FF6ED">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215FEA0">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0A161ABA">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B49733">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AFE9788">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7A454F7">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11322C40">
            <w:pPr>
              <w:rPr>
                <w:rFonts w:hint="eastAsia" w:ascii="宋体" w:hAnsi="宋体" w:cs="宋体"/>
                <w:sz w:val="28"/>
                <w:szCs w:val="28"/>
              </w:rPr>
            </w:pPr>
          </w:p>
        </w:tc>
      </w:tr>
      <w:tr w14:paraId="5A2F14FD">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29E65E65">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D385B6C">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217CD66B">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93951D">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BF71F70">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4DE1009">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61FFC9D">
            <w:pPr>
              <w:rPr>
                <w:rFonts w:hint="eastAsia" w:ascii="宋体" w:hAnsi="宋体" w:cs="宋体"/>
                <w:sz w:val="28"/>
                <w:szCs w:val="28"/>
              </w:rPr>
            </w:pPr>
          </w:p>
        </w:tc>
      </w:tr>
      <w:tr w14:paraId="45ACB425">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356B2A8E">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19D79431">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3FF85504">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766C3B">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7DEAEE9">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B3C9DF">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3624239B">
            <w:pPr>
              <w:rPr>
                <w:rFonts w:hint="eastAsia" w:ascii="宋体" w:hAnsi="宋体" w:cs="宋体"/>
                <w:sz w:val="28"/>
                <w:szCs w:val="28"/>
              </w:rPr>
            </w:pPr>
          </w:p>
        </w:tc>
      </w:tr>
      <w:tr w14:paraId="68BD12BD">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421290B5">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2123727">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4BEE2AB0">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17726F">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FC259B9">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30BFBB6">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7B2DD32F">
            <w:pPr>
              <w:rPr>
                <w:rFonts w:hint="eastAsia" w:ascii="宋体" w:hAnsi="宋体" w:cs="宋体"/>
                <w:sz w:val="28"/>
                <w:szCs w:val="28"/>
              </w:rPr>
            </w:pPr>
          </w:p>
        </w:tc>
      </w:tr>
      <w:tr w14:paraId="704AB7D3">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74423DF2">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09EA3FF9">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3AD2FBE0">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A90216">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C0A1354">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0FEE6B">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1C5A4CFD">
            <w:pPr>
              <w:rPr>
                <w:rFonts w:hint="eastAsia" w:ascii="宋体" w:hAnsi="宋体" w:cs="宋体"/>
                <w:sz w:val="28"/>
                <w:szCs w:val="28"/>
              </w:rPr>
            </w:pPr>
          </w:p>
        </w:tc>
      </w:tr>
      <w:tr w14:paraId="02BE28C5">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noWrap w:val="0"/>
            <w:vAlign w:val="center"/>
          </w:tcPr>
          <w:p w14:paraId="02053DAE">
            <w:pPr>
              <w:rPr>
                <w:rFonts w:hint="eastAsia" w:ascii="宋体" w:hAnsi="宋体" w:cs="宋体"/>
                <w:sz w:val="28"/>
                <w:szCs w:val="28"/>
              </w:rPr>
            </w:pP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73FA7EA">
            <w:pPr>
              <w:rPr>
                <w:rFonts w:hint="eastAsia" w:ascii="宋体" w:hAnsi="宋体" w:cs="宋体"/>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center"/>
          </w:tcPr>
          <w:p w14:paraId="0CE21B30">
            <w:pPr>
              <w:rPr>
                <w:rFonts w:hint="eastAsia" w:ascii="宋体" w:hAnsi="宋体" w:cs="宋体"/>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7E1762">
            <w:pPr>
              <w:rPr>
                <w:rFonts w:hint="eastAsia" w:ascii="宋体" w:hAnsi="宋体" w:cs="宋体"/>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56DC8B5">
            <w:pPr>
              <w:rPr>
                <w:rFonts w:hint="eastAsia" w:ascii="宋体" w:hAnsi="宋体" w:cs="宋体"/>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BED0878">
            <w:pPr>
              <w:rPr>
                <w:rFonts w:hint="eastAsia" w:ascii="宋体" w:hAnsi="宋体" w:cs="宋体"/>
                <w:sz w:val="28"/>
                <w:szCs w:val="28"/>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3CCB0C7">
            <w:pPr>
              <w:rPr>
                <w:rFonts w:hint="eastAsia" w:ascii="宋体" w:hAnsi="宋体" w:cs="宋体"/>
                <w:sz w:val="28"/>
                <w:szCs w:val="28"/>
              </w:rPr>
            </w:pPr>
          </w:p>
        </w:tc>
      </w:tr>
    </w:tbl>
    <w:p w14:paraId="105AE659">
      <w:pPr>
        <w:rPr>
          <w:rFonts w:hint="eastAsia" w:ascii="宋体" w:hAnsi="宋体" w:cs="宋体"/>
          <w:sz w:val="28"/>
          <w:szCs w:val="28"/>
        </w:rPr>
      </w:pPr>
      <w:r>
        <w:rPr>
          <w:rFonts w:hint="eastAsia" w:ascii="宋体" w:hAnsi="宋体" w:cs="宋体"/>
          <w:sz w:val="24"/>
        </w:rPr>
        <w:t>注：后附投标人同类项目业绩证明材料</w:t>
      </w:r>
    </w:p>
    <w:p w14:paraId="4F59F80C">
      <w:pPr>
        <w:rPr>
          <w:rFonts w:hint="eastAsia" w:ascii="宋体" w:hAnsi="宋体" w:cs="宋体"/>
          <w:sz w:val="28"/>
          <w:szCs w:val="28"/>
        </w:rPr>
      </w:pPr>
    </w:p>
    <w:p w14:paraId="007D1EEC">
      <w:pPr>
        <w:rPr>
          <w:rFonts w:hint="eastAsia" w:ascii="宋体" w:hAnsi="宋体" w:cs="宋体"/>
          <w:sz w:val="28"/>
          <w:szCs w:val="28"/>
        </w:rPr>
      </w:pPr>
    </w:p>
    <w:p w14:paraId="6CDACCA0">
      <w:pPr>
        <w:spacing w:line="360" w:lineRule="auto"/>
        <w:rPr>
          <w:rFonts w:hint="eastAsia" w:ascii="宋体" w:hAnsi="宋体" w:cs="宋体"/>
          <w:sz w:val="24"/>
          <w:u w:val="single"/>
        </w:rPr>
      </w:pPr>
      <w:r>
        <w:rPr>
          <w:rFonts w:hint="eastAsia" w:ascii="宋体" w:hAnsi="宋体" w:cs="宋体"/>
          <w:sz w:val="24"/>
        </w:rPr>
        <w:t>法定代表人或负责人或委托代理人签名：</w:t>
      </w:r>
      <w:r>
        <w:rPr>
          <w:rFonts w:hint="eastAsia" w:ascii="宋体" w:hAnsi="宋体" w:cs="宋体"/>
          <w:sz w:val="24"/>
          <w:u w:val="single"/>
        </w:rPr>
        <w:t xml:space="preserve">                    </w:t>
      </w:r>
    </w:p>
    <w:p w14:paraId="6955A180">
      <w:pPr>
        <w:spacing w:line="360" w:lineRule="auto"/>
        <w:rPr>
          <w:rFonts w:hint="eastAsia" w:ascii="宋体" w:hAnsi="宋体" w:cs="宋体"/>
          <w:sz w:val="24"/>
          <w:u w:val="single"/>
        </w:rPr>
      </w:pPr>
      <w:r>
        <w:rPr>
          <w:rFonts w:hint="eastAsia" w:ascii="宋体" w:hAnsi="宋体" w:cs="宋体"/>
          <w:sz w:val="24"/>
        </w:rPr>
        <w:t>投标人公章：</w:t>
      </w:r>
      <w:r>
        <w:rPr>
          <w:rFonts w:hint="eastAsia" w:ascii="宋体" w:hAnsi="宋体" w:cs="宋体"/>
          <w:sz w:val="24"/>
          <w:u w:val="single"/>
        </w:rPr>
        <w:t xml:space="preserve">                      </w:t>
      </w:r>
    </w:p>
    <w:p w14:paraId="7595B185">
      <w:pPr>
        <w:spacing w:line="360" w:lineRule="auto"/>
        <w:rPr>
          <w:rFonts w:hint="eastAsia" w:ascii="宋体" w:hAnsi="宋体" w:cs="宋体"/>
          <w:sz w:val="24"/>
        </w:rPr>
      </w:pPr>
    </w:p>
    <w:p w14:paraId="2500290B">
      <w:pPr>
        <w:rPr>
          <w:rFonts w:hint="eastAsia" w:ascii="宋体" w:hAnsi="宋体" w:cs="宋体"/>
          <w:b/>
          <w:bCs/>
          <w:sz w:val="24"/>
        </w:rPr>
      </w:pPr>
    </w:p>
    <w:p w14:paraId="016E95C2">
      <w:pPr>
        <w:rPr>
          <w:rFonts w:hint="eastAsia" w:ascii="宋体" w:hAnsi="宋体" w:cs="宋体"/>
          <w:b/>
          <w:bCs/>
          <w:sz w:val="24"/>
        </w:rPr>
      </w:pPr>
    </w:p>
    <w:p w14:paraId="681BC22C">
      <w:pPr>
        <w:snapToGrid w:val="0"/>
        <w:spacing w:before="50" w:after="156" w:afterLines="50"/>
        <w:jc w:val="left"/>
        <w:rPr>
          <w:rFonts w:hint="eastAsia" w:ascii="宋体" w:hAnsi="宋体" w:cs="宋体"/>
          <w:sz w:val="24"/>
        </w:rPr>
      </w:pPr>
    </w:p>
    <w:p w14:paraId="328953C0">
      <w:pPr>
        <w:rPr>
          <w:rFonts w:hint="eastAsia" w:ascii="宋体" w:hAnsi="宋体"/>
          <w:b/>
          <w:bCs/>
          <w:sz w:val="24"/>
        </w:rPr>
      </w:pPr>
    </w:p>
    <w:p w14:paraId="1C78863E">
      <w:pPr>
        <w:pStyle w:val="2"/>
        <w:keepNext w:val="0"/>
        <w:keepLines w:val="0"/>
        <w:pageBreakBefore/>
        <w:spacing w:line="415" w:lineRule="auto"/>
        <w:rPr>
          <w:rFonts w:hint="eastAsia" w:ascii="宋体" w:hAnsi="宋体"/>
          <w:b w:val="0"/>
          <w:bCs w:val="0"/>
          <w:sz w:val="24"/>
        </w:rPr>
      </w:pPr>
      <w:bookmarkStart w:id="105" w:name="_Toc1449"/>
      <w:bookmarkStart w:id="106" w:name="_Toc30542"/>
      <w:r>
        <w:rPr>
          <w:rFonts w:hint="eastAsia" w:ascii="宋体" w:hAnsi="宋体"/>
          <w:b w:val="0"/>
          <w:bCs w:val="0"/>
          <w:sz w:val="24"/>
        </w:rPr>
        <w:t>附件</w:t>
      </w:r>
      <w:r>
        <w:rPr>
          <w:rFonts w:hint="eastAsia" w:ascii="宋体" w:hAnsi="宋体"/>
          <w:b w:val="0"/>
          <w:bCs w:val="0"/>
          <w:sz w:val="24"/>
          <w:lang w:val="en-US" w:eastAsia="zh-CN"/>
        </w:rPr>
        <w:t>十</w:t>
      </w:r>
      <w:r>
        <w:rPr>
          <w:rFonts w:hint="eastAsia" w:ascii="宋体" w:hAnsi="宋体"/>
          <w:b w:val="0"/>
          <w:bCs w:val="0"/>
          <w:sz w:val="24"/>
        </w:rPr>
        <w:t>：服务费承诺书</w:t>
      </w:r>
      <w:bookmarkEnd w:id="105"/>
      <w:bookmarkEnd w:id="106"/>
    </w:p>
    <w:p w14:paraId="1500EF90">
      <w:pPr>
        <w:jc w:val="center"/>
        <w:rPr>
          <w:rFonts w:hint="eastAsia" w:ascii="宋体" w:hAnsi="宋体"/>
          <w:b/>
          <w:sz w:val="44"/>
          <w:szCs w:val="44"/>
        </w:rPr>
      </w:pPr>
      <w:bookmarkStart w:id="107" w:name="_Toc491242411"/>
      <w:bookmarkStart w:id="108" w:name="_Toc504549901"/>
      <w:r>
        <w:rPr>
          <w:rFonts w:hint="eastAsia" w:ascii="宋体" w:hAnsi="宋体"/>
          <w:b/>
          <w:sz w:val="44"/>
          <w:szCs w:val="44"/>
        </w:rPr>
        <w:t>承 诺 书</w:t>
      </w:r>
    </w:p>
    <w:p w14:paraId="48A843D1">
      <w:pPr>
        <w:rPr>
          <w:rFonts w:hint="eastAsia" w:ascii="宋体" w:hAnsi="宋体"/>
          <w:b/>
          <w:sz w:val="24"/>
        </w:rPr>
      </w:pPr>
    </w:p>
    <w:p w14:paraId="098398BD">
      <w:pPr>
        <w:spacing w:line="360" w:lineRule="auto"/>
        <w:rPr>
          <w:rFonts w:hint="eastAsia" w:ascii="宋体" w:hAnsi="宋体"/>
          <w:b/>
          <w:bCs/>
          <w:sz w:val="24"/>
        </w:rPr>
      </w:pPr>
      <w:r>
        <w:rPr>
          <w:rFonts w:hint="eastAsia" w:ascii="宋体" w:hAnsi="宋体"/>
          <w:b/>
          <w:sz w:val="24"/>
        </w:rPr>
        <w:t>东阳市鑫盛工程咨询有限公司</w:t>
      </w:r>
      <w:r>
        <w:rPr>
          <w:rFonts w:hint="eastAsia" w:ascii="宋体" w:hAnsi="宋体"/>
          <w:b/>
          <w:bCs/>
          <w:sz w:val="24"/>
        </w:rPr>
        <w:t>：</w:t>
      </w:r>
    </w:p>
    <w:p w14:paraId="7E44EBCA">
      <w:pPr>
        <w:spacing w:line="360" w:lineRule="auto"/>
        <w:ind w:firstLine="723" w:firstLineChars="300"/>
        <w:rPr>
          <w:rFonts w:hint="eastAsia" w:ascii="宋体" w:hAnsi="宋体"/>
          <w:b/>
          <w:sz w:val="24"/>
        </w:rPr>
      </w:pPr>
      <w:r>
        <w:rPr>
          <w:rFonts w:hint="eastAsia" w:ascii="宋体" w:hAnsi="宋体"/>
          <w:b/>
          <w:sz w:val="24"/>
        </w:rPr>
        <w:t xml:space="preserve">若我公司中标时，在中标结果公示结束后3天内，愿按总则第（五）条规定向东阳市鑫盛工程咨询有限公司支付中标服务费。    </w:t>
      </w:r>
    </w:p>
    <w:p w14:paraId="55912ACF">
      <w:pPr>
        <w:spacing w:line="360" w:lineRule="auto"/>
        <w:ind w:firstLine="723" w:firstLineChars="300"/>
        <w:rPr>
          <w:rFonts w:ascii="宋体"/>
          <w:b/>
          <w:bCs/>
          <w:sz w:val="24"/>
        </w:rPr>
      </w:pPr>
    </w:p>
    <w:p w14:paraId="17577742">
      <w:pPr>
        <w:pStyle w:val="109"/>
        <w:rPr>
          <w:rFonts w:ascii="宋体"/>
          <w:b/>
          <w:bCs/>
          <w:sz w:val="24"/>
          <w:lang w:eastAsia="zh-CN"/>
        </w:rPr>
      </w:pPr>
    </w:p>
    <w:p w14:paraId="5CB0AEB1">
      <w:pPr>
        <w:pStyle w:val="110"/>
      </w:pPr>
    </w:p>
    <w:p w14:paraId="70638940">
      <w:pPr>
        <w:spacing w:line="360" w:lineRule="auto"/>
        <w:rPr>
          <w:rFonts w:ascii="宋体" w:hAnsi="宋体"/>
          <w:b/>
          <w:sz w:val="24"/>
        </w:rPr>
      </w:pPr>
      <w:r>
        <w:rPr>
          <w:rFonts w:ascii="宋体" w:hAnsi="宋体"/>
          <w:b/>
          <w:sz w:val="24"/>
        </w:rPr>
        <w:t>特此承诺</w:t>
      </w:r>
      <w:r>
        <w:rPr>
          <w:rFonts w:hint="eastAsia" w:ascii="宋体" w:hAnsi="宋体"/>
          <w:b/>
          <w:sz w:val="24"/>
        </w:rPr>
        <w:t>！</w:t>
      </w:r>
    </w:p>
    <w:p w14:paraId="000BD0B1">
      <w:pPr>
        <w:spacing w:line="360" w:lineRule="auto"/>
        <w:rPr>
          <w:rFonts w:hint="eastAsia" w:ascii="宋体" w:hAnsi="宋体"/>
          <w:b/>
          <w:sz w:val="24"/>
        </w:rPr>
      </w:pPr>
    </w:p>
    <w:p w14:paraId="38D71EC9">
      <w:pPr>
        <w:rPr>
          <w:rFonts w:hint="eastAsia" w:ascii="宋体" w:hAnsi="宋体"/>
          <w:b/>
          <w:sz w:val="24"/>
        </w:rPr>
      </w:pPr>
    </w:p>
    <w:p w14:paraId="0C6346A0">
      <w:pPr>
        <w:rPr>
          <w:rFonts w:hint="eastAsia" w:ascii="宋体" w:hAnsi="宋体"/>
          <w:b/>
          <w:sz w:val="24"/>
        </w:rPr>
      </w:pPr>
    </w:p>
    <w:p w14:paraId="6247BF65">
      <w:pPr>
        <w:rPr>
          <w:rFonts w:hint="eastAsia" w:ascii="宋体" w:hAnsi="宋体"/>
          <w:b/>
          <w:sz w:val="24"/>
        </w:rPr>
      </w:pPr>
    </w:p>
    <w:p w14:paraId="69F49BE6">
      <w:pPr>
        <w:rPr>
          <w:rFonts w:hint="eastAsia" w:ascii="宋体" w:hAnsi="宋体"/>
          <w:b/>
          <w:sz w:val="24"/>
        </w:rPr>
      </w:pPr>
    </w:p>
    <w:p w14:paraId="286AAD31">
      <w:pPr>
        <w:rPr>
          <w:rFonts w:hint="eastAsia" w:ascii="宋体" w:hAnsi="宋体"/>
          <w:b/>
          <w:sz w:val="24"/>
        </w:rPr>
      </w:pPr>
    </w:p>
    <w:p w14:paraId="1B694755">
      <w:pPr>
        <w:rPr>
          <w:rFonts w:ascii="宋体" w:hAnsi="宋体"/>
          <w:b/>
          <w:sz w:val="24"/>
        </w:rPr>
      </w:pPr>
      <w:r>
        <w:rPr>
          <w:rFonts w:ascii="宋体" w:hAnsi="宋体"/>
          <w:b/>
          <w:sz w:val="24"/>
        </w:rPr>
        <w:t>承诺单位(盖章)：</w:t>
      </w:r>
    </w:p>
    <w:p w14:paraId="1CEA1750">
      <w:pPr>
        <w:rPr>
          <w:rFonts w:hint="eastAsia" w:ascii="宋体" w:hAnsi="宋体"/>
          <w:b/>
          <w:sz w:val="24"/>
        </w:rPr>
      </w:pPr>
    </w:p>
    <w:p w14:paraId="60EA501D">
      <w:pPr>
        <w:rPr>
          <w:rFonts w:hint="eastAsia" w:ascii="宋体" w:hAnsi="宋体"/>
          <w:b/>
          <w:sz w:val="24"/>
        </w:rPr>
      </w:pPr>
    </w:p>
    <w:p w14:paraId="3EF7C85A">
      <w:pPr>
        <w:rPr>
          <w:rFonts w:ascii="宋体" w:hAnsi="宋体"/>
          <w:b/>
          <w:sz w:val="24"/>
        </w:rPr>
      </w:pPr>
      <w:r>
        <w:rPr>
          <w:rFonts w:ascii="宋体" w:hAnsi="宋体"/>
          <w:b/>
          <w:sz w:val="24"/>
        </w:rPr>
        <w:t>法定代表人或委托代理人(签字)：</w:t>
      </w:r>
    </w:p>
    <w:p w14:paraId="0AA590ED">
      <w:pPr>
        <w:rPr>
          <w:rFonts w:hint="eastAsia" w:ascii="宋体" w:hAnsi="宋体"/>
          <w:b/>
          <w:bCs/>
          <w:sz w:val="24"/>
        </w:rPr>
      </w:pPr>
    </w:p>
    <w:p w14:paraId="70EEBDF8">
      <w:pPr>
        <w:rPr>
          <w:rFonts w:hint="eastAsia" w:ascii="宋体" w:hAnsi="宋体"/>
          <w:b/>
          <w:bCs/>
          <w:sz w:val="24"/>
        </w:rPr>
      </w:pPr>
    </w:p>
    <w:p w14:paraId="26EC22CA">
      <w:pPr>
        <w:rPr>
          <w:rFonts w:ascii="宋体" w:hAnsi="宋体"/>
          <w:b/>
          <w:bCs/>
          <w:sz w:val="24"/>
        </w:rPr>
      </w:pPr>
      <w:r>
        <w:rPr>
          <w:rFonts w:ascii="宋体" w:hAnsi="宋体"/>
          <w:b/>
          <w:bCs/>
          <w:sz w:val="24"/>
        </w:rPr>
        <w:t xml:space="preserve">年 </w:t>
      </w:r>
      <w:r>
        <w:rPr>
          <w:rFonts w:hint="eastAsia" w:ascii="宋体" w:hAnsi="宋体"/>
          <w:b/>
          <w:bCs/>
          <w:sz w:val="24"/>
        </w:rPr>
        <w:t xml:space="preserve">    </w:t>
      </w:r>
      <w:r>
        <w:rPr>
          <w:rFonts w:ascii="宋体" w:hAnsi="宋体"/>
          <w:b/>
          <w:bCs/>
          <w:sz w:val="24"/>
        </w:rPr>
        <w:t xml:space="preserve">月 </w:t>
      </w:r>
      <w:r>
        <w:rPr>
          <w:rFonts w:hint="eastAsia" w:ascii="宋体" w:hAnsi="宋体"/>
          <w:b/>
          <w:bCs/>
          <w:sz w:val="24"/>
        </w:rPr>
        <w:t xml:space="preserve">   </w:t>
      </w:r>
      <w:r>
        <w:rPr>
          <w:rFonts w:ascii="宋体" w:hAnsi="宋体"/>
          <w:b/>
          <w:bCs/>
          <w:sz w:val="24"/>
        </w:rPr>
        <w:t>日</w:t>
      </w:r>
    </w:p>
    <w:p w14:paraId="7C794ED0">
      <w:pPr>
        <w:rPr>
          <w:rFonts w:hint="eastAsia" w:ascii="宋体" w:hAnsi="宋体"/>
          <w:b/>
          <w:sz w:val="24"/>
        </w:rPr>
      </w:pPr>
    </w:p>
    <w:p w14:paraId="3B46C9CF">
      <w:pPr>
        <w:rPr>
          <w:rFonts w:hint="eastAsia" w:ascii="宋体" w:hAnsi="宋体"/>
          <w:sz w:val="24"/>
        </w:rPr>
      </w:pPr>
    </w:p>
    <w:p w14:paraId="15B009BA">
      <w:pPr>
        <w:rPr>
          <w:rFonts w:hint="eastAsia" w:ascii="宋体" w:hAnsi="宋体"/>
          <w:sz w:val="24"/>
        </w:rPr>
      </w:pPr>
    </w:p>
    <w:p w14:paraId="3094259F">
      <w:pPr>
        <w:rPr>
          <w:rFonts w:hint="eastAsia" w:ascii="宋体" w:hAnsi="宋体"/>
          <w:bCs/>
          <w:sz w:val="24"/>
        </w:rPr>
      </w:pPr>
    </w:p>
    <w:p w14:paraId="1FD8E4C7">
      <w:pPr>
        <w:rPr>
          <w:rFonts w:hint="eastAsia" w:ascii="宋体" w:hAnsi="宋体"/>
          <w:bCs/>
          <w:sz w:val="24"/>
        </w:rPr>
      </w:pPr>
    </w:p>
    <w:p w14:paraId="5D3AC9B0">
      <w:pPr>
        <w:rPr>
          <w:rFonts w:hint="eastAsia" w:ascii="宋体" w:hAnsi="宋体"/>
          <w:bCs/>
          <w:sz w:val="24"/>
        </w:rPr>
      </w:pPr>
    </w:p>
    <w:p w14:paraId="0E756086">
      <w:pPr>
        <w:rPr>
          <w:rFonts w:hint="eastAsia" w:ascii="宋体" w:hAnsi="宋体"/>
          <w:bCs/>
          <w:sz w:val="24"/>
        </w:rPr>
      </w:pPr>
    </w:p>
    <w:p w14:paraId="5DF87A13">
      <w:pPr>
        <w:rPr>
          <w:rFonts w:hint="eastAsia" w:ascii="宋体" w:hAnsi="宋体"/>
          <w:bCs/>
          <w:sz w:val="24"/>
        </w:rPr>
      </w:pPr>
    </w:p>
    <w:p w14:paraId="44726FED">
      <w:pPr>
        <w:spacing w:line="416" w:lineRule="auto"/>
        <w:rPr>
          <w:rFonts w:hint="eastAsia" w:ascii="宋体" w:hAnsi="宋体" w:cs="宋体"/>
          <w:color w:val="auto"/>
          <w:sz w:val="24"/>
        </w:rPr>
      </w:pPr>
      <w:bookmarkStart w:id="109" w:name="_Toc23701"/>
      <w:bookmarkStart w:id="110" w:name="_Toc5575"/>
    </w:p>
    <w:p w14:paraId="0B73E082">
      <w:pPr>
        <w:pStyle w:val="2"/>
        <w:keepNext w:val="0"/>
        <w:keepLines w:val="0"/>
        <w:pageBreakBefore/>
        <w:spacing w:line="415" w:lineRule="auto"/>
        <w:rPr>
          <w:rFonts w:ascii="宋体" w:hAnsi="宋体"/>
          <w:b w:val="0"/>
          <w:bCs w:val="0"/>
          <w:sz w:val="24"/>
        </w:rPr>
      </w:pPr>
      <w:r>
        <w:rPr>
          <w:rFonts w:hint="eastAsia" w:ascii="宋体" w:hAnsi="宋体"/>
          <w:b w:val="0"/>
          <w:bCs w:val="0"/>
          <w:sz w:val="24"/>
        </w:rPr>
        <w:t>附件</w:t>
      </w:r>
      <w:r>
        <w:rPr>
          <w:rFonts w:hint="eastAsia" w:ascii="宋体" w:hAnsi="宋体"/>
          <w:b w:val="0"/>
          <w:bCs w:val="0"/>
          <w:sz w:val="24"/>
          <w:lang w:val="en-US" w:eastAsia="zh-CN"/>
        </w:rPr>
        <w:t>十一</w:t>
      </w:r>
      <w:r>
        <w:rPr>
          <w:rFonts w:hint="eastAsia" w:ascii="宋体" w:hAnsi="宋体"/>
          <w:b w:val="0"/>
          <w:bCs w:val="0"/>
          <w:sz w:val="24"/>
        </w:rPr>
        <w:t>:</w:t>
      </w:r>
      <w:bookmarkEnd w:id="107"/>
      <w:bookmarkEnd w:id="108"/>
      <w:r>
        <w:rPr>
          <w:rFonts w:hint="eastAsia" w:ascii="宋体" w:hAnsi="宋体"/>
          <w:b w:val="0"/>
          <w:bCs w:val="0"/>
          <w:sz w:val="24"/>
        </w:rPr>
        <w:t>投标函</w:t>
      </w:r>
      <w:bookmarkEnd w:id="109"/>
      <w:bookmarkEnd w:id="110"/>
    </w:p>
    <w:p w14:paraId="2A90748F">
      <w:pPr>
        <w:jc w:val="center"/>
        <w:rPr>
          <w:rFonts w:hint="eastAsia" w:ascii="宋体" w:hAnsi="宋体"/>
          <w:b/>
          <w:sz w:val="32"/>
          <w:szCs w:val="28"/>
        </w:rPr>
      </w:pPr>
      <w:r>
        <w:rPr>
          <w:rFonts w:hint="eastAsia" w:ascii="宋体" w:hAnsi="宋体"/>
          <w:b/>
          <w:sz w:val="32"/>
          <w:szCs w:val="28"/>
        </w:rPr>
        <w:t>投 标 函</w:t>
      </w:r>
    </w:p>
    <w:p w14:paraId="5C126641">
      <w:pPr>
        <w:spacing w:line="360" w:lineRule="auto"/>
        <w:rPr>
          <w:rFonts w:hint="eastAsia" w:ascii="宋体" w:hAnsi="宋体"/>
          <w:sz w:val="24"/>
          <w:szCs w:val="20"/>
        </w:rPr>
      </w:pPr>
      <w:r>
        <w:rPr>
          <w:rFonts w:hint="eastAsia" w:ascii="宋体" w:hAnsi="宋体"/>
          <w:sz w:val="24"/>
        </w:rPr>
        <w:t>致：</w:t>
      </w:r>
      <w:r>
        <w:rPr>
          <w:rFonts w:ascii="宋体" w:hAnsi="宋体"/>
          <w:sz w:val="24"/>
          <w:u w:val="single"/>
        </w:rPr>
        <w:t xml:space="preserve">            </w:t>
      </w:r>
      <w:r>
        <w:rPr>
          <w:rFonts w:hint="eastAsia" w:ascii="宋体" w:hAnsi="宋体"/>
          <w:sz w:val="24"/>
        </w:rPr>
        <w:t>（招标采购单位名称）：</w:t>
      </w:r>
    </w:p>
    <w:p w14:paraId="4511ACAD">
      <w:pPr>
        <w:spacing w:line="360" w:lineRule="auto"/>
        <w:ind w:firstLine="720" w:firstLineChars="300"/>
        <w:rPr>
          <w:rFonts w:hint="eastAsia" w:ascii="宋体" w:hAnsi="宋体"/>
          <w:sz w:val="24"/>
          <w:szCs w:val="20"/>
        </w:rPr>
      </w:pPr>
      <w:r>
        <w:rPr>
          <w:rFonts w:hint="eastAsia" w:ascii="宋体" w:hAnsi="宋体"/>
          <w:sz w:val="24"/>
        </w:rPr>
        <w:t>根据贵方为</w:t>
      </w:r>
      <w:r>
        <w:rPr>
          <w:rFonts w:hint="eastAsia" w:ascii="宋体" w:hAnsi="宋体"/>
          <w:sz w:val="24"/>
          <w:u w:val="single"/>
        </w:rPr>
        <w:t xml:space="preserve">                             </w:t>
      </w:r>
      <w:r>
        <w:rPr>
          <w:rFonts w:hint="eastAsia" w:ascii="宋体" w:hAnsi="宋体"/>
          <w:sz w:val="24"/>
        </w:rPr>
        <w:t>项目的招标公告/投标邀请书</w:t>
      </w:r>
    </w:p>
    <w:p w14:paraId="49426F59">
      <w:pPr>
        <w:spacing w:line="360" w:lineRule="auto"/>
        <w:rPr>
          <w:rFonts w:hint="eastAsia" w:ascii="宋体" w:hAnsi="宋体"/>
          <w:sz w:val="24"/>
          <w:szCs w:val="20"/>
        </w:rPr>
      </w:pPr>
      <w:r>
        <w:rPr>
          <w:rFonts w:hint="eastAsia" w:ascii="宋体" w:hAnsi="宋体"/>
          <w:sz w:val="24"/>
        </w:rPr>
        <w:t>（项目编号：</w:t>
      </w:r>
      <w:r>
        <w:rPr>
          <w:rFonts w:ascii="宋体" w:hAnsi="宋体"/>
          <w:sz w:val="24"/>
          <w:u w:val="single"/>
        </w:rPr>
        <w:t xml:space="preserve">             </w:t>
      </w:r>
      <w:r>
        <w:rPr>
          <w:rFonts w:hint="eastAsia" w:ascii="宋体" w:hAnsi="宋体"/>
          <w:sz w:val="24"/>
        </w:rPr>
        <w:t>），签字代表</w:t>
      </w:r>
      <w:r>
        <w:rPr>
          <w:rFonts w:ascii="宋体" w:hAnsi="宋体"/>
          <w:sz w:val="24"/>
          <w:u w:val="single"/>
        </w:rPr>
        <w:t xml:space="preserve">         </w:t>
      </w:r>
      <w:r>
        <w:rPr>
          <w:rFonts w:hint="eastAsia" w:ascii="宋体" w:hAnsi="宋体"/>
          <w:sz w:val="24"/>
        </w:rPr>
        <w:t>（全名）经正式授权并代表投标人_____</w:t>
      </w:r>
      <w:r>
        <w:rPr>
          <w:rFonts w:hint="eastAsia" w:ascii="宋体" w:hAnsi="宋体"/>
          <w:sz w:val="24"/>
          <w:u w:val="single"/>
        </w:rPr>
        <w:t>__                    __</w:t>
      </w:r>
      <w:r>
        <w:rPr>
          <w:rFonts w:hint="eastAsia" w:ascii="宋体" w:hAnsi="宋体"/>
          <w:sz w:val="24"/>
        </w:rPr>
        <w:t>（投标人名称）提交资格审查文件、资信/商务文件、技术文件、报价文件正本各一份、副本</w:t>
      </w:r>
      <w:r>
        <w:rPr>
          <w:rFonts w:hint="eastAsia" w:ascii="宋体" w:hAnsi="宋体"/>
          <w:sz w:val="24"/>
          <w:u w:val="single"/>
        </w:rPr>
        <w:t xml:space="preserve">      </w:t>
      </w:r>
      <w:r>
        <w:rPr>
          <w:rFonts w:hint="eastAsia" w:ascii="宋体" w:hAnsi="宋体"/>
          <w:sz w:val="24"/>
        </w:rPr>
        <w:t>份。</w:t>
      </w:r>
    </w:p>
    <w:p w14:paraId="2C2EED55">
      <w:pPr>
        <w:spacing w:line="360" w:lineRule="auto"/>
        <w:ind w:firstLine="720" w:firstLineChars="300"/>
        <w:rPr>
          <w:rFonts w:hint="eastAsia" w:ascii="宋体" w:hAnsi="宋体"/>
          <w:sz w:val="24"/>
          <w:szCs w:val="20"/>
        </w:rPr>
      </w:pPr>
      <w:r>
        <w:rPr>
          <w:rFonts w:hint="eastAsia" w:ascii="宋体" w:hAnsi="宋体"/>
          <w:sz w:val="24"/>
        </w:rPr>
        <w:t>据此函，签字代表宣布同意如下：</w:t>
      </w:r>
    </w:p>
    <w:p w14:paraId="260457AF">
      <w:pPr>
        <w:spacing w:line="360" w:lineRule="auto"/>
        <w:rPr>
          <w:rFonts w:hint="eastAsia" w:ascii="宋体" w:hAnsi="宋体"/>
          <w:sz w:val="24"/>
          <w:szCs w:val="20"/>
        </w:rPr>
      </w:pPr>
      <w:r>
        <w:rPr>
          <w:rFonts w:hint="eastAsia" w:ascii="宋体" w:hAnsi="宋体"/>
          <w:sz w:val="24"/>
        </w:rPr>
        <w:t>1.投标人已详细审查全部“招标文件”，包括修改文件（如有的话）以及全部参考资料和有关附件，已经了解我方对于招标文件、采购过程、采购结果有依法进行询问、质疑、投诉的权利及相关渠道和要求。</w:t>
      </w:r>
    </w:p>
    <w:p w14:paraId="55B415DC">
      <w:pPr>
        <w:spacing w:line="360" w:lineRule="auto"/>
        <w:rPr>
          <w:rFonts w:hint="eastAsia" w:ascii="宋体" w:hAnsi="宋体"/>
          <w:sz w:val="24"/>
          <w:szCs w:val="20"/>
        </w:rPr>
      </w:pPr>
      <w:r>
        <w:rPr>
          <w:rFonts w:hint="eastAsia" w:ascii="宋体" w:hAnsi="宋体"/>
          <w:sz w:val="24"/>
        </w:rPr>
        <w:t>2.投标人在投标之前已经与贵方进行了充分的沟通，完全理解并接受招标文件的各项规定和要求，对招标文件的合理性、合法性不再有异议。</w:t>
      </w:r>
    </w:p>
    <w:p w14:paraId="68B1D878">
      <w:pPr>
        <w:spacing w:line="360" w:lineRule="auto"/>
        <w:rPr>
          <w:rFonts w:hint="eastAsia" w:ascii="宋体" w:hAnsi="宋体"/>
          <w:sz w:val="24"/>
          <w:szCs w:val="20"/>
        </w:rPr>
      </w:pPr>
      <w:r>
        <w:rPr>
          <w:rFonts w:hint="eastAsia" w:ascii="宋体" w:hAnsi="宋体"/>
          <w:sz w:val="24"/>
        </w:rPr>
        <w:t>3.本投标有效期自开标日起 ______天。</w:t>
      </w:r>
    </w:p>
    <w:p w14:paraId="678EB6DE">
      <w:pPr>
        <w:spacing w:line="360" w:lineRule="auto"/>
        <w:rPr>
          <w:rFonts w:hint="eastAsia" w:ascii="宋体" w:hAnsi="宋体"/>
          <w:sz w:val="24"/>
          <w:szCs w:val="20"/>
        </w:rPr>
      </w:pPr>
      <w:r>
        <w:rPr>
          <w:rFonts w:hint="eastAsia" w:ascii="宋体" w:hAnsi="宋体"/>
          <w:sz w:val="24"/>
        </w:rPr>
        <w:t>4.如中标，本投标文件至本项目合同履行完毕止均保持有效，本投标人将按“招标文件”及国有企业采购法律、法规的规定履行合同责任和义务。</w:t>
      </w:r>
    </w:p>
    <w:p w14:paraId="5221F281">
      <w:pPr>
        <w:spacing w:line="360" w:lineRule="auto"/>
        <w:rPr>
          <w:rFonts w:hint="eastAsia" w:ascii="宋体" w:hAnsi="宋体"/>
          <w:sz w:val="24"/>
          <w:szCs w:val="20"/>
        </w:rPr>
      </w:pPr>
      <w:r>
        <w:rPr>
          <w:rFonts w:hint="eastAsia" w:ascii="宋体" w:hAnsi="宋体"/>
          <w:sz w:val="24"/>
        </w:rPr>
        <w:t>5.投标人同意按照贵方要求提供与投标有关的一切数据或资料。</w:t>
      </w:r>
    </w:p>
    <w:p w14:paraId="2254F26D">
      <w:pPr>
        <w:spacing w:line="360" w:lineRule="auto"/>
        <w:rPr>
          <w:rFonts w:hint="eastAsia" w:ascii="宋体" w:hAnsi="宋体"/>
          <w:sz w:val="24"/>
          <w:szCs w:val="20"/>
        </w:rPr>
      </w:pPr>
      <w:r>
        <w:rPr>
          <w:rFonts w:hint="eastAsia" w:ascii="宋体" w:hAnsi="宋体"/>
          <w:sz w:val="24"/>
        </w:rPr>
        <w:t>6.与本投标有关的一切正式往来信函请寄：</w:t>
      </w:r>
    </w:p>
    <w:p w14:paraId="23158B00">
      <w:pPr>
        <w:spacing w:line="360" w:lineRule="auto"/>
        <w:rPr>
          <w:rFonts w:hint="eastAsia" w:ascii="宋体" w:hAnsi="宋体"/>
          <w:sz w:val="24"/>
          <w:szCs w:val="20"/>
        </w:rPr>
      </w:pPr>
      <w:r>
        <w:rPr>
          <w:rFonts w:hint="eastAsia" w:ascii="宋体" w:hAnsi="宋体"/>
          <w:sz w:val="24"/>
        </w:rPr>
        <w:t>地址：__________</w:t>
      </w:r>
      <w:r>
        <w:rPr>
          <w:rFonts w:hint="eastAsia" w:ascii="宋体" w:hAnsi="宋体"/>
          <w:sz w:val="24"/>
          <w:u w:val="single"/>
        </w:rPr>
        <w:t xml:space="preserve">        _</w:t>
      </w:r>
      <w:r>
        <w:rPr>
          <w:rFonts w:hint="eastAsia" w:ascii="宋体" w:hAnsi="宋体"/>
          <w:sz w:val="24"/>
        </w:rPr>
        <w:t>____邮编：__________   电话：______________</w:t>
      </w:r>
    </w:p>
    <w:p w14:paraId="5AD21D64">
      <w:pPr>
        <w:spacing w:line="360" w:lineRule="auto"/>
        <w:rPr>
          <w:rFonts w:hint="eastAsia" w:ascii="宋体" w:hAnsi="宋体"/>
          <w:sz w:val="24"/>
          <w:szCs w:val="20"/>
        </w:rPr>
      </w:pPr>
      <w:r>
        <w:rPr>
          <w:rFonts w:hint="eastAsia" w:ascii="宋体" w:hAnsi="宋体"/>
          <w:sz w:val="24"/>
        </w:rPr>
        <w:t>传真：______________投标人代表姓名 ___________  职务：______</w:t>
      </w:r>
      <w:r>
        <w:rPr>
          <w:rFonts w:hint="eastAsia" w:ascii="宋体" w:hAnsi="宋体"/>
          <w:sz w:val="24"/>
          <w:u w:val="single"/>
        </w:rPr>
        <w:t xml:space="preserve"> </w:t>
      </w:r>
      <w:r>
        <w:rPr>
          <w:rFonts w:hint="eastAsia" w:ascii="宋体" w:hAnsi="宋体"/>
          <w:sz w:val="24"/>
        </w:rPr>
        <w:t>_______</w:t>
      </w:r>
    </w:p>
    <w:p w14:paraId="4EF99CD4">
      <w:pPr>
        <w:spacing w:line="360" w:lineRule="auto"/>
        <w:rPr>
          <w:rFonts w:hint="eastAsia" w:ascii="宋体" w:hAnsi="宋体"/>
          <w:sz w:val="24"/>
        </w:rPr>
      </w:pPr>
    </w:p>
    <w:p w14:paraId="2126CF09">
      <w:pPr>
        <w:spacing w:line="360" w:lineRule="auto"/>
        <w:rPr>
          <w:rFonts w:hint="eastAsia" w:ascii="宋体" w:hAnsi="宋体"/>
          <w:sz w:val="24"/>
          <w:szCs w:val="20"/>
        </w:rPr>
      </w:pPr>
      <w:r>
        <w:rPr>
          <w:rFonts w:hint="eastAsia" w:ascii="宋体" w:hAnsi="宋体"/>
          <w:sz w:val="24"/>
        </w:rPr>
        <w:t>投标人名称(公章):___________________</w:t>
      </w:r>
    </w:p>
    <w:p w14:paraId="06038E1A">
      <w:pPr>
        <w:spacing w:line="360" w:lineRule="auto"/>
        <w:rPr>
          <w:rFonts w:hint="eastAsia" w:ascii="宋体" w:hAnsi="宋体"/>
          <w:sz w:val="24"/>
        </w:rPr>
      </w:pPr>
      <w:r>
        <w:rPr>
          <w:rFonts w:hint="eastAsia" w:ascii="宋体" w:hAnsi="宋体"/>
          <w:sz w:val="24"/>
        </w:rPr>
        <w:t xml:space="preserve">委托代理人签字:___________ </w:t>
      </w:r>
    </w:p>
    <w:p w14:paraId="1E5D9B93">
      <w:pPr>
        <w:rPr>
          <w:rFonts w:hint="eastAsia" w:ascii="宋体" w:hAnsi="宋体"/>
          <w:sz w:val="30"/>
          <w:szCs w:val="20"/>
        </w:rPr>
      </w:pPr>
      <w:r>
        <w:rPr>
          <w:rFonts w:hint="eastAsia" w:ascii="宋体" w:hAnsi="宋体"/>
          <w:sz w:val="24"/>
        </w:rPr>
        <w:t>日期:_____年___月___日</w:t>
      </w:r>
    </w:p>
    <w:p w14:paraId="71D36678">
      <w:pPr>
        <w:rPr>
          <w:rFonts w:hint="eastAsia" w:ascii="宋体" w:hAnsi="宋体"/>
          <w:sz w:val="24"/>
        </w:rPr>
      </w:pPr>
    </w:p>
    <w:p w14:paraId="42B33A0B">
      <w:pPr>
        <w:rPr>
          <w:rFonts w:hint="eastAsia"/>
        </w:rPr>
      </w:pPr>
    </w:p>
    <w:p w14:paraId="1ED358E1">
      <w:pPr>
        <w:rPr>
          <w:rFonts w:hint="eastAsia"/>
        </w:rPr>
      </w:pPr>
    </w:p>
    <w:p w14:paraId="4CE261B0">
      <w:pPr>
        <w:rPr>
          <w:rFonts w:hint="eastAsia"/>
        </w:rPr>
      </w:pPr>
    </w:p>
    <w:p w14:paraId="771BF154">
      <w:pPr>
        <w:rPr>
          <w:rFonts w:hint="eastAsia"/>
        </w:rPr>
      </w:pPr>
    </w:p>
    <w:p w14:paraId="77DBC29C">
      <w:pPr>
        <w:rPr>
          <w:rFonts w:hint="eastAsia"/>
        </w:rPr>
      </w:pPr>
    </w:p>
    <w:p w14:paraId="41FE6490">
      <w:pPr>
        <w:keepNext/>
        <w:keepLines/>
        <w:spacing w:before="260" w:after="260"/>
        <w:outlineLvl w:val="1"/>
        <w:rPr>
          <w:rFonts w:hint="eastAsia" w:ascii="宋体" w:hAnsi="宋体"/>
          <w:sz w:val="24"/>
        </w:rPr>
      </w:pPr>
      <w:bookmarkStart w:id="111" w:name="_Toc527640985"/>
      <w:bookmarkStart w:id="112" w:name="_Toc27537"/>
      <w:bookmarkStart w:id="113" w:name="_Toc700"/>
      <w:bookmarkStart w:id="114" w:name="_Toc504549903"/>
      <w:bookmarkStart w:id="115" w:name="_Toc497918233"/>
      <w:r>
        <w:rPr>
          <w:rFonts w:hint="eastAsia" w:ascii="宋体" w:hAnsi="宋体"/>
          <w:bCs/>
          <w:sz w:val="24"/>
          <w:szCs w:val="32"/>
        </w:rPr>
        <w:t>附件</w:t>
      </w:r>
      <w:r>
        <w:rPr>
          <w:rFonts w:ascii="宋体" w:hAnsi="宋体"/>
          <w:bCs/>
          <w:sz w:val="24"/>
          <w:szCs w:val="32"/>
        </w:rPr>
        <w:t>十</w:t>
      </w:r>
      <w:r>
        <w:rPr>
          <w:rFonts w:hint="eastAsia" w:ascii="宋体" w:hAnsi="宋体"/>
          <w:bCs/>
          <w:sz w:val="24"/>
          <w:szCs w:val="32"/>
          <w:lang w:val="en-US" w:eastAsia="zh-CN"/>
        </w:rPr>
        <w:t>二</w:t>
      </w:r>
      <w:r>
        <w:rPr>
          <w:rFonts w:hint="eastAsia" w:ascii="宋体" w:hAnsi="宋体"/>
          <w:bCs/>
          <w:sz w:val="24"/>
          <w:szCs w:val="32"/>
        </w:rPr>
        <w:t>:</w:t>
      </w:r>
      <w:r>
        <w:rPr>
          <w:rFonts w:hint="eastAsia"/>
        </w:rPr>
        <w:t xml:space="preserve"> </w:t>
      </w:r>
      <w:bookmarkEnd w:id="111"/>
      <w:r>
        <w:rPr>
          <w:rFonts w:hint="eastAsia" w:ascii="宋体" w:hAnsi="宋体"/>
          <w:bCs/>
          <w:sz w:val="24"/>
          <w:szCs w:val="32"/>
        </w:rPr>
        <w:t>开标一览表</w:t>
      </w:r>
      <w:bookmarkEnd w:id="112"/>
      <w:bookmarkEnd w:id="113"/>
    </w:p>
    <w:p w14:paraId="714A8E47">
      <w:pPr>
        <w:spacing w:line="420" w:lineRule="exact"/>
        <w:jc w:val="center"/>
        <w:rPr>
          <w:rFonts w:hint="eastAsia" w:ascii="宋体" w:hAnsi="宋体" w:cs="宋体"/>
          <w:b/>
          <w:sz w:val="28"/>
          <w:szCs w:val="28"/>
        </w:rPr>
      </w:pPr>
      <w:r>
        <w:rPr>
          <w:rFonts w:hint="eastAsia" w:ascii="宋体" w:hAnsi="宋体" w:cs="宋体"/>
          <w:b/>
          <w:sz w:val="28"/>
          <w:szCs w:val="28"/>
        </w:rPr>
        <w:t>开标一览表</w:t>
      </w:r>
    </w:p>
    <w:p w14:paraId="6F542071">
      <w:pPr>
        <w:spacing w:line="340" w:lineRule="exact"/>
        <w:rPr>
          <w:rFonts w:hint="eastAsia" w:ascii="宋体" w:hAnsi="宋体" w:cs="宋体"/>
          <w:b/>
          <w:sz w:val="24"/>
        </w:rPr>
      </w:pPr>
      <w:r>
        <w:rPr>
          <w:rFonts w:hint="eastAsia" w:ascii="宋体" w:hAnsi="宋体" w:cs="宋体"/>
          <w:b/>
          <w:sz w:val="24"/>
        </w:rPr>
        <w:t xml:space="preserve">招标编号：                                              </w:t>
      </w:r>
    </w:p>
    <w:p w14:paraId="49D9E0EB">
      <w:pPr>
        <w:spacing w:line="340" w:lineRule="exact"/>
        <w:rPr>
          <w:rFonts w:hint="eastAsia" w:ascii="宋体" w:hAnsi="宋体" w:cs="宋体"/>
          <w:b/>
          <w:sz w:val="24"/>
        </w:rPr>
      </w:pPr>
      <w:r>
        <w:rPr>
          <w:rFonts w:hint="eastAsia" w:ascii="宋体" w:hAnsi="宋体" w:cs="宋体"/>
          <w:b/>
          <w:sz w:val="24"/>
        </w:rPr>
        <w:t>投标人名称：                                                    单位：元</w:t>
      </w:r>
    </w:p>
    <w:tbl>
      <w:tblPr>
        <w:tblStyle w:val="65"/>
        <w:tblpPr w:leftFromText="180" w:rightFromText="180" w:vertAnchor="text" w:horzAnchor="page" w:tblpX="1113" w:tblpY="311"/>
        <w:tblOverlap w:val="never"/>
        <w:tblW w:w="994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192"/>
        <w:gridCol w:w="1200"/>
        <w:gridCol w:w="1250"/>
        <w:gridCol w:w="1366"/>
        <w:gridCol w:w="867"/>
        <w:gridCol w:w="1750"/>
        <w:gridCol w:w="1502"/>
      </w:tblGrid>
      <w:tr w14:paraId="298EC8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14:paraId="2D6304F3">
            <w:pP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序号</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0B45E28F">
            <w:pP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货物名称</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ACD6EF7">
            <w:pP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规格型号</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C115A08">
            <w:pP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制造商/产地/品牌</w:t>
            </w:r>
          </w:p>
        </w:tc>
        <w:tc>
          <w:tcPr>
            <w:tcW w:w="1366" w:type="dxa"/>
            <w:tcBorders>
              <w:top w:val="single" w:color="auto" w:sz="4" w:space="0"/>
              <w:left w:val="single" w:color="auto" w:sz="4" w:space="0"/>
              <w:bottom w:val="single" w:color="auto" w:sz="4" w:space="0"/>
              <w:right w:val="single" w:color="auto" w:sz="4" w:space="0"/>
            </w:tcBorders>
            <w:noWrap w:val="0"/>
            <w:vAlign w:val="center"/>
          </w:tcPr>
          <w:p w14:paraId="3C1E1F4F">
            <w:pP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数量/</w:t>
            </w:r>
            <w:r>
              <w:rPr>
                <w:b/>
                <w:color w:val="auto"/>
                <w:sz w:val="22"/>
                <w:szCs w:val="28"/>
                <w:highlight w:val="none"/>
              </w:rPr>
              <w:t>单位</w:t>
            </w:r>
          </w:p>
        </w:tc>
        <w:tc>
          <w:tcPr>
            <w:tcW w:w="867" w:type="dxa"/>
            <w:tcBorders>
              <w:top w:val="single" w:color="auto" w:sz="4" w:space="0"/>
              <w:left w:val="single" w:color="auto" w:sz="4" w:space="0"/>
              <w:bottom w:val="single" w:color="auto" w:sz="4" w:space="0"/>
              <w:right w:val="single" w:color="auto" w:sz="4" w:space="0"/>
            </w:tcBorders>
            <w:noWrap w:val="0"/>
            <w:vAlign w:val="center"/>
          </w:tcPr>
          <w:p w14:paraId="70174A43">
            <w:pP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单价</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235999A3">
            <w:pP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投标报价小计</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420FFD7">
            <w:pP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投标报价</w:t>
            </w:r>
          </w:p>
        </w:tc>
      </w:tr>
      <w:tr w14:paraId="6AF9FB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817" w:type="dxa"/>
            <w:tcBorders>
              <w:top w:val="single" w:color="auto" w:sz="4" w:space="0"/>
              <w:left w:val="single" w:color="auto" w:sz="4" w:space="0"/>
              <w:right w:val="single" w:color="auto" w:sz="4" w:space="0"/>
            </w:tcBorders>
            <w:noWrap w:val="0"/>
            <w:vAlign w:val="center"/>
          </w:tcPr>
          <w:p w14:paraId="1836D8E0">
            <w:pPr>
              <w:snapToGrid w:val="0"/>
              <w:spacing w:before="50" w:after="50"/>
              <w:jc w:val="center"/>
              <w:rPr>
                <w:rFonts w:hint="eastAsia"/>
                <w:color w:val="auto"/>
                <w:sz w:val="24"/>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2C25A086">
            <w:pPr>
              <w:snapToGrid w:val="0"/>
              <w:jc w:val="center"/>
              <w:rPr>
                <w:rFonts w:hint="eastAsia" w:ascii="宋体" w:hAnsi="宋体" w:cs="Arial"/>
                <w:bCs/>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2AEFC45">
            <w:pPr>
              <w:snapToGrid w:val="0"/>
              <w:jc w:val="center"/>
              <w:rPr>
                <w:rFonts w:ascii="宋体" w:hAnsi="宋体" w:cs="Arial"/>
                <w:bCs/>
                <w:color w:val="auto"/>
                <w:sz w:val="24"/>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203CDE8">
            <w:pPr>
              <w:snapToGrid w:val="0"/>
              <w:jc w:val="center"/>
              <w:rPr>
                <w:rFonts w:ascii="宋体" w:hAnsi="宋体" w:cs="Arial"/>
                <w:bCs/>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14:paraId="23FE3DF4">
            <w:pPr>
              <w:snapToGrid w:val="0"/>
              <w:spacing w:before="50" w:after="50"/>
              <w:rPr>
                <w:rFonts w:ascii="宋体" w:hAnsi="宋体"/>
                <w:color w:val="auto"/>
                <w:sz w:val="32"/>
                <w:szCs w:val="21"/>
                <w:highlight w:val="none"/>
              </w:rPr>
            </w:pPr>
          </w:p>
        </w:tc>
        <w:tc>
          <w:tcPr>
            <w:tcW w:w="867" w:type="dxa"/>
            <w:tcBorders>
              <w:top w:val="single" w:color="auto" w:sz="4" w:space="0"/>
              <w:left w:val="single" w:color="auto" w:sz="4" w:space="0"/>
              <w:bottom w:val="single" w:color="auto" w:sz="4" w:space="0"/>
              <w:right w:val="single" w:color="auto" w:sz="4" w:space="0"/>
            </w:tcBorders>
            <w:noWrap w:val="0"/>
            <w:vAlign w:val="top"/>
          </w:tcPr>
          <w:p w14:paraId="747A3024">
            <w:pPr>
              <w:snapToGrid w:val="0"/>
              <w:spacing w:before="50" w:after="50"/>
              <w:rPr>
                <w:rFonts w:ascii="宋体" w:hAnsi="宋体"/>
                <w:color w:val="auto"/>
                <w:sz w:val="32"/>
                <w:szCs w:val="21"/>
                <w:highlight w:val="none"/>
              </w:rPr>
            </w:pPr>
          </w:p>
        </w:tc>
        <w:tc>
          <w:tcPr>
            <w:tcW w:w="1750" w:type="dxa"/>
            <w:tcBorders>
              <w:top w:val="single" w:color="auto" w:sz="4" w:space="0"/>
              <w:left w:val="single" w:color="auto" w:sz="4" w:space="0"/>
              <w:bottom w:val="single" w:color="auto" w:sz="4" w:space="0"/>
              <w:right w:val="single" w:color="auto" w:sz="4" w:space="0"/>
            </w:tcBorders>
            <w:noWrap w:val="0"/>
            <w:vAlign w:val="top"/>
          </w:tcPr>
          <w:p w14:paraId="6191AB9A">
            <w:pPr>
              <w:snapToGrid w:val="0"/>
              <w:spacing w:before="50" w:after="50"/>
              <w:rPr>
                <w:rFonts w:ascii="宋体" w:hAnsi="宋体"/>
                <w:color w:val="auto"/>
                <w:sz w:val="32"/>
                <w:szCs w:val="21"/>
                <w:highlight w:val="none"/>
              </w:rPr>
            </w:pPr>
          </w:p>
        </w:tc>
        <w:tc>
          <w:tcPr>
            <w:tcW w:w="1502" w:type="dxa"/>
            <w:vMerge w:val="restart"/>
            <w:tcBorders>
              <w:top w:val="single" w:color="auto" w:sz="4" w:space="0"/>
              <w:left w:val="single" w:color="auto" w:sz="4" w:space="0"/>
              <w:right w:val="single" w:color="auto" w:sz="4" w:space="0"/>
            </w:tcBorders>
            <w:noWrap w:val="0"/>
            <w:vAlign w:val="top"/>
          </w:tcPr>
          <w:p w14:paraId="6E7A6954">
            <w:pPr>
              <w:snapToGrid w:val="0"/>
              <w:spacing w:before="50" w:after="50"/>
              <w:rPr>
                <w:rFonts w:ascii="宋体" w:hAnsi="宋体"/>
                <w:color w:val="auto"/>
                <w:sz w:val="32"/>
                <w:szCs w:val="21"/>
                <w:highlight w:val="none"/>
              </w:rPr>
            </w:pPr>
          </w:p>
        </w:tc>
      </w:tr>
      <w:tr w14:paraId="79025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817" w:type="dxa"/>
            <w:tcBorders>
              <w:top w:val="single" w:color="auto" w:sz="4" w:space="0"/>
              <w:left w:val="single" w:color="auto" w:sz="4" w:space="0"/>
              <w:right w:val="single" w:color="auto" w:sz="4" w:space="0"/>
            </w:tcBorders>
            <w:noWrap w:val="0"/>
            <w:vAlign w:val="center"/>
          </w:tcPr>
          <w:p w14:paraId="4252F0FE">
            <w:pPr>
              <w:snapToGrid w:val="0"/>
              <w:spacing w:before="50" w:after="50"/>
              <w:jc w:val="center"/>
              <w:rPr>
                <w:rFonts w:hint="eastAsia"/>
                <w:color w:val="auto"/>
                <w:sz w:val="24"/>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4CCEB2F8">
            <w:pPr>
              <w:snapToGrid w:val="0"/>
              <w:jc w:val="center"/>
              <w:rPr>
                <w:rFonts w:hint="eastAsia" w:ascii="宋体" w:hAnsi="宋体" w:cs="Arial"/>
                <w:bCs/>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C35AB5B">
            <w:pPr>
              <w:snapToGrid w:val="0"/>
              <w:jc w:val="center"/>
              <w:rPr>
                <w:rFonts w:ascii="宋体" w:hAnsi="宋体" w:cs="Arial"/>
                <w:bCs/>
                <w:color w:val="auto"/>
                <w:sz w:val="24"/>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8171B1E">
            <w:pPr>
              <w:snapToGrid w:val="0"/>
              <w:jc w:val="center"/>
              <w:rPr>
                <w:rFonts w:ascii="宋体" w:hAnsi="宋体" w:cs="Arial"/>
                <w:bCs/>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14:paraId="4D51F826">
            <w:pPr>
              <w:snapToGrid w:val="0"/>
              <w:spacing w:before="50" w:after="50"/>
              <w:rPr>
                <w:rFonts w:ascii="宋体" w:hAnsi="宋体"/>
                <w:color w:val="auto"/>
                <w:sz w:val="32"/>
                <w:szCs w:val="21"/>
                <w:highlight w:val="none"/>
              </w:rPr>
            </w:pPr>
          </w:p>
        </w:tc>
        <w:tc>
          <w:tcPr>
            <w:tcW w:w="867" w:type="dxa"/>
            <w:tcBorders>
              <w:top w:val="single" w:color="auto" w:sz="4" w:space="0"/>
              <w:left w:val="single" w:color="auto" w:sz="4" w:space="0"/>
              <w:bottom w:val="single" w:color="auto" w:sz="4" w:space="0"/>
              <w:right w:val="single" w:color="auto" w:sz="4" w:space="0"/>
            </w:tcBorders>
            <w:noWrap w:val="0"/>
            <w:vAlign w:val="top"/>
          </w:tcPr>
          <w:p w14:paraId="7B721EC9">
            <w:pPr>
              <w:snapToGrid w:val="0"/>
              <w:spacing w:before="50" w:after="50"/>
              <w:rPr>
                <w:rFonts w:ascii="宋体" w:hAnsi="宋体"/>
                <w:color w:val="auto"/>
                <w:sz w:val="32"/>
                <w:szCs w:val="21"/>
                <w:highlight w:val="none"/>
              </w:rPr>
            </w:pPr>
          </w:p>
        </w:tc>
        <w:tc>
          <w:tcPr>
            <w:tcW w:w="1750" w:type="dxa"/>
            <w:tcBorders>
              <w:top w:val="single" w:color="auto" w:sz="4" w:space="0"/>
              <w:left w:val="single" w:color="auto" w:sz="4" w:space="0"/>
              <w:bottom w:val="single" w:color="auto" w:sz="4" w:space="0"/>
              <w:right w:val="single" w:color="auto" w:sz="4" w:space="0"/>
            </w:tcBorders>
            <w:noWrap w:val="0"/>
            <w:vAlign w:val="top"/>
          </w:tcPr>
          <w:p w14:paraId="2668A631">
            <w:pPr>
              <w:snapToGrid w:val="0"/>
              <w:spacing w:before="50" w:after="50"/>
              <w:rPr>
                <w:rFonts w:ascii="宋体" w:hAnsi="宋体"/>
                <w:b/>
                <w:bCs/>
                <w:color w:val="auto"/>
                <w:sz w:val="32"/>
                <w:szCs w:val="21"/>
                <w:highlight w:val="none"/>
              </w:rPr>
            </w:pPr>
          </w:p>
        </w:tc>
        <w:tc>
          <w:tcPr>
            <w:tcW w:w="1502" w:type="dxa"/>
            <w:vMerge w:val="continue"/>
            <w:tcBorders>
              <w:left w:val="single" w:color="auto" w:sz="4" w:space="0"/>
              <w:right w:val="single" w:color="auto" w:sz="4" w:space="0"/>
            </w:tcBorders>
            <w:noWrap w:val="0"/>
            <w:vAlign w:val="top"/>
          </w:tcPr>
          <w:p w14:paraId="4B9A311C">
            <w:pPr>
              <w:snapToGrid w:val="0"/>
              <w:spacing w:before="50" w:after="50"/>
              <w:rPr>
                <w:rFonts w:ascii="宋体" w:hAnsi="宋体"/>
                <w:color w:val="auto"/>
                <w:sz w:val="32"/>
                <w:szCs w:val="21"/>
                <w:highlight w:val="none"/>
              </w:rPr>
            </w:pPr>
          </w:p>
        </w:tc>
      </w:tr>
      <w:tr w14:paraId="5EED62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817" w:type="dxa"/>
            <w:tcBorders>
              <w:top w:val="single" w:color="auto" w:sz="4" w:space="0"/>
              <w:left w:val="single" w:color="auto" w:sz="4" w:space="0"/>
              <w:right w:val="single" w:color="auto" w:sz="4" w:space="0"/>
            </w:tcBorders>
            <w:noWrap w:val="0"/>
            <w:vAlign w:val="center"/>
          </w:tcPr>
          <w:p w14:paraId="6BF6232D">
            <w:pPr>
              <w:snapToGrid w:val="0"/>
              <w:spacing w:before="50" w:after="50"/>
              <w:jc w:val="center"/>
              <w:rPr>
                <w:rFonts w:hint="eastAsia"/>
                <w:color w:val="auto"/>
                <w:sz w:val="24"/>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4268A85E">
            <w:pPr>
              <w:snapToGrid w:val="0"/>
              <w:jc w:val="center"/>
              <w:rPr>
                <w:rFonts w:hint="eastAsia" w:ascii="宋体" w:hAnsi="宋体" w:cs="Arial"/>
                <w:bCs/>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EBC27AD">
            <w:pPr>
              <w:snapToGrid w:val="0"/>
              <w:jc w:val="center"/>
              <w:rPr>
                <w:rFonts w:ascii="宋体" w:hAnsi="宋体" w:cs="Arial"/>
                <w:bCs/>
                <w:color w:val="auto"/>
                <w:sz w:val="24"/>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C82F88E">
            <w:pPr>
              <w:snapToGrid w:val="0"/>
              <w:jc w:val="center"/>
              <w:rPr>
                <w:rFonts w:ascii="宋体" w:hAnsi="宋体" w:cs="Arial"/>
                <w:bCs/>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14:paraId="35DFC2D5">
            <w:pPr>
              <w:snapToGrid w:val="0"/>
              <w:spacing w:before="50" w:after="50"/>
              <w:rPr>
                <w:rFonts w:ascii="宋体" w:hAnsi="宋体"/>
                <w:color w:val="auto"/>
                <w:sz w:val="32"/>
                <w:szCs w:val="21"/>
                <w:highlight w:val="none"/>
              </w:rPr>
            </w:pPr>
          </w:p>
        </w:tc>
        <w:tc>
          <w:tcPr>
            <w:tcW w:w="867" w:type="dxa"/>
            <w:tcBorders>
              <w:top w:val="single" w:color="auto" w:sz="4" w:space="0"/>
              <w:left w:val="single" w:color="auto" w:sz="4" w:space="0"/>
              <w:bottom w:val="single" w:color="auto" w:sz="4" w:space="0"/>
              <w:right w:val="single" w:color="auto" w:sz="4" w:space="0"/>
            </w:tcBorders>
            <w:noWrap w:val="0"/>
            <w:vAlign w:val="top"/>
          </w:tcPr>
          <w:p w14:paraId="6B4A60A2">
            <w:pPr>
              <w:snapToGrid w:val="0"/>
              <w:spacing w:before="50" w:after="50"/>
              <w:rPr>
                <w:rFonts w:ascii="宋体" w:hAnsi="宋体"/>
                <w:color w:val="auto"/>
                <w:sz w:val="32"/>
                <w:szCs w:val="21"/>
                <w:highlight w:val="none"/>
              </w:rPr>
            </w:pPr>
          </w:p>
        </w:tc>
        <w:tc>
          <w:tcPr>
            <w:tcW w:w="1750" w:type="dxa"/>
            <w:tcBorders>
              <w:top w:val="single" w:color="auto" w:sz="4" w:space="0"/>
              <w:left w:val="single" w:color="auto" w:sz="4" w:space="0"/>
              <w:bottom w:val="single" w:color="auto" w:sz="4" w:space="0"/>
              <w:right w:val="single" w:color="auto" w:sz="4" w:space="0"/>
            </w:tcBorders>
            <w:noWrap w:val="0"/>
            <w:vAlign w:val="top"/>
          </w:tcPr>
          <w:p w14:paraId="7F7328A0">
            <w:pPr>
              <w:snapToGrid w:val="0"/>
              <w:spacing w:before="50" w:after="50"/>
              <w:rPr>
                <w:rFonts w:ascii="宋体" w:hAnsi="宋体"/>
                <w:color w:val="auto"/>
                <w:sz w:val="32"/>
                <w:szCs w:val="21"/>
                <w:highlight w:val="none"/>
              </w:rPr>
            </w:pPr>
          </w:p>
        </w:tc>
        <w:tc>
          <w:tcPr>
            <w:tcW w:w="1502" w:type="dxa"/>
            <w:vMerge w:val="continue"/>
            <w:tcBorders>
              <w:left w:val="single" w:color="auto" w:sz="4" w:space="0"/>
              <w:right w:val="single" w:color="auto" w:sz="4" w:space="0"/>
            </w:tcBorders>
            <w:noWrap w:val="0"/>
            <w:vAlign w:val="top"/>
          </w:tcPr>
          <w:p w14:paraId="1D000976">
            <w:pPr>
              <w:snapToGrid w:val="0"/>
              <w:spacing w:before="50" w:after="50"/>
              <w:rPr>
                <w:rFonts w:ascii="宋体" w:hAnsi="宋体"/>
                <w:color w:val="auto"/>
                <w:sz w:val="32"/>
                <w:szCs w:val="21"/>
                <w:highlight w:val="none"/>
              </w:rPr>
            </w:pPr>
          </w:p>
        </w:tc>
      </w:tr>
      <w:tr w14:paraId="01DAFC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817" w:type="dxa"/>
            <w:tcBorders>
              <w:top w:val="single" w:color="auto" w:sz="4" w:space="0"/>
              <w:left w:val="single" w:color="auto" w:sz="4" w:space="0"/>
              <w:right w:val="single" w:color="auto" w:sz="4" w:space="0"/>
            </w:tcBorders>
            <w:noWrap w:val="0"/>
            <w:vAlign w:val="center"/>
          </w:tcPr>
          <w:p w14:paraId="3AB1C189">
            <w:pPr>
              <w:snapToGrid w:val="0"/>
              <w:spacing w:before="50" w:after="50"/>
              <w:jc w:val="center"/>
              <w:rPr>
                <w:rFonts w:hint="eastAsia"/>
                <w:color w:val="auto"/>
                <w:sz w:val="24"/>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02B3B9C2">
            <w:pPr>
              <w:snapToGrid w:val="0"/>
              <w:jc w:val="center"/>
              <w:rPr>
                <w:rFonts w:hint="eastAsia" w:ascii="宋体" w:hAnsi="宋体" w:cs="Arial"/>
                <w:bCs/>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6805F3D">
            <w:pPr>
              <w:snapToGrid w:val="0"/>
              <w:jc w:val="center"/>
              <w:rPr>
                <w:rFonts w:ascii="宋体" w:hAnsi="宋体" w:cs="Arial"/>
                <w:bCs/>
                <w:color w:val="auto"/>
                <w:sz w:val="24"/>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45A0904">
            <w:pPr>
              <w:snapToGrid w:val="0"/>
              <w:jc w:val="center"/>
              <w:rPr>
                <w:rFonts w:ascii="宋体" w:hAnsi="宋体" w:cs="Arial"/>
                <w:bCs/>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14:paraId="5008705C">
            <w:pPr>
              <w:snapToGrid w:val="0"/>
              <w:spacing w:before="50" w:after="50"/>
              <w:rPr>
                <w:rFonts w:ascii="宋体" w:hAnsi="宋体"/>
                <w:color w:val="auto"/>
                <w:sz w:val="32"/>
                <w:szCs w:val="21"/>
                <w:highlight w:val="none"/>
              </w:rPr>
            </w:pPr>
          </w:p>
        </w:tc>
        <w:tc>
          <w:tcPr>
            <w:tcW w:w="867" w:type="dxa"/>
            <w:tcBorders>
              <w:top w:val="single" w:color="auto" w:sz="4" w:space="0"/>
              <w:left w:val="single" w:color="auto" w:sz="4" w:space="0"/>
              <w:bottom w:val="single" w:color="auto" w:sz="4" w:space="0"/>
              <w:right w:val="single" w:color="auto" w:sz="4" w:space="0"/>
            </w:tcBorders>
            <w:noWrap w:val="0"/>
            <w:vAlign w:val="top"/>
          </w:tcPr>
          <w:p w14:paraId="0EB5D7EA">
            <w:pPr>
              <w:snapToGrid w:val="0"/>
              <w:spacing w:before="50" w:after="50"/>
              <w:rPr>
                <w:rFonts w:ascii="宋体" w:hAnsi="宋体"/>
                <w:color w:val="auto"/>
                <w:sz w:val="32"/>
                <w:szCs w:val="21"/>
                <w:highlight w:val="none"/>
              </w:rPr>
            </w:pPr>
          </w:p>
        </w:tc>
        <w:tc>
          <w:tcPr>
            <w:tcW w:w="1750" w:type="dxa"/>
            <w:tcBorders>
              <w:top w:val="single" w:color="auto" w:sz="4" w:space="0"/>
              <w:left w:val="single" w:color="auto" w:sz="4" w:space="0"/>
              <w:bottom w:val="single" w:color="auto" w:sz="4" w:space="0"/>
              <w:right w:val="single" w:color="auto" w:sz="4" w:space="0"/>
            </w:tcBorders>
            <w:noWrap w:val="0"/>
            <w:vAlign w:val="top"/>
          </w:tcPr>
          <w:p w14:paraId="13E0A687">
            <w:pPr>
              <w:snapToGrid w:val="0"/>
              <w:spacing w:before="50" w:after="50"/>
              <w:rPr>
                <w:rFonts w:ascii="宋体" w:hAnsi="宋体"/>
                <w:color w:val="auto"/>
                <w:sz w:val="32"/>
                <w:szCs w:val="21"/>
                <w:highlight w:val="none"/>
              </w:rPr>
            </w:pPr>
          </w:p>
        </w:tc>
        <w:tc>
          <w:tcPr>
            <w:tcW w:w="1502" w:type="dxa"/>
            <w:vMerge w:val="continue"/>
            <w:tcBorders>
              <w:left w:val="single" w:color="auto" w:sz="4" w:space="0"/>
              <w:right w:val="single" w:color="auto" w:sz="4" w:space="0"/>
            </w:tcBorders>
            <w:noWrap w:val="0"/>
            <w:vAlign w:val="top"/>
          </w:tcPr>
          <w:p w14:paraId="3ED023AF">
            <w:pPr>
              <w:snapToGrid w:val="0"/>
              <w:spacing w:before="50" w:after="50"/>
              <w:rPr>
                <w:rFonts w:ascii="宋体" w:hAnsi="宋体"/>
                <w:color w:val="auto"/>
                <w:sz w:val="32"/>
                <w:szCs w:val="21"/>
                <w:highlight w:val="none"/>
              </w:rPr>
            </w:pPr>
          </w:p>
        </w:tc>
      </w:tr>
      <w:tr w14:paraId="44E3A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817" w:type="dxa"/>
            <w:tcBorders>
              <w:top w:val="single" w:color="auto" w:sz="4" w:space="0"/>
              <w:left w:val="single" w:color="auto" w:sz="4" w:space="0"/>
              <w:right w:val="single" w:color="auto" w:sz="4" w:space="0"/>
            </w:tcBorders>
            <w:noWrap w:val="0"/>
            <w:vAlign w:val="center"/>
          </w:tcPr>
          <w:p w14:paraId="534A537E">
            <w:pPr>
              <w:snapToGrid w:val="0"/>
              <w:spacing w:before="50" w:after="50"/>
              <w:jc w:val="center"/>
              <w:rPr>
                <w:rFonts w:hint="eastAsia"/>
                <w:color w:val="auto"/>
                <w:sz w:val="24"/>
                <w:highlight w:val="none"/>
              </w:rPr>
            </w:pPr>
            <w:r>
              <w:rPr>
                <w:rFonts w:hint="eastAsia"/>
                <w:color w:val="auto"/>
                <w:sz w:val="24"/>
                <w:highlight w:val="none"/>
              </w:rPr>
              <w:t>。。。</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2EF34C7E">
            <w:pPr>
              <w:snapToGrid w:val="0"/>
              <w:jc w:val="center"/>
              <w:rPr>
                <w:rFonts w:hint="eastAsia" w:ascii="宋体" w:hAnsi="宋体" w:cs="Arial"/>
                <w:bCs/>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94D38B6">
            <w:pPr>
              <w:snapToGrid w:val="0"/>
              <w:jc w:val="center"/>
              <w:rPr>
                <w:rFonts w:ascii="宋体" w:hAnsi="宋体" w:cs="Arial"/>
                <w:bCs/>
                <w:color w:val="auto"/>
                <w:sz w:val="24"/>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DC97318">
            <w:pPr>
              <w:snapToGrid w:val="0"/>
              <w:jc w:val="center"/>
              <w:rPr>
                <w:rFonts w:ascii="宋体" w:hAnsi="宋体" w:cs="Arial"/>
                <w:bCs/>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14:paraId="65A3C6AD">
            <w:pPr>
              <w:snapToGrid w:val="0"/>
              <w:spacing w:before="50" w:after="50"/>
              <w:rPr>
                <w:rFonts w:ascii="宋体" w:hAnsi="宋体"/>
                <w:color w:val="auto"/>
                <w:sz w:val="32"/>
                <w:szCs w:val="21"/>
                <w:highlight w:val="none"/>
              </w:rPr>
            </w:pPr>
          </w:p>
        </w:tc>
        <w:tc>
          <w:tcPr>
            <w:tcW w:w="867" w:type="dxa"/>
            <w:tcBorders>
              <w:top w:val="single" w:color="auto" w:sz="4" w:space="0"/>
              <w:left w:val="single" w:color="auto" w:sz="4" w:space="0"/>
              <w:bottom w:val="single" w:color="auto" w:sz="4" w:space="0"/>
              <w:right w:val="single" w:color="auto" w:sz="4" w:space="0"/>
            </w:tcBorders>
            <w:noWrap w:val="0"/>
            <w:vAlign w:val="top"/>
          </w:tcPr>
          <w:p w14:paraId="3FC50581">
            <w:pPr>
              <w:snapToGrid w:val="0"/>
              <w:spacing w:before="50" w:after="50"/>
              <w:rPr>
                <w:rFonts w:ascii="宋体" w:hAnsi="宋体"/>
                <w:color w:val="auto"/>
                <w:sz w:val="32"/>
                <w:szCs w:val="21"/>
                <w:highlight w:val="none"/>
              </w:rPr>
            </w:pPr>
          </w:p>
        </w:tc>
        <w:tc>
          <w:tcPr>
            <w:tcW w:w="1750" w:type="dxa"/>
            <w:tcBorders>
              <w:top w:val="single" w:color="auto" w:sz="4" w:space="0"/>
              <w:left w:val="single" w:color="auto" w:sz="4" w:space="0"/>
              <w:bottom w:val="single" w:color="auto" w:sz="4" w:space="0"/>
              <w:right w:val="single" w:color="auto" w:sz="4" w:space="0"/>
            </w:tcBorders>
            <w:noWrap w:val="0"/>
            <w:vAlign w:val="top"/>
          </w:tcPr>
          <w:p w14:paraId="494D1F09">
            <w:pPr>
              <w:snapToGrid w:val="0"/>
              <w:spacing w:before="50" w:after="50"/>
              <w:rPr>
                <w:rFonts w:ascii="宋体" w:hAnsi="宋体"/>
                <w:color w:val="auto"/>
                <w:sz w:val="32"/>
                <w:szCs w:val="21"/>
                <w:highlight w:val="none"/>
              </w:rPr>
            </w:pPr>
          </w:p>
        </w:tc>
        <w:tc>
          <w:tcPr>
            <w:tcW w:w="1502" w:type="dxa"/>
            <w:vMerge w:val="continue"/>
            <w:tcBorders>
              <w:left w:val="single" w:color="auto" w:sz="4" w:space="0"/>
              <w:right w:val="single" w:color="auto" w:sz="4" w:space="0"/>
            </w:tcBorders>
            <w:noWrap w:val="0"/>
            <w:vAlign w:val="top"/>
          </w:tcPr>
          <w:p w14:paraId="5E65DF76">
            <w:pPr>
              <w:snapToGrid w:val="0"/>
              <w:spacing w:before="50" w:after="50"/>
              <w:rPr>
                <w:rFonts w:ascii="宋体" w:hAnsi="宋体"/>
                <w:color w:val="auto"/>
                <w:sz w:val="32"/>
                <w:szCs w:val="21"/>
                <w:highlight w:val="none"/>
              </w:rPr>
            </w:pPr>
          </w:p>
        </w:tc>
      </w:tr>
      <w:tr w14:paraId="25E13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9944" w:type="dxa"/>
            <w:gridSpan w:val="8"/>
            <w:tcBorders>
              <w:top w:val="single" w:color="auto" w:sz="4" w:space="0"/>
              <w:left w:val="single" w:color="auto" w:sz="4" w:space="0"/>
              <w:bottom w:val="single" w:color="auto" w:sz="4" w:space="0"/>
              <w:right w:val="single" w:color="auto" w:sz="4" w:space="0"/>
            </w:tcBorders>
            <w:noWrap w:val="0"/>
            <w:vAlign w:val="center"/>
          </w:tcPr>
          <w:p w14:paraId="0AF0DE5D">
            <w:pPr>
              <w:snapToGrid w:val="0"/>
              <w:spacing w:before="50" w:after="50"/>
              <w:jc w:val="left"/>
              <w:rPr>
                <w:rFonts w:hint="eastAsia" w:ascii="宋体" w:hAnsi="宋体"/>
                <w:color w:val="auto"/>
                <w:sz w:val="24"/>
                <w:highlight w:val="none"/>
              </w:rPr>
            </w:pPr>
            <w:r>
              <w:rPr>
                <w:rFonts w:hint="eastAsia" w:ascii="宋体" w:hAnsi="宋体"/>
                <w:color w:val="auto"/>
                <w:sz w:val="24"/>
                <w:highlight w:val="none"/>
              </w:rPr>
              <w:t>投标报价大写（人民币）：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小写：</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tc>
      </w:tr>
    </w:tbl>
    <w:p w14:paraId="488907F8">
      <w:pPr>
        <w:spacing w:line="360" w:lineRule="auto"/>
        <w:rPr>
          <w:rFonts w:hint="eastAsia" w:ascii="宋体" w:hAnsi="宋体"/>
          <w:sz w:val="24"/>
        </w:rPr>
      </w:pPr>
      <w:r>
        <w:rPr>
          <w:rFonts w:hint="eastAsia" w:ascii="宋体" w:hAnsi="宋体" w:cs="宋体"/>
          <w:sz w:val="24"/>
        </w:rPr>
        <w:t>注：</w:t>
      </w:r>
      <w:r>
        <w:rPr>
          <w:rFonts w:hint="eastAsia" w:ascii="宋体" w:hAnsi="宋体"/>
          <w:sz w:val="24"/>
        </w:rPr>
        <w:t>1、投标报价必须填写，否则其投标作无效标处理。</w:t>
      </w:r>
    </w:p>
    <w:p w14:paraId="043414B6">
      <w:pPr>
        <w:spacing w:line="360" w:lineRule="auto"/>
        <w:ind w:firstLine="480" w:firstLineChars="200"/>
        <w:jc w:val="left"/>
        <w:rPr>
          <w:rFonts w:hint="eastAsia" w:ascii="宋体" w:hAnsi="宋体" w:cs="宋体"/>
          <w:sz w:val="24"/>
        </w:rPr>
      </w:pPr>
      <w:r>
        <w:rPr>
          <w:rFonts w:hint="eastAsia" w:ascii="宋体" w:hAnsi="宋体" w:cs="宋体"/>
          <w:sz w:val="24"/>
        </w:rPr>
        <w:t>2、投标报价一经涂改，应在涂改处加盖单位公章或者由法定代表人或授权委托人签字或盖章，否则其投标作无效标处理</w:t>
      </w:r>
      <w:r>
        <w:rPr>
          <w:rFonts w:hint="eastAsia" w:ascii="宋体" w:hAnsi="宋体" w:cs="宋体"/>
          <w:bCs/>
          <w:sz w:val="24"/>
        </w:rPr>
        <w:t>。</w:t>
      </w:r>
    </w:p>
    <w:p w14:paraId="346AAA5B">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cs="宋体"/>
          <w:sz w:val="24"/>
        </w:rPr>
        <w:t>3、投标</w:t>
      </w:r>
      <w:r>
        <w:rPr>
          <w:rFonts w:hint="eastAsia" w:ascii="宋体" w:hAnsi="宋体" w:cs="宋体"/>
          <w:sz w:val="24"/>
          <w:lang w:val="en-US" w:eastAsia="zh-CN"/>
        </w:rPr>
        <w:t>报价</w:t>
      </w:r>
      <w:r>
        <w:rPr>
          <w:rFonts w:hint="eastAsia" w:ascii="宋体" w:hAnsi="宋体" w:cs="宋体"/>
          <w:sz w:val="24"/>
        </w:rPr>
        <w:t>是履行合同的最终价格，投标</w:t>
      </w:r>
      <w:r>
        <w:rPr>
          <w:rFonts w:hint="eastAsia" w:ascii="宋体" w:hAnsi="宋体" w:cs="宋体"/>
          <w:sz w:val="24"/>
          <w:lang w:val="en-US" w:eastAsia="zh-CN"/>
        </w:rPr>
        <w:t>报价</w:t>
      </w:r>
      <w:r>
        <w:rPr>
          <w:rFonts w:hint="eastAsia" w:ascii="宋体" w:hAnsi="宋体" w:eastAsia="宋体" w:cs="宋体"/>
          <w:color w:val="auto"/>
          <w:sz w:val="24"/>
          <w:highlight w:val="none"/>
        </w:rPr>
        <w:t>包括货款、标准附件、包装、运输、装卸、到货验收、保管、安装、调试、检验、验收、交付使用、保修期内的售后服务等有关本项目的一切费用及税金。投标人所投报的投标报价为投标人所能承受的整个项目的一次性最终最低报价，如有漏项，视同已包含在</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rPr>
        <w:t>项目中，合同</w:t>
      </w:r>
      <w:r>
        <w:rPr>
          <w:rFonts w:hint="eastAsia" w:ascii="宋体" w:hAnsi="宋体" w:cs="宋体"/>
          <w:color w:val="auto"/>
          <w:sz w:val="24"/>
          <w:highlight w:val="none"/>
          <w:lang w:val="en-US" w:eastAsia="zh-CN"/>
        </w:rPr>
        <w:t>单价和</w:t>
      </w:r>
      <w:r>
        <w:rPr>
          <w:rFonts w:hint="eastAsia" w:ascii="宋体" w:hAnsi="宋体" w:eastAsia="宋体" w:cs="宋体"/>
          <w:color w:val="auto"/>
          <w:sz w:val="24"/>
          <w:highlight w:val="none"/>
        </w:rPr>
        <w:t>总价不作调整。</w:t>
      </w:r>
    </w:p>
    <w:p w14:paraId="6128D7DA">
      <w:pPr>
        <w:pStyle w:val="15"/>
        <w:spacing w:line="360" w:lineRule="auto"/>
        <w:ind w:firstLineChars="200"/>
        <w:rPr>
          <w:rFonts w:hint="eastAsia" w:ascii="宋体" w:hAnsi="宋体" w:cs="宋体"/>
          <w:sz w:val="24"/>
          <w:szCs w:val="24"/>
        </w:rPr>
      </w:pPr>
      <w:r>
        <w:rPr>
          <w:rFonts w:hint="eastAsia" w:ascii="宋体" w:cs="宋体"/>
          <w:lang w:val="en-US" w:eastAsia="zh-CN"/>
        </w:rPr>
        <w:t>4</w:t>
      </w:r>
      <w:r>
        <w:rPr>
          <w:rFonts w:hint="eastAsia" w:ascii="宋体" w:cs="宋体"/>
        </w:rPr>
        <w:t>、</w:t>
      </w:r>
      <w:r>
        <w:rPr>
          <w:rFonts w:hint="eastAsia" w:ascii="宋体" w:hAnsi="宋体" w:cs="宋体"/>
          <w:sz w:val="24"/>
          <w:szCs w:val="24"/>
        </w:rPr>
        <w:t>本表格式不允许修改，否则作无效标处理。</w:t>
      </w:r>
    </w:p>
    <w:p w14:paraId="27111BF7">
      <w:pPr>
        <w:spacing w:line="360" w:lineRule="auto"/>
        <w:rPr>
          <w:rFonts w:hint="eastAsia" w:ascii="宋体" w:hAnsi="宋体" w:cs="宋体"/>
          <w:sz w:val="24"/>
        </w:rPr>
      </w:pPr>
    </w:p>
    <w:p w14:paraId="2E562573">
      <w:pPr>
        <w:spacing w:line="360" w:lineRule="auto"/>
        <w:rPr>
          <w:rFonts w:hint="eastAsia" w:ascii="宋体" w:hAnsi="宋体" w:cs="宋体"/>
          <w:sz w:val="24"/>
        </w:rPr>
      </w:pPr>
      <w:r>
        <w:rPr>
          <w:rFonts w:hint="eastAsia" w:ascii="宋体" w:hAnsi="宋体" w:cs="宋体"/>
          <w:sz w:val="24"/>
        </w:rPr>
        <w:t>法定代表人或委托代理人（签字或盖章）：</w:t>
      </w:r>
    </w:p>
    <w:p w14:paraId="454F603D">
      <w:pPr>
        <w:spacing w:line="360" w:lineRule="auto"/>
        <w:rPr>
          <w:rFonts w:hint="eastAsia" w:ascii="宋体" w:hAnsi="宋体" w:cs="宋体"/>
          <w:sz w:val="24"/>
        </w:rPr>
      </w:pPr>
      <w:r>
        <w:rPr>
          <w:rFonts w:hint="eastAsia" w:ascii="宋体" w:hAnsi="宋体" w:cs="宋体"/>
          <w:sz w:val="24"/>
        </w:rPr>
        <w:t xml:space="preserve">投标人名称（盖章）：                             </w:t>
      </w:r>
    </w:p>
    <w:p w14:paraId="49EDEEDA">
      <w:pPr>
        <w:spacing w:line="360" w:lineRule="auto"/>
        <w:rPr>
          <w:rFonts w:hint="eastAsia" w:ascii="宋体" w:hAnsi="宋体" w:cs="宋体"/>
          <w:sz w:val="24"/>
        </w:rPr>
      </w:pPr>
      <w:r>
        <w:rPr>
          <w:rFonts w:hint="eastAsia" w:ascii="宋体" w:hAnsi="宋体" w:cs="宋体"/>
          <w:sz w:val="24"/>
        </w:rPr>
        <w:t xml:space="preserve">                                               </w:t>
      </w:r>
    </w:p>
    <w:p w14:paraId="17B8AC58">
      <w:pPr>
        <w:spacing w:line="360" w:lineRule="auto"/>
        <w:rPr>
          <w:rFonts w:hint="eastAsia" w:ascii="宋体" w:hAnsi="宋体" w:cs="宋体"/>
          <w:sz w:val="24"/>
        </w:rPr>
      </w:pPr>
    </w:p>
    <w:p w14:paraId="0D27921A">
      <w:pPr>
        <w:spacing w:line="360" w:lineRule="auto"/>
        <w:rPr>
          <w:rFonts w:hint="eastAsia" w:ascii="宋体" w:hAnsi="宋体" w:cs="宋体"/>
          <w:sz w:val="24"/>
        </w:rPr>
      </w:pPr>
      <w:r>
        <w:rPr>
          <w:rFonts w:hint="eastAsia" w:ascii="宋体" w:hAnsi="宋体" w:cs="宋体"/>
          <w:sz w:val="24"/>
        </w:rPr>
        <w:t xml:space="preserve">   </w:t>
      </w:r>
    </w:p>
    <w:p w14:paraId="1F0E0D62">
      <w:pPr>
        <w:spacing w:line="360" w:lineRule="auto"/>
        <w:jc w:val="right"/>
        <w:rPr>
          <w:rFonts w:hint="eastAsia" w:ascii="宋体" w:hAnsi="宋体" w:cs="宋体"/>
          <w:sz w:val="24"/>
        </w:rPr>
      </w:pPr>
      <w:r>
        <w:rPr>
          <w:rFonts w:hint="eastAsia" w:ascii="宋体" w:hAnsi="宋体" w:cs="宋体"/>
          <w:sz w:val="24"/>
        </w:rPr>
        <w:t xml:space="preserve">  日期：    年   月   日</w:t>
      </w:r>
    </w:p>
    <w:p w14:paraId="4A04DCB7">
      <w:pPr>
        <w:pStyle w:val="2"/>
        <w:keepNext w:val="0"/>
        <w:keepLines w:val="0"/>
        <w:pageBreakBefore/>
        <w:spacing w:line="415" w:lineRule="auto"/>
        <w:rPr>
          <w:rFonts w:hint="eastAsia" w:ascii="宋体" w:hAnsi="宋体"/>
          <w:b w:val="0"/>
          <w:bCs w:val="0"/>
          <w:sz w:val="24"/>
        </w:rPr>
      </w:pPr>
      <w:bookmarkStart w:id="116" w:name="_Toc32000"/>
      <w:bookmarkStart w:id="117" w:name="_Toc28977"/>
      <w:r>
        <w:rPr>
          <w:rFonts w:hint="eastAsia" w:ascii="宋体" w:hAnsi="宋体"/>
          <w:b w:val="0"/>
          <w:bCs w:val="0"/>
          <w:sz w:val="24"/>
        </w:rPr>
        <w:t>附件</w:t>
      </w:r>
      <w:r>
        <w:rPr>
          <w:rFonts w:ascii="宋体" w:hAnsi="宋体"/>
          <w:b w:val="0"/>
          <w:bCs w:val="0"/>
          <w:sz w:val="24"/>
        </w:rPr>
        <w:t>十</w:t>
      </w:r>
      <w:r>
        <w:rPr>
          <w:rFonts w:hint="eastAsia" w:ascii="宋体" w:hAnsi="宋体"/>
          <w:b w:val="0"/>
          <w:bCs w:val="0"/>
          <w:sz w:val="24"/>
          <w:lang w:val="en-US" w:eastAsia="zh-CN"/>
        </w:rPr>
        <w:t>三</w:t>
      </w:r>
      <w:r>
        <w:rPr>
          <w:rFonts w:hint="eastAsia" w:ascii="宋体" w:hAnsi="宋体"/>
          <w:b w:val="0"/>
          <w:bCs w:val="0"/>
          <w:sz w:val="24"/>
        </w:rPr>
        <w:t>：</w:t>
      </w:r>
      <w:bookmarkEnd w:id="114"/>
      <w:bookmarkEnd w:id="115"/>
      <w:r>
        <w:rPr>
          <w:rFonts w:hint="eastAsia" w:ascii="宋体" w:hAnsi="宋体"/>
          <w:b w:val="0"/>
          <w:bCs w:val="0"/>
          <w:sz w:val="24"/>
        </w:rPr>
        <w:t>残疾人福利性单位声明函</w:t>
      </w:r>
      <w:bookmarkEnd w:id="116"/>
      <w:bookmarkEnd w:id="117"/>
    </w:p>
    <w:p w14:paraId="4EE4C39D">
      <w:pPr>
        <w:spacing w:line="360" w:lineRule="auto"/>
        <w:jc w:val="center"/>
        <w:rPr>
          <w:rFonts w:hint="eastAsia"/>
          <w:b/>
          <w:sz w:val="36"/>
        </w:rPr>
      </w:pPr>
      <w:r>
        <w:rPr>
          <w:rFonts w:hint="eastAsia"/>
          <w:b/>
          <w:sz w:val="36"/>
        </w:rPr>
        <w:t>残疾人福利性单位声明函</w:t>
      </w:r>
    </w:p>
    <w:p w14:paraId="2098C605">
      <w:pPr>
        <w:ind w:firstLine="560" w:firstLineChars="200"/>
        <w:rPr>
          <w:rFonts w:hint="eastAsia"/>
          <w:sz w:val="28"/>
        </w:rPr>
      </w:pPr>
      <w:r>
        <w:rPr>
          <w:rFonts w:hint="eastAsia"/>
          <w:sz w:val="28"/>
        </w:rPr>
        <w:t>本单位郑重声明，参照《财政部 民政部 中国残疾人联合会关于促进残疾人就业政府采购政策的通知》（财库【2017】141号）的规定，本单位为符合条件的残疾人福利性单位，且本单位参加</w:t>
      </w:r>
      <w:r>
        <w:rPr>
          <w:rFonts w:hint="eastAsia"/>
          <w:sz w:val="28"/>
          <w:u w:val="single"/>
        </w:rPr>
        <w:t xml:space="preserve">               </w:t>
      </w:r>
      <w:r>
        <w:rPr>
          <w:rFonts w:hint="eastAsia"/>
          <w:sz w:val="28"/>
        </w:rPr>
        <w:t>单位的</w:t>
      </w:r>
      <w:r>
        <w:rPr>
          <w:rFonts w:hint="eastAsia"/>
          <w:sz w:val="28"/>
          <w:u w:val="single"/>
        </w:rPr>
        <w:t xml:space="preserve">        </w:t>
      </w:r>
      <w:r>
        <w:rPr>
          <w:rFonts w:hint="eastAsia"/>
          <w:sz w:val="28"/>
        </w:rPr>
        <w:t>项目采购活动提供本单位制造的货物（由本单位承担工程/服务），或者提供其他残疾人福利性单位制造的货物（不包括使用非残疾人福利性单位注册商标的货物）。</w:t>
      </w:r>
    </w:p>
    <w:p w14:paraId="2691A4E0">
      <w:pPr>
        <w:rPr>
          <w:rFonts w:hint="eastAsia"/>
          <w:sz w:val="28"/>
        </w:rPr>
      </w:pPr>
      <w:r>
        <w:rPr>
          <w:rFonts w:hint="eastAsia"/>
          <w:sz w:val="28"/>
        </w:rPr>
        <w:t>本单位对上述声明的真实性负责。如有虚假，将依法承担相应责任。</w:t>
      </w:r>
    </w:p>
    <w:p w14:paraId="2E7C9B00">
      <w:pPr>
        <w:rPr>
          <w:rFonts w:hint="eastAsia"/>
          <w:sz w:val="28"/>
        </w:rPr>
      </w:pPr>
    </w:p>
    <w:p w14:paraId="30F2544E">
      <w:pPr>
        <w:rPr>
          <w:rFonts w:hint="eastAsia"/>
          <w:sz w:val="28"/>
        </w:rPr>
      </w:pPr>
      <w:r>
        <w:rPr>
          <w:rFonts w:hint="eastAsia"/>
          <w:sz w:val="28"/>
        </w:rPr>
        <w:t>单位名称（盖章）:</w:t>
      </w:r>
    </w:p>
    <w:p w14:paraId="4553739C">
      <w:pPr>
        <w:rPr>
          <w:sz w:val="28"/>
        </w:rPr>
      </w:pPr>
      <w:r>
        <w:rPr>
          <w:rFonts w:hint="eastAsia"/>
          <w:sz w:val="28"/>
        </w:rPr>
        <w:t>日期：</w:t>
      </w:r>
      <w:r>
        <w:rPr>
          <w:sz w:val="28"/>
        </w:rPr>
        <w:t xml:space="preserve">   </w:t>
      </w:r>
    </w:p>
    <w:p w14:paraId="336E2B2B">
      <w:pPr>
        <w:rPr>
          <w:sz w:val="28"/>
        </w:rPr>
      </w:pPr>
    </w:p>
    <w:p w14:paraId="5CC79016">
      <w:pPr>
        <w:rPr>
          <w:rFonts w:hint="eastAsia" w:ascii="宋体" w:hAnsi="宋体"/>
          <w:b/>
          <w:sz w:val="30"/>
          <w:szCs w:val="30"/>
        </w:rPr>
      </w:pPr>
      <w:r>
        <w:rPr>
          <w:sz w:val="28"/>
        </w:rPr>
        <w:t xml:space="preserve">    </w:t>
      </w:r>
    </w:p>
    <w:p w14:paraId="526BAB0C">
      <w:pPr>
        <w:numPr>
          <w:ilvl w:val="0"/>
          <w:numId w:val="19"/>
        </w:numPr>
        <w:tabs>
          <w:tab w:val="left" w:pos="420"/>
          <w:tab w:val="clear" w:pos="1244"/>
        </w:tabs>
        <w:spacing w:before="100" w:beforeAutospacing="1" w:after="100" w:afterAutospacing="1" w:line="432" w:lineRule="auto"/>
        <w:ind w:hanging="1244"/>
        <w:rPr>
          <w:rFonts w:hint="eastAsia" w:ascii="宋体" w:hAnsi="宋体"/>
          <w:b/>
          <w:szCs w:val="21"/>
        </w:rPr>
      </w:pPr>
      <w:r>
        <w:rPr>
          <w:rFonts w:hint="eastAsia" w:ascii="宋体" w:hAnsi="宋体"/>
          <w:b/>
          <w:szCs w:val="21"/>
        </w:rPr>
        <w:t>残疾人福利性单位视同小型、微型企业，享受价格扣除。</w:t>
      </w:r>
    </w:p>
    <w:p w14:paraId="7D0D0B1D">
      <w:pPr>
        <w:numPr>
          <w:ilvl w:val="0"/>
          <w:numId w:val="19"/>
        </w:numPr>
        <w:tabs>
          <w:tab w:val="left" w:pos="420"/>
          <w:tab w:val="clear" w:pos="1244"/>
        </w:tabs>
        <w:spacing w:before="100" w:beforeAutospacing="1" w:after="100" w:afterAutospacing="1" w:line="432" w:lineRule="auto"/>
        <w:ind w:hanging="1244"/>
        <w:rPr>
          <w:rFonts w:hint="eastAsia" w:ascii="宋体" w:hAnsi="宋体"/>
          <w:b/>
          <w:szCs w:val="21"/>
        </w:rPr>
      </w:pPr>
      <w:r>
        <w:rPr>
          <w:rFonts w:hint="eastAsia" w:ascii="宋体" w:hAnsi="宋体"/>
          <w:b/>
          <w:szCs w:val="21"/>
        </w:rPr>
        <w:t>残疾人福利性单位属于小型、微型企业的，不重复享受价格扣除。</w:t>
      </w:r>
    </w:p>
    <w:p w14:paraId="2C8D8A9F">
      <w:pPr>
        <w:rPr>
          <w:rFonts w:hint="eastAsia" w:ascii="宋体" w:hAnsi="宋体"/>
          <w:bCs/>
          <w:sz w:val="24"/>
        </w:rPr>
      </w:pPr>
      <w:bookmarkStart w:id="118" w:name="_Toc504549905"/>
      <w:bookmarkStart w:id="119" w:name="_Toc497918235"/>
    </w:p>
    <w:p w14:paraId="5BA2D13C">
      <w:pPr>
        <w:rPr>
          <w:rFonts w:hint="eastAsia" w:ascii="宋体" w:hAnsi="宋体"/>
          <w:bCs/>
          <w:sz w:val="24"/>
        </w:rPr>
      </w:pPr>
    </w:p>
    <w:p w14:paraId="3EDD7140">
      <w:pPr>
        <w:rPr>
          <w:rFonts w:hint="eastAsia" w:ascii="宋体" w:hAnsi="宋体"/>
          <w:bCs/>
          <w:sz w:val="24"/>
        </w:rPr>
      </w:pPr>
    </w:p>
    <w:p w14:paraId="70E25301">
      <w:pPr>
        <w:rPr>
          <w:rFonts w:hint="eastAsia" w:ascii="宋体" w:hAnsi="宋体"/>
          <w:bCs/>
          <w:sz w:val="24"/>
        </w:rPr>
      </w:pPr>
    </w:p>
    <w:p w14:paraId="15E599B1">
      <w:pPr>
        <w:rPr>
          <w:rFonts w:hint="eastAsia" w:ascii="宋体" w:hAnsi="宋体"/>
          <w:bCs/>
          <w:sz w:val="24"/>
        </w:rPr>
      </w:pPr>
    </w:p>
    <w:p w14:paraId="7B390646">
      <w:pPr>
        <w:rPr>
          <w:rFonts w:hint="eastAsia" w:ascii="宋体" w:hAnsi="宋体"/>
          <w:bCs/>
          <w:sz w:val="24"/>
        </w:rPr>
      </w:pPr>
    </w:p>
    <w:bookmarkEnd w:id="118"/>
    <w:bookmarkEnd w:id="119"/>
    <w:p w14:paraId="31AD81D1">
      <w:pPr>
        <w:pageBreakBefore/>
        <w:spacing w:before="260" w:after="260" w:line="415" w:lineRule="auto"/>
        <w:outlineLvl w:val="1"/>
        <w:rPr>
          <w:rFonts w:hint="eastAsia" w:ascii="宋体" w:hAnsi="宋体" w:cs="宋体"/>
          <w:bCs/>
          <w:sz w:val="24"/>
          <w:szCs w:val="32"/>
        </w:rPr>
      </w:pPr>
      <w:bookmarkStart w:id="120" w:name="_Toc496599000"/>
      <w:bookmarkStart w:id="121" w:name="_Toc7683"/>
      <w:bookmarkStart w:id="122" w:name="_Toc10336"/>
      <w:bookmarkStart w:id="123" w:name="_Toc23809"/>
      <w:bookmarkStart w:id="124" w:name="_Toc504549906"/>
      <w:bookmarkStart w:id="125" w:name="_Toc491242413"/>
      <w:r>
        <w:rPr>
          <w:rFonts w:hint="eastAsia" w:ascii="宋体" w:hAnsi="宋体" w:cs="宋体"/>
          <w:bCs/>
          <w:sz w:val="24"/>
          <w:szCs w:val="32"/>
        </w:rPr>
        <w:t>附件十</w:t>
      </w:r>
      <w:r>
        <w:rPr>
          <w:rFonts w:hint="eastAsia" w:ascii="宋体" w:hAnsi="宋体" w:cs="宋体"/>
          <w:bCs/>
          <w:sz w:val="24"/>
          <w:szCs w:val="32"/>
          <w:lang w:val="en-US" w:eastAsia="zh-CN"/>
        </w:rPr>
        <w:t>四</w:t>
      </w:r>
      <w:r>
        <w:rPr>
          <w:rFonts w:hint="eastAsia" w:ascii="宋体" w:hAnsi="宋体" w:cs="宋体"/>
          <w:bCs/>
          <w:sz w:val="24"/>
          <w:szCs w:val="32"/>
        </w:rPr>
        <w:t>：</w:t>
      </w:r>
      <w:bookmarkEnd w:id="120"/>
      <w:r>
        <w:rPr>
          <w:rFonts w:hint="eastAsia" w:ascii="宋体" w:hAnsi="宋体" w:cs="宋体"/>
          <w:bCs/>
          <w:sz w:val="24"/>
          <w:szCs w:val="32"/>
        </w:rPr>
        <w:t>中小企业声明函（货物）</w:t>
      </w:r>
      <w:bookmarkEnd w:id="121"/>
      <w:bookmarkEnd w:id="122"/>
      <w:bookmarkEnd w:id="123"/>
    </w:p>
    <w:p w14:paraId="2E16452E">
      <w:pPr>
        <w:jc w:val="center"/>
        <w:rPr>
          <w:rFonts w:hint="eastAsia" w:ascii="宋体" w:hAnsi="宋体" w:cs="宋体"/>
          <w:b/>
          <w:bCs/>
          <w:sz w:val="44"/>
          <w:szCs w:val="44"/>
        </w:rPr>
      </w:pPr>
      <w:r>
        <w:rPr>
          <w:rFonts w:hint="eastAsia" w:ascii="宋体" w:hAnsi="宋体" w:cs="宋体"/>
          <w:b/>
          <w:bCs/>
          <w:sz w:val="44"/>
          <w:szCs w:val="44"/>
        </w:rPr>
        <w:t>中小企业声明函（货物）</w:t>
      </w:r>
    </w:p>
    <w:p w14:paraId="5FB32627">
      <w:pPr>
        <w:jc w:val="center"/>
        <w:rPr>
          <w:rFonts w:hint="eastAsia" w:ascii="宋体" w:hAnsi="宋体" w:cs="宋体"/>
          <w:sz w:val="30"/>
          <w:szCs w:val="30"/>
        </w:rPr>
      </w:pPr>
    </w:p>
    <w:p w14:paraId="4860835E">
      <w:pPr>
        <w:spacing w:line="360" w:lineRule="auto"/>
        <w:ind w:firstLine="480" w:firstLineChars="200"/>
        <w:rPr>
          <w:rFonts w:hint="eastAsia" w:ascii="宋体" w:hAnsi="宋体" w:cs="宋体"/>
          <w:sz w:val="24"/>
          <w:szCs w:val="32"/>
        </w:rPr>
      </w:pPr>
      <w:r>
        <w:rPr>
          <w:rFonts w:hint="eastAsia" w:ascii="宋体" w:hAnsi="宋体" w:cs="宋体"/>
          <w:sz w:val="24"/>
          <w:szCs w:val="32"/>
        </w:rPr>
        <w:t>本公司（联合体）郑重声明，根据《政府采购促进中小企业发展管理办法》（财库﹝2020﹞46 号）的规定，本公司（联合体）参加</w:t>
      </w:r>
      <w:r>
        <w:rPr>
          <w:rFonts w:hint="eastAsia" w:ascii="宋体" w:hAnsi="宋体" w:cs="宋体"/>
          <w:sz w:val="24"/>
          <w:szCs w:val="32"/>
          <w:u w:val="single"/>
        </w:rPr>
        <w:t xml:space="preserve">  （单位名称）  </w:t>
      </w:r>
      <w:r>
        <w:rPr>
          <w:rFonts w:hint="eastAsia" w:ascii="宋体" w:hAnsi="宋体" w:cs="宋体"/>
          <w:sz w:val="24"/>
          <w:szCs w:val="32"/>
        </w:rPr>
        <w:t>的</w:t>
      </w:r>
      <w:r>
        <w:rPr>
          <w:rFonts w:hint="eastAsia" w:ascii="宋体" w:hAnsi="宋体" w:cs="宋体"/>
          <w:sz w:val="24"/>
          <w:szCs w:val="32"/>
          <w:u w:val="single"/>
        </w:rPr>
        <w:t xml:space="preserve">  （项目名称）  </w:t>
      </w:r>
      <w:r>
        <w:rPr>
          <w:rFonts w:hint="eastAsia" w:ascii="宋体" w:hAnsi="宋体" w:cs="宋体"/>
          <w:sz w:val="24"/>
          <w:szCs w:val="32"/>
        </w:rPr>
        <w:t>采购活动，提供的货物全部由符合政策要求的中小企业制造。相关企业（含联合体中的中小企业、签订分包意向协议的中小企业）的具体情况如下：</w:t>
      </w:r>
    </w:p>
    <w:p w14:paraId="3C976417">
      <w:pPr>
        <w:spacing w:line="360" w:lineRule="auto"/>
        <w:ind w:firstLine="480" w:firstLineChars="200"/>
        <w:rPr>
          <w:rFonts w:hint="eastAsia" w:ascii="宋体" w:hAnsi="宋体" w:cs="宋体"/>
          <w:sz w:val="24"/>
          <w:szCs w:val="32"/>
        </w:rPr>
      </w:pPr>
      <w:r>
        <w:rPr>
          <w:rFonts w:hint="eastAsia" w:ascii="宋体" w:hAnsi="宋体" w:cs="宋体"/>
          <w:sz w:val="24"/>
          <w:szCs w:val="32"/>
        </w:rPr>
        <w:t>1、</w:t>
      </w:r>
      <w:r>
        <w:rPr>
          <w:rFonts w:hint="eastAsia" w:ascii="宋体" w:hAnsi="宋体" w:cs="宋体"/>
          <w:sz w:val="24"/>
          <w:szCs w:val="32"/>
          <w:u w:val="single"/>
        </w:rPr>
        <w:t xml:space="preserve">  </w:t>
      </w:r>
      <w:r>
        <w:rPr>
          <w:rFonts w:hint="eastAsia" w:ascii="宋体" w:hAnsi="宋体" w:cs="宋体"/>
          <w:b/>
          <w:bCs/>
          <w:sz w:val="24"/>
          <w:szCs w:val="32"/>
          <w:u w:val="single"/>
        </w:rPr>
        <w:t>（标的名称）</w:t>
      </w:r>
      <w:r>
        <w:rPr>
          <w:rFonts w:hint="eastAsia" w:ascii="宋体" w:hAnsi="宋体" w:cs="宋体"/>
          <w:sz w:val="24"/>
          <w:szCs w:val="32"/>
          <w:u w:val="single"/>
        </w:rPr>
        <w:t xml:space="preserve">  </w:t>
      </w:r>
      <w:r>
        <w:rPr>
          <w:rFonts w:hint="eastAsia" w:ascii="宋体" w:hAnsi="宋体" w:cs="宋体"/>
          <w:sz w:val="24"/>
          <w:szCs w:val="32"/>
        </w:rPr>
        <w:t>，属于</w:t>
      </w:r>
      <w:r>
        <w:rPr>
          <w:rFonts w:hint="eastAsia" w:ascii="宋体" w:hAnsi="宋体" w:cs="宋体"/>
          <w:sz w:val="24"/>
          <w:szCs w:val="32"/>
          <w:u w:val="single"/>
        </w:rPr>
        <w:t xml:space="preserve">             </w:t>
      </w:r>
      <w:r>
        <w:rPr>
          <w:rFonts w:hint="eastAsia" w:ascii="宋体" w:hAnsi="宋体" w:cs="宋体"/>
          <w:sz w:val="24"/>
          <w:szCs w:val="32"/>
        </w:rPr>
        <w:t>行业；制造商为</w:t>
      </w:r>
      <w:r>
        <w:rPr>
          <w:rFonts w:hint="eastAsia" w:ascii="宋体" w:hAnsi="宋体" w:cs="宋体"/>
          <w:sz w:val="24"/>
          <w:szCs w:val="32"/>
          <w:u w:val="single"/>
        </w:rPr>
        <w:t xml:space="preserve">  （企业名称）  </w:t>
      </w:r>
      <w:r>
        <w:rPr>
          <w:rFonts w:hint="eastAsia" w:ascii="宋体" w:hAnsi="宋体" w:cs="宋体"/>
          <w:sz w:val="24"/>
          <w:szCs w:val="32"/>
        </w:rPr>
        <w:t>，从业人员</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人，营业收入为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万元，资产总额为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万元，属于</w:t>
      </w:r>
      <w:r>
        <w:rPr>
          <w:rFonts w:hint="eastAsia" w:ascii="宋体" w:hAnsi="宋体" w:cs="宋体"/>
          <w:color w:val="auto"/>
          <w:sz w:val="24"/>
          <w:szCs w:val="32"/>
          <w:highlight w:val="none"/>
          <w:u w:val="single"/>
        </w:rPr>
        <w:t>（请填写中型企业或小型企业或微型企业）</w:t>
      </w:r>
      <w:r>
        <w:rPr>
          <w:rFonts w:hint="eastAsia" w:ascii="宋体" w:hAnsi="宋体" w:cs="宋体"/>
          <w:sz w:val="24"/>
          <w:szCs w:val="32"/>
        </w:rPr>
        <w:t>；</w:t>
      </w:r>
    </w:p>
    <w:p w14:paraId="43B4D886">
      <w:pPr>
        <w:spacing w:line="360" w:lineRule="auto"/>
        <w:ind w:firstLine="480" w:firstLineChars="200"/>
        <w:rPr>
          <w:rFonts w:hint="eastAsia" w:ascii="宋体" w:hAnsi="宋体" w:cs="宋体"/>
          <w:sz w:val="24"/>
          <w:szCs w:val="32"/>
        </w:rPr>
      </w:pPr>
      <w:r>
        <w:rPr>
          <w:rFonts w:hint="eastAsia" w:ascii="宋体" w:hAnsi="宋体" w:cs="宋体"/>
          <w:sz w:val="24"/>
          <w:szCs w:val="32"/>
        </w:rPr>
        <w:t>2、</w:t>
      </w:r>
      <w:r>
        <w:rPr>
          <w:rFonts w:hint="eastAsia" w:ascii="宋体" w:hAnsi="宋体" w:cs="宋体"/>
          <w:sz w:val="24"/>
          <w:szCs w:val="32"/>
          <w:u w:val="single"/>
        </w:rPr>
        <w:t xml:space="preserve">  </w:t>
      </w:r>
      <w:r>
        <w:rPr>
          <w:rFonts w:hint="eastAsia" w:ascii="宋体" w:hAnsi="宋体" w:cs="宋体"/>
          <w:b/>
          <w:bCs/>
          <w:sz w:val="24"/>
          <w:szCs w:val="32"/>
          <w:u w:val="single"/>
        </w:rPr>
        <w:t>（标的名称）</w:t>
      </w:r>
      <w:r>
        <w:rPr>
          <w:rFonts w:hint="eastAsia" w:ascii="宋体" w:hAnsi="宋体" w:cs="宋体"/>
          <w:sz w:val="24"/>
          <w:szCs w:val="32"/>
          <w:u w:val="single"/>
        </w:rPr>
        <w:t xml:space="preserve">  </w:t>
      </w:r>
      <w:r>
        <w:rPr>
          <w:rFonts w:hint="eastAsia" w:ascii="宋体" w:hAnsi="宋体" w:cs="宋体"/>
          <w:sz w:val="24"/>
          <w:szCs w:val="32"/>
        </w:rPr>
        <w:t>，属于</w:t>
      </w:r>
      <w:r>
        <w:rPr>
          <w:rFonts w:hint="eastAsia" w:ascii="宋体" w:hAnsi="宋体" w:cs="宋体"/>
          <w:sz w:val="24"/>
          <w:szCs w:val="32"/>
          <w:u w:val="single"/>
        </w:rPr>
        <w:t xml:space="preserve">             </w:t>
      </w:r>
      <w:r>
        <w:rPr>
          <w:rFonts w:hint="eastAsia" w:ascii="宋体" w:hAnsi="宋体" w:cs="宋体"/>
          <w:sz w:val="24"/>
          <w:szCs w:val="32"/>
        </w:rPr>
        <w:t>行业；制造商为</w:t>
      </w:r>
      <w:r>
        <w:rPr>
          <w:rFonts w:hint="eastAsia" w:ascii="宋体" w:hAnsi="宋体" w:cs="宋体"/>
          <w:sz w:val="24"/>
          <w:szCs w:val="32"/>
          <w:u w:val="single"/>
        </w:rPr>
        <w:t xml:space="preserve">  （企业名称）  </w:t>
      </w:r>
      <w:r>
        <w:rPr>
          <w:rFonts w:hint="eastAsia" w:ascii="宋体" w:hAnsi="宋体" w:cs="宋体"/>
          <w:sz w:val="24"/>
          <w:szCs w:val="32"/>
        </w:rPr>
        <w:t>，从业人员</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人，营业收入为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万元，资产总额为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万元，属于</w:t>
      </w:r>
      <w:r>
        <w:rPr>
          <w:rFonts w:hint="eastAsia" w:ascii="宋体" w:hAnsi="宋体" w:cs="宋体"/>
          <w:color w:val="auto"/>
          <w:sz w:val="24"/>
          <w:szCs w:val="32"/>
          <w:highlight w:val="none"/>
          <w:u w:val="single"/>
        </w:rPr>
        <w:t>（请填写中型企业或小型企业或微型企业）</w:t>
      </w:r>
      <w:r>
        <w:rPr>
          <w:rFonts w:hint="eastAsia" w:ascii="宋体" w:hAnsi="宋体" w:cs="宋体"/>
          <w:sz w:val="24"/>
          <w:szCs w:val="32"/>
        </w:rPr>
        <w:t>；</w:t>
      </w:r>
    </w:p>
    <w:p w14:paraId="5A08DADD">
      <w:pPr>
        <w:spacing w:line="360" w:lineRule="auto"/>
        <w:rPr>
          <w:rFonts w:hint="eastAsia" w:ascii="宋体" w:hAnsi="宋体" w:cs="宋体"/>
          <w:sz w:val="24"/>
          <w:szCs w:val="32"/>
        </w:rPr>
      </w:pPr>
      <w:r>
        <w:rPr>
          <w:rFonts w:hint="eastAsia" w:ascii="宋体" w:hAnsi="宋体" w:cs="宋体"/>
          <w:sz w:val="24"/>
          <w:szCs w:val="32"/>
        </w:rPr>
        <w:t>……</w:t>
      </w:r>
    </w:p>
    <w:p w14:paraId="2C71CA73">
      <w:pPr>
        <w:spacing w:line="360" w:lineRule="auto"/>
        <w:ind w:firstLine="480" w:firstLineChars="200"/>
        <w:rPr>
          <w:rFonts w:hint="eastAsia" w:ascii="宋体" w:hAnsi="宋体" w:cs="宋体"/>
          <w:sz w:val="24"/>
          <w:szCs w:val="32"/>
        </w:rPr>
      </w:pPr>
      <w:r>
        <w:rPr>
          <w:rFonts w:hint="eastAsia" w:ascii="宋体" w:hAnsi="宋体" w:cs="宋体"/>
          <w:sz w:val="24"/>
          <w:szCs w:val="32"/>
        </w:rPr>
        <w:t>以上企业，不属于大企业的分支机构，不存在控股股东为大企业的情形，也不存在与大企业的负责人为同一人的情形。</w:t>
      </w:r>
    </w:p>
    <w:p w14:paraId="0C5CB66A">
      <w:pPr>
        <w:spacing w:line="360" w:lineRule="auto"/>
        <w:ind w:firstLine="480" w:firstLineChars="200"/>
        <w:rPr>
          <w:rFonts w:hint="eastAsia" w:ascii="宋体" w:hAnsi="宋体" w:cs="宋体"/>
          <w:sz w:val="24"/>
          <w:szCs w:val="32"/>
        </w:rPr>
      </w:pPr>
      <w:r>
        <w:rPr>
          <w:rFonts w:hint="eastAsia" w:ascii="宋体" w:hAnsi="宋体" w:cs="宋体"/>
          <w:sz w:val="24"/>
          <w:szCs w:val="32"/>
        </w:rPr>
        <w:t>本企业对上述声明内容的真实性负责。如有虚假，将依法承担相应责任。</w:t>
      </w:r>
    </w:p>
    <w:p w14:paraId="1FF12AC6">
      <w:pPr>
        <w:spacing w:line="360" w:lineRule="auto"/>
        <w:rPr>
          <w:rFonts w:hint="eastAsia" w:ascii="宋体" w:hAnsi="宋体" w:cs="宋体"/>
          <w:sz w:val="24"/>
          <w:szCs w:val="32"/>
        </w:rPr>
      </w:pPr>
    </w:p>
    <w:p w14:paraId="62313F0F">
      <w:pPr>
        <w:spacing w:line="360" w:lineRule="auto"/>
        <w:rPr>
          <w:rFonts w:hint="eastAsia" w:ascii="宋体" w:hAnsi="宋体" w:cs="宋体"/>
          <w:sz w:val="24"/>
          <w:szCs w:val="32"/>
        </w:rPr>
      </w:pPr>
    </w:p>
    <w:p w14:paraId="78EB54C8">
      <w:pPr>
        <w:spacing w:line="360" w:lineRule="auto"/>
        <w:ind w:firstLine="5280" w:firstLineChars="2200"/>
        <w:rPr>
          <w:rFonts w:hint="eastAsia" w:ascii="宋体" w:hAnsi="宋体" w:cs="宋体"/>
          <w:sz w:val="24"/>
          <w:szCs w:val="32"/>
        </w:rPr>
      </w:pPr>
      <w:r>
        <w:rPr>
          <w:rFonts w:hint="eastAsia" w:ascii="宋体" w:hAnsi="宋体" w:cs="宋体"/>
          <w:sz w:val="24"/>
          <w:szCs w:val="32"/>
        </w:rPr>
        <w:t>企业名称（盖章）：</w:t>
      </w:r>
    </w:p>
    <w:p w14:paraId="75ACF77A">
      <w:pPr>
        <w:spacing w:line="360" w:lineRule="auto"/>
        <w:ind w:firstLine="5280" w:firstLineChars="2200"/>
        <w:rPr>
          <w:rFonts w:hint="eastAsia" w:ascii="宋体" w:hAnsi="宋体" w:cs="宋体"/>
          <w:sz w:val="24"/>
          <w:szCs w:val="32"/>
        </w:rPr>
      </w:pPr>
      <w:r>
        <w:rPr>
          <w:rFonts w:hint="eastAsia" w:ascii="宋体" w:hAnsi="宋体" w:cs="宋体"/>
          <w:sz w:val="24"/>
          <w:szCs w:val="32"/>
        </w:rPr>
        <w:t>日期：</w:t>
      </w:r>
    </w:p>
    <w:p w14:paraId="0FB9BF41">
      <w:pPr>
        <w:numPr>
          <w:ilvl w:val="0"/>
          <w:numId w:val="0"/>
        </w:numPr>
        <w:spacing w:line="360" w:lineRule="auto"/>
        <w:rPr>
          <w:rFonts w:hint="eastAsia" w:ascii="宋体" w:hAnsi="宋体" w:cs="宋体"/>
          <w:b/>
          <w:bCs/>
          <w:highlight w:val="none"/>
        </w:rPr>
      </w:pPr>
      <w:r>
        <w:rPr>
          <w:rFonts w:hint="eastAsia" w:ascii="宋体" w:hAnsi="宋体" w:cs="宋体"/>
          <w:b/>
          <w:bCs/>
          <w:highlight w:val="none"/>
        </w:rPr>
        <w:t>备注：</w:t>
      </w:r>
    </w:p>
    <w:p w14:paraId="371B648D">
      <w:pPr>
        <w:numPr>
          <w:ilvl w:val="0"/>
          <w:numId w:val="20"/>
        </w:numPr>
        <w:spacing w:line="360" w:lineRule="auto"/>
        <w:rPr>
          <w:rFonts w:hint="eastAsia" w:ascii="宋体" w:hAnsi="宋体" w:cs="宋体"/>
          <w:b/>
          <w:bCs/>
          <w:highlight w:val="none"/>
        </w:rPr>
      </w:pPr>
      <w:r>
        <w:rPr>
          <w:rFonts w:hint="eastAsia" w:ascii="宋体" w:hAnsi="宋体" w:cs="宋体"/>
          <w:b/>
          <w:bCs/>
          <w:highlight w:val="none"/>
        </w:rPr>
        <w:t>“标的名称”根据招标文件第二章招标需求中技术参数内的货物内容，逐一填写，不得缺漏</w:t>
      </w:r>
      <w:r>
        <w:rPr>
          <w:rFonts w:hint="eastAsia" w:ascii="宋体" w:hAnsi="宋体" w:cs="宋体"/>
          <w:b/>
          <w:bCs/>
          <w:highlight w:val="none"/>
          <w:lang w:eastAsia="zh-CN"/>
        </w:rPr>
        <w:t>。</w:t>
      </w:r>
    </w:p>
    <w:p w14:paraId="3917FB4F">
      <w:pPr>
        <w:numPr>
          <w:ilvl w:val="0"/>
          <w:numId w:val="20"/>
        </w:numPr>
        <w:spacing w:line="360" w:lineRule="auto"/>
        <w:rPr>
          <w:rFonts w:hint="eastAsia" w:ascii="宋体" w:hAnsi="宋体" w:cs="宋体"/>
          <w:b/>
          <w:bCs/>
          <w:highlight w:val="none"/>
        </w:rPr>
      </w:pPr>
      <w:r>
        <w:rPr>
          <w:rFonts w:hint="eastAsia" w:ascii="宋体" w:hAnsi="宋体" w:cs="宋体"/>
          <w:b/>
          <w:bCs/>
          <w:highlight w:val="none"/>
        </w:rPr>
        <w:t>如投标产品由小微企业生产，则需提供中小企业声明函。</w:t>
      </w:r>
    </w:p>
    <w:p w14:paraId="7C16C6A4">
      <w:pPr>
        <w:spacing w:line="360" w:lineRule="auto"/>
        <w:rPr>
          <w:rFonts w:hint="eastAsia" w:ascii="宋体" w:hAnsi="宋体" w:cs="宋体"/>
          <w:b/>
          <w:bCs/>
          <w:highlight w:val="none"/>
        </w:rPr>
      </w:pPr>
      <w:r>
        <w:rPr>
          <w:rFonts w:hint="eastAsia" w:ascii="宋体" w:hAnsi="宋体" w:cs="宋体"/>
          <w:b/>
          <w:bCs/>
          <w:highlight w:val="none"/>
          <w:lang w:val="en-US" w:eastAsia="zh-CN"/>
        </w:rPr>
        <w:t>3</w:t>
      </w:r>
      <w:r>
        <w:rPr>
          <w:rFonts w:hint="eastAsia" w:ascii="宋体" w:hAnsi="宋体" w:cs="宋体"/>
          <w:b/>
          <w:bCs/>
          <w:highlight w:val="none"/>
        </w:rPr>
        <w:t>、小微企业提供的货物既有中小企业制造货物，也有大型企业制造货物的，不享受中小企业扶持政策。</w:t>
      </w:r>
    </w:p>
    <w:p w14:paraId="23C5BC6F">
      <w:pPr>
        <w:spacing w:line="360" w:lineRule="auto"/>
        <w:rPr>
          <w:rFonts w:hint="eastAsia" w:ascii="宋体" w:hAnsi="宋体" w:cs="宋体"/>
          <w:b/>
          <w:bCs/>
        </w:rPr>
      </w:pPr>
      <w:r>
        <w:rPr>
          <w:rFonts w:hint="eastAsia" w:ascii="宋体" w:hAnsi="宋体" w:cs="宋体"/>
          <w:b/>
          <w:bCs/>
          <w:lang w:val="en-US" w:eastAsia="zh-CN"/>
        </w:rPr>
        <w:t>4</w:t>
      </w:r>
      <w:r>
        <w:rPr>
          <w:rFonts w:hint="eastAsia" w:ascii="宋体" w:hAnsi="宋体" w:cs="宋体"/>
          <w:b/>
          <w:bCs/>
        </w:rPr>
        <w:t>、从业人员、营业收入、资产总额填报上一年度数据，无上一年度数据的新成立企业可不填报。</w:t>
      </w:r>
    </w:p>
    <w:p w14:paraId="28AA932B">
      <w:pPr>
        <w:pStyle w:val="2"/>
        <w:keepNext w:val="0"/>
        <w:keepLines w:val="0"/>
        <w:pageBreakBefore/>
        <w:spacing w:line="415" w:lineRule="auto"/>
        <w:rPr>
          <w:rFonts w:hint="eastAsia" w:ascii="宋体" w:hAnsi="宋体"/>
          <w:b w:val="0"/>
          <w:bCs w:val="0"/>
          <w:sz w:val="24"/>
        </w:rPr>
      </w:pPr>
      <w:bookmarkStart w:id="126" w:name="_Toc23044"/>
      <w:bookmarkStart w:id="127" w:name="_Toc7720"/>
      <w:r>
        <w:rPr>
          <w:rFonts w:hint="eastAsia" w:ascii="宋体" w:hAnsi="宋体"/>
          <w:b w:val="0"/>
          <w:bCs w:val="0"/>
          <w:sz w:val="24"/>
        </w:rPr>
        <w:t>附件十</w:t>
      </w:r>
      <w:r>
        <w:rPr>
          <w:rFonts w:hint="eastAsia" w:ascii="宋体" w:hAnsi="宋体"/>
          <w:b w:val="0"/>
          <w:bCs w:val="0"/>
          <w:sz w:val="24"/>
          <w:lang w:val="en-US" w:eastAsia="zh-CN"/>
        </w:rPr>
        <w:t>五</w:t>
      </w:r>
      <w:r>
        <w:rPr>
          <w:rFonts w:hint="eastAsia" w:ascii="宋体" w:hAnsi="宋体"/>
          <w:b w:val="0"/>
          <w:bCs w:val="0"/>
          <w:sz w:val="24"/>
        </w:rPr>
        <w:t>：</w:t>
      </w:r>
      <w:bookmarkEnd w:id="124"/>
      <w:bookmarkEnd w:id="125"/>
      <w:r>
        <w:rPr>
          <w:rFonts w:hint="eastAsia" w:ascii="宋体" w:hAnsi="宋体"/>
          <w:b w:val="0"/>
          <w:bCs w:val="0"/>
          <w:sz w:val="24"/>
        </w:rPr>
        <w:t>东阳市采购项目验收方案</w:t>
      </w:r>
      <w:bookmarkEnd w:id="126"/>
      <w:bookmarkEnd w:id="127"/>
    </w:p>
    <w:p w14:paraId="79D8CA33">
      <w:pPr>
        <w:jc w:val="center"/>
        <w:rPr>
          <w:rFonts w:hint="eastAsia" w:ascii="黑体" w:hAnsi="宋体" w:eastAsia="黑体"/>
          <w:b/>
          <w:sz w:val="36"/>
          <w:szCs w:val="36"/>
        </w:rPr>
      </w:pPr>
      <w:r>
        <w:rPr>
          <w:rFonts w:hint="eastAsia"/>
          <w:b/>
          <w:sz w:val="36"/>
          <w:szCs w:val="36"/>
        </w:rPr>
        <w:t>东阳市采购项目验收方案</w:t>
      </w:r>
    </w:p>
    <w:p w14:paraId="14A83B85">
      <w:pPr>
        <w:spacing w:line="360" w:lineRule="auto"/>
        <w:ind w:firstLine="480" w:firstLineChars="200"/>
        <w:rPr>
          <w:rFonts w:hint="eastAsia" w:hAnsi="宋体"/>
          <w:sz w:val="24"/>
          <w:szCs w:val="20"/>
        </w:rPr>
      </w:pPr>
      <w:r>
        <w:rPr>
          <w:rFonts w:hint="eastAsia"/>
          <w:sz w:val="24"/>
          <w:szCs w:val="20"/>
        </w:rPr>
        <w:t>根据《东阳市国有企业采购管理办法（2020年修订）》、参照《中华人民共和国政府采购法》等有关规定</w:t>
      </w:r>
      <w:r>
        <w:rPr>
          <w:rFonts w:hint="eastAsia" w:hAnsi="宋体"/>
          <w:sz w:val="24"/>
          <w:szCs w:val="20"/>
        </w:rPr>
        <w:t>，为做好</w:t>
      </w:r>
      <w:r>
        <w:rPr>
          <w:rFonts w:hint="eastAsia" w:hAnsi="宋体"/>
          <w:sz w:val="24"/>
          <w:szCs w:val="20"/>
          <w:u w:val="single"/>
        </w:rPr>
        <w:t xml:space="preserve">              </w:t>
      </w:r>
      <w:r>
        <w:rPr>
          <w:rFonts w:hint="eastAsia" w:hAnsi="宋体"/>
          <w:sz w:val="24"/>
          <w:szCs w:val="20"/>
        </w:rPr>
        <w:t>采购项目的验收管理工作，特制定本项目验收方案，具体如下。</w:t>
      </w:r>
    </w:p>
    <w:p w14:paraId="2500A68E">
      <w:pPr>
        <w:spacing w:line="360" w:lineRule="auto"/>
        <w:rPr>
          <w:rFonts w:hint="eastAsia" w:hAnsi="宋体"/>
          <w:b/>
          <w:sz w:val="24"/>
        </w:rPr>
      </w:pPr>
      <w:r>
        <w:rPr>
          <w:rFonts w:hint="eastAsia" w:hAnsi="宋体"/>
          <w:b/>
          <w:sz w:val="24"/>
        </w:rPr>
        <w:t>一、验收项目说明</w:t>
      </w:r>
    </w:p>
    <w:p w14:paraId="0FC73923">
      <w:pPr>
        <w:spacing w:line="360" w:lineRule="auto"/>
        <w:rPr>
          <w:rFonts w:hint="eastAsia" w:hAnsi="宋体"/>
          <w:b/>
          <w:sz w:val="24"/>
        </w:rPr>
      </w:pPr>
      <w:r>
        <w:rPr>
          <w:rFonts w:hint="eastAsia" w:hAnsi="宋体"/>
          <w:b/>
          <w:sz w:val="24"/>
        </w:rPr>
        <w:t xml:space="preserve">1、招标编号：               </w:t>
      </w:r>
    </w:p>
    <w:p w14:paraId="60BFE1F1">
      <w:pPr>
        <w:spacing w:line="360" w:lineRule="auto"/>
        <w:rPr>
          <w:rFonts w:hint="eastAsia" w:hAnsi="宋体"/>
          <w:b/>
          <w:sz w:val="24"/>
        </w:rPr>
      </w:pPr>
      <w:r>
        <w:rPr>
          <w:rFonts w:hint="eastAsia" w:hAnsi="宋体"/>
          <w:b/>
          <w:sz w:val="24"/>
        </w:rPr>
        <w:t>2、采购内容：</w:t>
      </w:r>
    </w:p>
    <w:p w14:paraId="3ECD65FB">
      <w:pPr>
        <w:spacing w:line="360" w:lineRule="auto"/>
        <w:rPr>
          <w:rFonts w:hint="eastAsia" w:hAnsi="宋体"/>
          <w:b/>
          <w:sz w:val="24"/>
        </w:rPr>
      </w:pPr>
    </w:p>
    <w:p w14:paraId="343622FE">
      <w:pPr>
        <w:spacing w:line="360" w:lineRule="auto"/>
        <w:rPr>
          <w:rFonts w:hint="eastAsia" w:hAnsi="宋体"/>
          <w:b/>
          <w:sz w:val="24"/>
        </w:rPr>
      </w:pPr>
      <w:r>
        <w:rPr>
          <w:rFonts w:hint="eastAsia" w:hAnsi="宋体"/>
          <w:b/>
          <w:sz w:val="24"/>
        </w:rPr>
        <w:t>二、验收小组人员</w:t>
      </w:r>
    </w:p>
    <w:p w14:paraId="1AD46B9B">
      <w:pPr>
        <w:spacing w:line="360" w:lineRule="auto"/>
        <w:rPr>
          <w:rFonts w:hint="eastAsia" w:hAnsi="宋体"/>
          <w:b/>
          <w:sz w:val="24"/>
        </w:rPr>
      </w:pPr>
      <w:r>
        <w:rPr>
          <w:rFonts w:hint="eastAsia" w:hAnsi="宋体"/>
          <w:b/>
          <w:sz w:val="24"/>
        </w:rPr>
        <w:t>1、本次验收由</w:t>
      </w:r>
      <w:r>
        <w:rPr>
          <w:rFonts w:hint="eastAsia" w:hAnsi="宋体"/>
          <w:b/>
          <w:sz w:val="24"/>
          <w:u w:val="single"/>
        </w:rPr>
        <w:t xml:space="preserve">            </w:t>
      </w:r>
      <w:r>
        <w:rPr>
          <w:rFonts w:hint="eastAsia" w:hAnsi="宋体"/>
          <w:sz w:val="24"/>
          <w:u w:val="single"/>
        </w:rPr>
        <w:t xml:space="preserve"> </w:t>
      </w:r>
      <w:r>
        <w:rPr>
          <w:rFonts w:hint="eastAsia" w:hAnsi="宋体"/>
          <w:b/>
          <w:sz w:val="24"/>
        </w:rPr>
        <w:t>组织。</w:t>
      </w:r>
    </w:p>
    <w:p w14:paraId="39E22F15">
      <w:pPr>
        <w:spacing w:line="360" w:lineRule="auto"/>
        <w:rPr>
          <w:rFonts w:hint="eastAsia" w:hAnsi="宋体"/>
          <w:b/>
          <w:sz w:val="24"/>
          <w:u w:val="single"/>
        </w:rPr>
      </w:pPr>
      <w:r>
        <w:rPr>
          <w:rFonts w:hint="eastAsia" w:hAnsi="宋体"/>
          <w:b/>
          <w:sz w:val="24"/>
        </w:rPr>
        <w:t>2、验收小组成员名单：</w:t>
      </w:r>
      <w:r>
        <w:rPr>
          <w:rFonts w:hint="eastAsia" w:hAnsi="宋体"/>
          <w:b/>
          <w:sz w:val="24"/>
          <w:u w:val="single"/>
        </w:rPr>
        <w:t xml:space="preserve">                                                       </w:t>
      </w:r>
    </w:p>
    <w:p w14:paraId="467C632D">
      <w:pPr>
        <w:spacing w:line="360" w:lineRule="auto"/>
        <w:rPr>
          <w:rFonts w:hint="eastAsia" w:hAnsi="宋体"/>
          <w:b/>
          <w:sz w:val="24"/>
        </w:rPr>
      </w:pPr>
      <w:r>
        <w:rPr>
          <w:rFonts w:hint="eastAsia" w:hAnsi="宋体"/>
          <w:b/>
          <w:sz w:val="24"/>
        </w:rPr>
        <w:t>3、验收小组成员签名：</w:t>
      </w:r>
      <w:r>
        <w:rPr>
          <w:rFonts w:hint="eastAsia" w:hAnsi="宋体"/>
          <w:b/>
          <w:sz w:val="24"/>
          <w:u w:val="single"/>
        </w:rPr>
        <w:t xml:space="preserve">                                                    </w:t>
      </w:r>
      <w:r>
        <w:rPr>
          <w:rFonts w:hint="eastAsia" w:hAnsi="宋体"/>
          <w:b/>
          <w:sz w:val="24"/>
        </w:rPr>
        <w:t xml:space="preserve">                                                                        </w:t>
      </w:r>
    </w:p>
    <w:p w14:paraId="19275A1E">
      <w:pPr>
        <w:spacing w:line="360" w:lineRule="auto"/>
        <w:rPr>
          <w:rFonts w:hint="eastAsia" w:hAnsi="宋体"/>
          <w:b/>
          <w:sz w:val="24"/>
        </w:rPr>
      </w:pPr>
      <w:r>
        <w:rPr>
          <w:rFonts w:hint="eastAsia" w:hAnsi="宋体"/>
          <w:b/>
          <w:sz w:val="24"/>
        </w:rPr>
        <w:t>三、验收方法与内容</w:t>
      </w:r>
    </w:p>
    <w:p w14:paraId="511AAC25">
      <w:pPr>
        <w:spacing w:line="360" w:lineRule="auto"/>
        <w:rPr>
          <w:rFonts w:hint="eastAsia" w:hAnsi="宋体"/>
          <w:b/>
          <w:sz w:val="24"/>
        </w:rPr>
      </w:pPr>
    </w:p>
    <w:p w14:paraId="522442C9">
      <w:pPr>
        <w:spacing w:line="360" w:lineRule="auto"/>
        <w:rPr>
          <w:rFonts w:hint="eastAsia" w:ascii="宋体" w:hAnsi="宋体"/>
          <w:b/>
          <w:sz w:val="24"/>
        </w:rPr>
      </w:pPr>
      <w:r>
        <w:rPr>
          <w:rFonts w:hint="eastAsia" w:ascii="宋体" w:hAnsi="宋体"/>
          <w:b/>
          <w:sz w:val="24"/>
        </w:rPr>
        <w:t>四、验收时间</w:t>
      </w:r>
    </w:p>
    <w:p w14:paraId="5A36E15B">
      <w:pPr>
        <w:spacing w:line="360" w:lineRule="auto"/>
        <w:rPr>
          <w:rFonts w:hint="eastAsia" w:ascii="宋体" w:hAnsi="宋体"/>
          <w:b/>
          <w:sz w:val="24"/>
        </w:rPr>
      </w:pPr>
    </w:p>
    <w:p w14:paraId="50A869B6">
      <w:pPr>
        <w:spacing w:line="360" w:lineRule="auto"/>
        <w:rPr>
          <w:rFonts w:hint="eastAsia" w:ascii="宋体" w:hAnsi="宋体"/>
          <w:b/>
          <w:sz w:val="24"/>
        </w:rPr>
      </w:pPr>
      <w:r>
        <w:rPr>
          <w:rFonts w:hint="eastAsia" w:ascii="宋体" w:hAnsi="宋体"/>
          <w:b/>
          <w:sz w:val="24"/>
        </w:rPr>
        <w:t>五、验收地点</w:t>
      </w:r>
    </w:p>
    <w:p w14:paraId="1D0643D5">
      <w:pPr>
        <w:spacing w:line="360" w:lineRule="auto"/>
        <w:rPr>
          <w:rFonts w:hint="eastAsia" w:ascii="宋体" w:hAnsi="宋体"/>
          <w:b/>
          <w:sz w:val="24"/>
        </w:rPr>
      </w:pPr>
    </w:p>
    <w:p w14:paraId="697DEE3B">
      <w:pPr>
        <w:spacing w:line="360" w:lineRule="auto"/>
        <w:rPr>
          <w:rFonts w:hint="eastAsia" w:ascii="宋体" w:hAnsi="宋体"/>
          <w:b/>
          <w:sz w:val="24"/>
        </w:rPr>
      </w:pPr>
      <w:r>
        <w:rPr>
          <w:rFonts w:hint="eastAsia" w:ascii="宋体" w:hAnsi="宋体"/>
          <w:b/>
          <w:sz w:val="24"/>
        </w:rPr>
        <w:t>六、验收程序</w:t>
      </w:r>
    </w:p>
    <w:p w14:paraId="2E610385">
      <w:pPr>
        <w:spacing w:line="360" w:lineRule="auto"/>
        <w:rPr>
          <w:rFonts w:hint="eastAsia" w:hAnsi="宋体"/>
          <w:b/>
          <w:sz w:val="24"/>
        </w:rPr>
      </w:pPr>
    </w:p>
    <w:p w14:paraId="7955985E">
      <w:pPr>
        <w:spacing w:line="360" w:lineRule="auto"/>
        <w:rPr>
          <w:rFonts w:hint="eastAsia" w:ascii="宋体" w:hAnsi="宋体"/>
          <w:b/>
          <w:sz w:val="24"/>
        </w:rPr>
      </w:pPr>
      <w:r>
        <w:rPr>
          <w:rFonts w:hint="eastAsia" w:ascii="宋体" w:hAnsi="宋体"/>
          <w:b/>
          <w:sz w:val="24"/>
        </w:rPr>
        <w:t xml:space="preserve">                                            </w:t>
      </w:r>
    </w:p>
    <w:p w14:paraId="27CD11AE">
      <w:pPr>
        <w:spacing w:line="360" w:lineRule="auto"/>
        <w:rPr>
          <w:rFonts w:hint="eastAsia" w:ascii="宋体" w:hAnsi="宋体"/>
          <w:sz w:val="24"/>
        </w:rPr>
      </w:pPr>
    </w:p>
    <w:p w14:paraId="31E49AC6">
      <w:pPr>
        <w:spacing w:line="360" w:lineRule="auto"/>
        <w:ind w:firstLine="6000" w:firstLineChars="2500"/>
        <w:rPr>
          <w:rFonts w:hint="eastAsia" w:ascii="宋体" w:hAnsi="宋体"/>
          <w:sz w:val="24"/>
        </w:rPr>
      </w:pPr>
      <w:r>
        <w:rPr>
          <w:rFonts w:hint="eastAsia" w:ascii="宋体" w:hAnsi="宋体"/>
          <w:sz w:val="24"/>
        </w:rPr>
        <w:t>采购单位（盖章）：</w:t>
      </w:r>
    </w:p>
    <w:p w14:paraId="67ADF0E8">
      <w:pPr>
        <w:spacing w:line="360" w:lineRule="auto"/>
        <w:ind w:firstLine="6720" w:firstLineChars="2800"/>
        <w:rPr>
          <w:rFonts w:hint="eastAsia" w:ascii="宋体" w:hAnsi="宋体"/>
          <w:sz w:val="24"/>
        </w:rPr>
      </w:pPr>
      <w:r>
        <w:rPr>
          <w:rFonts w:hint="eastAsia" w:ascii="宋体" w:hAnsi="宋体"/>
          <w:sz w:val="24"/>
        </w:rPr>
        <w:t>年  月  日</w:t>
      </w:r>
    </w:p>
    <w:p w14:paraId="478532C5">
      <w:pPr>
        <w:spacing w:line="360" w:lineRule="auto"/>
        <w:rPr>
          <w:rFonts w:hint="eastAsia" w:ascii="宋体" w:hAnsi="宋体"/>
          <w:sz w:val="24"/>
        </w:rPr>
      </w:pPr>
    </w:p>
    <w:p w14:paraId="218970CD">
      <w:pPr>
        <w:rPr>
          <w:rFonts w:hint="eastAsia" w:ascii="宋体" w:hAnsi="宋体"/>
          <w:sz w:val="24"/>
        </w:rPr>
      </w:pPr>
    </w:p>
    <w:p w14:paraId="7218EE39">
      <w:pPr>
        <w:pStyle w:val="2"/>
        <w:keepNext w:val="0"/>
        <w:keepLines w:val="0"/>
        <w:pageBreakBefore/>
        <w:spacing w:line="415" w:lineRule="auto"/>
        <w:rPr>
          <w:rFonts w:hint="eastAsia" w:ascii="宋体" w:hAnsi="宋体"/>
          <w:b w:val="0"/>
          <w:bCs w:val="0"/>
          <w:sz w:val="24"/>
        </w:rPr>
      </w:pPr>
      <w:bookmarkStart w:id="128" w:name="_Toc504549908"/>
      <w:bookmarkStart w:id="129" w:name="_Toc491242414"/>
      <w:bookmarkStart w:id="130" w:name="_Toc31836"/>
      <w:bookmarkStart w:id="131" w:name="_Toc15894"/>
      <w:r>
        <w:rPr>
          <w:rFonts w:hint="eastAsia" w:ascii="宋体" w:hAnsi="宋体"/>
          <w:b w:val="0"/>
          <w:bCs w:val="0"/>
          <w:sz w:val="24"/>
        </w:rPr>
        <w:t>附件</w:t>
      </w:r>
      <w:r>
        <w:rPr>
          <w:rFonts w:ascii="宋体" w:hAnsi="宋体"/>
          <w:b w:val="0"/>
          <w:bCs w:val="0"/>
          <w:sz w:val="24"/>
        </w:rPr>
        <w:t>十</w:t>
      </w:r>
      <w:r>
        <w:rPr>
          <w:rFonts w:hint="eastAsia" w:ascii="宋体" w:hAnsi="宋体"/>
          <w:b w:val="0"/>
          <w:bCs w:val="0"/>
          <w:sz w:val="24"/>
          <w:lang w:val="en-US" w:eastAsia="zh-CN"/>
        </w:rPr>
        <w:t>六</w:t>
      </w:r>
      <w:r>
        <w:rPr>
          <w:rFonts w:hint="eastAsia" w:ascii="宋体" w:hAnsi="宋体"/>
          <w:b w:val="0"/>
          <w:bCs w:val="0"/>
          <w:sz w:val="24"/>
        </w:rPr>
        <w:t>：</w:t>
      </w:r>
      <w:bookmarkEnd w:id="128"/>
      <w:bookmarkEnd w:id="129"/>
      <w:r>
        <w:rPr>
          <w:rFonts w:hint="eastAsia" w:ascii="宋体" w:hAnsi="宋体"/>
          <w:b w:val="0"/>
          <w:bCs w:val="0"/>
          <w:sz w:val="24"/>
        </w:rPr>
        <w:t>代理机构社会评价表</w:t>
      </w:r>
      <w:bookmarkEnd w:id="130"/>
      <w:bookmarkEnd w:id="131"/>
    </w:p>
    <w:p w14:paraId="40D479AB">
      <w:pPr>
        <w:jc w:val="center"/>
        <w:rPr>
          <w:rFonts w:ascii="宋体" w:hAnsi="宋体"/>
          <w:b/>
          <w:bCs/>
          <w:sz w:val="44"/>
          <w:szCs w:val="44"/>
        </w:rPr>
      </w:pPr>
      <w:r>
        <w:rPr>
          <w:rFonts w:hint="eastAsia" w:ascii="宋体" w:hAnsi="宋体"/>
          <w:b/>
          <w:bCs/>
          <w:sz w:val="44"/>
          <w:szCs w:val="44"/>
        </w:rPr>
        <w:t>代理机构社会评价表</w:t>
      </w:r>
    </w:p>
    <w:p w14:paraId="5DA8DCA5">
      <w:pPr>
        <w:rPr>
          <w:rFonts w:ascii="宋体" w:hAnsi="宋体"/>
          <w:sz w:val="28"/>
          <w:szCs w:val="28"/>
        </w:rPr>
      </w:pPr>
      <w:r>
        <w:rPr>
          <w:rFonts w:hint="eastAsia" w:ascii="宋体" w:hAnsi="宋体"/>
          <w:sz w:val="28"/>
          <w:szCs w:val="28"/>
        </w:rPr>
        <w:t xml:space="preserve">代理机构名称： </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69"/>
        <w:gridCol w:w="696"/>
        <w:gridCol w:w="1067"/>
        <w:gridCol w:w="1031"/>
        <w:gridCol w:w="792"/>
        <w:gridCol w:w="2883"/>
      </w:tblGrid>
      <w:tr w14:paraId="12C2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1AB36AED">
            <w:pPr>
              <w:jc w:val="center"/>
              <w:rPr>
                <w:sz w:val="24"/>
              </w:rPr>
            </w:pPr>
            <w:r>
              <w:rPr>
                <w:rFonts w:hint="eastAsia" w:ascii="宋体" w:hAnsi="宋体"/>
                <w:sz w:val="24"/>
              </w:rPr>
              <w:t>填表人类别</w:t>
            </w:r>
          </w:p>
        </w:tc>
        <w:tc>
          <w:tcPr>
            <w:tcW w:w="7938" w:type="dxa"/>
            <w:gridSpan w:val="6"/>
            <w:tcBorders>
              <w:top w:val="single" w:color="auto" w:sz="4" w:space="0"/>
              <w:left w:val="nil"/>
              <w:bottom w:val="single" w:color="auto" w:sz="4" w:space="0"/>
              <w:right w:val="single" w:color="auto" w:sz="4" w:space="0"/>
            </w:tcBorders>
            <w:noWrap w:val="0"/>
            <w:vAlign w:val="center"/>
          </w:tcPr>
          <w:p w14:paraId="45F1656D">
            <w:pPr>
              <w:ind w:firstLine="480" w:firstLineChars="200"/>
              <w:jc w:val="center"/>
              <w:rPr>
                <w:sz w:val="24"/>
              </w:rPr>
            </w:pPr>
            <w:r>
              <w:rPr>
                <w:rFonts w:hint="eastAsia" w:ascii="宋体" w:hAnsi="宋体"/>
                <w:sz w:val="24"/>
              </w:rPr>
              <w:t>□采购单位</w:t>
            </w:r>
            <w:r>
              <w:rPr>
                <w:sz w:val="24"/>
              </w:rPr>
              <w:t xml:space="preserve">      </w:t>
            </w:r>
            <w:r>
              <w:rPr>
                <w:rFonts w:hint="eastAsia" w:ascii="宋体" w:hAnsi="宋体"/>
                <w:sz w:val="24"/>
              </w:rPr>
              <w:t>□供应商</w:t>
            </w:r>
            <w:r>
              <w:rPr>
                <w:sz w:val="24"/>
              </w:rPr>
              <w:t xml:space="preserve">      </w:t>
            </w:r>
            <w:r>
              <w:rPr>
                <w:rFonts w:hint="eastAsia" w:ascii="宋体" w:hAnsi="宋体"/>
                <w:sz w:val="24"/>
              </w:rPr>
              <w:t>□专家</w:t>
            </w:r>
            <w:r>
              <w:rPr>
                <w:sz w:val="24"/>
              </w:rPr>
              <w:t xml:space="preserve">     </w:t>
            </w:r>
          </w:p>
        </w:tc>
      </w:tr>
      <w:tr w14:paraId="1330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7D3AF10E">
            <w:pPr>
              <w:jc w:val="center"/>
              <w:rPr>
                <w:sz w:val="24"/>
              </w:rPr>
            </w:pPr>
            <w:r>
              <w:rPr>
                <w:rFonts w:hint="eastAsia" w:ascii="宋体" w:hAnsi="宋体"/>
                <w:sz w:val="24"/>
              </w:rPr>
              <w:t>填表人名称或姓名</w:t>
            </w:r>
          </w:p>
        </w:tc>
        <w:tc>
          <w:tcPr>
            <w:tcW w:w="4266" w:type="dxa"/>
            <w:gridSpan w:val="4"/>
            <w:tcBorders>
              <w:top w:val="single" w:color="auto" w:sz="4" w:space="0"/>
              <w:left w:val="nil"/>
              <w:bottom w:val="single" w:color="auto" w:sz="4" w:space="0"/>
              <w:right w:val="single" w:color="auto" w:sz="4" w:space="0"/>
            </w:tcBorders>
            <w:noWrap w:val="0"/>
            <w:vAlign w:val="center"/>
          </w:tcPr>
          <w:p w14:paraId="318F3FA2">
            <w:pPr>
              <w:jc w:val="center"/>
              <w:rPr>
                <w:sz w:val="24"/>
              </w:rPr>
            </w:pPr>
          </w:p>
        </w:tc>
        <w:tc>
          <w:tcPr>
            <w:tcW w:w="792" w:type="dxa"/>
            <w:tcBorders>
              <w:top w:val="single" w:color="auto" w:sz="4" w:space="0"/>
              <w:left w:val="nil"/>
              <w:bottom w:val="single" w:color="auto" w:sz="4" w:space="0"/>
              <w:right w:val="single" w:color="auto" w:sz="4" w:space="0"/>
            </w:tcBorders>
            <w:noWrap w:val="0"/>
            <w:vAlign w:val="center"/>
          </w:tcPr>
          <w:p w14:paraId="65B0A0F2">
            <w:pPr>
              <w:jc w:val="center"/>
              <w:rPr>
                <w:sz w:val="24"/>
              </w:rPr>
            </w:pPr>
            <w:r>
              <w:rPr>
                <w:rFonts w:hint="eastAsia" w:ascii="宋体" w:hAnsi="宋体"/>
                <w:sz w:val="24"/>
              </w:rPr>
              <w:t>地址</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1437CD7B">
            <w:pPr>
              <w:jc w:val="center"/>
              <w:rPr>
                <w:rFonts w:hint="eastAsia" w:ascii="宋体" w:hAnsi="宋体"/>
                <w:sz w:val="24"/>
              </w:rPr>
            </w:pPr>
          </w:p>
        </w:tc>
      </w:tr>
      <w:tr w14:paraId="65A6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502B42B2">
            <w:pPr>
              <w:jc w:val="center"/>
              <w:rPr>
                <w:sz w:val="24"/>
              </w:rPr>
            </w:pPr>
            <w:r>
              <w:rPr>
                <w:rFonts w:hint="eastAsia" w:ascii="宋体" w:hAnsi="宋体"/>
                <w:sz w:val="24"/>
              </w:rPr>
              <w:t>联系人</w:t>
            </w:r>
          </w:p>
        </w:tc>
        <w:tc>
          <w:tcPr>
            <w:tcW w:w="1470" w:type="dxa"/>
            <w:tcBorders>
              <w:top w:val="single" w:color="auto" w:sz="4" w:space="0"/>
              <w:left w:val="nil"/>
              <w:bottom w:val="single" w:color="auto" w:sz="4" w:space="0"/>
              <w:right w:val="single" w:color="auto" w:sz="4" w:space="0"/>
            </w:tcBorders>
            <w:noWrap w:val="0"/>
            <w:vAlign w:val="center"/>
          </w:tcPr>
          <w:p w14:paraId="3B115A4A">
            <w:pPr>
              <w:jc w:val="center"/>
              <w:rPr>
                <w:sz w:val="24"/>
              </w:rPr>
            </w:pPr>
          </w:p>
        </w:tc>
        <w:tc>
          <w:tcPr>
            <w:tcW w:w="696" w:type="dxa"/>
            <w:tcBorders>
              <w:top w:val="single" w:color="auto" w:sz="4" w:space="0"/>
              <w:left w:val="nil"/>
              <w:bottom w:val="single" w:color="auto" w:sz="4" w:space="0"/>
              <w:right w:val="single" w:color="auto" w:sz="4" w:space="0"/>
            </w:tcBorders>
            <w:noWrap w:val="0"/>
            <w:vAlign w:val="center"/>
          </w:tcPr>
          <w:p w14:paraId="25E8403B">
            <w:pPr>
              <w:jc w:val="center"/>
              <w:rPr>
                <w:sz w:val="24"/>
              </w:rPr>
            </w:pPr>
            <w:r>
              <w:rPr>
                <w:rFonts w:hint="eastAsia" w:ascii="宋体" w:hAnsi="宋体"/>
                <w:sz w:val="24"/>
              </w:rPr>
              <w:t>电话</w:t>
            </w:r>
          </w:p>
        </w:tc>
        <w:tc>
          <w:tcPr>
            <w:tcW w:w="2100" w:type="dxa"/>
            <w:gridSpan w:val="2"/>
            <w:tcBorders>
              <w:top w:val="single" w:color="auto" w:sz="4" w:space="0"/>
              <w:left w:val="nil"/>
              <w:bottom w:val="single" w:color="auto" w:sz="4" w:space="0"/>
              <w:right w:val="single" w:color="auto" w:sz="4" w:space="0"/>
            </w:tcBorders>
            <w:noWrap w:val="0"/>
            <w:vAlign w:val="center"/>
          </w:tcPr>
          <w:p w14:paraId="66BB0F23">
            <w:pPr>
              <w:jc w:val="center"/>
              <w:rPr>
                <w:sz w:val="24"/>
              </w:rPr>
            </w:pPr>
          </w:p>
        </w:tc>
        <w:tc>
          <w:tcPr>
            <w:tcW w:w="787" w:type="dxa"/>
            <w:tcBorders>
              <w:top w:val="single" w:color="auto" w:sz="4" w:space="0"/>
              <w:left w:val="nil"/>
              <w:bottom w:val="single" w:color="auto" w:sz="4" w:space="0"/>
              <w:right w:val="single" w:color="auto" w:sz="4" w:space="0"/>
            </w:tcBorders>
            <w:noWrap w:val="0"/>
            <w:vAlign w:val="center"/>
          </w:tcPr>
          <w:p w14:paraId="3BC27CAF">
            <w:pPr>
              <w:jc w:val="center"/>
              <w:rPr>
                <w:sz w:val="24"/>
              </w:rPr>
            </w:pPr>
            <w:r>
              <w:rPr>
                <w:rFonts w:hint="eastAsia" w:ascii="宋体" w:hAnsi="宋体"/>
                <w:sz w:val="24"/>
              </w:rPr>
              <w:t>传真</w:t>
            </w:r>
          </w:p>
        </w:tc>
        <w:tc>
          <w:tcPr>
            <w:tcW w:w="2885" w:type="dxa"/>
            <w:tcBorders>
              <w:top w:val="single" w:color="auto" w:sz="4" w:space="0"/>
              <w:left w:val="single" w:color="auto" w:sz="4" w:space="0"/>
              <w:bottom w:val="single" w:color="auto" w:sz="4" w:space="0"/>
              <w:right w:val="single" w:color="auto" w:sz="4" w:space="0"/>
            </w:tcBorders>
            <w:noWrap w:val="0"/>
            <w:vAlign w:val="center"/>
          </w:tcPr>
          <w:p w14:paraId="7E53A258">
            <w:pPr>
              <w:jc w:val="center"/>
              <w:rPr>
                <w:sz w:val="24"/>
              </w:rPr>
            </w:pPr>
          </w:p>
        </w:tc>
      </w:tr>
      <w:tr w14:paraId="72F4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noWrap w:val="0"/>
            <w:vAlign w:val="center"/>
          </w:tcPr>
          <w:p w14:paraId="21B4B0CC">
            <w:pPr>
              <w:jc w:val="center"/>
              <w:rPr>
                <w:sz w:val="24"/>
              </w:rPr>
            </w:pPr>
            <w:r>
              <w:rPr>
                <w:rFonts w:hint="eastAsia" w:ascii="宋体" w:hAnsi="宋体"/>
                <w:sz w:val="24"/>
              </w:rPr>
              <w:t>对代理机构的评价</w:t>
            </w:r>
          </w:p>
        </w:tc>
        <w:tc>
          <w:tcPr>
            <w:tcW w:w="3234" w:type="dxa"/>
            <w:gridSpan w:val="3"/>
            <w:tcBorders>
              <w:top w:val="single" w:color="auto" w:sz="4" w:space="0"/>
              <w:left w:val="nil"/>
              <w:bottom w:val="single" w:color="auto" w:sz="4" w:space="0"/>
              <w:right w:val="single" w:color="auto" w:sz="4" w:space="0"/>
            </w:tcBorders>
            <w:noWrap w:val="0"/>
            <w:vAlign w:val="center"/>
          </w:tcPr>
          <w:p w14:paraId="159647D0">
            <w:pPr>
              <w:spacing w:line="500" w:lineRule="exact"/>
              <w:jc w:val="center"/>
              <w:rPr>
                <w:sz w:val="24"/>
              </w:rPr>
            </w:pPr>
            <w:r>
              <w:rPr>
                <w:rFonts w:hint="eastAsia" w:ascii="宋体" w:hAnsi="宋体"/>
                <w:sz w:val="24"/>
              </w:rPr>
              <w:t>项目</w:t>
            </w:r>
          </w:p>
        </w:tc>
        <w:tc>
          <w:tcPr>
            <w:tcW w:w="4704" w:type="dxa"/>
            <w:gridSpan w:val="3"/>
            <w:tcBorders>
              <w:top w:val="single" w:color="auto" w:sz="4" w:space="0"/>
              <w:left w:val="nil"/>
              <w:bottom w:val="single" w:color="auto" w:sz="4" w:space="0"/>
              <w:right w:val="single" w:color="auto" w:sz="4" w:space="0"/>
            </w:tcBorders>
            <w:noWrap w:val="0"/>
            <w:vAlign w:val="center"/>
          </w:tcPr>
          <w:p w14:paraId="03F7BF6F">
            <w:pPr>
              <w:spacing w:line="500" w:lineRule="exact"/>
              <w:jc w:val="center"/>
              <w:rPr>
                <w:sz w:val="24"/>
              </w:rPr>
            </w:pPr>
            <w:r>
              <w:rPr>
                <w:rFonts w:hint="eastAsia" w:ascii="宋体" w:hAnsi="宋体"/>
                <w:sz w:val="24"/>
              </w:rPr>
              <w:t>评价（请在分值范围内进行打分）</w:t>
            </w:r>
          </w:p>
        </w:tc>
      </w:tr>
      <w:tr w14:paraId="77B3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14:paraId="42EC742B">
            <w:pPr>
              <w:widowControl/>
              <w:jc w:val="left"/>
              <w:rPr>
                <w:sz w:val="24"/>
              </w:rPr>
            </w:pPr>
          </w:p>
        </w:tc>
        <w:tc>
          <w:tcPr>
            <w:tcW w:w="3234" w:type="dxa"/>
            <w:gridSpan w:val="3"/>
            <w:tcBorders>
              <w:top w:val="single" w:color="auto" w:sz="4" w:space="0"/>
              <w:left w:val="nil"/>
              <w:bottom w:val="single" w:color="auto" w:sz="4" w:space="0"/>
              <w:right w:val="single" w:color="auto" w:sz="4" w:space="0"/>
            </w:tcBorders>
            <w:noWrap w:val="0"/>
            <w:vAlign w:val="center"/>
          </w:tcPr>
          <w:p w14:paraId="21B65DB0">
            <w:pPr>
              <w:rPr>
                <w:rFonts w:ascii="宋体" w:hAnsi="宋体"/>
                <w:kern w:val="0"/>
                <w:sz w:val="24"/>
              </w:rPr>
            </w:pPr>
            <w:r>
              <w:rPr>
                <w:rFonts w:hint="eastAsia" w:ascii="宋体" w:hAnsi="宋体"/>
                <w:sz w:val="24"/>
              </w:rPr>
              <w:t>是否严格执行采购纪律、法规和规章制度等（2分）。</w:t>
            </w:r>
          </w:p>
        </w:tc>
        <w:tc>
          <w:tcPr>
            <w:tcW w:w="4704" w:type="dxa"/>
            <w:gridSpan w:val="3"/>
            <w:tcBorders>
              <w:top w:val="single" w:color="auto" w:sz="4" w:space="0"/>
              <w:left w:val="nil"/>
              <w:bottom w:val="single" w:color="auto" w:sz="4" w:space="0"/>
              <w:right w:val="single" w:color="auto" w:sz="4" w:space="0"/>
            </w:tcBorders>
            <w:noWrap w:val="0"/>
            <w:vAlign w:val="center"/>
          </w:tcPr>
          <w:p w14:paraId="54FC8E14">
            <w:pPr>
              <w:spacing w:line="500" w:lineRule="exact"/>
              <w:jc w:val="center"/>
              <w:rPr>
                <w:sz w:val="24"/>
              </w:rPr>
            </w:pPr>
          </w:p>
        </w:tc>
      </w:tr>
      <w:tr w14:paraId="709F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14:paraId="73E67652">
            <w:pPr>
              <w:widowControl/>
              <w:jc w:val="left"/>
              <w:rPr>
                <w:sz w:val="24"/>
              </w:rPr>
            </w:pPr>
          </w:p>
        </w:tc>
        <w:tc>
          <w:tcPr>
            <w:tcW w:w="3234" w:type="dxa"/>
            <w:gridSpan w:val="3"/>
            <w:tcBorders>
              <w:top w:val="single" w:color="auto" w:sz="4" w:space="0"/>
              <w:left w:val="nil"/>
              <w:bottom w:val="single" w:color="auto" w:sz="4" w:space="0"/>
              <w:right w:val="single" w:color="auto" w:sz="4" w:space="0"/>
            </w:tcBorders>
            <w:noWrap w:val="0"/>
            <w:vAlign w:val="center"/>
          </w:tcPr>
          <w:p w14:paraId="5AF09F76">
            <w:pPr>
              <w:rPr>
                <w:rFonts w:ascii="宋体" w:hAnsi="宋体"/>
                <w:kern w:val="0"/>
                <w:sz w:val="24"/>
              </w:rPr>
            </w:pPr>
            <w:r>
              <w:rPr>
                <w:rFonts w:hint="eastAsia" w:ascii="宋体" w:hAnsi="宋体"/>
                <w:sz w:val="24"/>
              </w:rPr>
              <w:t>操作程序是否规范，采购行为、过程、结果是否公开、公平、公正，采购组织管理是否规范严谨（2分）</w:t>
            </w:r>
            <w:r>
              <w:rPr>
                <w:rFonts w:hint="eastAsia" w:ascii="宋体" w:hAnsi="宋体"/>
                <w:kern w:val="0"/>
                <w:sz w:val="24"/>
              </w:rPr>
              <w:t>。</w:t>
            </w:r>
          </w:p>
        </w:tc>
        <w:tc>
          <w:tcPr>
            <w:tcW w:w="4704" w:type="dxa"/>
            <w:gridSpan w:val="3"/>
            <w:tcBorders>
              <w:top w:val="single" w:color="auto" w:sz="4" w:space="0"/>
              <w:left w:val="nil"/>
              <w:bottom w:val="single" w:color="auto" w:sz="4" w:space="0"/>
              <w:right w:val="single" w:color="auto" w:sz="4" w:space="0"/>
            </w:tcBorders>
            <w:noWrap w:val="0"/>
            <w:vAlign w:val="center"/>
          </w:tcPr>
          <w:p w14:paraId="7965910A">
            <w:pPr>
              <w:spacing w:line="500" w:lineRule="exact"/>
              <w:jc w:val="center"/>
              <w:rPr>
                <w:sz w:val="24"/>
              </w:rPr>
            </w:pPr>
          </w:p>
        </w:tc>
      </w:tr>
      <w:tr w14:paraId="47F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14:paraId="73429D0D">
            <w:pPr>
              <w:widowControl/>
              <w:jc w:val="left"/>
              <w:rPr>
                <w:sz w:val="24"/>
              </w:rPr>
            </w:pPr>
          </w:p>
        </w:tc>
        <w:tc>
          <w:tcPr>
            <w:tcW w:w="3234" w:type="dxa"/>
            <w:gridSpan w:val="3"/>
            <w:tcBorders>
              <w:top w:val="single" w:color="auto" w:sz="4" w:space="0"/>
              <w:left w:val="nil"/>
              <w:bottom w:val="single" w:color="auto" w:sz="4" w:space="0"/>
              <w:right w:val="single" w:color="auto" w:sz="4" w:space="0"/>
            </w:tcBorders>
            <w:noWrap w:val="0"/>
            <w:vAlign w:val="center"/>
          </w:tcPr>
          <w:p w14:paraId="77198D06">
            <w:pPr>
              <w:rPr>
                <w:rFonts w:ascii="宋体" w:hAnsi="宋体"/>
                <w:kern w:val="0"/>
                <w:sz w:val="24"/>
              </w:rPr>
            </w:pPr>
            <w:r>
              <w:rPr>
                <w:rFonts w:hint="eastAsia" w:ascii="宋体" w:hAnsi="宋体"/>
                <w:sz w:val="24"/>
              </w:rPr>
              <w:t>是否及时组织采购，是否有承诺办事时间并能限时办结（2分）</w:t>
            </w:r>
            <w:r>
              <w:rPr>
                <w:rFonts w:hint="eastAsia" w:ascii="宋体" w:hAnsi="宋体"/>
                <w:kern w:val="0"/>
                <w:sz w:val="24"/>
              </w:rPr>
              <w:t>。</w:t>
            </w:r>
          </w:p>
        </w:tc>
        <w:tc>
          <w:tcPr>
            <w:tcW w:w="4704" w:type="dxa"/>
            <w:gridSpan w:val="3"/>
            <w:tcBorders>
              <w:top w:val="single" w:color="auto" w:sz="4" w:space="0"/>
              <w:left w:val="nil"/>
              <w:bottom w:val="single" w:color="auto" w:sz="4" w:space="0"/>
              <w:right w:val="single" w:color="auto" w:sz="4" w:space="0"/>
            </w:tcBorders>
            <w:noWrap w:val="0"/>
            <w:vAlign w:val="center"/>
          </w:tcPr>
          <w:p w14:paraId="42ED7B93">
            <w:pPr>
              <w:spacing w:line="500" w:lineRule="exact"/>
              <w:jc w:val="center"/>
              <w:rPr>
                <w:sz w:val="24"/>
              </w:rPr>
            </w:pPr>
          </w:p>
        </w:tc>
      </w:tr>
      <w:tr w14:paraId="635D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14:paraId="6B28992B">
            <w:pPr>
              <w:widowControl/>
              <w:jc w:val="left"/>
              <w:rPr>
                <w:sz w:val="24"/>
              </w:rPr>
            </w:pPr>
          </w:p>
        </w:tc>
        <w:tc>
          <w:tcPr>
            <w:tcW w:w="3234" w:type="dxa"/>
            <w:gridSpan w:val="3"/>
            <w:tcBorders>
              <w:top w:val="single" w:color="auto" w:sz="4" w:space="0"/>
              <w:left w:val="nil"/>
              <w:bottom w:val="single" w:color="auto" w:sz="4" w:space="0"/>
              <w:right w:val="single" w:color="auto" w:sz="4" w:space="0"/>
            </w:tcBorders>
            <w:noWrap w:val="0"/>
            <w:vAlign w:val="center"/>
          </w:tcPr>
          <w:p w14:paraId="395DFF42">
            <w:pPr>
              <w:rPr>
                <w:rFonts w:ascii="宋体" w:hAnsi="宋体"/>
                <w:sz w:val="24"/>
              </w:rPr>
            </w:pPr>
            <w:r>
              <w:rPr>
                <w:rFonts w:hint="eastAsia" w:ascii="宋体" w:hAnsi="宋体"/>
                <w:sz w:val="24"/>
              </w:rPr>
              <w:t>是否能积极</w:t>
            </w:r>
            <w:r>
              <w:rPr>
                <w:rFonts w:hint="eastAsia" w:ascii="宋体" w:hAnsi="宋体"/>
                <w:kern w:val="0"/>
                <w:sz w:val="24"/>
              </w:rPr>
              <w:t>主动</w:t>
            </w:r>
            <w:r>
              <w:rPr>
                <w:rFonts w:hint="eastAsia" w:ascii="宋体" w:hAnsi="宋体"/>
                <w:sz w:val="24"/>
              </w:rPr>
              <w:t>与当事人沟通</w:t>
            </w:r>
            <w:r>
              <w:rPr>
                <w:rFonts w:hint="eastAsia" w:ascii="宋体" w:hAnsi="宋体"/>
                <w:kern w:val="0"/>
                <w:sz w:val="24"/>
              </w:rPr>
              <w:t>对接；对采购政策进行详细解读；</w:t>
            </w:r>
            <w:r>
              <w:rPr>
                <w:rFonts w:hint="eastAsia" w:ascii="宋体" w:hAnsi="宋体"/>
                <w:sz w:val="24"/>
              </w:rPr>
              <w:t>咨询答复是否热情周到、耐心细致（2分）</w:t>
            </w:r>
            <w:r>
              <w:rPr>
                <w:rFonts w:hint="eastAsia" w:ascii="宋体" w:hAnsi="宋体"/>
                <w:kern w:val="0"/>
                <w:sz w:val="24"/>
              </w:rPr>
              <w:t>。</w:t>
            </w:r>
          </w:p>
        </w:tc>
        <w:tc>
          <w:tcPr>
            <w:tcW w:w="4704" w:type="dxa"/>
            <w:gridSpan w:val="3"/>
            <w:tcBorders>
              <w:top w:val="single" w:color="auto" w:sz="4" w:space="0"/>
              <w:left w:val="nil"/>
              <w:bottom w:val="single" w:color="auto" w:sz="4" w:space="0"/>
              <w:right w:val="single" w:color="auto" w:sz="4" w:space="0"/>
            </w:tcBorders>
            <w:noWrap w:val="0"/>
            <w:vAlign w:val="center"/>
          </w:tcPr>
          <w:p w14:paraId="7B7A7095">
            <w:pPr>
              <w:spacing w:line="500" w:lineRule="exact"/>
              <w:jc w:val="center"/>
              <w:rPr>
                <w:sz w:val="24"/>
              </w:rPr>
            </w:pPr>
          </w:p>
        </w:tc>
      </w:tr>
      <w:tr w14:paraId="6A08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14:paraId="55B2FC96">
            <w:pPr>
              <w:widowControl/>
              <w:jc w:val="left"/>
              <w:rPr>
                <w:sz w:val="24"/>
              </w:rPr>
            </w:pPr>
          </w:p>
        </w:tc>
        <w:tc>
          <w:tcPr>
            <w:tcW w:w="3234" w:type="dxa"/>
            <w:gridSpan w:val="3"/>
            <w:tcBorders>
              <w:top w:val="single" w:color="auto" w:sz="4" w:space="0"/>
              <w:left w:val="nil"/>
              <w:bottom w:val="single" w:color="auto" w:sz="4" w:space="0"/>
              <w:right w:val="single" w:color="auto" w:sz="4" w:space="0"/>
            </w:tcBorders>
            <w:noWrap w:val="0"/>
            <w:vAlign w:val="center"/>
          </w:tcPr>
          <w:p w14:paraId="2984DC34">
            <w:pPr>
              <w:rPr>
                <w:rFonts w:ascii="宋体" w:hAnsi="宋体"/>
                <w:sz w:val="24"/>
              </w:rPr>
            </w:pPr>
            <w:r>
              <w:rPr>
                <w:rFonts w:hint="eastAsia" w:ascii="宋体" w:hAnsi="宋体"/>
                <w:sz w:val="24"/>
              </w:rPr>
              <w:t>采购的质量、服务是否满意（2分）。</w:t>
            </w:r>
          </w:p>
        </w:tc>
        <w:tc>
          <w:tcPr>
            <w:tcW w:w="4704" w:type="dxa"/>
            <w:gridSpan w:val="3"/>
            <w:tcBorders>
              <w:top w:val="single" w:color="auto" w:sz="4" w:space="0"/>
              <w:left w:val="nil"/>
              <w:bottom w:val="single" w:color="auto" w:sz="4" w:space="0"/>
              <w:right w:val="single" w:color="auto" w:sz="4" w:space="0"/>
            </w:tcBorders>
            <w:noWrap w:val="0"/>
            <w:vAlign w:val="center"/>
          </w:tcPr>
          <w:p w14:paraId="7BF10F99">
            <w:pPr>
              <w:spacing w:line="500" w:lineRule="exact"/>
              <w:jc w:val="center"/>
              <w:rPr>
                <w:sz w:val="24"/>
              </w:rPr>
            </w:pPr>
          </w:p>
        </w:tc>
      </w:tr>
      <w:tr w14:paraId="7B62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14:paraId="6F09FDBC">
            <w:pPr>
              <w:widowControl/>
              <w:jc w:val="left"/>
              <w:rPr>
                <w:sz w:val="24"/>
              </w:rPr>
            </w:pPr>
          </w:p>
        </w:tc>
        <w:tc>
          <w:tcPr>
            <w:tcW w:w="3234" w:type="dxa"/>
            <w:gridSpan w:val="3"/>
            <w:tcBorders>
              <w:top w:val="single" w:color="auto" w:sz="4" w:space="0"/>
              <w:left w:val="nil"/>
              <w:bottom w:val="single" w:color="auto" w:sz="4" w:space="0"/>
              <w:right w:val="single" w:color="auto" w:sz="4" w:space="0"/>
            </w:tcBorders>
            <w:noWrap w:val="0"/>
            <w:vAlign w:val="center"/>
          </w:tcPr>
          <w:p w14:paraId="0A590E6B">
            <w:pPr>
              <w:spacing w:line="500" w:lineRule="exact"/>
              <w:jc w:val="center"/>
              <w:rPr>
                <w:sz w:val="24"/>
              </w:rPr>
            </w:pPr>
            <w:r>
              <w:rPr>
                <w:rFonts w:hint="eastAsia" w:ascii="宋体" w:hAnsi="宋体"/>
                <w:sz w:val="24"/>
              </w:rPr>
              <w:t>合计</w:t>
            </w:r>
          </w:p>
        </w:tc>
        <w:tc>
          <w:tcPr>
            <w:tcW w:w="4704" w:type="dxa"/>
            <w:gridSpan w:val="3"/>
            <w:tcBorders>
              <w:top w:val="single" w:color="auto" w:sz="4" w:space="0"/>
              <w:left w:val="nil"/>
              <w:bottom w:val="single" w:color="auto" w:sz="4" w:space="0"/>
              <w:right w:val="single" w:color="auto" w:sz="4" w:space="0"/>
            </w:tcBorders>
            <w:noWrap w:val="0"/>
            <w:vAlign w:val="center"/>
          </w:tcPr>
          <w:p w14:paraId="5353ABF1">
            <w:pPr>
              <w:spacing w:line="500" w:lineRule="exact"/>
              <w:jc w:val="center"/>
              <w:rPr>
                <w:sz w:val="24"/>
              </w:rPr>
            </w:pPr>
          </w:p>
        </w:tc>
      </w:tr>
      <w:tr w14:paraId="254F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642A09B4">
            <w:pPr>
              <w:jc w:val="center"/>
              <w:rPr>
                <w:sz w:val="24"/>
              </w:rPr>
            </w:pPr>
            <w:r>
              <w:rPr>
                <w:rFonts w:hint="eastAsia" w:ascii="宋体" w:hAnsi="宋体"/>
                <w:sz w:val="24"/>
              </w:rPr>
              <w:t>对代理机构的意见和建议</w:t>
            </w:r>
          </w:p>
        </w:tc>
        <w:tc>
          <w:tcPr>
            <w:tcW w:w="7938" w:type="dxa"/>
            <w:gridSpan w:val="6"/>
            <w:tcBorders>
              <w:top w:val="single" w:color="auto" w:sz="4" w:space="0"/>
              <w:left w:val="nil"/>
              <w:bottom w:val="single" w:color="auto" w:sz="4" w:space="0"/>
              <w:right w:val="single" w:color="auto" w:sz="4" w:space="0"/>
            </w:tcBorders>
            <w:noWrap w:val="0"/>
            <w:vAlign w:val="center"/>
          </w:tcPr>
          <w:p w14:paraId="61818460">
            <w:pPr>
              <w:jc w:val="center"/>
              <w:rPr>
                <w:sz w:val="24"/>
              </w:rPr>
            </w:pPr>
          </w:p>
        </w:tc>
      </w:tr>
      <w:tr w14:paraId="5A8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0D7693B0">
            <w:pPr>
              <w:jc w:val="center"/>
              <w:rPr>
                <w:sz w:val="24"/>
              </w:rPr>
            </w:pPr>
            <w:r>
              <w:rPr>
                <w:rFonts w:hint="eastAsia" w:ascii="宋体" w:hAnsi="宋体"/>
                <w:sz w:val="24"/>
              </w:rPr>
              <w:t>备注</w:t>
            </w:r>
          </w:p>
        </w:tc>
        <w:tc>
          <w:tcPr>
            <w:tcW w:w="7938" w:type="dxa"/>
            <w:gridSpan w:val="6"/>
            <w:tcBorders>
              <w:top w:val="single" w:color="auto" w:sz="4" w:space="0"/>
              <w:left w:val="nil"/>
              <w:bottom w:val="single" w:color="auto" w:sz="4" w:space="0"/>
              <w:right w:val="single" w:color="auto" w:sz="4" w:space="0"/>
            </w:tcBorders>
            <w:noWrap w:val="0"/>
            <w:vAlign w:val="center"/>
          </w:tcPr>
          <w:p w14:paraId="5CA3E7B4">
            <w:pPr>
              <w:jc w:val="center"/>
              <w:rPr>
                <w:sz w:val="24"/>
              </w:rPr>
            </w:pPr>
          </w:p>
        </w:tc>
      </w:tr>
    </w:tbl>
    <w:p w14:paraId="6782FB0B">
      <w:pPr>
        <w:spacing w:after="120"/>
        <w:ind w:right="1240"/>
        <w:rPr>
          <w:rFonts w:hint="eastAsia" w:ascii="宋体" w:hAnsi="宋体" w:cs="宋体"/>
          <w:sz w:val="24"/>
        </w:rPr>
      </w:pPr>
      <w:r>
        <w:rPr>
          <w:rFonts w:hint="eastAsia" w:ascii="宋体" w:hAnsi="宋体"/>
          <w:sz w:val="24"/>
        </w:rPr>
        <w:t>填表人签字盖章：</w:t>
      </w:r>
      <w:r>
        <w:rPr>
          <w:sz w:val="24"/>
        </w:rPr>
        <w:t xml:space="preserve">                    </w:t>
      </w:r>
      <w:r>
        <w:rPr>
          <w:rFonts w:hint="eastAsia" w:ascii="宋体" w:hAnsi="宋体"/>
          <w:sz w:val="24"/>
        </w:rPr>
        <w:t>日期</w:t>
      </w:r>
    </w:p>
    <w:p w14:paraId="023E64ED">
      <w:pPr>
        <w:spacing w:after="120"/>
        <w:ind w:right="-154"/>
        <w:rPr>
          <w:rFonts w:ascii="宋体" w:hAnsi="宋体" w:cs="宋体"/>
        </w:rPr>
      </w:pPr>
      <w:r>
        <w:rPr>
          <w:rFonts w:hint="eastAsia" w:ascii="宋体" w:hAnsi="宋体" w:cs="宋体"/>
          <w:szCs w:val="21"/>
        </w:rPr>
        <w:t>注：投标单位须加盖单位红章。</w:t>
      </w:r>
    </w:p>
    <w:p w14:paraId="000667A4">
      <w:pPr>
        <w:keepNext/>
        <w:keepLines/>
        <w:spacing w:before="260" w:after="260" w:line="416" w:lineRule="auto"/>
        <w:outlineLvl w:val="1"/>
        <w:rPr>
          <w:rFonts w:hint="eastAsia" w:ascii="宋体" w:hAnsi="宋体"/>
          <w:bCs/>
          <w:sz w:val="24"/>
          <w:szCs w:val="32"/>
        </w:rPr>
      </w:pPr>
      <w:bookmarkStart w:id="132" w:name="_Toc15370811"/>
      <w:bookmarkStart w:id="133" w:name="_Toc16061443"/>
      <w:bookmarkStart w:id="134" w:name="_Toc14942629"/>
      <w:bookmarkStart w:id="135" w:name="_Toc10751"/>
      <w:bookmarkStart w:id="136" w:name="_Toc11911"/>
      <w:bookmarkStart w:id="137" w:name="_Toc16994"/>
      <w:r>
        <w:rPr>
          <w:rFonts w:hint="eastAsia" w:ascii="宋体" w:hAnsi="宋体"/>
          <w:bCs/>
          <w:sz w:val="24"/>
          <w:szCs w:val="32"/>
        </w:rPr>
        <w:t>附件十</w:t>
      </w:r>
      <w:r>
        <w:rPr>
          <w:rFonts w:hint="eastAsia" w:ascii="宋体" w:hAnsi="宋体"/>
          <w:bCs/>
          <w:sz w:val="24"/>
          <w:szCs w:val="32"/>
          <w:lang w:val="en-US" w:eastAsia="zh-CN"/>
        </w:rPr>
        <w:t>七</w:t>
      </w:r>
      <w:r>
        <w:rPr>
          <w:rFonts w:hint="eastAsia" w:ascii="宋体" w:hAnsi="宋体"/>
          <w:bCs/>
          <w:sz w:val="24"/>
          <w:szCs w:val="32"/>
        </w:rPr>
        <w:t>：履约保证金办理保函需提供资料</w:t>
      </w:r>
      <w:bookmarkEnd w:id="132"/>
      <w:bookmarkEnd w:id="133"/>
      <w:bookmarkEnd w:id="134"/>
      <w:bookmarkEnd w:id="135"/>
      <w:bookmarkEnd w:id="136"/>
      <w:bookmarkEnd w:id="137"/>
    </w:p>
    <w:p w14:paraId="4980583B">
      <w:pPr>
        <w:spacing w:after="120"/>
        <w:ind w:right="-154"/>
        <w:rPr>
          <w:rFonts w:hint="eastAsia"/>
          <w:sz w:val="24"/>
        </w:rPr>
      </w:pPr>
    </w:p>
    <w:p w14:paraId="56459E6C">
      <w:pPr>
        <w:spacing w:after="120"/>
        <w:ind w:right="-154"/>
        <w:jc w:val="center"/>
        <w:rPr>
          <w:rFonts w:hint="eastAsia"/>
          <w:b/>
          <w:sz w:val="44"/>
          <w:szCs w:val="44"/>
        </w:rPr>
      </w:pPr>
      <w:r>
        <w:rPr>
          <w:rFonts w:hint="eastAsia"/>
          <w:b/>
          <w:sz w:val="44"/>
          <w:szCs w:val="44"/>
        </w:rPr>
        <w:t>履约保证金办理保函需提供资料</w:t>
      </w:r>
    </w:p>
    <w:p w14:paraId="5C219EB1">
      <w:pPr>
        <w:numPr>
          <w:ilvl w:val="0"/>
          <w:numId w:val="21"/>
        </w:numPr>
        <w:spacing w:line="800" w:lineRule="exact"/>
        <w:jc w:val="left"/>
        <w:rPr>
          <w:sz w:val="30"/>
          <w:szCs w:val="30"/>
        </w:rPr>
      </w:pPr>
      <w:r>
        <w:rPr>
          <w:rFonts w:hint="eastAsia"/>
          <w:sz w:val="30"/>
          <w:szCs w:val="30"/>
        </w:rPr>
        <w:t>营业执照</w:t>
      </w:r>
    </w:p>
    <w:p w14:paraId="2497A27F">
      <w:pPr>
        <w:numPr>
          <w:ilvl w:val="0"/>
          <w:numId w:val="21"/>
        </w:numPr>
        <w:spacing w:line="800" w:lineRule="exact"/>
        <w:jc w:val="left"/>
        <w:rPr>
          <w:sz w:val="30"/>
          <w:szCs w:val="30"/>
        </w:rPr>
      </w:pPr>
      <w:r>
        <w:rPr>
          <w:rFonts w:hint="eastAsia"/>
          <w:sz w:val="30"/>
          <w:szCs w:val="30"/>
        </w:rPr>
        <w:t>法人身份证</w:t>
      </w:r>
    </w:p>
    <w:p w14:paraId="18E0BC7E">
      <w:pPr>
        <w:numPr>
          <w:ilvl w:val="0"/>
          <w:numId w:val="21"/>
        </w:numPr>
        <w:spacing w:line="800" w:lineRule="exact"/>
        <w:jc w:val="left"/>
        <w:rPr>
          <w:sz w:val="30"/>
          <w:szCs w:val="30"/>
        </w:rPr>
      </w:pPr>
      <w:r>
        <w:rPr>
          <w:rFonts w:hint="eastAsia"/>
          <w:sz w:val="30"/>
          <w:szCs w:val="30"/>
        </w:rPr>
        <w:t>近两年财务报表</w:t>
      </w:r>
    </w:p>
    <w:p w14:paraId="60CCF96B">
      <w:pPr>
        <w:numPr>
          <w:ilvl w:val="0"/>
          <w:numId w:val="21"/>
        </w:numPr>
        <w:spacing w:line="800" w:lineRule="exact"/>
        <w:jc w:val="left"/>
        <w:rPr>
          <w:sz w:val="30"/>
          <w:szCs w:val="30"/>
        </w:rPr>
      </w:pPr>
      <w:r>
        <w:rPr>
          <w:rFonts w:hint="eastAsia"/>
          <w:sz w:val="30"/>
          <w:szCs w:val="30"/>
        </w:rPr>
        <w:t>资质证书或安装，维修证书</w:t>
      </w:r>
    </w:p>
    <w:p w14:paraId="6B85A985">
      <w:pPr>
        <w:numPr>
          <w:ilvl w:val="0"/>
          <w:numId w:val="21"/>
        </w:numPr>
        <w:spacing w:line="800" w:lineRule="exact"/>
        <w:jc w:val="left"/>
        <w:rPr>
          <w:sz w:val="30"/>
          <w:szCs w:val="30"/>
        </w:rPr>
      </w:pPr>
      <w:r>
        <w:rPr>
          <w:rFonts w:hint="eastAsia"/>
          <w:sz w:val="30"/>
          <w:szCs w:val="30"/>
        </w:rPr>
        <w:t>中标通知书</w:t>
      </w:r>
    </w:p>
    <w:p w14:paraId="23F026A5">
      <w:pPr>
        <w:numPr>
          <w:ilvl w:val="0"/>
          <w:numId w:val="21"/>
        </w:numPr>
        <w:spacing w:line="800" w:lineRule="exact"/>
        <w:jc w:val="left"/>
        <w:rPr>
          <w:sz w:val="30"/>
          <w:szCs w:val="30"/>
        </w:rPr>
      </w:pPr>
      <w:r>
        <w:rPr>
          <w:rFonts w:hint="eastAsia"/>
          <w:sz w:val="30"/>
          <w:szCs w:val="30"/>
        </w:rPr>
        <w:t>招标文件电子版</w:t>
      </w:r>
    </w:p>
    <w:p w14:paraId="7EBCD5AF">
      <w:pPr>
        <w:numPr>
          <w:ilvl w:val="0"/>
          <w:numId w:val="21"/>
        </w:numPr>
        <w:spacing w:line="800" w:lineRule="exact"/>
        <w:jc w:val="left"/>
        <w:rPr>
          <w:sz w:val="30"/>
          <w:szCs w:val="30"/>
        </w:rPr>
      </w:pPr>
      <w:r>
        <w:rPr>
          <w:rFonts w:hint="eastAsia"/>
          <w:sz w:val="30"/>
          <w:szCs w:val="30"/>
        </w:rPr>
        <w:t>信用反担保函</w:t>
      </w:r>
    </w:p>
    <w:p w14:paraId="1011F844">
      <w:pPr>
        <w:spacing w:line="800" w:lineRule="exact"/>
        <w:jc w:val="left"/>
        <w:rPr>
          <w:sz w:val="30"/>
          <w:szCs w:val="30"/>
        </w:rPr>
      </w:pPr>
      <w:r>
        <w:rPr>
          <w:rFonts w:hint="eastAsia"/>
          <w:sz w:val="30"/>
          <w:szCs w:val="30"/>
        </w:rPr>
        <w:t>注：所有资料复印件加盖公章</w:t>
      </w:r>
    </w:p>
    <w:p w14:paraId="29586992">
      <w:pPr>
        <w:spacing w:after="120"/>
        <w:ind w:right="-154"/>
        <w:rPr>
          <w:rFonts w:hint="eastAsia"/>
          <w:b/>
          <w:sz w:val="30"/>
          <w:szCs w:val="30"/>
        </w:rPr>
      </w:pPr>
    </w:p>
    <w:p w14:paraId="3681784D">
      <w:pPr>
        <w:spacing w:after="120"/>
        <w:ind w:right="-154"/>
        <w:rPr>
          <w:rFonts w:hint="eastAsia"/>
          <w:b/>
          <w:sz w:val="30"/>
          <w:szCs w:val="30"/>
        </w:rPr>
      </w:pPr>
    </w:p>
    <w:p w14:paraId="56CF9302">
      <w:pPr>
        <w:spacing w:after="120"/>
        <w:ind w:right="-154"/>
        <w:rPr>
          <w:rFonts w:hint="eastAsia"/>
          <w:b/>
          <w:sz w:val="30"/>
          <w:szCs w:val="30"/>
        </w:rPr>
      </w:pPr>
    </w:p>
    <w:p w14:paraId="3754B9D4">
      <w:pPr>
        <w:spacing w:after="120"/>
        <w:ind w:right="-154"/>
        <w:rPr>
          <w:rFonts w:hint="eastAsia"/>
          <w:b/>
          <w:sz w:val="30"/>
          <w:szCs w:val="30"/>
        </w:rPr>
      </w:pPr>
    </w:p>
    <w:p w14:paraId="194508B6">
      <w:pPr>
        <w:spacing w:after="120"/>
        <w:ind w:right="-154"/>
        <w:rPr>
          <w:rFonts w:hint="eastAsia"/>
          <w:b/>
          <w:sz w:val="30"/>
          <w:szCs w:val="30"/>
        </w:rPr>
      </w:pPr>
    </w:p>
    <w:p w14:paraId="5F724848">
      <w:pPr>
        <w:spacing w:after="120"/>
        <w:ind w:right="-154"/>
        <w:rPr>
          <w:rFonts w:hint="eastAsia"/>
          <w:b/>
          <w:sz w:val="30"/>
          <w:szCs w:val="30"/>
        </w:rPr>
      </w:pPr>
    </w:p>
    <w:p w14:paraId="23C427DD">
      <w:pPr>
        <w:spacing w:after="120"/>
        <w:ind w:right="-154"/>
        <w:rPr>
          <w:rFonts w:hint="eastAsia"/>
          <w:b/>
          <w:sz w:val="30"/>
          <w:szCs w:val="30"/>
        </w:rPr>
      </w:pPr>
    </w:p>
    <w:p w14:paraId="2C975FDA">
      <w:pPr>
        <w:pageBreakBefore/>
        <w:spacing w:line="360" w:lineRule="auto"/>
        <w:jc w:val="center"/>
        <w:rPr>
          <w:rFonts w:ascii="仿宋_GB2312" w:hAnsi="宋体" w:eastAsia="仿宋_GB2312" w:cs="宋体"/>
          <w:sz w:val="36"/>
          <w:szCs w:val="36"/>
        </w:rPr>
      </w:pPr>
      <w:r>
        <w:rPr>
          <w:rFonts w:hint="eastAsia" w:ascii="仿宋_GB2312" w:hAnsi="宋体" w:eastAsia="仿宋_GB2312" w:cs="宋体"/>
          <w:sz w:val="36"/>
          <w:szCs w:val="36"/>
        </w:rPr>
        <w:t>信用反担保保证函</w:t>
      </w:r>
    </w:p>
    <w:p w14:paraId="7100E576">
      <w:pPr>
        <w:spacing w:line="520" w:lineRule="exact"/>
        <w:rPr>
          <w:rFonts w:ascii="宋体" w:hAnsi="宋体" w:cs="宋体"/>
          <w:sz w:val="24"/>
        </w:rPr>
      </w:pPr>
      <w:r>
        <w:rPr>
          <w:rFonts w:hint="eastAsia" w:ascii="宋体" w:hAnsi="宋体" w:cs="宋体"/>
          <w:sz w:val="24"/>
        </w:rPr>
        <w:t>中国人民财产保险股份有限公司</w:t>
      </w:r>
      <w:r>
        <w:rPr>
          <w:rFonts w:hint="eastAsia" w:ascii="宋体" w:hAnsi="宋体" w:cs="宋体"/>
          <w:b/>
          <w:bCs/>
          <w:sz w:val="24"/>
          <w:u w:val="single"/>
        </w:rPr>
        <w:t>东阳</w:t>
      </w:r>
      <w:r>
        <w:rPr>
          <w:rFonts w:hint="eastAsia" w:ascii="宋体" w:hAnsi="宋体" w:cs="宋体"/>
          <w:sz w:val="24"/>
        </w:rPr>
        <w:t>支公司：</w:t>
      </w:r>
    </w:p>
    <w:p w14:paraId="5D22F898">
      <w:pPr>
        <w:spacing w:line="520" w:lineRule="exact"/>
        <w:ind w:firstLine="480" w:firstLineChars="200"/>
        <w:rPr>
          <w:rFonts w:ascii="宋体" w:hAnsi="宋体" w:cs="宋体"/>
          <w:b/>
          <w:bCs/>
          <w:sz w:val="24"/>
          <w:u w:val="single"/>
        </w:rPr>
      </w:pPr>
      <w:r>
        <w:rPr>
          <w:rFonts w:hint="eastAsia" w:ascii="宋体" w:hAnsi="宋体" w:cs="宋体"/>
          <w:sz w:val="24"/>
        </w:rPr>
        <w:t>鉴于中国人民财产保险股份有限公司</w:t>
      </w:r>
      <w:r>
        <w:rPr>
          <w:rFonts w:hint="eastAsia" w:ascii="宋体" w:hAnsi="宋体" w:cs="宋体"/>
          <w:b/>
          <w:bCs/>
          <w:sz w:val="24"/>
          <w:u w:val="single"/>
        </w:rPr>
        <w:t>东阳</w:t>
      </w:r>
      <w:r>
        <w:rPr>
          <w:rFonts w:hint="eastAsia" w:ascii="宋体" w:hAnsi="宋体" w:cs="宋体"/>
          <w:sz w:val="24"/>
        </w:rPr>
        <w:t>支公司向</w:t>
      </w:r>
    </w:p>
    <w:p w14:paraId="50E178C1">
      <w:pPr>
        <w:spacing w:line="520" w:lineRule="exact"/>
        <w:ind w:firstLine="482" w:firstLineChars="200"/>
        <w:jc w:val="left"/>
        <w:rPr>
          <w:rFonts w:ascii="宋体" w:hAnsi="宋体" w:cs="宋体"/>
          <w:sz w:val="24"/>
          <w:u w:val="single"/>
        </w:rPr>
      </w:pPr>
      <w:r>
        <w:rPr>
          <w:rFonts w:hint="eastAsia" w:ascii="宋体" w:hAnsi="宋体" w:cs="宋体"/>
          <w:b/>
          <w:bCs/>
          <w:sz w:val="24"/>
          <w:u w:val="single"/>
        </w:rPr>
        <w:t xml:space="preserve">             </w:t>
      </w:r>
      <w:r>
        <w:rPr>
          <w:rFonts w:hint="eastAsia" w:ascii="宋体" w:hAnsi="宋体" w:cs="宋体"/>
          <w:sz w:val="24"/>
        </w:rPr>
        <w:t>公司出具《供货</w:t>
      </w:r>
      <w:r>
        <w:rPr>
          <w:rFonts w:ascii="宋体" w:hAnsi="宋体" w:cs="宋体"/>
          <w:sz w:val="24"/>
        </w:rPr>
        <w:t>履约保证保险》保单</w:t>
      </w:r>
      <w:r>
        <w:rPr>
          <w:rFonts w:hint="eastAsia" w:ascii="宋体" w:hAnsi="宋体" w:cs="宋体"/>
          <w:sz w:val="24"/>
        </w:rPr>
        <w:t>（保单编号：</w:t>
      </w:r>
      <w:r>
        <w:rPr>
          <w:rFonts w:hint="eastAsia" w:ascii="宋体" w:hAnsi="宋体" w:cs="宋体"/>
          <w:sz w:val="24"/>
          <w:u w:val="single"/>
        </w:rPr>
        <w:t xml:space="preserve">               </w:t>
      </w:r>
      <w:r>
        <w:rPr>
          <w:rFonts w:hint="eastAsia" w:ascii="宋体" w:hAnsi="宋体" w:cs="宋体"/>
          <w:sz w:val="24"/>
        </w:rPr>
        <w:t>）</w:t>
      </w:r>
      <w:r>
        <w:rPr>
          <w:rFonts w:ascii="宋体" w:hAnsi="宋体" w:cs="宋体"/>
          <w:sz w:val="24"/>
        </w:rPr>
        <w:t>，</w:t>
      </w:r>
      <w:r>
        <w:rPr>
          <w:rFonts w:hint="eastAsia" w:ascii="宋体" w:hAnsi="宋体" w:cs="宋体"/>
          <w:sz w:val="24"/>
        </w:rPr>
        <w:t>并</w:t>
      </w:r>
      <w:r>
        <w:rPr>
          <w:rFonts w:ascii="宋体" w:hAnsi="宋体" w:cs="宋体"/>
          <w:sz w:val="24"/>
        </w:rPr>
        <w:t>承担</w:t>
      </w:r>
      <w:r>
        <w:rPr>
          <w:rFonts w:hint="eastAsia" w:ascii="宋体" w:hAnsi="宋体" w:cs="宋体"/>
          <w:sz w:val="24"/>
        </w:rPr>
        <w:t>相应的</w:t>
      </w:r>
      <w:r>
        <w:rPr>
          <w:rFonts w:ascii="宋体" w:hAnsi="宋体" w:cs="宋体"/>
          <w:sz w:val="24"/>
        </w:rPr>
        <w:t>保险责任（具体以保险</w:t>
      </w:r>
      <w:r>
        <w:rPr>
          <w:rFonts w:hint="eastAsia" w:ascii="宋体" w:hAnsi="宋体" w:cs="宋体"/>
          <w:sz w:val="24"/>
        </w:rPr>
        <w:t>合同</w:t>
      </w:r>
      <w:r>
        <w:rPr>
          <w:rFonts w:ascii="宋体" w:hAnsi="宋体" w:cs="宋体"/>
          <w:sz w:val="24"/>
        </w:rPr>
        <w:t>条款</w:t>
      </w:r>
      <w:r>
        <w:rPr>
          <w:rFonts w:hint="eastAsia" w:ascii="宋体" w:hAnsi="宋体" w:cs="宋体"/>
          <w:sz w:val="24"/>
        </w:rPr>
        <w:t>为</w:t>
      </w:r>
      <w:r>
        <w:rPr>
          <w:rFonts w:ascii="宋体" w:hAnsi="宋体" w:cs="宋体"/>
          <w:sz w:val="24"/>
        </w:rPr>
        <w:t>准）</w:t>
      </w:r>
      <w:r>
        <w:rPr>
          <w:rFonts w:hint="eastAsia" w:ascii="宋体" w:hAnsi="宋体" w:cs="宋体"/>
          <w:sz w:val="24"/>
        </w:rPr>
        <w:t>，最</w:t>
      </w:r>
      <w:r>
        <w:rPr>
          <w:rFonts w:ascii="宋体" w:hAnsi="宋体" w:cs="宋体"/>
          <w:sz w:val="24"/>
        </w:rPr>
        <w:t>高保险金额为人民币（大写）</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w:t>
      </w:r>
      <w:r>
        <w:rPr>
          <w:rFonts w:ascii="宋体" w:hAnsi="宋体" w:cs="宋体"/>
          <w:sz w:val="24"/>
        </w:rPr>
        <w:t>小写</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）；为促进该业务的良好开展，</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p>
    <w:p w14:paraId="2E7A19E6">
      <w:pPr>
        <w:spacing w:line="520" w:lineRule="exact"/>
        <w:rPr>
          <w:rFonts w:ascii="宋体" w:hAnsi="宋体" w:cs="宋体"/>
          <w:sz w:val="24"/>
        </w:rPr>
      </w:pPr>
      <w:r>
        <w:rPr>
          <w:rFonts w:hint="eastAsia" w:ascii="宋体" w:hAnsi="宋体" w:cs="宋体"/>
          <w:sz w:val="24"/>
        </w:rPr>
        <w:t>有限责任公司（以下称</w:t>
      </w:r>
      <w:r>
        <w:rPr>
          <w:rFonts w:ascii="宋体" w:hAnsi="宋体" w:cs="宋体"/>
          <w:sz w:val="24"/>
        </w:rPr>
        <w:t>本信用反担保保证人</w:t>
      </w:r>
      <w:r>
        <w:rPr>
          <w:rFonts w:hint="eastAsia" w:ascii="宋体" w:hAnsi="宋体" w:cs="宋体"/>
          <w:sz w:val="24"/>
        </w:rPr>
        <w:t>）愿意为中国人民财产保险股份有限公司</w:t>
      </w:r>
      <w:r>
        <w:rPr>
          <w:rFonts w:hint="eastAsia" w:ascii="宋体" w:hAnsi="宋体" w:cs="宋体"/>
          <w:b/>
          <w:bCs/>
          <w:sz w:val="24"/>
          <w:u w:val="single"/>
        </w:rPr>
        <w:t>东阳</w:t>
      </w:r>
      <w:r>
        <w:rPr>
          <w:rFonts w:hint="eastAsia" w:ascii="宋体" w:hAnsi="宋体" w:cs="宋体"/>
          <w:sz w:val="24"/>
        </w:rPr>
        <w:t>支公司在保险合同项下的一系列保险保障提供信用</w:t>
      </w:r>
      <w:r>
        <w:rPr>
          <w:rFonts w:ascii="宋体" w:hAnsi="宋体" w:cs="宋体"/>
          <w:sz w:val="24"/>
        </w:rPr>
        <w:t>反</w:t>
      </w:r>
      <w:r>
        <w:rPr>
          <w:rFonts w:hint="eastAsia" w:ascii="宋体" w:hAnsi="宋体" w:cs="宋体"/>
          <w:sz w:val="24"/>
        </w:rPr>
        <w:t>担</w:t>
      </w:r>
      <w:r>
        <w:rPr>
          <w:rFonts w:ascii="宋体" w:hAnsi="宋体" w:cs="宋体"/>
          <w:sz w:val="24"/>
        </w:rPr>
        <w:t>保</w:t>
      </w:r>
      <w:r>
        <w:rPr>
          <w:rFonts w:hint="eastAsia" w:ascii="宋体" w:hAnsi="宋体" w:cs="宋体"/>
          <w:sz w:val="24"/>
        </w:rPr>
        <w:t>保证</w:t>
      </w:r>
      <w:r>
        <w:rPr>
          <w:rFonts w:ascii="宋体" w:hAnsi="宋体" w:cs="宋体"/>
          <w:sz w:val="24"/>
        </w:rPr>
        <w:t>，同意</w:t>
      </w:r>
      <w:r>
        <w:rPr>
          <w:rFonts w:hint="eastAsia" w:ascii="宋体" w:hAnsi="宋体" w:cs="宋体"/>
          <w:sz w:val="24"/>
        </w:rPr>
        <w:t>履行</w:t>
      </w:r>
      <w:r>
        <w:rPr>
          <w:rFonts w:ascii="宋体" w:hAnsi="宋体" w:cs="宋体"/>
          <w:sz w:val="24"/>
        </w:rPr>
        <w:t>以下保证内容：</w:t>
      </w:r>
    </w:p>
    <w:p w14:paraId="6FD2E329">
      <w:pPr>
        <w:spacing w:line="520" w:lineRule="exact"/>
        <w:ind w:firstLine="600" w:firstLineChars="250"/>
        <w:rPr>
          <w:rFonts w:ascii="宋体" w:hAnsi="宋体" w:cs="宋体"/>
          <w:sz w:val="24"/>
        </w:rPr>
      </w:pPr>
      <w:r>
        <w:rPr>
          <w:rFonts w:hint="eastAsia" w:ascii="宋体" w:hAnsi="宋体" w:cs="宋体"/>
          <w:sz w:val="24"/>
        </w:rPr>
        <w:t>一、 本</w:t>
      </w:r>
      <w:r>
        <w:rPr>
          <w:rFonts w:ascii="宋体" w:hAnsi="宋体" w:cs="宋体"/>
          <w:sz w:val="24"/>
        </w:rPr>
        <w:t>信用反担保</w:t>
      </w:r>
      <w:r>
        <w:rPr>
          <w:rFonts w:hint="eastAsia" w:ascii="宋体" w:hAnsi="宋体" w:cs="宋体"/>
          <w:sz w:val="24"/>
        </w:rPr>
        <w:t>保证</w:t>
      </w:r>
      <w:r>
        <w:rPr>
          <w:rFonts w:ascii="宋体" w:hAnsi="宋体" w:cs="宋体"/>
          <w:sz w:val="24"/>
        </w:rPr>
        <w:t>人同意承担的保证范围：</w:t>
      </w:r>
    </w:p>
    <w:p w14:paraId="3DF5BA26">
      <w:pPr>
        <w:spacing w:line="52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一）</w:t>
      </w:r>
      <w:r>
        <w:rPr>
          <w:rFonts w:hint="eastAsia" w:ascii="宋体" w:hAnsi="宋体" w:cs="宋体"/>
          <w:sz w:val="24"/>
        </w:rPr>
        <w:t>中国人民财产保险股份有限公司</w:t>
      </w:r>
      <w:r>
        <w:rPr>
          <w:rFonts w:hint="eastAsia" w:ascii="宋体" w:hAnsi="宋体" w:cs="宋体"/>
          <w:b/>
          <w:bCs/>
          <w:sz w:val="24"/>
          <w:u w:val="single"/>
        </w:rPr>
        <w:t>东阳</w:t>
      </w:r>
      <w:r>
        <w:rPr>
          <w:rFonts w:hint="eastAsia" w:ascii="宋体" w:hAnsi="宋体" w:cs="宋体"/>
          <w:sz w:val="24"/>
        </w:rPr>
        <w:t>支公司承保</w:t>
      </w:r>
      <w:r>
        <w:rPr>
          <w:rFonts w:ascii="宋体" w:hAnsi="宋体" w:cs="宋体"/>
          <w:sz w:val="24"/>
        </w:rPr>
        <w:t>的</w:t>
      </w:r>
      <w:r>
        <w:rPr>
          <w:rFonts w:hint="eastAsia" w:ascii="宋体" w:hAnsi="宋体" w:cs="宋体"/>
          <w:sz w:val="24"/>
        </w:rPr>
        <w:t>保单号为：</w:t>
      </w:r>
      <w:r>
        <w:rPr>
          <w:rFonts w:hint="eastAsia" w:ascii="宋体" w:hAnsi="宋体" w:cs="宋体"/>
          <w:sz w:val="24"/>
          <w:u w:val="single"/>
        </w:rPr>
        <w:t xml:space="preserve">         </w:t>
      </w:r>
      <w:r>
        <w:rPr>
          <w:rFonts w:hint="eastAsia" w:ascii="宋体" w:hAnsi="宋体" w:cs="宋体"/>
          <w:sz w:val="24"/>
        </w:rPr>
        <w:t>的供货</w:t>
      </w:r>
      <w:r>
        <w:rPr>
          <w:rFonts w:ascii="宋体" w:hAnsi="宋体" w:cs="宋体"/>
          <w:sz w:val="24"/>
        </w:rPr>
        <w:t>履约保证保险</w:t>
      </w:r>
      <w:r>
        <w:rPr>
          <w:rFonts w:hint="eastAsia" w:ascii="宋体" w:hAnsi="宋体" w:cs="宋体"/>
          <w:sz w:val="24"/>
        </w:rPr>
        <w:t>合同约定的保险</w:t>
      </w:r>
      <w:r>
        <w:rPr>
          <w:rFonts w:ascii="宋体" w:hAnsi="宋体" w:cs="宋体"/>
          <w:sz w:val="24"/>
        </w:rPr>
        <w:t>责任</w:t>
      </w:r>
      <w:r>
        <w:rPr>
          <w:rFonts w:hint="eastAsia" w:ascii="宋体" w:hAnsi="宋体" w:cs="宋体"/>
          <w:sz w:val="24"/>
        </w:rPr>
        <w:t>、保险金额和履行</w:t>
      </w:r>
      <w:r>
        <w:rPr>
          <w:rFonts w:ascii="宋体" w:hAnsi="宋体" w:cs="宋体"/>
          <w:sz w:val="24"/>
        </w:rPr>
        <w:t>保证责任而</w:t>
      </w:r>
      <w:r>
        <w:rPr>
          <w:rFonts w:hint="eastAsia" w:ascii="宋体" w:hAnsi="宋体" w:cs="宋体"/>
          <w:sz w:val="24"/>
        </w:rPr>
        <w:t>实际</w:t>
      </w:r>
      <w:r>
        <w:rPr>
          <w:rFonts w:ascii="宋体" w:hAnsi="宋体" w:cs="宋体"/>
          <w:sz w:val="24"/>
        </w:rPr>
        <w:t>发生的费用</w:t>
      </w:r>
      <w:r>
        <w:rPr>
          <w:rFonts w:hint="eastAsia" w:ascii="宋体" w:hAnsi="宋体" w:cs="宋体"/>
          <w:sz w:val="24"/>
        </w:rPr>
        <w:t>（包括但不限于诉讼费、公告费、保全费、律师费等）</w:t>
      </w:r>
      <w:r>
        <w:rPr>
          <w:rFonts w:ascii="宋体" w:hAnsi="宋体" w:cs="宋体"/>
          <w:sz w:val="24"/>
        </w:rPr>
        <w:t>及损失</w:t>
      </w:r>
      <w:r>
        <w:rPr>
          <w:rFonts w:hint="eastAsia" w:ascii="宋体" w:hAnsi="宋体" w:cs="宋体"/>
          <w:sz w:val="24"/>
        </w:rPr>
        <w:t>；</w:t>
      </w:r>
    </w:p>
    <w:p w14:paraId="50A3E9F6">
      <w:pPr>
        <w:spacing w:line="52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二</w:t>
      </w:r>
      <w:r>
        <w:rPr>
          <w:rFonts w:hint="eastAsia" w:ascii="宋体" w:hAnsi="宋体" w:cs="宋体"/>
          <w:sz w:val="24"/>
        </w:rPr>
        <w:t>）</w:t>
      </w:r>
      <w:r>
        <w:rPr>
          <w:rFonts w:ascii="宋体" w:hAnsi="宋体" w:cs="宋体"/>
          <w:sz w:val="24"/>
        </w:rPr>
        <w:t>本信用反担保保证人承担保证责任的方式为连带保证责任。</w:t>
      </w:r>
    </w:p>
    <w:p w14:paraId="401EF907">
      <w:pPr>
        <w:spacing w:line="520" w:lineRule="exact"/>
        <w:ind w:firstLine="480" w:firstLineChars="200"/>
        <w:rPr>
          <w:rFonts w:ascii="宋体" w:hAnsi="宋体" w:cs="宋体"/>
          <w:sz w:val="24"/>
        </w:rPr>
      </w:pPr>
      <w:r>
        <w:rPr>
          <w:rFonts w:hint="eastAsia" w:ascii="宋体" w:hAnsi="宋体" w:cs="宋体"/>
          <w:sz w:val="24"/>
        </w:rPr>
        <w:t>二</w:t>
      </w:r>
      <w:r>
        <w:rPr>
          <w:rFonts w:ascii="宋体" w:hAnsi="宋体" w:cs="宋体"/>
          <w:sz w:val="24"/>
        </w:rPr>
        <w:t>、本信用反担保保证人承担</w:t>
      </w:r>
      <w:r>
        <w:rPr>
          <w:rFonts w:hint="eastAsia" w:ascii="宋体" w:hAnsi="宋体" w:cs="宋体"/>
          <w:sz w:val="24"/>
        </w:rPr>
        <w:t>的</w:t>
      </w:r>
      <w:r>
        <w:rPr>
          <w:rFonts w:ascii="宋体" w:hAnsi="宋体" w:cs="宋体"/>
          <w:sz w:val="24"/>
        </w:rPr>
        <w:t>保证</w:t>
      </w:r>
      <w:r>
        <w:rPr>
          <w:rFonts w:hint="eastAsia" w:ascii="宋体" w:hAnsi="宋体" w:cs="宋体"/>
          <w:sz w:val="24"/>
        </w:rPr>
        <w:t>期间</w:t>
      </w:r>
      <w:r>
        <w:rPr>
          <w:rFonts w:ascii="宋体" w:hAnsi="宋体" w:cs="宋体"/>
          <w:sz w:val="24"/>
        </w:rPr>
        <w:t>为：从</w:t>
      </w:r>
      <w:r>
        <w:rPr>
          <w:rFonts w:hint="eastAsia" w:ascii="宋体" w:hAnsi="宋体" w:cs="宋体"/>
          <w:sz w:val="24"/>
        </w:rPr>
        <w:t>中国人民财产保险股份有限公司</w:t>
      </w:r>
      <w:r>
        <w:rPr>
          <w:rFonts w:hint="eastAsia" w:ascii="宋体" w:hAnsi="宋体" w:cs="宋体"/>
          <w:b/>
          <w:bCs/>
          <w:sz w:val="24"/>
          <w:u w:val="single"/>
        </w:rPr>
        <w:t>东阳</w:t>
      </w:r>
      <w:r>
        <w:rPr>
          <w:rFonts w:hint="eastAsia" w:ascii="宋体" w:hAnsi="宋体" w:cs="宋体"/>
          <w:sz w:val="24"/>
        </w:rPr>
        <w:t>支公司与</w:t>
      </w:r>
      <w:r>
        <w:rPr>
          <w:rFonts w:ascii="宋体" w:hAnsi="宋体" w:cs="宋体"/>
          <w:sz w:val="24"/>
        </w:rPr>
        <w:t>本信用反担保保证人</w:t>
      </w:r>
      <w:r>
        <w:rPr>
          <w:rFonts w:hint="eastAsia" w:ascii="宋体" w:hAnsi="宋体" w:cs="宋体"/>
          <w:sz w:val="24"/>
        </w:rPr>
        <w:t>签订的</w:t>
      </w:r>
      <w:r>
        <w:rPr>
          <w:rFonts w:ascii="宋体" w:hAnsi="宋体" w:cs="宋体"/>
          <w:sz w:val="24"/>
        </w:rPr>
        <w:t>保险合</w:t>
      </w:r>
      <w:r>
        <w:rPr>
          <w:rFonts w:hint="eastAsia" w:ascii="宋体" w:hAnsi="宋体" w:cs="宋体"/>
          <w:sz w:val="24"/>
        </w:rPr>
        <w:t>同生效之日</w:t>
      </w:r>
      <w:r>
        <w:rPr>
          <w:rFonts w:ascii="宋体" w:hAnsi="宋体" w:cs="宋体"/>
          <w:sz w:val="24"/>
        </w:rPr>
        <w:t>起</w:t>
      </w:r>
      <w:r>
        <w:rPr>
          <w:rFonts w:hint="eastAsia" w:ascii="宋体" w:hAnsi="宋体" w:cs="宋体"/>
          <w:sz w:val="24"/>
        </w:rPr>
        <w:t>，</w:t>
      </w:r>
      <w:r>
        <w:rPr>
          <w:rFonts w:ascii="宋体" w:hAnsi="宋体" w:cs="宋体"/>
          <w:sz w:val="24"/>
        </w:rPr>
        <w:t>至</w:t>
      </w:r>
      <w:r>
        <w:rPr>
          <w:rFonts w:hint="eastAsia" w:ascii="宋体" w:hAnsi="宋体" w:cs="宋体"/>
          <w:sz w:val="24"/>
        </w:rPr>
        <w:t>保险</w:t>
      </w:r>
      <w:r>
        <w:rPr>
          <w:rFonts w:ascii="宋体" w:hAnsi="宋体" w:cs="宋体"/>
          <w:sz w:val="24"/>
        </w:rPr>
        <w:t>合同结束之日</w:t>
      </w:r>
      <w:r>
        <w:rPr>
          <w:rFonts w:hint="eastAsia" w:ascii="宋体" w:hAnsi="宋体" w:cs="宋体"/>
          <w:sz w:val="24"/>
        </w:rPr>
        <w:t>起的两年届满时</w:t>
      </w:r>
      <w:r>
        <w:rPr>
          <w:rFonts w:ascii="宋体" w:hAnsi="宋体" w:cs="宋体"/>
          <w:sz w:val="24"/>
        </w:rPr>
        <w:t>止。</w:t>
      </w:r>
    </w:p>
    <w:p w14:paraId="2EEC86E8">
      <w:pPr>
        <w:spacing w:line="520" w:lineRule="exact"/>
        <w:ind w:firstLine="480" w:firstLineChars="200"/>
        <w:rPr>
          <w:rFonts w:ascii="宋体" w:hAnsi="宋体" w:cs="宋体"/>
          <w:sz w:val="24"/>
        </w:rPr>
      </w:pPr>
      <w:r>
        <w:rPr>
          <w:rFonts w:hint="eastAsia" w:ascii="宋体" w:hAnsi="宋体" w:cs="宋体"/>
          <w:sz w:val="24"/>
        </w:rPr>
        <w:t>三</w:t>
      </w:r>
      <w:r>
        <w:rPr>
          <w:rFonts w:ascii="宋体" w:hAnsi="宋体" w:cs="宋体"/>
          <w:sz w:val="24"/>
        </w:rPr>
        <w:t>、</w:t>
      </w:r>
      <w:r>
        <w:rPr>
          <w:rFonts w:hint="eastAsia" w:ascii="宋体" w:hAnsi="宋体" w:cs="宋体"/>
          <w:sz w:val="24"/>
        </w:rPr>
        <w:t>中国人民财产保险股份有限公司</w:t>
      </w:r>
      <w:r>
        <w:rPr>
          <w:rFonts w:hint="eastAsia" w:ascii="宋体" w:hAnsi="宋体" w:cs="宋体"/>
          <w:b/>
          <w:bCs/>
          <w:sz w:val="24"/>
          <w:u w:val="single"/>
        </w:rPr>
        <w:t>东阳</w:t>
      </w:r>
      <w:r>
        <w:rPr>
          <w:rFonts w:hint="eastAsia" w:ascii="宋体" w:hAnsi="宋体" w:cs="宋体"/>
          <w:sz w:val="24"/>
        </w:rPr>
        <w:t>支公司所</w:t>
      </w:r>
      <w:r>
        <w:rPr>
          <w:rFonts w:ascii="宋体" w:hAnsi="宋体" w:cs="宋体"/>
          <w:sz w:val="24"/>
        </w:rPr>
        <w:t>承保的</w:t>
      </w:r>
      <w:r>
        <w:rPr>
          <w:rFonts w:hint="eastAsia" w:ascii="宋体" w:hAnsi="宋体" w:cs="宋体"/>
          <w:sz w:val="24"/>
        </w:rPr>
        <w:t>《供货</w:t>
      </w:r>
      <w:r>
        <w:rPr>
          <w:rFonts w:ascii="宋体" w:hAnsi="宋体" w:cs="宋体"/>
          <w:sz w:val="24"/>
        </w:rPr>
        <w:t>履约保证保险》</w:t>
      </w:r>
      <w:r>
        <w:rPr>
          <w:rFonts w:hint="eastAsia" w:ascii="宋体" w:hAnsi="宋体" w:cs="宋体"/>
          <w:sz w:val="24"/>
        </w:rPr>
        <w:t>合同</w:t>
      </w:r>
      <w:r>
        <w:rPr>
          <w:rFonts w:ascii="宋体" w:hAnsi="宋体" w:cs="宋体"/>
          <w:sz w:val="24"/>
        </w:rPr>
        <w:t>发生保险</w:t>
      </w:r>
      <w:r>
        <w:rPr>
          <w:rFonts w:hint="eastAsia" w:ascii="宋体" w:hAnsi="宋体" w:cs="宋体"/>
          <w:sz w:val="24"/>
        </w:rPr>
        <w:t>事故</w:t>
      </w:r>
      <w:r>
        <w:rPr>
          <w:rFonts w:ascii="宋体" w:hAnsi="宋体" w:cs="宋体"/>
          <w:sz w:val="24"/>
        </w:rPr>
        <w:t>后，有权要求</w:t>
      </w:r>
      <w:r>
        <w:rPr>
          <w:rFonts w:hint="eastAsia" w:ascii="宋体" w:hAnsi="宋体" w:cs="宋体"/>
          <w:sz w:val="24"/>
        </w:rPr>
        <w:t>本</w:t>
      </w:r>
      <w:r>
        <w:rPr>
          <w:rFonts w:ascii="宋体" w:hAnsi="宋体" w:cs="宋体"/>
          <w:sz w:val="24"/>
        </w:rPr>
        <w:t>信用反担保</w:t>
      </w:r>
      <w:r>
        <w:rPr>
          <w:rFonts w:hint="eastAsia" w:ascii="宋体" w:hAnsi="宋体" w:cs="宋体"/>
          <w:sz w:val="24"/>
        </w:rPr>
        <w:t>保证</w:t>
      </w:r>
      <w:r>
        <w:rPr>
          <w:rFonts w:ascii="宋体" w:hAnsi="宋体" w:cs="宋体"/>
          <w:sz w:val="24"/>
        </w:rPr>
        <w:t>人优先履行偿债</w:t>
      </w:r>
      <w:r>
        <w:rPr>
          <w:rFonts w:hint="eastAsia" w:ascii="宋体" w:hAnsi="宋体" w:cs="宋体"/>
          <w:sz w:val="24"/>
        </w:rPr>
        <w:t>责任，且</w:t>
      </w:r>
      <w:r>
        <w:rPr>
          <w:rFonts w:ascii="宋体" w:hAnsi="宋体" w:cs="宋体"/>
          <w:sz w:val="24"/>
        </w:rPr>
        <w:t>优先偿债</w:t>
      </w:r>
      <w:r>
        <w:rPr>
          <w:rFonts w:hint="eastAsia" w:ascii="宋体" w:hAnsi="宋体" w:cs="宋体"/>
          <w:sz w:val="24"/>
        </w:rPr>
        <w:t>比例为100%</w:t>
      </w:r>
      <w:r>
        <w:rPr>
          <w:rFonts w:ascii="宋体" w:hAnsi="宋体" w:cs="宋体"/>
          <w:sz w:val="24"/>
        </w:rPr>
        <w:t>。</w:t>
      </w:r>
    </w:p>
    <w:p w14:paraId="3BE30939">
      <w:pPr>
        <w:spacing w:line="520" w:lineRule="exact"/>
        <w:ind w:left="560"/>
        <w:rPr>
          <w:rFonts w:ascii="宋体" w:hAnsi="宋体" w:cs="宋体"/>
          <w:sz w:val="24"/>
        </w:rPr>
      </w:pPr>
      <w:r>
        <w:rPr>
          <w:rFonts w:hint="eastAsia" w:ascii="宋体" w:hAnsi="宋体" w:cs="宋体"/>
          <w:sz w:val="24"/>
        </w:rPr>
        <w:t>四</w:t>
      </w:r>
      <w:r>
        <w:rPr>
          <w:rFonts w:ascii="宋体" w:hAnsi="宋体" w:cs="宋体"/>
          <w:sz w:val="24"/>
        </w:rPr>
        <w:t>、本信用</w:t>
      </w:r>
      <w:r>
        <w:rPr>
          <w:rFonts w:hint="eastAsia" w:ascii="宋体" w:hAnsi="宋体" w:cs="宋体"/>
          <w:sz w:val="24"/>
        </w:rPr>
        <w:t>反</w:t>
      </w:r>
      <w:r>
        <w:rPr>
          <w:rFonts w:ascii="宋体" w:hAnsi="宋体" w:cs="宋体"/>
          <w:sz w:val="24"/>
        </w:rPr>
        <w:t>担保保证人放弃反</w:t>
      </w:r>
      <w:r>
        <w:rPr>
          <w:rFonts w:hint="eastAsia" w:ascii="宋体" w:hAnsi="宋体" w:cs="宋体"/>
          <w:sz w:val="24"/>
        </w:rPr>
        <w:t>担保</w:t>
      </w:r>
      <w:r>
        <w:rPr>
          <w:rFonts w:ascii="宋体" w:hAnsi="宋体" w:cs="宋体"/>
          <w:sz w:val="24"/>
        </w:rPr>
        <w:t>措施的优先偿债抗辩权。</w:t>
      </w:r>
    </w:p>
    <w:p w14:paraId="33E19EAF">
      <w:pPr>
        <w:spacing w:line="520" w:lineRule="exact"/>
        <w:rPr>
          <w:rFonts w:ascii="宋体" w:hAnsi="宋体" w:cs="宋体"/>
          <w:sz w:val="24"/>
        </w:rPr>
      </w:pPr>
    </w:p>
    <w:p w14:paraId="66FCF6D7">
      <w:pPr>
        <w:spacing w:line="520" w:lineRule="exact"/>
        <w:rPr>
          <w:rFonts w:ascii="宋体" w:hAnsi="宋体" w:cs="宋体"/>
          <w:sz w:val="24"/>
        </w:rPr>
      </w:pPr>
      <w:r>
        <w:rPr>
          <w:rFonts w:hint="eastAsia" w:ascii="宋体" w:hAnsi="宋体" w:cs="宋体"/>
          <w:sz w:val="24"/>
        </w:rPr>
        <w:t>信用反担保保证人：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ascii="宋体" w:hAnsi="宋体" w:cs="宋体"/>
          <w:sz w:val="24"/>
        </w:rPr>
        <w:t xml:space="preserve"> </w:t>
      </w:r>
    </w:p>
    <w:p w14:paraId="486ED10D">
      <w:pPr>
        <w:spacing w:line="520" w:lineRule="exact"/>
        <w:ind w:left="4680" w:hanging="4680" w:hangingChars="1950"/>
        <w:rPr>
          <w:rFonts w:ascii="宋体" w:hAnsi="宋体" w:cs="宋体"/>
          <w:sz w:val="24"/>
        </w:rPr>
      </w:pPr>
    </w:p>
    <w:p w14:paraId="12A208C9">
      <w:pPr>
        <w:spacing w:line="520" w:lineRule="exact"/>
        <w:ind w:left="5460" w:leftChars="2600" w:firstLine="360" w:firstLineChars="150"/>
        <w:rPr>
          <w:rFonts w:ascii="宋体" w:hAnsi="宋体" w:cs="宋体"/>
          <w:sz w:val="24"/>
        </w:rPr>
      </w:pPr>
      <w:r>
        <w:rPr>
          <w:rFonts w:hint="eastAsia" w:ascii="宋体" w:hAnsi="宋体" w:cs="宋体"/>
          <w:sz w:val="24"/>
        </w:rPr>
        <w:t xml:space="preserve">年  </w:t>
      </w:r>
      <w:r>
        <w:rPr>
          <w:rFonts w:ascii="宋体" w:hAnsi="宋体" w:cs="宋体"/>
          <w:sz w:val="24"/>
        </w:rPr>
        <w:t>月</w:t>
      </w:r>
      <w:r>
        <w:rPr>
          <w:rFonts w:hint="eastAsia" w:ascii="宋体" w:hAnsi="宋体" w:cs="宋体"/>
          <w:sz w:val="24"/>
        </w:rPr>
        <w:t xml:space="preserve">   </w:t>
      </w:r>
      <w:r>
        <w:rPr>
          <w:rFonts w:ascii="宋体" w:hAnsi="宋体" w:cs="宋体"/>
          <w:sz w:val="24"/>
        </w:rPr>
        <w:t>日</w:t>
      </w:r>
    </w:p>
    <w:p w14:paraId="07FD32D9">
      <w:pPr>
        <w:pStyle w:val="27"/>
        <w:ind w:firstLine="0" w:firstLineChars="0"/>
        <w:rPr>
          <w:rFonts w:ascii="宋体" w:hAnsi="宋体" w:cs="宋体"/>
        </w:rPr>
      </w:pPr>
    </w:p>
    <w:sectPr>
      <w:headerReference r:id="rId3" w:type="default"/>
      <w:footerReference r:id="rId4" w:type="default"/>
      <w:pgSz w:w="11906" w:h="16838"/>
      <w:pgMar w:top="1418" w:right="1418" w:bottom="1418" w:left="1417"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文鼎粗黑">
    <w:altName w:val="黑体"/>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DFKai-SB">
    <w:altName w:val="Microsoft JhengHei Light"/>
    <w:panose1 w:val="03000509000000000000"/>
    <w:charset w:val="88"/>
    <w:family w:val="script"/>
    <w:pitch w:val="default"/>
    <w:sig w:usb0="00000000" w:usb1="00000000" w:usb2="00000016" w:usb3="00000000" w:csb0="00100001" w:csb1="0000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Century">
    <w:panose1 w:val="02040604050505020304"/>
    <w:charset w:val="00"/>
    <w:family w:val="roman"/>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FFF82">
    <w:pPr>
      <w:pStyle w:val="44"/>
      <w:jc w:val="right"/>
      <w:rPr>
        <w:rFonts w:hint="eastAsia"/>
      </w:rPr>
    </w:pPr>
    <w:r>
      <w:fldChar w:fldCharType="begin"/>
    </w:r>
    <w:r>
      <w:instrText xml:space="preserve">PAGE   \* MERGEFORMAT</w:instrText>
    </w:r>
    <w:r>
      <w:fldChar w:fldCharType="separate"/>
    </w:r>
    <w:r>
      <w:rPr>
        <w:lang w:val="zh-CN"/>
      </w:rPr>
      <w:t>9</w:t>
    </w:r>
    <w:r>
      <w:fldChar w:fldCharType="end"/>
    </w:r>
    <w:r>
      <w:rPr>
        <w:rFonts w:hint="eastAsia"/>
      </w:rPr>
      <w:t xml:space="preserve">                          东阳市鑫盛工程咨询有限公司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5FAFE">
    <w:pPr>
      <w:pStyle w:val="45"/>
      <w:jc w:val="left"/>
      <w:rPr>
        <w:rFonts w:hint="eastAsia"/>
      </w:rPr>
    </w:pPr>
    <w:r>
      <w:rPr>
        <w:rFonts w:hint="eastAsia"/>
        <w:lang w:eastAsia="zh-CN"/>
      </w:rPr>
      <w:t>东阳市白云、南马应急救援中心项目厨房设备、电器设备、家具采购项目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CD1D48"/>
    <w:multiLevelType w:val="singleLevel"/>
    <w:tmpl w:val="A3CD1D48"/>
    <w:lvl w:ilvl="0" w:tentative="0">
      <w:start w:val="8"/>
      <w:numFmt w:val="decimal"/>
      <w:suff w:val="nothing"/>
      <w:lvlText w:val="%1、"/>
      <w:lvlJc w:val="left"/>
    </w:lvl>
  </w:abstractNum>
  <w:abstractNum w:abstractNumId="1">
    <w:nsid w:val="A51FCE1B"/>
    <w:multiLevelType w:val="singleLevel"/>
    <w:tmpl w:val="A51FCE1B"/>
    <w:lvl w:ilvl="0" w:tentative="0">
      <w:start w:val="2"/>
      <w:numFmt w:val="decimal"/>
      <w:suff w:val="nothing"/>
      <w:lvlText w:val="（%1）"/>
      <w:lvlJc w:val="left"/>
    </w:lvl>
  </w:abstractNum>
  <w:abstractNum w:abstractNumId="2">
    <w:nsid w:val="B5080C6E"/>
    <w:multiLevelType w:val="singleLevel"/>
    <w:tmpl w:val="B5080C6E"/>
    <w:lvl w:ilvl="0" w:tentative="0">
      <w:start w:val="1"/>
      <w:numFmt w:val="decimal"/>
      <w:suff w:val="nothing"/>
      <w:lvlText w:val="%1、"/>
      <w:lvlJc w:val="left"/>
      <w:pPr>
        <w:ind w:left="480" w:firstLine="0"/>
      </w:pPr>
    </w:lvl>
  </w:abstractNum>
  <w:abstractNum w:abstractNumId="3">
    <w:nsid w:val="C4077B4F"/>
    <w:multiLevelType w:val="singleLevel"/>
    <w:tmpl w:val="C4077B4F"/>
    <w:lvl w:ilvl="0" w:tentative="0">
      <w:start w:val="1"/>
      <w:numFmt w:val="decimal"/>
      <w:suff w:val="nothing"/>
      <w:lvlText w:val="%1、"/>
      <w:lvlJc w:val="left"/>
    </w:lvl>
  </w:abstractNum>
  <w:abstractNum w:abstractNumId="4">
    <w:nsid w:val="CBFA7AF1"/>
    <w:multiLevelType w:val="singleLevel"/>
    <w:tmpl w:val="CBFA7AF1"/>
    <w:lvl w:ilvl="0" w:tentative="0">
      <w:start w:val="1"/>
      <w:numFmt w:val="bullet"/>
      <w:pStyle w:val="311"/>
      <w:lvlText w:val=""/>
      <w:lvlJc w:val="left"/>
      <w:pPr>
        <w:tabs>
          <w:tab w:val="left" w:pos="1908"/>
        </w:tabs>
        <w:ind w:left="2328" w:hanging="420"/>
      </w:pPr>
      <w:rPr>
        <w:rFonts w:hint="default" w:ascii="Wingdings" w:hAnsi="Wingdings"/>
      </w:rPr>
    </w:lvl>
  </w:abstractNum>
  <w:abstractNum w:abstractNumId="5">
    <w:nsid w:val="CDFB07FC"/>
    <w:multiLevelType w:val="singleLevel"/>
    <w:tmpl w:val="CDFB07FC"/>
    <w:lvl w:ilvl="0" w:tentative="0">
      <w:start w:val="2"/>
      <w:numFmt w:val="decimal"/>
      <w:suff w:val="nothing"/>
      <w:lvlText w:val="%1、"/>
      <w:lvlJc w:val="left"/>
    </w:lvl>
  </w:abstractNum>
  <w:abstractNum w:abstractNumId="6">
    <w:nsid w:val="FC127A09"/>
    <w:multiLevelType w:val="singleLevel"/>
    <w:tmpl w:val="FC127A09"/>
    <w:lvl w:ilvl="0" w:tentative="0">
      <w:start w:val="6"/>
      <w:numFmt w:val="chineseCounting"/>
      <w:suff w:val="nothing"/>
      <w:lvlText w:val="（%1）"/>
      <w:lvlJc w:val="left"/>
      <w:rPr>
        <w:rFonts w:hint="eastAsia"/>
      </w:rPr>
    </w:lvl>
  </w:abstractNum>
  <w:abstractNum w:abstractNumId="7">
    <w:nsid w:val="FFFFFF80"/>
    <w:multiLevelType w:val="singleLevel"/>
    <w:tmpl w:val="FFFFFF80"/>
    <w:lvl w:ilvl="0" w:tentative="0">
      <w:start w:val="1"/>
      <w:numFmt w:val="bullet"/>
      <w:pStyle w:val="37"/>
      <w:lvlText w:val=""/>
      <w:lvlJc w:val="left"/>
      <w:pPr>
        <w:tabs>
          <w:tab w:val="left" w:pos="2182"/>
        </w:tabs>
        <w:ind w:left="2182" w:hanging="360"/>
      </w:pPr>
      <w:rPr>
        <w:rFonts w:hint="default" w:ascii="Wingdings" w:hAnsi="Wingdings"/>
      </w:rPr>
    </w:lvl>
  </w:abstractNum>
  <w:abstractNum w:abstractNumId="8">
    <w:nsid w:val="0000000A"/>
    <w:multiLevelType w:val="singleLevel"/>
    <w:tmpl w:val="0000000A"/>
    <w:lvl w:ilvl="0" w:tentative="0">
      <w:start w:val="1"/>
      <w:numFmt w:val="decimal"/>
      <w:pStyle w:val="387"/>
      <w:lvlText w:val="%1."/>
      <w:lvlJc w:val="left"/>
      <w:pPr>
        <w:tabs>
          <w:tab w:val="left" w:pos="360"/>
        </w:tabs>
        <w:ind w:left="360" w:hanging="360"/>
      </w:pPr>
      <w:rPr>
        <w:rFonts w:cs="Times New Roman"/>
      </w:rPr>
    </w:lvl>
  </w:abstractNum>
  <w:abstractNum w:abstractNumId="9">
    <w:nsid w:val="0000000D"/>
    <w:multiLevelType w:val="multilevel"/>
    <w:tmpl w:val="0000000D"/>
    <w:lvl w:ilvl="0" w:tentative="0">
      <w:start w:val="1"/>
      <w:numFmt w:val="japaneseCounting"/>
      <w:lvlText w:val="第%1章"/>
      <w:lvlJc w:val="left"/>
      <w:pPr>
        <w:tabs>
          <w:tab w:val="left" w:pos="1440"/>
        </w:tabs>
        <w:ind w:left="1440" w:hanging="1275"/>
      </w:pPr>
    </w:lvl>
    <w:lvl w:ilvl="1" w:tentative="0">
      <w:start w:val="1"/>
      <w:numFmt w:val="japaneseCounting"/>
      <w:lvlText w:val="%2、"/>
      <w:lvlJc w:val="left"/>
      <w:pPr>
        <w:tabs>
          <w:tab w:val="left" w:pos="1305"/>
        </w:tabs>
        <w:ind w:left="1305"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pStyle w:val="8"/>
      <w:lvlText w:val="%7."/>
      <w:lvlJc w:val="left"/>
      <w:pPr>
        <w:tabs>
          <w:tab w:val="left" w:pos="5040"/>
        </w:tabs>
        <w:ind w:left="5040" w:hanging="360"/>
      </w:pPr>
    </w:lvl>
    <w:lvl w:ilvl="7" w:tentative="0">
      <w:start w:val="1"/>
      <w:numFmt w:val="decimal"/>
      <w:pStyle w:val="9"/>
      <w:lvlText w:val="%8."/>
      <w:lvlJc w:val="left"/>
      <w:pPr>
        <w:tabs>
          <w:tab w:val="left" w:pos="5760"/>
        </w:tabs>
        <w:ind w:left="5760" w:hanging="360"/>
      </w:pPr>
    </w:lvl>
    <w:lvl w:ilvl="8" w:tentative="0">
      <w:start w:val="1"/>
      <w:numFmt w:val="decimal"/>
      <w:pStyle w:val="10"/>
      <w:lvlText w:val="%9."/>
      <w:lvlJc w:val="left"/>
      <w:pPr>
        <w:tabs>
          <w:tab w:val="left" w:pos="6480"/>
        </w:tabs>
        <w:ind w:left="6480" w:hanging="360"/>
      </w:pPr>
    </w:lvl>
  </w:abstractNum>
  <w:abstractNum w:abstractNumId="10">
    <w:nsid w:val="0000000F"/>
    <w:multiLevelType w:val="multilevel"/>
    <w:tmpl w:val="0000000F"/>
    <w:lvl w:ilvl="0" w:tentative="0">
      <w:start w:val="1"/>
      <w:numFmt w:val="decimal"/>
      <w:pStyle w:val="588"/>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142359DC"/>
    <w:multiLevelType w:val="singleLevel"/>
    <w:tmpl w:val="142359DC"/>
    <w:lvl w:ilvl="0" w:tentative="0">
      <w:start w:val="1"/>
      <w:numFmt w:val="decimal"/>
      <w:lvlText w:val="%1."/>
      <w:lvlJc w:val="left"/>
      <w:pPr>
        <w:tabs>
          <w:tab w:val="left" w:pos="312"/>
        </w:tabs>
      </w:pPr>
    </w:lvl>
  </w:abstractNum>
  <w:abstractNum w:abstractNumId="12">
    <w:nsid w:val="1C4E17D8"/>
    <w:multiLevelType w:val="multilevel"/>
    <w:tmpl w:val="1C4E17D8"/>
    <w:lvl w:ilvl="0" w:tentative="0">
      <w:start w:val="1"/>
      <w:numFmt w:val="bullet"/>
      <w:pStyle w:val="519"/>
      <w:lvlText w:val=""/>
      <w:lvlJc w:val="left"/>
      <w:pPr>
        <w:tabs>
          <w:tab w:val="left" w:pos="900"/>
        </w:tabs>
        <w:ind w:left="900" w:hanging="420"/>
      </w:pPr>
      <w:rPr>
        <w:rFonts w:hint="default" w:ascii="Wingdings" w:hAnsi="Wingdings"/>
      </w:rPr>
    </w:lvl>
    <w:lvl w:ilvl="1" w:tentative="0">
      <w:start w:val="1"/>
      <w:numFmt w:val="bullet"/>
      <w:pStyle w:val="344"/>
      <w:lvlText w:val=""/>
      <w:lvlJc w:val="left"/>
      <w:pPr>
        <w:tabs>
          <w:tab w:val="left" w:pos="1320"/>
        </w:tabs>
        <w:ind w:left="1320" w:hanging="420"/>
      </w:pPr>
      <w:rPr>
        <w:rFonts w:hint="default" w:ascii="Wingdings" w:hAnsi="Wingdings"/>
      </w:rPr>
    </w:lvl>
    <w:lvl w:ilvl="2" w:tentative="0">
      <w:start w:val="1"/>
      <w:numFmt w:val="bullet"/>
      <w:pStyle w:val="549"/>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3">
    <w:nsid w:val="33D53ED3"/>
    <w:multiLevelType w:val="multilevel"/>
    <w:tmpl w:val="33D53ED3"/>
    <w:lvl w:ilvl="0" w:tentative="0">
      <w:start w:val="3"/>
      <w:numFmt w:val="decimal"/>
      <w:pStyle w:val="516"/>
      <w:lvlText w:val="%1、"/>
      <w:lvlJc w:val="left"/>
      <w:pPr>
        <w:tabs>
          <w:tab w:val="left" w:pos="360"/>
        </w:tabs>
        <w:ind w:left="360" w:hanging="360"/>
      </w:pPr>
      <w:rPr>
        <w:rFonts w:hint="default"/>
      </w:rPr>
    </w:lvl>
    <w:lvl w:ilvl="1" w:tentative="0">
      <w:start w:val="1"/>
      <w:numFmt w:val="lowerLetter"/>
      <w:pStyle w:val="327"/>
      <w:lvlText w:val="%2)"/>
      <w:lvlJc w:val="left"/>
      <w:pPr>
        <w:tabs>
          <w:tab w:val="left" w:pos="840"/>
        </w:tabs>
        <w:ind w:left="840" w:hanging="420"/>
      </w:pPr>
    </w:lvl>
    <w:lvl w:ilvl="2" w:tentative="0">
      <w:start w:val="1"/>
      <w:numFmt w:val="lowerRoman"/>
      <w:pStyle w:val="547"/>
      <w:lvlText w:val="%3."/>
      <w:lvlJc w:val="right"/>
      <w:pPr>
        <w:tabs>
          <w:tab w:val="left" w:pos="1260"/>
        </w:tabs>
        <w:ind w:left="1260" w:hanging="420"/>
      </w:pPr>
    </w:lvl>
    <w:lvl w:ilvl="3" w:tentative="0">
      <w:start w:val="1"/>
      <w:numFmt w:val="decimal"/>
      <w:pStyle w:val="322"/>
      <w:lvlText w:val="%4."/>
      <w:lvlJc w:val="left"/>
      <w:pPr>
        <w:tabs>
          <w:tab w:val="left" w:pos="1680"/>
        </w:tabs>
        <w:ind w:left="1680" w:hanging="420"/>
      </w:pPr>
    </w:lvl>
    <w:lvl w:ilvl="4" w:tentative="0">
      <w:start w:val="1"/>
      <w:numFmt w:val="lowerLetter"/>
      <w:pStyle w:val="321"/>
      <w:lvlText w:val="%5)"/>
      <w:lvlJc w:val="left"/>
      <w:pPr>
        <w:tabs>
          <w:tab w:val="left" w:pos="2100"/>
        </w:tabs>
        <w:ind w:left="2100" w:hanging="420"/>
      </w:pPr>
    </w:lvl>
    <w:lvl w:ilvl="5" w:tentative="0">
      <w:start w:val="1"/>
      <w:numFmt w:val="lowerRoman"/>
      <w:pStyle w:val="320"/>
      <w:lvlText w:val="%6."/>
      <w:lvlJc w:val="right"/>
      <w:pPr>
        <w:tabs>
          <w:tab w:val="left" w:pos="2520"/>
        </w:tabs>
        <w:ind w:left="2520" w:hanging="420"/>
      </w:pPr>
    </w:lvl>
    <w:lvl w:ilvl="6" w:tentative="0">
      <w:start w:val="1"/>
      <w:numFmt w:val="decimal"/>
      <w:pStyle w:val="445"/>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EDA774B"/>
    <w:multiLevelType w:val="singleLevel"/>
    <w:tmpl w:val="3EDA774B"/>
    <w:lvl w:ilvl="0" w:tentative="0">
      <w:start w:val="1"/>
      <w:numFmt w:val="chineseCounting"/>
      <w:suff w:val="nothing"/>
      <w:lvlText w:val="（%1）"/>
      <w:lvlJc w:val="left"/>
      <w:rPr>
        <w:rFonts w:hint="eastAsia"/>
      </w:rPr>
    </w:lvl>
  </w:abstractNum>
  <w:abstractNum w:abstractNumId="15">
    <w:nsid w:val="56CEF554"/>
    <w:multiLevelType w:val="singleLevel"/>
    <w:tmpl w:val="56CEF554"/>
    <w:lvl w:ilvl="0" w:tentative="0">
      <w:start w:val="1"/>
      <w:numFmt w:val="decimal"/>
      <w:pStyle w:val="553"/>
      <w:suff w:val="nothing"/>
      <w:lvlText w:val="%1、"/>
      <w:lvlJc w:val="left"/>
    </w:lvl>
  </w:abstractNum>
  <w:abstractNum w:abstractNumId="16">
    <w:nsid w:val="612C0E64"/>
    <w:multiLevelType w:val="multilevel"/>
    <w:tmpl w:val="612C0E64"/>
    <w:lvl w:ilvl="0" w:tentative="0">
      <w:start w:val="1"/>
      <w:numFmt w:val="decimal"/>
      <w:lvlText w:val="%1."/>
      <w:lvlJc w:val="left"/>
      <w:pPr>
        <w:tabs>
          <w:tab w:val="left" w:pos="1244"/>
        </w:tabs>
        <w:ind w:left="1244" w:hanging="420"/>
      </w:pPr>
      <w:rPr>
        <w:rFonts w:hint="eastAsia"/>
      </w:rPr>
    </w:lvl>
    <w:lvl w:ilvl="1" w:tentative="0">
      <w:start w:val="1"/>
      <w:numFmt w:val="lowerLetter"/>
      <w:lvlText w:val="%2)"/>
      <w:lvlJc w:val="left"/>
      <w:pPr>
        <w:tabs>
          <w:tab w:val="left" w:pos="824"/>
        </w:tabs>
        <w:ind w:left="824" w:hanging="420"/>
      </w:pPr>
    </w:lvl>
    <w:lvl w:ilvl="2" w:tentative="0">
      <w:start w:val="1"/>
      <w:numFmt w:val="lowerRoman"/>
      <w:lvlText w:val="%3."/>
      <w:lvlJc w:val="right"/>
      <w:pPr>
        <w:tabs>
          <w:tab w:val="left" w:pos="1244"/>
        </w:tabs>
        <w:ind w:left="1244" w:hanging="420"/>
      </w:pPr>
    </w:lvl>
    <w:lvl w:ilvl="3" w:tentative="0">
      <w:start w:val="1"/>
      <w:numFmt w:val="decimal"/>
      <w:lvlText w:val="%4."/>
      <w:lvlJc w:val="left"/>
      <w:pPr>
        <w:tabs>
          <w:tab w:val="left" w:pos="1664"/>
        </w:tabs>
        <w:ind w:left="1664" w:hanging="420"/>
      </w:pPr>
    </w:lvl>
    <w:lvl w:ilvl="4" w:tentative="0">
      <w:start w:val="1"/>
      <w:numFmt w:val="lowerLetter"/>
      <w:lvlText w:val="%5)"/>
      <w:lvlJc w:val="left"/>
      <w:pPr>
        <w:tabs>
          <w:tab w:val="left" w:pos="2084"/>
        </w:tabs>
        <w:ind w:left="2084" w:hanging="420"/>
      </w:pPr>
    </w:lvl>
    <w:lvl w:ilvl="5" w:tentative="0">
      <w:start w:val="1"/>
      <w:numFmt w:val="lowerRoman"/>
      <w:lvlText w:val="%6."/>
      <w:lvlJc w:val="right"/>
      <w:pPr>
        <w:tabs>
          <w:tab w:val="left" w:pos="2504"/>
        </w:tabs>
        <w:ind w:left="2504" w:hanging="420"/>
      </w:pPr>
    </w:lvl>
    <w:lvl w:ilvl="6" w:tentative="0">
      <w:start w:val="1"/>
      <w:numFmt w:val="decimal"/>
      <w:lvlText w:val="%7."/>
      <w:lvlJc w:val="left"/>
      <w:pPr>
        <w:tabs>
          <w:tab w:val="left" w:pos="2924"/>
        </w:tabs>
        <w:ind w:left="2924" w:hanging="420"/>
      </w:pPr>
    </w:lvl>
    <w:lvl w:ilvl="7" w:tentative="0">
      <w:start w:val="1"/>
      <w:numFmt w:val="lowerLetter"/>
      <w:lvlText w:val="%8)"/>
      <w:lvlJc w:val="left"/>
      <w:pPr>
        <w:tabs>
          <w:tab w:val="left" w:pos="3344"/>
        </w:tabs>
        <w:ind w:left="3344" w:hanging="420"/>
      </w:pPr>
    </w:lvl>
    <w:lvl w:ilvl="8" w:tentative="0">
      <w:start w:val="1"/>
      <w:numFmt w:val="lowerRoman"/>
      <w:lvlText w:val="%9."/>
      <w:lvlJc w:val="right"/>
      <w:pPr>
        <w:tabs>
          <w:tab w:val="left" w:pos="3764"/>
        </w:tabs>
        <w:ind w:left="3764" w:hanging="420"/>
      </w:pPr>
    </w:lvl>
  </w:abstractNum>
  <w:abstractNum w:abstractNumId="17">
    <w:nsid w:val="67BB2DB7"/>
    <w:multiLevelType w:val="multilevel"/>
    <w:tmpl w:val="67BB2DB7"/>
    <w:lvl w:ilvl="0" w:tentative="0">
      <w:start w:val="1"/>
      <w:numFmt w:val="bullet"/>
      <w:pStyle w:val="331"/>
      <w:lvlText w:val=""/>
      <w:lvlJc w:val="left"/>
      <w:pPr>
        <w:tabs>
          <w:tab w:val="left" w:pos="0"/>
        </w:tabs>
        <w:ind w:left="0" w:firstLine="0"/>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8">
    <w:nsid w:val="685F539A"/>
    <w:multiLevelType w:val="multilevel"/>
    <w:tmpl w:val="685F539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3AADA33"/>
    <w:multiLevelType w:val="singleLevel"/>
    <w:tmpl w:val="73AADA33"/>
    <w:lvl w:ilvl="0" w:tentative="0">
      <w:start w:val="1"/>
      <w:numFmt w:val="decimal"/>
      <w:suff w:val="nothing"/>
      <w:lvlText w:val="%1、"/>
      <w:lvlJc w:val="left"/>
    </w:lvl>
  </w:abstractNum>
  <w:abstractNum w:abstractNumId="20">
    <w:nsid w:val="7F412F7C"/>
    <w:multiLevelType w:val="multilevel"/>
    <w:tmpl w:val="7F412F7C"/>
    <w:lvl w:ilvl="0" w:tentative="0">
      <w:start w:val="0"/>
      <w:numFmt w:val="bullet"/>
      <w:pStyle w:val="357"/>
      <w:lvlText w:val="★"/>
      <w:lvlJc w:val="left"/>
      <w:pPr>
        <w:tabs>
          <w:tab w:val="left" w:pos="360"/>
        </w:tabs>
        <w:ind w:left="360" w:hanging="360"/>
      </w:pPr>
      <w:rPr>
        <w:rFonts w:hint="eastAsia" w:ascii="DFKai-SB" w:hAnsi="DFKai-SB" w:eastAsia="DFKai-SB" w:cs="宋体"/>
      </w:rPr>
    </w:lvl>
    <w:lvl w:ilvl="1" w:tentative="0">
      <w:start w:val="1"/>
      <w:numFmt w:val="bullet"/>
      <w:pStyle w:val="491"/>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9"/>
    <w:lvlOverride w:ilvl="0">
      <w:startOverride w:val="1"/>
    </w:lvlOverride>
  </w:num>
  <w:num w:numId="2">
    <w:abstractNumId w:val="7"/>
  </w:num>
  <w:num w:numId="3">
    <w:abstractNumId w:val="4"/>
  </w:num>
  <w:num w:numId="4">
    <w:abstractNumId w:val="13"/>
  </w:num>
  <w:num w:numId="5">
    <w:abstractNumId w:val="17"/>
  </w:num>
  <w:num w:numId="6">
    <w:abstractNumId w:val="12"/>
  </w:num>
  <w:num w:numId="7">
    <w:abstractNumId w:val="20"/>
  </w:num>
  <w:num w:numId="8">
    <w:abstractNumId w:val="8"/>
  </w:num>
  <w:num w:numId="9">
    <w:abstractNumId w:val="15"/>
  </w:num>
  <w:num w:numId="10">
    <w:abstractNumId w:val="10"/>
  </w:num>
  <w:num w:numId="11">
    <w:abstractNumId w:val="3"/>
  </w:num>
  <w:num w:numId="12">
    <w:abstractNumId w:val="11"/>
  </w:num>
  <w:num w:numId="13">
    <w:abstractNumId w:val="5"/>
  </w:num>
  <w:num w:numId="14">
    <w:abstractNumId w:val="0"/>
  </w:num>
  <w:num w:numId="15">
    <w:abstractNumId w:val="1"/>
  </w:num>
  <w:num w:numId="16">
    <w:abstractNumId w:val="6"/>
  </w:num>
  <w:num w:numId="17">
    <w:abstractNumId w:val="2"/>
  </w:num>
  <w:num w:numId="18">
    <w:abstractNumId w:val="14"/>
  </w:num>
  <w:num w:numId="19">
    <w:abstractNumId w:val="16"/>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5ZDRhZGUzODljOGI3YjY1N2NkYWMwYjdmNmJmZDMifQ=="/>
  </w:docVars>
  <w:rsids>
    <w:rsidRoot w:val="00172A27"/>
    <w:rsid w:val="000002EA"/>
    <w:rsid w:val="00000AF3"/>
    <w:rsid w:val="00001B00"/>
    <w:rsid w:val="00001DFC"/>
    <w:rsid w:val="000022A2"/>
    <w:rsid w:val="00002459"/>
    <w:rsid w:val="00003475"/>
    <w:rsid w:val="00003727"/>
    <w:rsid w:val="00003E2F"/>
    <w:rsid w:val="0000441E"/>
    <w:rsid w:val="00004C97"/>
    <w:rsid w:val="00005019"/>
    <w:rsid w:val="00005046"/>
    <w:rsid w:val="00005553"/>
    <w:rsid w:val="000055B5"/>
    <w:rsid w:val="00005927"/>
    <w:rsid w:val="000062A7"/>
    <w:rsid w:val="00006FF7"/>
    <w:rsid w:val="00007473"/>
    <w:rsid w:val="00007861"/>
    <w:rsid w:val="00007CB4"/>
    <w:rsid w:val="000102CE"/>
    <w:rsid w:val="000107F1"/>
    <w:rsid w:val="0001139A"/>
    <w:rsid w:val="0001142F"/>
    <w:rsid w:val="000117B9"/>
    <w:rsid w:val="000119D6"/>
    <w:rsid w:val="00011CA0"/>
    <w:rsid w:val="00011E3E"/>
    <w:rsid w:val="00012034"/>
    <w:rsid w:val="000127E9"/>
    <w:rsid w:val="00012DEF"/>
    <w:rsid w:val="000132AA"/>
    <w:rsid w:val="00013373"/>
    <w:rsid w:val="000137EB"/>
    <w:rsid w:val="00013CC8"/>
    <w:rsid w:val="00013EDF"/>
    <w:rsid w:val="000141FA"/>
    <w:rsid w:val="00014317"/>
    <w:rsid w:val="00014D0C"/>
    <w:rsid w:val="00015549"/>
    <w:rsid w:val="0001578F"/>
    <w:rsid w:val="00015F9E"/>
    <w:rsid w:val="00015FDA"/>
    <w:rsid w:val="00015FF4"/>
    <w:rsid w:val="00016668"/>
    <w:rsid w:val="00016978"/>
    <w:rsid w:val="00016D9A"/>
    <w:rsid w:val="00016DB4"/>
    <w:rsid w:val="00016E17"/>
    <w:rsid w:val="00017000"/>
    <w:rsid w:val="000204E9"/>
    <w:rsid w:val="00020A15"/>
    <w:rsid w:val="00020D54"/>
    <w:rsid w:val="00020D82"/>
    <w:rsid w:val="00020F77"/>
    <w:rsid w:val="000214B4"/>
    <w:rsid w:val="00021F9A"/>
    <w:rsid w:val="00022145"/>
    <w:rsid w:val="00022350"/>
    <w:rsid w:val="00022D0A"/>
    <w:rsid w:val="00023212"/>
    <w:rsid w:val="0002338B"/>
    <w:rsid w:val="00023AF5"/>
    <w:rsid w:val="00023B1F"/>
    <w:rsid w:val="0002428C"/>
    <w:rsid w:val="00024718"/>
    <w:rsid w:val="00024E1B"/>
    <w:rsid w:val="00024E94"/>
    <w:rsid w:val="00025081"/>
    <w:rsid w:val="00025374"/>
    <w:rsid w:val="0002578F"/>
    <w:rsid w:val="00025D43"/>
    <w:rsid w:val="0002627F"/>
    <w:rsid w:val="0002676C"/>
    <w:rsid w:val="00026BE9"/>
    <w:rsid w:val="00026D71"/>
    <w:rsid w:val="00027A0E"/>
    <w:rsid w:val="00027A4B"/>
    <w:rsid w:val="00030091"/>
    <w:rsid w:val="0003019E"/>
    <w:rsid w:val="000308C0"/>
    <w:rsid w:val="0003186E"/>
    <w:rsid w:val="000319A9"/>
    <w:rsid w:val="000319D3"/>
    <w:rsid w:val="00031DEB"/>
    <w:rsid w:val="000320A0"/>
    <w:rsid w:val="00032719"/>
    <w:rsid w:val="00032B54"/>
    <w:rsid w:val="00032FFA"/>
    <w:rsid w:val="00033B4B"/>
    <w:rsid w:val="00033ECF"/>
    <w:rsid w:val="0003486A"/>
    <w:rsid w:val="00035BEA"/>
    <w:rsid w:val="00035E02"/>
    <w:rsid w:val="00036786"/>
    <w:rsid w:val="000369F1"/>
    <w:rsid w:val="00036DB6"/>
    <w:rsid w:val="00036DE0"/>
    <w:rsid w:val="00036E59"/>
    <w:rsid w:val="000371C0"/>
    <w:rsid w:val="00037525"/>
    <w:rsid w:val="00037CCE"/>
    <w:rsid w:val="00037CE8"/>
    <w:rsid w:val="00037D0F"/>
    <w:rsid w:val="0004083E"/>
    <w:rsid w:val="000408A4"/>
    <w:rsid w:val="00040ABA"/>
    <w:rsid w:val="00040DC6"/>
    <w:rsid w:val="00041479"/>
    <w:rsid w:val="000416BF"/>
    <w:rsid w:val="000419D2"/>
    <w:rsid w:val="000423BB"/>
    <w:rsid w:val="00042555"/>
    <w:rsid w:val="00042A3F"/>
    <w:rsid w:val="00042D69"/>
    <w:rsid w:val="00043328"/>
    <w:rsid w:val="000436C4"/>
    <w:rsid w:val="0004393B"/>
    <w:rsid w:val="00043D5B"/>
    <w:rsid w:val="000440E6"/>
    <w:rsid w:val="00044985"/>
    <w:rsid w:val="000451B5"/>
    <w:rsid w:val="000452A5"/>
    <w:rsid w:val="00045DF2"/>
    <w:rsid w:val="00045EDB"/>
    <w:rsid w:val="00046258"/>
    <w:rsid w:val="0004645C"/>
    <w:rsid w:val="000477AD"/>
    <w:rsid w:val="00047EEF"/>
    <w:rsid w:val="00050426"/>
    <w:rsid w:val="00050E1C"/>
    <w:rsid w:val="00050EEF"/>
    <w:rsid w:val="00051E7D"/>
    <w:rsid w:val="00052414"/>
    <w:rsid w:val="00052743"/>
    <w:rsid w:val="00052EB5"/>
    <w:rsid w:val="000539BB"/>
    <w:rsid w:val="00053DBC"/>
    <w:rsid w:val="00053E93"/>
    <w:rsid w:val="0005408F"/>
    <w:rsid w:val="0005582F"/>
    <w:rsid w:val="000559B0"/>
    <w:rsid w:val="00055AEE"/>
    <w:rsid w:val="00056127"/>
    <w:rsid w:val="0005615F"/>
    <w:rsid w:val="00056472"/>
    <w:rsid w:val="000564C0"/>
    <w:rsid w:val="000564EC"/>
    <w:rsid w:val="00056652"/>
    <w:rsid w:val="00056A55"/>
    <w:rsid w:val="000570F3"/>
    <w:rsid w:val="00057682"/>
    <w:rsid w:val="0005789A"/>
    <w:rsid w:val="000600E9"/>
    <w:rsid w:val="00060431"/>
    <w:rsid w:val="000606A3"/>
    <w:rsid w:val="00060757"/>
    <w:rsid w:val="00061046"/>
    <w:rsid w:val="0006108F"/>
    <w:rsid w:val="00061471"/>
    <w:rsid w:val="000614A8"/>
    <w:rsid w:val="00061D8B"/>
    <w:rsid w:val="00062320"/>
    <w:rsid w:val="00062757"/>
    <w:rsid w:val="000628D5"/>
    <w:rsid w:val="00062B73"/>
    <w:rsid w:val="00063B95"/>
    <w:rsid w:val="00063E18"/>
    <w:rsid w:val="00064466"/>
    <w:rsid w:val="00064608"/>
    <w:rsid w:val="0006466F"/>
    <w:rsid w:val="0006480D"/>
    <w:rsid w:val="000649BF"/>
    <w:rsid w:val="000650D8"/>
    <w:rsid w:val="00065212"/>
    <w:rsid w:val="0006530C"/>
    <w:rsid w:val="00065B3E"/>
    <w:rsid w:val="00065EB0"/>
    <w:rsid w:val="000668D1"/>
    <w:rsid w:val="00066EBA"/>
    <w:rsid w:val="0006712D"/>
    <w:rsid w:val="0006714C"/>
    <w:rsid w:val="000674D3"/>
    <w:rsid w:val="000675ED"/>
    <w:rsid w:val="000678A3"/>
    <w:rsid w:val="00067AAE"/>
    <w:rsid w:val="00067ACE"/>
    <w:rsid w:val="00067F36"/>
    <w:rsid w:val="000701C4"/>
    <w:rsid w:val="00070809"/>
    <w:rsid w:val="00070F31"/>
    <w:rsid w:val="00070FA1"/>
    <w:rsid w:val="000710DA"/>
    <w:rsid w:val="000710EF"/>
    <w:rsid w:val="0007131A"/>
    <w:rsid w:val="00071594"/>
    <w:rsid w:val="0007188B"/>
    <w:rsid w:val="00071FEC"/>
    <w:rsid w:val="000720B1"/>
    <w:rsid w:val="00072474"/>
    <w:rsid w:val="0007263C"/>
    <w:rsid w:val="00073EE6"/>
    <w:rsid w:val="00074522"/>
    <w:rsid w:val="00074BC0"/>
    <w:rsid w:val="00074C92"/>
    <w:rsid w:val="00075684"/>
    <w:rsid w:val="0007650F"/>
    <w:rsid w:val="00076625"/>
    <w:rsid w:val="00076989"/>
    <w:rsid w:val="00076B3E"/>
    <w:rsid w:val="00076B49"/>
    <w:rsid w:val="00076E2F"/>
    <w:rsid w:val="000800F9"/>
    <w:rsid w:val="00080A1E"/>
    <w:rsid w:val="00080CA2"/>
    <w:rsid w:val="0008103C"/>
    <w:rsid w:val="00081457"/>
    <w:rsid w:val="00081C3E"/>
    <w:rsid w:val="00082FAC"/>
    <w:rsid w:val="00083EDF"/>
    <w:rsid w:val="00084B56"/>
    <w:rsid w:val="00084E97"/>
    <w:rsid w:val="000855DC"/>
    <w:rsid w:val="00085868"/>
    <w:rsid w:val="000859EC"/>
    <w:rsid w:val="00085F43"/>
    <w:rsid w:val="00086A7E"/>
    <w:rsid w:val="00086B00"/>
    <w:rsid w:val="000873FD"/>
    <w:rsid w:val="00087415"/>
    <w:rsid w:val="0008798D"/>
    <w:rsid w:val="00090230"/>
    <w:rsid w:val="00091E95"/>
    <w:rsid w:val="000926C8"/>
    <w:rsid w:val="00092FCE"/>
    <w:rsid w:val="000930AC"/>
    <w:rsid w:val="00093EC1"/>
    <w:rsid w:val="00094331"/>
    <w:rsid w:val="000949BE"/>
    <w:rsid w:val="00095702"/>
    <w:rsid w:val="00095ADC"/>
    <w:rsid w:val="00096C85"/>
    <w:rsid w:val="000971D3"/>
    <w:rsid w:val="0009731F"/>
    <w:rsid w:val="0009751F"/>
    <w:rsid w:val="00097752"/>
    <w:rsid w:val="000A020E"/>
    <w:rsid w:val="000A022C"/>
    <w:rsid w:val="000A0CBD"/>
    <w:rsid w:val="000A0D8C"/>
    <w:rsid w:val="000A18E6"/>
    <w:rsid w:val="000A1CDB"/>
    <w:rsid w:val="000A1D19"/>
    <w:rsid w:val="000A1D1D"/>
    <w:rsid w:val="000A29D0"/>
    <w:rsid w:val="000A2D8A"/>
    <w:rsid w:val="000A2EED"/>
    <w:rsid w:val="000A32F9"/>
    <w:rsid w:val="000A33CB"/>
    <w:rsid w:val="000A3490"/>
    <w:rsid w:val="000A3B3F"/>
    <w:rsid w:val="000A3BC4"/>
    <w:rsid w:val="000A41B0"/>
    <w:rsid w:val="000A4498"/>
    <w:rsid w:val="000A45B1"/>
    <w:rsid w:val="000A4895"/>
    <w:rsid w:val="000A525F"/>
    <w:rsid w:val="000A5D1F"/>
    <w:rsid w:val="000A64ED"/>
    <w:rsid w:val="000A6899"/>
    <w:rsid w:val="000A6E9F"/>
    <w:rsid w:val="000A7F3A"/>
    <w:rsid w:val="000B053D"/>
    <w:rsid w:val="000B06B9"/>
    <w:rsid w:val="000B0CE0"/>
    <w:rsid w:val="000B11AC"/>
    <w:rsid w:val="000B1942"/>
    <w:rsid w:val="000B2373"/>
    <w:rsid w:val="000B251B"/>
    <w:rsid w:val="000B305B"/>
    <w:rsid w:val="000B34BD"/>
    <w:rsid w:val="000B3D61"/>
    <w:rsid w:val="000B411B"/>
    <w:rsid w:val="000B437C"/>
    <w:rsid w:val="000B4D0C"/>
    <w:rsid w:val="000B50E0"/>
    <w:rsid w:val="000B5707"/>
    <w:rsid w:val="000B5D31"/>
    <w:rsid w:val="000B681A"/>
    <w:rsid w:val="000B6E23"/>
    <w:rsid w:val="000B74AE"/>
    <w:rsid w:val="000C0666"/>
    <w:rsid w:val="000C0EE8"/>
    <w:rsid w:val="000C137C"/>
    <w:rsid w:val="000C1F80"/>
    <w:rsid w:val="000C1FF3"/>
    <w:rsid w:val="000C33C8"/>
    <w:rsid w:val="000C33FB"/>
    <w:rsid w:val="000C37AF"/>
    <w:rsid w:val="000C39AE"/>
    <w:rsid w:val="000C3E3A"/>
    <w:rsid w:val="000C3FCF"/>
    <w:rsid w:val="000C43E0"/>
    <w:rsid w:val="000C4628"/>
    <w:rsid w:val="000C4AB0"/>
    <w:rsid w:val="000C5D69"/>
    <w:rsid w:val="000C5E29"/>
    <w:rsid w:val="000C665E"/>
    <w:rsid w:val="000C72CE"/>
    <w:rsid w:val="000D01B6"/>
    <w:rsid w:val="000D048D"/>
    <w:rsid w:val="000D0659"/>
    <w:rsid w:val="000D0EA1"/>
    <w:rsid w:val="000D1CDF"/>
    <w:rsid w:val="000D1CEC"/>
    <w:rsid w:val="000D1EEB"/>
    <w:rsid w:val="000D20AF"/>
    <w:rsid w:val="000D27F3"/>
    <w:rsid w:val="000D2973"/>
    <w:rsid w:val="000D2A52"/>
    <w:rsid w:val="000D3A58"/>
    <w:rsid w:val="000D3D4B"/>
    <w:rsid w:val="000D3DF4"/>
    <w:rsid w:val="000D537B"/>
    <w:rsid w:val="000D5D1C"/>
    <w:rsid w:val="000D5DDA"/>
    <w:rsid w:val="000D6D43"/>
    <w:rsid w:val="000D6FDA"/>
    <w:rsid w:val="000D7A10"/>
    <w:rsid w:val="000E00E4"/>
    <w:rsid w:val="000E014B"/>
    <w:rsid w:val="000E04FD"/>
    <w:rsid w:val="000E0A3C"/>
    <w:rsid w:val="000E0F4A"/>
    <w:rsid w:val="000E1100"/>
    <w:rsid w:val="000E1501"/>
    <w:rsid w:val="000E176D"/>
    <w:rsid w:val="000E1CBE"/>
    <w:rsid w:val="000E1DC6"/>
    <w:rsid w:val="000E2007"/>
    <w:rsid w:val="000E2D25"/>
    <w:rsid w:val="000E34B3"/>
    <w:rsid w:val="000E3CCB"/>
    <w:rsid w:val="000E3F95"/>
    <w:rsid w:val="000E45BC"/>
    <w:rsid w:val="000E4F94"/>
    <w:rsid w:val="000E5B0E"/>
    <w:rsid w:val="000E62EC"/>
    <w:rsid w:val="000E6646"/>
    <w:rsid w:val="000E6653"/>
    <w:rsid w:val="000E79A7"/>
    <w:rsid w:val="000F0971"/>
    <w:rsid w:val="000F099E"/>
    <w:rsid w:val="000F0E78"/>
    <w:rsid w:val="000F12B6"/>
    <w:rsid w:val="000F1579"/>
    <w:rsid w:val="000F1CBD"/>
    <w:rsid w:val="000F1D4E"/>
    <w:rsid w:val="000F2D7F"/>
    <w:rsid w:val="000F3171"/>
    <w:rsid w:val="000F3B96"/>
    <w:rsid w:val="000F4133"/>
    <w:rsid w:val="000F41CC"/>
    <w:rsid w:val="000F426E"/>
    <w:rsid w:val="000F42AC"/>
    <w:rsid w:val="000F451C"/>
    <w:rsid w:val="000F4B4C"/>
    <w:rsid w:val="000F4D0E"/>
    <w:rsid w:val="000F4F70"/>
    <w:rsid w:val="000F4FB2"/>
    <w:rsid w:val="000F4FC5"/>
    <w:rsid w:val="000F5724"/>
    <w:rsid w:val="000F6D55"/>
    <w:rsid w:val="000F7A4E"/>
    <w:rsid w:val="0010002D"/>
    <w:rsid w:val="00100935"/>
    <w:rsid w:val="00101151"/>
    <w:rsid w:val="00101486"/>
    <w:rsid w:val="001018CC"/>
    <w:rsid w:val="00101C70"/>
    <w:rsid w:val="00101D38"/>
    <w:rsid w:val="00101D83"/>
    <w:rsid w:val="00101DF6"/>
    <w:rsid w:val="00102A46"/>
    <w:rsid w:val="00102DEF"/>
    <w:rsid w:val="00102FB4"/>
    <w:rsid w:val="001039E0"/>
    <w:rsid w:val="00103B8D"/>
    <w:rsid w:val="0010413C"/>
    <w:rsid w:val="001041DC"/>
    <w:rsid w:val="001049C4"/>
    <w:rsid w:val="0010501E"/>
    <w:rsid w:val="00105184"/>
    <w:rsid w:val="00105465"/>
    <w:rsid w:val="00105C71"/>
    <w:rsid w:val="00106051"/>
    <w:rsid w:val="00106912"/>
    <w:rsid w:val="00106B0E"/>
    <w:rsid w:val="00106CA9"/>
    <w:rsid w:val="00106F36"/>
    <w:rsid w:val="001071F2"/>
    <w:rsid w:val="001108F9"/>
    <w:rsid w:val="00110A84"/>
    <w:rsid w:val="00110B70"/>
    <w:rsid w:val="00110C44"/>
    <w:rsid w:val="00111381"/>
    <w:rsid w:val="001116D5"/>
    <w:rsid w:val="00111779"/>
    <w:rsid w:val="00111DDD"/>
    <w:rsid w:val="00111F20"/>
    <w:rsid w:val="00112B82"/>
    <w:rsid w:val="00112C7A"/>
    <w:rsid w:val="0011316E"/>
    <w:rsid w:val="00113620"/>
    <w:rsid w:val="0011386F"/>
    <w:rsid w:val="00113C38"/>
    <w:rsid w:val="00113FE0"/>
    <w:rsid w:val="00114106"/>
    <w:rsid w:val="0011414D"/>
    <w:rsid w:val="00114951"/>
    <w:rsid w:val="001151BB"/>
    <w:rsid w:val="0011522E"/>
    <w:rsid w:val="00115AB3"/>
    <w:rsid w:val="001163B1"/>
    <w:rsid w:val="0011678E"/>
    <w:rsid w:val="00117188"/>
    <w:rsid w:val="001172A0"/>
    <w:rsid w:val="001179B4"/>
    <w:rsid w:val="00117DB6"/>
    <w:rsid w:val="00117DCA"/>
    <w:rsid w:val="00120821"/>
    <w:rsid w:val="00120AD5"/>
    <w:rsid w:val="00120E1C"/>
    <w:rsid w:val="00121192"/>
    <w:rsid w:val="0012131B"/>
    <w:rsid w:val="001217A5"/>
    <w:rsid w:val="001219FC"/>
    <w:rsid w:val="00121B3A"/>
    <w:rsid w:val="00121CD0"/>
    <w:rsid w:val="00121D63"/>
    <w:rsid w:val="00122202"/>
    <w:rsid w:val="0012232B"/>
    <w:rsid w:val="001225DD"/>
    <w:rsid w:val="0012369A"/>
    <w:rsid w:val="00123966"/>
    <w:rsid w:val="00123B1D"/>
    <w:rsid w:val="0012402B"/>
    <w:rsid w:val="00124261"/>
    <w:rsid w:val="001249CB"/>
    <w:rsid w:val="00124AB7"/>
    <w:rsid w:val="00124C12"/>
    <w:rsid w:val="00124DFE"/>
    <w:rsid w:val="00124FA2"/>
    <w:rsid w:val="0012581A"/>
    <w:rsid w:val="00125993"/>
    <w:rsid w:val="00125D16"/>
    <w:rsid w:val="00125DC7"/>
    <w:rsid w:val="00125FC5"/>
    <w:rsid w:val="00126592"/>
    <w:rsid w:val="001269CC"/>
    <w:rsid w:val="00126A0D"/>
    <w:rsid w:val="00126ADD"/>
    <w:rsid w:val="00126F86"/>
    <w:rsid w:val="0012716E"/>
    <w:rsid w:val="00127438"/>
    <w:rsid w:val="0012771B"/>
    <w:rsid w:val="001305BC"/>
    <w:rsid w:val="00130C66"/>
    <w:rsid w:val="00130CFC"/>
    <w:rsid w:val="001310BC"/>
    <w:rsid w:val="001319C2"/>
    <w:rsid w:val="00131AB1"/>
    <w:rsid w:val="00131F7F"/>
    <w:rsid w:val="0013216B"/>
    <w:rsid w:val="00132273"/>
    <w:rsid w:val="001324B2"/>
    <w:rsid w:val="00132729"/>
    <w:rsid w:val="00132747"/>
    <w:rsid w:val="001328B0"/>
    <w:rsid w:val="00133714"/>
    <w:rsid w:val="00133A0C"/>
    <w:rsid w:val="00133DFF"/>
    <w:rsid w:val="0013416F"/>
    <w:rsid w:val="001341E5"/>
    <w:rsid w:val="00134316"/>
    <w:rsid w:val="001343A9"/>
    <w:rsid w:val="001346AD"/>
    <w:rsid w:val="001350E1"/>
    <w:rsid w:val="001356F9"/>
    <w:rsid w:val="00135B13"/>
    <w:rsid w:val="00135B33"/>
    <w:rsid w:val="0013651B"/>
    <w:rsid w:val="0013663D"/>
    <w:rsid w:val="00136665"/>
    <w:rsid w:val="001367FD"/>
    <w:rsid w:val="00136B4E"/>
    <w:rsid w:val="00137175"/>
    <w:rsid w:val="00137AB1"/>
    <w:rsid w:val="00137AEC"/>
    <w:rsid w:val="00140825"/>
    <w:rsid w:val="00140898"/>
    <w:rsid w:val="001408FD"/>
    <w:rsid w:val="00140CD3"/>
    <w:rsid w:val="00140ECC"/>
    <w:rsid w:val="00141136"/>
    <w:rsid w:val="0014126B"/>
    <w:rsid w:val="00141296"/>
    <w:rsid w:val="001414B9"/>
    <w:rsid w:val="00141E56"/>
    <w:rsid w:val="00142228"/>
    <w:rsid w:val="00142598"/>
    <w:rsid w:val="00142E55"/>
    <w:rsid w:val="001432DF"/>
    <w:rsid w:val="00143438"/>
    <w:rsid w:val="00143922"/>
    <w:rsid w:val="00143A80"/>
    <w:rsid w:val="00143B77"/>
    <w:rsid w:val="00143E46"/>
    <w:rsid w:val="0014402A"/>
    <w:rsid w:val="0014410A"/>
    <w:rsid w:val="00144174"/>
    <w:rsid w:val="00144675"/>
    <w:rsid w:val="001446BC"/>
    <w:rsid w:val="00145640"/>
    <w:rsid w:val="001456ED"/>
    <w:rsid w:val="00145BFD"/>
    <w:rsid w:val="00145FCA"/>
    <w:rsid w:val="00146811"/>
    <w:rsid w:val="00146AC1"/>
    <w:rsid w:val="00146C4B"/>
    <w:rsid w:val="001476B3"/>
    <w:rsid w:val="00147F44"/>
    <w:rsid w:val="0015030D"/>
    <w:rsid w:val="0015088E"/>
    <w:rsid w:val="001508D2"/>
    <w:rsid w:val="001508ED"/>
    <w:rsid w:val="00150E1B"/>
    <w:rsid w:val="00151630"/>
    <w:rsid w:val="00151938"/>
    <w:rsid w:val="00151C33"/>
    <w:rsid w:val="00152669"/>
    <w:rsid w:val="0015308D"/>
    <w:rsid w:val="00153314"/>
    <w:rsid w:val="00153BB4"/>
    <w:rsid w:val="00153E11"/>
    <w:rsid w:val="00154347"/>
    <w:rsid w:val="0015488A"/>
    <w:rsid w:val="00154976"/>
    <w:rsid w:val="001556D0"/>
    <w:rsid w:val="00156D8A"/>
    <w:rsid w:val="00157560"/>
    <w:rsid w:val="00157C3A"/>
    <w:rsid w:val="001602C5"/>
    <w:rsid w:val="0016064C"/>
    <w:rsid w:val="00160661"/>
    <w:rsid w:val="0016086B"/>
    <w:rsid w:val="001609FE"/>
    <w:rsid w:val="00160B81"/>
    <w:rsid w:val="00161B22"/>
    <w:rsid w:val="00161C04"/>
    <w:rsid w:val="001625FB"/>
    <w:rsid w:val="001628E9"/>
    <w:rsid w:val="00162AB7"/>
    <w:rsid w:val="00162BF0"/>
    <w:rsid w:val="001630F7"/>
    <w:rsid w:val="001631A6"/>
    <w:rsid w:val="00163481"/>
    <w:rsid w:val="001635F8"/>
    <w:rsid w:val="00163C28"/>
    <w:rsid w:val="00164665"/>
    <w:rsid w:val="001656EF"/>
    <w:rsid w:val="001656FC"/>
    <w:rsid w:val="00165B5A"/>
    <w:rsid w:val="00165CAF"/>
    <w:rsid w:val="0016669E"/>
    <w:rsid w:val="00166941"/>
    <w:rsid w:val="00166962"/>
    <w:rsid w:val="001671A7"/>
    <w:rsid w:val="00167602"/>
    <w:rsid w:val="0017074D"/>
    <w:rsid w:val="00170ADA"/>
    <w:rsid w:val="00170B56"/>
    <w:rsid w:val="00170EDC"/>
    <w:rsid w:val="00170F7D"/>
    <w:rsid w:val="001713C3"/>
    <w:rsid w:val="001719CD"/>
    <w:rsid w:val="00171E92"/>
    <w:rsid w:val="00171F7E"/>
    <w:rsid w:val="00171F91"/>
    <w:rsid w:val="00172CDC"/>
    <w:rsid w:val="00172D42"/>
    <w:rsid w:val="00173478"/>
    <w:rsid w:val="001738BE"/>
    <w:rsid w:val="00173F88"/>
    <w:rsid w:val="0017445F"/>
    <w:rsid w:val="00174748"/>
    <w:rsid w:val="00174A5D"/>
    <w:rsid w:val="00174AF0"/>
    <w:rsid w:val="00174B37"/>
    <w:rsid w:val="00174BCD"/>
    <w:rsid w:val="00174C66"/>
    <w:rsid w:val="00174CA8"/>
    <w:rsid w:val="00174D51"/>
    <w:rsid w:val="0017512F"/>
    <w:rsid w:val="001756C5"/>
    <w:rsid w:val="00175C2C"/>
    <w:rsid w:val="00175C3A"/>
    <w:rsid w:val="00175F59"/>
    <w:rsid w:val="001763D3"/>
    <w:rsid w:val="00176BF8"/>
    <w:rsid w:val="00177285"/>
    <w:rsid w:val="001772EC"/>
    <w:rsid w:val="001775AD"/>
    <w:rsid w:val="00177C71"/>
    <w:rsid w:val="00177EE8"/>
    <w:rsid w:val="0018008E"/>
    <w:rsid w:val="00180733"/>
    <w:rsid w:val="00180E4A"/>
    <w:rsid w:val="001810AC"/>
    <w:rsid w:val="0018242C"/>
    <w:rsid w:val="0018259E"/>
    <w:rsid w:val="00182760"/>
    <w:rsid w:val="001827BC"/>
    <w:rsid w:val="0018300D"/>
    <w:rsid w:val="001831E5"/>
    <w:rsid w:val="001832F4"/>
    <w:rsid w:val="00183D6B"/>
    <w:rsid w:val="0018424A"/>
    <w:rsid w:val="00184BB6"/>
    <w:rsid w:val="00184D1A"/>
    <w:rsid w:val="00184F81"/>
    <w:rsid w:val="001851C7"/>
    <w:rsid w:val="00185506"/>
    <w:rsid w:val="00185854"/>
    <w:rsid w:val="00185CEB"/>
    <w:rsid w:val="001860B7"/>
    <w:rsid w:val="00186512"/>
    <w:rsid w:val="001867FD"/>
    <w:rsid w:val="00186FAB"/>
    <w:rsid w:val="00187053"/>
    <w:rsid w:val="0018731F"/>
    <w:rsid w:val="00187747"/>
    <w:rsid w:val="00187F32"/>
    <w:rsid w:val="0019008C"/>
    <w:rsid w:val="00190DAE"/>
    <w:rsid w:val="00191345"/>
    <w:rsid w:val="001914F6"/>
    <w:rsid w:val="00191AA6"/>
    <w:rsid w:val="00191B2B"/>
    <w:rsid w:val="00191B4D"/>
    <w:rsid w:val="00191CE8"/>
    <w:rsid w:val="00191D48"/>
    <w:rsid w:val="001928DD"/>
    <w:rsid w:val="00192A10"/>
    <w:rsid w:val="00192A7F"/>
    <w:rsid w:val="001930B6"/>
    <w:rsid w:val="00193B40"/>
    <w:rsid w:val="00194341"/>
    <w:rsid w:val="0019459E"/>
    <w:rsid w:val="00194E4E"/>
    <w:rsid w:val="00194F29"/>
    <w:rsid w:val="00195192"/>
    <w:rsid w:val="001957BB"/>
    <w:rsid w:val="00195CAE"/>
    <w:rsid w:val="00195F35"/>
    <w:rsid w:val="0019673A"/>
    <w:rsid w:val="00196A05"/>
    <w:rsid w:val="00196B03"/>
    <w:rsid w:val="00197203"/>
    <w:rsid w:val="0019759F"/>
    <w:rsid w:val="00197827"/>
    <w:rsid w:val="00197F71"/>
    <w:rsid w:val="001A00FB"/>
    <w:rsid w:val="001A0B8F"/>
    <w:rsid w:val="001A1471"/>
    <w:rsid w:val="001A1BB7"/>
    <w:rsid w:val="001A1D8D"/>
    <w:rsid w:val="001A2057"/>
    <w:rsid w:val="001A2249"/>
    <w:rsid w:val="001A2365"/>
    <w:rsid w:val="001A2A98"/>
    <w:rsid w:val="001A355E"/>
    <w:rsid w:val="001A364C"/>
    <w:rsid w:val="001A3922"/>
    <w:rsid w:val="001A4176"/>
    <w:rsid w:val="001A45FB"/>
    <w:rsid w:val="001A5FC8"/>
    <w:rsid w:val="001A6271"/>
    <w:rsid w:val="001A6591"/>
    <w:rsid w:val="001A6E28"/>
    <w:rsid w:val="001A6FE7"/>
    <w:rsid w:val="001A722B"/>
    <w:rsid w:val="001A7468"/>
    <w:rsid w:val="001A7634"/>
    <w:rsid w:val="001A7C3A"/>
    <w:rsid w:val="001A7E04"/>
    <w:rsid w:val="001B1119"/>
    <w:rsid w:val="001B1B26"/>
    <w:rsid w:val="001B2176"/>
    <w:rsid w:val="001B28C2"/>
    <w:rsid w:val="001B32B7"/>
    <w:rsid w:val="001B3450"/>
    <w:rsid w:val="001B3D18"/>
    <w:rsid w:val="001B4617"/>
    <w:rsid w:val="001B4890"/>
    <w:rsid w:val="001B4DD0"/>
    <w:rsid w:val="001B4DDA"/>
    <w:rsid w:val="001B517B"/>
    <w:rsid w:val="001B53BC"/>
    <w:rsid w:val="001B5425"/>
    <w:rsid w:val="001B5476"/>
    <w:rsid w:val="001B5DBA"/>
    <w:rsid w:val="001B627D"/>
    <w:rsid w:val="001B6313"/>
    <w:rsid w:val="001B645F"/>
    <w:rsid w:val="001B64A1"/>
    <w:rsid w:val="001B6A55"/>
    <w:rsid w:val="001B77A6"/>
    <w:rsid w:val="001B78B1"/>
    <w:rsid w:val="001B7909"/>
    <w:rsid w:val="001B7A9C"/>
    <w:rsid w:val="001B7B2D"/>
    <w:rsid w:val="001C0B8E"/>
    <w:rsid w:val="001C0E72"/>
    <w:rsid w:val="001C0F2F"/>
    <w:rsid w:val="001C1BA0"/>
    <w:rsid w:val="001C213B"/>
    <w:rsid w:val="001C225D"/>
    <w:rsid w:val="001C239F"/>
    <w:rsid w:val="001C2807"/>
    <w:rsid w:val="001C2B9C"/>
    <w:rsid w:val="001C2E74"/>
    <w:rsid w:val="001C3AA0"/>
    <w:rsid w:val="001C3CFB"/>
    <w:rsid w:val="001C52FF"/>
    <w:rsid w:val="001C57EF"/>
    <w:rsid w:val="001C6707"/>
    <w:rsid w:val="001C697B"/>
    <w:rsid w:val="001C7B13"/>
    <w:rsid w:val="001C7DE4"/>
    <w:rsid w:val="001C7EB1"/>
    <w:rsid w:val="001D0428"/>
    <w:rsid w:val="001D1032"/>
    <w:rsid w:val="001D10F2"/>
    <w:rsid w:val="001D1B0E"/>
    <w:rsid w:val="001D204B"/>
    <w:rsid w:val="001D2318"/>
    <w:rsid w:val="001D266A"/>
    <w:rsid w:val="001D2AB6"/>
    <w:rsid w:val="001D32D3"/>
    <w:rsid w:val="001D3798"/>
    <w:rsid w:val="001D396D"/>
    <w:rsid w:val="001D3E54"/>
    <w:rsid w:val="001D3F07"/>
    <w:rsid w:val="001D4045"/>
    <w:rsid w:val="001D4299"/>
    <w:rsid w:val="001D4BCB"/>
    <w:rsid w:val="001D4C81"/>
    <w:rsid w:val="001D4C94"/>
    <w:rsid w:val="001D4D61"/>
    <w:rsid w:val="001D5A6A"/>
    <w:rsid w:val="001D5B28"/>
    <w:rsid w:val="001D5B68"/>
    <w:rsid w:val="001D5E02"/>
    <w:rsid w:val="001D60E3"/>
    <w:rsid w:val="001D6264"/>
    <w:rsid w:val="001D6B3E"/>
    <w:rsid w:val="001D70A8"/>
    <w:rsid w:val="001D731A"/>
    <w:rsid w:val="001E0518"/>
    <w:rsid w:val="001E05ED"/>
    <w:rsid w:val="001E0823"/>
    <w:rsid w:val="001E2006"/>
    <w:rsid w:val="001E250B"/>
    <w:rsid w:val="001E3449"/>
    <w:rsid w:val="001E36C6"/>
    <w:rsid w:val="001E36E3"/>
    <w:rsid w:val="001E3B1B"/>
    <w:rsid w:val="001E4789"/>
    <w:rsid w:val="001E482B"/>
    <w:rsid w:val="001E4E8D"/>
    <w:rsid w:val="001E5322"/>
    <w:rsid w:val="001E5730"/>
    <w:rsid w:val="001E5949"/>
    <w:rsid w:val="001E608F"/>
    <w:rsid w:val="001E66A5"/>
    <w:rsid w:val="001E68F4"/>
    <w:rsid w:val="001E69DB"/>
    <w:rsid w:val="001E72B1"/>
    <w:rsid w:val="001E72EB"/>
    <w:rsid w:val="001E7570"/>
    <w:rsid w:val="001E7DDA"/>
    <w:rsid w:val="001F033E"/>
    <w:rsid w:val="001F04CE"/>
    <w:rsid w:val="001F08A8"/>
    <w:rsid w:val="001F11D2"/>
    <w:rsid w:val="001F13BF"/>
    <w:rsid w:val="001F16F0"/>
    <w:rsid w:val="001F1E5F"/>
    <w:rsid w:val="001F2278"/>
    <w:rsid w:val="001F23DE"/>
    <w:rsid w:val="001F2900"/>
    <w:rsid w:val="001F2BBB"/>
    <w:rsid w:val="001F2FD1"/>
    <w:rsid w:val="001F3091"/>
    <w:rsid w:val="001F3183"/>
    <w:rsid w:val="001F322E"/>
    <w:rsid w:val="001F38F8"/>
    <w:rsid w:val="001F3C0F"/>
    <w:rsid w:val="001F3D37"/>
    <w:rsid w:val="001F3DCB"/>
    <w:rsid w:val="001F4112"/>
    <w:rsid w:val="001F4120"/>
    <w:rsid w:val="001F4B69"/>
    <w:rsid w:val="001F5420"/>
    <w:rsid w:val="001F5B1C"/>
    <w:rsid w:val="001F5DA5"/>
    <w:rsid w:val="001F65FC"/>
    <w:rsid w:val="001F6973"/>
    <w:rsid w:val="001F6CF1"/>
    <w:rsid w:val="001F7820"/>
    <w:rsid w:val="001F7C5C"/>
    <w:rsid w:val="0020065D"/>
    <w:rsid w:val="002007F2"/>
    <w:rsid w:val="002008AF"/>
    <w:rsid w:val="00200A20"/>
    <w:rsid w:val="00200B62"/>
    <w:rsid w:val="00201B83"/>
    <w:rsid w:val="00201CDF"/>
    <w:rsid w:val="0020206F"/>
    <w:rsid w:val="002023D9"/>
    <w:rsid w:val="0020263B"/>
    <w:rsid w:val="00202B15"/>
    <w:rsid w:val="00202EEE"/>
    <w:rsid w:val="00203272"/>
    <w:rsid w:val="0020328D"/>
    <w:rsid w:val="00203384"/>
    <w:rsid w:val="00203D3B"/>
    <w:rsid w:val="00203DDB"/>
    <w:rsid w:val="00203E16"/>
    <w:rsid w:val="00203F40"/>
    <w:rsid w:val="0020477A"/>
    <w:rsid w:val="00205915"/>
    <w:rsid w:val="00205B35"/>
    <w:rsid w:val="00206127"/>
    <w:rsid w:val="00206340"/>
    <w:rsid w:val="002066C2"/>
    <w:rsid w:val="0020690B"/>
    <w:rsid w:val="00206BD6"/>
    <w:rsid w:val="00206D2E"/>
    <w:rsid w:val="00206E72"/>
    <w:rsid w:val="002074F5"/>
    <w:rsid w:val="00207563"/>
    <w:rsid w:val="0020760A"/>
    <w:rsid w:val="00207946"/>
    <w:rsid w:val="00207B31"/>
    <w:rsid w:val="00207DFF"/>
    <w:rsid w:val="002107A8"/>
    <w:rsid w:val="00210EF2"/>
    <w:rsid w:val="0021167A"/>
    <w:rsid w:val="00211750"/>
    <w:rsid w:val="002119A1"/>
    <w:rsid w:val="00211F2B"/>
    <w:rsid w:val="00212880"/>
    <w:rsid w:val="0021362A"/>
    <w:rsid w:val="0021391B"/>
    <w:rsid w:val="00213C75"/>
    <w:rsid w:val="00214275"/>
    <w:rsid w:val="00214488"/>
    <w:rsid w:val="002147B0"/>
    <w:rsid w:val="002153C9"/>
    <w:rsid w:val="00215602"/>
    <w:rsid w:val="00215BB9"/>
    <w:rsid w:val="00215F52"/>
    <w:rsid w:val="00216125"/>
    <w:rsid w:val="0021643E"/>
    <w:rsid w:val="00216880"/>
    <w:rsid w:val="002168E1"/>
    <w:rsid w:val="00217A87"/>
    <w:rsid w:val="00217DCE"/>
    <w:rsid w:val="00217EA0"/>
    <w:rsid w:val="002204A8"/>
    <w:rsid w:val="0022076F"/>
    <w:rsid w:val="002216EE"/>
    <w:rsid w:val="002218B2"/>
    <w:rsid w:val="00221DB1"/>
    <w:rsid w:val="002226C2"/>
    <w:rsid w:val="00222DE6"/>
    <w:rsid w:val="0022354B"/>
    <w:rsid w:val="00223879"/>
    <w:rsid w:val="00223926"/>
    <w:rsid w:val="00223F9D"/>
    <w:rsid w:val="0022412E"/>
    <w:rsid w:val="0022486A"/>
    <w:rsid w:val="00224981"/>
    <w:rsid w:val="00224DE6"/>
    <w:rsid w:val="00225771"/>
    <w:rsid w:val="002258DF"/>
    <w:rsid w:val="002259C4"/>
    <w:rsid w:val="00225C91"/>
    <w:rsid w:val="00225E27"/>
    <w:rsid w:val="00226C59"/>
    <w:rsid w:val="00226E20"/>
    <w:rsid w:val="0022719C"/>
    <w:rsid w:val="00227AF1"/>
    <w:rsid w:val="00227B9B"/>
    <w:rsid w:val="00227BD4"/>
    <w:rsid w:val="00227EB0"/>
    <w:rsid w:val="00227EB2"/>
    <w:rsid w:val="00231384"/>
    <w:rsid w:val="00231594"/>
    <w:rsid w:val="00231789"/>
    <w:rsid w:val="00231ED9"/>
    <w:rsid w:val="0023263F"/>
    <w:rsid w:val="00232B37"/>
    <w:rsid w:val="00233186"/>
    <w:rsid w:val="002331A7"/>
    <w:rsid w:val="00233910"/>
    <w:rsid w:val="00234594"/>
    <w:rsid w:val="002346DE"/>
    <w:rsid w:val="00234A1A"/>
    <w:rsid w:val="00234D0D"/>
    <w:rsid w:val="002353EA"/>
    <w:rsid w:val="0023563F"/>
    <w:rsid w:val="002357EC"/>
    <w:rsid w:val="002362D8"/>
    <w:rsid w:val="00236939"/>
    <w:rsid w:val="00236AE3"/>
    <w:rsid w:val="00237215"/>
    <w:rsid w:val="002378A0"/>
    <w:rsid w:val="00237AA2"/>
    <w:rsid w:val="00237EDB"/>
    <w:rsid w:val="00237FC7"/>
    <w:rsid w:val="0024036F"/>
    <w:rsid w:val="00241219"/>
    <w:rsid w:val="0024160F"/>
    <w:rsid w:val="002426B5"/>
    <w:rsid w:val="00242983"/>
    <w:rsid w:val="00242FFF"/>
    <w:rsid w:val="0024444B"/>
    <w:rsid w:val="00244B47"/>
    <w:rsid w:val="00244DCE"/>
    <w:rsid w:val="00244F2E"/>
    <w:rsid w:val="00245637"/>
    <w:rsid w:val="0024564C"/>
    <w:rsid w:val="00245925"/>
    <w:rsid w:val="00245F0D"/>
    <w:rsid w:val="00246327"/>
    <w:rsid w:val="0024651A"/>
    <w:rsid w:val="00246560"/>
    <w:rsid w:val="0024662D"/>
    <w:rsid w:val="00246847"/>
    <w:rsid w:val="00246CDD"/>
    <w:rsid w:val="002473C2"/>
    <w:rsid w:val="00247F24"/>
    <w:rsid w:val="00251442"/>
    <w:rsid w:val="002518BE"/>
    <w:rsid w:val="00251CC3"/>
    <w:rsid w:val="00251E58"/>
    <w:rsid w:val="0025234B"/>
    <w:rsid w:val="0025235F"/>
    <w:rsid w:val="002529B4"/>
    <w:rsid w:val="00252C69"/>
    <w:rsid w:val="00252EF2"/>
    <w:rsid w:val="00253175"/>
    <w:rsid w:val="002532F3"/>
    <w:rsid w:val="00253791"/>
    <w:rsid w:val="0025457A"/>
    <w:rsid w:val="00254FA8"/>
    <w:rsid w:val="00255548"/>
    <w:rsid w:val="00255710"/>
    <w:rsid w:val="00255A6E"/>
    <w:rsid w:val="00255F59"/>
    <w:rsid w:val="002603A4"/>
    <w:rsid w:val="00260603"/>
    <w:rsid w:val="00260A3D"/>
    <w:rsid w:val="00260A5D"/>
    <w:rsid w:val="00260E56"/>
    <w:rsid w:val="00261202"/>
    <w:rsid w:val="00261228"/>
    <w:rsid w:val="0026147E"/>
    <w:rsid w:val="002617A0"/>
    <w:rsid w:val="00261C31"/>
    <w:rsid w:val="00261E50"/>
    <w:rsid w:val="002625F6"/>
    <w:rsid w:val="00262DB7"/>
    <w:rsid w:val="002631F1"/>
    <w:rsid w:val="00263C55"/>
    <w:rsid w:val="002643A2"/>
    <w:rsid w:val="00264B5D"/>
    <w:rsid w:val="00264F30"/>
    <w:rsid w:val="00265A9F"/>
    <w:rsid w:val="00266023"/>
    <w:rsid w:val="00266936"/>
    <w:rsid w:val="00270858"/>
    <w:rsid w:val="002710AA"/>
    <w:rsid w:val="00271365"/>
    <w:rsid w:val="002713FA"/>
    <w:rsid w:val="00271C39"/>
    <w:rsid w:val="00271C9A"/>
    <w:rsid w:val="00271E09"/>
    <w:rsid w:val="0027211A"/>
    <w:rsid w:val="00272176"/>
    <w:rsid w:val="002722AB"/>
    <w:rsid w:val="002729B0"/>
    <w:rsid w:val="00272E39"/>
    <w:rsid w:val="00273637"/>
    <w:rsid w:val="00273647"/>
    <w:rsid w:val="00273B0C"/>
    <w:rsid w:val="0027415E"/>
    <w:rsid w:val="00274284"/>
    <w:rsid w:val="00275831"/>
    <w:rsid w:val="00275C45"/>
    <w:rsid w:val="00275C5B"/>
    <w:rsid w:val="00275EA8"/>
    <w:rsid w:val="002762EB"/>
    <w:rsid w:val="002762ED"/>
    <w:rsid w:val="0027697D"/>
    <w:rsid w:val="00276A3B"/>
    <w:rsid w:val="00277423"/>
    <w:rsid w:val="0027755C"/>
    <w:rsid w:val="00277A9A"/>
    <w:rsid w:val="002806C1"/>
    <w:rsid w:val="00281088"/>
    <w:rsid w:val="00281DAD"/>
    <w:rsid w:val="00281EC7"/>
    <w:rsid w:val="00282825"/>
    <w:rsid w:val="00282936"/>
    <w:rsid w:val="00282DC3"/>
    <w:rsid w:val="00283472"/>
    <w:rsid w:val="00283679"/>
    <w:rsid w:val="00283741"/>
    <w:rsid w:val="00284414"/>
    <w:rsid w:val="00285270"/>
    <w:rsid w:val="002857B7"/>
    <w:rsid w:val="00285820"/>
    <w:rsid w:val="00285973"/>
    <w:rsid w:val="00285E32"/>
    <w:rsid w:val="002863FB"/>
    <w:rsid w:val="00286589"/>
    <w:rsid w:val="00287179"/>
    <w:rsid w:val="002878A2"/>
    <w:rsid w:val="0029002F"/>
    <w:rsid w:val="00290311"/>
    <w:rsid w:val="002906B3"/>
    <w:rsid w:val="00290990"/>
    <w:rsid w:val="00290B09"/>
    <w:rsid w:val="00290EA8"/>
    <w:rsid w:val="002919C8"/>
    <w:rsid w:val="00291C56"/>
    <w:rsid w:val="00291F37"/>
    <w:rsid w:val="002922FB"/>
    <w:rsid w:val="00292340"/>
    <w:rsid w:val="00292837"/>
    <w:rsid w:val="00292EDF"/>
    <w:rsid w:val="00293080"/>
    <w:rsid w:val="00293415"/>
    <w:rsid w:val="00293DB5"/>
    <w:rsid w:val="00294031"/>
    <w:rsid w:val="0029442C"/>
    <w:rsid w:val="002948F7"/>
    <w:rsid w:val="00295C4C"/>
    <w:rsid w:val="002969E0"/>
    <w:rsid w:val="00296F6C"/>
    <w:rsid w:val="00297284"/>
    <w:rsid w:val="00297A1A"/>
    <w:rsid w:val="00297E09"/>
    <w:rsid w:val="002A014A"/>
    <w:rsid w:val="002A091C"/>
    <w:rsid w:val="002A0C3D"/>
    <w:rsid w:val="002A0C63"/>
    <w:rsid w:val="002A0DA1"/>
    <w:rsid w:val="002A0DE4"/>
    <w:rsid w:val="002A0F7A"/>
    <w:rsid w:val="002A105D"/>
    <w:rsid w:val="002A1293"/>
    <w:rsid w:val="002A1294"/>
    <w:rsid w:val="002A135E"/>
    <w:rsid w:val="002A13A9"/>
    <w:rsid w:val="002A259D"/>
    <w:rsid w:val="002A25EA"/>
    <w:rsid w:val="002A2914"/>
    <w:rsid w:val="002A37D0"/>
    <w:rsid w:val="002A38A5"/>
    <w:rsid w:val="002A3A38"/>
    <w:rsid w:val="002A3BE6"/>
    <w:rsid w:val="002A40D4"/>
    <w:rsid w:val="002A499C"/>
    <w:rsid w:val="002A4AA5"/>
    <w:rsid w:val="002A4B0E"/>
    <w:rsid w:val="002A568E"/>
    <w:rsid w:val="002A56E3"/>
    <w:rsid w:val="002A5983"/>
    <w:rsid w:val="002A60AF"/>
    <w:rsid w:val="002A6B17"/>
    <w:rsid w:val="002A712A"/>
    <w:rsid w:val="002A7296"/>
    <w:rsid w:val="002A7BD1"/>
    <w:rsid w:val="002A7DA5"/>
    <w:rsid w:val="002B0BEF"/>
    <w:rsid w:val="002B0F2E"/>
    <w:rsid w:val="002B17A2"/>
    <w:rsid w:val="002B1CBE"/>
    <w:rsid w:val="002B23D5"/>
    <w:rsid w:val="002B2F53"/>
    <w:rsid w:val="002B30B7"/>
    <w:rsid w:val="002B33DD"/>
    <w:rsid w:val="002B3445"/>
    <w:rsid w:val="002B40AB"/>
    <w:rsid w:val="002B415E"/>
    <w:rsid w:val="002B4EAA"/>
    <w:rsid w:val="002B4EAF"/>
    <w:rsid w:val="002B5281"/>
    <w:rsid w:val="002B52AB"/>
    <w:rsid w:val="002B5B3B"/>
    <w:rsid w:val="002B5E51"/>
    <w:rsid w:val="002B7151"/>
    <w:rsid w:val="002B755D"/>
    <w:rsid w:val="002B7CD6"/>
    <w:rsid w:val="002B7DD6"/>
    <w:rsid w:val="002C0288"/>
    <w:rsid w:val="002C0B11"/>
    <w:rsid w:val="002C10CC"/>
    <w:rsid w:val="002C18DD"/>
    <w:rsid w:val="002C1D18"/>
    <w:rsid w:val="002C203A"/>
    <w:rsid w:val="002C2A96"/>
    <w:rsid w:val="002C376B"/>
    <w:rsid w:val="002C3BA6"/>
    <w:rsid w:val="002C3BAF"/>
    <w:rsid w:val="002C4134"/>
    <w:rsid w:val="002C414E"/>
    <w:rsid w:val="002C494F"/>
    <w:rsid w:val="002C5C3A"/>
    <w:rsid w:val="002C64FE"/>
    <w:rsid w:val="002C6500"/>
    <w:rsid w:val="002C66B8"/>
    <w:rsid w:val="002C66F1"/>
    <w:rsid w:val="002C6758"/>
    <w:rsid w:val="002C6841"/>
    <w:rsid w:val="002C68BF"/>
    <w:rsid w:val="002C6BED"/>
    <w:rsid w:val="002C6CC6"/>
    <w:rsid w:val="002C7140"/>
    <w:rsid w:val="002C7541"/>
    <w:rsid w:val="002C7FC3"/>
    <w:rsid w:val="002D00D1"/>
    <w:rsid w:val="002D0184"/>
    <w:rsid w:val="002D0348"/>
    <w:rsid w:val="002D05F1"/>
    <w:rsid w:val="002D076F"/>
    <w:rsid w:val="002D0772"/>
    <w:rsid w:val="002D0D7E"/>
    <w:rsid w:val="002D0F3E"/>
    <w:rsid w:val="002D1A62"/>
    <w:rsid w:val="002D1A84"/>
    <w:rsid w:val="002D1B05"/>
    <w:rsid w:val="002D27A7"/>
    <w:rsid w:val="002D2B02"/>
    <w:rsid w:val="002D2C4D"/>
    <w:rsid w:val="002D31D4"/>
    <w:rsid w:val="002D33A5"/>
    <w:rsid w:val="002D3726"/>
    <w:rsid w:val="002D40F8"/>
    <w:rsid w:val="002D416F"/>
    <w:rsid w:val="002D43B5"/>
    <w:rsid w:val="002D4576"/>
    <w:rsid w:val="002D46A0"/>
    <w:rsid w:val="002D4771"/>
    <w:rsid w:val="002D4A1A"/>
    <w:rsid w:val="002D572B"/>
    <w:rsid w:val="002D5F7A"/>
    <w:rsid w:val="002D601E"/>
    <w:rsid w:val="002D69D7"/>
    <w:rsid w:val="002D6A8E"/>
    <w:rsid w:val="002D6D81"/>
    <w:rsid w:val="002D7139"/>
    <w:rsid w:val="002D71C6"/>
    <w:rsid w:val="002D761F"/>
    <w:rsid w:val="002D7ED2"/>
    <w:rsid w:val="002E047F"/>
    <w:rsid w:val="002E05C5"/>
    <w:rsid w:val="002E08B2"/>
    <w:rsid w:val="002E097E"/>
    <w:rsid w:val="002E1196"/>
    <w:rsid w:val="002E1240"/>
    <w:rsid w:val="002E1539"/>
    <w:rsid w:val="002E1D9A"/>
    <w:rsid w:val="002E258E"/>
    <w:rsid w:val="002E2E8B"/>
    <w:rsid w:val="002E30A1"/>
    <w:rsid w:val="002E364D"/>
    <w:rsid w:val="002E3698"/>
    <w:rsid w:val="002E3872"/>
    <w:rsid w:val="002E3DC1"/>
    <w:rsid w:val="002E3E49"/>
    <w:rsid w:val="002E40DB"/>
    <w:rsid w:val="002E4369"/>
    <w:rsid w:val="002E48F0"/>
    <w:rsid w:val="002E4DBF"/>
    <w:rsid w:val="002E4F97"/>
    <w:rsid w:val="002E4FF6"/>
    <w:rsid w:val="002E5294"/>
    <w:rsid w:val="002E57A8"/>
    <w:rsid w:val="002E5998"/>
    <w:rsid w:val="002E5B10"/>
    <w:rsid w:val="002E5E9E"/>
    <w:rsid w:val="002E65BB"/>
    <w:rsid w:val="002E6D49"/>
    <w:rsid w:val="002E6EAB"/>
    <w:rsid w:val="002E779E"/>
    <w:rsid w:val="002F07D6"/>
    <w:rsid w:val="002F101B"/>
    <w:rsid w:val="002F1D27"/>
    <w:rsid w:val="002F2FE2"/>
    <w:rsid w:val="002F310F"/>
    <w:rsid w:val="002F3590"/>
    <w:rsid w:val="002F3CA9"/>
    <w:rsid w:val="002F3E39"/>
    <w:rsid w:val="002F3EF1"/>
    <w:rsid w:val="002F4120"/>
    <w:rsid w:val="002F48D9"/>
    <w:rsid w:val="002F61B0"/>
    <w:rsid w:val="002F66E7"/>
    <w:rsid w:val="002F68F2"/>
    <w:rsid w:val="002F6A8F"/>
    <w:rsid w:val="002F6B94"/>
    <w:rsid w:val="002F6FD6"/>
    <w:rsid w:val="002F7934"/>
    <w:rsid w:val="002F7BCF"/>
    <w:rsid w:val="0030007E"/>
    <w:rsid w:val="003007A3"/>
    <w:rsid w:val="00300E52"/>
    <w:rsid w:val="00301260"/>
    <w:rsid w:val="0030127F"/>
    <w:rsid w:val="0030192D"/>
    <w:rsid w:val="00301BCD"/>
    <w:rsid w:val="00302130"/>
    <w:rsid w:val="00302150"/>
    <w:rsid w:val="003025A4"/>
    <w:rsid w:val="003029E0"/>
    <w:rsid w:val="00302B28"/>
    <w:rsid w:val="0030311B"/>
    <w:rsid w:val="003034F1"/>
    <w:rsid w:val="00304CDB"/>
    <w:rsid w:val="00305BD1"/>
    <w:rsid w:val="00306119"/>
    <w:rsid w:val="003061DE"/>
    <w:rsid w:val="003068B3"/>
    <w:rsid w:val="0030755E"/>
    <w:rsid w:val="00307761"/>
    <w:rsid w:val="00310012"/>
    <w:rsid w:val="00310220"/>
    <w:rsid w:val="003106F5"/>
    <w:rsid w:val="0031077E"/>
    <w:rsid w:val="00310CD6"/>
    <w:rsid w:val="00311094"/>
    <w:rsid w:val="00311F01"/>
    <w:rsid w:val="0031203F"/>
    <w:rsid w:val="00312B16"/>
    <w:rsid w:val="00312BB9"/>
    <w:rsid w:val="00312E96"/>
    <w:rsid w:val="00313364"/>
    <w:rsid w:val="00313887"/>
    <w:rsid w:val="003141E6"/>
    <w:rsid w:val="00314241"/>
    <w:rsid w:val="00314371"/>
    <w:rsid w:val="00314407"/>
    <w:rsid w:val="003144CB"/>
    <w:rsid w:val="0031455C"/>
    <w:rsid w:val="00314764"/>
    <w:rsid w:val="00315045"/>
    <w:rsid w:val="003158AB"/>
    <w:rsid w:val="0031592F"/>
    <w:rsid w:val="0031594D"/>
    <w:rsid w:val="00315D0E"/>
    <w:rsid w:val="00315DCA"/>
    <w:rsid w:val="00316221"/>
    <w:rsid w:val="003163CD"/>
    <w:rsid w:val="003167B5"/>
    <w:rsid w:val="003168E1"/>
    <w:rsid w:val="003171B9"/>
    <w:rsid w:val="00317767"/>
    <w:rsid w:val="00317FA2"/>
    <w:rsid w:val="0032088A"/>
    <w:rsid w:val="0032132B"/>
    <w:rsid w:val="0032236B"/>
    <w:rsid w:val="003225CA"/>
    <w:rsid w:val="0032267A"/>
    <w:rsid w:val="003226AE"/>
    <w:rsid w:val="00322BCC"/>
    <w:rsid w:val="00322C28"/>
    <w:rsid w:val="00322D68"/>
    <w:rsid w:val="0032305B"/>
    <w:rsid w:val="00323384"/>
    <w:rsid w:val="00323745"/>
    <w:rsid w:val="0032380E"/>
    <w:rsid w:val="00323A7F"/>
    <w:rsid w:val="00323C29"/>
    <w:rsid w:val="00323F8B"/>
    <w:rsid w:val="003245AD"/>
    <w:rsid w:val="003245E9"/>
    <w:rsid w:val="0032478A"/>
    <w:rsid w:val="00324FC8"/>
    <w:rsid w:val="003258A6"/>
    <w:rsid w:val="00325F8D"/>
    <w:rsid w:val="0032628A"/>
    <w:rsid w:val="003263DA"/>
    <w:rsid w:val="00326B40"/>
    <w:rsid w:val="0032709F"/>
    <w:rsid w:val="0032752A"/>
    <w:rsid w:val="00327BFE"/>
    <w:rsid w:val="00327C21"/>
    <w:rsid w:val="0033046A"/>
    <w:rsid w:val="00330CA1"/>
    <w:rsid w:val="003316F2"/>
    <w:rsid w:val="00331A81"/>
    <w:rsid w:val="0033225F"/>
    <w:rsid w:val="0033226A"/>
    <w:rsid w:val="00332548"/>
    <w:rsid w:val="00332718"/>
    <w:rsid w:val="00332922"/>
    <w:rsid w:val="00332BF5"/>
    <w:rsid w:val="00333096"/>
    <w:rsid w:val="00333158"/>
    <w:rsid w:val="00333C04"/>
    <w:rsid w:val="00333DA4"/>
    <w:rsid w:val="00333EED"/>
    <w:rsid w:val="0033406A"/>
    <w:rsid w:val="0033406D"/>
    <w:rsid w:val="0033417B"/>
    <w:rsid w:val="003345A8"/>
    <w:rsid w:val="003346D0"/>
    <w:rsid w:val="00334F7C"/>
    <w:rsid w:val="003350A6"/>
    <w:rsid w:val="0033560B"/>
    <w:rsid w:val="00335965"/>
    <w:rsid w:val="0033614B"/>
    <w:rsid w:val="00336260"/>
    <w:rsid w:val="003403C5"/>
    <w:rsid w:val="0034079B"/>
    <w:rsid w:val="003411AC"/>
    <w:rsid w:val="00341676"/>
    <w:rsid w:val="00341E8F"/>
    <w:rsid w:val="003427B5"/>
    <w:rsid w:val="0034333B"/>
    <w:rsid w:val="003434A4"/>
    <w:rsid w:val="00343777"/>
    <w:rsid w:val="0034394C"/>
    <w:rsid w:val="00343F57"/>
    <w:rsid w:val="003449C5"/>
    <w:rsid w:val="003451D5"/>
    <w:rsid w:val="003451E5"/>
    <w:rsid w:val="00345339"/>
    <w:rsid w:val="003455D1"/>
    <w:rsid w:val="00345DE1"/>
    <w:rsid w:val="00346648"/>
    <w:rsid w:val="003466BB"/>
    <w:rsid w:val="003467CB"/>
    <w:rsid w:val="00347048"/>
    <w:rsid w:val="003470D5"/>
    <w:rsid w:val="003477C3"/>
    <w:rsid w:val="003477D6"/>
    <w:rsid w:val="00347C75"/>
    <w:rsid w:val="003503CF"/>
    <w:rsid w:val="003512DF"/>
    <w:rsid w:val="00351398"/>
    <w:rsid w:val="0035170A"/>
    <w:rsid w:val="00351E2C"/>
    <w:rsid w:val="003522EF"/>
    <w:rsid w:val="0035268B"/>
    <w:rsid w:val="0035339D"/>
    <w:rsid w:val="00353B50"/>
    <w:rsid w:val="00353C50"/>
    <w:rsid w:val="00353EB4"/>
    <w:rsid w:val="00353F7B"/>
    <w:rsid w:val="003544B2"/>
    <w:rsid w:val="0035498A"/>
    <w:rsid w:val="0035527C"/>
    <w:rsid w:val="00355531"/>
    <w:rsid w:val="003556BF"/>
    <w:rsid w:val="00355E64"/>
    <w:rsid w:val="003564F9"/>
    <w:rsid w:val="003569AC"/>
    <w:rsid w:val="00356ADA"/>
    <w:rsid w:val="00356D87"/>
    <w:rsid w:val="00357720"/>
    <w:rsid w:val="0035779D"/>
    <w:rsid w:val="00357BD5"/>
    <w:rsid w:val="00360154"/>
    <w:rsid w:val="003601E2"/>
    <w:rsid w:val="00361285"/>
    <w:rsid w:val="00361794"/>
    <w:rsid w:val="0036191B"/>
    <w:rsid w:val="00362CA2"/>
    <w:rsid w:val="00363162"/>
    <w:rsid w:val="00363777"/>
    <w:rsid w:val="00364BFA"/>
    <w:rsid w:val="00365155"/>
    <w:rsid w:val="00365278"/>
    <w:rsid w:val="00365715"/>
    <w:rsid w:val="00365769"/>
    <w:rsid w:val="00365E76"/>
    <w:rsid w:val="00365EC2"/>
    <w:rsid w:val="00365F4F"/>
    <w:rsid w:val="003661C4"/>
    <w:rsid w:val="00367020"/>
    <w:rsid w:val="003671CC"/>
    <w:rsid w:val="003677DC"/>
    <w:rsid w:val="0036784C"/>
    <w:rsid w:val="00367B9B"/>
    <w:rsid w:val="00367C38"/>
    <w:rsid w:val="00367FA1"/>
    <w:rsid w:val="00370EDE"/>
    <w:rsid w:val="003711C7"/>
    <w:rsid w:val="00371BC3"/>
    <w:rsid w:val="00372528"/>
    <w:rsid w:val="003726EC"/>
    <w:rsid w:val="0037287D"/>
    <w:rsid w:val="0037337C"/>
    <w:rsid w:val="0037444B"/>
    <w:rsid w:val="00374C41"/>
    <w:rsid w:val="00374EF4"/>
    <w:rsid w:val="00375457"/>
    <w:rsid w:val="00375871"/>
    <w:rsid w:val="00375EF1"/>
    <w:rsid w:val="00376042"/>
    <w:rsid w:val="0037646F"/>
    <w:rsid w:val="00376EA8"/>
    <w:rsid w:val="00377000"/>
    <w:rsid w:val="0037711A"/>
    <w:rsid w:val="00377DB7"/>
    <w:rsid w:val="0038006E"/>
    <w:rsid w:val="003803A6"/>
    <w:rsid w:val="0038047E"/>
    <w:rsid w:val="0038079D"/>
    <w:rsid w:val="00380F18"/>
    <w:rsid w:val="00380FBD"/>
    <w:rsid w:val="0038171E"/>
    <w:rsid w:val="00381E22"/>
    <w:rsid w:val="00382018"/>
    <w:rsid w:val="0038212B"/>
    <w:rsid w:val="0038229B"/>
    <w:rsid w:val="003823B6"/>
    <w:rsid w:val="0038260A"/>
    <w:rsid w:val="00382689"/>
    <w:rsid w:val="00382DD1"/>
    <w:rsid w:val="00383877"/>
    <w:rsid w:val="00383A38"/>
    <w:rsid w:val="00383F77"/>
    <w:rsid w:val="0038439E"/>
    <w:rsid w:val="0038440F"/>
    <w:rsid w:val="0038458F"/>
    <w:rsid w:val="003846FB"/>
    <w:rsid w:val="00384A46"/>
    <w:rsid w:val="00384A55"/>
    <w:rsid w:val="00385763"/>
    <w:rsid w:val="00385F79"/>
    <w:rsid w:val="003863DF"/>
    <w:rsid w:val="00386943"/>
    <w:rsid w:val="0038703F"/>
    <w:rsid w:val="0038706F"/>
    <w:rsid w:val="00387898"/>
    <w:rsid w:val="00387E48"/>
    <w:rsid w:val="00387EBE"/>
    <w:rsid w:val="003900CD"/>
    <w:rsid w:val="00390118"/>
    <w:rsid w:val="003904AE"/>
    <w:rsid w:val="00390957"/>
    <w:rsid w:val="00390BE3"/>
    <w:rsid w:val="003912BF"/>
    <w:rsid w:val="0039151C"/>
    <w:rsid w:val="003917AC"/>
    <w:rsid w:val="00391D41"/>
    <w:rsid w:val="0039280B"/>
    <w:rsid w:val="00392B37"/>
    <w:rsid w:val="00392C5D"/>
    <w:rsid w:val="00393104"/>
    <w:rsid w:val="0039328F"/>
    <w:rsid w:val="003934DC"/>
    <w:rsid w:val="0039421F"/>
    <w:rsid w:val="0039521E"/>
    <w:rsid w:val="0039527A"/>
    <w:rsid w:val="00397030"/>
    <w:rsid w:val="0039727E"/>
    <w:rsid w:val="00397671"/>
    <w:rsid w:val="0039797D"/>
    <w:rsid w:val="00397A0A"/>
    <w:rsid w:val="00397FD9"/>
    <w:rsid w:val="003A002E"/>
    <w:rsid w:val="003A021F"/>
    <w:rsid w:val="003A0518"/>
    <w:rsid w:val="003A0B29"/>
    <w:rsid w:val="003A1034"/>
    <w:rsid w:val="003A1751"/>
    <w:rsid w:val="003A1921"/>
    <w:rsid w:val="003A19F3"/>
    <w:rsid w:val="003A1BE0"/>
    <w:rsid w:val="003A1C8D"/>
    <w:rsid w:val="003A1D53"/>
    <w:rsid w:val="003A265A"/>
    <w:rsid w:val="003A26BC"/>
    <w:rsid w:val="003A2922"/>
    <w:rsid w:val="003A2A66"/>
    <w:rsid w:val="003A3620"/>
    <w:rsid w:val="003A379D"/>
    <w:rsid w:val="003A3847"/>
    <w:rsid w:val="003A3FCA"/>
    <w:rsid w:val="003A42D2"/>
    <w:rsid w:val="003A46A8"/>
    <w:rsid w:val="003A47FD"/>
    <w:rsid w:val="003A4BA9"/>
    <w:rsid w:val="003A51AB"/>
    <w:rsid w:val="003A52A3"/>
    <w:rsid w:val="003A56EB"/>
    <w:rsid w:val="003A5E0F"/>
    <w:rsid w:val="003A6B6D"/>
    <w:rsid w:val="003A6BFC"/>
    <w:rsid w:val="003A7141"/>
    <w:rsid w:val="003A7841"/>
    <w:rsid w:val="003B0091"/>
    <w:rsid w:val="003B0C6E"/>
    <w:rsid w:val="003B0CE2"/>
    <w:rsid w:val="003B0CEB"/>
    <w:rsid w:val="003B1069"/>
    <w:rsid w:val="003B10C5"/>
    <w:rsid w:val="003B1525"/>
    <w:rsid w:val="003B18C7"/>
    <w:rsid w:val="003B18E7"/>
    <w:rsid w:val="003B1CE5"/>
    <w:rsid w:val="003B27AE"/>
    <w:rsid w:val="003B2B9A"/>
    <w:rsid w:val="003B30CF"/>
    <w:rsid w:val="003B3318"/>
    <w:rsid w:val="003B3778"/>
    <w:rsid w:val="003B4C24"/>
    <w:rsid w:val="003B4CE6"/>
    <w:rsid w:val="003B4E90"/>
    <w:rsid w:val="003B4F55"/>
    <w:rsid w:val="003B5390"/>
    <w:rsid w:val="003B5934"/>
    <w:rsid w:val="003B5F2A"/>
    <w:rsid w:val="003B62E0"/>
    <w:rsid w:val="003B6455"/>
    <w:rsid w:val="003B64EE"/>
    <w:rsid w:val="003B731B"/>
    <w:rsid w:val="003B7424"/>
    <w:rsid w:val="003B76BB"/>
    <w:rsid w:val="003B7D40"/>
    <w:rsid w:val="003C071A"/>
    <w:rsid w:val="003C110F"/>
    <w:rsid w:val="003C122E"/>
    <w:rsid w:val="003C1701"/>
    <w:rsid w:val="003C172E"/>
    <w:rsid w:val="003C1835"/>
    <w:rsid w:val="003C18B7"/>
    <w:rsid w:val="003C1A17"/>
    <w:rsid w:val="003C1CBA"/>
    <w:rsid w:val="003C1F0C"/>
    <w:rsid w:val="003C293F"/>
    <w:rsid w:val="003C3337"/>
    <w:rsid w:val="003C36CF"/>
    <w:rsid w:val="003C37F7"/>
    <w:rsid w:val="003C39E2"/>
    <w:rsid w:val="003C460C"/>
    <w:rsid w:val="003C48AB"/>
    <w:rsid w:val="003C4D4B"/>
    <w:rsid w:val="003C51A4"/>
    <w:rsid w:val="003C572D"/>
    <w:rsid w:val="003C57A0"/>
    <w:rsid w:val="003C6477"/>
    <w:rsid w:val="003C6534"/>
    <w:rsid w:val="003C6896"/>
    <w:rsid w:val="003C6942"/>
    <w:rsid w:val="003C6A80"/>
    <w:rsid w:val="003C6FDA"/>
    <w:rsid w:val="003C7319"/>
    <w:rsid w:val="003C7678"/>
    <w:rsid w:val="003D05FD"/>
    <w:rsid w:val="003D06E3"/>
    <w:rsid w:val="003D0950"/>
    <w:rsid w:val="003D1C34"/>
    <w:rsid w:val="003D1FE2"/>
    <w:rsid w:val="003D22F8"/>
    <w:rsid w:val="003D2D6E"/>
    <w:rsid w:val="003D2F17"/>
    <w:rsid w:val="003D2F4C"/>
    <w:rsid w:val="003D351D"/>
    <w:rsid w:val="003D382B"/>
    <w:rsid w:val="003D3EE0"/>
    <w:rsid w:val="003D4DA8"/>
    <w:rsid w:val="003D5739"/>
    <w:rsid w:val="003D5C47"/>
    <w:rsid w:val="003D62CD"/>
    <w:rsid w:val="003D65A6"/>
    <w:rsid w:val="003D6FF5"/>
    <w:rsid w:val="003D76C6"/>
    <w:rsid w:val="003E00ED"/>
    <w:rsid w:val="003E083E"/>
    <w:rsid w:val="003E0B8F"/>
    <w:rsid w:val="003E0BA4"/>
    <w:rsid w:val="003E0F4C"/>
    <w:rsid w:val="003E2008"/>
    <w:rsid w:val="003E2511"/>
    <w:rsid w:val="003E261A"/>
    <w:rsid w:val="003E35B5"/>
    <w:rsid w:val="003E39DD"/>
    <w:rsid w:val="003E42D4"/>
    <w:rsid w:val="003E4AA8"/>
    <w:rsid w:val="003E51C0"/>
    <w:rsid w:val="003E5D1E"/>
    <w:rsid w:val="003E624A"/>
    <w:rsid w:val="003E6351"/>
    <w:rsid w:val="003E66CD"/>
    <w:rsid w:val="003E6C23"/>
    <w:rsid w:val="003E6F7D"/>
    <w:rsid w:val="003E705D"/>
    <w:rsid w:val="003E766A"/>
    <w:rsid w:val="003E78E8"/>
    <w:rsid w:val="003E7ABE"/>
    <w:rsid w:val="003E7B08"/>
    <w:rsid w:val="003F04BB"/>
    <w:rsid w:val="003F051C"/>
    <w:rsid w:val="003F19E6"/>
    <w:rsid w:val="003F1C5C"/>
    <w:rsid w:val="003F2299"/>
    <w:rsid w:val="003F22DB"/>
    <w:rsid w:val="003F265E"/>
    <w:rsid w:val="003F26F7"/>
    <w:rsid w:val="003F2874"/>
    <w:rsid w:val="003F31F7"/>
    <w:rsid w:val="003F3D87"/>
    <w:rsid w:val="003F4663"/>
    <w:rsid w:val="003F4670"/>
    <w:rsid w:val="003F4AF1"/>
    <w:rsid w:val="003F52B1"/>
    <w:rsid w:val="003F52DE"/>
    <w:rsid w:val="003F570E"/>
    <w:rsid w:val="003F57CE"/>
    <w:rsid w:val="003F62E9"/>
    <w:rsid w:val="003F6629"/>
    <w:rsid w:val="003F679A"/>
    <w:rsid w:val="003F782F"/>
    <w:rsid w:val="003F78BE"/>
    <w:rsid w:val="00400026"/>
    <w:rsid w:val="0040070B"/>
    <w:rsid w:val="00400B6D"/>
    <w:rsid w:val="00401499"/>
    <w:rsid w:val="00401647"/>
    <w:rsid w:val="00401B25"/>
    <w:rsid w:val="00402A08"/>
    <w:rsid w:val="00402B50"/>
    <w:rsid w:val="0040303D"/>
    <w:rsid w:val="00403087"/>
    <w:rsid w:val="0040343B"/>
    <w:rsid w:val="00403727"/>
    <w:rsid w:val="00403A97"/>
    <w:rsid w:val="00404458"/>
    <w:rsid w:val="004044CA"/>
    <w:rsid w:val="004049CB"/>
    <w:rsid w:val="00405C4B"/>
    <w:rsid w:val="00406009"/>
    <w:rsid w:val="00406781"/>
    <w:rsid w:val="004067A8"/>
    <w:rsid w:val="00406ACC"/>
    <w:rsid w:val="00406D0B"/>
    <w:rsid w:val="00406E66"/>
    <w:rsid w:val="00406EAB"/>
    <w:rsid w:val="004071A3"/>
    <w:rsid w:val="0040751B"/>
    <w:rsid w:val="00407A86"/>
    <w:rsid w:val="004100A7"/>
    <w:rsid w:val="004103BB"/>
    <w:rsid w:val="004109FC"/>
    <w:rsid w:val="00410BCE"/>
    <w:rsid w:val="00410C09"/>
    <w:rsid w:val="00411408"/>
    <w:rsid w:val="004120E9"/>
    <w:rsid w:val="004122CA"/>
    <w:rsid w:val="00412554"/>
    <w:rsid w:val="00412CC4"/>
    <w:rsid w:val="00413819"/>
    <w:rsid w:val="0041444D"/>
    <w:rsid w:val="0041469E"/>
    <w:rsid w:val="00414A65"/>
    <w:rsid w:val="004150AF"/>
    <w:rsid w:val="00415B7B"/>
    <w:rsid w:val="00415D30"/>
    <w:rsid w:val="00415F1B"/>
    <w:rsid w:val="00415F5F"/>
    <w:rsid w:val="0041600A"/>
    <w:rsid w:val="0041650C"/>
    <w:rsid w:val="00416757"/>
    <w:rsid w:val="0041690E"/>
    <w:rsid w:val="004169B2"/>
    <w:rsid w:val="00416E2F"/>
    <w:rsid w:val="0041784E"/>
    <w:rsid w:val="00417D5A"/>
    <w:rsid w:val="004202BC"/>
    <w:rsid w:val="00420656"/>
    <w:rsid w:val="00420B2E"/>
    <w:rsid w:val="004210FA"/>
    <w:rsid w:val="004215B7"/>
    <w:rsid w:val="00422387"/>
    <w:rsid w:val="00422426"/>
    <w:rsid w:val="0042246E"/>
    <w:rsid w:val="00422592"/>
    <w:rsid w:val="00422624"/>
    <w:rsid w:val="004226F8"/>
    <w:rsid w:val="004228A9"/>
    <w:rsid w:val="00422B2D"/>
    <w:rsid w:val="00422F43"/>
    <w:rsid w:val="004233E1"/>
    <w:rsid w:val="0042361A"/>
    <w:rsid w:val="004239A3"/>
    <w:rsid w:val="00423D29"/>
    <w:rsid w:val="00423F8C"/>
    <w:rsid w:val="00424573"/>
    <w:rsid w:val="00424F04"/>
    <w:rsid w:val="00425239"/>
    <w:rsid w:val="004253B5"/>
    <w:rsid w:val="00425BF0"/>
    <w:rsid w:val="00425C73"/>
    <w:rsid w:val="00425DE2"/>
    <w:rsid w:val="00425DF4"/>
    <w:rsid w:val="004262FF"/>
    <w:rsid w:val="00426869"/>
    <w:rsid w:val="00426D9E"/>
    <w:rsid w:val="004273C8"/>
    <w:rsid w:val="00427DCF"/>
    <w:rsid w:val="00427EF6"/>
    <w:rsid w:val="0043059A"/>
    <w:rsid w:val="004309ED"/>
    <w:rsid w:val="00430A54"/>
    <w:rsid w:val="00430E24"/>
    <w:rsid w:val="00430E5D"/>
    <w:rsid w:val="004314F6"/>
    <w:rsid w:val="0043181D"/>
    <w:rsid w:val="0043184C"/>
    <w:rsid w:val="00431B79"/>
    <w:rsid w:val="00431C74"/>
    <w:rsid w:val="00431E32"/>
    <w:rsid w:val="00432448"/>
    <w:rsid w:val="00432895"/>
    <w:rsid w:val="00433016"/>
    <w:rsid w:val="004334DB"/>
    <w:rsid w:val="0043437F"/>
    <w:rsid w:val="004343D7"/>
    <w:rsid w:val="00434493"/>
    <w:rsid w:val="00434757"/>
    <w:rsid w:val="00434A20"/>
    <w:rsid w:val="00434CB1"/>
    <w:rsid w:val="0043523B"/>
    <w:rsid w:val="004357FB"/>
    <w:rsid w:val="00435868"/>
    <w:rsid w:val="00435E95"/>
    <w:rsid w:val="00436060"/>
    <w:rsid w:val="00436261"/>
    <w:rsid w:val="00436439"/>
    <w:rsid w:val="00436968"/>
    <w:rsid w:val="00436B73"/>
    <w:rsid w:val="00436C13"/>
    <w:rsid w:val="00436C67"/>
    <w:rsid w:val="004377F8"/>
    <w:rsid w:val="004378FA"/>
    <w:rsid w:val="00437B02"/>
    <w:rsid w:val="00440392"/>
    <w:rsid w:val="00440542"/>
    <w:rsid w:val="00441837"/>
    <w:rsid w:val="00441FE7"/>
    <w:rsid w:val="00442348"/>
    <w:rsid w:val="00442619"/>
    <w:rsid w:val="0044401C"/>
    <w:rsid w:val="004445B0"/>
    <w:rsid w:val="00444646"/>
    <w:rsid w:val="00444BF3"/>
    <w:rsid w:val="004450CF"/>
    <w:rsid w:val="00445617"/>
    <w:rsid w:val="00445BBB"/>
    <w:rsid w:val="00446354"/>
    <w:rsid w:val="004469B2"/>
    <w:rsid w:val="004472CA"/>
    <w:rsid w:val="004479E5"/>
    <w:rsid w:val="00447C60"/>
    <w:rsid w:val="00447E9A"/>
    <w:rsid w:val="00447F86"/>
    <w:rsid w:val="00447FD5"/>
    <w:rsid w:val="00450507"/>
    <w:rsid w:val="0045082B"/>
    <w:rsid w:val="004509D2"/>
    <w:rsid w:val="004514C9"/>
    <w:rsid w:val="004515BF"/>
    <w:rsid w:val="00451F57"/>
    <w:rsid w:val="00452041"/>
    <w:rsid w:val="004522A1"/>
    <w:rsid w:val="004529A9"/>
    <w:rsid w:val="00452ABA"/>
    <w:rsid w:val="00452D95"/>
    <w:rsid w:val="00453B5B"/>
    <w:rsid w:val="00453BB4"/>
    <w:rsid w:val="00454E21"/>
    <w:rsid w:val="00454F75"/>
    <w:rsid w:val="004552ED"/>
    <w:rsid w:val="00455845"/>
    <w:rsid w:val="004558FB"/>
    <w:rsid w:val="00455F8E"/>
    <w:rsid w:val="004561B5"/>
    <w:rsid w:val="00456542"/>
    <w:rsid w:val="00456670"/>
    <w:rsid w:val="00456C76"/>
    <w:rsid w:val="00456D7E"/>
    <w:rsid w:val="00457384"/>
    <w:rsid w:val="00457749"/>
    <w:rsid w:val="004579D6"/>
    <w:rsid w:val="00457BEF"/>
    <w:rsid w:val="0046005D"/>
    <w:rsid w:val="00460283"/>
    <w:rsid w:val="004604E1"/>
    <w:rsid w:val="004607F6"/>
    <w:rsid w:val="00461415"/>
    <w:rsid w:val="004616DF"/>
    <w:rsid w:val="0046182C"/>
    <w:rsid w:val="00461B28"/>
    <w:rsid w:val="00461D1D"/>
    <w:rsid w:val="00461D7F"/>
    <w:rsid w:val="00461E13"/>
    <w:rsid w:val="00464D23"/>
    <w:rsid w:val="00464DB1"/>
    <w:rsid w:val="004653E8"/>
    <w:rsid w:val="004660CE"/>
    <w:rsid w:val="004661C0"/>
    <w:rsid w:val="00466531"/>
    <w:rsid w:val="00466742"/>
    <w:rsid w:val="004673BD"/>
    <w:rsid w:val="0046770A"/>
    <w:rsid w:val="0047025D"/>
    <w:rsid w:val="00470458"/>
    <w:rsid w:val="00470583"/>
    <w:rsid w:val="0047066D"/>
    <w:rsid w:val="004707C0"/>
    <w:rsid w:val="00470ACA"/>
    <w:rsid w:val="0047119E"/>
    <w:rsid w:val="00472A1D"/>
    <w:rsid w:val="00472B2A"/>
    <w:rsid w:val="00472F57"/>
    <w:rsid w:val="00473331"/>
    <w:rsid w:val="004735FD"/>
    <w:rsid w:val="00473C26"/>
    <w:rsid w:val="00473CF0"/>
    <w:rsid w:val="004741D6"/>
    <w:rsid w:val="004743D2"/>
    <w:rsid w:val="004745D2"/>
    <w:rsid w:val="00474627"/>
    <w:rsid w:val="00474EC4"/>
    <w:rsid w:val="004753B6"/>
    <w:rsid w:val="00475894"/>
    <w:rsid w:val="00475B01"/>
    <w:rsid w:val="00475C5D"/>
    <w:rsid w:val="00476064"/>
    <w:rsid w:val="00476A6A"/>
    <w:rsid w:val="00477421"/>
    <w:rsid w:val="0047783D"/>
    <w:rsid w:val="004778C5"/>
    <w:rsid w:val="00477F0F"/>
    <w:rsid w:val="00477FC5"/>
    <w:rsid w:val="004804CA"/>
    <w:rsid w:val="00480AF7"/>
    <w:rsid w:val="00480D36"/>
    <w:rsid w:val="004811B1"/>
    <w:rsid w:val="0048124E"/>
    <w:rsid w:val="004814A2"/>
    <w:rsid w:val="00481A4D"/>
    <w:rsid w:val="00481CA7"/>
    <w:rsid w:val="00481D69"/>
    <w:rsid w:val="004822ED"/>
    <w:rsid w:val="0048230C"/>
    <w:rsid w:val="004832A9"/>
    <w:rsid w:val="00483ED5"/>
    <w:rsid w:val="0048437B"/>
    <w:rsid w:val="00485614"/>
    <w:rsid w:val="00485625"/>
    <w:rsid w:val="00485A5F"/>
    <w:rsid w:val="00485DEF"/>
    <w:rsid w:val="0048733C"/>
    <w:rsid w:val="00487975"/>
    <w:rsid w:val="00490468"/>
    <w:rsid w:val="00490B93"/>
    <w:rsid w:val="00490EA8"/>
    <w:rsid w:val="0049195D"/>
    <w:rsid w:val="004919EB"/>
    <w:rsid w:val="00491B29"/>
    <w:rsid w:val="00491BAD"/>
    <w:rsid w:val="00491FD6"/>
    <w:rsid w:val="00494286"/>
    <w:rsid w:val="00494394"/>
    <w:rsid w:val="00494474"/>
    <w:rsid w:val="004944F8"/>
    <w:rsid w:val="00494537"/>
    <w:rsid w:val="0049476A"/>
    <w:rsid w:val="00494919"/>
    <w:rsid w:val="00496E87"/>
    <w:rsid w:val="00496EA7"/>
    <w:rsid w:val="004970F1"/>
    <w:rsid w:val="00497222"/>
    <w:rsid w:val="00497641"/>
    <w:rsid w:val="004A00B2"/>
    <w:rsid w:val="004A0249"/>
    <w:rsid w:val="004A0843"/>
    <w:rsid w:val="004A0ECB"/>
    <w:rsid w:val="004A0FCF"/>
    <w:rsid w:val="004A110F"/>
    <w:rsid w:val="004A175D"/>
    <w:rsid w:val="004A1922"/>
    <w:rsid w:val="004A22E2"/>
    <w:rsid w:val="004A23C8"/>
    <w:rsid w:val="004A2745"/>
    <w:rsid w:val="004A29FE"/>
    <w:rsid w:val="004A3710"/>
    <w:rsid w:val="004A3CC8"/>
    <w:rsid w:val="004A3F47"/>
    <w:rsid w:val="004A43EF"/>
    <w:rsid w:val="004A454D"/>
    <w:rsid w:val="004A46BA"/>
    <w:rsid w:val="004A4C90"/>
    <w:rsid w:val="004A4F3A"/>
    <w:rsid w:val="004A53CA"/>
    <w:rsid w:val="004A5605"/>
    <w:rsid w:val="004A59C4"/>
    <w:rsid w:val="004A63DD"/>
    <w:rsid w:val="004A6508"/>
    <w:rsid w:val="004A7069"/>
    <w:rsid w:val="004A70BC"/>
    <w:rsid w:val="004A7203"/>
    <w:rsid w:val="004A7204"/>
    <w:rsid w:val="004A7645"/>
    <w:rsid w:val="004A7760"/>
    <w:rsid w:val="004A7862"/>
    <w:rsid w:val="004A7A64"/>
    <w:rsid w:val="004B00DE"/>
    <w:rsid w:val="004B013A"/>
    <w:rsid w:val="004B0225"/>
    <w:rsid w:val="004B0418"/>
    <w:rsid w:val="004B060C"/>
    <w:rsid w:val="004B0A2E"/>
    <w:rsid w:val="004B0AFA"/>
    <w:rsid w:val="004B169F"/>
    <w:rsid w:val="004B209B"/>
    <w:rsid w:val="004B251B"/>
    <w:rsid w:val="004B27ED"/>
    <w:rsid w:val="004B2A47"/>
    <w:rsid w:val="004B2B06"/>
    <w:rsid w:val="004B2B1E"/>
    <w:rsid w:val="004B2B21"/>
    <w:rsid w:val="004B2B9B"/>
    <w:rsid w:val="004B2BA6"/>
    <w:rsid w:val="004B2E7B"/>
    <w:rsid w:val="004B2F33"/>
    <w:rsid w:val="004B2FCE"/>
    <w:rsid w:val="004B4EF0"/>
    <w:rsid w:val="004B4F6A"/>
    <w:rsid w:val="004B51E2"/>
    <w:rsid w:val="004B529B"/>
    <w:rsid w:val="004B53F6"/>
    <w:rsid w:val="004B5422"/>
    <w:rsid w:val="004B55EB"/>
    <w:rsid w:val="004B568C"/>
    <w:rsid w:val="004B5C9E"/>
    <w:rsid w:val="004B5F7F"/>
    <w:rsid w:val="004B7498"/>
    <w:rsid w:val="004B7BFC"/>
    <w:rsid w:val="004B7C36"/>
    <w:rsid w:val="004C0A31"/>
    <w:rsid w:val="004C0FA3"/>
    <w:rsid w:val="004C1173"/>
    <w:rsid w:val="004C19C5"/>
    <w:rsid w:val="004C2AD1"/>
    <w:rsid w:val="004C30B6"/>
    <w:rsid w:val="004C35D4"/>
    <w:rsid w:val="004C39A8"/>
    <w:rsid w:val="004C3BD3"/>
    <w:rsid w:val="004C3E8D"/>
    <w:rsid w:val="004C4165"/>
    <w:rsid w:val="004C434B"/>
    <w:rsid w:val="004C4C30"/>
    <w:rsid w:val="004C527C"/>
    <w:rsid w:val="004C5532"/>
    <w:rsid w:val="004C6081"/>
    <w:rsid w:val="004C644B"/>
    <w:rsid w:val="004C6BA7"/>
    <w:rsid w:val="004C6C80"/>
    <w:rsid w:val="004C7A8A"/>
    <w:rsid w:val="004C7ECE"/>
    <w:rsid w:val="004D03D4"/>
    <w:rsid w:val="004D0497"/>
    <w:rsid w:val="004D1B47"/>
    <w:rsid w:val="004D1C69"/>
    <w:rsid w:val="004D1C6E"/>
    <w:rsid w:val="004D221A"/>
    <w:rsid w:val="004D29A3"/>
    <w:rsid w:val="004D2DB2"/>
    <w:rsid w:val="004D3121"/>
    <w:rsid w:val="004D334C"/>
    <w:rsid w:val="004D4299"/>
    <w:rsid w:val="004D4698"/>
    <w:rsid w:val="004D5132"/>
    <w:rsid w:val="004D52C9"/>
    <w:rsid w:val="004D5404"/>
    <w:rsid w:val="004D56EB"/>
    <w:rsid w:val="004D57F7"/>
    <w:rsid w:val="004D61F6"/>
    <w:rsid w:val="004D6DF1"/>
    <w:rsid w:val="004D6EDF"/>
    <w:rsid w:val="004E01A5"/>
    <w:rsid w:val="004E0924"/>
    <w:rsid w:val="004E1489"/>
    <w:rsid w:val="004E1B7F"/>
    <w:rsid w:val="004E1EFD"/>
    <w:rsid w:val="004E281E"/>
    <w:rsid w:val="004E2B2F"/>
    <w:rsid w:val="004E3628"/>
    <w:rsid w:val="004E36B4"/>
    <w:rsid w:val="004E3A85"/>
    <w:rsid w:val="004E4046"/>
    <w:rsid w:val="004E4517"/>
    <w:rsid w:val="004E4933"/>
    <w:rsid w:val="004E4D50"/>
    <w:rsid w:val="004E4E5C"/>
    <w:rsid w:val="004E5194"/>
    <w:rsid w:val="004E561B"/>
    <w:rsid w:val="004E5C00"/>
    <w:rsid w:val="004E684F"/>
    <w:rsid w:val="004E6D11"/>
    <w:rsid w:val="004E6D48"/>
    <w:rsid w:val="004E73D6"/>
    <w:rsid w:val="004E7BFD"/>
    <w:rsid w:val="004F02B5"/>
    <w:rsid w:val="004F099A"/>
    <w:rsid w:val="004F1115"/>
    <w:rsid w:val="004F159C"/>
    <w:rsid w:val="004F18EC"/>
    <w:rsid w:val="004F1F04"/>
    <w:rsid w:val="004F2750"/>
    <w:rsid w:val="004F3492"/>
    <w:rsid w:val="004F3C5D"/>
    <w:rsid w:val="004F40F0"/>
    <w:rsid w:val="004F4142"/>
    <w:rsid w:val="004F46E1"/>
    <w:rsid w:val="004F4C8B"/>
    <w:rsid w:val="004F4FC8"/>
    <w:rsid w:val="004F5165"/>
    <w:rsid w:val="004F56E8"/>
    <w:rsid w:val="004F5AD0"/>
    <w:rsid w:val="004F5EAE"/>
    <w:rsid w:val="004F6123"/>
    <w:rsid w:val="004F6916"/>
    <w:rsid w:val="004F6E37"/>
    <w:rsid w:val="004F72F3"/>
    <w:rsid w:val="004F7404"/>
    <w:rsid w:val="004F741D"/>
    <w:rsid w:val="004F79C7"/>
    <w:rsid w:val="004F7BEA"/>
    <w:rsid w:val="004F7C96"/>
    <w:rsid w:val="0050029B"/>
    <w:rsid w:val="00500593"/>
    <w:rsid w:val="00500655"/>
    <w:rsid w:val="00500976"/>
    <w:rsid w:val="00500D66"/>
    <w:rsid w:val="00500E37"/>
    <w:rsid w:val="0050125E"/>
    <w:rsid w:val="00501B96"/>
    <w:rsid w:val="00502281"/>
    <w:rsid w:val="00503C81"/>
    <w:rsid w:val="005044A7"/>
    <w:rsid w:val="005045D6"/>
    <w:rsid w:val="00504F62"/>
    <w:rsid w:val="00505128"/>
    <w:rsid w:val="005051CD"/>
    <w:rsid w:val="00505913"/>
    <w:rsid w:val="00505A76"/>
    <w:rsid w:val="00505C46"/>
    <w:rsid w:val="00506A74"/>
    <w:rsid w:val="00506BBA"/>
    <w:rsid w:val="00506E5F"/>
    <w:rsid w:val="005075EF"/>
    <w:rsid w:val="00507872"/>
    <w:rsid w:val="00507B7D"/>
    <w:rsid w:val="00507BE4"/>
    <w:rsid w:val="00507E88"/>
    <w:rsid w:val="005105A5"/>
    <w:rsid w:val="00510EB8"/>
    <w:rsid w:val="00511182"/>
    <w:rsid w:val="00511AAF"/>
    <w:rsid w:val="00511BB2"/>
    <w:rsid w:val="00511BD1"/>
    <w:rsid w:val="0051273F"/>
    <w:rsid w:val="0051316D"/>
    <w:rsid w:val="00513333"/>
    <w:rsid w:val="0051371E"/>
    <w:rsid w:val="0051380D"/>
    <w:rsid w:val="005141C4"/>
    <w:rsid w:val="005142A9"/>
    <w:rsid w:val="00514656"/>
    <w:rsid w:val="005149F1"/>
    <w:rsid w:val="00515097"/>
    <w:rsid w:val="005150CF"/>
    <w:rsid w:val="0051611A"/>
    <w:rsid w:val="00516543"/>
    <w:rsid w:val="005166C2"/>
    <w:rsid w:val="0051674B"/>
    <w:rsid w:val="0051687A"/>
    <w:rsid w:val="00516CC2"/>
    <w:rsid w:val="00516DA9"/>
    <w:rsid w:val="0051709A"/>
    <w:rsid w:val="005176E3"/>
    <w:rsid w:val="00517CC5"/>
    <w:rsid w:val="00517FD3"/>
    <w:rsid w:val="0052043D"/>
    <w:rsid w:val="005205BE"/>
    <w:rsid w:val="005208A4"/>
    <w:rsid w:val="00520A02"/>
    <w:rsid w:val="00520EEB"/>
    <w:rsid w:val="00521668"/>
    <w:rsid w:val="00521758"/>
    <w:rsid w:val="00521A6A"/>
    <w:rsid w:val="00521D26"/>
    <w:rsid w:val="005224FF"/>
    <w:rsid w:val="00522505"/>
    <w:rsid w:val="00522579"/>
    <w:rsid w:val="00522734"/>
    <w:rsid w:val="00522C47"/>
    <w:rsid w:val="005234DC"/>
    <w:rsid w:val="005238E3"/>
    <w:rsid w:val="0052432F"/>
    <w:rsid w:val="00524A3B"/>
    <w:rsid w:val="00524EA5"/>
    <w:rsid w:val="00524FF2"/>
    <w:rsid w:val="005250BB"/>
    <w:rsid w:val="0052550E"/>
    <w:rsid w:val="00526985"/>
    <w:rsid w:val="00526D7F"/>
    <w:rsid w:val="005276A9"/>
    <w:rsid w:val="00527996"/>
    <w:rsid w:val="00527A46"/>
    <w:rsid w:val="00527F63"/>
    <w:rsid w:val="0053022F"/>
    <w:rsid w:val="00530B76"/>
    <w:rsid w:val="00531171"/>
    <w:rsid w:val="005315AD"/>
    <w:rsid w:val="0053180C"/>
    <w:rsid w:val="00531EA0"/>
    <w:rsid w:val="00532094"/>
    <w:rsid w:val="005324D0"/>
    <w:rsid w:val="00532E18"/>
    <w:rsid w:val="00533534"/>
    <w:rsid w:val="0053378C"/>
    <w:rsid w:val="00533989"/>
    <w:rsid w:val="00534A7E"/>
    <w:rsid w:val="00534C70"/>
    <w:rsid w:val="00534CCE"/>
    <w:rsid w:val="00534F10"/>
    <w:rsid w:val="0053514E"/>
    <w:rsid w:val="005355C0"/>
    <w:rsid w:val="005359C2"/>
    <w:rsid w:val="00535DF8"/>
    <w:rsid w:val="0053680A"/>
    <w:rsid w:val="00536BC5"/>
    <w:rsid w:val="005371E1"/>
    <w:rsid w:val="0053727C"/>
    <w:rsid w:val="005374FE"/>
    <w:rsid w:val="005404BE"/>
    <w:rsid w:val="00540589"/>
    <w:rsid w:val="005406E5"/>
    <w:rsid w:val="00540FBD"/>
    <w:rsid w:val="00540FE3"/>
    <w:rsid w:val="00541658"/>
    <w:rsid w:val="005418AD"/>
    <w:rsid w:val="00541910"/>
    <w:rsid w:val="005424C3"/>
    <w:rsid w:val="0054298B"/>
    <w:rsid w:val="0054389C"/>
    <w:rsid w:val="0054396F"/>
    <w:rsid w:val="00544473"/>
    <w:rsid w:val="00544B0B"/>
    <w:rsid w:val="00544BCE"/>
    <w:rsid w:val="00544C76"/>
    <w:rsid w:val="00544E8A"/>
    <w:rsid w:val="00544FBC"/>
    <w:rsid w:val="00545589"/>
    <w:rsid w:val="00545B38"/>
    <w:rsid w:val="005477D5"/>
    <w:rsid w:val="00547B3B"/>
    <w:rsid w:val="00550420"/>
    <w:rsid w:val="00550797"/>
    <w:rsid w:val="00550FF1"/>
    <w:rsid w:val="00551220"/>
    <w:rsid w:val="0055170E"/>
    <w:rsid w:val="0055185F"/>
    <w:rsid w:val="00552C6B"/>
    <w:rsid w:val="005535E3"/>
    <w:rsid w:val="00553F6B"/>
    <w:rsid w:val="0055434E"/>
    <w:rsid w:val="0055436D"/>
    <w:rsid w:val="005543A7"/>
    <w:rsid w:val="00554AD7"/>
    <w:rsid w:val="00554B65"/>
    <w:rsid w:val="00554D49"/>
    <w:rsid w:val="00555D05"/>
    <w:rsid w:val="0055616C"/>
    <w:rsid w:val="005562DD"/>
    <w:rsid w:val="005563DC"/>
    <w:rsid w:val="00556A71"/>
    <w:rsid w:val="00556B8C"/>
    <w:rsid w:val="00556FD6"/>
    <w:rsid w:val="00557617"/>
    <w:rsid w:val="0055770F"/>
    <w:rsid w:val="00557F77"/>
    <w:rsid w:val="005600F2"/>
    <w:rsid w:val="005605CC"/>
    <w:rsid w:val="005619F6"/>
    <w:rsid w:val="0056231C"/>
    <w:rsid w:val="00562365"/>
    <w:rsid w:val="005625A0"/>
    <w:rsid w:val="0056260A"/>
    <w:rsid w:val="0056277D"/>
    <w:rsid w:val="00562914"/>
    <w:rsid w:val="005638BA"/>
    <w:rsid w:val="00564905"/>
    <w:rsid w:val="00564B33"/>
    <w:rsid w:val="00564DD6"/>
    <w:rsid w:val="00565197"/>
    <w:rsid w:val="00565C26"/>
    <w:rsid w:val="00565D50"/>
    <w:rsid w:val="005662E5"/>
    <w:rsid w:val="00566539"/>
    <w:rsid w:val="0056699A"/>
    <w:rsid w:val="005669EF"/>
    <w:rsid w:val="00566D7C"/>
    <w:rsid w:val="00566F9A"/>
    <w:rsid w:val="00567195"/>
    <w:rsid w:val="00567DDB"/>
    <w:rsid w:val="005703CC"/>
    <w:rsid w:val="005704ED"/>
    <w:rsid w:val="00570663"/>
    <w:rsid w:val="0057145C"/>
    <w:rsid w:val="00571974"/>
    <w:rsid w:val="00571EE1"/>
    <w:rsid w:val="005721EA"/>
    <w:rsid w:val="005723B3"/>
    <w:rsid w:val="00572BAA"/>
    <w:rsid w:val="0057332F"/>
    <w:rsid w:val="005733B9"/>
    <w:rsid w:val="00573F48"/>
    <w:rsid w:val="005747C9"/>
    <w:rsid w:val="00574A81"/>
    <w:rsid w:val="00574CC8"/>
    <w:rsid w:val="00575245"/>
    <w:rsid w:val="00575391"/>
    <w:rsid w:val="0057557F"/>
    <w:rsid w:val="0057586C"/>
    <w:rsid w:val="00575BF1"/>
    <w:rsid w:val="00575CF0"/>
    <w:rsid w:val="00575F51"/>
    <w:rsid w:val="00576083"/>
    <w:rsid w:val="0057616B"/>
    <w:rsid w:val="0057678B"/>
    <w:rsid w:val="00576928"/>
    <w:rsid w:val="00576988"/>
    <w:rsid w:val="00576ADC"/>
    <w:rsid w:val="005776B0"/>
    <w:rsid w:val="005779B0"/>
    <w:rsid w:val="00577F4A"/>
    <w:rsid w:val="00577F52"/>
    <w:rsid w:val="00580090"/>
    <w:rsid w:val="005806EA"/>
    <w:rsid w:val="00580D71"/>
    <w:rsid w:val="005822DC"/>
    <w:rsid w:val="00582D06"/>
    <w:rsid w:val="0058301B"/>
    <w:rsid w:val="0058325F"/>
    <w:rsid w:val="00583855"/>
    <w:rsid w:val="0058395B"/>
    <w:rsid w:val="00583A0E"/>
    <w:rsid w:val="005841E7"/>
    <w:rsid w:val="005846AB"/>
    <w:rsid w:val="00584AF9"/>
    <w:rsid w:val="0058530B"/>
    <w:rsid w:val="005855F9"/>
    <w:rsid w:val="00585892"/>
    <w:rsid w:val="005864D2"/>
    <w:rsid w:val="005866AD"/>
    <w:rsid w:val="00586A96"/>
    <w:rsid w:val="00587976"/>
    <w:rsid w:val="005879B2"/>
    <w:rsid w:val="00587F54"/>
    <w:rsid w:val="00587FF9"/>
    <w:rsid w:val="005908FA"/>
    <w:rsid w:val="0059096B"/>
    <w:rsid w:val="0059111B"/>
    <w:rsid w:val="005919D6"/>
    <w:rsid w:val="00591ADD"/>
    <w:rsid w:val="0059254A"/>
    <w:rsid w:val="00592828"/>
    <w:rsid w:val="005928C4"/>
    <w:rsid w:val="00592E13"/>
    <w:rsid w:val="0059308B"/>
    <w:rsid w:val="005935D3"/>
    <w:rsid w:val="00594338"/>
    <w:rsid w:val="005946A0"/>
    <w:rsid w:val="005947A3"/>
    <w:rsid w:val="00594B3E"/>
    <w:rsid w:val="00595979"/>
    <w:rsid w:val="00595C91"/>
    <w:rsid w:val="0059610D"/>
    <w:rsid w:val="00596699"/>
    <w:rsid w:val="00596949"/>
    <w:rsid w:val="0059735C"/>
    <w:rsid w:val="00597E05"/>
    <w:rsid w:val="00597EC3"/>
    <w:rsid w:val="005A11C0"/>
    <w:rsid w:val="005A1C23"/>
    <w:rsid w:val="005A1D6C"/>
    <w:rsid w:val="005A2266"/>
    <w:rsid w:val="005A24A8"/>
    <w:rsid w:val="005A250A"/>
    <w:rsid w:val="005A33FA"/>
    <w:rsid w:val="005A3B97"/>
    <w:rsid w:val="005A3DFA"/>
    <w:rsid w:val="005A42EB"/>
    <w:rsid w:val="005A4FC9"/>
    <w:rsid w:val="005A4FF0"/>
    <w:rsid w:val="005A50ED"/>
    <w:rsid w:val="005A52FF"/>
    <w:rsid w:val="005A53B5"/>
    <w:rsid w:val="005A62F7"/>
    <w:rsid w:val="005A6DFB"/>
    <w:rsid w:val="005A6FC8"/>
    <w:rsid w:val="005A6FEA"/>
    <w:rsid w:val="005A7B5A"/>
    <w:rsid w:val="005B0323"/>
    <w:rsid w:val="005B0984"/>
    <w:rsid w:val="005B0DC0"/>
    <w:rsid w:val="005B1132"/>
    <w:rsid w:val="005B16FA"/>
    <w:rsid w:val="005B1818"/>
    <w:rsid w:val="005B19CC"/>
    <w:rsid w:val="005B1C12"/>
    <w:rsid w:val="005B1FAA"/>
    <w:rsid w:val="005B220F"/>
    <w:rsid w:val="005B22F9"/>
    <w:rsid w:val="005B2A08"/>
    <w:rsid w:val="005B2BA2"/>
    <w:rsid w:val="005B2C59"/>
    <w:rsid w:val="005B34A6"/>
    <w:rsid w:val="005B4200"/>
    <w:rsid w:val="005B466C"/>
    <w:rsid w:val="005B4B57"/>
    <w:rsid w:val="005B4B9F"/>
    <w:rsid w:val="005B519E"/>
    <w:rsid w:val="005B5202"/>
    <w:rsid w:val="005B560E"/>
    <w:rsid w:val="005B5A21"/>
    <w:rsid w:val="005B6E67"/>
    <w:rsid w:val="005B74AB"/>
    <w:rsid w:val="005B75E5"/>
    <w:rsid w:val="005C0161"/>
    <w:rsid w:val="005C0222"/>
    <w:rsid w:val="005C07EA"/>
    <w:rsid w:val="005C0880"/>
    <w:rsid w:val="005C08CA"/>
    <w:rsid w:val="005C1025"/>
    <w:rsid w:val="005C1131"/>
    <w:rsid w:val="005C1201"/>
    <w:rsid w:val="005C158D"/>
    <w:rsid w:val="005C1811"/>
    <w:rsid w:val="005C1F2F"/>
    <w:rsid w:val="005C2017"/>
    <w:rsid w:val="005C2152"/>
    <w:rsid w:val="005C28D8"/>
    <w:rsid w:val="005C29DE"/>
    <w:rsid w:val="005C2D30"/>
    <w:rsid w:val="005C2D5F"/>
    <w:rsid w:val="005C3497"/>
    <w:rsid w:val="005C375B"/>
    <w:rsid w:val="005C3780"/>
    <w:rsid w:val="005C399D"/>
    <w:rsid w:val="005C3CF8"/>
    <w:rsid w:val="005C3DC3"/>
    <w:rsid w:val="005C41C0"/>
    <w:rsid w:val="005C4A1C"/>
    <w:rsid w:val="005C5C49"/>
    <w:rsid w:val="005C5F12"/>
    <w:rsid w:val="005C68B1"/>
    <w:rsid w:val="005C6BE4"/>
    <w:rsid w:val="005C767A"/>
    <w:rsid w:val="005D015A"/>
    <w:rsid w:val="005D0907"/>
    <w:rsid w:val="005D09A1"/>
    <w:rsid w:val="005D0B68"/>
    <w:rsid w:val="005D0CE0"/>
    <w:rsid w:val="005D108A"/>
    <w:rsid w:val="005D1743"/>
    <w:rsid w:val="005D2183"/>
    <w:rsid w:val="005D290D"/>
    <w:rsid w:val="005D2DC2"/>
    <w:rsid w:val="005D2EA5"/>
    <w:rsid w:val="005D338C"/>
    <w:rsid w:val="005D33D1"/>
    <w:rsid w:val="005D33EB"/>
    <w:rsid w:val="005D3540"/>
    <w:rsid w:val="005D3562"/>
    <w:rsid w:val="005D3CA8"/>
    <w:rsid w:val="005D401C"/>
    <w:rsid w:val="005D40C1"/>
    <w:rsid w:val="005D4839"/>
    <w:rsid w:val="005D52FE"/>
    <w:rsid w:val="005D56DB"/>
    <w:rsid w:val="005D5783"/>
    <w:rsid w:val="005D57AC"/>
    <w:rsid w:val="005D5BF0"/>
    <w:rsid w:val="005D6180"/>
    <w:rsid w:val="005D61AC"/>
    <w:rsid w:val="005D698B"/>
    <w:rsid w:val="005D6C2F"/>
    <w:rsid w:val="005D7002"/>
    <w:rsid w:val="005D72A0"/>
    <w:rsid w:val="005D76D2"/>
    <w:rsid w:val="005D77B1"/>
    <w:rsid w:val="005E07EC"/>
    <w:rsid w:val="005E0821"/>
    <w:rsid w:val="005E0E4B"/>
    <w:rsid w:val="005E14B3"/>
    <w:rsid w:val="005E1A3A"/>
    <w:rsid w:val="005E1B05"/>
    <w:rsid w:val="005E1D17"/>
    <w:rsid w:val="005E1E0A"/>
    <w:rsid w:val="005E1F32"/>
    <w:rsid w:val="005E226B"/>
    <w:rsid w:val="005E2D50"/>
    <w:rsid w:val="005E2D67"/>
    <w:rsid w:val="005E3111"/>
    <w:rsid w:val="005E31A6"/>
    <w:rsid w:val="005E3426"/>
    <w:rsid w:val="005E3D00"/>
    <w:rsid w:val="005E3D28"/>
    <w:rsid w:val="005E3DB9"/>
    <w:rsid w:val="005E40C6"/>
    <w:rsid w:val="005E443C"/>
    <w:rsid w:val="005E4A52"/>
    <w:rsid w:val="005E5644"/>
    <w:rsid w:val="005E5736"/>
    <w:rsid w:val="005E57BC"/>
    <w:rsid w:val="005E5885"/>
    <w:rsid w:val="005E5969"/>
    <w:rsid w:val="005E6887"/>
    <w:rsid w:val="005E6C41"/>
    <w:rsid w:val="005E767B"/>
    <w:rsid w:val="005E775C"/>
    <w:rsid w:val="005E77B9"/>
    <w:rsid w:val="005F0417"/>
    <w:rsid w:val="005F08E1"/>
    <w:rsid w:val="005F0B55"/>
    <w:rsid w:val="005F0CA5"/>
    <w:rsid w:val="005F0FA9"/>
    <w:rsid w:val="005F1423"/>
    <w:rsid w:val="005F1529"/>
    <w:rsid w:val="005F1D32"/>
    <w:rsid w:val="005F1FDA"/>
    <w:rsid w:val="005F240E"/>
    <w:rsid w:val="005F24D5"/>
    <w:rsid w:val="005F24DD"/>
    <w:rsid w:val="005F2506"/>
    <w:rsid w:val="005F2B14"/>
    <w:rsid w:val="005F2F8D"/>
    <w:rsid w:val="005F2FAA"/>
    <w:rsid w:val="005F33CE"/>
    <w:rsid w:val="005F3504"/>
    <w:rsid w:val="005F37C3"/>
    <w:rsid w:val="005F4121"/>
    <w:rsid w:val="005F428D"/>
    <w:rsid w:val="005F4401"/>
    <w:rsid w:val="005F468B"/>
    <w:rsid w:val="005F506C"/>
    <w:rsid w:val="005F518F"/>
    <w:rsid w:val="005F5553"/>
    <w:rsid w:val="005F55FA"/>
    <w:rsid w:val="005F5638"/>
    <w:rsid w:val="005F5753"/>
    <w:rsid w:val="005F61C5"/>
    <w:rsid w:val="005F6399"/>
    <w:rsid w:val="005F67FE"/>
    <w:rsid w:val="005F6858"/>
    <w:rsid w:val="005F6AB5"/>
    <w:rsid w:val="005F6AF4"/>
    <w:rsid w:val="005F6BFE"/>
    <w:rsid w:val="005F7072"/>
    <w:rsid w:val="005F7420"/>
    <w:rsid w:val="0060024D"/>
    <w:rsid w:val="00600ED1"/>
    <w:rsid w:val="00600FEE"/>
    <w:rsid w:val="0060164B"/>
    <w:rsid w:val="0060168B"/>
    <w:rsid w:val="00601A29"/>
    <w:rsid w:val="00601CE6"/>
    <w:rsid w:val="00601EEA"/>
    <w:rsid w:val="00601F08"/>
    <w:rsid w:val="0060262F"/>
    <w:rsid w:val="00602956"/>
    <w:rsid w:val="00602C63"/>
    <w:rsid w:val="00603284"/>
    <w:rsid w:val="00603A4F"/>
    <w:rsid w:val="0060462A"/>
    <w:rsid w:val="00604852"/>
    <w:rsid w:val="00604B3B"/>
    <w:rsid w:val="006054BD"/>
    <w:rsid w:val="0060596F"/>
    <w:rsid w:val="00605E54"/>
    <w:rsid w:val="0060673B"/>
    <w:rsid w:val="00606AFD"/>
    <w:rsid w:val="00607509"/>
    <w:rsid w:val="0060763B"/>
    <w:rsid w:val="006077C0"/>
    <w:rsid w:val="00607D5A"/>
    <w:rsid w:val="00607F56"/>
    <w:rsid w:val="0061072D"/>
    <w:rsid w:val="00611889"/>
    <w:rsid w:val="006119AB"/>
    <w:rsid w:val="00611E03"/>
    <w:rsid w:val="00611EA2"/>
    <w:rsid w:val="0061352C"/>
    <w:rsid w:val="006137B1"/>
    <w:rsid w:val="00613D48"/>
    <w:rsid w:val="0061413D"/>
    <w:rsid w:val="00614A04"/>
    <w:rsid w:val="00615302"/>
    <w:rsid w:val="006154DE"/>
    <w:rsid w:val="00615637"/>
    <w:rsid w:val="00615BA9"/>
    <w:rsid w:val="006161E9"/>
    <w:rsid w:val="006172F3"/>
    <w:rsid w:val="0061761A"/>
    <w:rsid w:val="00617A0F"/>
    <w:rsid w:val="006202A1"/>
    <w:rsid w:val="006202E8"/>
    <w:rsid w:val="006203B2"/>
    <w:rsid w:val="006204A4"/>
    <w:rsid w:val="00620FD6"/>
    <w:rsid w:val="00621887"/>
    <w:rsid w:val="00621C1D"/>
    <w:rsid w:val="006228A1"/>
    <w:rsid w:val="0062309F"/>
    <w:rsid w:val="00623C0F"/>
    <w:rsid w:val="00623D4D"/>
    <w:rsid w:val="00623E36"/>
    <w:rsid w:val="00624424"/>
    <w:rsid w:val="0062496D"/>
    <w:rsid w:val="00624E82"/>
    <w:rsid w:val="0062616D"/>
    <w:rsid w:val="00626242"/>
    <w:rsid w:val="00626483"/>
    <w:rsid w:val="006272F8"/>
    <w:rsid w:val="00627C98"/>
    <w:rsid w:val="00630E32"/>
    <w:rsid w:val="00631185"/>
    <w:rsid w:val="006314AA"/>
    <w:rsid w:val="006316B6"/>
    <w:rsid w:val="006318A0"/>
    <w:rsid w:val="0063191B"/>
    <w:rsid w:val="00631A83"/>
    <w:rsid w:val="006321DB"/>
    <w:rsid w:val="0063238A"/>
    <w:rsid w:val="006323DC"/>
    <w:rsid w:val="00632A50"/>
    <w:rsid w:val="00632A78"/>
    <w:rsid w:val="006332C0"/>
    <w:rsid w:val="006333F6"/>
    <w:rsid w:val="006335E5"/>
    <w:rsid w:val="006339A4"/>
    <w:rsid w:val="00633B3C"/>
    <w:rsid w:val="00634153"/>
    <w:rsid w:val="006344D6"/>
    <w:rsid w:val="006352D8"/>
    <w:rsid w:val="00635703"/>
    <w:rsid w:val="006366D2"/>
    <w:rsid w:val="00636A73"/>
    <w:rsid w:val="00637316"/>
    <w:rsid w:val="00637ABF"/>
    <w:rsid w:val="00637FD1"/>
    <w:rsid w:val="0064073D"/>
    <w:rsid w:val="00640BD1"/>
    <w:rsid w:val="00640E8C"/>
    <w:rsid w:val="00640FDA"/>
    <w:rsid w:val="006413D0"/>
    <w:rsid w:val="006415ED"/>
    <w:rsid w:val="006422E7"/>
    <w:rsid w:val="006427F9"/>
    <w:rsid w:val="00642D80"/>
    <w:rsid w:val="00642F27"/>
    <w:rsid w:val="00643391"/>
    <w:rsid w:val="006433FE"/>
    <w:rsid w:val="006435AD"/>
    <w:rsid w:val="006437D5"/>
    <w:rsid w:val="00643901"/>
    <w:rsid w:val="00643E1F"/>
    <w:rsid w:val="00643E45"/>
    <w:rsid w:val="006445D7"/>
    <w:rsid w:val="00644759"/>
    <w:rsid w:val="0064507D"/>
    <w:rsid w:val="006450A9"/>
    <w:rsid w:val="00645184"/>
    <w:rsid w:val="0064546F"/>
    <w:rsid w:val="00645DEC"/>
    <w:rsid w:val="006461E1"/>
    <w:rsid w:val="006465BF"/>
    <w:rsid w:val="00646915"/>
    <w:rsid w:val="00647347"/>
    <w:rsid w:val="0064739E"/>
    <w:rsid w:val="0064742C"/>
    <w:rsid w:val="00647824"/>
    <w:rsid w:val="0065075D"/>
    <w:rsid w:val="00650B8F"/>
    <w:rsid w:val="00650E30"/>
    <w:rsid w:val="00651258"/>
    <w:rsid w:val="00651CE9"/>
    <w:rsid w:val="00652775"/>
    <w:rsid w:val="006531C8"/>
    <w:rsid w:val="00653384"/>
    <w:rsid w:val="00653A3C"/>
    <w:rsid w:val="00653AFF"/>
    <w:rsid w:val="00654273"/>
    <w:rsid w:val="0065470E"/>
    <w:rsid w:val="00654761"/>
    <w:rsid w:val="006547E1"/>
    <w:rsid w:val="00654BBF"/>
    <w:rsid w:val="00654D72"/>
    <w:rsid w:val="00655367"/>
    <w:rsid w:val="006556BF"/>
    <w:rsid w:val="006557E1"/>
    <w:rsid w:val="00655D22"/>
    <w:rsid w:val="0065601E"/>
    <w:rsid w:val="00656862"/>
    <w:rsid w:val="00656BFA"/>
    <w:rsid w:val="00657198"/>
    <w:rsid w:val="00657B38"/>
    <w:rsid w:val="0066003B"/>
    <w:rsid w:val="00660203"/>
    <w:rsid w:val="006603E0"/>
    <w:rsid w:val="006607A9"/>
    <w:rsid w:val="00660C03"/>
    <w:rsid w:val="00660D95"/>
    <w:rsid w:val="00661100"/>
    <w:rsid w:val="006615B1"/>
    <w:rsid w:val="00661882"/>
    <w:rsid w:val="00661C65"/>
    <w:rsid w:val="00662A22"/>
    <w:rsid w:val="00662ADD"/>
    <w:rsid w:val="00662CD7"/>
    <w:rsid w:val="00663518"/>
    <w:rsid w:val="006640C1"/>
    <w:rsid w:val="006640C8"/>
    <w:rsid w:val="0066539A"/>
    <w:rsid w:val="006653C2"/>
    <w:rsid w:val="00665486"/>
    <w:rsid w:val="0066559E"/>
    <w:rsid w:val="006658D2"/>
    <w:rsid w:val="006667CD"/>
    <w:rsid w:val="0066715C"/>
    <w:rsid w:val="006675BE"/>
    <w:rsid w:val="00667F66"/>
    <w:rsid w:val="0067141F"/>
    <w:rsid w:val="00671639"/>
    <w:rsid w:val="00671AA3"/>
    <w:rsid w:val="00671C1D"/>
    <w:rsid w:val="00672061"/>
    <w:rsid w:val="00672A0A"/>
    <w:rsid w:val="00672B16"/>
    <w:rsid w:val="00672EA2"/>
    <w:rsid w:val="00673436"/>
    <w:rsid w:val="006738A9"/>
    <w:rsid w:val="00673A70"/>
    <w:rsid w:val="00674283"/>
    <w:rsid w:val="006747CC"/>
    <w:rsid w:val="00674A84"/>
    <w:rsid w:val="0067526B"/>
    <w:rsid w:val="0067618A"/>
    <w:rsid w:val="006766DC"/>
    <w:rsid w:val="00676759"/>
    <w:rsid w:val="006767BA"/>
    <w:rsid w:val="00676CBF"/>
    <w:rsid w:val="00676ECF"/>
    <w:rsid w:val="006771CE"/>
    <w:rsid w:val="00677802"/>
    <w:rsid w:val="00677862"/>
    <w:rsid w:val="00677C19"/>
    <w:rsid w:val="006802E6"/>
    <w:rsid w:val="0068072B"/>
    <w:rsid w:val="00680A01"/>
    <w:rsid w:val="00680A35"/>
    <w:rsid w:val="00680A82"/>
    <w:rsid w:val="00680AA8"/>
    <w:rsid w:val="00681559"/>
    <w:rsid w:val="00681C71"/>
    <w:rsid w:val="00681D95"/>
    <w:rsid w:val="00682524"/>
    <w:rsid w:val="00683EE4"/>
    <w:rsid w:val="00684074"/>
    <w:rsid w:val="006845E4"/>
    <w:rsid w:val="006847E0"/>
    <w:rsid w:val="0068575A"/>
    <w:rsid w:val="0068591F"/>
    <w:rsid w:val="00685B60"/>
    <w:rsid w:val="00685CF0"/>
    <w:rsid w:val="00685F96"/>
    <w:rsid w:val="00686003"/>
    <w:rsid w:val="006869C0"/>
    <w:rsid w:val="00686C2D"/>
    <w:rsid w:val="00686EBE"/>
    <w:rsid w:val="00687086"/>
    <w:rsid w:val="006874F6"/>
    <w:rsid w:val="00687642"/>
    <w:rsid w:val="00687F8D"/>
    <w:rsid w:val="00690113"/>
    <w:rsid w:val="006904E6"/>
    <w:rsid w:val="00691307"/>
    <w:rsid w:val="00691999"/>
    <w:rsid w:val="00691C22"/>
    <w:rsid w:val="00691CA9"/>
    <w:rsid w:val="00691DBD"/>
    <w:rsid w:val="00691FA7"/>
    <w:rsid w:val="006924C9"/>
    <w:rsid w:val="006926B6"/>
    <w:rsid w:val="00693381"/>
    <w:rsid w:val="00693860"/>
    <w:rsid w:val="006941D9"/>
    <w:rsid w:val="006946AE"/>
    <w:rsid w:val="00694B96"/>
    <w:rsid w:val="00694C80"/>
    <w:rsid w:val="0069500A"/>
    <w:rsid w:val="0069538E"/>
    <w:rsid w:val="00695732"/>
    <w:rsid w:val="00695CB1"/>
    <w:rsid w:val="00697B6C"/>
    <w:rsid w:val="006A0352"/>
    <w:rsid w:val="006A0466"/>
    <w:rsid w:val="006A048C"/>
    <w:rsid w:val="006A0A7B"/>
    <w:rsid w:val="006A1172"/>
    <w:rsid w:val="006A1692"/>
    <w:rsid w:val="006A1C3B"/>
    <w:rsid w:val="006A1F9B"/>
    <w:rsid w:val="006A24C5"/>
    <w:rsid w:val="006A2B11"/>
    <w:rsid w:val="006A2FA3"/>
    <w:rsid w:val="006A38AA"/>
    <w:rsid w:val="006A3CBA"/>
    <w:rsid w:val="006A3E55"/>
    <w:rsid w:val="006A42E7"/>
    <w:rsid w:val="006A442A"/>
    <w:rsid w:val="006A4782"/>
    <w:rsid w:val="006A48A0"/>
    <w:rsid w:val="006A4F2F"/>
    <w:rsid w:val="006A50B9"/>
    <w:rsid w:val="006A511E"/>
    <w:rsid w:val="006A5216"/>
    <w:rsid w:val="006A5870"/>
    <w:rsid w:val="006A5E1F"/>
    <w:rsid w:val="006A657C"/>
    <w:rsid w:val="006A6CD6"/>
    <w:rsid w:val="006A706F"/>
    <w:rsid w:val="006A74C7"/>
    <w:rsid w:val="006A74D4"/>
    <w:rsid w:val="006A7A6C"/>
    <w:rsid w:val="006B036D"/>
    <w:rsid w:val="006B063D"/>
    <w:rsid w:val="006B0D77"/>
    <w:rsid w:val="006B164C"/>
    <w:rsid w:val="006B16A1"/>
    <w:rsid w:val="006B1CFD"/>
    <w:rsid w:val="006B1E6F"/>
    <w:rsid w:val="006B21E3"/>
    <w:rsid w:val="006B2532"/>
    <w:rsid w:val="006B33A0"/>
    <w:rsid w:val="006B33CD"/>
    <w:rsid w:val="006B3713"/>
    <w:rsid w:val="006B3B28"/>
    <w:rsid w:val="006B3D20"/>
    <w:rsid w:val="006B3F58"/>
    <w:rsid w:val="006B4164"/>
    <w:rsid w:val="006B4267"/>
    <w:rsid w:val="006B4678"/>
    <w:rsid w:val="006B4825"/>
    <w:rsid w:val="006B4A4F"/>
    <w:rsid w:val="006B5009"/>
    <w:rsid w:val="006B54D3"/>
    <w:rsid w:val="006B5F3C"/>
    <w:rsid w:val="006B6C0F"/>
    <w:rsid w:val="006B6FC7"/>
    <w:rsid w:val="006B7091"/>
    <w:rsid w:val="006B74F3"/>
    <w:rsid w:val="006B7A1D"/>
    <w:rsid w:val="006B7F72"/>
    <w:rsid w:val="006C0A35"/>
    <w:rsid w:val="006C0F62"/>
    <w:rsid w:val="006C11A3"/>
    <w:rsid w:val="006C17EA"/>
    <w:rsid w:val="006C1828"/>
    <w:rsid w:val="006C1C7A"/>
    <w:rsid w:val="006C2114"/>
    <w:rsid w:val="006C29FD"/>
    <w:rsid w:val="006C2AF9"/>
    <w:rsid w:val="006C2B67"/>
    <w:rsid w:val="006C3226"/>
    <w:rsid w:val="006C3235"/>
    <w:rsid w:val="006C33E7"/>
    <w:rsid w:val="006C419D"/>
    <w:rsid w:val="006C42ED"/>
    <w:rsid w:val="006C4E08"/>
    <w:rsid w:val="006C4E14"/>
    <w:rsid w:val="006C5432"/>
    <w:rsid w:val="006C5718"/>
    <w:rsid w:val="006C5EED"/>
    <w:rsid w:val="006C6B2F"/>
    <w:rsid w:val="006D0622"/>
    <w:rsid w:val="006D0FA3"/>
    <w:rsid w:val="006D135F"/>
    <w:rsid w:val="006D1796"/>
    <w:rsid w:val="006D2BDD"/>
    <w:rsid w:val="006D3634"/>
    <w:rsid w:val="006D37E5"/>
    <w:rsid w:val="006D3F9A"/>
    <w:rsid w:val="006D4360"/>
    <w:rsid w:val="006D4757"/>
    <w:rsid w:val="006D479F"/>
    <w:rsid w:val="006D4842"/>
    <w:rsid w:val="006D4D93"/>
    <w:rsid w:val="006D5016"/>
    <w:rsid w:val="006D5248"/>
    <w:rsid w:val="006D5488"/>
    <w:rsid w:val="006D573F"/>
    <w:rsid w:val="006D5E6F"/>
    <w:rsid w:val="006D638C"/>
    <w:rsid w:val="006D64F1"/>
    <w:rsid w:val="006D6D71"/>
    <w:rsid w:val="006D7002"/>
    <w:rsid w:val="006D7525"/>
    <w:rsid w:val="006D7A2F"/>
    <w:rsid w:val="006E09BD"/>
    <w:rsid w:val="006E10E4"/>
    <w:rsid w:val="006E10F5"/>
    <w:rsid w:val="006E1905"/>
    <w:rsid w:val="006E1CEA"/>
    <w:rsid w:val="006E239E"/>
    <w:rsid w:val="006E23F2"/>
    <w:rsid w:val="006E2511"/>
    <w:rsid w:val="006E26E2"/>
    <w:rsid w:val="006E39FB"/>
    <w:rsid w:val="006E3BAB"/>
    <w:rsid w:val="006E3F90"/>
    <w:rsid w:val="006E46BA"/>
    <w:rsid w:val="006E47B8"/>
    <w:rsid w:val="006E483B"/>
    <w:rsid w:val="006E4B4F"/>
    <w:rsid w:val="006E5ABB"/>
    <w:rsid w:val="006E5DAF"/>
    <w:rsid w:val="006E62F1"/>
    <w:rsid w:val="006E6E38"/>
    <w:rsid w:val="006E6E64"/>
    <w:rsid w:val="006E71A0"/>
    <w:rsid w:val="006E7AA2"/>
    <w:rsid w:val="006E7B08"/>
    <w:rsid w:val="006E7B7B"/>
    <w:rsid w:val="006F07C9"/>
    <w:rsid w:val="006F1548"/>
    <w:rsid w:val="006F1DB2"/>
    <w:rsid w:val="006F202E"/>
    <w:rsid w:val="006F2191"/>
    <w:rsid w:val="006F248C"/>
    <w:rsid w:val="006F2B1A"/>
    <w:rsid w:val="006F30BD"/>
    <w:rsid w:val="006F336F"/>
    <w:rsid w:val="006F3728"/>
    <w:rsid w:val="006F55E1"/>
    <w:rsid w:val="006F5C28"/>
    <w:rsid w:val="006F5CBC"/>
    <w:rsid w:val="006F5E3C"/>
    <w:rsid w:val="006F6577"/>
    <w:rsid w:val="006F6605"/>
    <w:rsid w:val="006F6AD7"/>
    <w:rsid w:val="006F70D5"/>
    <w:rsid w:val="006F781F"/>
    <w:rsid w:val="006F7B36"/>
    <w:rsid w:val="00700553"/>
    <w:rsid w:val="00700B1D"/>
    <w:rsid w:val="00701284"/>
    <w:rsid w:val="007014F7"/>
    <w:rsid w:val="00701507"/>
    <w:rsid w:val="00701C9E"/>
    <w:rsid w:val="00701DD9"/>
    <w:rsid w:val="00701F0E"/>
    <w:rsid w:val="00702055"/>
    <w:rsid w:val="007025EC"/>
    <w:rsid w:val="00702FF6"/>
    <w:rsid w:val="00703515"/>
    <w:rsid w:val="00703852"/>
    <w:rsid w:val="007046F0"/>
    <w:rsid w:val="00704807"/>
    <w:rsid w:val="00706330"/>
    <w:rsid w:val="007063DD"/>
    <w:rsid w:val="00706A9B"/>
    <w:rsid w:val="00706AAE"/>
    <w:rsid w:val="00706B40"/>
    <w:rsid w:val="00706C43"/>
    <w:rsid w:val="00706C4E"/>
    <w:rsid w:val="00707262"/>
    <w:rsid w:val="007102BA"/>
    <w:rsid w:val="00710A3B"/>
    <w:rsid w:val="00710FD0"/>
    <w:rsid w:val="00711336"/>
    <w:rsid w:val="007114B3"/>
    <w:rsid w:val="0071227C"/>
    <w:rsid w:val="00712BFD"/>
    <w:rsid w:val="00712EB4"/>
    <w:rsid w:val="00712F71"/>
    <w:rsid w:val="0071327F"/>
    <w:rsid w:val="0071363D"/>
    <w:rsid w:val="00713C4B"/>
    <w:rsid w:val="00713F08"/>
    <w:rsid w:val="007142AA"/>
    <w:rsid w:val="007144E8"/>
    <w:rsid w:val="0071523E"/>
    <w:rsid w:val="00715737"/>
    <w:rsid w:val="00715919"/>
    <w:rsid w:val="0071609A"/>
    <w:rsid w:val="007162B5"/>
    <w:rsid w:val="00716319"/>
    <w:rsid w:val="00716584"/>
    <w:rsid w:val="00716775"/>
    <w:rsid w:val="00716CFB"/>
    <w:rsid w:val="0071719A"/>
    <w:rsid w:val="00717903"/>
    <w:rsid w:val="00717BE8"/>
    <w:rsid w:val="00720240"/>
    <w:rsid w:val="007208DE"/>
    <w:rsid w:val="00720B2A"/>
    <w:rsid w:val="007210E9"/>
    <w:rsid w:val="007211CE"/>
    <w:rsid w:val="00721D4D"/>
    <w:rsid w:val="00721E6B"/>
    <w:rsid w:val="00722909"/>
    <w:rsid w:val="00722A6F"/>
    <w:rsid w:val="00722BB0"/>
    <w:rsid w:val="00722C4D"/>
    <w:rsid w:val="00722CB1"/>
    <w:rsid w:val="00723D14"/>
    <w:rsid w:val="00723FB8"/>
    <w:rsid w:val="007240C6"/>
    <w:rsid w:val="0072496D"/>
    <w:rsid w:val="00724E14"/>
    <w:rsid w:val="0072503C"/>
    <w:rsid w:val="00725120"/>
    <w:rsid w:val="0072514D"/>
    <w:rsid w:val="00725267"/>
    <w:rsid w:val="00725272"/>
    <w:rsid w:val="007255C0"/>
    <w:rsid w:val="007257D2"/>
    <w:rsid w:val="00725F90"/>
    <w:rsid w:val="00726872"/>
    <w:rsid w:val="00726E94"/>
    <w:rsid w:val="0072746B"/>
    <w:rsid w:val="00727596"/>
    <w:rsid w:val="00727599"/>
    <w:rsid w:val="00727F6A"/>
    <w:rsid w:val="007303A0"/>
    <w:rsid w:val="00730519"/>
    <w:rsid w:val="00730C88"/>
    <w:rsid w:val="00730EC0"/>
    <w:rsid w:val="0073166C"/>
    <w:rsid w:val="00731F46"/>
    <w:rsid w:val="0073210D"/>
    <w:rsid w:val="007321C2"/>
    <w:rsid w:val="00732624"/>
    <w:rsid w:val="007328CD"/>
    <w:rsid w:val="0073297A"/>
    <w:rsid w:val="00733505"/>
    <w:rsid w:val="00734F5F"/>
    <w:rsid w:val="0073505C"/>
    <w:rsid w:val="007350DC"/>
    <w:rsid w:val="00735601"/>
    <w:rsid w:val="00735E9F"/>
    <w:rsid w:val="00736042"/>
    <w:rsid w:val="007377A0"/>
    <w:rsid w:val="00737C73"/>
    <w:rsid w:val="00737D3A"/>
    <w:rsid w:val="00737D5E"/>
    <w:rsid w:val="00740046"/>
    <w:rsid w:val="00740C5F"/>
    <w:rsid w:val="00740DBC"/>
    <w:rsid w:val="00740DCC"/>
    <w:rsid w:val="0074102C"/>
    <w:rsid w:val="007412DA"/>
    <w:rsid w:val="0074151C"/>
    <w:rsid w:val="007416F7"/>
    <w:rsid w:val="00741C87"/>
    <w:rsid w:val="00741E8C"/>
    <w:rsid w:val="0074209B"/>
    <w:rsid w:val="00742ED5"/>
    <w:rsid w:val="007430A1"/>
    <w:rsid w:val="00743427"/>
    <w:rsid w:val="00744409"/>
    <w:rsid w:val="00744827"/>
    <w:rsid w:val="00744C9A"/>
    <w:rsid w:val="00744CEE"/>
    <w:rsid w:val="00744EFD"/>
    <w:rsid w:val="00745859"/>
    <w:rsid w:val="00745B5B"/>
    <w:rsid w:val="00745CCB"/>
    <w:rsid w:val="00746065"/>
    <w:rsid w:val="007461E8"/>
    <w:rsid w:val="0074674E"/>
    <w:rsid w:val="0074676B"/>
    <w:rsid w:val="00746A9E"/>
    <w:rsid w:val="00747113"/>
    <w:rsid w:val="007472C5"/>
    <w:rsid w:val="00747709"/>
    <w:rsid w:val="0075021F"/>
    <w:rsid w:val="007515E4"/>
    <w:rsid w:val="00751C45"/>
    <w:rsid w:val="0075234A"/>
    <w:rsid w:val="007526BB"/>
    <w:rsid w:val="00752861"/>
    <w:rsid w:val="00752962"/>
    <w:rsid w:val="00752BA6"/>
    <w:rsid w:val="00752C4F"/>
    <w:rsid w:val="00752FC8"/>
    <w:rsid w:val="00753146"/>
    <w:rsid w:val="00753A3E"/>
    <w:rsid w:val="00753FDF"/>
    <w:rsid w:val="00754A9F"/>
    <w:rsid w:val="00754B63"/>
    <w:rsid w:val="00754EF4"/>
    <w:rsid w:val="00755F2C"/>
    <w:rsid w:val="007561ED"/>
    <w:rsid w:val="0075626A"/>
    <w:rsid w:val="007567DB"/>
    <w:rsid w:val="0075687D"/>
    <w:rsid w:val="007568F7"/>
    <w:rsid w:val="007569A2"/>
    <w:rsid w:val="00756A35"/>
    <w:rsid w:val="0075757B"/>
    <w:rsid w:val="00757DB9"/>
    <w:rsid w:val="007601A9"/>
    <w:rsid w:val="00760395"/>
    <w:rsid w:val="00760D5B"/>
    <w:rsid w:val="00760FE7"/>
    <w:rsid w:val="007612AC"/>
    <w:rsid w:val="00761808"/>
    <w:rsid w:val="00761975"/>
    <w:rsid w:val="00761DA7"/>
    <w:rsid w:val="00762864"/>
    <w:rsid w:val="00762905"/>
    <w:rsid w:val="00762E26"/>
    <w:rsid w:val="00762EEB"/>
    <w:rsid w:val="0076334C"/>
    <w:rsid w:val="007649C3"/>
    <w:rsid w:val="00764A94"/>
    <w:rsid w:val="00764B93"/>
    <w:rsid w:val="00764B97"/>
    <w:rsid w:val="00764DF2"/>
    <w:rsid w:val="00764FD8"/>
    <w:rsid w:val="0076592A"/>
    <w:rsid w:val="00765981"/>
    <w:rsid w:val="00765EDA"/>
    <w:rsid w:val="00766012"/>
    <w:rsid w:val="007667B1"/>
    <w:rsid w:val="00766A40"/>
    <w:rsid w:val="007676C1"/>
    <w:rsid w:val="00767A4D"/>
    <w:rsid w:val="00767A9B"/>
    <w:rsid w:val="00770E72"/>
    <w:rsid w:val="00770F4D"/>
    <w:rsid w:val="00770F52"/>
    <w:rsid w:val="00771224"/>
    <w:rsid w:val="0077128E"/>
    <w:rsid w:val="007714EB"/>
    <w:rsid w:val="00771691"/>
    <w:rsid w:val="0077216B"/>
    <w:rsid w:val="007726D7"/>
    <w:rsid w:val="0077285F"/>
    <w:rsid w:val="007737AE"/>
    <w:rsid w:val="00773B7B"/>
    <w:rsid w:val="00773BB6"/>
    <w:rsid w:val="00773DCE"/>
    <w:rsid w:val="00774046"/>
    <w:rsid w:val="007743BF"/>
    <w:rsid w:val="00774415"/>
    <w:rsid w:val="00774909"/>
    <w:rsid w:val="007754B0"/>
    <w:rsid w:val="007766A0"/>
    <w:rsid w:val="00776A1D"/>
    <w:rsid w:val="00776A9B"/>
    <w:rsid w:val="0077748A"/>
    <w:rsid w:val="00777D1F"/>
    <w:rsid w:val="00780849"/>
    <w:rsid w:val="00780EB5"/>
    <w:rsid w:val="00780ED5"/>
    <w:rsid w:val="007814F9"/>
    <w:rsid w:val="00781AF5"/>
    <w:rsid w:val="00781FA9"/>
    <w:rsid w:val="0078282E"/>
    <w:rsid w:val="00782945"/>
    <w:rsid w:val="00782B6F"/>
    <w:rsid w:val="0078303A"/>
    <w:rsid w:val="007832DA"/>
    <w:rsid w:val="0078335C"/>
    <w:rsid w:val="00783AD2"/>
    <w:rsid w:val="00783E0A"/>
    <w:rsid w:val="00784331"/>
    <w:rsid w:val="007843C6"/>
    <w:rsid w:val="007844A0"/>
    <w:rsid w:val="007846AF"/>
    <w:rsid w:val="0078484E"/>
    <w:rsid w:val="00784A67"/>
    <w:rsid w:val="00784B6C"/>
    <w:rsid w:val="00784F60"/>
    <w:rsid w:val="00784FB5"/>
    <w:rsid w:val="007854CC"/>
    <w:rsid w:val="00785811"/>
    <w:rsid w:val="00785C4C"/>
    <w:rsid w:val="007863CA"/>
    <w:rsid w:val="00786C3F"/>
    <w:rsid w:val="00786D14"/>
    <w:rsid w:val="00786FA8"/>
    <w:rsid w:val="0078751B"/>
    <w:rsid w:val="00787AEA"/>
    <w:rsid w:val="00790154"/>
    <w:rsid w:val="0079037C"/>
    <w:rsid w:val="0079060B"/>
    <w:rsid w:val="00790AAD"/>
    <w:rsid w:val="00790E63"/>
    <w:rsid w:val="007915B8"/>
    <w:rsid w:val="007919BD"/>
    <w:rsid w:val="00791C62"/>
    <w:rsid w:val="00791C86"/>
    <w:rsid w:val="00791F65"/>
    <w:rsid w:val="00792953"/>
    <w:rsid w:val="00793520"/>
    <w:rsid w:val="0079369E"/>
    <w:rsid w:val="00793F72"/>
    <w:rsid w:val="00794ABA"/>
    <w:rsid w:val="00794FC7"/>
    <w:rsid w:val="0079519D"/>
    <w:rsid w:val="00795B0D"/>
    <w:rsid w:val="00795F43"/>
    <w:rsid w:val="007966F6"/>
    <w:rsid w:val="0079707C"/>
    <w:rsid w:val="00797169"/>
    <w:rsid w:val="007971B6"/>
    <w:rsid w:val="00797321"/>
    <w:rsid w:val="0079742D"/>
    <w:rsid w:val="00797566"/>
    <w:rsid w:val="00797A10"/>
    <w:rsid w:val="00797A8A"/>
    <w:rsid w:val="00797B0E"/>
    <w:rsid w:val="00797C02"/>
    <w:rsid w:val="007A0531"/>
    <w:rsid w:val="007A05F8"/>
    <w:rsid w:val="007A0E02"/>
    <w:rsid w:val="007A0EE2"/>
    <w:rsid w:val="007A10AB"/>
    <w:rsid w:val="007A10F6"/>
    <w:rsid w:val="007A1B05"/>
    <w:rsid w:val="007A2036"/>
    <w:rsid w:val="007A20AF"/>
    <w:rsid w:val="007A215F"/>
    <w:rsid w:val="007A225F"/>
    <w:rsid w:val="007A2A39"/>
    <w:rsid w:val="007A2AAA"/>
    <w:rsid w:val="007A366E"/>
    <w:rsid w:val="007A3704"/>
    <w:rsid w:val="007A3C74"/>
    <w:rsid w:val="007A51FB"/>
    <w:rsid w:val="007A5436"/>
    <w:rsid w:val="007A5761"/>
    <w:rsid w:val="007A5CB9"/>
    <w:rsid w:val="007A6215"/>
    <w:rsid w:val="007A6647"/>
    <w:rsid w:val="007A783C"/>
    <w:rsid w:val="007A7C49"/>
    <w:rsid w:val="007A7FF2"/>
    <w:rsid w:val="007B001F"/>
    <w:rsid w:val="007B07BC"/>
    <w:rsid w:val="007B0966"/>
    <w:rsid w:val="007B0CC3"/>
    <w:rsid w:val="007B0FA9"/>
    <w:rsid w:val="007B14DD"/>
    <w:rsid w:val="007B1A82"/>
    <w:rsid w:val="007B1D3C"/>
    <w:rsid w:val="007B246E"/>
    <w:rsid w:val="007B283E"/>
    <w:rsid w:val="007B2957"/>
    <w:rsid w:val="007B2E48"/>
    <w:rsid w:val="007B2EA7"/>
    <w:rsid w:val="007B30F5"/>
    <w:rsid w:val="007B3B47"/>
    <w:rsid w:val="007B3FCE"/>
    <w:rsid w:val="007B431E"/>
    <w:rsid w:val="007B55F8"/>
    <w:rsid w:val="007B5AA1"/>
    <w:rsid w:val="007B5DA7"/>
    <w:rsid w:val="007B69C1"/>
    <w:rsid w:val="007B6BF3"/>
    <w:rsid w:val="007B6F56"/>
    <w:rsid w:val="007B705F"/>
    <w:rsid w:val="007B7287"/>
    <w:rsid w:val="007B73D5"/>
    <w:rsid w:val="007B763E"/>
    <w:rsid w:val="007B7823"/>
    <w:rsid w:val="007B7D8B"/>
    <w:rsid w:val="007B7ECA"/>
    <w:rsid w:val="007B7F02"/>
    <w:rsid w:val="007C009E"/>
    <w:rsid w:val="007C03BE"/>
    <w:rsid w:val="007C082C"/>
    <w:rsid w:val="007C0B20"/>
    <w:rsid w:val="007C0B82"/>
    <w:rsid w:val="007C1992"/>
    <w:rsid w:val="007C2008"/>
    <w:rsid w:val="007C27BF"/>
    <w:rsid w:val="007C2BD2"/>
    <w:rsid w:val="007C3190"/>
    <w:rsid w:val="007C350C"/>
    <w:rsid w:val="007C3CF8"/>
    <w:rsid w:val="007C3D60"/>
    <w:rsid w:val="007C4112"/>
    <w:rsid w:val="007C44EB"/>
    <w:rsid w:val="007C4C12"/>
    <w:rsid w:val="007C4D26"/>
    <w:rsid w:val="007C51E9"/>
    <w:rsid w:val="007C568B"/>
    <w:rsid w:val="007C5874"/>
    <w:rsid w:val="007C597A"/>
    <w:rsid w:val="007C5E23"/>
    <w:rsid w:val="007C689F"/>
    <w:rsid w:val="007C6B88"/>
    <w:rsid w:val="007C77DA"/>
    <w:rsid w:val="007D0BC5"/>
    <w:rsid w:val="007D0F1D"/>
    <w:rsid w:val="007D0FE9"/>
    <w:rsid w:val="007D111B"/>
    <w:rsid w:val="007D1D71"/>
    <w:rsid w:val="007D2160"/>
    <w:rsid w:val="007D2215"/>
    <w:rsid w:val="007D26FE"/>
    <w:rsid w:val="007D3F88"/>
    <w:rsid w:val="007D41C8"/>
    <w:rsid w:val="007D430A"/>
    <w:rsid w:val="007D443D"/>
    <w:rsid w:val="007D4988"/>
    <w:rsid w:val="007D52E5"/>
    <w:rsid w:val="007D5785"/>
    <w:rsid w:val="007D583A"/>
    <w:rsid w:val="007D5868"/>
    <w:rsid w:val="007D5924"/>
    <w:rsid w:val="007D5A25"/>
    <w:rsid w:val="007D612C"/>
    <w:rsid w:val="007D6180"/>
    <w:rsid w:val="007D623A"/>
    <w:rsid w:val="007D682E"/>
    <w:rsid w:val="007D692D"/>
    <w:rsid w:val="007D69F5"/>
    <w:rsid w:val="007D6F57"/>
    <w:rsid w:val="007D7202"/>
    <w:rsid w:val="007D73C0"/>
    <w:rsid w:val="007D7B15"/>
    <w:rsid w:val="007E0510"/>
    <w:rsid w:val="007E0C06"/>
    <w:rsid w:val="007E0D3A"/>
    <w:rsid w:val="007E19BD"/>
    <w:rsid w:val="007E1CDB"/>
    <w:rsid w:val="007E25A0"/>
    <w:rsid w:val="007E3569"/>
    <w:rsid w:val="007E380E"/>
    <w:rsid w:val="007E3877"/>
    <w:rsid w:val="007E3892"/>
    <w:rsid w:val="007E3B3D"/>
    <w:rsid w:val="007E466A"/>
    <w:rsid w:val="007E5080"/>
    <w:rsid w:val="007E59B3"/>
    <w:rsid w:val="007E5A91"/>
    <w:rsid w:val="007E5EB8"/>
    <w:rsid w:val="007E64A4"/>
    <w:rsid w:val="007E6D14"/>
    <w:rsid w:val="007E7447"/>
    <w:rsid w:val="007E7F4C"/>
    <w:rsid w:val="007F0376"/>
    <w:rsid w:val="007F0920"/>
    <w:rsid w:val="007F0C12"/>
    <w:rsid w:val="007F0D9A"/>
    <w:rsid w:val="007F1B25"/>
    <w:rsid w:val="007F1EC5"/>
    <w:rsid w:val="007F2086"/>
    <w:rsid w:val="007F337E"/>
    <w:rsid w:val="007F3572"/>
    <w:rsid w:val="007F3A27"/>
    <w:rsid w:val="007F3A39"/>
    <w:rsid w:val="007F40D9"/>
    <w:rsid w:val="007F4522"/>
    <w:rsid w:val="007F4893"/>
    <w:rsid w:val="007F4AC4"/>
    <w:rsid w:val="007F4BC8"/>
    <w:rsid w:val="007F4C14"/>
    <w:rsid w:val="007F4E9C"/>
    <w:rsid w:val="007F4FE7"/>
    <w:rsid w:val="007F5A29"/>
    <w:rsid w:val="007F5D64"/>
    <w:rsid w:val="007F6036"/>
    <w:rsid w:val="007F6532"/>
    <w:rsid w:val="007F6AA2"/>
    <w:rsid w:val="007F764F"/>
    <w:rsid w:val="007F76B0"/>
    <w:rsid w:val="007F7B58"/>
    <w:rsid w:val="007F7E90"/>
    <w:rsid w:val="00800D71"/>
    <w:rsid w:val="008012D5"/>
    <w:rsid w:val="0080190D"/>
    <w:rsid w:val="00802826"/>
    <w:rsid w:val="008030AA"/>
    <w:rsid w:val="008030F1"/>
    <w:rsid w:val="00803477"/>
    <w:rsid w:val="00803ADE"/>
    <w:rsid w:val="00804242"/>
    <w:rsid w:val="00805C6D"/>
    <w:rsid w:val="008062D6"/>
    <w:rsid w:val="00806796"/>
    <w:rsid w:val="008069C8"/>
    <w:rsid w:val="008070A2"/>
    <w:rsid w:val="008075DD"/>
    <w:rsid w:val="00807E33"/>
    <w:rsid w:val="00807EF6"/>
    <w:rsid w:val="00807FEA"/>
    <w:rsid w:val="008107ED"/>
    <w:rsid w:val="008109D8"/>
    <w:rsid w:val="00810CF2"/>
    <w:rsid w:val="008110AC"/>
    <w:rsid w:val="00811998"/>
    <w:rsid w:val="00811B17"/>
    <w:rsid w:val="00811C0D"/>
    <w:rsid w:val="00811D85"/>
    <w:rsid w:val="00812039"/>
    <w:rsid w:val="00812095"/>
    <w:rsid w:val="0081237A"/>
    <w:rsid w:val="008123FD"/>
    <w:rsid w:val="008124F9"/>
    <w:rsid w:val="0081297E"/>
    <w:rsid w:val="00812B26"/>
    <w:rsid w:val="00813094"/>
    <w:rsid w:val="00813706"/>
    <w:rsid w:val="008138D2"/>
    <w:rsid w:val="00813D2E"/>
    <w:rsid w:val="0081406B"/>
    <w:rsid w:val="0081406F"/>
    <w:rsid w:val="0081428E"/>
    <w:rsid w:val="0081448B"/>
    <w:rsid w:val="00814727"/>
    <w:rsid w:val="00814E69"/>
    <w:rsid w:val="00814FBF"/>
    <w:rsid w:val="0081507A"/>
    <w:rsid w:val="00815794"/>
    <w:rsid w:val="00815AAD"/>
    <w:rsid w:val="0081652E"/>
    <w:rsid w:val="00816592"/>
    <w:rsid w:val="00816896"/>
    <w:rsid w:val="008173C2"/>
    <w:rsid w:val="00817B3A"/>
    <w:rsid w:val="00817F86"/>
    <w:rsid w:val="00820429"/>
    <w:rsid w:val="00820612"/>
    <w:rsid w:val="00820BEB"/>
    <w:rsid w:val="008217BA"/>
    <w:rsid w:val="00821983"/>
    <w:rsid w:val="00821CBA"/>
    <w:rsid w:val="0082256B"/>
    <w:rsid w:val="00822B8D"/>
    <w:rsid w:val="00822FDD"/>
    <w:rsid w:val="008232AB"/>
    <w:rsid w:val="008236C3"/>
    <w:rsid w:val="00824508"/>
    <w:rsid w:val="00824629"/>
    <w:rsid w:val="0082477C"/>
    <w:rsid w:val="008248B1"/>
    <w:rsid w:val="00824A33"/>
    <w:rsid w:val="00824E6C"/>
    <w:rsid w:val="00825125"/>
    <w:rsid w:val="00825425"/>
    <w:rsid w:val="008255DF"/>
    <w:rsid w:val="00825B19"/>
    <w:rsid w:val="008265BE"/>
    <w:rsid w:val="00827029"/>
    <w:rsid w:val="008271BA"/>
    <w:rsid w:val="00827779"/>
    <w:rsid w:val="00827F6D"/>
    <w:rsid w:val="00830008"/>
    <w:rsid w:val="00830183"/>
    <w:rsid w:val="008304A9"/>
    <w:rsid w:val="008305AB"/>
    <w:rsid w:val="008306CC"/>
    <w:rsid w:val="00830F36"/>
    <w:rsid w:val="00830F3E"/>
    <w:rsid w:val="008315C7"/>
    <w:rsid w:val="00831933"/>
    <w:rsid w:val="00831EE3"/>
    <w:rsid w:val="0083204D"/>
    <w:rsid w:val="00832F9E"/>
    <w:rsid w:val="00833331"/>
    <w:rsid w:val="00833B24"/>
    <w:rsid w:val="00833B80"/>
    <w:rsid w:val="00833D3E"/>
    <w:rsid w:val="00833F2C"/>
    <w:rsid w:val="00834959"/>
    <w:rsid w:val="00835632"/>
    <w:rsid w:val="00835895"/>
    <w:rsid w:val="00835C89"/>
    <w:rsid w:val="008364DC"/>
    <w:rsid w:val="0083668B"/>
    <w:rsid w:val="00836712"/>
    <w:rsid w:val="00836ABE"/>
    <w:rsid w:val="00836C52"/>
    <w:rsid w:val="00836FA8"/>
    <w:rsid w:val="0083786B"/>
    <w:rsid w:val="00837AA6"/>
    <w:rsid w:val="00837C83"/>
    <w:rsid w:val="00840063"/>
    <w:rsid w:val="00840EF6"/>
    <w:rsid w:val="0084108F"/>
    <w:rsid w:val="008413B5"/>
    <w:rsid w:val="008421A0"/>
    <w:rsid w:val="0084246B"/>
    <w:rsid w:val="00842AD4"/>
    <w:rsid w:val="008430B6"/>
    <w:rsid w:val="008434C9"/>
    <w:rsid w:val="008434D4"/>
    <w:rsid w:val="008454E0"/>
    <w:rsid w:val="00845A0F"/>
    <w:rsid w:val="00845F80"/>
    <w:rsid w:val="00845FEF"/>
    <w:rsid w:val="0084660E"/>
    <w:rsid w:val="008469BB"/>
    <w:rsid w:val="00846B9E"/>
    <w:rsid w:val="00850115"/>
    <w:rsid w:val="008503C2"/>
    <w:rsid w:val="008505D7"/>
    <w:rsid w:val="00850842"/>
    <w:rsid w:val="00850993"/>
    <w:rsid w:val="00850B44"/>
    <w:rsid w:val="008514F5"/>
    <w:rsid w:val="00851682"/>
    <w:rsid w:val="00851C6E"/>
    <w:rsid w:val="0085202E"/>
    <w:rsid w:val="00852276"/>
    <w:rsid w:val="0085248F"/>
    <w:rsid w:val="00852AE4"/>
    <w:rsid w:val="00852C57"/>
    <w:rsid w:val="0085344A"/>
    <w:rsid w:val="00853BC2"/>
    <w:rsid w:val="00853EC1"/>
    <w:rsid w:val="008542A0"/>
    <w:rsid w:val="00854438"/>
    <w:rsid w:val="00854A3E"/>
    <w:rsid w:val="00854AE4"/>
    <w:rsid w:val="00854AEA"/>
    <w:rsid w:val="00854D9D"/>
    <w:rsid w:val="0085524D"/>
    <w:rsid w:val="00855711"/>
    <w:rsid w:val="00855979"/>
    <w:rsid w:val="00855BDC"/>
    <w:rsid w:val="00855E82"/>
    <w:rsid w:val="00856248"/>
    <w:rsid w:val="00856ADF"/>
    <w:rsid w:val="00856E84"/>
    <w:rsid w:val="00857418"/>
    <w:rsid w:val="00857BB0"/>
    <w:rsid w:val="00860CB7"/>
    <w:rsid w:val="00861203"/>
    <w:rsid w:val="00862008"/>
    <w:rsid w:val="0086209E"/>
    <w:rsid w:val="008625B9"/>
    <w:rsid w:val="008625F8"/>
    <w:rsid w:val="00862643"/>
    <w:rsid w:val="008626F4"/>
    <w:rsid w:val="00862BAC"/>
    <w:rsid w:val="0086393A"/>
    <w:rsid w:val="008639CA"/>
    <w:rsid w:val="008643F6"/>
    <w:rsid w:val="0086442F"/>
    <w:rsid w:val="0086481A"/>
    <w:rsid w:val="00864B7C"/>
    <w:rsid w:val="00864BF7"/>
    <w:rsid w:val="008651DB"/>
    <w:rsid w:val="008654F7"/>
    <w:rsid w:val="00865D3B"/>
    <w:rsid w:val="00866335"/>
    <w:rsid w:val="00866882"/>
    <w:rsid w:val="008669F3"/>
    <w:rsid w:val="00866A6E"/>
    <w:rsid w:val="00866FA2"/>
    <w:rsid w:val="00867225"/>
    <w:rsid w:val="0086788D"/>
    <w:rsid w:val="008701CD"/>
    <w:rsid w:val="00870B64"/>
    <w:rsid w:val="00870F76"/>
    <w:rsid w:val="0087149B"/>
    <w:rsid w:val="008715E2"/>
    <w:rsid w:val="00871C80"/>
    <w:rsid w:val="00871E45"/>
    <w:rsid w:val="00872B73"/>
    <w:rsid w:val="00872D66"/>
    <w:rsid w:val="00872F97"/>
    <w:rsid w:val="0087300F"/>
    <w:rsid w:val="0087456E"/>
    <w:rsid w:val="008746A6"/>
    <w:rsid w:val="008747A9"/>
    <w:rsid w:val="00875A70"/>
    <w:rsid w:val="00875D17"/>
    <w:rsid w:val="00875F62"/>
    <w:rsid w:val="00876878"/>
    <w:rsid w:val="00876C63"/>
    <w:rsid w:val="00877239"/>
    <w:rsid w:val="0087751D"/>
    <w:rsid w:val="0087770F"/>
    <w:rsid w:val="008778BC"/>
    <w:rsid w:val="00880CB1"/>
    <w:rsid w:val="008811EF"/>
    <w:rsid w:val="008816B5"/>
    <w:rsid w:val="008819DB"/>
    <w:rsid w:val="00882129"/>
    <w:rsid w:val="008825A7"/>
    <w:rsid w:val="00882E77"/>
    <w:rsid w:val="00882FA6"/>
    <w:rsid w:val="008842D8"/>
    <w:rsid w:val="00884B72"/>
    <w:rsid w:val="00884CD4"/>
    <w:rsid w:val="00885500"/>
    <w:rsid w:val="008855BA"/>
    <w:rsid w:val="00885CB1"/>
    <w:rsid w:val="008860A8"/>
    <w:rsid w:val="008869EF"/>
    <w:rsid w:val="00886A28"/>
    <w:rsid w:val="00886AF2"/>
    <w:rsid w:val="00887130"/>
    <w:rsid w:val="00887AE8"/>
    <w:rsid w:val="008900BA"/>
    <w:rsid w:val="008903BC"/>
    <w:rsid w:val="00890A93"/>
    <w:rsid w:val="008914B1"/>
    <w:rsid w:val="00891F76"/>
    <w:rsid w:val="008920BE"/>
    <w:rsid w:val="008922E8"/>
    <w:rsid w:val="00892933"/>
    <w:rsid w:val="0089311B"/>
    <w:rsid w:val="0089370E"/>
    <w:rsid w:val="0089477A"/>
    <w:rsid w:val="00895588"/>
    <w:rsid w:val="00895728"/>
    <w:rsid w:val="00895CFE"/>
    <w:rsid w:val="008962AF"/>
    <w:rsid w:val="008966F9"/>
    <w:rsid w:val="0089676D"/>
    <w:rsid w:val="00897081"/>
    <w:rsid w:val="0089735A"/>
    <w:rsid w:val="008A0006"/>
    <w:rsid w:val="008A0A9D"/>
    <w:rsid w:val="008A1060"/>
    <w:rsid w:val="008A14EB"/>
    <w:rsid w:val="008A1776"/>
    <w:rsid w:val="008A18BE"/>
    <w:rsid w:val="008A1911"/>
    <w:rsid w:val="008A1BA8"/>
    <w:rsid w:val="008A1FAF"/>
    <w:rsid w:val="008A2192"/>
    <w:rsid w:val="008A247D"/>
    <w:rsid w:val="008A2EF4"/>
    <w:rsid w:val="008A2FA1"/>
    <w:rsid w:val="008A34FA"/>
    <w:rsid w:val="008A3737"/>
    <w:rsid w:val="008A390A"/>
    <w:rsid w:val="008A3BC5"/>
    <w:rsid w:val="008A3EAC"/>
    <w:rsid w:val="008A42AB"/>
    <w:rsid w:val="008A4D48"/>
    <w:rsid w:val="008A4DDC"/>
    <w:rsid w:val="008A4FB8"/>
    <w:rsid w:val="008A578D"/>
    <w:rsid w:val="008A600A"/>
    <w:rsid w:val="008A6057"/>
    <w:rsid w:val="008A644F"/>
    <w:rsid w:val="008A65BC"/>
    <w:rsid w:val="008A6D51"/>
    <w:rsid w:val="008A6DF8"/>
    <w:rsid w:val="008A70A0"/>
    <w:rsid w:val="008A70CD"/>
    <w:rsid w:val="008A78A7"/>
    <w:rsid w:val="008B03ED"/>
    <w:rsid w:val="008B050A"/>
    <w:rsid w:val="008B0612"/>
    <w:rsid w:val="008B07F5"/>
    <w:rsid w:val="008B0E44"/>
    <w:rsid w:val="008B1A8E"/>
    <w:rsid w:val="008B1E8B"/>
    <w:rsid w:val="008B1F38"/>
    <w:rsid w:val="008B2216"/>
    <w:rsid w:val="008B2575"/>
    <w:rsid w:val="008B2632"/>
    <w:rsid w:val="008B310C"/>
    <w:rsid w:val="008B356D"/>
    <w:rsid w:val="008B392A"/>
    <w:rsid w:val="008B4FD0"/>
    <w:rsid w:val="008B5068"/>
    <w:rsid w:val="008B58F9"/>
    <w:rsid w:val="008B687D"/>
    <w:rsid w:val="008B6CD7"/>
    <w:rsid w:val="008B6DEA"/>
    <w:rsid w:val="008B7146"/>
    <w:rsid w:val="008B775C"/>
    <w:rsid w:val="008B7A37"/>
    <w:rsid w:val="008B7F82"/>
    <w:rsid w:val="008C00F4"/>
    <w:rsid w:val="008C0B99"/>
    <w:rsid w:val="008C0D91"/>
    <w:rsid w:val="008C14FB"/>
    <w:rsid w:val="008C192E"/>
    <w:rsid w:val="008C2226"/>
    <w:rsid w:val="008C2C50"/>
    <w:rsid w:val="008C3152"/>
    <w:rsid w:val="008C354F"/>
    <w:rsid w:val="008C3AF5"/>
    <w:rsid w:val="008C3E29"/>
    <w:rsid w:val="008C47CD"/>
    <w:rsid w:val="008C4BA9"/>
    <w:rsid w:val="008C50BC"/>
    <w:rsid w:val="008C55E5"/>
    <w:rsid w:val="008C66EB"/>
    <w:rsid w:val="008C6ED7"/>
    <w:rsid w:val="008C7002"/>
    <w:rsid w:val="008C7195"/>
    <w:rsid w:val="008C7424"/>
    <w:rsid w:val="008C7D1D"/>
    <w:rsid w:val="008D01EF"/>
    <w:rsid w:val="008D021D"/>
    <w:rsid w:val="008D0304"/>
    <w:rsid w:val="008D08A1"/>
    <w:rsid w:val="008D0D20"/>
    <w:rsid w:val="008D1223"/>
    <w:rsid w:val="008D296B"/>
    <w:rsid w:val="008D2E2B"/>
    <w:rsid w:val="008D2FD8"/>
    <w:rsid w:val="008D2FF9"/>
    <w:rsid w:val="008D3341"/>
    <w:rsid w:val="008D37F5"/>
    <w:rsid w:val="008D3AE4"/>
    <w:rsid w:val="008D3E79"/>
    <w:rsid w:val="008D42E6"/>
    <w:rsid w:val="008D510C"/>
    <w:rsid w:val="008D5B69"/>
    <w:rsid w:val="008D5DDF"/>
    <w:rsid w:val="008D5F41"/>
    <w:rsid w:val="008D6236"/>
    <w:rsid w:val="008D623A"/>
    <w:rsid w:val="008D6B50"/>
    <w:rsid w:val="008D6F67"/>
    <w:rsid w:val="008D700E"/>
    <w:rsid w:val="008D732D"/>
    <w:rsid w:val="008D7968"/>
    <w:rsid w:val="008D7A36"/>
    <w:rsid w:val="008D7C8C"/>
    <w:rsid w:val="008E0D8F"/>
    <w:rsid w:val="008E136B"/>
    <w:rsid w:val="008E13B3"/>
    <w:rsid w:val="008E13B4"/>
    <w:rsid w:val="008E14F5"/>
    <w:rsid w:val="008E1619"/>
    <w:rsid w:val="008E1857"/>
    <w:rsid w:val="008E276E"/>
    <w:rsid w:val="008E27A5"/>
    <w:rsid w:val="008E3863"/>
    <w:rsid w:val="008E3912"/>
    <w:rsid w:val="008E3A7C"/>
    <w:rsid w:val="008E41C3"/>
    <w:rsid w:val="008E4342"/>
    <w:rsid w:val="008E4478"/>
    <w:rsid w:val="008E46E6"/>
    <w:rsid w:val="008E4B9A"/>
    <w:rsid w:val="008E55C3"/>
    <w:rsid w:val="008E55D7"/>
    <w:rsid w:val="008E5721"/>
    <w:rsid w:val="008E5AA7"/>
    <w:rsid w:val="008E6021"/>
    <w:rsid w:val="008E6939"/>
    <w:rsid w:val="008E705C"/>
    <w:rsid w:val="008E71EE"/>
    <w:rsid w:val="008E7567"/>
    <w:rsid w:val="008E78EF"/>
    <w:rsid w:val="008E7ACF"/>
    <w:rsid w:val="008E7F20"/>
    <w:rsid w:val="008F094A"/>
    <w:rsid w:val="008F11BF"/>
    <w:rsid w:val="008F145B"/>
    <w:rsid w:val="008F1585"/>
    <w:rsid w:val="008F175D"/>
    <w:rsid w:val="008F1A6F"/>
    <w:rsid w:val="008F1CA1"/>
    <w:rsid w:val="008F1DAC"/>
    <w:rsid w:val="008F2138"/>
    <w:rsid w:val="008F2A7E"/>
    <w:rsid w:val="008F32DE"/>
    <w:rsid w:val="008F3813"/>
    <w:rsid w:val="008F3F97"/>
    <w:rsid w:val="008F40E7"/>
    <w:rsid w:val="008F42EC"/>
    <w:rsid w:val="008F462B"/>
    <w:rsid w:val="008F4722"/>
    <w:rsid w:val="008F4E28"/>
    <w:rsid w:val="008F589E"/>
    <w:rsid w:val="008F5AFB"/>
    <w:rsid w:val="008F6173"/>
    <w:rsid w:val="008F64F6"/>
    <w:rsid w:val="008F672B"/>
    <w:rsid w:val="008F67DF"/>
    <w:rsid w:val="008F68BF"/>
    <w:rsid w:val="008F6E04"/>
    <w:rsid w:val="008F719B"/>
    <w:rsid w:val="008F71D7"/>
    <w:rsid w:val="008F71DF"/>
    <w:rsid w:val="0090030D"/>
    <w:rsid w:val="00900538"/>
    <w:rsid w:val="009016AA"/>
    <w:rsid w:val="0090174E"/>
    <w:rsid w:val="00901CE0"/>
    <w:rsid w:val="00901D6D"/>
    <w:rsid w:val="0090213A"/>
    <w:rsid w:val="009021A2"/>
    <w:rsid w:val="009027F2"/>
    <w:rsid w:val="00902DB5"/>
    <w:rsid w:val="00902F24"/>
    <w:rsid w:val="00902F71"/>
    <w:rsid w:val="009030D8"/>
    <w:rsid w:val="009037D5"/>
    <w:rsid w:val="009039FF"/>
    <w:rsid w:val="00903D7F"/>
    <w:rsid w:val="00904545"/>
    <w:rsid w:val="00904859"/>
    <w:rsid w:val="00904E0E"/>
    <w:rsid w:val="0090519A"/>
    <w:rsid w:val="0090531E"/>
    <w:rsid w:val="0090602D"/>
    <w:rsid w:val="00906678"/>
    <w:rsid w:val="00906697"/>
    <w:rsid w:val="00906D89"/>
    <w:rsid w:val="009078B4"/>
    <w:rsid w:val="00910480"/>
    <w:rsid w:val="00910B38"/>
    <w:rsid w:val="00911143"/>
    <w:rsid w:val="00911D5E"/>
    <w:rsid w:val="00911F8D"/>
    <w:rsid w:val="00912146"/>
    <w:rsid w:val="00912998"/>
    <w:rsid w:val="00912B3E"/>
    <w:rsid w:val="00912E8F"/>
    <w:rsid w:val="00913FA8"/>
    <w:rsid w:val="0091470F"/>
    <w:rsid w:val="00914989"/>
    <w:rsid w:val="00914CA3"/>
    <w:rsid w:val="00914DED"/>
    <w:rsid w:val="00914FC9"/>
    <w:rsid w:val="00915045"/>
    <w:rsid w:val="00915209"/>
    <w:rsid w:val="00915696"/>
    <w:rsid w:val="00915897"/>
    <w:rsid w:val="009158FE"/>
    <w:rsid w:val="00915C8B"/>
    <w:rsid w:val="00915CA4"/>
    <w:rsid w:val="009162BD"/>
    <w:rsid w:val="0091686F"/>
    <w:rsid w:val="00916F5B"/>
    <w:rsid w:val="0091702D"/>
    <w:rsid w:val="00917B2F"/>
    <w:rsid w:val="00921360"/>
    <w:rsid w:val="00921811"/>
    <w:rsid w:val="00921C88"/>
    <w:rsid w:val="0092238F"/>
    <w:rsid w:val="0092244F"/>
    <w:rsid w:val="00922777"/>
    <w:rsid w:val="009232C2"/>
    <w:rsid w:val="00923522"/>
    <w:rsid w:val="00923D82"/>
    <w:rsid w:val="0092432E"/>
    <w:rsid w:val="009246A4"/>
    <w:rsid w:val="009248EE"/>
    <w:rsid w:val="00924929"/>
    <w:rsid w:val="00925698"/>
    <w:rsid w:val="009261FD"/>
    <w:rsid w:val="009262EC"/>
    <w:rsid w:val="009264F9"/>
    <w:rsid w:val="00926754"/>
    <w:rsid w:val="00926BC5"/>
    <w:rsid w:val="00926E04"/>
    <w:rsid w:val="00926EF4"/>
    <w:rsid w:val="0092716B"/>
    <w:rsid w:val="009279BC"/>
    <w:rsid w:val="00927D57"/>
    <w:rsid w:val="009301E0"/>
    <w:rsid w:val="0093024F"/>
    <w:rsid w:val="00930803"/>
    <w:rsid w:val="00930957"/>
    <w:rsid w:val="00930E9D"/>
    <w:rsid w:val="00930F04"/>
    <w:rsid w:val="00931BAE"/>
    <w:rsid w:val="00932176"/>
    <w:rsid w:val="009321C6"/>
    <w:rsid w:val="009328B5"/>
    <w:rsid w:val="00932953"/>
    <w:rsid w:val="00932A20"/>
    <w:rsid w:val="00932CEA"/>
    <w:rsid w:val="00932E3F"/>
    <w:rsid w:val="00932E75"/>
    <w:rsid w:val="00932F7C"/>
    <w:rsid w:val="0093307A"/>
    <w:rsid w:val="00933258"/>
    <w:rsid w:val="00933A3B"/>
    <w:rsid w:val="00933D17"/>
    <w:rsid w:val="009340C7"/>
    <w:rsid w:val="00934CC2"/>
    <w:rsid w:val="00935A8B"/>
    <w:rsid w:val="0093659B"/>
    <w:rsid w:val="009365B6"/>
    <w:rsid w:val="00936664"/>
    <w:rsid w:val="00936FE1"/>
    <w:rsid w:val="00937477"/>
    <w:rsid w:val="009408E1"/>
    <w:rsid w:val="00940975"/>
    <w:rsid w:val="00940E6E"/>
    <w:rsid w:val="00941378"/>
    <w:rsid w:val="009415F4"/>
    <w:rsid w:val="009419B7"/>
    <w:rsid w:val="00941E26"/>
    <w:rsid w:val="00942053"/>
    <w:rsid w:val="009432BB"/>
    <w:rsid w:val="0094373A"/>
    <w:rsid w:val="00943BB5"/>
    <w:rsid w:val="0094495D"/>
    <w:rsid w:val="009451E9"/>
    <w:rsid w:val="009452DC"/>
    <w:rsid w:val="009454D1"/>
    <w:rsid w:val="00946495"/>
    <w:rsid w:val="0094652E"/>
    <w:rsid w:val="00947723"/>
    <w:rsid w:val="0094791B"/>
    <w:rsid w:val="00947BCA"/>
    <w:rsid w:val="00947E35"/>
    <w:rsid w:val="00947E38"/>
    <w:rsid w:val="009500D7"/>
    <w:rsid w:val="00950466"/>
    <w:rsid w:val="009508F5"/>
    <w:rsid w:val="00950A74"/>
    <w:rsid w:val="00950AAC"/>
    <w:rsid w:val="00950E4F"/>
    <w:rsid w:val="00951008"/>
    <w:rsid w:val="009510C9"/>
    <w:rsid w:val="00951EBC"/>
    <w:rsid w:val="0095210D"/>
    <w:rsid w:val="009524AD"/>
    <w:rsid w:val="0095254A"/>
    <w:rsid w:val="00952719"/>
    <w:rsid w:val="0095289B"/>
    <w:rsid w:val="0095349B"/>
    <w:rsid w:val="00953AC4"/>
    <w:rsid w:val="00953E28"/>
    <w:rsid w:val="009542AF"/>
    <w:rsid w:val="00954D30"/>
    <w:rsid w:val="00955D45"/>
    <w:rsid w:val="00955F17"/>
    <w:rsid w:val="00955F53"/>
    <w:rsid w:val="00956295"/>
    <w:rsid w:val="00956490"/>
    <w:rsid w:val="00956774"/>
    <w:rsid w:val="00956FB8"/>
    <w:rsid w:val="009571A7"/>
    <w:rsid w:val="009572B7"/>
    <w:rsid w:val="00957351"/>
    <w:rsid w:val="00957478"/>
    <w:rsid w:val="00957597"/>
    <w:rsid w:val="009579AD"/>
    <w:rsid w:val="009579C9"/>
    <w:rsid w:val="00957CC6"/>
    <w:rsid w:val="00960041"/>
    <w:rsid w:val="0096039B"/>
    <w:rsid w:val="009611F6"/>
    <w:rsid w:val="00961556"/>
    <w:rsid w:val="009618C4"/>
    <w:rsid w:val="00961E27"/>
    <w:rsid w:val="00961EF8"/>
    <w:rsid w:val="0096297D"/>
    <w:rsid w:val="00963353"/>
    <w:rsid w:val="00963BEB"/>
    <w:rsid w:val="00963C51"/>
    <w:rsid w:val="009640E7"/>
    <w:rsid w:val="00964498"/>
    <w:rsid w:val="009646D6"/>
    <w:rsid w:val="00964855"/>
    <w:rsid w:val="00964A91"/>
    <w:rsid w:val="00964B5A"/>
    <w:rsid w:val="00964D18"/>
    <w:rsid w:val="009655CE"/>
    <w:rsid w:val="00965F35"/>
    <w:rsid w:val="0096615B"/>
    <w:rsid w:val="00966219"/>
    <w:rsid w:val="00966675"/>
    <w:rsid w:val="00966CED"/>
    <w:rsid w:val="00966FDA"/>
    <w:rsid w:val="0096704E"/>
    <w:rsid w:val="009672CA"/>
    <w:rsid w:val="009673D8"/>
    <w:rsid w:val="0096747C"/>
    <w:rsid w:val="009679D0"/>
    <w:rsid w:val="00967DBB"/>
    <w:rsid w:val="00970362"/>
    <w:rsid w:val="0097051B"/>
    <w:rsid w:val="00970B26"/>
    <w:rsid w:val="00971917"/>
    <w:rsid w:val="0097198F"/>
    <w:rsid w:val="00971CB0"/>
    <w:rsid w:val="0097223A"/>
    <w:rsid w:val="00972563"/>
    <w:rsid w:val="00972E2D"/>
    <w:rsid w:val="00972FDC"/>
    <w:rsid w:val="0097386D"/>
    <w:rsid w:val="00973940"/>
    <w:rsid w:val="00973A3B"/>
    <w:rsid w:val="00973D13"/>
    <w:rsid w:val="00973EFD"/>
    <w:rsid w:val="00974406"/>
    <w:rsid w:val="009744CE"/>
    <w:rsid w:val="00974901"/>
    <w:rsid w:val="0097536B"/>
    <w:rsid w:val="00975FCC"/>
    <w:rsid w:val="009767D8"/>
    <w:rsid w:val="00977032"/>
    <w:rsid w:val="00977546"/>
    <w:rsid w:val="009776AB"/>
    <w:rsid w:val="009778B6"/>
    <w:rsid w:val="00977C2F"/>
    <w:rsid w:val="0098029F"/>
    <w:rsid w:val="0098057D"/>
    <w:rsid w:val="00980E02"/>
    <w:rsid w:val="00981130"/>
    <w:rsid w:val="009815D7"/>
    <w:rsid w:val="00981AB8"/>
    <w:rsid w:val="00981EA6"/>
    <w:rsid w:val="00982B11"/>
    <w:rsid w:val="00982E59"/>
    <w:rsid w:val="00982EC0"/>
    <w:rsid w:val="009831E9"/>
    <w:rsid w:val="0098351B"/>
    <w:rsid w:val="00983B3B"/>
    <w:rsid w:val="00984CC2"/>
    <w:rsid w:val="00984E70"/>
    <w:rsid w:val="00984F04"/>
    <w:rsid w:val="00984F8D"/>
    <w:rsid w:val="00985244"/>
    <w:rsid w:val="00985315"/>
    <w:rsid w:val="0098539E"/>
    <w:rsid w:val="009855A8"/>
    <w:rsid w:val="00985A76"/>
    <w:rsid w:val="00985EEF"/>
    <w:rsid w:val="00986B06"/>
    <w:rsid w:val="009870F3"/>
    <w:rsid w:val="009874D3"/>
    <w:rsid w:val="0098774C"/>
    <w:rsid w:val="009901E9"/>
    <w:rsid w:val="00990340"/>
    <w:rsid w:val="00991201"/>
    <w:rsid w:val="00991BB3"/>
    <w:rsid w:val="00991C3E"/>
    <w:rsid w:val="00992029"/>
    <w:rsid w:val="00992455"/>
    <w:rsid w:val="00992555"/>
    <w:rsid w:val="009928CC"/>
    <w:rsid w:val="00992C30"/>
    <w:rsid w:val="00993227"/>
    <w:rsid w:val="00995049"/>
    <w:rsid w:val="00995240"/>
    <w:rsid w:val="009954AD"/>
    <w:rsid w:val="00995738"/>
    <w:rsid w:val="009959C3"/>
    <w:rsid w:val="00995AA6"/>
    <w:rsid w:val="00995ABB"/>
    <w:rsid w:val="00995C48"/>
    <w:rsid w:val="009976E2"/>
    <w:rsid w:val="00997AC3"/>
    <w:rsid w:val="009A011E"/>
    <w:rsid w:val="009A033A"/>
    <w:rsid w:val="009A1617"/>
    <w:rsid w:val="009A19D7"/>
    <w:rsid w:val="009A1E00"/>
    <w:rsid w:val="009A20EF"/>
    <w:rsid w:val="009A23AF"/>
    <w:rsid w:val="009A24C5"/>
    <w:rsid w:val="009A2B47"/>
    <w:rsid w:val="009A2FEA"/>
    <w:rsid w:val="009A32A7"/>
    <w:rsid w:val="009A39BF"/>
    <w:rsid w:val="009A4749"/>
    <w:rsid w:val="009A50A0"/>
    <w:rsid w:val="009A51EF"/>
    <w:rsid w:val="009A5970"/>
    <w:rsid w:val="009A5B5A"/>
    <w:rsid w:val="009A5E18"/>
    <w:rsid w:val="009A5F87"/>
    <w:rsid w:val="009A60EA"/>
    <w:rsid w:val="009A620E"/>
    <w:rsid w:val="009A63C6"/>
    <w:rsid w:val="009A64CE"/>
    <w:rsid w:val="009A664B"/>
    <w:rsid w:val="009A6F92"/>
    <w:rsid w:val="009A72C9"/>
    <w:rsid w:val="009A7371"/>
    <w:rsid w:val="009A787F"/>
    <w:rsid w:val="009A79E5"/>
    <w:rsid w:val="009B0D20"/>
    <w:rsid w:val="009B1034"/>
    <w:rsid w:val="009B1199"/>
    <w:rsid w:val="009B1211"/>
    <w:rsid w:val="009B1684"/>
    <w:rsid w:val="009B29FC"/>
    <w:rsid w:val="009B2A97"/>
    <w:rsid w:val="009B2AF8"/>
    <w:rsid w:val="009B3334"/>
    <w:rsid w:val="009B34ED"/>
    <w:rsid w:val="009B34EE"/>
    <w:rsid w:val="009B34FC"/>
    <w:rsid w:val="009B38D4"/>
    <w:rsid w:val="009B39D7"/>
    <w:rsid w:val="009B3B01"/>
    <w:rsid w:val="009B40B8"/>
    <w:rsid w:val="009B46D2"/>
    <w:rsid w:val="009B4756"/>
    <w:rsid w:val="009B5329"/>
    <w:rsid w:val="009B589C"/>
    <w:rsid w:val="009B5EF9"/>
    <w:rsid w:val="009B6840"/>
    <w:rsid w:val="009B7158"/>
    <w:rsid w:val="009B7FE6"/>
    <w:rsid w:val="009C0288"/>
    <w:rsid w:val="009C1238"/>
    <w:rsid w:val="009C1404"/>
    <w:rsid w:val="009C1708"/>
    <w:rsid w:val="009C1D2A"/>
    <w:rsid w:val="009C1DF2"/>
    <w:rsid w:val="009C21FC"/>
    <w:rsid w:val="009C2FAA"/>
    <w:rsid w:val="009C306A"/>
    <w:rsid w:val="009C3171"/>
    <w:rsid w:val="009C3279"/>
    <w:rsid w:val="009C34B1"/>
    <w:rsid w:val="009C3B2A"/>
    <w:rsid w:val="009C3D72"/>
    <w:rsid w:val="009C3E7A"/>
    <w:rsid w:val="009C412F"/>
    <w:rsid w:val="009C4374"/>
    <w:rsid w:val="009C43D8"/>
    <w:rsid w:val="009C46C0"/>
    <w:rsid w:val="009C49DA"/>
    <w:rsid w:val="009C4A0C"/>
    <w:rsid w:val="009C4E32"/>
    <w:rsid w:val="009C5686"/>
    <w:rsid w:val="009C5AF6"/>
    <w:rsid w:val="009C5BF8"/>
    <w:rsid w:val="009C5D31"/>
    <w:rsid w:val="009C608C"/>
    <w:rsid w:val="009C61F8"/>
    <w:rsid w:val="009C6267"/>
    <w:rsid w:val="009C6ADE"/>
    <w:rsid w:val="009C7475"/>
    <w:rsid w:val="009C75B8"/>
    <w:rsid w:val="009C76F5"/>
    <w:rsid w:val="009C7B8B"/>
    <w:rsid w:val="009D0406"/>
    <w:rsid w:val="009D05BE"/>
    <w:rsid w:val="009D0B6F"/>
    <w:rsid w:val="009D1074"/>
    <w:rsid w:val="009D11F5"/>
    <w:rsid w:val="009D1377"/>
    <w:rsid w:val="009D150A"/>
    <w:rsid w:val="009D1961"/>
    <w:rsid w:val="009D1C29"/>
    <w:rsid w:val="009D2688"/>
    <w:rsid w:val="009D395D"/>
    <w:rsid w:val="009D428B"/>
    <w:rsid w:val="009D4A69"/>
    <w:rsid w:val="009D4CDF"/>
    <w:rsid w:val="009D5313"/>
    <w:rsid w:val="009D66FF"/>
    <w:rsid w:val="009D6E23"/>
    <w:rsid w:val="009D6FDF"/>
    <w:rsid w:val="009D7026"/>
    <w:rsid w:val="009D7054"/>
    <w:rsid w:val="009D76F1"/>
    <w:rsid w:val="009E0E72"/>
    <w:rsid w:val="009E1250"/>
    <w:rsid w:val="009E1867"/>
    <w:rsid w:val="009E1999"/>
    <w:rsid w:val="009E214A"/>
    <w:rsid w:val="009E28D6"/>
    <w:rsid w:val="009E2A50"/>
    <w:rsid w:val="009E2B77"/>
    <w:rsid w:val="009E3A14"/>
    <w:rsid w:val="009E3AFC"/>
    <w:rsid w:val="009E3E06"/>
    <w:rsid w:val="009E4A91"/>
    <w:rsid w:val="009E4AE3"/>
    <w:rsid w:val="009E4F38"/>
    <w:rsid w:val="009E508D"/>
    <w:rsid w:val="009E5431"/>
    <w:rsid w:val="009E5881"/>
    <w:rsid w:val="009E595F"/>
    <w:rsid w:val="009E599F"/>
    <w:rsid w:val="009E5CEE"/>
    <w:rsid w:val="009E60F9"/>
    <w:rsid w:val="009E6CA3"/>
    <w:rsid w:val="009E70DA"/>
    <w:rsid w:val="009E71E4"/>
    <w:rsid w:val="009E7277"/>
    <w:rsid w:val="009F00AA"/>
    <w:rsid w:val="009F082B"/>
    <w:rsid w:val="009F0DB9"/>
    <w:rsid w:val="009F102B"/>
    <w:rsid w:val="009F10EC"/>
    <w:rsid w:val="009F1AEB"/>
    <w:rsid w:val="009F1EB7"/>
    <w:rsid w:val="009F23A7"/>
    <w:rsid w:val="009F2DC1"/>
    <w:rsid w:val="009F314E"/>
    <w:rsid w:val="009F31F6"/>
    <w:rsid w:val="009F3A43"/>
    <w:rsid w:val="009F3CB2"/>
    <w:rsid w:val="009F3F50"/>
    <w:rsid w:val="009F4081"/>
    <w:rsid w:val="009F46DB"/>
    <w:rsid w:val="009F46F3"/>
    <w:rsid w:val="009F511E"/>
    <w:rsid w:val="009F69E4"/>
    <w:rsid w:val="009F7757"/>
    <w:rsid w:val="009F78D6"/>
    <w:rsid w:val="009F79DB"/>
    <w:rsid w:val="00A00B54"/>
    <w:rsid w:val="00A013F5"/>
    <w:rsid w:val="00A01401"/>
    <w:rsid w:val="00A017D0"/>
    <w:rsid w:val="00A0197F"/>
    <w:rsid w:val="00A01B57"/>
    <w:rsid w:val="00A025F4"/>
    <w:rsid w:val="00A02BAE"/>
    <w:rsid w:val="00A03263"/>
    <w:rsid w:val="00A04036"/>
    <w:rsid w:val="00A047DE"/>
    <w:rsid w:val="00A04C29"/>
    <w:rsid w:val="00A0559E"/>
    <w:rsid w:val="00A05B54"/>
    <w:rsid w:val="00A060BA"/>
    <w:rsid w:val="00A067C3"/>
    <w:rsid w:val="00A0728F"/>
    <w:rsid w:val="00A075B3"/>
    <w:rsid w:val="00A07A58"/>
    <w:rsid w:val="00A07AEE"/>
    <w:rsid w:val="00A11137"/>
    <w:rsid w:val="00A11F56"/>
    <w:rsid w:val="00A131B5"/>
    <w:rsid w:val="00A13687"/>
    <w:rsid w:val="00A13E9E"/>
    <w:rsid w:val="00A145FE"/>
    <w:rsid w:val="00A149F9"/>
    <w:rsid w:val="00A14A4F"/>
    <w:rsid w:val="00A14D13"/>
    <w:rsid w:val="00A14E03"/>
    <w:rsid w:val="00A15430"/>
    <w:rsid w:val="00A15DA2"/>
    <w:rsid w:val="00A161B8"/>
    <w:rsid w:val="00A166DF"/>
    <w:rsid w:val="00A16CE7"/>
    <w:rsid w:val="00A16D63"/>
    <w:rsid w:val="00A1705D"/>
    <w:rsid w:val="00A170A9"/>
    <w:rsid w:val="00A17528"/>
    <w:rsid w:val="00A201D8"/>
    <w:rsid w:val="00A2058B"/>
    <w:rsid w:val="00A205F9"/>
    <w:rsid w:val="00A20C0E"/>
    <w:rsid w:val="00A20FF1"/>
    <w:rsid w:val="00A218D4"/>
    <w:rsid w:val="00A21BCF"/>
    <w:rsid w:val="00A22075"/>
    <w:rsid w:val="00A22150"/>
    <w:rsid w:val="00A22F0D"/>
    <w:rsid w:val="00A230F8"/>
    <w:rsid w:val="00A23169"/>
    <w:rsid w:val="00A233F0"/>
    <w:rsid w:val="00A242CF"/>
    <w:rsid w:val="00A24519"/>
    <w:rsid w:val="00A2477A"/>
    <w:rsid w:val="00A24972"/>
    <w:rsid w:val="00A24B02"/>
    <w:rsid w:val="00A25513"/>
    <w:rsid w:val="00A25574"/>
    <w:rsid w:val="00A257AD"/>
    <w:rsid w:val="00A257EF"/>
    <w:rsid w:val="00A25E1D"/>
    <w:rsid w:val="00A26069"/>
    <w:rsid w:val="00A260ED"/>
    <w:rsid w:val="00A26128"/>
    <w:rsid w:val="00A2674B"/>
    <w:rsid w:val="00A26F42"/>
    <w:rsid w:val="00A272A2"/>
    <w:rsid w:val="00A275D3"/>
    <w:rsid w:val="00A2787B"/>
    <w:rsid w:val="00A27DA3"/>
    <w:rsid w:val="00A30032"/>
    <w:rsid w:val="00A30178"/>
    <w:rsid w:val="00A303D6"/>
    <w:rsid w:val="00A303E1"/>
    <w:rsid w:val="00A308CA"/>
    <w:rsid w:val="00A30981"/>
    <w:rsid w:val="00A30E5B"/>
    <w:rsid w:val="00A31549"/>
    <w:rsid w:val="00A315AA"/>
    <w:rsid w:val="00A3169A"/>
    <w:rsid w:val="00A32529"/>
    <w:rsid w:val="00A3363F"/>
    <w:rsid w:val="00A33761"/>
    <w:rsid w:val="00A33AFD"/>
    <w:rsid w:val="00A3416D"/>
    <w:rsid w:val="00A34835"/>
    <w:rsid w:val="00A353E4"/>
    <w:rsid w:val="00A35474"/>
    <w:rsid w:val="00A356BE"/>
    <w:rsid w:val="00A35B5D"/>
    <w:rsid w:val="00A360FE"/>
    <w:rsid w:val="00A36306"/>
    <w:rsid w:val="00A363EB"/>
    <w:rsid w:val="00A36679"/>
    <w:rsid w:val="00A36870"/>
    <w:rsid w:val="00A37226"/>
    <w:rsid w:val="00A37275"/>
    <w:rsid w:val="00A375C8"/>
    <w:rsid w:val="00A3761F"/>
    <w:rsid w:val="00A37668"/>
    <w:rsid w:val="00A37877"/>
    <w:rsid w:val="00A3792F"/>
    <w:rsid w:val="00A37C6E"/>
    <w:rsid w:val="00A37FD8"/>
    <w:rsid w:val="00A40127"/>
    <w:rsid w:val="00A40734"/>
    <w:rsid w:val="00A40E16"/>
    <w:rsid w:val="00A40F8B"/>
    <w:rsid w:val="00A41498"/>
    <w:rsid w:val="00A414D7"/>
    <w:rsid w:val="00A41631"/>
    <w:rsid w:val="00A42421"/>
    <w:rsid w:val="00A42486"/>
    <w:rsid w:val="00A42BF4"/>
    <w:rsid w:val="00A43916"/>
    <w:rsid w:val="00A439DF"/>
    <w:rsid w:val="00A442AC"/>
    <w:rsid w:val="00A449EE"/>
    <w:rsid w:val="00A44AFF"/>
    <w:rsid w:val="00A44D84"/>
    <w:rsid w:val="00A45AE1"/>
    <w:rsid w:val="00A45BA4"/>
    <w:rsid w:val="00A45E5B"/>
    <w:rsid w:val="00A45F3F"/>
    <w:rsid w:val="00A464A5"/>
    <w:rsid w:val="00A46C48"/>
    <w:rsid w:val="00A47045"/>
    <w:rsid w:val="00A47072"/>
    <w:rsid w:val="00A47099"/>
    <w:rsid w:val="00A47493"/>
    <w:rsid w:val="00A4752E"/>
    <w:rsid w:val="00A478E2"/>
    <w:rsid w:val="00A500A4"/>
    <w:rsid w:val="00A50467"/>
    <w:rsid w:val="00A50F92"/>
    <w:rsid w:val="00A52079"/>
    <w:rsid w:val="00A5265E"/>
    <w:rsid w:val="00A52719"/>
    <w:rsid w:val="00A52B11"/>
    <w:rsid w:val="00A52EC7"/>
    <w:rsid w:val="00A538CF"/>
    <w:rsid w:val="00A53B0E"/>
    <w:rsid w:val="00A5439A"/>
    <w:rsid w:val="00A54564"/>
    <w:rsid w:val="00A545B0"/>
    <w:rsid w:val="00A5484C"/>
    <w:rsid w:val="00A54F1A"/>
    <w:rsid w:val="00A550B5"/>
    <w:rsid w:val="00A552AB"/>
    <w:rsid w:val="00A556AE"/>
    <w:rsid w:val="00A55A21"/>
    <w:rsid w:val="00A55CBA"/>
    <w:rsid w:val="00A56278"/>
    <w:rsid w:val="00A562BE"/>
    <w:rsid w:val="00A56ADF"/>
    <w:rsid w:val="00A576E9"/>
    <w:rsid w:val="00A57928"/>
    <w:rsid w:val="00A57A88"/>
    <w:rsid w:val="00A60736"/>
    <w:rsid w:val="00A60CD5"/>
    <w:rsid w:val="00A60CF1"/>
    <w:rsid w:val="00A60E14"/>
    <w:rsid w:val="00A61632"/>
    <w:rsid w:val="00A624D5"/>
    <w:rsid w:val="00A6260E"/>
    <w:rsid w:val="00A6283D"/>
    <w:rsid w:val="00A64369"/>
    <w:rsid w:val="00A64F07"/>
    <w:rsid w:val="00A655ED"/>
    <w:rsid w:val="00A65610"/>
    <w:rsid w:val="00A656A0"/>
    <w:rsid w:val="00A65887"/>
    <w:rsid w:val="00A65FB9"/>
    <w:rsid w:val="00A66846"/>
    <w:rsid w:val="00A66AEA"/>
    <w:rsid w:val="00A66C86"/>
    <w:rsid w:val="00A66F7E"/>
    <w:rsid w:val="00A675E2"/>
    <w:rsid w:val="00A6772C"/>
    <w:rsid w:val="00A67F11"/>
    <w:rsid w:val="00A7079C"/>
    <w:rsid w:val="00A70FAE"/>
    <w:rsid w:val="00A71AE9"/>
    <w:rsid w:val="00A71C5C"/>
    <w:rsid w:val="00A71ED9"/>
    <w:rsid w:val="00A720AD"/>
    <w:rsid w:val="00A72284"/>
    <w:rsid w:val="00A725A8"/>
    <w:rsid w:val="00A72878"/>
    <w:rsid w:val="00A72F19"/>
    <w:rsid w:val="00A74617"/>
    <w:rsid w:val="00A74624"/>
    <w:rsid w:val="00A747F4"/>
    <w:rsid w:val="00A74829"/>
    <w:rsid w:val="00A74B23"/>
    <w:rsid w:val="00A74BC5"/>
    <w:rsid w:val="00A7534F"/>
    <w:rsid w:val="00A7565D"/>
    <w:rsid w:val="00A759F0"/>
    <w:rsid w:val="00A75A3C"/>
    <w:rsid w:val="00A76122"/>
    <w:rsid w:val="00A761D8"/>
    <w:rsid w:val="00A7744E"/>
    <w:rsid w:val="00A77837"/>
    <w:rsid w:val="00A779DE"/>
    <w:rsid w:val="00A77A28"/>
    <w:rsid w:val="00A77DC6"/>
    <w:rsid w:val="00A77F4B"/>
    <w:rsid w:val="00A80B34"/>
    <w:rsid w:val="00A80CBA"/>
    <w:rsid w:val="00A80F4F"/>
    <w:rsid w:val="00A8127F"/>
    <w:rsid w:val="00A8193C"/>
    <w:rsid w:val="00A81B77"/>
    <w:rsid w:val="00A820E0"/>
    <w:rsid w:val="00A82688"/>
    <w:rsid w:val="00A82854"/>
    <w:rsid w:val="00A82C9A"/>
    <w:rsid w:val="00A82F5C"/>
    <w:rsid w:val="00A8378B"/>
    <w:rsid w:val="00A83FA9"/>
    <w:rsid w:val="00A844E8"/>
    <w:rsid w:val="00A846E6"/>
    <w:rsid w:val="00A848B0"/>
    <w:rsid w:val="00A85097"/>
    <w:rsid w:val="00A85109"/>
    <w:rsid w:val="00A85625"/>
    <w:rsid w:val="00A8594F"/>
    <w:rsid w:val="00A85BCC"/>
    <w:rsid w:val="00A85D6E"/>
    <w:rsid w:val="00A85E14"/>
    <w:rsid w:val="00A85FEA"/>
    <w:rsid w:val="00A86168"/>
    <w:rsid w:val="00A861C8"/>
    <w:rsid w:val="00A87B62"/>
    <w:rsid w:val="00A87BA3"/>
    <w:rsid w:val="00A87CCA"/>
    <w:rsid w:val="00A911C6"/>
    <w:rsid w:val="00A91B3D"/>
    <w:rsid w:val="00A91CFE"/>
    <w:rsid w:val="00A9289A"/>
    <w:rsid w:val="00A92A0F"/>
    <w:rsid w:val="00A92D3A"/>
    <w:rsid w:val="00A93466"/>
    <w:rsid w:val="00A93541"/>
    <w:rsid w:val="00A93C3A"/>
    <w:rsid w:val="00A94469"/>
    <w:rsid w:val="00A94512"/>
    <w:rsid w:val="00A9486A"/>
    <w:rsid w:val="00A95393"/>
    <w:rsid w:val="00A95410"/>
    <w:rsid w:val="00A95867"/>
    <w:rsid w:val="00A95F73"/>
    <w:rsid w:val="00A9668F"/>
    <w:rsid w:val="00A96902"/>
    <w:rsid w:val="00A96E67"/>
    <w:rsid w:val="00A973DF"/>
    <w:rsid w:val="00A97DDE"/>
    <w:rsid w:val="00AA0DD2"/>
    <w:rsid w:val="00AA0EFE"/>
    <w:rsid w:val="00AA226D"/>
    <w:rsid w:val="00AA258D"/>
    <w:rsid w:val="00AA2622"/>
    <w:rsid w:val="00AA2DA3"/>
    <w:rsid w:val="00AA304E"/>
    <w:rsid w:val="00AA369A"/>
    <w:rsid w:val="00AA4088"/>
    <w:rsid w:val="00AA4137"/>
    <w:rsid w:val="00AA4A37"/>
    <w:rsid w:val="00AA4CA1"/>
    <w:rsid w:val="00AA4DA0"/>
    <w:rsid w:val="00AA4E8B"/>
    <w:rsid w:val="00AA503E"/>
    <w:rsid w:val="00AA5C69"/>
    <w:rsid w:val="00AA5FC2"/>
    <w:rsid w:val="00AA6022"/>
    <w:rsid w:val="00AA67C6"/>
    <w:rsid w:val="00AA6F17"/>
    <w:rsid w:val="00AA6F8A"/>
    <w:rsid w:val="00AA7871"/>
    <w:rsid w:val="00AA7902"/>
    <w:rsid w:val="00AA7AFB"/>
    <w:rsid w:val="00AB0E00"/>
    <w:rsid w:val="00AB15CB"/>
    <w:rsid w:val="00AB1837"/>
    <w:rsid w:val="00AB18A9"/>
    <w:rsid w:val="00AB192B"/>
    <w:rsid w:val="00AB1F21"/>
    <w:rsid w:val="00AB21CD"/>
    <w:rsid w:val="00AB222D"/>
    <w:rsid w:val="00AB22AF"/>
    <w:rsid w:val="00AB2812"/>
    <w:rsid w:val="00AB2982"/>
    <w:rsid w:val="00AB299C"/>
    <w:rsid w:val="00AB2A05"/>
    <w:rsid w:val="00AB2EE2"/>
    <w:rsid w:val="00AB3377"/>
    <w:rsid w:val="00AB3640"/>
    <w:rsid w:val="00AB3AA2"/>
    <w:rsid w:val="00AB3B16"/>
    <w:rsid w:val="00AB435E"/>
    <w:rsid w:val="00AB462D"/>
    <w:rsid w:val="00AB568B"/>
    <w:rsid w:val="00AB5849"/>
    <w:rsid w:val="00AB5D55"/>
    <w:rsid w:val="00AB68EB"/>
    <w:rsid w:val="00AB6B03"/>
    <w:rsid w:val="00AB6CF7"/>
    <w:rsid w:val="00AB7077"/>
    <w:rsid w:val="00AB7871"/>
    <w:rsid w:val="00AB7924"/>
    <w:rsid w:val="00AC0584"/>
    <w:rsid w:val="00AC06E1"/>
    <w:rsid w:val="00AC1434"/>
    <w:rsid w:val="00AC1794"/>
    <w:rsid w:val="00AC18DF"/>
    <w:rsid w:val="00AC19AF"/>
    <w:rsid w:val="00AC19E6"/>
    <w:rsid w:val="00AC2231"/>
    <w:rsid w:val="00AC29AB"/>
    <w:rsid w:val="00AC2A01"/>
    <w:rsid w:val="00AC2B00"/>
    <w:rsid w:val="00AC329C"/>
    <w:rsid w:val="00AC4078"/>
    <w:rsid w:val="00AC4969"/>
    <w:rsid w:val="00AC4974"/>
    <w:rsid w:val="00AC4D79"/>
    <w:rsid w:val="00AC53E3"/>
    <w:rsid w:val="00AC540A"/>
    <w:rsid w:val="00AC55BD"/>
    <w:rsid w:val="00AC567E"/>
    <w:rsid w:val="00AC5A60"/>
    <w:rsid w:val="00AC5EA3"/>
    <w:rsid w:val="00AC605B"/>
    <w:rsid w:val="00AC608E"/>
    <w:rsid w:val="00AC639E"/>
    <w:rsid w:val="00AC686A"/>
    <w:rsid w:val="00AC6E18"/>
    <w:rsid w:val="00AC6F4C"/>
    <w:rsid w:val="00AC77EB"/>
    <w:rsid w:val="00AC7C0F"/>
    <w:rsid w:val="00AC7E4D"/>
    <w:rsid w:val="00AC7FE5"/>
    <w:rsid w:val="00AD0346"/>
    <w:rsid w:val="00AD0508"/>
    <w:rsid w:val="00AD0DFB"/>
    <w:rsid w:val="00AD0F77"/>
    <w:rsid w:val="00AD1059"/>
    <w:rsid w:val="00AD13DA"/>
    <w:rsid w:val="00AD142E"/>
    <w:rsid w:val="00AD1F4B"/>
    <w:rsid w:val="00AD212D"/>
    <w:rsid w:val="00AD21CF"/>
    <w:rsid w:val="00AD28CF"/>
    <w:rsid w:val="00AD2907"/>
    <w:rsid w:val="00AD3696"/>
    <w:rsid w:val="00AD3722"/>
    <w:rsid w:val="00AD3971"/>
    <w:rsid w:val="00AD3B19"/>
    <w:rsid w:val="00AD5836"/>
    <w:rsid w:val="00AD611C"/>
    <w:rsid w:val="00AE0905"/>
    <w:rsid w:val="00AE0BA8"/>
    <w:rsid w:val="00AE1991"/>
    <w:rsid w:val="00AE1DDF"/>
    <w:rsid w:val="00AE2741"/>
    <w:rsid w:val="00AE2CFF"/>
    <w:rsid w:val="00AE30AE"/>
    <w:rsid w:val="00AE318A"/>
    <w:rsid w:val="00AE327F"/>
    <w:rsid w:val="00AE3857"/>
    <w:rsid w:val="00AE3987"/>
    <w:rsid w:val="00AE3BF6"/>
    <w:rsid w:val="00AE3DF7"/>
    <w:rsid w:val="00AE407A"/>
    <w:rsid w:val="00AE436C"/>
    <w:rsid w:val="00AE4BE3"/>
    <w:rsid w:val="00AE4CCD"/>
    <w:rsid w:val="00AE4D81"/>
    <w:rsid w:val="00AE4FB1"/>
    <w:rsid w:val="00AE50D7"/>
    <w:rsid w:val="00AE53FA"/>
    <w:rsid w:val="00AE59BB"/>
    <w:rsid w:val="00AE5A07"/>
    <w:rsid w:val="00AE6157"/>
    <w:rsid w:val="00AE74EA"/>
    <w:rsid w:val="00AE75D5"/>
    <w:rsid w:val="00AE7863"/>
    <w:rsid w:val="00AE7CAE"/>
    <w:rsid w:val="00AF0064"/>
    <w:rsid w:val="00AF117D"/>
    <w:rsid w:val="00AF1618"/>
    <w:rsid w:val="00AF164A"/>
    <w:rsid w:val="00AF16A8"/>
    <w:rsid w:val="00AF1759"/>
    <w:rsid w:val="00AF1B0B"/>
    <w:rsid w:val="00AF3732"/>
    <w:rsid w:val="00AF37F1"/>
    <w:rsid w:val="00AF426A"/>
    <w:rsid w:val="00AF46DE"/>
    <w:rsid w:val="00AF4C6E"/>
    <w:rsid w:val="00AF518A"/>
    <w:rsid w:val="00AF55AC"/>
    <w:rsid w:val="00AF5E28"/>
    <w:rsid w:val="00AF6116"/>
    <w:rsid w:val="00AF634A"/>
    <w:rsid w:val="00AF6677"/>
    <w:rsid w:val="00AF66E5"/>
    <w:rsid w:val="00AF692D"/>
    <w:rsid w:val="00AF6A65"/>
    <w:rsid w:val="00AF6C70"/>
    <w:rsid w:val="00AF6F59"/>
    <w:rsid w:val="00AF767A"/>
    <w:rsid w:val="00B00E39"/>
    <w:rsid w:val="00B00EA0"/>
    <w:rsid w:val="00B00FF8"/>
    <w:rsid w:val="00B0115E"/>
    <w:rsid w:val="00B018DC"/>
    <w:rsid w:val="00B01C07"/>
    <w:rsid w:val="00B02AD8"/>
    <w:rsid w:val="00B02D75"/>
    <w:rsid w:val="00B02DE5"/>
    <w:rsid w:val="00B02E17"/>
    <w:rsid w:val="00B03652"/>
    <w:rsid w:val="00B0366A"/>
    <w:rsid w:val="00B03801"/>
    <w:rsid w:val="00B03EB1"/>
    <w:rsid w:val="00B04B5E"/>
    <w:rsid w:val="00B05185"/>
    <w:rsid w:val="00B057CB"/>
    <w:rsid w:val="00B058AE"/>
    <w:rsid w:val="00B05A45"/>
    <w:rsid w:val="00B05B0E"/>
    <w:rsid w:val="00B05E32"/>
    <w:rsid w:val="00B06941"/>
    <w:rsid w:val="00B06D0F"/>
    <w:rsid w:val="00B06F90"/>
    <w:rsid w:val="00B07044"/>
    <w:rsid w:val="00B07CEE"/>
    <w:rsid w:val="00B10207"/>
    <w:rsid w:val="00B108BD"/>
    <w:rsid w:val="00B10B43"/>
    <w:rsid w:val="00B11036"/>
    <w:rsid w:val="00B11B8E"/>
    <w:rsid w:val="00B123C6"/>
    <w:rsid w:val="00B126FE"/>
    <w:rsid w:val="00B1275C"/>
    <w:rsid w:val="00B12AAF"/>
    <w:rsid w:val="00B134F5"/>
    <w:rsid w:val="00B13E06"/>
    <w:rsid w:val="00B13E4D"/>
    <w:rsid w:val="00B14257"/>
    <w:rsid w:val="00B14293"/>
    <w:rsid w:val="00B147FE"/>
    <w:rsid w:val="00B152D6"/>
    <w:rsid w:val="00B15B10"/>
    <w:rsid w:val="00B16CC5"/>
    <w:rsid w:val="00B17A76"/>
    <w:rsid w:val="00B20C1D"/>
    <w:rsid w:val="00B20D0C"/>
    <w:rsid w:val="00B21198"/>
    <w:rsid w:val="00B21524"/>
    <w:rsid w:val="00B22977"/>
    <w:rsid w:val="00B22A26"/>
    <w:rsid w:val="00B22A34"/>
    <w:rsid w:val="00B22DA4"/>
    <w:rsid w:val="00B22E66"/>
    <w:rsid w:val="00B22F8F"/>
    <w:rsid w:val="00B23670"/>
    <w:rsid w:val="00B23718"/>
    <w:rsid w:val="00B23B42"/>
    <w:rsid w:val="00B23FA0"/>
    <w:rsid w:val="00B24A0F"/>
    <w:rsid w:val="00B258AC"/>
    <w:rsid w:val="00B264FE"/>
    <w:rsid w:val="00B26AFD"/>
    <w:rsid w:val="00B26CF1"/>
    <w:rsid w:val="00B26D98"/>
    <w:rsid w:val="00B26E7A"/>
    <w:rsid w:val="00B26ED3"/>
    <w:rsid w:val="00B27453"/>
    <w:rsid w:val="00B27DDD"/>
    <w:rsid w:val="00B27EBA"/>
    <w:rsid w:val="00B3030B"/>
    <w:rsid w:val="00B308DC"/>
    <w:rsid w:val="00B30B51"/>
    <w:rsid w:val="00B312C1"/>
    <w:rsid w:val="00B319D0"/>
    <w:rsid w:val="00B31D56"/>
    <w:rsid w:val="00B31FC0"/>
    <w:rsid w:val="00B3208F"/>
    <w:rsid w:val="00B32285"/>
    <w:rsid w:val="00B34063"/>
    <w:rsid w:val="00B341D2"/>
    <w:rsid w:val="00B34719"/>
    <w:rsid w:val="00B34BAD"/>
    <w:rsid w:val="00B34C28"/>
    <w:rsid w:val="00B35B70"/>
    <w:rsid w:val="00B35DD7"/>
    <w:rsid w:val="00B3635E"/>
    <w:rsid w:val="00B36366"/>
    <w:rsid w:val="00B36420"/>
    <w:rsid w:val="00B365CB"/>
    <w:rsid w:val="00B36656"/>
    <w:rsid w:val="00B3679F"/>
    <w:rsid w:val="00B36EB2"/>
    <w:rsid w:val="00B36F7A"/>
    <w:rsid w:val="00B40D26"/>
    <w:rsid w:val="00B40F25"/>
    <w:rsid w:val="00B41466"/>
    <w:rsid w:val="00B418AD"/>
    <w:rsid w:val="00B42DAE"/>
    <w:rsid w:val="00B42FFE"/>
    <w:rsid w:val="00B432ED"/>
    <w:rsid w:val="00B43EBF"/>
    <w:rsid w:val="00B43F72"/>
    <w:rsid w:val="00B44156"/>
    <w:rsid w:val="00B44277"/>
    <w:rsid w:val="00B449A1"/>
    <w:rsid w:val="00B4506A"/>
    <w:rsid w:val="00B4535D"/>
    <w:rsid w:val="00B463AC"/>
    <w:rsid w:val="00B4647C"/>
    <w:rsid w:val="00B4662C"/>
    <w:rsid w:val="00B466C2"/>
    <w:rsid w:val="00B467E6"/>
    <w:rsid w:val="00B4684D"/>
    <w:rsid w:val="00B4684F"/>
    <w:rsid w:val="00B47C0B"/>
    <w:rsid w:val="00B47CC0"/>
    <w:rsid w:val="00B47F36"/>
    <w:rsid w:val="00B501D0"/>
    <w:rsid w:val="00B505FD"/>
    <w:rsid w:val="00B50688"/>
    <w:rsid w:val="00B50933"/>
    <w:rsid w:val="00B50C4A"/>
    <w:rsid w:val="00B51106"/>
    <w:rsid w:val="00B514FE"/>
    <w:rsid w:val="00B5286B"/>
    <w:rsid w:val="00B528FC"/>
    <w:rsid w:val="00B52E10"/>
    <w:rsid w:val="00B5392D"/>
    <w:rsid w:val="00B54030"/>
    <w:rsid w:val="00B5462B"/>
    <w:rsid w:val="00B54A6E"/>
    <w:rsid w:val="00B54B80"/>
    <w:rsid w:val="00B55421"/>
    <w:rsid w:val="00B55898"/>
    <w:rsid w:val="00B55A67"/>
    <w:rsid w:val="00B560E9"/>
    <w:rsid w:val="00B5712D"/>
    <w:rsid w:val="00B5721F"/>
    <w:rsid w:val="00B5768B"/>
    <w:rsid w:val="00B5781E"/>
    <w:rsid w:val="00B57B2F"/>
    <w:rsid w:val="00B601AB"/>
    <w:rsid w:val="00B60B47"/>
    <w:rsid w:val="00B61232"/>
    <w:rsid w:val="00B614F0"/>
    <w:rsid w:val="00B61667"/>
    <w:rsid w:val="00B6181F"/>
    <w:rsid w:val="00B620BC"/>
    <w:rsid w:val="00B625E1"/>
    <w:rsid w:val="00B6324D"/>
    <w:rsid w:val="00B633AF"/>
    <w:rsid w:val="00B6368A"/>
    <w:rsid w:val="00B638C1"/>
    <w:rsid w:val="00B63B0E"/>
    <w:rsid w:val="00B646B7"/>
    <w:rsid w:val="00B64BD6"/>
    <w:rsid w:val="00B64C54"/>
    <w:rsid w:val="00B64C90"/>
    <w:rsid w:val="00B6509D"/>
    <w:rsid w:val="00B6515E"/>
    <w:rsid w:val="00B65961"/>
    <w:rsid w:val="00B65E38"/>
    <w:rsid w:val="00B661B3"/>
    <w:rsid w:val="00B66238"/>
    <w:rsid w:val="00B66795"/>
    <w:rsid w:val="00B66A9F"/>
    <w:rsid w:val="00B66CE5"/>
    <w:rsid w:val="00B674D1"/>
    <w:rsid w:val="00B67B9D"/>
    <w:rsid w:val="00B67DF9"/>
    <w:rsid w:val="00B706A1"/>
    <w:rsid w:val="00B70B24"/>
    <w:rsid w:val="00B70B89"/>
    <w:rsid w:val="00B71606"/>
    <w:rsid w:val="00B71672"/>
    <w:rsid w:val="00B71996"/>
    <w:rsid w:val="00B71A1D"/>
    <w:rsid w:val="00B71D03"/>
    <w:rsid w:val="00B722E3"/>
    <w:rsid w:val="00B725EE"/>
    <w:rsid w:val="00B7269E"/>
    <w:rsid w:val="00B72815"/>
    <w:rsid w:val="00B730BB"/>
    <w:rsid w:val="00B73171"/>
    <w:rsid w:val="00B732DA"/>
    <w:rsid w:val="00B7338B"/>
    <w:rsid w:val="00B733B1"/>
    <w:rsid w:val="00B7354A"/>
    <w:rsid w:val="00B743D6"/>
    <w:rsid w:val="00B74D18"/>
    <w:rsid w:val="00B74E74"/>
    <w:rsid w:val="00B75315"/>
    <w:rsid w:val="00B756D3"/>
    <w:rsid w:val="00B75B27"/>
    <w:rsid w:val="00B75FA5"/>
    <w:rsid w:val="00B75FF3"/>
    <w:rsid w:val="00B760A7"/>
    <w:rsid w:val="00B762D2"/>
    <w:rsid w:val="00B76596"/>
    <w:rsid w:val="00B76C31"/>
    <w:rsid w:val="00B76CB5"/>
    <w:rsid w:val="00B77226"/>
    <w:rsid w:val="00B77633"/>
    <w:rsid w:val="00B77AFA"/>
    <w:rsid w:val="00B77DCB"/>
    <w:rsid w:val="00B77FAB"/>
    <w:rsid w:val="00B77FD8"/>
    <w:rsid w:val="00B80305"/>
    <w:rsid w:val="00B80CE2"/>
    <w:rsid w:val="00B80F22"/>
    <w:rsid w:val="00B8115B"/>
    <w:rsid w:val="00B81930"/>
    <w:rsid w:val="00B827A1"/>
    <w:rsid w:val="00B8411B"/>
    <w:rsid w:val="00B843FA"/>
    <w:rsid w:val="00B84875"/>
    <w:rsid w:val="00B84947"/>
    <w:rsid w:val="00B850BB"/>
    <w:rsid w:val="00B850E4"/>
    <w:rsid w:val="00B8555E"/>
    <w:rsid w:val="00B85799"/>
    <w:rsid w:val="00B86803"/>
    <w:rsid w:val="00B86867"/>
    <w:rsid w:val="00B86D5D"/>
    <w:rsid w:val="00B8781D"/>
    <w:rsid w:val="00B87BAE"/>
    <w:rsid w:val="00B87DCA"/>
    <w:rsid w:val="00B87F60"/>
    <w:rsid w:val="00B90A77"/>
    <w:rsid w:val="00B90F37"/>
    <w:rsid w:val="00B9104A"/>
    <w:rsid w:val="00B913D1"/>
    <w:rsid w:val="00B9167E"/>
    <w:rsid w:val="00B91698"/>
    <w:rsid w:val="00B917D7"/>
    <w:rsid w:val="00B9182F"/>
    <w:rsid w:val="00B919F7"/>
    <w:rsid w:val="00B91C77"/>
    <w:rsid w:val="00B91FA9"/>
    <w:rsid w:val="00B9220D"/>
    <w:rsid w:val="00B92F32"/>
    <w:rsid w:val="00B92F44"/>
    <w:rsid w:val="00B93174"/>
    <w:rsid w:val="00B93AA0"/>
    <w:rsid w:val="00B93EDE"/>
    <w:rsid w:val="00B940D2"/>
    <w:rsid w:val="00B94414"/>
    <w:rsid w:val="00B9463E"/>
    <w:rsid w:val="00B95456"/>
    <w:rsid w:val="00B95520"/>
    <w:rsid w:val="00B95817"/>
    <w:rsid w:val="00B9616E"/>
    <w:rsid w:val="00B9620D"/>
    <w:rsid w:val="00B96356"/>
    <w:rsid w:val="00B9696C"/>
    <w:rsid w:val="00B97855"/>
    <w:rsid w:val="00B9786F"/>
    <w:rsid w:val="00BA02EC"/>
    <w:rsid w:val="00BA0A19"/>
    <w:rsid w:val="00BA0EB5"/>
    <w:rsid w:val="00BA0FA4"/>
    <w:rsid w:val="00BA100B"/>
    <w:rsid w:val="00BA1043"/>
    <w:rsid w:val="00BA1A70"/>
    <w:rsid w:val="00BA1C22"/>
    <w:rsid w:val="00BA1C59"/>
    <w:rsid w:val="00BA1DAB"/>
    <w:rsid w:val="00BA1EAC"/>
    <w:rsid w:val="00BA1F9A"/>
    <w:rsid w:val="00BA2230"/>
    <w:rsid w:val="00BA2674"/>
    <w:rsid w:val="00BA26E5"/>
    <w:rsid w:val="00BA2CC3"/>
    <w:rsid w:val="00BA2D13"/>
    <w:rsid w:val="00BA368B"/>
    <w:rsid w:val="00BA3B97"/>
    <w:rsid w:val="00BA41D8"/>
    <w:rsid w:val="00BA456C"/>
    <w:rsid w:val="00BA47BE"/>
    <w:rsid w:val="00BA5499"/>
    <w:rsid w:val="00BA5C40"/>
    <w:rsid w:val="00BA5CDF"/>
    <w:rsid w:val="00BA601E"/>
    <w:rsid w:val="00BA6A35"/>
    <w:rsid w:val="00BA6D01"/>
    <w:rsid w:val="00BA717B"/>
    <w:rsid w:val="00BA7249"/>
    <w:rsid w:val="00BA7B43"/>
    <w:rsid w:val="00BB0BD6"/>
    <w:rsid w:val="00BB13D8"/>
    <w:rsid w:val="00BB144E"/>
    <w:rsid w:val="00BB191A"/>
    <w:rsid w:val="00BB24BE"/>
    <w:rsid w:val="00BB2B42"/>
    <w:rsid w:val="00BB355A"/>
    <w:rsid w:val="00BB37CF"/>
    <w:rsid w:val="00BB39A8"/>
    <w:rsid w:val="00BB3F7B"/>
    <w:rsid w:val="00BB4085"/>
    <w:rsid w:val="00BB4192"/>
    <w:rsid w:val="00BB47AD"/>
    <w:rsid w:val="00BB4A6A"/>
    <w:rsid w:val="00BB4C60"/>
    <w:rsid w:val="00BB5270"/>
    <w:rsid w:val="00BB5788"/>
    <w:rsid w:val="00BB57BE"/>
    <w:rsid w:val="00BB5C0A"/>
    <w:rsid w:val="00BB6D06"/>
    <w:rsid w:val="00BB7520"/>
    <w:rsid w:val="00BB7524"/>
    <w:rsid w:val="00BB7982"/>
    <w:rsid w:val="00BB7B30"/>
    <w:rsid w:val="00BB7C3A"/>
    <w:rsid w:val="00BB7C93"/>
    <w:rsid w:val="00BC03E5"/>
    <w:rsid w:val="00BC1260"/>
    <w:rsid w:val="00BC14D3"/>
    <w:rsid w:val="00BC1BE1"/>
    <w:rsid w:val="00BC2690"/>
    <w:rsid w:val="00BC2AFF"/>
    <w:rsid w:val="00BC2B94"/>
    <w:rsid w:val="00BC2CED"/>
    <w:rsid w:val="00BC2D08"/>
    <w:rsid w:val="00BC31A2"/>
    <w:rsid w:val="00BC35D4"/>
    <w:rsid w:val="00BC3671"/>
    <w:rsid w:val="00BC3C00"/>
    <w:rsid w:val="00BC4654"/>
    <w:rsid w:val="00BC47B5"/>
    <w:rsid w:val="00BC4839"/>
    <w:rsid w:val="00BC4D23"/>
    <w:rsid w:val="00BC4FA4"/>
    <w:rsid w:val="00BC54B5"/>
    <w:rsid w:val="00BC6F51"/>
    <w:rsid w:val="00BC6F8B"/>
    <w:rsid w:val="00BC7051"/>
    <w:rsid w:val="00BD04BD"/>
    <w:rsid w:val="00BD0ABD"/>
    <w:rsid w:val="00BD0B42"/>
    <w:rsid w:val="00BD0F86"/>
    <w:rsid w:val="00BD1166"/>
    <w:rsid w:val="00BD1276"/>
    <w:rsid w:val="00BD14ED"/>
    <w:rsid w:val="00BD1A17"/>
    <w:rsid w:val="00BD24E0"/>
    <w:rsid w:val="00BD2618"/>
    <w:rsid w:val="00BD2678"/>
    <w:rsid w:val="00BD2E82"/>
    <w:rsid w:val="00BD32BF"/>
    <w:rsid w:val="00BD339C"/>
    <w:rsid w:val="00BD348C"/>
    <w:rsid w:val="00BD3D88"/>
    <w:rsid w:val="00BD431F"/>
    <w:rsid w:val="00BD450C"/>
    <w:rsid w:val="00BD483D"/>
    <w:rsid w:val="00BD4993"/>
    <w:rsid w:val="00BD5C6C"/>
    <w:rsid w:val="00BD5CC9"/>
    <w:rsid w:val="00BD6130"/>
    <w:rsid w:val="00BD640F"/>
    <w:rsid w:val="00BD6ED5"/>
    <w:rsid w:val="00BD7210"/>
    <w:rsid w:val="00BD7EF6"/>
    <w:rsid w:val="00BE065D"/>
    <w:rsid w:val="00BE0A7F"/>
    <w:rsid w:val="00BE1B54"/>
    <w:rsid w:val="00BE1CE5"/>
    <w:rsid w:val="00BE1E9B"/>
    <w:rsid w:val="00BE25CB"/>
    <w:rsid w:val="00BE2FF9"/>
    <w:rsid w:val="00BE3AE9"/>
    <w:rsid w:val="00BE4557"/>
    <w:rsid w:val="00BE4902"/>
    <w:rsid w:val="00BE4A14"/>
    <w:rsid w:val="00BE4A58"/>
    <w:rsid w:val="00BE5146"/>
    <w:rsid w:val="00BE519D"/>
    <w:rsid w:val="00BE5A65"/>
    <w:rsid w:val="00BE5D45"/>
    <w:rsid w:val="00BE6009"/>
    <w:rsid w:val="00BE629B"/>
    <w:rsid w:val="00BE703C"/>
    <w:rsid w:val="00BF0007"/>
    <w:rsid w:val="00BF003C"/>
    <w:rsid w:val="00BF099F"/>
    <w:rsid w:val="00BF1303"/>
    <w:rsid w:val="00BF168C"/>
    <w:rsid w:val="00BF1792"/>
    <w:rsid w:val="00BF1DD3"/>
    <w:rsid w:val="00BF206B"/>
    <w:rsid w:val="00BF258B"/>
    <w:rsid w:val="00BF259D"/>
    <w:rsid w:val="00BF286F"/>
    <w:rsid w:val="00BF2B74"/>
    <w:rsid w:val="00BF34F6"/>
    <w:rsid w:val="00BF3F0C"/>
    <w:rsid w:val="00BF4246"/>
    <w:rsid w:val="00BF49D4"/>
    <w:rsid w:val="00BF501D"/>
    <w:rsid w:val="00BF50E0"/>
    <w:rsid w:val="00BF55C3"/>
    <w:rsid w:val="00BF5611"/>
    <w:rsid w:val="00BF5A53"/>
    <w:rsid w:val="00BF6780"/>
    <w:rsid w:val="00BF709E"/>
    <w:rsid w:val="00BF7724"/>
    <w:rsid w:val="00BF7EB3"/>
    <w:rsid w:val="00C005C4"/>
    <w:rsid w:val="00C006AB"/>
    <w:rsid w:val="00C00925"/>
    <w:rsid w:val="00C00A24"/>
    <w:rsid w:val="00C00BD1"/>
    <w:rsid w:val="00C00E38"/>
    <w:rsid w:val="00C0134C"/>
    <w:rsid w:val="00C017F7"/>
    <w:rsid w:val="00C019DC"/>
    <w:rsid w:val="00C020A9"/>
    <w:rsid w:val="00C02198"/>
    <w:rsid w:val="00C0259D"/>
    <w:rsid w:val="00C02839"/>
    <w:rsid w:val="00C02C73"/>
    <w:rsid w:val="00C02EC0"/>
    <w:rsid w:val="00C02F32"/>
    <w:rsid w:val="00C03AF5"/>
    <w:rsid w:val="00C03C85"/>
    <w:rsid w:val="00C03D13"/>
    <w:rsid w:val="00C04056"/>
    <w:rsid w:val="00C04608"/>
    <w:rsid w:val="00C04805"/>
    <w:rsid w:val="00C04BB3"/>
    <w:rsid w:val="00C04DF0"/>
    <w:rsid w:val="00C050B9"/>
    <w:rsid w:val="00C05634"/>
    <w:rsid w:val="00C057EB"/>
    <w:rsid w:val="00C059DB"/>
    <w:rsid w:val="00C06446"/>
    <w:rsid w:val="00C065B0"/>
    <w:rsid w:val="00C06FF9"/>
    <w:rsid w:val="00C0761D"/>
    <w:rsid w:val="00C077A3"/>
    <w:rsid w:val="00C078C1"/>
    <w:rsid w:val="00C079B2"/>
    <w:rsid w:val="00C104AF"/>
    <w:rsid w:val="00C1115A"/>
    <w:rsid w:val="00C11463"/>
    <w:rsid w:val="00C11CBB"/>
    <w:rsid w:val="00C126F0"/>
    <w:rsid w:val="00C129F7"/>
    <w:rsid w:val="00C12B03"/>
    <w:rsid w:val="00C12EE6"/>
    <w:rsid w:val="00C132C5"/>
    <w:rsid w:val="00C135EF"/>
    <w:rsid w:val="00C13801"/>
    <w:rsid w:val="00C13866"/>
    <w:rsid w:val="00C138A5"/>
    <w:rsid w:val="00C13F44"/>
    <w:rsid w:val="00C1452D"/>
    <w:rsid w:val="00C14AA4"/>
    <w:rsid w:val="00C14C00"/>
    <w:rsid w:val="00C14EBF"/>
    <w:rsid w:val="00C1519D"/>
    <w:rsid w:val="00C1543C"/>
    <w:rsid w:val="00C15456"/>
    <w:rsid w:val="00C15C23"/>
    <w:rsid w:val="00C15F0C"/>
    <w:rsid w:val="00C16135"/>
    <w:rsid w:val="00C16568"/>
    <w:rsid w:val="00C16606"/>
    <w:rsid w:val="00C16880"/>
    <w:rsid w:val="00C16BFD"/>
    <w:rsid w:val="00C16DBC"/>
    <w:rsid w:val="00C1719A"/>
    <w:rsid w:val="00C171E1"/>
    <w:rsid w:val="00C17343"/>
    <w:rsid w:val="00C17788"/>
    <w:rsid w:val="00C17898"/>
    <w:rsid w:val="00C17AE6"/>
    <w:rsid w:val="00C17BB1"/>
    <w:rsid w:val="00C2017B"/>
    <w:rsid w:val="00C20CB8"/>
    <w:rsid w:val="00C20DBF"/>
    <w:rsid w:val="00C2126F"/>
    <w:rsid w:val="00C21296"/>
    <w:rsid w:val="00C215AA"/>
    <w:rsid w:val="00C21CD3"/>
    <w:rsid w:val="00C21F84"/>
    <w:rsid w:val="00C222A5"/>
    <w:rsid w:val="00C22527"/>
    <w:rsid w:val="00C2283C"/>
    <w:rsid w:val="00C2294D"/>
    <w:rsid w:val="00C229C3"/>
    <w:rsid w:val="00C22B39"/>
    <w:rsid w:val="00C22F1B"/>
    <w:rsid w:val="00C22F4E"/>
    <w:rsid w:val="00C23544"/>
    <w:rsid w:val="00C23A9E"/>
    <w:rsid w:val="00C243C1"/>
    <w:rsid w:val="00C245DE"/>
    <w:rsid w:val="00C2550E"/>
    <w:rsid w:val="00C25610"/>
    <w:rsid w:val="00C25CA9"/>
    <w:rsid w:val="00C25E86"/>
    <w:rsid w:val="00C25EEE"/>
    <w:rsid w:val="00C2642C"/>
    <w:rsid w:val="00C265C9"/>
    <w:rsid w:val="00C26C1F"/>
    <w:rsid w:val="00C26C6B"/>
    <w:rsid w:val="00C273AF"/>
    <w:rsid w:val="00C27BB7"/>
    <w:rsid w:val="00C27F98"/>
    <w:rsid w:val="00C30578"/>
    <w:rsid w:val="00C31E5B"/>
    <w:rsid w:val="00C32381"/>
    <w:rsid w:val="00C32436"/>
    <w:rsid w:val="00C329E1"/>
    <w:rsid w:val="00C32A4B"/>
    <w:rsid w:val="00C32E81"/>
    <w:rsid w:val="00C330FC"/>
    <w:rsid w:val="00C3329B"/>
    <w:rsid w:val="00C33C51"/>
    <w:rsid w:val="00C33F29"/>
    <w:rsid w:val="00C342FC"/>
    <w:rsid w:val="00C34877"/>
    <w:rsid w:val="00C34DBA"/>
    <w:rsid w:val="00C352CC"/>
    <w:rsid w:val="00C3598D"/>
    <w:rsid w:val="00C36035"/>
    <w:rsid w:val="00C36CA7"/>
    <w:rsid w:val="00C371C6"/>
    <w:rsid w:val="00C377C1"/>
    <w:rsid w:val="00C40320"/>
    <w:rsid w:val="00C4041A"/>
    <w:rsid w:val="00C40ACC"/>
    <w:rsid w:val="00C40D8B"/>
    <w:rsid w:val="00C40F28"/>
    <w:rsid w:val="00C40F2A"/>
    <w:rsid w:val="00C41569"/>
    <w:rsid w:val="00C41D3B"/>
    <w:rsid w:val="00C41ECE"/>
    <w:rsid w:val="00C41FA0"/>
    <w:rsid w:val="00C41FC6"/>
    <w:rsid w:val="00C4203C"/>
    <w:rsid w:val="00C43158"/>
    <w:rsid w:val="00C4372C"/>
    <w:rsid w:val="00C4372F"/>
    <w:rsid w:val="00C439CB"/>
    <w:rsid w:val="00C43A0A"/>
    <w:rsid w:val="00C44089"/>
    <w:rsid w:val="00C4459C"/>
    <w:rsid w:val="00C449BC"/>
    <w:rsid w:val="00C44BD6"/>
    <w:rsid w:val="00C44D4D"/>
    <w:rsid w:val="00C450CC"/>
    <w:rsid w:val="00C45483"/>
    <w:rsid w:val="00C456B1"/>
    <w:rsid w:val="00C45FD1"/>
    <w:rsid w:val="00C46058"/>
    <w:rsid w:val="00C460F0"/>
    <w:rsid w:val="00C465CB"/>
    <w:rsid w:val="00C466C8"/>
    <w:rsid w:val="00C468EE"/>
    <w:rsid w:val="00C471C3"/>
    <w:rsid w:val="00C47715"/>
    <w:rsid w:val="00C50EEA"/>
    <w:rsid w:val="00C50F7C"/>
    <w:rsid w:val="00C5145C"/>
    <w:rsid w:val="00C5191D"/>
    <w:rsid w:val="00C51A18"/>
    <w:rsid w:val="00C51B9E"/>
    <w:rsid w:val="00C5205F"/>
    <w:rsid w:val="00C52391"/>
    <w:rsid w:val="00C532A9"/>
    <w:rsid w:val="00C53309"/>
    <w:rsid w:val="00C534B2"/>
    <w:rsid w:val="00C5388E"/>
    <w:rsid w:val="00C53DDD"/>
    <w:rsid w:val="00C53F3A"/>
    <w:rsid w:val="00C5447C"/>
    <w:rsid w:val="00C552FE"/>
    <w:rsid w:val="00C55449"/>
    <w:rsid w:val="00C556FE"/>
    <w:rsid w:val="00C55DC6"/>
    <w:rsid w:val="00C55ECD"/>
    <w:rsid w:val="00C56513"/>
    <w:rsid w:val="00C56750"/>
    <w:rsid w:val="00C5758E"/>
    <w:rsid w:val="00C57792"/>
    <w:rsid w:val="00C57954"/>
    <w:rsid w:val="00C57B74"/>
    <w:rsid w:val="00C602CE"/>
    <w:rsid w:val="00C6061B"/>
    <w:rsid w:val="00C60793"/>
    <w:rsid w:val="00C60F3D"/>
    <w:rsid w:val="00C6105D"/>
    <w:rsid w:val="00C61870"/>
    <w:rsid w:val="00C61DD0"/>
    <w:rsid w:val="00C62201"/>
    <w:rsid w:val="00C624EA"/>
    <w:rsid w:val="00C62523"/>
    <w:rsid w:val="00C628A0"/>
    <w:rsid w:val="00C62B22"/>
    <w:rsid w:val="00C62E4D"/>
    <w:rsid w:val="00C631E9"/>
    <w:rsid w:val="00C63D8F"/>
    <w:rsid w:val="00C64653"/>
    <w:rsid w:val="00C64CAE"/>
    <w:rsid w:val="00C64F1D"/>
    <w:rsid w:val="00C65231"/>
    <w:rsid w:val="00C65EA6"/>
    <w:rsid w:val="00C65ED7"/>
    <w:rsid w:val="00C6681C"/>
    <w:rsid w:val="00C66CD1"/>
    <w:rsid w:val="00C672AC"/>
    <w:rsid w:val="00C67350"/>
    <w:rsid w:val="00C70331"/>
    <w:rsid w:val="00C7091D"/>
    <w:rsid w:val="00C711E9"/>
    <w:rsid w:val="00C717CB"/>
    <w:rsid w:val="00C71A28"/>
    <w:rsid w:val="00C71B3E"/>
    <w:rsid w:val="00C727C8"/>
    <w:rsid w:val="00C72964"/>
    <w:rsid w:val="00C72A1E"/>
    <w:rsid w:val="00C72A8F"/>
    <w:rsid w:val="00C72B6B"/>
    <w:rsid w:val="00C72C82"/>
    <w:rsid w:val="00C73524"/>
    <w:rsid w:val="00C73853"/>
    <w:rsid w:val="00C73C1F"/>
    <w:rsid w:val="00C73C5B"/>
    <w:rsid w:val="00C73FBF"/>
    <w:rsid w:val="00C749F7"/>
    <w:rsid w:val="00C761F7"/>
    <w:rsid w:val="00C764E4"/>
    <w:rsid w:val="00C76EDC"/>
    <w:rsid w:val="00C77241"/>
    <w:rsid w:val="00C777A4"/>
    <w:rsid w:val="00C77D3C"/>
    <w:rsid w:val="00C8000D"/>
    <w:rsid w:val="00C80457"/>
    <w:rsid w:val="00C8048F"/>
    <w:rsid w:val="00C804E0"/>
    <w:rsid w:val="00C806CE"/>
    <w:rsid w:val="00C80CDE"/>
    <w:rsid w:val="00C812F5"/>
    <w:rsid w:val="00C816DF"/>
    <w:rsid w:val="00C819D4"/>
    <w:rsid w:val="00C81B70"/>
    <w:rsid w:val="00C81F5E"/>
    <w:rsid w:val="00C820FE"/>
    <w:rsid w:val="00C82406"/>
    <w:rsid w:val="00C825EC"/>
    <w:rsid w:val="00C8272F"/>
    <w:rsid w:val="00C82B94"/>
    <w:rsid w:val="00C82BA8"/>
    <w:rsid w:val="00C82C66"/>
    <w:rsid w:val="00C82E7F"/>
    <w:rsid w:val="00C834BE"/>
    <w:rsid w:val="00C83612"/>
    <w:rsid w:val="00C8368C"/>
    <w:rsid w:val="00C837C4"/>
    <w:rsid w:val="00C83C51"/>
    <w:rsid w:val="00C83D63"/>
    <w:rsid w:val="00C83D99"/>
    <w:rsid w:val="00C841FB"/>
    <w:rsid w:val="00C842A0"/>
    <w:rsid w:val="00C84DFC"/>
    <w:rsid w:val="00C85220"/>
    <w:rsid w:val="00C8544E"/>
    <w:rsid w:val="00C85455"/>
    <w:rsid w:val="00C85933"/>
    <w:rsid w:val="00C85BAD"/>
    <w:rsid w:val="00C85ECC"/>
    <w:rsid w:val="00C85FC9"/>
    <w:rsid w:val="00C863BA"/>
    <w:rsid w:val="00C8657A"/>
    <w:rsid w:val="00C86F13"/>
    <w:rsid w:val="00C874F9"/>
    <w:rsid w:val="00C87645"/>
    <w:rsid w:val="00C87FB3"/>
    <w:rsid w:val="00C90586"/>
    <w:rsid w:val="00C91756"/>
    <w:rsid w:val="00C91856"/>
    <w:rsid w:val="00C91CF7"/>
    <w:rsid w:val="00C92EFD"/>
    <w:rsid w:val="00C93A66"/>
    <w:rsid w:val="00C93D04"/>
    <w:rsid w:val="00C94494"/>
    <w:rsid w:val="00C9467B"/>
    <w:rsid w:val="00C948DF"/>
    <w:rsid w:val="00C94E0E"/>
    <w:rsid w:val="00C9555F"/>
    <w:rsid w:val="00C959EC"/>
    <w:rsid w:val="00C961E1"/>
    <w:rsid w:val="00C9620C"/>
    <w:rsid w:val="00C965B6"/>
    <w:rsid w:val="00C96A50"/>
    <w:rsid w:val="00C96C97"/>
    <w:rsid w:val="00C97232"/>
    <w:rsid w:val="00C97AB3"/>
    <w:rsid w:val="00CA02BF"/>
    <w:rsid w:val="00CA0364"/>
    <w:rsid w:val="00CA0F81"/>
    <w:rsid w:val="00CA1096"/>
    <w:rsid w:val="00CA1A38"/>
    <w:rsid w:val="00CA1D37"/>
    <w:rsid w:val="00CA20BC"/>
    <w:rsid w:val="00CA24E3"/>
    <w:rsid w:val="00CA24EA"/>
    <w:rsid w:val="00CA2EC5"/>
    <w:rsid w:val="00CA2FEB"/>
    <w:rsid w:val="00CA48F9"/>
    <w:rsid w:val="00CA4A45"/>
    <w:rsid w:val="00CA4E86"/>
    <w:rsid w:val="00CA4FAF"/>
    <w:rsid w:val="00CA513D"/>
    <w:rsid w:val="00CA5830"/>
    <w:rsid w:val="00CA58BF"/>
    <w:rsid w:val="00CA5EA4"/>
    <w:rsid w:val="00CA64A4"/>
    <w:rsid w:val="00CA6546"/>
    <w:rsid w:val="00CA67B6"/>
    <w:rsid w:val="00CA6C5B"/>
    <w:rsid w:val="00CA6D36"/>
    <w:rsid w:val="00CA6E3E"/>
    <w:rsid w:val="00CA73BA"/>
    <w:rsid w:val="00CA7563"/>
    <w:rsid w:val="00CA7645"/>
    <w:rsid w:val="00CA7D65"/>
    <w:rsid w:val="00CA7EA2"/>
    <w:rsid w:val="00CB21B3"/>
    <w:rsid w:val="00CB2919"/>
    <w:rsid w:val="00CB2CFC"/>
    <w:rsid w:val="00CB2E9A"/>
    <w:rsid w:val="00CB3180"/>
    <w:rsid w:val="00CB3790"/>
    <w:rsid w:val="00CB3F04"/>
    <w:rsid w:val="00CB499F"/>
    <w:rsid w:val="00CB4B22"/>
    <w:rsid w:val="00CB5713"/>
    <w:rsid w:val="00CB5B3D"/>
    <w:rsid w:val="00CB60DA"/>
    <w:rsid w:val="00CB633B"/>
    <w:rsid w:val="00CB6B5F"/>
    <w:rsid w:val="00CB6EAE"/>
    <w:rsid w:val="00CB7100"/>
    <w:rsid w:val="00CB7CA1"/>
    <w:rsid w:val="00CC1B45"/>
    <w:rsid w:val="00CC1D8C"/>
    <w:rsid w:val="00CC1F67"/>
    <w:rsid w:val="00CC249B"/>
    <w:rsid w:val="00CC2D22"/>
    <w:rsid w:val="00CC3789"/>
    <w:rsid w:val="00CC37C3"/>
    <w:rsid w:val="00CC3962"/>
    <w:rsid w:val="00CC39BD"/>
    <w:rsid w:val="00CC4587"/>
    <w:rsid w:val="00CC4663"/>
    <w:rsid w:val="00CC4DD6"/>
    <w:rsid w:val="00CC68A5"/>
    <w:rsid w:val="00CC68C1"/>
    <w:rsid w:val="00CC6940"/>
    <w:rsid w:val="00CC6C11"/>
    <w:rsid w:val="00CC764B"/>
    <w:rsid w:val="00CC7821"/>
    <w:rsid w:val="00CC7942"/>
    <w:rsid w:val="00CC7CC7"/>
    <w:rsid w:val="00CC7FF2"/>
    <w:rsid w:val="00CD0792"/>
    <w:rsid w:val="00CD0C62"/>
    <w:rsid w:val="00CD0CA2"/>
    <w:rsid w:val="00CD1006"/>
    <w:rsid w:val="00CD16AA"/>
    <w:rsid w:val="00CD182A"/>
    <w:rsid w:val="00CD1BA0"/>
    <w:rsid w:val="00CD1DAD"/>
    <w:rsid w:val="00CD2AB4"/>
    <w:rsid w:val="00CD2FD3"/>
    <w:rsid w:val="00CD3041"/>
    <w:rsid w:val="00CD36C8"/>
    <w:rsid w:val="00CD3ADD"/>
    <w:rsid w:val="00CD3BF7"/>
    <w:rsid w:val="00CD3FCC"/>
    <w:rsid w:val="00CD3FD8"/>
    <w:rsid w:val="00CD44CB"/>
    <w:rsid w:val="00CD455C"/>
    <w:rsid w:val="00CD47BE"/>
    <w:rsid w:val="00CD68C5"/>
    <w:rsid w:val="00CD6C4D"/>
    <w:rsid w:val="00CD7290"/>
    <w:rsid w:val="00CD773C"/>
    <w:rsid w:val="00CE0564"/>
    <w:rsid w:val="00CE0670"/>
    <w:rsid w:val="00CE0F2F"/>
    <w:rsid w:val="00CE1844"/>
    <w:rsid w:val="00CE1BE3"/>
    <w:rsid w:val="00CE24AE"/>
    <w:rsid w:val="00CE25D1"/>
    <w:rsid w:val="00CE2833"/>
    <w:rsid w:val="00CE2CC5"/>
    <w:rsid w:val="00CE2DCE"/>
    <w:rsid w:val="00CE2F3F"/>
    <w:rsid w:val="00CE30AC"/>
    <w:rsid w:val="00CE398B"/>
    <w:rsid w:val="00CE44A2"/>
    <w:rsid w:val="00CE48B5"/>
    <w:rsid w:val="00CE4915"/>
    <w:rsid w:val="00CE4DEC"/>
    <w:rsid w:val="00CE5075"/>
    <w:rsid w:val="00CE50D4"/>
    <w:rsid w:val="00CE52B8"/>
    <w:rsid w:val="00CE5388"/>
    <w:rsid w:val="00CE5699"/>
    <w:rsid w:val="00CE56B9"/>
    <w:rsid w:val="00CE5A25"/>
    <w:rsid w:val="00CE5CEB"/>
    <w:rsid w:val="00CE5D3A"/>
    <w:rsid w:val="00CE6330"/>
    <w:rsid w:val="00CE682C"/>
    <w:rsid w:val="00CE6C56"/>
    <w:rsid w:val="00CE71C8"/>
    <w:rsid w:val="00CE7CE8"/>
    <w:rsid w:val="00CE7EF2"/>
    <w:rsid w:val="00CF0BCE"/>
    <w:rsid w:val="00CF0FE8"/>
    <w:rsid w:val="00CF123B"/>
    <w:rsid w:val="00CF1DE3"/>
    <w:rsid w:val="00CF1DF3"/>
    <w:rsid w:val="00CF1FA1"/>
    <w:rsid w:val="00CF2D13"/>
    <w:rsid w:val="00CF3977"/>
    <w:rsid w:val="00CF3AA7"/>
    <w:rsid w:val="00CF42C7"/>
    <w:rsid w:val="00CF62FC"/>
    <w:rsid w:val="00CF65E1"/>
    <w:rsid w:val="00CF72D4"/>
    <w:rsid w:val="00CF7493"/>
    <w:rsid w:val="00CF75C7"/>
    <w:rsid w:val="00CF7EE0"/>
    <w:rsid w:val="00D00447"/>
    <w:rsid w:val="00D00AD0"/>
    <w:rsid w:val="00D01092"/>
    <w:rsid w:val="00D01173"/>
    <w:rsid w:val="00D016B6"/>
    <w:rsid w:val="00D01720"/>
    <w:rsid w:val="00D017D3"/>
    <w:rsid w:val="00D019D7"/>
    <w:rsid w:val="00D01C0A"/>
    <w:rsid w:val="00D01F14"/>
    <w:rsid w:val="00D01F20"/>
    <w:rsid w:val="00D01FBF"/>
    <w:rsid w:val="00D02B15"/>
    <w:rsid w:val="00D02D10"/>
    <w:rsid w:val="00D03116"/>
    <w:rsid w:val="00D03118"/>
    <w:rsid w:val="00D048C6"/>
    <w:rsid w:val="00D04D40"/>
    <w:rsid w:val="00D04F04"/>
    <w:rsid w:val="00D04F2F"/>
    <w:rsid w:val="00D04FE0"/>
    <w:rsid w:val="00D05D8E"/>
    <w:rsid w:val="00D05E90"/>
    <w:rsid w:val="00D061E0"/>
    <w:rsid w:val="00D0685C"/>
    <w:rsid w:val="00D06960"/>
    <w:rsid w:val="00D06A72"/>
    <w:rsid w:val="00D06C3D"/>
    <w:rsid w:val="00D06CC6"/>
    <w:rsid w:val="00D06F45"/>
    <w:rsid w:val="00D072CD"/>
    <w:rsid w:val="00D077B5"/>
    <w:rsid w:val="00D07FF4"/>
    <w:rsid w:val="00D1037B"/>
    <w:rsid w:val="00D107FD"/>
    <w:rsid w:val="00D1080E"/>
    <w:rsid w:val="00D1115F"/>
    <w:rsid w:val="00D114EE"/>
    <w:rsid w:val="00D11D1F"/>
    <w:rsid w:val="00D11E85"/>
    <w:rsid w:val="00D12088"/>
    <w:rsid w:val="00D13388"/>
    <w:rsid w:val="00D13BD7"/>
    <w:rsid w:val="00D13FD7"/>
    <w:rsid w:val="00D14991"/>
    <w:rsid w:val="00D15489"/>
    <w:rsid w:val="00D15A81"/>
    <w:rsid w:val="00D15E62"/>
    <w:rsid w:val="00D15FD4"/>
    <w:rsid w:val="00D163BE"/>
    <w:rsid w:val="00D163F8"/>
    <w:rsid w:val="00D1669F"/>
    <w:rsid w:val="00D16ACD"/>
    <w:rsid w:val="00D16BF3"/>
    <w:rsid w:val="00D16DF6"/>
    <w:rsid w:val="00D172FB"/>
    <w:rsid w:val="00D1736E"/>
    <w:rsid w:val="00D20B66"/>
    <w:rsid w:val="00D211FB"/>
    <w:rsid w:val="00D21597"/>
    <w:rsid w:val="00D21D63"/>
    <w:rsid w:val="00D22058"/>
    <w:rsid w:val="00D22141"/>
    <w:rsid w:val="00D22535"/>
    <w:rsid w:val="00D236FB"/>
    <w:rsid w:val="00D23B62"/>
    <w:rsid w:val="00D24110"/>
    <w:rsid w:val="00D252FE"/>
    <w:rsid w:val="00D25D89"/>
    <w:rsid w:val="00D25E19"/>
    <w:rsid w:val="00D25E20"/>
    <w:rsid w:val="00D26569"/>
    <w:rsid w:val="00D2668B"/>
    <w:rsid w:val="00D268A7"/>
    <w:rsid w:val="00D26AB1"/>
    <w:rsid w:val="00D26E04"/>
    <w:rsid w:val="00D27052"/>
    <w:rsid w:val="00D2764E"/>
    <w:rsid w:val="00D27865"/>
    <w:rsid w:val="00D27BF1"/>
    <w:rsid w:val="00D306AE"/>
    <w:rsid w:val="00D308CD"/>
    <w:rsid w:val="00D30EC2"/>
    <w:rsid w:val="00D310C0"/>
    <w:rsid w:val="00D312BF"/>
    <w:rsid w:val="00D31525"/>
    <w:rsid w:val="00D31CCC"/>
    <w:rsid w:val="00D31DE7"/>
    <w:rsid w:val="00D31FAB"/>
    <w:rsid w:val="00D32220"/>
    <w:rsid w:val="00D3246B"/>
    <w:rsid w:val="00D32971"/>
    <w:rsid w:val="00D33912"/>
    <w:rsid w:val="00D34921"/>
    <w:rsid w:val="00D34950"/>
    <w:rsid w:val="00D353C7"/>
    <w:rsid w:val="00D356F0"/>
    <w:rsid w:val="00D360FB"/>
    <w:rsid w:val="00D36432"/>
    <w:rsid w:val="00D37048"/>
    <w:rsid w:val="00D37088"/>
    <w:rsid w:val="00D3736D"/>
    <w:rsid w:val="00D3747E"/>
    <w:rsid w:val="00D37707"/>
    <w:rsid w:val="00D401B5"/>
    <w:rsid w:val="00D403CF"/>
    <w:rsid w:val="00D40DAB"/>
    <w:rsid w:val="00D4131D"/>
    <w:rsid w:val="00D41E33"/>
    <w:rsid w:val="00D42044"/>
    <w:rsid w:val="00D4214C"/>
    <w:rsid w:val="00D4217F"/>
    <w:rsid w:val="00D421BD"/>
    <w:rsid w:val="00D42A5F"/>
    <w:rsid w:val="00D42A8A"/>
    <w:rsid w:val="00D42A8D"/>
    <w:rsid w:val="00D43177"/>
    <w:rsid w:val="00D431C6"/>
    <w:rsid w:val="00D4343D"/>
    <w:rsid w:val="00D43A1C"/>
    <w:rsid w:val="00D43A9C"/>
    <w:rsid w:val="00D43AF7"/>
    <w:rsid w:val="00D43DE8"/>
    <w:rsid w:val="00D44218"/>
    <w:rsid w:val="00D44BFC"/>
    <w:rsid w:val="00D4500C"/>
    <w:rsid w:val="00D45193"/>
    <w:rsid w:val="00D45406"/>
    <w:rsid w:val="00D455EF"/>
    <w:rsid w:val="00D456E0"/>
    <w:rsid w:val="00D457D7"/>
    <w:rsid w:val="00D460C7"/>
    <w:rsid w:val="00D46960"/>
    <w:rsid w:val="00D46F3F"/>
    <w:rsid w:val="00D46FE2"/>
    <w:rsid w:val="00D474E7"/>
    <w:rsid w:val="00D477F9"/>
    <w:rsid w:val="00D47BD9"/>
    <w:rsid w:val="00D50333"/>
    <w:rsid w:val="00D504E3"/>
    <w:rsid w:val="00D506FD"/>
    <w:rsid w:val="00D5097C"/>
    <w:rsid w:val="00D50D0A"/>
    <w:rsid w:val="00D511A2"/>
    <w:rsid w:val="00D51907"/>
    <w:rsid w:val="00D51921"/>
    <w:rsid w:val="00D5197F"/>
    <w:rsid w:val="00D52098"/>
    <w:rsid w:val="00D523B8"/>
    <w:rsid w:val="00D52534"/>
    <w:rsid w:val="00D52C66"/>
    <w:rsid w:val="00D53BFF"/>
    <w:rsid w:val="00D53DCF"/>
    <w:rsid w:val="00D542E4"/>
    <w:rsid w:val="00D54629"/>
    <w:rsid w:val="00D557C4"/>
    <w:rsid w:val="00D557CD"/>
    <w:rsid w:val="00D55C52"/>
    <w:rsid w:val="00D55D19"/>
    <w:rsid w:val="00D567F9"/>
    <w:rsid w:val="00D56A08"/>
    <w:rsid w:val="00D57A6C"/>
    <w:rsid w:val="00D604DB"/>
    <w:rsid w:val="00D604EC"/>
    <w:rsid w:val="00D605D7"/>
    <w:rsid w:val="00D617E5"/>
    <w:rsid w:val="00D61939"/>
    <w:rsid w:val="00D61E00"/>
    <w:rsid w:val="00D6219E"/>
    <w:rsid w:val="00D6224D"/>
    <w:rsid w:val="00D6234A"/>
    <w:rsid w:val="00D6244F"/>
    <w:rsid w:val="00D62463"/>
    <w:rsid w:val="00D626EC"/>
    <w:rsid w:val="00D62947"/>
    <w:rsid w:val="00D62D8C"/>
    <w:rsid w:val="00D6514C"/>
    <w:rsid w:val="00D651FF"/>
    <w:rsid w:val="00D653F4"/>
    <w:rsid w:val="00D65A1E"/>
    <w:rsid w:val="00D66330"/>
    <w:rsid w:val="00D664C7"/>
    <w:rsid w:val="00D666C9"/>
    <w:rsid w:val="00D6677E"/>
    <w:rsid w:val="00D66DD9"/>
    <w:rsid w:val="00D6732C"/>
    <w:rsid w:val="00D67884"/>
    <w:rsid w:val="00D67B2B"/>
    <w:rsid w:val="00D67C74"/>
    <w:rsid w:val="00D7029E"/>
    <w:rsid w:val="00D70985"/>
    <w:rsid w:val="00D70C1C"/>
    <w:rsid w:val="00D71506"/>
    <w:rsid w:val="00D72685"/>
    <w:rsid w:val="00D726FE"/>
    <w:rsid w:val="00D73240"/>
    <w:rsid w:val="00D73650"/>
    <w:rsid w:val="00D73C22"/>
    <w:rsid w:val="00D7420C"/>
    <w:rsid w:val="00D74486"/>
    <w:rsid w:val="00D74A9F"/>
    <w:rsid w:val="00D75824"/>
    <w:rsid w:val="00D75949"/>
    <w:rsid w:val="00D75E70"/>
    <w:rsid w:val="00D7604E"/>
    <w:rsid w:val="00D76360"/>
    <w:rsid w:val="00D7661B"/>
    <w:rsid w:val="00D76900"/>
    <w:rsid w:val="00D76DF8"/>
    <w:rsid w:val="00D77446"/>
    <w:rsid w:val="00D779D3"/>
    <w:rsid w:val="00D77D74"/>
    <w:rsid w:val="00D77EC4"/>
    <w:rsid w:val="00D800B9"/>
    <w:rsid w:val="00D8073A"/>
    <w:rsid w:val="00D80789"/>
    <w:rsid w:val="00D80C83"/>
    <w:rsid w:val="00D811FE"/>
    <w:rsid w:val="00D8176C"/>
    <w:rsid w:val="00D82197"/>
    <w:rsid w:val="00D828D1"/>
    <w:rsid w:val="00D82DE5"/>
    <w:rsid w:val="00D83C49"/>
    <w:rsid w:val="00D84003"/>
    <w:rsid w:val="00D84368"/>
    <w:rsid w:val="00D84649"/>
    <w:rsid w:val="00D84851"/>
    <w:rsid w:val="00D848CF"/>
    <w:rsid w:val="00D8547B"/>
    <w:rsid w:val="00D8576B"/>
    <w:rsid w:val="00D85D9A"/>
    <w:rsid w:val="00D86133"/>
    <w:rsid w:val="00D864CC"/>
    <w:rsid w:val="00D867A4"/>
    <w:rsid w:val="00D870AE"/>
    <w:rsid w:val="00D878A6"/>
    <w:rsid w:val="00D87D27"/>
    <w:rsid w:val="00D9060B"/>
    <w:rsid w:val="00D90BDE"/>
    <w:rsid w:val="00D90D25"/>
    <w:rsid w:val="00D915BA"/>
    <w:rsid w:val="00D91704"/>
    <w:rsid w:val="00D91E4F"/>
    <w:rsid w:val="00D92978"/>
    <w:rsid w:val="00D93814"/>
    <w:rsid w:val="00D9426F"/>
    <w:rsid w:val="00D94D07"/>
    <w:rsid w:val="00D95164"/>
    <w:rsid w:val="00D95365"/>
    <w:rsid w:val="00D954DA"/>
    <w:rsid w:val="00D95C63"/>
    <w:rsid w:val="00D95DC2"/>
    <w:rsid w:val="00D96763"/>
    <w:rsid w:val="00D9697A"/>
    <w:rsid w:val="00D97011"/>
    <w:rsid w:val="00D97CD2"/>
    <w:rsid w:val="00D97E34"/>
    <w:rsid w:val="00DA04F5"/>
    <w:rsid w:val="00DA0674"/>
    <w:rsid w:val="00DA07C0"/>
    <w:rsid w:val="00DA1171"/>
    <w:rsid w:val="00DA1344"/>
    <w:rsid w:val="00DA15E5"/>
    <w:rsid w:val="00DA1EAE"/>
    <w:rsid w:val="00DA2894"/>
    <w:rsid w:val="00DA2C3B"/>
    <w:rsid w:val="00DA2D97"/>
    <w:rsid w:val="00DA3200"/>
    <w:rsid w:val="00DA338A"/>
    <w:rsid w:val="00DA3534"/>
    <w:rsid w:val="00DA3650"/>
    <w:rsid w:val="00DA375D"/>
    <w:rsid w:val="00DA3DF5"/>
    <w:rsid w:val="00DA3EE0"/>
    <w:rsid w:val="00DA3F06"/>
    <w:rsid w:val="00DA3F11"/>
    <w:rsid w:val="00DA3F1D"/>
    <w:rsid w:val="00DA40C9"/>
    <w:rsid w:val="00DA4A60"/>
    <w:rsid w:val="00DA52A8"/>
    <w:rsid w:val="00DA5CAE"/>
    <w:rsid w:val="00DA6021"/>
    <w:rsid w:val="00DA61B4"/>
    <w:rsid w:val="00DA6369"/>
    <w:rsid w:val="00DA7354"/>
    <w:rsid w:val="00DA7C8E"/>
    <w:rsid w:val="00DA7E2B"/>
    <w:rsid w:val="00DA7F12"/>
    <w:rsid w:val="00DB0E34"/>
    <w:rsid w:val="00DB11D1"/>
    <w:rsid w:val="00DB125F"/>
    <w:rsid w:val="00DB1384"/>
    <w:rsid w:val="00DB174C"/>
    <w:rsid w:val="00DB1989"/>
    <w:rsid w:val="00DB224F"/>
    <w:rsid w:val="00DB22B1"/>
    <w:rsid w:val="00DB24E6"/>
    <w:rsid w:val="00DB33BD"/>
    <w:rsid w:val="00DB38C6"/>
    <w:rsid w:val="00DB40BE"/>
    <w:rsid w:val="00DB40BF"/>
    <w:rsid w:val="00DB4A3F"/>
    <w:rsid w:val="00DB4D34"/>
    <w:rsid w:val="00DB4F95"/>
    <w:rsid w:val="00DB5073"/>
    <w:rsid w:val="00DB5178"/>
    <w:rsid w:val="00DB53BD"/>
    <w:rsid w:val="00DB59C0"/>
    <w:rsid w:val="00DB5E48"/>
    <w:rsid w:val="00DB7963"/>
    <w:rsid w:val="00DB7EC8"/>
    <w:rsid w:val="00DC0020"/>
    <w:rsid w:val="00DC033E"/>
    <w:rsid w:val="00DC0B47"/>
    <w:rsid w:val="00DC0E4A"/>
    <w:rsid w:val="00DC1394"/>
    <w:rsid w:val="00DC1F77"/>
    <w:rsid w:val="00DC1FC9"/>
    <w:rsid w:val="00DC2228"/>
    <w:rsid w:val="00DC2A95"/>
    <w:rsid w:val="00DC3186"/>
    <w:rsid w:val="00DC351F"/>
    <w:rsid w:val="00DC36CC"/>
    <w:rsid w:val="00DC3DF2"/>
    <w:rsid w:val="00DC3E66"/>
    <w:rsid w:val="00DC413C"/>
    <w:rsid w:val="00DC42F3"/>
    <w:rsid w:val="00DC433F"/>
    <w:rsid w:val="00DC4CA4"/>
    <w:rsid w:val="00DC57DE"/>
    <w:rsid w:val="00DC5868"/>
    <w:rsid w:val="00DC598E"/>
    <w:rsid w:val="00DC5C4A"/>
    <w:rsid w:val="00DC5FCC"/>
    <w:rsid w:val="00DC64C1"/>
    <w:rsid w:val="00DC6576"/>
    <w:rsid w:val="00DC668D"/>
    <w:rsid w:val="00DC6EE4"/>
    <w:rsid w:val="00DC735D"/>
    <w:rsid w:val="00DC7A4B"/>
    <w:rsid w:val="00DC7B14"/>
    <w:rsid w:val="00DC7CC9"/>
    <w:rsid w:val="00DC7DFA"/>
    <w:rsid w:val="00DD00D2"/>
    <w:rsid w:val="00DD02A8"/>
    <w:rsid w:val="00DD081C"/>
    <w:rsid w:val="00DD0A75"/>
    <w:rsid w:val="00DD0F81"/>
    <w:rsid w:val="00DD10B3"/>
    <w:rsid w:val="00DD12D6"/>
    <w:rsid w:val="00DD192F"/>
    <w:rsid w:val="00DD1B7E"/>
    <w:rsid w:val="00DD22F9"/>
    <w:rsid w:val="00DD28DF"/>
    <w:rsid w:val="00DD34D8"/>
    <w:rsid w:val="00DD39B7"/>
    <w:rsid w:val="00DD409D"/>
    <w:rsid w:val="00DD4876"/>
    <w:rsid w:val="00DD4C54"/>
    <w:rsid w:val="00DD5518"/>
    <w:rsid w:val="00DD5642"/>
    <w:rsid w:val="00DD63D0"/>
    <w:rsid w:val="00DD765A"/>
    <w:rsid w:val="00DD7B33"/>
    <w:rsid w:val="00DE0032"/>
    <w:rsid w:val="00DE06CE"/>
    <w:rsid w:val="00DE1221"/>
    <w:rsid w:val="00DE15FF"/>
    <w:rsid w:val="00DE2640"/>
    <w:rsid w:val="00DE2DAC"/>
    <w:rsid w:val="00DE2EE5"/>
    <w:rsid w:val="00DE39AD"/>
    <w:rsid w:val="00DE4494"/>
    <w:rsid w:val="00DE4B27"/>
    <w:rsid w:val="00DE4DB7"/>
    <w:rsid w:val="00DE520C"/>
    <w:rsid w:val="00DE5519"/>
    <w:rsid w:val="00DE58C2"/>
    <w:rsid w:val="00DE58ED"/>
    <w:rsid w:val="00DE5A46"/>
    <w:rsid w:val="00DE5E3C"/>
    <w:rsid w:val="00DE63BA"/>
    <w:rsid w:val="00DE6D91"/>
    <w:rsid w:val="00DE6DB1"/>
    <w:rsid w:val="00DE6DD8"/>
    <w:rsid w:val="00DE7692"/>
    <w:rsid w:val="00DE79A3"/>
    <w:rsid w:val="00DE7FC8"/>
    <w:rsid w:val="00DF047A"/>
    <w:rsid w:val="00DF07AB"/>
    <w:rsid w:val="00DF11A7"/>
    <w:rsid w:val="00DF1667"/>
    <w:rsid w:val="00DF17AA"/>
    <w:rsid w:val="00DF22FA"/>
    <w:rsid w:val="00DF2842"/>
    <w:rsid w:val="00DF2CBB"/>
    <w:rsid w:val="00DF3013"/>
    <w:rsid w:val="00DF34B4"/>
    <w:rsid w:val="00DF366E"/>
    <w:rsid w:val="00DF36CC"/>
    <w:rsid w:val="00DF373A"/>
    <w:rsid w:val="00DF3AA3"/>
    <w:rsid w:val="00DF3AA5"/>
    <w:rsid w:val="00DF3DB3"/>
    <w:rsid w:val="00DF4817"/>
    <w:rsid w:val="00DF518C"/>
    <w:rsid w:val="00DF591D"/>
    <w:rsid w:val="00DF5F51"/>
    <w:rsid w:val="00DF60C8"/>
    <w:rsid w:val="00DF69C0"/>
    <w:rsid w:val="00DF6A0C"/>
    <w:rsid w:val="00DF6AF5"/>
    <w:rsid w:val="00DF6B3E"/>
    <w:rsid w:val="00DF6B84"/>
    <w:rsid w:val="00DF7013"/>
    <w:rsid w:val="00DF749B"/>
    <w:rsid w:val="00E00069"/>
    <w:rsid w:val="00E001AA"/>
    <w:rsid w:val="00E0029B"/>
    <w:rsid w:val="00E0037A"/>
    <w:rsid w:val="00E00518"/>
    <w:rsid w:val="00E00E16"/>
    <w:rsid w:val="00E01050"/>
    <w:rsid w:val="00E01087"/>
    <w:rsid w:val="00E01154"/>
    <w:rsid w:val="00E0134E"/>
    <w:rsid w:val="00E0162A"/>
    <w:rsid w:val="00E0186F"/>
    <w:rsid w:val="00E01A83"/>
    <w:rsid w:val="00E01F6B"/>
    <w:rsid w:val="00E02EDE"/>
    <w:rsid w:val="00E03459"/>
    <w:rsid w:val="00E03531"/>
    <w:rsid w:val="00E03BC3"/>
    <w:rsid w:val="00E03FA5"/>
    <w:rsid w:val="00E043E0"/>
    <w:rsid w:val="00E04F52"/>
    <w:rsid w:val="00E057B0"/>
    <w:rsid w:val="00E05DBD"/>
    <w:rsid w:val="00E05DE3"/>
    <w:rsid w:val="00E06129"/>
    <w:rsid w:val="00E06BE7"/>
    <w:rsid w:val="00E071AF"/>
    <w:rsid w:val="00E07845"/>
    <w:rsid w:val="00E0799A"/>
    <w:rsid w:val="00E07A2C"/>
    <w:rsid w:val="00E07E64"/>
    <w:rsid w:val="00E10007"/>
    <w:rsid w:val="00E11885"/>
    <w:rsid w:val="00E11B66"/>
    <w:rsid w:val="00E11D21"/>
    <w:rsid w:val="00E11F4C"/>
    <w:rsid w:val="00E122DA"/>
    <w:rsid w:val="00E12560"/>
    <w:rsid w:val="00E127DE"/>
    <w:rsid w:val="00E12A19"/>
    <w:rsid w:val="00E12EFD"/>
    <w:rsid w:val="00E13BA6"/>
    <w:rsid w:val="00E13D07"/>
    <w:rsid w:val="00E142A8"/>
    <w:rsid w:val="00E142F6"/>
    <w:rsid w:val="00E150F6"/>
    <w:rsid w:val="00E15355"/>
    <w:rsid w:val="00E15391"/>
    <w:rsid w:val="00E157FC"/>
    <w:rsid w:val="00E15C89"/>
    <w:rsid w:val="00E167C3"/>
    <w:rsid w:val="00E16989"/>
    <w:rsid w:val="00E175AF"/>
    <w:rsid w:val="00E17750"/>
    <w:rsid w:val="00E17CFE"/>
    <w:rsid w:val="00E17E95"/>
    <w:rsid w:val="00E20147"/>
    <w:rsid w:val="00E20195"/>
    <w:rsid w:val="00E201ED"/>
    <w:rsid w:val="00E20571"/>
    <w:rsid w:val="00E20C18"/>
    <w:rsid w:val="00E20EE4"/>
    <w:rsid w:val="00E22959"/>
    <w:rsid w:val="00E229F4"/>
    <w:rsid w:val="00E22CD9"/>
    <w:rsid w:val="00E23182"/>
    <w:rsid w:val="00E23905"/>
    <w:rsid w:val="00E24312"/>
    <w:rsid w:val="00E248FF"/>
    <w:rsid w:val="00E24F10"/>
    <w:rsid w:val="00E25CFD"/>
    <w:rsid w:val="00E25E58"/>
    <w:rsid w:val="00E26072"/>
    <w:rsid w:val="00E26C07"/>
    <w:rsid w:val="00E26E52"/>
    <w:rsid w:val="00E26FCF"/>
    <w:rsid w:val="00E27909"/>
    <w:rsid w:val="00E27F2F"/>
    <w:rsid w:val="00E305C6"/>
    <w:rsid w:val="00E30A26"/>
    <w:rsid w:val="00E30C6E"/>
    <w:rsid w:val="00E30DF2"/>
    <w:rsid w:val="00E30FCF"/>
    <w:rsid w:val="00E3126D"/>
    <w:rsid w:val="00E312C9"/>
    <w:rsid w:val="00E31589"/>
    <w:rsid w:val="00E31874"/>
    <w:rsid w:val="00E31A1C"/>
    <w:rsid w:val="00E31CDD"/>
    <w:rsid w:val="00E31EBB"/>
    <w:rsid w:val="00E326EF"/>
    <w:rsid w:val="00E32E3C"/>
    <w:rsid w:val="00E32E6A"/>
    <w:rsid w:val="00E32FB0"/>
    <w:rsid w:val="00E3335A"/>
    <w:rsid w:val="00E339D1"/>
    <w:rsid w:val="00E33FC8"/>
    <w:rsid w:val="00E343C3"/>
    <w:rsid w:val="00E34DF4"/>
    <w:rsid w:val="00E34F1E"/>
    <w:rsid w:val="00E351EC"/>
    <w:rsid w:val="00E35A3D"/>
    <w:rsid w:val="00E364B6"/>
    <w:rsid w:val="00E36B31"/>
    <w:rsid w:val="00E37D6A"/>
    <w:rsid w:val="00E40595"/>
    <w:rsid w:val="00E40CB5"/>
    <w:rsid w:val="00E4119B"/>
    <w:rsid w:val="00E4119F"/>
    <w:rsid w:val="00E41B8D"/>
    <w:rsid w:val="00E42254"/>
    <w:rsid w:val="00E423CF"/>
    <w:rsid w:val="00E4284D"/>
    <w:rsid w:val="00E4294F"/>
    <w:rsid w:val="00E42C9B"/>
    <w:rsid w:val="00E42EB8"/>
    <w:rsid w:val="00E430BF"/>
    <w:rsid w:val="00E43309"/>
    <w:rsid w:val="00E4387D"/>
    <w:rsid w:val="00E43B33"/>
    <w:rsid w:val="00E44294"/>
    <w:rsid w:val="00E44D29"/>
    <w:rsid w:val="00E44D9B"/>
    <w:rsid w:val="00E451D3"/>
    <w:rsid w:val="00E4537C"/>
    <w:rsid w:val="00E453B4"/>
    <w:rsid w:val="00E45B45"/>
    <w:rsid w:val="00E45D0F"/>
    <w:rsid w:val="00E45D14"/>
    <w:rsid w:val="00E4629D"/>
    <w:rsid w:val="00E462DE"/>
    <w:rsid w:val="00E4632D"/>
    <w:rsid w:val="00E468CC"/>
    <w:rsid w:val="00E46AAD"/>
    <w:rsid w:val="00E46F18"/>
    <w:rsid w:val="00E470A6"/>
    <w:rsid w:val="00E47A6C"/>
    <w:rsid w:val="00E47FEC"/>
    <w:rsid w:val="00E50214"/>
    <w:rsid w:val="00E50370"/>
    <w:rsid w:val="00E504CE"/>
    <w:rsid w:val="00E515D6"/>
    <w:rsid w:val="00E51AC7"/>
    <w:rsid w:val="00E51D18"/>
    <w:rsid w:val="00E51E5C"/>
    <w:rsid w:val="00E526B9"/>
    <w:rsid w:val="00E52D62"/>
    <w:rsid w:val="00E532CD"/>
    <w:rsid w:val="00E533AE"/>
    <w:rsid w:val="00E53672"/>
    <w:rsid w:val="00E53A78"/>
    <w:rsid w:val="00E54EC9"/>
    <w:rsid w:val="00E55599"/>
    <w:rsid w:val="00E5559A"/>
    <w:rsid w:val="00E555E4"/>
    <w:rsid w:val="00E55656"/>
    <w:rsid w:val="00E5576B"/>
    <w:rsid w:val="00E5698C"/>
    <w:rsid w:val="00E56BBE"/>
    <w:rsid w:val="00E57009"/>
    <w:rsid w:val="00E5701D"/>
    <w:rsid w:val="00E57160"/>
    <w:rsid w:val="00E57270"/>
    <w:rsid w:val="00E574BE"/>
    <w:rsid w:val="00E578BD"/>
    <w:rsid w:val="00E57B7F"/>
    <w:rsid w:val="00E57F37"/>
    <w:rsid w:val="00E60057"/>
    <w:rsid w:val="00E605BF"/>
    <w:rsid w:val="00E6062F"/>
    <w:rsid w:val="00E60636"/>
    <w:rsid w:val="00E608E0"/>
    <w:rsid w:val="00E60A9C"/>
    <w:rsid w:val="00E60B28"/>
    <w:rsid w:val="00E60DEB"/>
    <w:rsid w:val="00E61BD3"/>
    <w:rsid w:val="00E628AE"/>
    <w:rsid w:val="00E62A17"/>
    <w:rsid w:val="00E62AA5"/>
    <w:rsid w:val="00E64473"/>
    <w:rsid w:val="00E64AF0"/>
    <w:rsid w:val="00E65109"/>
    <w:rsid w:val="00E651B8"/>
    <w:rsid w:val="00E65547"/>
    <w:rsid w:val="00E66305"/>
    <w:rsid w:val="00E6698C"/>
    <w:rsid w:val="00E674C1"/>
    <w:rsid w:val="00E67839"/>
    <w:rsid w:val="00E67BE6"/>
    <w:rsid w:val="00E70577"/>
    <w:rsid w:val="00E70977"/>
    <w:rsid w:val="00E70C30"/>
    <w:rsid w:val="00E7150C"/>
    <w:rsid w:val="00E7168C"/>
    <w:rsid w:val="00E71738"/>
    <w:rsid w:val="00E71A6B"/>
    <w:rsid w:val="00E72173"/>
    <w:rsid w:val="00E721F5"/>
    <w:rsid w:val="00E72F91"/>
    <w:rsid w:val="00E734C3"/>
    <w:rsid w:val="00E73601"/>
    <w:rsid w:val="00E73BA3"/>
    <w:rsid w:val="00E73D10"/>
    <w:rsid w:val="00E73E75"/>
    <w:rsid w:val="00E73F73"/>
    <w:rsid w:val="00E74CBB"/>
    <w:rsid w:val="00E74D50"/>
    <w:rsid w:val="00E74FB7"/>
    <w:rsid w:val="00E757F4"/>
    <w:rsid w:val="00E758A4"/>
    <w:rsid w:val="00E75C22"/>
    <w:rsid w:val="00E75E8B"/>
    <w:rsid w:val="00E76970"/>
    <w:rsid w:val="00E77400"/>
    <w:rsid w:val="00E8063C"/>
    <w:rsid w:val="00E8078D"/>
    <w:rsid w:val="00E80795"/>
    <w:rsid w:val="00E80D1C"/>
    <w:rsid w:val="00E81B1F"/>
    <w:rsid w:val="00E81CDC"/>
    <w:rsid w:val="00E8209C"/>
    <w:rsid w:val="00E821B8"/>
    <w:rsid w:val="00E82637"/>
    <w:rsid w:val="00E826E3"/>
    <w:rsid w:val="00E82BB1"/>
    <w:rsid w:val="00E82C6E"/>
    <w:rsid w:val="00E82D2F"/>
    <w:rsid w:val="00E82E1F"/>
    <w:rsid w:val="00E83213"/>
    <w:rsid w:val="00E83630"/>
    <w:rsid w:val="00E83A11"/>
    <w:rsid w:val="00E83B57"/>
    <w:rsid w:val="00E83DB0"/>
    <w:rsid w:val="00E8429B"/>
    <w:rsid w:val="00E842A6"/>
    <w:rsid w:val="00E84D35"/>
    <w:rsid w:val="00E8547E"/>
    <w:rsid w:val="00E85820"/>
    <w:rsid w:val="00E85951"/>
    <w:rsid w:val="00E86426"/>
    <w:rsid w:val="00E864C6"/>
    <w:rsid w:val="00E864F4"/>
    <w:rsid w:val="00E865C5"/>
    <w:rsid w:val="00E87003"/>
    <w:rsid w:val="00E872BB"/>
    <w:rsid w:val="00E877C2"/>
    <w:rsid w:val="00E87936"/>
    <w:rsid w:val="00E87C71"/>
    <w:rsid w:val="00E87D0D"/>
    <w:rsid w:val="00E87D55"/>
    <w:rsid w:val="00E87EE3"/>
    <w:rsid w:val="00E87FA1"/>
    <w:rsid w:val="00E90571"/>
    <w:rsid w:val="00E90A33"/>
    <w:rsid w:val="00E90F6E"/>
    <w:rsid w:val="00E90F8D"/>
    <w:rsid w:val="00E91577"/>
    <w:rsid w:val="00E9192E"/>
    <w:rsid w:val="00E91CD9"/>
    <w:rsid w:val="00E92886"/>
    <w:rsid w:val="00E92E91"/>
    <w:rsid w:val="00E93157"/>
    <w:rsid w:val="00E931DE"/>
    <w:rsid w:val="00E93206"/>
    <w:rsid w:val="00E93BE8"/>
    <w:rsid w:val="00E9434F"/>
    <w:rsid w:val="00E94571"/>
    <w:rsid w:val="00E950BA"/>
    <w:rsid w:val="00E9564D"/>
    <w:rsid w:val="00E96487"/>
    <w:rsid w:val="00E964CA"/>
    <w:rsid w:val="00E96540"/>
    <w:rsid w:val="00E96D9A"/>
    <w:rsid w:val="00E970ED"/>
    <w:rsid w:val="00E97288"/>
    <w:rsid w:val="00E97A6A"/>
    <w:rsid w:val="00E97CE5"/>
    <w:rsid w:val="00E97FDC"/>
    <w:rsid w:val="00EA0797"/>
    <w:rsid w:val="00EA0DE7"/>
    <w:rsid w:val="00EA0F49"/>
    <w:rsid w:val="00EA0F6C"/>
    <w:rsid w:val="00EA20BF"/>
    <w:rsid w:val="00EA25D4"/>
    <w:rsid w:val="00EA3912"/>
    <w:rsid w:val="00EA3935"/>
    <w:rsid w:val="00EA3B30"/>
    <w:rsid w:val="00EA3C10"/>
    <w:rsid w:val="00EA3EB1"/>
    <w:rsid w:val="00EA3FC6"/>
    <w:rsid w:val="00EA4493"/>
    <w:rsid w:val="00EA4B80"/>
    <w:rsid w:val="00EA5702"/>
    <w:rsid w:val="00EA593C"/>
    <w:rsid w:val="00EA5945"/>
    <w:rsid w:val="00EA5946"/>
    <w:rsid w:val="00EA599B"/>
    <w:rsid w:val="00EA5AB1"/>
    <w:rsid w:val="00EA5D8B"/>
    <w:rsid w:val="00EA5F8E"/>
    <w:rsid w:val="00EA66D6"/>
    <w:rsid w:val="00EA67E2"/>
    <w:rsid w:val="00EA6909"/>
    <w:rsid w:val="00EA6BFF"/>
    <w:rsid w:val="00EA721F"/>
    <w:rsid w:val="00EA7906"/>
    <w:rsid w:val="00EB029A"/>
    <w:rsid w:val="00EB18CE"/>
    <w:rsid w:val="00EB1CA6"/>
    <w:rsid w:val="00EB1EFA"/>
    <w:rsid w:val="00EB2347"/>
    <w:rsid w:val="00EB2359"/>
    <w:rsid w:val="00EB2596"/>
    <w:rsid w:val="00EB268E"/>
    <w:rsid w:val="00EB2CDF"/>
    <w:rsid w:val="00EB2DD7"/>
    <w:rsid w:val="00EB2E05"/>
    <w:rsid w:val="00EB2FC3"/>
    <w:rsid w:val="00EB3BC9"/>
    <w:rsid w:val="00EB410A"/>
    <w:rsid w:val="00EB4686"/>
    <w:rsid w:val="00EB486F"/>
    <w:rsid w:val="00EB4B16"/>
    <w:rsid w:val="00EB4BFF"/>
    <w:rsid w:val="00EB4C74"/>
    <w:rsid w:val="00EB4E25"/>
    <w:rsid w:val="00EB501B"/>
    <w:rsid w:val="00EB5599"/>
    <w:rsid w:val="00EB5EA9"/>
    <w:rsid w:val="00EB6115"/>
    <w:rsid w:val="00EB626A"/>
    <w:rsid w:val="00EB6894"/>
    <w:rsid w:val="00EB703A"/>
    <w:rsid w:val="00EB71B0"/>
    <w:rsid w:val="00EB7343"/>
    <w:rsid w:val="00EC0469"/>
    <w:rsid w:val="00EC0575"/>
    <w:rsid w:val="00EC06CE"/>
    <w:rsid w:val="00EC0CDF"/>
    <w:rsid w:val="00EC10E5"/>
    <w:rsid w:val="00EC1308"/>
    <w:rsid w:val="00EC153A"/>
    <w:rsid w:val="00EC1E58"/>
    <w:rsid w:val="00EC216C"/>
    <w:rsid w:val="00EC235F"/>
    <w:rsid w:val="00EC2AFA"/>
    <w:rsid w:val="00EC2C34"/>
    <w:rsid w:val="00EC2C62"/>
    <w:rsid w:val="00EC3AE9"/>
    <w:rsid w:val="00EC4EA6"/>
    <w:rsid w:val="00EC5342"/>
    <w:rsid w:val="00EC568B"/>
    <w:rsid w:val="00EC5BBA"/>
    <w:rsid w:val="00EC5CAA"/>
    <w:rsid w:val="00EC6606"/>
    <w:rsid w:val="00EC7B65"/>
    <w:rsid w:val="00EC7C60"/>
    <w:rsid w:val="00EC7D20"/>
    <w:rsid w:val="00EC7FD9"/>
    <w:rsid w:val="00ED0578"/>
    <w:rsid w:val="00ED0586"/>
    <w:rsid w:val="00ED0673"/>
    <w:rsid w:val="00ED07B0"/>
    <w:rsid w:val="00ED1120"/>
    <w:rsid w:val="00ED1DF5"/>
    <w:rsid w:val="00ED2AFC"/>
    <w:rsid w:val="00ED35CE"/>
    <w:rsid w:val="00ED3643"/>
    <w:rsid w:val="00ED36F7"/>
    <w:rsid w:val="00ED3EB5"/>
    <w:rsid w:val="00ED440A"/>
    <w:rsid w:val="00ED4616"/>
    <w:rsid w:val="00ED506F"/>
    <w:rsid w:val="00ED52E3"/>
    <w:rsid w:val="00ED6620"/>
    <w:rsid w:val="00ED68B1"/>
    <w:rsid w:val="00ED6C68"/>
    <w:rsid w:val="00ED79AC"/>
    <w:rsid w:val="00ED7FE7"/>
    <w:rsid w:val="00EE06C7"/>
    <w:rsid w:val="00EE07FE"/>
    <w:rsid w:val="00EE098A"/>
    <w:rsid w:val="00EE109C"/>
    <w:rsid w:val="00EE11BE"/>
    <w:rsid w:val="00EE1827"/>
    <w:rsid w:val="00EE1A8C"/>
    <w:rsid w:val="00EE1EB0"/>
    <w:rsid w:val="00EE2202"/>
    <w:rsid w:val="00EE2721"/>
    <w:rsid w:val="00EE275A"/>
    <w:rsid w:val="00EE30FD"/>
    <w:rsid w:val="00EE3243"/>
    <w:rsid w:val="00EE45EB"/>
    <w:rsid w:val="00EE4A04"/>
    <w:rsid w:val="00EE561F"/>
    <w:rsid w:val="00EE5628"/>
    <w:rsid w:val="00EE5B02"/>
    <w:rsid w:val="00EE5B41"/>
    <w:rsid w:val="00EE5BE0"/>
    <w:rsid w:val="00EE5BF0"/>
    <w:rsid w:val="00EE619C"/>
    <w:rsid w:val="00EE6347"/>
    <w:rsid w:val="00EE636C"/>
    <w:rsid w:val="00EE63BF"/>
    <w:rsid w:val="00EE6ED1"/>
    <w:rsid w:val="00EE7436"/>
    <w:rsid w:val="00EE7464"/>
    <w:rsid w:val="00EE74D0"/>
    <w:rsid w:val="00EE7B7D"/>
    <w:rsid w:val="00EF0139"/>
    <w:rsid w:val="00EF0524"/>
    <w:rsid w:val="00EF0823"/>
    <w:rsid w:val="00EF0C51"/>
    <w:rsid w:val="00EF0D8E"/>
    <w:rsid w:val="00EF0E5A"/>
    <w:rsid w:val="00EF134B"/>
    <w:rsid w:val="00EF170F"/>
    <w:rsid w:val="00EF1F77"/>
    <w:rsid w:val="00EF25B1"/>
    <w:rsid w:val="00EF27E3"/>
    <w:rsid w:val="00EF2CF8"/>
    <w:rsid w:val="00EF317B"/>
    <w:rsid w:val="00EF36D7"/>
    <w:rsid w:val="00EF385D"/>
    <w:rsid w:val="00EF3F0F"/>
    <w:rsid w:val="00EF4031"/>
    <w:rsid w:val="00EF428F"/>
    <w:rsid w:val="00EF4A89"/>
    <w:rsid w:val="00EF4E6B"/>
    <w:rsid w:val="00EF4F52"/>
    <w:rsid w:val="00EF54A1"/>
    <w:rsid w:val="00EF585A"/>
    <w:rsid w:val="00EF6D04"/>
    <w:rsid w:val="00EF7872"/>
    <w:rsid w:val="00EF79A2"/>
    <w:rsid w:val="00EF7FD0"/>
    <w:rsid w:val="00F00C3B"/>
    <w:rsid w:val="00F01619"/>
    <w:rsid w:val="00F016FC"/>
    <w:rsid w:val="00F01B29"/>
    <w:rsid w:val="00F01D09"/>
    <w:rsid w:val="00F02F5B"/>
    <w:rsid w:val="00F04613"/>
    <w:rsid w:val="00F04DBB"/>
    <w:rsid w:val="00F05854"/>
    <w:rsid w:val="00F05BE1"/>
    <w:rsid w:val="00F06334"/>
    <w:rsid w:val="00F0703A"/>
    <w:rsid w:val="00F07D20"/>
    <w:rsid w:val="00F10130"/>
    <w:rsid w:val="00F1019E"/>
    <w:rsid w:val="00F11E9E"/>
    <w:rsid w:val="00F11FBB"/>
    <w:rsid w:val="00F124DA"/>
    <w:rsid w:val="00F1254E"/>
    <w:rsid w:val="00F12D2F"/>
    <w:rsid w:val="00F12FAA"/>
    <w:rsid w:val="00F14B5A"/>
    <w:rsid w:val="00F152DD"/>
    <w:rsid w:val="00F1540E"/>
    <w:rsid w:val="00F156F6"/>
    <w:rsid w:val="00F15A87"/>
    <w:rsid w:val="00F15C54"/>
    <w:rsid w:val="00F16719"/>
    <w:rsid w:val="00F176E0"/>
    <w:rsid w:val="00F178DB"/>
    <w:rsid w:val="00F17FE7"/>
    <w:rsid w:val="00F2002D"/>
    <w:rsid w:val="00F20135"/>
    <w:rsid w:val="00F20149"/>
    <w:rsid w:val="00F20377"/>
    <w:rsid w:val="00F2070D"/>
    <w:rsid w:val="00F20796"/>
    <w:rsid w:val="00F209E7"/>
    <w:rsid w:val="00F20A71"/>
    <w:rsid w:val="00F20DA1"/>
    <w:rsid w:val="00F21249"/>
    <w:rsid w:val="00F21913"/>
    <w:rsid w:val="00F21E2F"/>
    <w:rsid w:val="00F225A3"/>
    <w:rsid w:val="00F2325C"/>
    <w:rsid w:val="00F23AA2"/>
    <w:rsid w:val="00F245FD"/>
    <w:rsid w:val="00F24C54"/>
    <w:rsid w:val="00F250E8"/>
    <w:rsid w:val="00F2529E"/>
    <w:rsid w:val="00F25307"/>
    <w:rsid w:val="00F25694"/>
    <w:rsid w:val="00F25A56"/>
    <w:rsid w:val="00F25F29"/>
    <w:rsid w:val="00F26A78"/>
    <w:rsid w:val="00F27146"/>
    <w:rsid w:val="00F274E5"/>
    <w:rsid w:val="00F278E9"/>
    <w:rsid w:val="00F30F92"/>
    <w:rsid w:val="00F31203"/>
    <w:rsid w:val="00F31216"/>
    <w:rsid w:val="00F3138E"/>
    <w:rsid w:val="00F314C2"/>
    <w:rsid w:val="00F31C6B"/>
    <w:rsid w:val="00F320CC"/>
    <w:rsid w:val="00F320F1"/>
    <w:rsid w:val="00F324FE"/>
    <w:rsid w:val="00F327C3"/>
    <w:rsid w:val="00F3282D"/>
    <w:rsid w:val="00F333BD"/>
    <w:rsid w:val="00F339C4"/>
    <w:rsid w:val="00F33A00"/>
    <w:rsid w:val="00F34093"/>
    <w:rsid w:val="00F3466C"/>
    <w:rsid w:val="00F34A36"/>
    <w:rsid w:val="00F34FAD"/>
    <w:rsid w:val="00F35C36"/>
    <w:rsid w:val="00F36270"/>
    <w:rsid w:val="00F364CA"/>
    <w:rsid w:val="00F366BA"/>
    <w:rsid w:val="00F36CAF"/>
    <w:rsid w:val="00F36DA8"/>
    <w:rsid w:val="00F36E22"/>
    <w:rsid w:val="00F37901"/>
    <w:rsid w:val="00F37ADD"/>
    <w:rsid w:val="00F37DE1"/>
    <w:rsid w:val="00F37DE5"/>
    <w:rsid w:val="00F40630"/>
    <w:rsid w:val="00F40B15"/>
    <w:rsid w:val="00F40D94"/>
    <w:rsid w:val="00F415C6"/>
    <w:rsid w:val="00F41632"/>
    <w:rsid w:val="00F41E8B"/>
    <w:rsid w:val="00F424A3"/>
    <w:rsid w:val="00F42628"/>
    <w:rsid w:val="00F429C0"/>
    <w:rsid w:val="00F43253"/>
    <w:rsid w:val="00F43742"/>
    <w:rsid w:val="00F44291"/>
    <w:rsid w:val="00F44359"/>
    <w:rsid w:val="00F444F8"/>
    <w:rsid w:val="00F44965"/>
    <w:rsid w:val="00F44F6E"/>
    <w:rsid w:val="00F44FB4"/>
    <w:rsid w:val="00F45242"/>
    <w:rsid w:val="00F46009"/>
    <w:rsid w:val="00F464ED"/>
    <w:rsid w:val="00F46625"/>
    <w:rsid w:val="00F46660"/>
    <w:rsid w:val="00F46910"/>
    <w:rsid w:val="00F46D1D"/>
    <w:rsid w:val="00F474EF"/>
    <w:rsid w:val="00F501CB"/>
    <w:rsid w:val="00F50ADA"/>
    <w:rsid w:val="00F50B4B"/>
    <w:rsid w:val="00F50D8C"/>
    <w:rsid w:val="00F5149A"/>
    <w:rsid w:val="00F514D5"/>
    <w:rsid w:val="00F519AC"/>
    <w:rsid w:val="00F51B6A"/>
    <w:rsid w:val="00F51D65"/>
    <w:rsid w:val="00F527F6"/>
    <w:rsid w:val="00F52C79"/>
    <w:rsid w:val="00F52CCE"/>
    <w:rsid w:val="00F53185"/>
    <w:rsid w:val="00F536CF"/>
    <w:rsid w:val="00F53A9A"/>
    <w:rsid w:val="00F53B03"/>
    <w:rsid w:val="00F53C2E"/>
    <w:rsid w:val="00F54107"/>
    <w:rsid w:val="00F54292"/>
    <w:rsid w:val="00F5475A"/>
    <w:rsid w:val="00F54BE2"/>
    <w:rsid w:val="00F55A77"/>
    <w:rsid w:val="00F55AF1"/>
    <w:rsid w:val="00F562C6"/>
    <w:rsid w:val="00F566D9"/>
    <w:rsid w:val="00F56975"/>
    <w:rsid w:val="00F56B4A"/>
    <w:rsid w:val="00F57F3B"/>
    <w:rsid w:val="00F61081"/>
    <w:rsid w:val="00F61215"/>
    <w:rsid w:val="00F613FE"/>
    <w:rsid w:val="00F61BDE"/>
    <w:rsid w:val="00F625E2"/>
    <w:rsid w:val="00F62DE4"/>
    <w:rsid w:val="00F6324E"/>
    <w:rsid w:val="00F63D41"/>
    <w:rsid w:val="00F63E15"/>
    <w:rsid w:val="00F646C8"/>
    <w:rsid w:val="00F6472C"/>
    <w:rsid w:val="00F65299"/>
    <w:rsid w:val="00F660AD"/>
    <w:rsid w:val="00F661D1"/>
    <w:rsid w:val="00F66680"/>
    <w:rsid w:val="00F66B8D"/>
    <w:rsid w:val="00F66F27"/>
    <w:rsid w:val="00F672A0"/>
    <w:rsid w:val="00F6794D"/>
    <w:rsid w:val="00F67AA8"/>
    <w:rsid w:val="00F67B76"/>
    <w:rsid w:val="00F705B7"/>
    <w:rsid w:val="00F70707"/>
    <w:rsid w:val="00F70A14"/>
    <w:rsid w:val="00F70D34"/>
    <w:rsid w:val="00F71726"/>
    <w:rsid w:val="00F7283E"/>
    <w:rsid w:val="00F72AFA"/>
    <w:rsid w:val="00F72D2B"/>
    <w:rsid w:val="00F732D8"/>
    <w:rsid w:val="00F733DD"/>
    <w:rsid w:val="00F736DC"/>
    <w:rsid w:val="00F73867"/>
    <w:rsid w:val="00F73B74"/>
    <w:rsid w:val="00F73BA8"/>
    <w:rsid w:val="00F73CA0"/>
    <w:rsid w:val="00F740AD"/>
    <w:rsid w:val="00F745E3"/>
    <w:rsid w:val="00F74930"/>
    <w:rsid w:val="00F74AB0"/>
    <w:rsid w:val="00F750DC"/>
    <w:rsid w:val="00F75C49"/>
    <w:rsid w:val="00F75D86"/>
    <w:rsid w:val="00F75E9A"/>
    <w:rsid w:val="00F76A37"/>
    <w:rsid w:val="00F76A74"/>
    <w:rsid w:val="00F76E41"/>
    <w:rsid w:val="00F77125"/>
    <w:rsid w:val="00F771B7"/>
    <w:rsid w:val="00F77262"/>
    <w:rsid w:val="00F77681"/>
    <w:rsid w:val="00F77841"/>
    <w:rsid w:val="00F77D1F"/>
    <w:rsid w:val="00F77DA6"/>
    <w:rsid w:val="00F77FDC"/>
    <w:rsid w:val="00F80A40"/>
    <w:rsid w:val="00F80A5B"/>
    <w:rsid w:val="00F8113E"/>
    <w:rsid w:val="00F8141C"/>
    <w:rsid w:val="00F81A88"/>
    <w:rsid w:val="00F82134"/>
    <w:rsid w:val="00F82DD4"/>
    <w:rsid w:val="00F83300"/>
    <w:rsid w:val="00F836DC"/>
    <w:rsid w:val="00F852B4"/>
    <w:rsid w:val="00F855EC"/>
    <w:rsid w:val="00F8565C"/>
    <w:rsid w:val="00F85DDC"/>
    <w:rsid w:val="00F870AF"/>
    <w:rsid w:val="00F87270"/>
    <w:rsid w:val="00F872F5"/>
    <w:rsid w:val="00F8750B"/>
    <w:rsid w:val="00F87636"/>
    <w:rsid w:val="00F909C4"/>
    <w:rsid w:val="00F90D54"/>
    <w:rsid w:val="00F90E3D"/>
    <w:rsid w:val="00F911A3"/>
    <w:rsid w:val="00F912A1"/>
    <w:rsid w:val="00F91592"/>
    <w:rsid w:val="00F91767"/>
    <w:rsid w:val="00F917E1"/>
    <w:rsid w:val="00F91CDB"/>
    <w:rsid w:val="00F92888"/>
    <w:rsid w:val="00F92AB3"/>
    <w:rsid w:val="00F92CD2"/>
    <w:rsid w:val="00F9321D"/>
    <w:rsid w:val="00F932F1"/>
    <w:rsid w:val="00F93527"/>
    <w:rsid w:val="00F940E6"/>
    <w:rsid w:val="00F94222"/>
    <w:rsid w:val="00F95448"/>
    <w:rsid w:val="00F95639"/>
    <w:rsid w:val="00F957D3"/>
    <w:rsid w:val="00F96FA5"/>
    <w:rsid w:val="00F976CB"/>
    <w:rsid w:val="00F9782D"/>
    <w:rsid w:val="00F97AD5"/>
    <w:rsid w:val="00F97AFA"/>
    <w:rsid w:val="00F97C19"/>
    <w:rsid w:val="00FA00AB"/>
    <w:rsid w:val="00FA0270"/>
    <w:rsid w:val="00FA0428"/>
    <w:rsid w:val="00FA0682"/>
    <w:rsid w:val="00FA075B"/>
    <w:rsid w:val="00FA0857"/>
    <w:rsid w:val="00FA0F3C"/>
    <w:rsid w:val="00FA194C"/>
    <w:rsid w:val="00FA2659"/>
    <w:rsid w:val="00FA26A6"/>
    <w:rsid w:val="00FA2D8F"/>
    <w:rsid w:val="00FA3B6B"/>
    <w:rsid w:val="00FA3D50"/>
    <w:rsid w:val="00FA40B1"/>
    <w:rsid w:val="00FA437D"/>
    <w:rsid w:val="00FA547D"/>
    <w:rsid w:val="00FA54C2"/>
    <w:rsid w:val="00FA598A"/>
    <w:rsid w:val="00FA622C"/>
    <w:rsid w:val="00FA7151"/>
    <w:rsid w:val="00FA74CF"/>
    <w:rsid w:val="00FA78E8"/>
    <w:rsid w:val="00FA7C03"/>
    <w:rsid w:val="00FA7E02"/>
    <w:rsid w:val="00FB02AF"/>
    <w:rsid w:val="00FB0D1F"/>
    <w:rsid w:val="00FB11E3"/>
    <w:rsid w:val="00FB2057"/>
    <w:rsid w:val="00FB2FA7"/>
    <w:rsid w:val="00FB3082"/>
    <w:rsid w:val="00FB3373"/>
    <w:rsid w:val="00FB346F"/>
    <w:rsid w:val="00FB34B7"/>
    <w:rsid w:val="00FB3722"/>
    <w:rsid w:val="00FB393C"/>
    <w:rsid w:val="00FB4018"/>
    <w:rsid w:val="00FB4260"/>
    <w:rsid w:val="00FB475D"/>
    <w:rsid w:val="00FB4B04"/>
    <w:rsid w:val="00FB4CB5"/>
    <w:rsid w:val="00FB59E2"/>
    <w:rsid w:val="00FB5E57"/>
    <w:rsid w:val="00FB600C"/>
    <w:rsid w:val="00FB62CC"/>
    <w:rsid w:val="00FB6325"/>
    <w:rsid w:val="00FB656A"/>
    <w:rsid w:val="00FB65FE"/>
    <w:rsid w:val="00FB74E8"/>
    <w:rsid w:val="00FC088A"/>
    <w:rsid w:val="00FC162C"/>
    <w:rsid w:val="00FC1847"/>
    <w:rsid w:val="00FC2C27"/>
    <w:rsid w:val="00FC2FD7"/>
    <w:rsid w:val="00FC402B"/>
    <w:rsid w:val="00FC44CE"/>
    <w:rsid w:val="00FC4B2E"/>
    <w:rsid w:val="00FC50B5"/>
    <w:rsid w:val="00FC60EB"/>
    <w:rsid w:val="00FC6188"/>
    <w:rsid w:val="00FC6550"/>
    <w:rsid w:val="00FC658F"/>
    <w:rsid w:val="00FC6873"/>
    <w:rsid w:val="00FC6D2A"/>
    <w:rsid w:val="00FC7059"/>
    <w:rsid w:val="00FC7512"/>
    <w:rsid w:val="00FC7529"/>
    <w:rsid w:val="00FC77FC"/>
    <w:rsid w:val="00FC7978"/>
    <w:rsid w:val="00FC7A10"/>
    <w:rsid w:val="00FC7A53"/>
    <w:rsid w:val="00FD02EB"/>
    <w:rsid w:val="00FD049A"/>
    <w:rsid w:val="00FD0613"/>
    <w:rsid w:val="00FD063C"/>
    <w:rsid w:val="00FD0E07"/>
    <w:rsid w:val="00FD18FE"/>
    <w:rsid w:val="00FD1C72"/>
    <w:rsid w:val="00FD1DCA"/>
    <w:rsid w:val="00FD24A8"/>
    <w:rsid w:val="00FD24D3"/>
    <w:rsid w:val="00FD2513"/>
    <w:rsid w:val="00FD25F9"/>
    <w:rsid w:val="00FD2A74"/>
    <w:rsid w:val="00FD2B54"/>
    <w:rsid w:val="00FD304D"/>
    <w:rsid w:val="00FD32F4"/>
    <w:rsid w:val="00FD34E3"/>
    <w:rsid w:val="00FD36E5"/>
    <w:rsid w:val="00FD39DA"/>
    <w:rsid w:val="00FD46F4"/>
    <w:rsid w:val="00FD475B"/>
    <w:rsid w:val="00FD4EFD"/>
    <w:rsid w:val="00FD5296"/>
    <w:rsid w:val="00FD6620"/>
    <w:rsid w:val="00FD6896"/>
    <w:rsid w:val="00FD6962"/>
    <w:rsid w:val="00FD6D86"/>
    <w:rsid w:val="00FD71F1"/>
    <w:rsid w:val="00FD7898"/>
    <w:rsid w:val="00FE0820"/>
    <w:rsid w:val="00FE0F8E"/>
    <w:rsid w:val="00FE17BE"/>
    <w:rsid w:val="00FE1B48"/>
    <w:rsid w:val="00FE1CAC"/>
    <w:rsid w:val="00FE2BE1"/>
    <w:rsid w:val="00FE2D31"/>
    <w:rsid w:val="00FE35C1"/>
    <w:rsid w:val="00FE3BE7"/>
    <w:rsid w:val="00FE461F"/>
    <w:rsid w:val="00FE485F"/>
    <w:rsid w:val="00FE4979"/>
    <w:rsid w:val="00FE5168"/>
    <w:rsid w:val="00FE5569"/>
    <w:rsid w:val="00FE59A9"/>
    <w:rsid w:val="00FE59C9"/>
    <w:rsid w:val="00FE661B"/>
    <w:rsid w:val="00FE696A"/>
    <w:rsid w:val="00FE76F4"/>
    <w:rsid w:val="00FE776E"/>
    <w:rsid w:val="00FE7774"/>
    <w:rsid w:val="00FF03AE"/>
    <w:rsid w:val="00FF0619"/>
    <w:rsid w:val="00FF0C19"/>
    <w:rsid w:val="00FF0C6F"/>
    <w:rsid w:val="00FF1042"/>
    <w:rsid w:val="00FF115D"/>
    <w:rsid w:val="00FF25B0"/>
    <w:rsid w:val="00FF2B6A"/>
    <w:rsid w:val="00FF2E68"/>
    <w:rsid w:val="00FF308B"/>
    <w:rsid w:val="00FF3ACE"/>
    <w:rsid w:val="00FF3C94"/>
    <w:rsid w:val="00FF3D93"/>
    <w:rsid w:val="00FF45CF"/>
    <w:rsid w:val="00FF4BA7"/>
    <w:rsid w:val="00FF504C"/>
    <w:rsid w:val="00FF5128"/>
    <w:rsid w:val="00FF53B3"/>
    <w:rsid w:val="00FF541D"/>
    <w:rsid w:val="00FF54B7"/>
    <w:rsid w:val="00FF57EE"/>
    <w:rsid w:val="00FF61B1"/>
    <w:rsid w:val="00FF6403"/>
    <w:rsid w:val="00FF6A73"/>
    <w:rsid w:val="00FF7200"/>
    <w:rsid w:val="00FF7319"/>
    <w:rsid w:val="00FF74B4"/>
    <w:rsid w:val="00FF7F77"/>
    <w:rsid w:val="0104653A"/>
    <w:rsid w:val="01046757"/>
    <w:rsid w:val="01046FF1"/>
    <w:rsid w:val="010F4D74"/>
    <w:rsid w:val="01154EDD"/>
    <w:rsid w:val="0116763E"/>
    <w:rsid w:val="01195069"/>
    <w:rsid w:val="011B0D8A"/>
    <w:rsid w:val="0128267A"/>
    <w:rsid w:val="012D66C4"/>
    <w:rsid w:val="01345BFC"/>
    <w:rsid w:val="013D6839"/>
    <w:rsid w:val="01461C37"/>
    <w:rsid w:val="01583A44"/>
    <w:rsid w:val="016E2F6B"/>
    <w:rsid w:val="01700DB4"/>
    <w:rsid w:val="018E4496"/>
    <w:rsid w:val="01AC39D3"/>
    <w:rsid w:val="01C963F3"/>
    <w:rsid w:val="01D5573B"/>
    <w:rsid w:val="01E126ED"/>
    <w:rsid w:val="01EE0DEC"/>
    <w:rsid w:val="01F140D9"/>
    <w:rsid w:val="01F22152"/>
    <w:rsid w:val="01F443DD"/>
    <w:rsid w:val="01FF0067"/>
    <w:rsid w:val="02112003"/>
    <w:rsid w:val="021915EA"/>
    <w:rsid w:val="021C74C7"/>
    <w:rsid w:val="0221032F"/>
    <w:rsid w:val="022136D6"/>
    <w:rsid w:val="023121CE"/>
    <w:rsid w:val="023C19A2"/>
    <w:rsid w:val="023E4918"/>
    <w:rsid w:val="024E0C93"/>
    <w:rsid w:val="0284056C"/>
    <w:rsid w:val="02901083"/>
    <w:rsid w:val="0298706D"/>
    <w:rsid w:val="02993083"/>
    <w:rsid w:val="029C7032"/>
    <w:rsid w:val="02A05EC6"/>
    <w:rsid w:val="02C4631E"/>
    <w:rsid w:val="02E80AFB"/>
    <w:rsid w:val="02EA4873"/>
    <w:rsid w:val="02F079B0"/>
    <w:rsid w:val="03000A90"/>
    <w:rsid w:val="030352A6"/>
    <w:rsid w:val="030926E3"/>
    <w:rsid w:val="031303DC"/>
    <w:rsid w:val="031C254C"/>
    <w:rsid w:val="03296ADB"/>
    <w:rsid w:val="032A64D5"/>
    <w:rsid w:val="03343D40"/>
    <w:rsid w:val="03370996"/>
    <w:rsid w:val="033827DC"/>
    <w:rsid w:val="03443ADC"/>
    <w:rsid w:val="034F680F"/>
    <w:rsid w:val="035F5731"/>
    <w:rsid w:val="036332EE"/>
    <w:rsid w:val="03655CA8"/>
    <w:rsid w:val="0365604C"/>
    <w:rsid w:val="036E4D8D"/>
    <w:rsid w:val="037E2D7B"/>
    <w:rsid w:val="038512CD"/>
    <w:rsid w:val="038C509F"/>
    <w:rsid w:val="03937BD0"/>
    <w:rsid w:val="03953CA0"/>
    <w:rsid w:val="039D5275"/>
    <w:rsid w:val="039F5461"/>
    <w:rsid w:val="03A52443"/>
    <w:rsid w:val="03AE568D"/>
    <w:rsid w:val="03B35D64"/>
    <w:rsid w:val="03B57E03"/>
    <w:rsid w:val="03CA4013"/>
    <w:rsid w:val="03DE5A5A"/>
    <w:rsid w:val="03F32DAD"/>
    <w:rsid w:val="04014E76"/>
    <w:rsid w:val="041D2A27"/>
    <w:rsid w:val="042808A1"/>
    <w:rsid w:val="04520C81"/>
    <w:rsid w:val="045300C4"/>
    <w:rsid w:val="045521C0"/>
    <w:rsid w:val="04857705"/>
    <w:rsid w:val="048E56D2"/>
    <w:rsid w:val="04907424"/>
    <w:rsid w:val="04910D1F"/>
    <w:rsid w:val="04AA5211"/>
    <w:rsid w:val="04BC223F"/>
    <w:rsid w:val="04D43A63"/>
    <w:rsid w:val="04D760CB"/>
    <w:rsid w:val="04F05A45"/>
    <w:rsid w:val="050414F1"/>
    <w:rsid w:val="0511020F"/>
    <w:rsid w:val="05292330"/>
    <w:rsid w:val="052E509C"/>
    <w:rsid w:val="05446C4C"/>
    <w:rsid w:val="05487246"/>
    <w:rsid w:val="054E7C6A"/>
    <w:rsid w:val="05511DE3"/>
    <w:rsid w:val="0557256F"/>
    <w:rsid w:val="05620D91"/>
    <w:rsid w:val="05626061"/>
    <w:rsid w:val="056B382B"/>
    <w:rsid w:val="057569C5"/>
    <w:rsid w:val="05792CC4"/>
    <w:rsid w:val="05804BC2"/>
    <w:rsid w:val="05817675"/>
    <w:rsid w:val="05887B77"/>
    <w:rsid w:val="058B0EE0"/>
    <w:rsid w:val="058D75FC"/>
    <w:rsid w:val="05905128"/>
    <w:rsid w:val="05AD00A6"/>
    <w:rsid w:val="05BA4D3B"/>
    <w:rsid w:val="05CA0731"/>
    <w:rsid w:val="05CD3EB3"/>
    <w:rsid w:val="05DD690A"/>
    <w:rsid w:val="05E57574"/>
    <w:rsid w:val="05F002E5"/>
    <w:rsid w:val="05F160AE"/>
    <w:rsid w:val="05FA0DBC"/>
    <w:rsid w:val="061033C4"/>
    <w:rsid w:val="061A5470"/>
    <w:rsid w:val="0632566D"/>
    <w:rsid w:val="06492CD0"/>
    <w:rsid w:val="064A6700"/>
    <w:rsid w:val="064C2442"/>
    <w:rsid w:val="0665610A"/>
    <w:rsid w:val="068B5A09"/>
    <w:rsid w:val="068E7E5C"/>
    <w:rsid w:val="0691685A"/>
    <w:rsid w:val="069B38D6"/>
    <w:rsid w:val="06A65B66"/>
    <w:rsid w:val="06AB194F"/>
    <w:rsid w:val="06B134D6"/>
    <w:rsid w:val="06CD62B1"/>
    <w:rsid w:val="07013782"/>
    <w:rsid w:val="07033866"/>
    <w:rsid w:val="07171B44"/>
    <w:rsid w:val="07264567"/>
    <w:rsid w:val="072C048F"/>
    <w:rsid w:val="07306944"/>
    <w:rsid w:val="073A6BF0"/>
    <w:rsid w:val="073E2A3B"/>
    <w:rsid w:val="07417D49"/>
    <w:rsid w:val="076463EF"/>
    <w:rsid w:val="076D15CF"/>
    <w:rsid w:val="07951EC6"/>
    <w:rsid w:val="07AC318C"/>
    <w:rsid w:val="07B5337A"/>
    <w:rsid w:val="07C071FE"/>
    <w:rsid w:val="07C74F32"/>
    <w:rsid w:val="07CD58E4"/>
    <w:rsid w:val="07EC3754"/>
    <w:rsid w:val="07F118BB"/>
    <w:rsid w:val="07F11C47"/>
    <w:rsid w:val="082A5712"/>
    <w:rsid w:val="083D4E89"/>
    <w:rsid w:val="084212DA"/>
    <w:rsid w:val="084D6E9B"/>
    <w:rsid w:val="084E6940"/>
    <w:rsid w:val="08514B5D"/>
    <w:rsid w:val="08627E43"/>
    <w:rsid w:val="087468BF"/>
    <w:rsid w:val="08777DF5"/>
    <w:rsid w:val="08790596"/>
    <w:rsid w:val="088A682B"/>
    <w:rsid w:val="089D2E3D"/>
    <w:rsid w:val="089D4136"/>
    <w:rsid w:val="08A40BE4"/>
    <w:rsid w:val="08B160E4"/>
    <w:rsid w:val="08BF1903"/>
    <w:rsid w:val="08D35DAA"/>
    <w:rsid w:val="08D93C3A"/>
    <w:rsid w:val="08E27D9B"/>
    <w:rsid w:val="08E351E2"/>
    <w:rsid w:val="08E86528"/>
    <w:rsid w:val="08EE4C0F"/>
    <w:rsid w:val="090009DE"/>
    <w:rsid w:val="090407DA"/>
    <w:rsid w:val="09041A57"/>
    <w:rsid w:val="09061CDB"/>
    <w:rsid w:val="090B265D"/>
    <w:rsid w:val="09143080"/>
    <w:rsid w:val="09222ACA"/>
    <w:rsid w:val="09473B2C"/>
    <w:rsid w:val="09491BC8"/>
    <w:rsid w:val="09630EDC"/>
    <w:rsid w:val="09673B6E"/>
    <w:rsid w:val="096C208A"/>
    <w:rsid w:val="098E6131"/>
    <w:rsid w:val="099229C5"/>
    <w:rsid w:val="09974C6B"/>
    <w:rsid w:val="09AB5AA9"/>
    <w:rsid w:val="09AC4F94"/>
    <w:rsid w:val="09BB4510"/>
    <w:rsid w:val="09DA0985"/>
    <w:rsid w:val="09DE5682"/>
    <w:rsid w:val="09F61D50"/>
    <w:rsid w:val="0A033230"/>
    <w:rsid w:val="0A130CB7"/>
    <w:rsid w:val="0A1F5A0E"/>
    <w:rsid w:val="0A2952E4"/>
    <w:rsid w:val="0A443189"/>
    <w:rsid w:val="0A5516CA"/>
    <w:rsid w:val="0A5A03D1"/>
    <w:rsid w:val="0A6071C9"/>
    <w:rsid w:val="0A6463A6"/>
    <w:rsid w:val="0A7A4B4D"/>
    <w:rsid w:val="0A7C3FE8"/>
    <w:rsid w:val="0A84795F"/>
    <w:rsid w:val="0A886720"/>
    <w:rsid w:val="0A9C096B"/>
    <w:rsid w:val="0AA67050"/>
    <w:rsid w:val="0AB12900"/>
    <w:rsid w:val="0AB6328D"/>
    <w:rsid w:val="0ADC3FD2"/>
    <w:rsid w:val="0ADF0A36"/>
    <w:rsid w:val="0AE7668A"/>
    <w:rsid w:val="0AF05B19"/>
    <w:rsid w:val="0B1A381C"/>
    <w:rsid w:val="0B1D06A0"/>
    <w:rsid w:val="0B267CEC"/>
    <w:rsid w:val="0B3A7878"/>
    <w:rsid w:val="0B462863"/>
    <w:rsid w:val="0B4D120D"/>
    <w:rsid w:val="0B536B89"/>
    <w:rsid w:val="0B5C2BF9"/>
    <w:rsid w:val="0B69739B"/>
    <w:rsid w:val="0B7F5C8B"/>
    <w:rsid w:val="0B81787E"/>
    <w:rsid w:val="0BA72DFA"/>
    <w:rsid w:val="0BAD643E"/>
    <w:rsid w:val="0BB21CA6"/>
    <w:rsid w:val="0BB70816"/>
    <w:rsid w:val="0BC33EB3"/>
    <w:rsid w:val="0BD460C1"/>
    <w:rsid w:val="0BD65677"/>
    <w:rsid w:val="0BDB2C9C"/>
    <w:rsid w:val="0BDE4F02"/>
    <w:rsid w:val="0BE22D15"/>
    <w:rsid w:val="0BE57204"/>
    <w:rsid w:val="0BED316F"/>
    <w:rsid w:val="0BF33131"/>
    <w:rsid w:val="0BF97631"/>
    <w:rsid w:val="0BFB30A8"/>
    <w:rsid w:val="0C09009F"/>
    <w:rsid w:val="0C12455F"/>
    <w:rsid w:val="0C126BE9"/>
    <w:rsid w:val="0C197F77"/>
    <w:rsid w:val="0C22507E"/>
    <w:rsid w:val="0C263CC0"/>
    <w:rsid w:val="0C464FBE"/>
    <w:rsid w:val="0C4A0131"/>
    <w:rsid w:val="0C4C6C1F"/>
    <w:rsid w:val="0C5A2708"/>
    <w:rsid w:val="0C5C3987"/>
    <w:rsid w:val="0C61547A"/>
    <w:rsid w:val="0C6439A9"/>
    <w:rsid w:val="0C690673"/>
    <w:rsid w:val="0C791E8D"/>
    <w:rsid w:val="0C855CF7"/>
    <w:rsid w:val="0CAB0FB9"/>
    <w:rsid w:val="0CAC7683"/>
    <w:rsid w:val="0CB915BB"/>
    <w:rsid w:val="0CBA4EED"/>
    <w:rsid w:val="0CBF026D"/>
    <w:rsid w:val="0CC051C1"/>
    <w:rsid w:val="0CCB5BAD"/>
    <w:rsid w:val="0CEC4E9C"/>
    <w:rsid w:val="0CF74903"/>
    <w:rsid w:val="0CFE64F3"/>
    <w:rsid w:val="0D020E5F"/>
    <w:rsid w:val="0D166265"/>
    <w:rsid w:val="0D1E0488"/>
    <w:rsid w:val="0D232DCD"/>
    <w:rsid w:val="0D35493D"/>
    <w:rsid w:val="0D4573EC"/>
    <w:rsid w:val="0D704108"/>
    <w:rsid w:val="0D972D89"/>
    <w:rsid w:val="0D9C00E4"/>
    <w:rsid w:val="0D9E6986"/>
    <w:rsid w:val="0DAE235B"/>
    <w:rsid w:val="0DD04666"/>
    <w:rsid w:val="0DD641FB"/>
    <w:rsid w:val="0DDE4BB6"/>
    <w:rsid w:val="0DE75DF6"/>
    <w:rsid w:val="0E0447CF"/>
    <w:rsid w:val="0E100F06"/>
    <w:rsid w:val="0E16666B"/>
    <w:rsid w:val="0E1D1BF0"/>
    <w:rsid w:val="0E2F6697"/>
    <w:rsid w:val="0E511223"/>
    <w:rsid w:val="0E5E7EC3"/>
    <w:rsid w:val="0E71409B"/>
    <w:rsid w:val="0E746729"/>
    <w:rsid w:val="0E816FEC"/>
    <w:rsid w:val="0E990202"/>
    <w:rsid w:val="0EA073CE"/>
    <w:rsid w:val="0EA66A2F"/>
    <w:rsid w:val="0EB8730F"/>
    <w:rsid w:val="0EC00B7E"/>
    <w:rsid w:val="0EC3241C"/>
    <w:rsid w:val="0ED44A1A"/>
    <w:rsid w:val="0ED66D60"/>
    <w:rsid w:val="0ED7646B"/>
    <w:rsid w:val="0EDC438A"/>
    <w:rsid w:val="0EDE75FC"/>
    <w:rsid w:val="0F1F58A5"/>
    <w:rsid w:val="0F42123F"/>
    <w:rsid w:val="0F9A317D"/>
    <w:rsid w:val="0FA20113"/>
    <w:rsid w:val="0FB025AC"/>
    <w:rsid w:val="0FB34E15"/>
    <w:rsid w:val="0FD7198A"/>
    <w:rsid w:val="0FD956DC"/>
    <w:rsid w:val="0FE31637"/>
    <w:rsid w:val="0FFC2D1E"/>
    <w:rsid w:val="100F03DF"/>
    <w:rsid w:val="1010343F"/>
    <w:rsid w:val="10133411"/>
    <w:rsid w:val="10251C2D"/>
    <w:rsid w:val="103F0638"/>
    <w:rsid w:val="103F5AD3"/>
    <w:rsid w:val="10490C73"/>
    <w:rsid w:val="10622453"/>
    <w:rsid w:val="107F5DCE"/>
    <w:rsid w:val="10820F3F"/>
    <w:rsid w:val="108E0D9C"/>
    <w:rsid w:val="109B0F74"/>
    <w:rsid w:val="10C66FE1"/>
    <w:rsid w:val="10D16D33"/>
    <w:rsid w:val="10D21DA2"/>
    <w:rsid w:val="10E36DA6"/>
    <w:rsid w:val="10EA6CD8"/>
    <w:rsid w:val="10F42D61"/>
    <w:rsid w:val="11101D8E"/>
    <w:rsid w:val="111303EF"/>
    <w:rsid w:val="111B4807"/>
    <w:rsid w:val="111F59BE"/>
    <w:rsid w:val="11366ED6"/>
    <w:rsid w:val="11417199"/>
    <w:rsid w:val="115056CD"/>
    <w:rsid w:val="11545F7B"/>
    <w:rsid w:val="115E08E8"/>
    <w:rsid w:val="115F4472"/>
    <w:rsid w:val="116A1FE2"/>
    <w:rsid w:val="116F28FB"/>
    <w:rsid w:val="11A51A31"/>
    <w:rsid w:val="11B6007B"/>
    <w:rsid w:val="11B87DB5"/>
    <w:rsid w:val="11BC0BC4"/>
    <w:rsid w:val="11C9009D"/>
    <w:rsid w:val="11DF30C9"/>
    <w:rsid w:val="11E6274E"/>
    <w:rsid w:val="11F6656B"/>
    <w:rsid w:val="120F1570"/>
    <w:rsid w:val="12192A7F"/>
    <w:rsid w:val="121D77E7"/>
    <w:rsid w:val="122D5442"/>
    <w:rsid w:val="12356CE9"/>
    <w:rsid w:val="12374CB3"/>
    <w:rsid w:val="12383F70"/>
    <w:rsid w:val="124F7036"/>
    <w:rsid w:val="126751A5"/>
    <w:rsid w:val="12B918F0"/>
    <w:rsid w:val="12D15108"/>
    <w:rsid w:val="12D9220C"/>
    <w:rsid w:val="12F93504"/>
    <w:rsid w:val="12FE50F6"/>
    <w:rsid w:val="132A4818"/>
    <w:rsid w:val="133727AF"/>
    <w:rsid w:val="133A1C86"/>
    <w:rsid w:val="133B1425"/>
    <w:rsid w:val="1351671E"/>
    <w:rsid w:val="13714EF1"/>
    <w:rsid w:val="137D5290"/>
    <w:rsid w:val="13843362"/>
    <w:rsid w:val="13847DDB"/>
    <w:rsid w:val="138D4C01"/>
    <w:rsid w:val="13935C55"/>
    <w:rsid w:val="13AB5A5B"/>
    <w:rsid w:val="13CA1B57"/>
    <w:rsid w:val="13CB4165"/>
    <w:rsid w:val="13CD4700"/>
    <w:rsid w:val="13EB67DB"/>
    <w:rsid w:val="13F217DA"/>
    <w:rsid w:val="14016CDE"/>
    <w:rsid w:val="14033F6F"/>
    <w:rsid w:val="141525FA"/>
    <w:rsid w:val="14262DB0"/>
    <w:rsid w:val="143336D5"/>
    <w:rsid w:val="14344752"/>
    <w:rsid w:val="143A0024"/>
    <w:rsid w:val="14445C5E"/>
    <w:rsid w:val="14447B5C"/>
    <w:rsid w:val="14460F8C"/>
    <w:rsid w:val="14472A0D"/>
    <w:rsid w:val="145C0862"/>
    <w:rsid w:val="146B78A4"/>
    <w:rsid w:val="14700951"/>
    <w:rsid w:val="14776AEA"/>
    <w:rsid w:val="148E6FB4"/>
    <w:rsid w:val="14A61CEA"/>
    <w:rsid w:val="14A70468"/>
    <w:rsid w:val="14A83657"/>
    <w:rsid w:val="14CB22F0"/>
    <w:rsid w:val="14CE1424"/>
    <w:rsid w:val="14D146C4"/>
    <w:rsid w:val="14DE58BA"/>
    <w:rsid w:val="14E111D6"/>
    <w:rsid w:val="14ED3330"/>
    <w:rsid w:val="1505567C"/>
    <w:rsid w:val="152169C8"/>
    <w:rsid w:val="153C35BE"/>
    <w:rsid w:val="154E2412"/>
    <w:rsid w:val="155E49CC"/>
    <w:rsid w:val="157E0E4B"/>
    <w:rsid w:val="15897F1C"/>
    <w:rsid w:val="15A54460"/>
    <w:rsid w:val="15A97283"/>
    <w:rsid w:val="15AC6E66"/>
    <w:rsid w:val="15B76B43"/>
    <w:rsid w:val="15BE50E9"/>
    <w:rsid w:val="15C46C04"/>
    <w:rsid w:val="15D14ADA"/>
    <w:rsid w:val="15F0147E"/>
    <w:rsid w:val="160C1BCE"/>
    <w:rsid w:val="160E6673"/>
    <w:rsid w:val="161677A9"/>
    <w:rsid w:val="16270417"/>
    <w:rsid w:val="162869A3"/>
    <w:rsid w:val="16296FEC"/>
    <w:rsid w:val="162B7F9E"/>
    <w:rsid w:val="162E2C58"/>
    <w:rsid w:val="162F04D0"/>
    <w:rsid w:val="16424270"/>
    <w:rsid w:val="164E1C24"/>
    <w:rsid w:val="165D27D2"/>
    <w:rsid w:val="16605B03"/>
    <w:rsid w:val="167F7DE2"/>
    <w:rsid w:val="168173D9"/>
    <w:rsid w:val="16835F40"/>
    <w:rsid w:val="1686445B"/>
    <w:rsid w:val="169F3D1D"/>
    <w:rsid w:val="16A47D75"/>
    <w:rsid w:val="16A56721"/>
    <w:rsid w:val="16AE559F"/>
    <w:rsid w:val="16B33989"/>
    <w:rsid w:val="16B7425B"/>
    <w:rsid w:val="16BC318C"/>
    <w:rsid w:val="16C61CC6"/>
    <w:rsid w:val="16CB77DD"/>
    <w:rsid w:val="16CD6C99"/>
    <w:rsid w:val="16CF0C36"/>
    <w:rsid w:val="17015BB0"/>
    <w:rsid w:val="17167ACC"/>
    <w:rsid w:val="171E1C62"/>
    <w:rsid w:val="1738708C"/>
    <w:rsid w:val="173F548C"/>
    <w:rsid w:val="175F211B"/>
    <w:rsid w:val="17656B0C"/>
    <w:rsid w:val="17720296"/>
    <w:rsid w:val="177614D5"/>
    <w:rsid w:val="1782774E"/>
    <w:rsid w:val="178A3AD7"/>
    <w:rsid w:val="178C12BB"/>
    <w:rsid w:val="17A22F1F"/>
    <w:rsid w:val="17B0776A"/>
    <w:rsid w:val="17C3438E"/>
    <w:rsid w:val="17D74986"/>
    <w:rsid w:val="17D81DB4"/>
    <w:rsid w:val="17EC02EE"/>
    <w:rsid w:val="17FF43D5"/>
    <w:rsid w:val="17FF6505"/>
    <w:rsid w:val="180F473F"/>
    <w:rsid w:val="181544C4"/>
    <w:rsid w:val="181546AB"/>
    <w:rsid w:val="18196D53"/>
    <w:rsid w:val="182C5046"/>
    <w:rsid w:val="18317DD9"/>
    <w:rsid w:val="18481D87"/>
    <w:rsid w:val="186033E7"/>
    <w:rsid w:val="18665058"/>
    <w:rsid w:val="1869269D"/>
    <w:rsid w:val="187057CC"/>
    <w:rsid w:val="187279A7"/>
    <w:rsid w:val="18860743"/>
    <w:rsid w:val="188B1760"/>
    <w:rsid w:val="18970F12"/>
    <w:rsid w:val="189933D6"/>
    <w:rsid w:val="18B83AA3"/>
    <w:rsid w:val="18BA5266"/>
    <w:rsid w:val="18C23B1F"/>
    <w:rsid w:val="18C76DCC"/>
    <w:rsid w:val="18CF6506"/>
    <w:rsid w:val="18D019BE"/>
    <w:rsid w:val="190478B9"/>
    <w:rsid w:val="19185113"/>
    <w:rsid w:val="19257FC9"/>
    <w:rsid w:val="19493B22"/>
    <w:rsid w:val="195048A6"/>
    <w:rsid w:val="19577317"/>
    <w:rsid w:val="19680CDD"/>
    <w:rsid w:val="19692E55"/>
    <w:rsid w:val="196B7938"/>
    <w:rsid w:val="198343DE"/>
    <w:rsid w:val="19B42F34"/>
    <w:rsid w:val="19BB659A"/>
    <w:rsid w:val="19CF7551"/>
    <w:rsid w:val="19E65984"/>
    <w:rsid w:val="19E84A82"/>
    <w:rsid w:val="19EE29E8"/>
    <w:rsid w:val="19FF546D"/>
    <w:rsid w:val="1A1B6DF5"/>
    <w:rsid w:val="1A303667"/>
    <w:rsid w:val="1A3B367A"/>
    <w:rsid w:val="1A4B0C9B"/>
    <w:rsid w:val="1A4B710F"/>
    <w:rsid w:val="1A4E7546"/>
    <w:rsid w:val="1A5A1119"/>
    <w:rsid w:val="1A6B4C3F"/>
    <w:rsid w:val="1A6C2FDB"/>
    <w:rsid w:val="1A804F31"/>
    <w:rsid w:val="1A915963"/>
    <w:rsid w:val="1A935399"/>
    <w:rsid w:val="1A970FED"/>
    <w:rsid w:val="1AAB4490"/>
    <w:rsid w:val="1AC706E3"/>
    <w:rsid w:val="1ACE094C"/>
    <w:rsid w:val="1AEE56A0"/>
    <w:rsid w:val="1AF20B3F"/>
    <w:rsid w:val="1AF220BF"/>
    <w:rsid w:val="1B241000"/>
    <w:rsid w:val="1B2A18D8"/>
    <w:rsid w:val="1B2B55D1"/>
    <w:rsid w:val="1B354E03"/>
    <w:rsid w:val="1B3C732D"/>
    <w:rsid w:val="1B530684"/>
    <w:rsid w:val="1B634D6B"/>
    <w:rsid w:val="1B864062"/>
    <w:rsid w:val="1B985C4F"/>
    <w:rsid w:val="1BAA0211"/>
    <w:rsid w:val="1BAB226E"/>
    <w:rsid w:val="1BAB4381"/>
    <w:rsid w:val="1BC57E72"/>
    <w:rsid w:val="1BD81E19"/>
    <w:rsid w:val="1BDF1529"/>
    <w:rsid w:val="1BEA723A"/>
    <w:rsid w:val="1BEF7ABA"/>
    <w:rsid w:val="1BF5003A"/>
    <w:rsid w:val="1BF50A2A"/>
    <w:rsid w:val="1C085913"/>
    <w:rsid w:val="1C1A3F76"/>
    <w:rsid w:val="1C2E5419"/>
    <w:rsid w:val="1C4910E4"/>
    <w:rsid w:val="1C5104F1"/>
    <w:rsid w:val="1C7576AD"/>
    <w:rsid w:val="1C77473A"/>
    <w:rsid w:val="1C7855B7"/>
    <w:rsid w:val="1C884343"/>
    <w:rsid w:val="1C8C2D5C"/>
    <w:rsid w:val="1CA13D9D"/>
    <w:rsid w:val="1CA673CC"/>
    <w:rsid w:val="1CB4004F"/>
    <w:rsid w:val="1CC211E0"/>
    <w:rsid w:val="1CC569BD"/>
    <w:rsid w:val="1CD51F75"/>
    <w:rsid w:val="1CD8237D"/>
    <w:rsid w:val="1CEC0633"/>
    <w:rsid w:val="1CF10EA9"/>
    <w:rsid w:val="1D020C80"/>
    <w:rsid w:val="1D035D66"/>
    <w:rsid w:val="1D1B4999"/>
    <w:rsid w:val="1D3034F2"/>
    <w:rsid w:val="1D3E2E5F"/>
    <w:rsid w:val="1D4F253B"/>
    <w:rsid w:val="1D611FA7"/>
    <w:rsid w:val="1D713D08"/>
    <w:rsid w:val="1D717189"/>
    <w:rsid w:val="1D7570B7"/>
    <w:rsid w:val="1D883CB0"/>
    <w:rsid w:val="1D9256A6"/>
    <w:rsid w:val="1DA12F27"/>
    <w:rsid w:val="1DAA7411"/>
    <w:rsid w:val="1DB50709"/>
    <w:rsid w:val="1DB5444D"/>
    <w:rsid w:val="1DB563F4"/>
    <w:rsid w:val="1DD75E44"/>
    <w:rsid w:val="1DF90C84"/>
    <w:rsid w:val="1E110AAE"/>
    <w:rsid w:val="1E124827"/>
    <w:rsid w:val="1E16757C"/>
    <w:rsid w:val="1E2535CC"/>
    <w:rsid w:val="1E2E7F68"/>
    <w:rsid w:val="1E3657B4"/>
    <w:rsid w:val="1E48749D"/>
    <w:rsid w:val="1E533E7F"/>
    <w:rsid w:val="1E5C4837"/>
    <w:rsid w:val="1E686546"/>
    <w:rsid w:val="1E74010B"/>
    <w:rsid w:val="1E8C5E7E"/>
    <w:rsid w:val="1EC05A75"/>
    <w:rsid w:val="1EC7464F"/>
    <w:rsid w:val="1ED038BC"/>
    <w:rsid w:val="1ED5363C"/>
    <w:rsid w:val="1EEF072F"/>
    <w:rsid w:val="1EFB3FFA"/>
    <w:rsid w:val="1F164656"/>
    <w:rsid w:val="1F166BCD"/>
    <w:rsid w:val="1F1C7A00"/>
    <w:rsid w:val="1F3147EF"/>
    <w:rsid w:val="1F392D57"/>
    <w:rsid w:val="1F3C239A"/>
    <w:rsid w:val="1F433453"/>
    <w:rsid w:val="1F505606"/>
    <w:rsid w:val="1F5800F0"/>
    <w:rsid w:val="1F583502"/>
    <w:rsid w:val="1F6D2D52"/>
    <w:rsid w:val="1F805588"/>
    <w:rsid w:val="1F9377C4"/>
    <w:rsid w:val="1FA93CB5"/>
    <w:rsid w:val="1FAA541B"/>
    <w:rsid w:val="1FC66AFD"/>
    <w:rsid w:val="1FCE1E88"/>
    <w:rsid w:val="1FDA1374"/>
    <w:rsid w:val="1FE50F18"/>
    <w:rsid w:val="1FF96380"/>
    <w:rsid w:val="1FFA47CF"/>
    <w:rsid w:val="20044C19"/>
    <w:rsid w:val="2007723E"/>
    <w:rsid w:val="201A5709"/>
    <w:rsid w:val="202C7EFB"/>
    <w:rsid w:val="203F3EC2"/>
    <w:rsid w:val="204213F3"/>
    <w:rsid w:val="20512FED"/>
    <w:rsid w:val="205477FC"/>
    <w:rsid w:val="20846DB6"/>
    <w:rsid w:val="209708B5"/>
    <w:rsid w:val="20D34571"/>
    <w:rsid w:val="20D905BA"/>
    <w:rsid w:val="20E70C51"/>
    <w:rsid w:val="20F6258A"/>
    <w:rsid w:val="2101257D"/>
    <w:rsid w:val="210F3B56"/>
    <w:rsid w:val="21194D56"/>
    <w:rsid w:val="211F34E2"/>
    <w:rsid w:val="212136FE"/>
    <w:rsid w:val="212352CD"/>
    <w:rsid w:val="212E5124"/>
    <w:rsid w:val="21421D19"/>
    <w:rsid w:val="21504EC4"/>
    <w:rsid w:val="21507673"/>
    <w:rsid w:val="21664264"/>
    <w:rsid w:val="216F7C86"/>
    <w:rsid w:val="21760F27"/>
    <w:rsid w:val="2182360A"/>
    <w:rsid w:val="2185350E"/>
    <w:rsid w:val="218A7EB7"/>
    <w:rsid w:val="21A52DEB"/>
    <w:rsid w:val="21B66B1B"/>
    <w:rsid w:val="21BF7F0E"/>
    <w:rsid w:val="21C13088"/>
    <w:rsid w:val="21C166FA"/>
    <w:rsid w:val="21C27691"/>
    <w:rsid w:val="21C67763"/>
    <w:rsid w:val="21D377F3"/>
    <w:rsid w:val="21EF44A9"/>
    <w:rsid w:val="2201691F"/>
    <w:rsid w:val="22092FAC"/>
    <w:rsid w:val="2210784E"/>
    <w:rsid w:val="223E153B"/>
    <w:rsid w:val="224B2339"/>
    <w:rsid w:val="226035B4"/>
    <w:rsid w:val="22690050"/>
    <w:rsid w:val="22691AA6"/>
    <w:rsid w:val="226D4721"/>
    <w:rsid w:val="22715FC0"/>
    <w:rsid w:val="22792AE5"/>
    <w:rsid w:val="22812984"/>
    <w:rsid w:val="2288155B"/>
    <w:rsid w:val="22986AE7"/>
    <w:rsid w:val="22995A1E"/>
    <w:rsid w:val="22A612D7"/>
    <w:rsid w:val="22C734E4"/>
    <w:rsid w:val="22DB78DD"/>
    <w:rsid w:val="22E749A6"/>
    <w:rsid w:val="22F26A55"/>
    <w:rsid w:val="22F2742F"/>
    <w:rsid w:val="22F51BC9"/>
    <w:rsid w:val="230961F8"/>
    <w:rsid w:val="231820B1"/>
    <w:rsid w:val="23233621"/>
    <w:rsid w:val="2326353C"/>
    <w:rsid w:val="23417510"/>
    <w:rsid w:val="23580F2E"/>
    <w:rsid w:val="235B5B93"/>
    <w:rsid w:val="237127A1"/>
    <w:rsid w:val="237F470C"/>
    <w:rsid w:val="239C0A50"/>
    <w:rsid w:val="23A6262E"/>
    <w:rsid w:val="23A837C9"/>
    <w:rsid w:val="23CB6BBC"/>
    <w:rsid w:val="23E07E09"/>
    <w:rsid w:val="2405271A"/>
    <w:rsid w:val="240C0597"/>
    <w:rsid w:val="2412258E"/>
    <w:rsid w:val="2424698B"/>
    <w:rsid w:val="242E60F2"/>
    <w:rsid w:val="24311EAA"/>
    <w:rsid w:val="24332892"/>
    <w:rsid w:val="24380CE8"/>
    <w:rsid w:val="245E009D"/>
    <w:rsid w:val="24636592"/>
    <w:rsid w:val="24653EC7"/>
    <w:rsid w:val="246F248A"/>
    <w:rsid w:val="246F29D3"/>
    <w:rsid w:val="24703432"/>
    <w:rsid w:val="2478710D"/>
    <w:rsid w:val="248D0C29"/>
    <w:rsid w:val="249079B2"/>
    <w:rsid w:val="2497006D"/>
    <w:rsid w:val="249E78E4"/>
    <w:rsid w:val="24AB03FB"/>
    <w:rsid w:val="24CA6BBE"/>
    <w:rsid w:val="24CF521F"/>
    <w:rsid w:val="24E736EE"/>
    <w:rsid w:val="24EB0861"/>
    <w:rsid w:val="24EF27A7"/>
    <w:rsid w:val="24F627AC"/>
    <w:rsid w:val="24FB5704"/>
    <w:rsid w:val="250009D8"/>
    <w:rsid w:val="25002BE0"/>
    <w:rsid w:val="250C4645"/>
    <w:rsid w:val="250D15C9"/>
    <w:rsid w:val="251C2C6E"/>
    <w:rsid w:val="25241D40"/>
    <w:rsid w:val="252F4EBB"/>
    <w:rsid w:val="254A5C25"/>
    <w:rsid w:val="255B1D54"/>
    <w:rsid w:val="25627E42"/>
    <w:rsid w:val="256D419F"/>
    <w:rsid w:val="25824114"/>
    <w:rsid w:val="25831F59"/>
    <w:rsid w:val="2584214B"/>
    <w:rsid w:val="258A3860"/>
    <w:rsid w:val="258A69AF"/>
    <w:rsid w:val="259A754C"/>
    <w:rsid w:val="25B1306B"/>
    <w:rsid w:val="25B82157"/>
    <w:rsid w:val="25D00112"/>
    <w:rsid w:val="25ED632D"/>
    <w:rsid w:val="25F211C5"/>
    <w:rsid w:val="25F42AE2"/>
    <w:rsid w:val="26035C51"/>
    <w:rsid w:val="261A696E"/>
    <w:rsid w:val="262073FD"/>
    <w:rsid w:val="26275E4B"/>
    <w:rsid w:val="262D1364"/>
    <w:rsid w:val="264F6637"/>
    <w:rsid w:val="2656659A"/>
    <w:rsid w:val="265C3B6C"/>
    <w:rsid w:val="267355E3"/>
    <w:rsid w:val="26744AF5"/>
    <w:rsid w:val="26792D32"/>
    <w:rsid w:val="268752D0"/>
    <w:rsid w:val="268A58A2"/>
    <w:rsid w:val="26941A0D"/>
    <w:rsid w:val="269D144C"/>
    <w:rsid w:val="26CD42CE"/>
    <w:rsid w:val="26CE48DA"/>
    <w:rsid w:val="26DF0879"/>
    <w:rsid w:val="27386591"/>
    <w:rsid w:val="275A2989"/>
    <w:rsid w:val="27604E19"/>
    <w:rsid w:val="277254F7"/>
    <w:rsid w:val="278A7947"/>
    <w:rsid w:val="27BF6FF3"/>
    <w:rsid w:val="27C32C05"/>
    <w:rsid w:val="27C56B1E"/>
    <w:rsid w:val="27C834F7"/>
    <w:rsid w:val="27D74B17"/>
    <w:rsid w:val="27DB7E4F"/>
    <w:rsid w:val="27F05038"/>
    <w:rsid w:val="27FA71F1"/>
    <w:rsid w:val="28111F9B"/>
    <w:rsid w:val="28212236"/>
    <w:rsid w:val="28451904"/>
    <w:rsid w:val="28625655"/>
    <w:rsid w:val="28650375"/>
    <w:rsid w:val="287C003F"/>
    <w:rsid w:val="288030D9"/>
    <w:rsid w:val="288316AE"/>
    <w:rsid w:val="2894224C"/>
    <w:rsid w:val="2898600D"/>
    <w:rsid w:val="28AE1DC4"/>
    <w:rsid w:val="28B9147D"/>
    <w:rsid w:val="28BE7487"/>
    <w:rsid w:val="28DC0F94"/>
    <w:rsid w:val="28E4239A"/>
    <w:rsid w:val="28E80A8A"/>
    <w:rsid w:val="28F01308"/>
    <w:rsid w:val="290A5254"/>
    <w:rsid w:val="291C3819"/>
    <w:rsid w:val="2938753E"/>
    <w:rsid w:val="293D064E"/>
    <w:rsid w:val="29424021"/>
    <w:rsid w:val="29491A44"/>
    <w:rsid w:val="2957138D"/>
    <w:rsid w:val="29723ADD"/>
    <w:rsid w:val="298114E3"/>
    <w:rsid w:val="2996292F"/>
    <w:rsid w:val="299A0974"/>
    <w:rsid w:val="29A273A6"/>
    <w:rsid w:val="29C73B59"/>
    <w:rsid w:val="29EB4B29"/>
    <w:rsid w:val="29F92E99"/>
    <w:rsid w:val="29FB52CC"/>
    <w:rsid w:val="2A061D85"/>
    <w:rsid w:val="2A07024F"/>
    <w:rsid w:val="2A1C40C0"/>
    <w:rsid w:val="2A1D40EC"/>
    <w:rsid w:val="2A275E54"/>
    <w:rsid w:val="2A2F10D0"/>
    <w:rsid w:val="2A4346DB"/>
    <w:rsid w:val="2A4B117C"/>
    <w:rsid w:val="2A5E32CD"/>
    <w:rsid w:val="2A64408F"/>
    <w:rsid w:val="2A6872A9"/>
    <w:rsid w:val="2A6C06BC"/>
    <w:rsid w:val="2A7935C2"/>
    <w:rsid w:val="2A8423B0"/>
    <w:rsid w:val="2A8B3702"/>
    <w:rsid w:val="2A8B571F"/>
    <w:rsid w:val="2A91118D"/>
    <w:rsid w:val="2A921B70"/>
    <w:rsid w:val="2AA17EBF"/>
    <w:rsid w:val="2AB0530B"/>
    <w:rsid w:val="2AC35015"/>
    <w:rsid w:val="2ACD2201"/>
    <w:rsid w:val="2ADB723F"/>
    <w:rsid w:val="2AEC6918"/>
    <w:rsid w:val="2AF11476"/>
    <w:rsid w:val="2AF75775"/>
    <w:rsid w:val="2B3F1B5C"/>
    <w:rsid w:val="2B441194"/>
    <w:rsid w:val="2B450916"/>
    <w:rsid w:val="2B4E5AC6"/>
    <w:rsid w:val="2B5B3AC0"/>
    <w:rsid w:val="2B6366C1"/>
    <w:rsid w:val="2B6E471C"/>
    <w:rsid w:val="2B735A8E"/>
    <w:rsid w:val="2B745D46"/>
    <w:rsid w:val="2B797C6F"/>
    <w:rsid w:val="2B7A5EAF"/>
    <w:rsid w:val="2B821C7A"/>
    <w:rsid w:val="2B8246A5"/>
    <w:rsid w:val="2B8523C9"/>
    <w:rsid w:val="2B9835F5"/>
    <w:rsid w:val="2BA95681"/>
    <w:rsid w:val="2BB46933"/>
    <w:rsid w:val="2BB660AE"/>
    <w:rsid w:val="2BCD1D30"/>
    <w:rsid w:val="2BDB00D1"/>
    <w:rsid w:val="2BDB5369"/>
    <w:rsid w:val="2BE203AD"/>
    <w:rsid w:val="2BE46689"/>
    <w:rsid w:val="2BED2D38"/>
    <w:rsid w:val="2BFD34C3"/>
    <w:rsid w:val="2C024887"/>
    <w:rsid w:val="2C132779"/>
    <w:rsid w:val="2C251BEF"/>
    <w:rsid w:val="2C2545DF"/>
    <w:rsid w:val="2C260D77"/>
    <w:rsid w:val="2C3715A3"/>
    <w:rsid w:val="2C3D350F"/>
    <w:rsid w:val="2C4802FB"/>
    <w:rsid w:val="2C4C62A9"/>
    <w:rsid w:val="2C513230"/>
    <w:rsid w:val="2C5B2038"/>
    <w:rsid w:val="2C62056D"/>
    <w:rsid w:val="2C7148E8"/>
    <w:rsid w:val="2C7F39CF"/>
    <w:rsid w:val="2C8B3725"/>
    <w:rsid w:val="2C8C379C"/>
    <w:rsid w:val="2CA17063"/>
    <w:rsid w:val="2CA40FD2"/>
    <w:rsid w:val="2CA577FA"/>
    <w:rsid w:val="2CAF49DC"/>
    <w:rsid w:val="2CD63363"/>
    <w:rsid w:val="2D072554"/>
    <w:rsid w:val="2D097B57"/>
    <w:rsid w:val="2D1E1B29"/>
    <w:rsid w:val="2D26235E"/>
    <w:rsid w:val="2D372ED1"/>
    <w:rsid w:val="2D5C7549"/>
    <w:rsid w:val="2D98292E"/>
    <w:rsid w:val="2DA47A56"/>
    <w:rsid w:val="2DB34BC9"/>
    <w:rsid w:val="2DC761F4"/>
    <w:rsid w:val="2DCD2C67"/>
    <w:rsid w:val="2DD852BE"/>
    <w:rsid w:val="2DDA3E01"/>
    <w:rsid w:val="2DE60136"/>
    <w:rsid w:val="2DF41B19"/>
    <w:rsid w:val="2E0828A9"/>
    <w:rsid w:val="2E1433AE"/>
    <w:rsid w:val="2E1D524D"/>
    <w:rsid w:val="2E36630F"/>
    <w:rsid w:val="2E414A83"/>
    <w:rsid w:val="2E4A3CDC"/>
    <w:rsid w:val="2E542C1C"/>
    <w:rsid w:val="2E5E5DC9"/>
    <w:rsid w:val="2E7950A2"/>
    <w:rsid w:val="2E8A032A"/>
    <w:rsid w:val="2E976FA4"/>
    <w:rsid w:val="2EBC6814"/>
    <w:rsid w:val="2EC91E34"/>
    <w:rsid w:val="2ED45777"/>
    <w:rsid w:val="2EDC657F"/>
    <w:rsid w:val="2EE04B13"/>
    <w:rsid w:val="2EEE35D6"/>
    <w:rsid w:val="2F0605AF"/>
    <w:rsid w:val="2F064632"/>
    <w:rsid w:val="2F2F5238"/>
    <w:rsid w:val="2F367A08"/>
    <w:rsid w:val="2F3B5817"/>
    <w:rsid w:val="2F404342"/>
    <w:rsid w:val="2F41106B"/>
    <w:rsid w:val="2F4D5742"/>
    <w:rsid w:val="2F5220D0"/>
    <w:rsid w:val="2F6446C3"/>
    <w:rsid w:val="2F8829BD"/>
    <w:rsid w:val="2F95545F"/>
    <w:rsid w:val="2FA355EC"/>
    <w:rsid w:val="2FE21184"/>
    <w:rsid w:val="30064455"/>
    <w:rsid w:val="30102D84"/>
    <w:rsid w:val="301C58FA"/>
    <w:rsid w:val="302F1268"/>
    <w:rsid w:val="303A7592"/>
    <w:rsid w:val="303D0D99"/>
    <w:rsid w:val="30425AA0"/>
    <w:rsid w:val="30467174"/>
    <w:rsid w:val="305E5E64"/>
    <w:rsid w:val="306770E1"/>
    <w:rsid w:val="307067E4"/>
    <w:rsid w:val="30781978"/>
    <w:rsid w:val="307B4571"/>
    <w:rsid w:val="309F642D"/>
    <w:rsid w:val="30D33DCD"/>
    <w:rsid w:val="310E0E7D"/>
    <w:rsid w:val="31244B45"/>
    <w:rsid w:val="31273A6F"/>
    <w:rsid w:val="313C18D5"/>
    <w:rsid w:val="31606AE4"/>
    <w:rsid w:val="31634C38"/>
    <w:rsid w:val="3165420A"/>
    <w:rsid w:val="31707551"/>
    <w:rsid w:val="31772EC7"/>
    <w:rsid w:val="31887B58"/>
    <w:rsid w:val="31B738FF"/>
    <w:rsid w:val="31BB570E"/>
    <w:rsid w:val="31DE482A"/>
    <w:rsid w:val="31F2079F"/>
    <w:rsid w:val="31FD161E"/>
    <w:rsid w:val="320329AC"/>
    <w:rsid w:val="320348C3"/>
    <w:rsid w:val="32061273"/>
    <w:rsid w:val="32061CEE"/>
    <w:rsid w:val="321C64E4"/>
    <w:rsid w:val="321F7982"/>
    <w:rsid w:val="321F7CA4"/>
    <w:rsid w:val="322D17D7"/>
    <w:rsid w:val="32345719"/>
    <w:rsid w:val="32417B96"/>
    <w:rsid w:val="32516F7E"/>
    <w:rsid w:val="325C4DFB"/>
    <w:rsid w:val="326A6B10"/>
    <w:rsid w:val="32943604"/>
    <w:rsid w:val="32A41A99"/>
    <w:rsid w:val="32A836A4"/>
    <w:rsid w:val="32B276E2"/>
    <w:rsid w:val="32BD2B5B"/>
    <w:rsid w:val="32DE7669"/>
    <w:rsid w:val="32E60EE9"/>
    <w:rsid w:val="33284082"/>
    <w:rsid w:val="33365770"/>
    <w:rsid w:val="3344502A"/>
    <w:rsid w:val="33502F7A"/>
    <w:rsid w:val="335B0099"/>
    <w:rsid w:val="33664FA1"/>
    <w:rsid w:val="33677CD7"/>
    <w:rsid w:val="336A3AB6"/>
    <w:rsid w:val="336B48E9"/>
    <w:rsid w:val="33702C62"/>
    <w:rsid w:val="337A6C9E"/>
    <w:rsid w:val="33820F4F"/>
    <w:rsid w:val="33862127"/>
    <w:rsid w:val="33B454F5"/>
    <w:rsid w:val="33BF3CF2"/>
    <w:rsid w:val="33D210B1"/>
    <w:rsid w:val="33D77A5D"/>
    <w:rsid w:val="33E44D4B"/>
    <w:rsid w:val="33FB393B"/>
    <w:rsid w:val="3403772D"/>
    <w:rsid w:val="34085D95"/>
    <w:rsid w:val="34120557"/>
    <w:rsid w:val="34140163"/>
    <w:rsid w:val="34156F24"/>
    <w:rsid w:val="34264E62"/>
    <w:rsid w:val="342E7AB5"/>
    <w:rsid w:val="34380B33"/>
    <w:rsid w:val="344170A8"/>
    <w:rsid w:val="34455B84"/>
    <w:rsid w:val="34465661"/>
    <w:rsid w:val="345E2AEC"/>
    <w:rsid w:val="346E081F"/>
    <w:rsid w:val="347A266B"/>
    <w:rsid w:val="3489254B"/>
    <w:rsid w:val="348C32EE"/>
    <w:rsid w:val="348D5F01"/>
    <w:rsid w:val="3491475E"/>
    <w:rsid w:val="34A94B9D"/>
    <w:rsid w:val="34A97341"/>
    <w:rsid w:val="34D1547E"/>
    <w:rsid w:val="34D40E4B"/>
    <w:rsid w:val="34D52F86"/>
    <w:rsid w:val="34E1521C"/>
    <w:rsid w:val="34EB05D3"/>
    <w:rsid w:val="34EE68BC"/>
    <w:rsid w:val="34EE6A66"/>
    <w:rsid w:val="352736F2"/>
    <w:rsid w:val="352B393D"/>
    <w:rsid w:val="35365304"/>
    <w:rsid w:val="35387706"/>
    <w:rsid w:val="354173E7"/>
    <w:rsid w:val="35484DCC"/>
    <w:rsid w:val="356111F2"/>
    <w:rsid w:val="356A459B"/>
    <w:rsid w:val="35712EA6"/>
    <w:rsid w:val="35807F35"/>
    <w:rsid w:val="359F0A1F"/>
    <w:rsid w:val="35A5258E"/>
    <w:rsid w:val="35B559EE"/>
    <w:rsid w:val="35B85CEF"/>
    <w:rsid w:val="35BA15D4"/>
    <w:rsid w:val="35CA5E56"/>
    <w:rsid w:val="35CD6C7C"/>
    <w:rsid w:val="35DC59EE"/>
    <w:rsid w:val="35F84C40"/>
    <w:rsid w:val="35FD5C86"/>
    <w:rsid w:val="36045031"/>
    <w:rsid w:val="361C52BB"/>
    <w:rsid w:val="362339F8"/>
    <w:rsid w:val="362536B9"/>
    <w:rsid w:val="364145DA"/>
    <w:rsid w:val="36587736"/>
    <w:rsid w:val="365E01C3"/>
    <w:rsid w:val="365F0600"/>
    <w:rsid w:val="366969D9"/>
    <w:rsid w:val="36880699"/>
    <w:rsid w:val="368A544A"/>
    <w:rsid w:val="36930F0A"/>
    <w:rsid w:val="36967441"/>
    <w:rsid w:val="369A61DC"/>
    <w:rsid w:val="36A13856"/>
    <w:rsid w:val="36C06EE0"/>
    <w:rsid w:val="36CE085B"/>
    <w:rsid w:val="36DA4285"/>
    <w:rsid w:val="36DB22ED"/>
    <w:rsid w:val="36EF52AD"/>
    <w:rsid w:val="37035D8F"/>
    <w:rsid w:val="370E1A78"/>
    <w:rsid w:val="37136BC4"/>
    <w:rsid w:val="371F2036"/>
    <w:rsid w:val="37300069"/>
    <w:rsid w:val="37616EA1"/>
    <w:rsid w:val="376C5A3E"/>
    <w:rsid w:val="376D7C89"/>
    <w:rsid w:val="377603E2"/>
    <w:rsid w:val="377F3076"/>
    <w:rsid w:val="37906A90"/>
    <w:rsid w:val="37920ED8"/>
    <w:rsid w:val="37990D6F"/>
    <w:rsid w:val="379A46A2"/>
    <w:rsid w:val="379E32C5"/>
    <w:rsid w:val="37B847CE"/>
    <w:rsid w:val="37C15C04"/>
    <w:rsid w:val="37C50280"/>
    <w:rsid w:val="37D56521"/>
    <w:rsid w:val="37D6556E"/>
    <w:rsid w:val="37D92E3D"/>
    <w:rsid w:val="37FE2D12"/>
    <w:rsid w:val="380952EE"/>
    <w:rsid w:val="3818289C"/>
    <w:rsid w:val="381F719A"/>
    <w:rsid w:val="38307868"/>
    <w:rsid w:val="38333186"/>
    <w:rsid w:val="3857135C"/>
    <w:rsid w:val="38602906"/>
    <w:rsid w:val="388E407C"/>
    <w:rsid w:val="38A33D21"/>
    <w:rsid w:val="38A76CC3"/>
    <w:rsid w:val="38A97801"/>
    <w:rsid w:val="38B87C75"/>
    <w:rsid w:val="38BC3C79"/>
    <w:rsid w:val="38C56C0D"/>
    <w:rsid w:val="38C7582F"/>
    <w:rsid w:val="38D72BE5"/>
    <w:rsid w:val="38DB5A5D"/>
    <w:rsid w:val="38E528C9"/>
    <w:rsid w:val="38E65DE7"/>
    <w:rsid w:val="38E9763B"/>
    <w:rsid w:val="38F33B4D"/>
    <w:rsid w:val="38F848ED"/>
    <w:rsid w:val="3916763E"/>
    <w:rsid w:val="391D6FFE"/>
    <w:rsid w:val="392076C8"/>
    <w:rsid w:val="393957B3"/>
    <w:rsid w:val="393C495E"/>
    <w:rsid w:val="393E0492"/>
    <w:rsid w:val="393F2F89"/>
    <w:rsid w:val="395538EA"/>
    <w:rsid w:val="395B5987"/>
    <w:rsid w:val="39624D5A"/>
    <w:rsid w:val="396B46DC"/>
    <w:rsid w:val="396F1706"/>
    <w:rsid w:val="39725265"/>
    <w:rsid w:val="397C4A83"/>
    <w:rsid w:val="3995038E"/>
    <w:rsid w:val="39AC11B8"/>
    <w:rsid w:val="39C632B7"/>
    <w:rsid w:val="39CA10F2"/>
    <w:rsid w:val="39CF1A3C"/>
    <w:rsid w:val="39DB6492"/>
    <w:rsid w:val="39E9692C"/>
    <w:rsid w:val="3A0F6392"/>
    <w:rsid w:val="3A1417E7"/>
    <w:rsid w:val="3A14324E"/>
    <w:rsid w:val="3A256AB8"/>
    <w:rsid w:val="3A262965"/>
    <w:rsid w:val="3A3A68E1"/>
    <w:rsid w:val="3A3A7FF6"/>
    <w:rsid w:val="3A4B7489"/>
    <w:rsid w:val="3A524FB0"/>
    <w:rsid w:val="3A5519C8"/>
    <w:rsid w:val="3A555D6F"/>
    <w:rsid w:val="3A68450B"/>
    <w:rsid w:val="3A704AA6"/>
    <w:rsid w:val="3A725A6A"/>
    <w:rsid w:val="3A7B6D7A"/>
    <w:rsid w:val="3A806A20"/>
    <w:rsid w:val="3A832C54"/>
    <w:rsid w:val="3AA40A16"/>
    <w:rsid w:val="3AAF4824"/>
    <w:rsid w:val="3AB22DE8"/>
    <w:rsid w:val="3AC749ED"/>
    <w:rsid w:val="3AE710BD"/>
    <w:rsid w:val="3AF7438F"/>
    <w:rsid w:val="3AF80191"/>
    <w:rsid w:val="3B023801"/>
    <w:rsid w:val="3B025CC2"/>
    <w:rsid w:val="3B204DA9"/>
    <w:rsid w:val="3B3D68D4"/>
    <w:rsid w:val="3B4B29DA"/>
    <w:rsid w:val="3B4E6A46"/>
    <w:rsid w:val="3B8A11CE"/>
    <w:rsid w:val="3B8E778B"/>
    <w:rsid w:val="3BA23236"/>
    <w:rsid w:val="3BE30248"/>
    <w:rsid w:val="3BE36E6A"/>
    <w:rsid w:val="3BE44D8F"/>
    <w:rsid w:val="3BEB12B0"/>
    <w:rsid w:val="3BF05D4F"/>
    <w:rsid w:val="3BF155D2"/>
    <w:rsid w:val="3C075377"/>
    <w:rsid w:val="3C1407E4"/>
    <w:rsid w:val="3C1B2996"/>
    <w:rsid w:val="3C2E0626"/>
    <w:rsid w:val="3C3175B0"/>
    <w:rsid w:val="3C391E4D"/>
    <w:rsid w:val="3C4340D1"/>
    <w:rsid w:val="3C462795"/>
    <w:rsid w:val="3C4D4F50"/>
    <w:rsid w:val="3C652875"/>
    <w:rsid w:val="3C7E106A"/>
    <w:rsid w:val="3C9506A5"/>
    <w:rsid w:val="3C9D6A05"/>
    <w:rsid w:val="3C9E16A6"/>
    <w:rsid w:val="3CA07775"/>
    <w:rsid w:val="3CA43AD4"/>
    <w:rsid w:val="3CA579F9"/>
    <w:rsid w:val="3CAA46EF"/>
    <w:rsid w:val="3CCC2355"/>
    <w:rsid w:val="3CDC6A20"/>
    <w:rsid w:val="3CED228F"/>
    <w:rsid w:val="3D0D26DB"/>
    <w:rsid w:val="3D0D57FC"/>
    <w:rsid w:val="3D361E88"/>
    <w:rsid w:val="3D3905ED"/>
    <w:rsid w:val="3D3B307D"/>
    <w:rsid w:val="3D4C74E4"/>
    <w:rsid w:val="3D5F2DF1"/>
    <w:rsid w:val="3D622C7D"/>
    <w:rsid w:val="3D6C3AFB"/>
    <w:rsid w:val="3D7B0D33"/>
    <w:rsid w:val="3D8674F8"/>
    <w:rsid w:val="3D8A269A"/>
    <w:rsid w:val="3D98699C"/>
    <w:rsid w:val="3D9D2072"/>
    <w:rsid w:val="3D9E7367"/>
    <w:rsid w:val="3DA36AC8"/>
    <w:rsid w:val="3DA56DC8"/>
    <w:rsid w:val="3DA57AEF"/>
    <w:rsid w:val="3DB1219B"/>
    <w:rsid w:val="3DBF4A95"/>
    <w:rsid w:val="3DC01751"/>
    <w:rsid w:val="3DC41242"/>
    <w:rsid w:val="3DC47D28"/>
    <w:rsid w:val="3DCF6016"/>
    <w:rsid w:val="3DE47EA4"/>
    <w:rsid w:val="3DE771BB"/>
    <w:rsid w:val="3DFC562C"/>
    <w:rsid w:val="3DFF1C90"/>
    <w:rsid w:val="3E0855D7"/>
    <w:rsid w:val="3E24010C"/>
    <w:rsid w:val="3E246184"/>
    <w:rsid w:val="3E264076"/>
    <w:rsid w:val="3E2833B1"/>
    <w:rsid w:val="3E38288B"/>
    <w:rsid w:val="3E3F39CC"/>
    <w:rsid w:val="3E456D30"/>
    <w:rsid w:val="3E4B1963"/>
    <w:rsid w:val="3E584682"/>
    <w:rsid w:val="3E60426E"/>
    <w:rsid w:val="3E6F37E1"/>
    <w:rsid w:val="3E751C2C"/>
    <w:rsid w:val="3E7A01DE"/>
    <w:rsid w:val="3E8A08E2"/>
    <w:rsid w:val="3E973FD8"/>
    <w:rsid w:val="3EA3354D"/>
    <w:rsid w:val="3EA569CB"/>
    <w:rsid w:val="3EAC69B4"/>
    <w:rsid w:val="3EAF1EF2"/>
    <w:rsid w:val="3EBF39AF"/>
    <w:rsid w:val="3ED57753"/>
    <w:rsid w:val="3EF20138"/>
    <w:rsid w:val="3F01795D"/>
    <w:rsid w:val="3F0A14BF"/>
    <w:rsid w:val="3F0F0442"/>
    <w:rsid w:val="3F143F10"/>
    <w:rsid w:val="3F1B1335"/>
    <w:rsid w:val="3F2A3A86"/>
    <w:rsid w:val="3F2A700B"/>
    <w:rsid w:val="3F2D1DF6"/>
    <w:rsid w:val="3F387591"/>
    <w:rsid w:val="3F4C16A2"/>
    <w:rsid w:val="3F552610"/>
    <w:rsid w:val="3F584337"/>
    <w:rsid w:val="3F5D36FC"/>
    <w:rsid w:val="3F5F26C7"/>
    <w:rsid w:val="3F67457A"/>
    <w:rsid w:val="3F734451"/>
    <w:rsid w:val="3F822067"/>
    <w:rsid w:val="3F8907E5"/>
    <w:rsid w:val="3F9477F0"/>
    <w:rsid w:val="3FA532F5"/>
    <w:rsid w:val="3FC77B33"/>
    <w:rsid w:val="3FFF47B3"/>
    <w:rsid w:val="400540C9"/>
    <w:rsid w:val="401C50DF"/>
    <w:rsid w:val="402049FD"/>
    <w:rsid w:val="40224B03"/>
    <w:rsid w:val="40322F21"/>
    <w:rsid w:val="403F1053"/>
    <w:rsid w:val="403F72A5"/>
    <w:rsid w:val="4044666A"/>
    <w:rsid w:val="404758E6"/>
    <w:rsid w:val="404B6634"/>
    <w:rsid w:val="40505B43"/>
    <w:rsid w:val="40641AC8"/>
    <w:rsid w:val="4073238F"/>
    <w:rsid w:val="40773FC3"/>
    <w:rsid w:val="40890521"/>
    <w:rsid w:val="408B140F"/>
    <w:rsid w:val="40AC3A70"/>
    <w:rsid w:val="40C35A03"/>
    <w:rsid w:val="40C42355"/>
    <w:rsid w:val="40C5234C"/>
    <w:rsid w:val="40FE334F"/>
    <w:rsid w:val="40FE7025"/>
    <w:rsid w:val="4101245E"/>
    <w:rsid w:val="41152615"/>
    <w:rsid w:val="41165F4B"/>
    <w:rsid w:val="41202C33"/>
    <w:rsid w:val="41490E44"/>
    <w:rsid w:val="416A6BD2"/>
    <w:rsid w:val="41736007"/>
    <w:rsid w:val="417A62FF"/>
    <w:rsid w:val="41850CE8"/>
    <w:rsid w:val="41A9638B"/>
    <w:rsid w:val="41A9666C"/>
    <w:rsid w:val="41AA0BE3"/>
    <w:rsid w:val="41AA4BF2"/>
    <w:rsid w:val="41DE5890"/>
    <w:rsid w:val="41E06866"/>
    <w:rsid w:val="41E23C35"/>
    <w:rsid w:val="420A3F80"/>
    <w:rsid w:val="421309EA"/>
    <w:rsid w:val="421A2DD0"/>
    <w:rsid w:val="421E4644"/>
    <w:rsid w:val="422810F5"/>
    <w:rsid w:val="422A4F43"/>
    <w:rsid w:val="42366486"/>
    <w:rsid w:val="423C1CEE"/>
    <w:rsid w:val="4242292D"/>
    <w:rsid w:val="424E742E"/>
    <w:rsid w:val="42502332"/>
    <w:rsid w:val="425820B0"/>
    <w:rsid w:val="42652880"/>
    <w:rsid w:val="427D40B5"/>
    <w:rsid w:val="42955396"/>
    <w:rsid w:val="42997CCE"/>
    <w:rsid w:val="429B21A6"/>
    <w:rsid w:val="42A02170"/>
    <w:rsid w:val="42A124AC"/>
    <w:rsid w:val="42A30C28"/>
    <w:rsid w:val="42A81132"/>
    <w:rsid w:val="42B71946"/>
    <w:rsid w:val="42CC7F00"/>
    <w:rsid w:val="42D047B1"/>
    <w:rsid w:val="42F56341"/>
    <w:rsid w:val="42F6500C"/>
    <w:rsid w:val="42FD543C"/>
    <w:rsid w:val="43222DDF"/>
    <w:rsid w:val="432A2C4D"/>
    <w:rsid w:val="432B0F0F"/>
    <w:rsid w:val="433F4156"/>
    <w:rsid w:val="43452E25"/>
    <w:rsid w:val="435272F0"/>
    <w:rsid w:val="435721A2"/>
    <w:rsid w:val="43757FC3"/>
    <w:rsid w:val="43805E5C"/>
    <w:rsid w:val="439C589D"/>
    <w:rsid w:val="439E7182"/>
    <w:rsid w:val="43A20BCB"/>
    <w:rsid w:val="43B51716"/>
    <w:rsid w:val="43C34DFF"/>
    <w:rsid w:val="43C942FE"/>
    <w:rsid w:val="43D37A8B"/>
    <w:rsid w:val="43D54039"/>
    <w:rsid w:val="43E15CC1"/>
    <w:rsid w:val="43F8453A"/>
    <w:rsid w:val="44007E80"/>
    <w:rsid w:val="44034990"/>
    <w:rsid w:val="4419099C"/>
    <w:rsid w:val="442339AB"/>
    <w:rsid w:val="442C0688"/>
    <w:rsid w:val="442C6C2C"/>
    <w:rsid w:val="44415B31"/>
    <w:rsid w:val="44787837"/>
    <w:rsid w:val="449F125F"/>
    <w:rsid w:val="44DC6709"/>
    <w:rsid w:val="44F00C5A"/>
    <w:rsid w:val="44F21F7D"/>
    <w:rsid w:val="44FA0D87"/>
    <w:rsid w:val="450C1B50"/>
    <w:rsid w:val="452247CA"/>
    <w:rsid w:val="453373F7"/>
    <w:rsid w:val="45374DC2"/>
    <w:rsid w:val="4556660D"/>
    <w:rsid w:val="455B22EC"/>
    <w:rsid w:val="455C177A"/>
    <w:rsid w:val="455D3F88"/>
    <w:rsid w:val="45660E30"/>
    <w:rsid w:val="456D0411"/>
    <w:rsid w:val="45862D6C"/>
    <w:rsid w:val="45906FE0"/>
    <w:rsid w:val="45965B92"/>
    <w:rsid w:val="459E583B"/>
    <w:rsid w:val="45C05BC4"/>
    <w:rsid w:val="45C43ECA"/>
    <w:rsid w:val="45E05378"/>
    <w:rsid w:val="45E96624"/>
    <w:rsid w:val="45F142D2"/>
    <w:rsid w:val="460E5640"/>
    <w:rsid w:val="46100645"/>
    <w:rsid w:val="461D2DBD"/>
    <w:rsid w:val="46257ED3"/>
    <w:rsid w:val="462C207A"/>
    <w:rsid w:val="46300947"/>
    <w:rsid w:val="463158E2"/>
    <w:rsid w:val="46327DA2"/>
    <w:rsid w:val="46333408"/>
    <w:rsid w:val="463352C3"/>
    <w:rsid w:val="463B050F"/>
    <w:rsid w:val="464D7A4A"/>
    <w:rsid w:val="46592743"/>
    <w:rsid w:val="465F16BC"/>
    <w:rsid w:val="4660349C"/>
    <w:rsid w:val="46617B89"/>
    <w:rsid w:val="466301CA"/>
    <w:rsid w:val="46647A66"/>
    <w:rsid w:val="4672350F"/>
    <w:rsid w:val="46792556"/>
    <w:rsid w:val="46804174"/>
    <w:rsid w:val="468436B4"/>
    <w:rsid w:val="46B470CD"/>
    <w:rsid w:val="46BB3AD5"/>
    <w:rsid w:val="46D0109F"/>
    <w:rsid w:val="46DC60AD"/>
    <w:rsid w:val="46E22739"/>
    <w:rsid w:val="46FC6DB9"/>
    <w:rsid w:val="471D2E95"/>
    <w:rsid w:val="47222314"/>
    <w:rsid w:val="472846FF"/>
    <w:rsid w:val="4728642E"/>
    <w:rsid w:val="47292475"/>
    <w:rsid w:val="474F0B12"/>
    <w:rsid w:val="474F1BE2"/>
    <w:rsid w:val="47522E24"/>
    <w:rsid w:val="475818D4"/>
    <w:rsid w:val="47593A97"/>
    <w:rsid w:val="476E6011"/>
    <w:rsid w:val="477A574D"/>
    <w:rsid w:val="477C0433"/>
    <w:rsid w:val="47A125F4"/>
    <w:rsid w:val="47AC71EB"/>
    <w:rsid w:val="47BA33C1"/>
    <w:rsid w:val="47CE4F03"/>
    <w:rsid w:val="47D44777"/>
    <w:rsid w:val="47D70B8B"/>
    <w:rsid w:val="47D73952"/>
    <w:rsid w:val="480A268C"/>
    <w:rsid w:val="480F4AFE"/>
    <w:rsid w:val="481F4878"/>
    <w:rsid w:val="482F5260"/>
    <w:rsid w:val="483E4ACF"/>
    <w:rsid w:val="484713ED"/>
    <w:rsid w:val="484727AE"/>
    <w:rsid w:val="4847487F"/>
    <w:rsid w:val="485711AC"/>
    <w:rsid w:val="48835879"/>
    <w:rsid w:val="488B044F"/>
    <w:rsid w:val="488C0E9F"/>
    <w:rsid w:val="48AB000C"/>
    <w:rsid w:val="48AC08A6"/>
    <w:rsid w:val="48B15B37"/>
    <w:rsid w:val="48CB0B13"/>
    <w:rsid w:val="48DF258E"/>
    <w:rsid w:val="48F826E7"/>
    <w:rsid w:val="48FE19E9"/>
    <w:rsid w:val="49057F8B"/>
    <w:rsid w:val="490C4F50"/>
    <w:rsid w:val="49170095"/>
    <w:rsid w:val="493059DD"/>
    <w:rsid w:val="493234B8"/>
    <w:rsid w:val="4939795C"/>
    <w:rsid w:val="494A7166"/>
    <w:rsid w:val="495046C9"/>
    <w:rsid w:val="49695393"/>
    <w:rsid w:val="498354F9"/>
    <w:rsid w:val="49A360B7"/>
    <w:rsid w:val="49B459FD"/>
    <w:rsid w:val="49C83F30"/>
    <w:rsid w:val="49CF2A09"/>
    <w:rsid w:val="49CF3448"/>
    <w:rsid w:val="49D30B0A"/>
    <w:rsid w:val="49D56585"/>
    <w:rsid w:val="49D722CB"/>
    <w:rsid w:val="49DA2AA0"/>
    <w:rsid w:val="49DC09D7"/>
    <w:rsid w:val="49E1103E"/>
    <w:rsid w:val="49EF3BFC"/>
    <w:rsid w:val="49F435C4"/>
    <w:rsid w:val="4A113739"/>
    <w:rsid w:val="4A300FE4"/>
    <w:rsid w:val="4A360EA7"/>
    <w:rsid w:val="4A393372"/>
    <w:rsid w:val="4A477482"/>
    <w:rsid w:val="4A725A0C"/>
    <w:rsid w:val="4A936A54"/>
    <w:rsid w:val="4AAD5473"/>
    <w:rsid w:val="4ACA5C39"/>
    <w:rsid w:val="4ACB1832"/>
    <w:rsid w:val="4AD07FCE"/>
    <w:rsid w:val="4ADD2FC0"/>
    <w:rsid w:val="4AFB4262"/>
    <w:rsid w:val="4B1359C5"/>
    <w:rsid w:val="4B1921BB"/>
    <w:rsid w:val="4B2A2019"/>
    <w:rsid w:val="4B3B24B9"/>
    <w:rsid w:val="4B425E9C"/>
    <w:rsid w:val="4B4760A2"/>
    <w:rsid w:val="4B5B545B"/>
    <w:rsid w:val="4B702E7A"/>
    <w:rsid w:val="4B740695"/>
    <w:rsid w:val="4B7F0E9E"/>
    <w:rsid w:val="4B812F7C"/>
    <w:rsid w:val="4B880F1F"/>
    <w:rsid w:val="4B9D4C8E"/>
    <w:rsid w:val="4BA4730F"/>
    <w:rsid w:val="4BBA06D2"/>
    <w:rsid w:val="4BDC646C"/>
    <w:rsid w:val="4BE26E1B"/>
    <w:rsid w:val="4BEA052B"/>
    <w:rsid w:val="4BF76DF1"/>
    <w:rsid w:val="4C0641B8"/>
    <w:rsid w:val="4C212AFC"/>
    <w:rsid w:val="4C281653"/>
    <w:rsid w:val="4C313745"/>
    <w:rsid w:val="4C3B4807"/>
    <w:rsid w:val="4C3F7459"/>
    <w:rsid w:val="4C4A7F2C"/>
    <w:rsid w:val="4C545772"/>
    <w:rsid w:val="4C56201C"/>
    <w:rsid w:val="4C62489A"/>
    <w:rsid w:val="4C6C74B6"/>
    <w:rsid w:val="4C832117"/>
    <w:rsid w:val="4C883D82"/>
    <w:rsid w:val="4C8E07AB"/>
    <w:rsid w:val="4C8F5111"/>
    <w:rsid w:val="4C9038B4"/>
    <w:rsid w:val="4C9773B7"/>
    <w:rsid w:val="4C990364"/>
    <w:rsid w:val="4CB257E8"/>
    <w:rsid w:val="4CBD4A15"/>
    <w:rsid w:val="4CD95FD0"/>
    <w:rsid w:val="4CE75492"/>
    <w:rsid w:val="4CF14188"/>
    <w:rsid w:val="4CF338F1"/>
    <w:rsid w:val="4CF3569F"/>
    <w:rsid w:val="4CFA1010"/>
    <w:rsid w:val="4D07472A"/>
    <w:rsid w:val="4D0A0EF1"/>
    <w:rsid w:val="4D225F85"/>
    <w:rsid w:val="4D265869"/>
    <w:rsid w:val="4D3868A9"/>
    <w:rsid w:val="4D3B627F"/>
    <w:rsid w:val="4D3E616D"/>
    <w:rsid w:val="4D4642A6"/>
    <w:rsid w:val="4D48517F"/>
    <w:rsid w:val="4D485ADD"/>
    <w:rsid w:val="4D5230E4"/>
    <w:rsid w:val="4D7D1359"/>
    <w:rsid w:val="4DA56B80"/>
    <w:rsid w:val="4DAC32B7"/>
    <w:rsid w:val="4DBC59F1"/>
    <w:rsid w:val="4DD52FF7"/>
    <w:rsid w:val="4DDC6134"/>
    <w:rsid w:val="4DF27705"/>
    <w:rsid w:val="4DF43C9C"/>
    <w:rsid w:val="4E04696C"/>
    <w:rsid w:val="4E093DDE"/>
    <w:rsid w:val="4E097F4C"/>
    <w:rsid w:val="4E0D45F1"/>
    <w:rsid w:val="4E1514FB"/>
    <w:rsid w:val="4E1F388A"/>
    <w:rsid w:val="4E311AC4"/>
    <w:rsid w:val="4E3D0FE9"/>
    <w:rsid w:val="4E3D1CD1"/>
    <w:rsid w:val="4E526321"/>
    <w:rsid w:val="4E554010"/>
    <w:rsid w:val="4E574C9A"/>
    <w:rsid w:val="4E663936"/>
    <w:rsid w:val="4E6D1C39"/>
    <w:rsid w:val="4E6E7894"/>
    <w:rsid w:val="4E7D3098"/>
    <w:rsid w:val="4E8C3D38"/>
    <w:rsid w:val="4E8D511A"/>
    <w:rsid w:val="4E993E2F"/>
    <w:rsid w:val="4EB81F46"/>
    <w:rsid w:val="4EBF538F"/>
    <w:rsid w:val="4EC86E27"/>
    <w:rsid w:val="4EF00D3E"/>
    <w:rsid w:val="4F343D4D"/>
    <w:rsid w:val="4F5F2F69"/>
    <w:rsid w:val="4F846B0C"/>
    <w:rsid w:val="4F850846"/>
    <w:rsid w:val="4F9604A8"/>
    <w:rsid w:val="4FAA24EE"/>
    <w:rsid w:val="4FBA656A"/>
    <w:rsid w:val="4FBE2791"/>
    <w:rsid w:val="4FBE621C"/>
    <w:rsid w:val="4FCD4272"/>
    <w:rsid w:val="4FD6109C"/>
    <w:rsid w:val="4FEF0ACC"/>
    <w:rsid w:val="4FF51642"/>
    <w:rsid w:val="4FFC574D"/>
    <w:rsid w:val="50165E71"/>
    <w:rsid w:val="502136DC"/>
    <w:rsid w:val="5025232D"/>
    <w:rsid w:val="503448F9"/>
    <w:rsid w:val="50397B6B"/>
    <w:rsid w:val="50537FAC"/>
    <w:rsid w:val="505411AE"/>
    <w:rsid w:val="505863CE"/>
    <w:rsid w:val="50670742"/>
    <w:rsid w:val="50850D04"/>
    <w:rsid w:val="50942836"/>
    <w:rsid w:val="509E3B74"/>
    <w:rsid w:val="50B439B0"/>
    <w:rsid w:val="50B603C8"/>
    <w:rsid w:val="50BA3B73"/>
    <w:rsid w:val="50C74A6A"/>
    <w:rsid w:val="50CB4E96"/>
    <w:rsid w:val="50D67198"/>
    <w:rsid w:val="50DA1639"/>
    <w:rsid w:val="50DB735B"/>
    <w:rsid w:val="50E51CE4"/>
    <w:rsid w:val="50ED6FC9"/>
    <w:rsid w:val="51013BE1"/>
    <w:rsid w:val="510345CA"/>
    <w:rsid w:val="5105586F"/>
    <w:rsid w:val="510A3ABE"/>
    <w:rsid w:val="511C2FBB"/>
    <w:rsid w:val="512A365A"/>
    <w:rsid w:val="51402E7D"/>
    <w:rsid w:val="514663AC"/>
    <w:rsid w:val="515406B4"/>
    <w:rsid w:val="51541AB1"/>
    <w:rsid w:val="515634EB"/>
    <w:rsid w:val="5156540F"/>
    <w:rsid w:val="5156751F"/>
    <w:rsid w:val="515B37FF"/>
    <w:rsid w:val="515E3D6E"/>
    <w:rsid w:val="51691F9D"/>
    <w:rsid w:val="516C4379"/>
    <w:rsid w:val="517650DE"/>
    <w:rsid w:val="51820660"/>
    <w:rsid w:val="51831F47"/>
    <w:rsid w:val="51861BE9"/>
    <w:rsid w:val="518E602D"/>
    <w:rsid w:val="5195082A"/>
    <w:rsid w:val="519C2328"/>
    <w:rsid w:val="51D401D8"/>
    <w:rsid w:val="51D80BFF"/>
    <w:rsid w:val="51D95CB6"/>
    <w:rsid w:val="51DF528E"/>
    <w:rsid w:val="51E33AD4"/>
    <w:rsid w:val="522307D5"/>
    <w:rsid w:val="522A501F"/>
    <w:rsid w:val="5230174A"/>
    <w:rsid w:val="523079DB"/>
    <w:rsid w:val="52841BBD"/>
    <w:rsid w:val="52850645"/>
    <w:rsid w:val="52A41ADD"/>
    <w:rsid w:val="52A4657D"/>
    <w:rsid w:val="52B93925"/>
    <w:rsid w:val="52C22F19"/>
    <w:rsid w:val="52DB43B1"/>
    <w:rsid w:val="52F83A74"/>
    <w:rsid w:val="52FE4053"/>
    <w:rsid w:val="5300343F"/>
    <w:rsid w:val="53053B16"/>
    <w:rsid w:val="530568EE"/>
    <w:rsid w:val="530E1BF8"/>
    <w:rsid w:val="53194552"/>
    <w:rsid w:val="5338186C"/>
    <w:rsid w:val="53634C01"/>
    <w:rsid w:val="53637EB4"/>
    <w:rsid w:val="53671162"/>
    <w:rsid w:val="53791EE1"/>
    <w:rsid w:val="53976013"/>
    <w:rsid w:val="53A87F94"/>
    <w:rsid w:val="53B00BA1"/>
    <w:rsid w:val="53BA190E"/>
    <w:rsid w:val="53DB2438"/>
    <w:rsid w:val="53DF24DA"/>
    <w:rsid w:val="53E12A2D"/>
    <w:rsid w:val="54067AE4"/>
    <w:rsid w:val="540D34EA"/>
    <w:rsid w:val="54295957"/>
    <w:rsid w:val="542B571F"/>
    <w:rsid w:val="54484523"/>
    <w:rsid w:val="545C76EA"/>
    <w:rsid w:val="54813591"/>
    <w:rsid w:val="54937BAB"/>
    <w:rsid w:val="5497044E"/>
    <w:rsid w:val="54B3404E"/>
    <w:rsid w:val="54C666BD"/>
    <w:rsid w:val="54D91A36"/>
    <w:rsid w:val="54E104D3"/>
    <w:rsid w:val="54F325E6"/>
    <w:rsid w:val="54FE7B8C"/>
    <w:rsid w:val="54FF60A8"/>
    <w:rsid w:val="55034BE9"/>
    <w:rsid w:val="55076B04"/>
    <w:rsid w:val="551658A1"/>
    <w:rsid w:val="552B7761"/>
    <w:rsid w:val="55387390"/>
    <w:rsid w:val="55413550"/>
    <w:rsid w:val="554B71F7"/>
    <w:rsid w:val="5553552B"/>
    <w:rsid w:val="55647EA6"/>
    <w:rsid w:val="556B02C8"/>
    <w:rsid w:val="55734E98"/>
    <w:rsid w:val="557616B0"/>
    <w:rsid w:val="55816E8E"/>
    <w:rsid w:val="55B02EC5"/>
    <w:rsid w:val="55B65951"/>
    <w:rsid w:val="55BA11BE"/>
    <w:rsid w:val="55C26483"/>
    <w:rsid w:val="55CF47D0"/>
    <w:rsid w:val="55D202DE"/>
    <w:rsid w:val="55F54D2D"/>
    <w:rsid w:val="56083228"/>
    <w:rsid w:val="56182331"/>
    <w:rsid w:val="561D19DF"/>
    <w:rsid w:val="563034C0"/>
    <w:rsid w:val="564453B1"/>
    <w:rsid w:val="564D5947"/>
    <w:rsid w:val="56510778"/>
    <w:rsid w:val="565336CB"/>
    <w:rsid w:val="5655641F"/>
    <w:rsid w:val="5661627D"/>
    <w:rsid w:val="566203ED"/>
    <w:rsid w:val="56625644"/>
    <w:rsid w:val="566451C0"/>
    <w:rsid w:val="56657940"/>
    <w:rsid w:val="566B2B98"/>
    <w:rsid w:val="568D3AFF"/>
    <w:rsid w:val="569111A7"/>
    <w:rsid w:val="569227C0"/>
    <w:rsid w:val="569D3E02"/>
    <w:rsid w:val="56A65DFD"/>
    <w:rsid w:val="56A70915"/>
    <w:rsid w:val="56AF07A1"/>
    <w:rsid w:val="56AF352B"/>
    <w:rsid w:val="56B95937"/>
    <w:rsid w:val="56BC089A"/>
    <w:rsid w:val="56C02A96"/>
    <w:rsid w:val="56CC0566"/>
    <w:rsid w:val="56D17C53"/>
    <w:rsid w:val="56D402F0"/>
    <w:rsid w:val="56D93D3C"/>
    <w:rsid w:val="56E57407"/>
    <w:rsid w:val="56F06516"/>
    <w:rsid w:val="5701412C"/>
    <w:rsid w:val="57077FFE"/>
    <w:rsid w:val="577662F0"/>
    <w:rsid w:val="57860C7D"/>
    <w:rsid w:val="5794302D"/>
    <w:rsid w:val="57943330"/>
    <w:rsid w:val="579B09E0"/>
    <w:rsid w:val="57A64638"/>
    <w:rsid w:val="57B90CE6"/>
    <w:rsid w:val="57FC1E3F"/>
    <w:rsid w:val="5804772E"/>
    <w:rsid w:val="580517DF"/>
    <w:rsid w:val="580C3AB9"/>
    <w:rsid w:val="58170670"/>
    <w:rsid w:val="58196DC9"/>
    <w:rsid w:val="581E1011"/>
    <w:rsid w:val="582742F1"/>
    <w:rsid w:val="584119B5"/>
    <w:rsid w:val="584B2834"/>
    <w:rsid w:val="586F192A"/>
    <w:rsid w:val="588D4696"/>
    <w:rsid w:val="588D7F2D"/>
    <w:rsid w:val="58951D01"/>
    <w:rsid w:val="58AA6EA6"/>
    <w:rsid w:val="58AF0E91"/>
    <w:rsid w:val="58B84935"/>
    <w:rsid w:val="58C219F6"/>
    <w:rsid w:val="58C919AA"/>
    <w:rsid w:val="58E1481E"/>
    <w:rsid w:val="58E179CF"/>
    <w:rsid w:val="58E501B1"/>
    <w:rsid w:val="58F30A0C"/>
    <w:rsid w:val="590C4DC0"/>
    <w:rsid w:val="591075C3"/>
    <w:rsid w:val="591E3AA4"/>
    <w:rsid w:val="592A7B84"/>
    <w:rsid w:val="59305510"/>
    <w:rsid w:val="59347B25"/>
    <w:rsid w:val="594D6040"/>
    <w:rsid w:val="595E6915"/>
    <w:rsid w:val="59676969"/>
    <w:rsid w:val="596D6142"/>
    <w:rsid w:val="597542E2"/>
    <w:rsid w:val="59794DA4"/>
    <w:rsid w:val="598E25B5"/>
    <w:rsid w:val="599E2B10"/>
    <w:rsid w:val="59A1303E"/>
    <w:rsid w:val="59A26483"/>
    <w:rsid w:val="59A476C7"/>
    <w:rsid w:val="59B94CB4"/>
    <w:rsid w:val="59C24085"/>
    <w:rsid w:val="59CB1336"/>
    <w:rsid w:val="59DF1DB5"/>
    <w:rsid w:val="59EA6DB2"/>
    <w:rsid w:val="59FC11F8"/>
    <w:rsid w:val="5A0135B5"/>
    <w:rsid w:val="5A032C9A"/>
    <w:rsid w:val="5A1556FE"/>
    <w:rsid w:val="5A174F64"/>
    <w:rsid w:val="5A2762D7"/>
    <w:rsid w:val="5A292701"/>
    <w:rsid w:val="5A647BDD"/>
    <w:rsid w:val="5A6C7D05"/>
    <w:rsid w:val="5A6D764E"/>
    <w:rsid w:val="5A85377C"/>
    <w:rsid w:val="5A867B53"/>
    <w:rsid w:val="5A92077F"/>
    <w:rsid w:val="5A990E47"/>
    <w:rsid w:val="5AA85EBC"/>
    <w:rsid w:val="5AD84EF9"/>
    <w:rsid w:val="5AF375D3"/>
    <w:rsid w:val="5AFE6501"/>
    <w:rsid w:val="5B01542B"/>
    <w:rsid w:val="5B257D33"/>
    <w:rsid w:val="5B287355"/>
    <w:rsid w:val="5B2D5652"/>
    <w:rsid w:val="5B400192"/>
    <w:rsid w:val="5B5F03B7"/>
    <w:rsid w:val="5B635DAE"/>
    <w:rsid w:val="5B682B05"/>
    <w:rsid w:val="5B6E225A"/>
    <w:rsid w:val="5B9128B7"/>
    <w:rsid w:val="5B930EF7"/>
    <w:rsid w:val="5B9D25B1"/>
    <w:rsid w:val="5BAB7040"/>
    <w:rsid w:val="5BB2716E"/>
    <w:rsid w:val="5BB73AEA"/>
    <w:rsid w:val="5BB8623F"/>
    <w:rsid w:val="5BC21E58"/>
    <w:rsid w:val="5BC72D65"/>
    <w:rsid w:val="5BCD355F"/>
    <w:rsid w:val="5BE83F7A"/>
    <w:rsid w:val="5BE84E41"/>
    <w:rsid w:val="5BEA4BC7"/>
    <w:rsid w:val="5C073899"/>
    <w:rsid w:val="5C2A5D73"/>
    <w:rsid w:val="5C320E63"/>
    <w:rsid w:val="5C4028FD"/>
    <w:rsid w:val="5C454F3A"/>
    <w:rsid w:val="5C5242AB"/>
    <w:rsid w:val="5C714D32"/>
    <w:rsid w:val="5C7560D1"/>
    <w:rsid w:val="5C973212"/>
    <w:rsid w:val="5C9A4AE2"/>
    <w:rsid w:val="5C9A6F6D"/>
    <w:rsid w:val="5CA02A22"/>
    <w:rsid w:val="5CA8445A"/>
    <w:rsid w:val="5CAC604F"/>
    <w:rsid w:val="5CC22998"/>
    <w:rsid w:val="5CC81051"/>
    <w:rsid w:val="5CCF2F9A"/>
    <w:rsid w:val="5CD94CD3"/>
    <w:rsid w:val="5D094A6B"/>
    <w:rsid w:val="5D0B0C19"/>
    <w:rsid w:val="5D0E5BDE"/>
    <w:rsid w:val="5D162555"/>
    <w:rsid w:val="5D1859F9"/>
    <w:rsid w:val="5D327B1E"/>
    <w:rsid w:val="5D4959A6"/>
    <w:rsid w:val="5D4D4F30"/>
    <w:rsid w:val="5D792C2A"/>
    <w:rsid w:val="5D903F39"/>
    <w:rsid w:val="5D987335"/>
    <w:rsid w:val="5D9A2120"/>
    <w:rsid w:val="5DBE7604"/>
    <w:rsid w:val="5DCB1BAA"/>
    <w:rsid w:val="5DD03E18"/>
    <w:rsid w:val="5DD22370"/>
    <w:rsid w:val="5DD50795"/>
    <w:rsid w:val="5DE412A3"/>
    <w:rsid w:val="5DE67534"/>
    <w:rsid w:val="5DEB12C0"/>
    <w:rsid w:val="5DF013C2"/>
    <w:rsid w:val="5E0A2BB5"/>
    <w:rsid w:val="5E0F473D"/>
    <w:rsid w:val="5E1831B8"/>
    <w:rsid w:val="5E2558D5"/>
    <w:rsid w:val="5E2962E6"/>
    <w:rsid w:val="5E2C2272"/>
    <w:rsid w:val="5E3913FC"/>
    <w:rsid w:val="5E420235"/>
    <w:rsid w:val="5E4F2952"/>
    <w:rsid w:val="5E683B9C"/>
    <w:rsid w:val="5E6C0022"/>
    <w:rsid w:val="5E713415"/>
    <w:rsid w:val="5E7678FA"/>
    <w:rsid w:val="5E773693"/>
    <w:rsid w:val="5E7D55B5"/>
    <w:rsid w:val="5E811E12"/>
    <w:rsid w:val="5E850445"/>
    <w:rsid w:val="5E863ABB"/>
    <w:rsid w:val="5EA8371E"/>
    <w:rsid w:val="5EB033E1"/>
    <w:rsid w:val="5EBF1885"/>
    <w:rsid w:val="5EE3592C"/>
    <w:rsid w:val="5EEE6C50"/>
    <w:rsid w:val="5EFC60EE"/>
    <w:rsid w:val="5F13329C"/>
    <w:rsid w:val="5F171552"/>
    <w:rsid w:val="5F1E2750"/>
    <w:rsid w:val="5F246EF0"/>
    <w:rsid w:val="5F32553C"/>
    <w:rsid w:val="5F3F4997"/>
    <w:rsid w:val="5F41229A"/>
    <w:rsid w:val="5F423703"/>
    <w:rsid w:val="5F696BB9"/>
    <w:rsid w:val="5F841E36"/>
    <w:rsid w:val="5F9D1409"/>
    <w:rsid w:val="5F9D61ED"/>
    <w:rsid w:val="5FB721D0"/>
    <w:rsid w:val="60004011"/>
    <w:rsid w:val="600861D3"/>
    <w:rsid w:val="601B6686"/>
    <w:rsid w:val="602F2A1D"/>
    <w:rsid w:val="603A3856"/>
    <w:rsid w:val="603E5474"/>
    <w:rsid w:val="605F54E9"/>
    <w:rsid w:val="606851A7"/>
    <w:rsid w:val="606F77FF"/>
    <w:rsid w:val="60743598"/>
    <w:rsid w:val="60773920"/>
    <w:rsid w:val="60793CB6"/>
    <w:rsid w:val="607C0D31"/>
    <w:rsid w:val="60874625"/>
    <w:rsid w:val="60A0688C"/>
    <w:rsid w:val="60B611E8"/>
    <w:rsid w:val="60C304B3"/>
    <w:rsid w:val="60C82547"/>
    <w:rsid w:val="60CC7399"/>
    <w:rsid w:val="60CE4900"/>
    <w:rsid w:val="60DA5B1F"/>
    <w:rsid w:val="60DB6C5E"/>
    <w:rsid w:val="60DE5DEF"/>
    <w:rsid w:val="60E048DE"/>
    <w:rsid w:val="60EC57A2"/>
    <w:rsid w:val="60ED4BC6"/>
    <w:rsid w:val="60F064F0"/>
    <w:rsid w:val="60F35816"/>
    <w:rsid w:val="60F8107F"/>
    <w:rsid w:val="61043970"/>
    <w:rsid w:val="610B7004"/>
    <w:rsid w:val="611D7141"/>
    <w:rsid w:val="6120617C"/>
    <w:rsid w:val="61227EAA"/>
    <w:rsid w:val="6141316B"/>
    <w:rsid w:val="61444543"/>
    <w:rsid w:val="614E14F8"/>
    <w:rsid w:val="614E6EF1"/>
    <w:rsid w:val="61595914"/>
    <w:rsid w:val="61615D1D"/>
    <w:rsid w:val="6178204D"/>
    <w:rsid w:val="617F3019"/>
    <w:rsid w:val="61803E61"/>
    <w:rsid w:val="61857DDD"/>
    <w:rsid w:val="618F4507"/>
    <w:rsid w:val="619E30F1"/>
    <w:rsid w:val="61B56530"/>
    <w:rsid w:val="61B856F0"/>
    <w:rsid w:val="61C12B8F"/>
    <w:rsid w:val="61C73623"/>
    <w:rsid w:val="61CC5680"/>
    <w:rsid w:val="61CD5684"/>
    <w:rsid w:val="61D20587"/>
    <w:rsid w:val="61DC3031"/>
    <w:rsid w:val="62031A89"/>
    <w:rsid w:val="6214432C"/>
    <w:rsid w:val="62157A0E"/>
    <w:rsid w:val="621A7793"/>
    <w:rsid w:val="623952DD"/>
    <w:rsid w:val="623C7376"/>
    <w:rsid w:val="6263278A"/>
    <w:rsid w:val="62687F7C"/>
    <w:rsid w:val="62705031"/>
    <w:rsid w:val="62B052EF"/>
    <w:rsid w:val="62B5065B"/>
    <w:rsid w:val="62B841F7"/>
    <w:rsid w:val="62BA288F"/>
    <w:rsid w:val="62C57C67"/>
    <w:rsid w:val="62C94108"/>
    <w:rsid w:val="62CC72B6"/>
    <w:rsid w:val="62CF2A04"/>
    <w:rsid w:val="62D2102D"/>
    <w:rsid w:val="62E30B82"/>
    <w:rsid w:val="62EA3BC4"/>
    <w:rsid w:val="62F57787"/>
    <w:rsid w:val="630C7A2F"/>
    <w:rsid w:val="630E7DCA"/>
    <w:rsid w:val="63263459"/>
    <w:rsid w:val="632C1868"/>
    <w:rsid w:val="63316ACA"/>
    <w:rsid w:val="6332099C"/>
    <w:rsid w:val="6335656E"/>
    <w:rsid w:val="633C56C6"/>
    <w:rsid w:val="633F4B6D"/>
    <w:rsid w:val="633F4D43"/>
    <w:rsid w:val="6341597D"/>
    <w:rsid w:val="6357536A"/>
    <w:rsid w:val="635A0A2C"/>
    <w:rsid w:val="6363796B"/>
    <w:rsid w:val="637A3FCD"/>
    <w:rsid w:val="637B1AF3"/>
    <w:rsid w:val="63863A98"/>
    <w:rsid w:val="638F7355"/>
    <w:rsid w:val="63A658AF"/>
    <w:rsid w:val="63CD11C8"/>
    <w:rsid w:val="64004ED0"/>
    <w:rsid w:val="64044FFF"/>
    <w:rsid w:val="6405403E"/>
    <w:rsid w:val="640A37BC"/>
    <w:rsid w:val="644F259F"/>
    <w:rsid w:val="64545D96"/>
    <w:rsid w:val="6461494A"/>
    <w:rsid w:val="647153D0"/>
    <w:rsid w:val="648C3BFE"/>
    <w:rsid w:val="64A9142F"/>
    <w:rsid w:val="64AE103C"/>
    <w:rsid w:val="64C42164"/>
    <w:rsid w:val="64C4512F"/>
    <w:rsid w:val="64D5771D"/>
    <w:rsid w:val="65136487"/>
    <w:rsid w:val="65241056"/>
    <w:rsid w:val="65246497"/>
    <w:rsid w:val="652D0D9C"/>
    <w:rsid w:val="65404ABE"/>
    <w:rsid w:val="657F3B1C"/>
    <w:rsid w:val="6588396C"/>
    <w:rsid w:val="6593169B"/>
    <w:rsid w:val="65A13369"/>
    <w:rsid w:val="65B83D90"/>
    <w:rsid w:val="65BA6903"/>
    <w:rsid w:val="65CD1E1D"/>
    <w:rsid w:val="65E20633"/>
    <w:rsid w:val="65EC4CF9"/>
    <w:rsid w:val="65F2639C"/>
    <w:rsid w:val="65F62D67"/>
    <w:rsid w:val="65FA68BE"/>
    <w:rsid w:val="66091638"/>
    <w:rsid w:val="660C6D58"/>
    <w:rsid w:val="661E69F8"/>
    <w:rsid w:val="662E38C9"/>
    <w:rsid w:val="663C3F60"/>
    <w:rsid w:val="66467E89"/>
    <w:rsid w:val="664804B3"/>
    <w:rsid w:val="664B39FF"/>
    <w:rsid w:val="66535FF7"/>
    <w:rsid w:val="66573B1A"/>
    <w:rsid w:val="66595674"/>
    <w:rsid w:val="665A1E94"/>
    <w:rsid w:val="665B151A"/>
    <w:rsid w:val="665B26BA"/>
    <w:rsid w:val="66703C89"/>
    <w:rsid w:val="66740672"/>
    <w:rsid w:val="668C7E23"/>
    <w:rsid w:val="66B15F58"/>
    <w:rsid w:val="66B248FA"/>
    <w:rsid w:val="66BE2423"/>
    <w:rsid w:val="66C832A1"/>
    <w:rsid w:val="66D02CB5"/>
    <w:rsid w:val="66D165FA"/>
    <w:rsid w:val="66E005EB"/>
    <w:rsid w:val="66E53E53"/>
    <w:rsid w:val="66E75E1D"/>
    <w:rsid w:val="66EC6E0D"/>
    <w:rsid w:val="66F83EA8"/>
    <w:rsid w:val="66FB2458"/>
    <w:rsid w:val="67004BE7"/>
    <w:rsid w:val="670C17F6"/>
    <w:rsid w:val="67454DAA"/>
    <w:rsid w:val="67455F68"/>
    <w:rsid w:val="6752141B"/>
    <w:rsid w:val="67661A4D"/>
    <w:rsid w:val="67663169"/>
    <w:rsid w:val="67842790"/>
    <w:rsid w:val="678E6684"/>
    <w:rsid w:val="67960327"/>
    <w:rsid w:val="67963F9C"/>
    <w:rsid w:val="679B0985"/>
    <w:rsid w:val="67A91325"/>
    <w:rsid w:val="67B07AF8"/>
    <w:rsid w:val="67B17CD5"/>
    <w:rsid w:val="67B84D45"/>
    <w:rsid w:val="67CF34A5"/>
    <w:rsid w:val="67D67A2F"/>
    <w:rsid w:val="67E42A8B"/>
    <w:rsid w:val="67FD6F4A"/>
    <w:rsid w:val="68217291"/>
    <w:rsid w:val="683B04EA"/>
    <w:rsid w:val="6846752E"/>
    <w:rsid w:val="68580655"/>
    <w:rsid w:val="686C0F2F"/>
    <w:rsid w:val="688272A7"/>
    <w:rsid w:val="68850695"/>
    <w:rsid w:val="689556C9"/>
    <w:rsid w:val="689C7E17"/>
    <w:rsid w:val="68B265C7"/>
    <w:rsid w:val="68BC3B20"/>
    <w:rsid w:val="68CA48BB"/>
    <w:rsid w:val="68CD1043"/>
    <w:rsid w:val="68DF75C0"/>
    <w:rsid w:val="68E503E3"/>
    <w:rsid w:val="68F413AC"/>
    <w:rsid w:val="68F45ADD"/>
    <w:rsid w:val="690C7A1F"/>
    <w:rsid w:val="690F36DF"/>
    <w:rsid w:val="691657B8"/>
    <w:rsid w:val="694463B6"/>
    <w:rsid w:val="69466477"/>
    <w:rsid w:val="69467C74"/>
    <w:rsid w:val="69527DAE"/>
    <w:rsid w:val="69560E45"/>
    <w:rsid w:val="69567FBE"/>
    <w:rsid w:val="69591F10"/>
    <w:rsid w:val="695A2408"/>
    <w:rsid w:val="695C4B69"/>
    <w:rsid w:val="696420A9"/>
    <w:rsid w:val="696860AC"/>
    <w:rsid w:val="6975068F"/>
    <w:rsid w:val="697752E6"/>
    <w:rsid w:val="697B0A9F"/>
    <w:rsid w:val="697E62FD"/>
    <w:rsid w:val="69855479"/>
    <w:rsid w:val="69991329"/>
    <w:rsid w:val="69A676E1"/>
    <w:rsid w:val="69AB00D8"/>
    <w:rsid w:val="69B26109"/>
    <w:rsid w:val="69BB533F"/>
    <w:rsid w:val="69CD0054"/>
    <w:rsid w:val="69DD13B1"/>
    <w:rsid w:val="69DD3507"/>
    <w:rsid w:val="69DE226F"/>
    <w:rsid w:val="69E45BBD"/>
    <w:rsid w:val="69E71C3B"/>
    <w:rsid w:val="69F710CD"/>
    <w:rsid w:val="69FA7C16"/>
    <w:rsid w:val="6A086A76"/>
    <w:rsid w:val="6A25386B"/>
    <w:rsid w:val="6A351E05"/>
    <w:rsid w:val="6A455CED"/>
    <w:rsid w:val="6A49714D"/>
    <w:rsid w:val="6A581919"/>
    <w:rsid w:val="6A5E0C63"/>
    <w:rsid w:val="6A6012BB"/>
    <w:rsid w:val="6A687B43"/>
    <w:rsid w:val="6A6C3946"/>
    <w:rsid w:val="6A7053B3"/>
    <w:rsid w:val="6A816251"/>
    <w:rsid w:val="6AB26CA4"/>
    <w:rsid w:val="6AD152FC"/>
    <w:rsid w:val="6AD76BBB"/>
    <w:rsid w:val="6ADA564F"/>
    <w:rsid w:val="6ADC37BF"/>
    <w:rsid w:val="6AE461D0"/>
    <w:rsid w:val="6B2F169E"/>
    <w:rsid w:val="6B3709F5"/>
    <w:rsid w:val="6B375D9C"/>
    <w:rsid w:val="6B474B1A"/>
    <w:rsid w:val="6B491E66"/>
    <w:rsid w:val="6B5636AE"/>
    <w:rsid w:val="6B6C3380"/>
    <w:rsid w:val="6B6E3A37"/>
    <w:rsid w:val="6B797260"/>
    <w:rsid w:val="6B8A0EEB"/>
    <w:rsid w:val="6B8F25DF"/>
    <w:rsid w:val="6B9E1D27"/>
    <w:rsid w:val="6BBB48F1"/>
    <w:rsid w:val="6BC60222"/>
    <w:rsid w:val="6BCB31CD"/>
    <w:rsid w:val="6BE917BA"/>
    <w:rsid w:val="6BF32325"/>
    <w:rsid w:val="6BF63728"/>
    <w:rsid w:val="6BF710B7"/>
    <w:rsid w:val="6C0171DE"/>
    <w:rsid w:val="6C0A394D"/>
    <w:rsid w:val="6C0E163A"/>
    <w:rsid w:val="6C233B0E"/>
    <w:rsid w:val="6C266D50"/>
    <w:rsid w:val="6C716E36"/>
    <w:rsid w:val="6C821484"/>
    <w:rsid w:val="6C8B04D8"/>
    <w:rsid w:val="6C98186A"/>
    <w:rsid w:val="6C9B7687"/>
    <w:rsid w:val="6CB467A2"/>
    <w:rsid w:val="6CBF10E4"/>
    <w:rsid w:val="6CC40816"/>
    <w:rsid w:val="6CC66165"/>
    <w:rsid w:val="6CCC0825"/>
    <w:rsid w:val="6CD11449"/>
    <w:rsid w:val="6CD75FEC"/>
    <w:rsid w:val="6CDD086B"/>
    <w:rsid w:val="6CF152A4"/>
    <w:rsid w:val="6CFF105E"/>
    <w:rsid w:val="6D0F7711"/>
    <w:rsid w:val="6D331788"/>
    <w:rsid w:val="6D4F57EA"/>
    <w:rsid w:val="6D527D69"/>
    <w:rsid w:val="6D574827"/>
    <w:rsid w:val="6D6C1B0C"/>
    <w:rsid w:val="6D6D2C92"/>
    <w:rsid w:val="6D713083"/>
    <w:rsid w:val="6D7D642C"/>
    <w:rsid w:val="6D83761B"/>
    <w:rsid w:val="6D860014"/>
    <w:rsid w:val="6D873D7B"/>
    <w:rsid w:val="6D8F7A35"/>
    <w:rsid w:val="6D9F0A02"/>
    <w:rsid w:val="6DA90D87"/>
    <w:rsid w:val="6DAA60E7"/>
    <w:rsid w:val="6DAD31F1"/>
    <w:rsid w:val="6DAD527E"/>
    <w:rsid w:val="6DB06DDE"/>
    <w:rsid w:val="6DB81D1F"/>
    <w:rsid w:val="6DCF0973"/>
    <w:rsid w:val="6DD30EA9"/>
    <w:rsid w:val="6DE061FD"/>
    <w:rsid w:val="6DE6042D"/>
    <w:rsid w:val="6DF415EE"/>
    <w:rsid w:val="6E0731D8"/>
    <w:rsid w:val="6E0A2581"/>
    <w:rsid w:val="6E1740BE"/>
    <w:rsid w:val="6E203B40"/>
    <w:rsid w:val="6E2A1B96"/>
    <w:rsid w:val="6E3367C9"/>
    <w:rsid w:val="6E337F91"/>
    <w:rsid w:val="6E3F74F8"/>
    <w:rsid w:val="6E597143"/>
    <w:rsid w:val="6E5B2C4D"/>
    <w:rsid w:val="6E6619A5"/>
    <w:rsid w:val="6E760221"/>
    <w:rsid w:val="6E8479CE"/>
    <w:rsid w:val="6E8D14ED"/>
    <w:rsid w:val="6E9760D9"/>
    <w:rsid w:val="6EA51A03"/>
    <w:rsid w:val="6EAB6776"/>
    <w:rsid w:val="6EAE7E66"/>
    <w:rsid w:val="6EB42B7E"/>
    <w:rsid w:val="6EB52B49"/>
    <w:rsid w:val="6ED178D1"/>
    <w:rsid w:val="6ED24445"/>
    <w:rsid w:val="6EDA7FC9"/>
    <w:rsid w:val="6EDE2512"/>
    <w:rsid w:val="6EE7707B"/>
    <w:rsid w:val="6EF9693E"/>
    <w:rsid w:val="6F086931"/>
    <w:rsid w:val="6F0C5929"/>
    <w:rsid w:val="6F1A6664"/>
    <w:rsid w:val="6F1E2AA0"/>
    <w:rsid w:val="6F2535AF"/>
    <w:rsid w:val="6F316321"/>
    <w:rsid w:val="6F32531B"/>
    <w:rsid w:val="6F3E425E"/>
    <w:rsid w:val="6F49468E"/>
    <w:rsid w:val="6F5C7D90"/>
    <w:rsid w:val="6F6211CA"/>
    <w:rsid w:val="6F647E82"/>
    <w:rsid w:val="6F693017"/>
    <w:rsid w:val="6F696CB1"/>
    <w:rsid w:val="6F6B4CFF"/>
    <w:rsid w:val="6F6C021C"/>
    <w:rsid w:val="6F7E3097"/>
    <w:rsid w:val="6F80001B"/>
    <w:rsid w:val="6F821E21"/>
    <w:rsid w:val="6F8A0F15"/>
    <w:rsid w:val="6F8C49E7"/>
    <w:rsid w:val="6F953C0F"/>
    <w:rsid w:val="6F994D71"/>
    <w:rsid w:val="6FA348AB"/>
    <w:rsid w:val="6FAF2B22"/>
    <w:rsid w:val="6FB4194B"/>
    <w:rsid w:val="6FC32E93"/>
    <w:rsid w:val="6FC713DC"/>
    <w:rsid w:val="6FD561C8"/>
    <w:rsid w:val="6FE078AE"/>
    <w:rsid w:val="6FE07AF2"/>
    <w:rsid w:val="6FF37581"/>
    <w:rsid w:val="700510C2"/>
    <w:rsid w:val="702051CB"/>
    <w:rsid w:val="7027154D"/>
    <w:rsid w:val="7036127C"/>
    <w:rsid w:val="703E4231"/>
    <w:rsid w:val="70432DA3"/>
    <w:rsid w:val="70463D37"/>
    <w:rsid w:val="704D3337"/>
    <w:rsid w:val="704D6F11"/>
    <w:rsid w:val="704E4248"/>
    <w:rsid w:val="70521B10"/>
    <w:rsid w:val="70746B7E"/>
    <w:rsid w:val="7084257E"/>
    <w:rsid w:val="7088347F"/>
    <w:rsid w:val="70893569"/>
    <w:rsid w:val="708F7CA6"/>
    <w:rsid w:val="70934920"/>
    <w:rsid w:val="70A55AD7"/>
    <w:rsid w:val="70A66401"/>
    <w:rsid w:val="70AB04F9"/>
    <w:rsid w:val="70C4049D"/>
    <w:rsid w:val="70C56261"/>
    <w:rsid w:val="70DD564D"/>
    <w:rsid w:val="70E049D0"/>
    <w:rsid w:val="70E33D58"/>
    <w:rsid w:val="710F046B"/>
    <w:rsid w:val="7114480C"/>
    <w:rsid w:val="71326C2D"/>
    <w:rsid w:val="71340214"/>
    <w:rsid w:val="713D25C8"/>
    <w:rsid w:val="71480BD0"/>
    <w:rsid w:val="71484C02"/>
    <w:rsid w:val="71590CF1"/>
    <w:rsid w:val="71762CBD"/>
    <w:rsid w:val="717D7AE7"/>
    <w:rsid w:val="71991FF2"/>
    <w:rsid w:val="719F0951"/>
    <w:rsid w:val="71A01A68"/>
    <w:rsid w:val="71A3135B"/>
    <w:rsid w:val="71AF08DC"/>
    <w:rsid w:val="71B0366B"/>
    <w:rsid w:val="71B418ED"/>
    <w:rsid w:val="71B532B1"/>
    <w:rsid w:val="71C809A5"/>
    <w:rsid w:val="71C8684B"/>
    <w:rsid w:val="71CC0549"/>
    <w:rsid w:val="71D41E35"/>
    <w:rsid w:val="71DF1590"/>
    <w:rsid w:val="71E371E1"/>
    <w:rsid w:val="71EA1DE2"/>
    <w:rsid w:val="72291F23"/>
    <w:rsid w:val="72340A58"/>
    <w:rsid w:val="7236609C"/>
    <w:rsid w:val="724B3A13"/>
    <w:rsid w:val="725D0E4E"/>
    <w:rsid w:val="726B105A"/>
    <w:rsid w:val="727D3F91"/>
    <w:rsid w:val="728B154F"/>
    <w:rsid w:val="72A77A82"/>
    <w:rsid w:val="72BF5F96"/>
    <w:rsid w:val="72C95ABF"/>
    <w:rsid w:val="72CA05E2"/>
    <w:rsid w:val="72D134DE"/>
    <w:rsid w:val="72DC25AE"/>
    <w:rsid w:val="72E628BD"/>
    <w:rsid w:val="72EE7475"/>
    <w:rsid w:val="72FF004B"/>
    <w:rsid w:val="73162ACC"/>
    <w:rsid w:val="7331082B"/>
    <w:rsid w:val="733C304D"/>
    <w:rsid w:val="733E71CE"/>
    <w:rsid w:val="73467501"/>
    <w:rsid w:val="734C6D07"/>
    <w:rsid w:val="73893DB8"/>
    <w:rsid w:val="73AE5B80"/>
    <w:rsid w:val="73C041C4"/>
    <w:rsid w:val="73C1713F"/>
    <w:rsid w:val="73D6387C"/>
    <w:rsid w:val="73E15307"/>
    <w:rsid w:val="73EB796E"/>
    <w:rsid w:val="7413464D"/>
    <w:rsid w:val="7417322E"/>
    <w:rsid w:val="742017FE"/>
    <w:rsid w:val="742A6E77"/>
    <w:rsid w:val="74310511"/>
    <w:rsid w:val="743C3496"/>
    <w:rsid w:val="744C72C0"/>
    <w:rsid w:val="744D4DE6"/>
    <w:rsid w:val="745443C6"/>
    <w:rsid w:val="74654A99"/>
    <w:rsid w:val="746A5D5F"/>
    <w:rsid w:val="747905A6"/>
    <w:rsid w:val="749A41F8"/>
    <w:rsid w:val="74B86703"/>
    <w:rsid w:val="74D3149B"/>
    <w:rsid w:val="74D52828"/>
    <w:rsid w:val="74F23B46"/>
    <w:rsid w:val="74F33BDF"/>
    <w:rsid w:val="74F54695"/>
    <w:rsid w:val="74FA2921"/>
    <w:rsid w:val="74FE35BE"/>
    <w:rsid w:val="75036C04"/>
    <w:rsid w:val="750D0706"/>
    <w:rsid w:val="751257D8"/>
    <w:rsid w:val="753C4E1B"/>
    <w:rsid w:val="754058AC"/>
    <w:rsid w:val="75751B49"/>
    <w:rsid w:val="758D5AD1"/>
    <w:rsid w:val="759B2953"/>
    <w:rsid w:val="75A00B8D"/>
    <w:rsid w:val="75B22B05"/>
    <w:rsid w:val="75B23A9A"/>
    <w:rsid w:val="75B618E4"/>
    <w:rsid w:val="75BA294F"/>
    <w:rsid w:val="75C7213D"/>
    <w:rsid w:val="75CB2A9A"/>
    <w:rsid w:val="75E224FB"/>
    <w:rsid w:val="75E22D2A"/>
    <w:rsid w:val="75E47D0B"/>
    <w:rsid w:val="75E630E4"/>
    <w:rsid w:val="75EB1C30"/>
    <w:rsid w:val="75FA16A2"/>
    <w:rsid w:val="76235B8A"/>
    <w:rsid w:val="76352A13"/>
    <w:rsid w:val="76395504"/>
    <w:rsid w:val="763E735B"/>
    <w:rsid w:val="7647739D"/>
    <w:rsid w:val="76543B31"/>
    <w:rsid w:val="76560584"/>
    <w:rsid w:val="76581214"/>
    <w:rsid w:val="76602198"/>
    <w:rsid w:val="76650B0D"/>
    <w:rsid w:val="7665555C"/>
    <w:rsid w:val="7665793C"/>
    <w:rsid w:val="76736962"/>
    <w:rsid w:val="768E3DD4"/>
    <w:rsid w:val="76912CA1"/>
    <w:rsid w:val="76956DF7"/>
    <w:rsid w:val="769C630A"/>
    <w:rsid w:val="76A17EC1"/>
    <w:rsid w:val="76AB649B"/>
    <w:rsid w:val="76C70634"/>
    <w:rsid w:val="76CC570C"/>
    <w:rsid w:val="76CF1E29"/>
    <w:rsid w:val="76D96E05"/>
    <w:rsid w:val="76E557A9"/>
    <w:rsid w:val="76EA2DC0"/>
    <w:rsid w:val="76FA081E"/>
    <w:rsid w:val="770509A4"/>
    <w:rsid w:val="770545B5"/>
    <w:rsid w:val="77076344"/>
    <w:rsid w:val="77110F8D"/>
    <w:rsid w:val="773B1404"/>
    <w:rsid w:val="773C19C6"/>
    <w:rsid w:val="7741489B"/>
    <w:rsid w:val="774625E4"/>
    <w:rsid w:val="774973F6"/>
    <w:rsid w:val="7752784D"/>
    <w:rsid w:val="77550B81"/>
    <w:rsid w:val="776650A9"/>
    <w:rsid w:val="77856576"/>
    <w:rsid w:val="778F02B6"/>
    <w:rsid w:val="77903ACA"/>
    <w:rsid w:val="77955FEA"/>
    <w:rsid w:val="77A13DC6"/>
    <w:rsid w:val="77A342F6"/>
    <w:rsid w:val="77AF315A"/>
    <w:rsid w:val="77C27642"/>
    <w:rsid w:val="77CC156A"/>
    <w:rsid w:val="77E570DD"/>
    <w:rsid w:val="77F20B64"/>
    <w:rsid w:val="77F25AF2"/>
    <w:rsid w:val="77FA5285"/>
    <w:rsid w:val="780556F0"/>
    <w:rsid w:val="78066795"/>
    <w:rsid w:val="7809423C"/>
    <w:rsid w:val="782347DB"/>
    <w:rsid w:val="78380F95"/>
    <w:rsid w:val="78436437"/>
    <w:rsid w:val="786A065C"/>
    <w:rsid w:val="787074C3"/>
    <w:rsid w:val="787120AC"/>
    <w:rsid w:val="787C51D8"/>
    <w:rsid w:val="78804510"/>
    <w:rsid w:val="78872FBC"/>
    <w:rsid w:val="78890E14"/>
    <w:rsid w:val="78B13B17"/>
    <w:rsid w:val="78B4778F"/>
    <w:rsid w:val="78DC6B2E"/>
    <w:rsid w:val="79002530"/>
    <w:rsid w:val="790603AE"/>
    <w:rsid w:val="791A68E4"/>
    <w:rsid w:val="791E42F9"/>
    <w:rsid w:val="792D669B"/>
    <w:rsid w:val="79761ED8"/>
    <w:rsid w:val="79762A19"/>
    <w:rsid w:val="797C0647"/>
    <w:rsid w:val="798B08B8"/>
    <w:rsid w:val="79921208"/>
    <w:rsid w:val="799E43B6"/>
    <w:rsid w:val="79A2434C"/>
    <w:rsid w:val="79B42494"/>
    <w:rsid w:val="79CA6933"/>
    <w:rsid w:val="79E70F35"/>
    <w:rsid w:val="79EA5EAF"/>
    <w:rsid w:val="79ED3A63"/>
    <w:rsid w:val="79F8056F"/>
    <w:rsid w:val="7A080620"/>
    <w:rsid w:val="7A2E1DB0"/>
    <w:rsid w:val="7A3929F8"/>
    <w:rsid w:val="7A3F5900"/>
    <w:rsid w:val="7A5E1AFB"/>
    <w:rsid w:val="7A776E23"/>
    <w:rsid w:val="7A7E03DB"/>
    <w:rsid w:val="7A7E17E8"/>
    <w:rsid w:val="7A843F98"/>
    <w:rsid w:val="7AA5154B"/>
    <w:rsid w:val="7AB52481"/>
    <w:rsid w:val="7AB62F2F"/>
    <w:rsid w:val="7AB975F7"/>
    <w:rsid w:val="7AC5780F"/>
    <w:rsid w:val="7AE04C06"/>
    <w:rsid w:val="7AF15033"/>
    <w:rsid w:val="7B0258F1"/>
    <w:rsid w:val="7B026466"/>
    <w:rsid w:val="7B38789D"/>
    <w:rsid w:val="7B4959E3"/>
    <w:rsid w:val="7B4C628B"/>
    <w:rsid w:val="7B521676"/>
    <w:rsid w:val="7B5F603D"/>
    <w:rsid w:val="7B66719D"/>
    <w:rsid w:val="7B6C0335"/>
    <w:rsid w:val="7B783090"/>
    <w:rsid w:val="7B7C3417"/>
    <w:rsid w:val="7B970E4C"/>
    <w:rsid w:val="7B98728E"/>
    <w:rsid w:val="7BA80244"/>
    <w:rsid w:val="7BAE1497"/>
    <w:rsid w:val="7BB35E76"/>
    <w:rsid w:val="7BB878C8"/>
    <w:rsid w:val="7BD8344E"/>
    <w:rsid w:val="7BE904E2"/>
    <w:rsid w:val="7BF32784"/>
    <w:rsid w:val="7BF546E1"/>
    <w:rsid w:val="7BFB1C30"/>
    <w:rsid w:val="7C045812"/>
    <w:rsid w:val="7C201341"/>
    <w:rsid w:val="7C2D6D9F"/>
    <w:rsid w:val="7C3556E9"/>
    <w:rsid w:val="7C477CAD"/>
    <w:rsid w:val="7C611D76"/>
    <w:rsid w:val="7C703D67"/>
    <w:rsid w:val="7C806A52"/>
    <w:rsid w:val="7C8B294F"/>
    <w:rsid w:val="7C990B99"/>
    <w:rsid w:val="7C9F1DE1"/>
    <w:rsid w:val="7CA102A5"/>
    <w:rsid w:val="7CA75C24"/>
    <w:rsid w:val="7CA8674C"/>
    <w:rsid w:val="7CB5023E"/>
    <w:rsid w:val="7CB93552"/>
    <w:rsid w:val="7CBB2D01"/>
    <w:rsid w:val="7CC07DFF"/>
    <w:rsid w:val="7CCA5963"/>
    <w:rsid w:val="7CDB4FF1"/>
    <w:rsid w:val="7CDE5175"/>
    <w:rsid w:val="7CE95B9F"/>
    <w:rsid w:val="7CEA017D"/>
    <w:rsid w:val="7CEA47F6"/>
    <w:rsid w:val="7CEB1E8F"/>
    <w:rsid w:val="7CEF1130"/>
    <w:rsid w:val="7CF229CE"/>
    <w:rsid w:val="7D083636"/>
    <w:rsid w:val="7D24372A"/>
    <w:rsid w:val="7D3A6A2F"/>
    <w:rsid w:val="7D497538"/>
    <w:rsid w:val="7D4C2456"/>
    <w:rsid w:val="7D5749AB"/>
    <w:rsid w:val="7D590E61"/>
    <w:rsid w:val="7D610E47"/>
    <w:rsid w:val="7D760D57"/>
    <w:rsid w:val="7D8308C7"/>
    <w:rsid w:val="7D9F64BB"/>
    <w:rsid w:val="7DD50326"/>
    <w:rsid w:val="7DDF006C"/>
    <w:rsid w:val="7DE158DA"/>
    <w:rsid w:val="7DE50937"/>
    <w:rsid w:val="7DE772F3"/>
    <w:rsid w:val="7DEE7DA3"/>
    <w:rsid w:val="7E1322EF"/>
    <w:rsid w:val="7E2F0441"/>
    <w:rsid w:val="7E3F2705"/>
    <w:rsid w:val="7E4852B2"/>
    <w:rsid w:val="7E493A80"/>
    <w:rsid w:val="7E7F0292"/>
    <w:rsid w:val="7E85364D"/>
    <w:rsid w:val="7E8C6732"/>
    <w:rsid w:val="7E8F1866"/>
    <w:rsid w:val="7EB07C01"/>
    <w:rsid w:val="7EBF33C5"/>
    <w:rsid w:val="7EC93D8B"/>
    <w:rsid w:val="7EC978D0"/>
    <w:rsid w:val="7ECF3BAD"/>
    <w:rsid w:val="7F117273"/>
    <w:rsid w:val="7F2D1EED"/>
    <w:rsid w:val="7F41621C"/>
    <w:rsid w:val="7F4E036C"/>
    <w:rsid w:val="7F547C64"/>
    <w:rsid w:val="7F700A47"/>
    <w:rsid w:val="7F775A21"/>
    <w:rsid w:val="7F8322F1"/>
    <w:rsid w:val="7F994556"/>
    <w:rsid w:val="7FA1491B"/>
    <w:rsid w:val="7FA53D28"/>
    <w:rsid w:val="7FA80940"/>
    <w:rsid w:val="7FB421BD"/>
    <w:rsid w:val="7FC75270"/>
    <w:rsid w:val="7FCA3262"/>
    <w:rsid w:val="7FCF5A36"/>
    <w:rsid w:val="7FD860B5"/>
    <w:rsid w:val="7FD943D8"/>
    <w:rsid w:val="7FDC6971"/>
    <w:rsid w:val="7FF97A99"/>
    <w:rsid w:val="7FFE12A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iPriority="0" w:semiHidden="0" w:name="index 2"/>
    <w:lsdException w:qFormat="1" w:uiPriority="99"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99" w:semiHidden="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qFormat="1" w:unhideWhenUsed="0" w:uiPriority="99"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qFormat="1"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
    <w:autoRedefine/>
    <w:qFormat/>
    <w:uiPriority w:val="0"/>
    <w:pPr>
      <w:keepNext/>
      <w:tabs>
        <w:tab w:val="left" w:pos="432"/>
      </w:tabs>
      <w:ind w:left="432" w:hanging="432"/>
      <w:outlineLvl w:val="0"/>
    </w:pPr>
    <w:rPr>
      <w:rFonts w:ascii="隶书" w:hAnsi="宋体" w:eastAsia="隶书"/>
      <w:b/>
      <w:sz w:val="36"/>
      <w:szCs w:val="20"/>
    </w:rPr>
  </w:style>
  <w:style w:type="paragraph" w:styleId="2">
    <w:name w:val="heading 2"/>
    <w:basedOn w:val="1"/>
    <w:next w:val="1"/>
    <w:link w:val="108"/>
    <w:autoRedefine/>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79"/>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80"/>
    <w:autoRedefine/>
    <w:qFormat/>
    <w:uiPriority w:val="9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qFormat/>
    <w:uiPriority w:val="99"/>
    <w:pPr>
      <w:keepNext/>
      <w:keepLines/>
      <w:spacing w:before="280" w:after="290" w:line="376" w:lineRule="auto"/>
      <w:outlineLvl w:val="4"/>
    </w:pPr>
    <w:rPr>
      <w:b/>
      <w:bCs/>
      <w:sz w:val="28"/>
      <w:szCs w:val="28"/>
    </w:rPr>
  </w:style>
  <w:style w:type="paragraph" w:styleId="7">
    <w:name w:val="heading 6"/>
    <w:basedOn w:val="1"/>
    <w:next w:val="1"/>
    <w:link w:val="82"/>
    <w:autoRedefine/>
    <w:qFormat/>
    <w:uiPriority w:val="99"/>
    <w:pPr>
      <w:keepNext/>
      <w:keepLines/>
      <w:spacing w:before="240" w:after="64" w:line="320" w:lineRule="auto"/>
      <w:outlineLvl w:val="5"/>
    </w:pPr>
    <w:rPr>
      <w:rFonts w:ascii="Arial" w:hAnsi="Arial" w:eastAsia="黑体"/>
      <w:b/>
      <w:bCs/>
      <w:sz w:val="24"/>
      <w:szCs w:val="20"/>
    </w:rPr>
  </w:style>
  <w:style w:type="paragraph" w:styleId="8">
    <w:name w:val="heading 7"/>
    <w:basedOn w:val="1"/>
    <w:next w:val="1"/>
    <w:link w:val="83"/>
    <w:autoRedefine/>
    <w:qFormat/>
    <w:uiPriority w:val="99"/>
    <w:pPr>
      <w:keepNext/>
      <w:keepLines/>
      <w:numPr>
        <w:ilvl w:val="6"/>
        <w:numId w:val="1"/>
      </w:numPr>
      <w:adjustRightInd w:val="0"/>
      <w:spacing w:before="240" w:after="64" w:line="320" w:lineRule="atLeast"/>
      <w:textAlignment w:val="baseline"/>
      <w:outlineLvl w:val="6"/>
    </w:pPr>
    <w:rPr>
      <w:rFonts w:ascii="宋体" w:eastAsia="仿宋_GB2312"/>
      <w:b/>
      <w:kern w:val="0"/>
      <w:sz w:val="24"/>
      <w:szCs w:val="20"/>
    </w:rPr>
  </w:style>
  <w:style w:type="paragraph" w:styleId="9">
    <w:name w:val="heading 8"/>
    <w:basedOn w:val="1"/>
    <w:next w:val="1"/>
    <w:link w:val="84"/>
    <w:autoRedefine/>
    <w:qFormat/>
    <w:uiPriority w:val="99"/>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85"/>
    <w:autoRedefine/>
    <w:qFormat/>
    <w:uiPriority w:val="99"/>
    <w:pPr>
      <w:keepNext/>
      <w:keepLines/>
      <w:numPr>
        <w:ilvl w:val="8"/>
        <w:numId w:val="1"/>
      </w:numPr>
      <w:adjustRightInd w:val="0"/>
      <w:spacing w:before="240" w:after="64" w:line="320" w:lineRule="atLeast"/>
      <w:textAlignment w:val="baseline"/>
      <w:outlineLvl w:val="8"/>
    </w:pPr>
    <w:rPr>
      <w:rFonts w:ascii="Arial" w:hAnsi="Arial" w:eastAsia="黑体"/>
      <w:kern w:val="0"/>
      <w:sz w:val="28"/>
      <w:szCs w:val="20"/>
    </w:rPr>
  </w:style>
  <w:style w:type="character" w:default="1" w:styleId="69">
    <w:name w:val="Default Paragraph Font"/>
    <w:autoRedefine/>
    <w:qFormat/>
    <w:uiPriority w:val="0"/>
  </w:style>
  <w:style w:type="table" w:default="1" w:styleId="65">
    <w:name w:val="Normal Table"/>
    <w:autoRedefine/>
    <w:semiHidden/>
    <w:qFormat/>
    <w:uiPriority w:val="0"/>
    <w:tblPr>
      <w:tblCellMar>
        <w:top w:w="0" w:type="dxa"/>
        <w:left w:w="108" w:type="dxa"/>
        <w:bottom w:w="0" w:type="dxa"/>
        <w:right w:w="108" w:type="dxa"/>
      </w:tblCellMar>
    </w:tblPr>
  </w:style>
  <w:style w:type="paragraph" w:styleId="11">
    <w:name w:val="List 3"/>
    <w:basedOn w:val="1"/>
    <w:autoRedefine/>
    <w:unhideWhenUsed/>
    <w:qFormat/>
    <w:uiPriority w:val="0"/>
    <w:pPr>
      <w:ind w:left="100" w:leftChars="400" w:hanging="200" w:hangingChars="200"/>
    </w:pPr>
  </w:style>
  <w:style w:type="paragraph" w:styleId="12">
    <w:name w:val="toc 7"/>
    <w:basedOn w:val="1"/>
    <w:next w:val="1"/>
    <w:autoRedefine/>
    <w:qFormat/>
    <w:uiPriority w:val="99"/>
    <w:pPr>
      <w:ind w:left="2520" w:leftChars="1200"/>
    </w:pPr>
  </w:style>
  <w:style w:type="paragraph" w:styleId="13">
    <w:name w:val="index 8"/>
    <w:basedOn w:val="1"/>
    <w:next w:val="1"/>
    <w:autoRedefine/>
    <w:unhideWhenUsed/>
    <w:qFormat/>
    <w:uiPriority w:val="0"/>
    <w:pPr>
      <w:ind w:left="1680" w:hanging="210"/>
      <w:jc w:val="left"/>
    </w:pPr>
    <w:rPr>
      <w:sz w:val="20"/>
      <w:szCs w:val="20"/>
    </w:rPr>
  </w:style>
  <w:style w:type="paragraph" w:styleId="14">
    <w:name w:val="List Number"/>
    <w:basedOn w:val="1"/>
    <w:autoRedefine/>
    <w:qFormat/>
    <w:uiPriority w:val="99"/>
    <w:pPr>
      <w:widowControl/>
      <w:tabs>
        <w:tab w:val="left" w:pos="454"/>
        <w:tab w:val="left" w:pos="720"/>
      </w:tabs>
      <w:spacing w:after="156" w:afterLines="50"/>
      <w:ind w:left="1354" w:hanging="284"/>
      <w:jc w:val="left"/>
    </w:pPr>
    <w:rPr>
      <w:kern w:val="0"/>
      <w:sz w:val="24"/>
      <w:szCs w:val="20"/>
    </w:rPr>
  </w:style>
  <w:style w:type="paragraph" w:styleId="15">
    <w:name w:val="Normal Indent"/>
    <w:basedOn w:val="1"/>
    <w:next w:val="16"/>
    <w:link w:val="86"/>
    <w:autoRedefine/>
    <w:qFormat/>
    <w:uiPriority w:val="99"/>
    <w:pPr>
      <w:ind w:firstLine="420"/>
    </w:pPr>
    <w:rPr>
      <w:szCs w:val="20"/>
    </w:rPr>
  </w:style>
  <w:style w:type="paragraph" w:styleId="16">
    <w:name w:val="Body Text Indent"/>
    <w:basedOn w:val="1"/>
    <w:next w:val="15"/>
    <w:link w:val="93"/>
    <w:autoRedefine/>
    <w:qFormat/>
    <w:uiPriority w:val="0"/>
    <w:pPr>
      <w:spacing w:line="200" w:lineRule="exact"/>
      <w:ind w:firstLine="301"/>
    </w:pPr>
    <w:rPr>
      <w:rFonts w:ascii="宋体" w:hAnsi="Courier New"/>
      <w:spacing w:val="-4"/>
      <w:sz w:val="18"/>
      <w:szCs w:val="20"/>
    </w:rPr>
  </w:style>
  <w:style w:type="paragraph" w:styleId="17">
    <w:name w:val="caption"/>
    <w:basedOn w:val="1"/>
    <w:next w:val="1"/>
    <w:autoRedefine/>
    <w:qFormat/>
    <w:uiPriority w:val="99"/>
    <w:pPr>
      <w:spacing w:before="152" w:beforeLines="0" w:after="160" w:afterLines="0"/>
    </w:pPr>
    <w:rPr>
      <w:rFonts w:ascii="Arial" w:hAnsi="Arial" w:eastAsia="黑体" w:cs="Arial"/>
      <w:sz w:val="20"/>
      <w:szCs w:val="20"/>
    </w:rPr>
  </w:style>
  <w:style w:type="paragraph" w:styleId="18">
    <w:name w:val="index 5"/>
    <w:basedOn w:val="1"/>
    <w:next w:val="1"/>
    <w:autoRedefine/>
    <w:unhideWhenUsed/>
    <w:qFormat/>
    <w:uiPriority w:val="0"/>
    <w:pPr>
      <w:ind w:left="1050" w:hanging="210"/>
      <w:jc w:val="left"/>
    </w:pPr>
    <w:rPr>
      <w:sz w:val="20"/>
      <w:szCs w:val="20"/>
    </w:rPr>
  </w:style>
  <w:style w:type="paragraph" w:styleId="19">
    <w:name w:val="List Bullet"/>
    <w:basedOn w:val="1"/>
    <w:autoRedefine/>
    <w:qFormat/>
    <w:uiPriority w:val="99"/>
    <w:pPr>
      <w:widowControl/>
      <w:tabs>
        <w:tab w:val="left" w:pos="900"/>
      </w:tabs>
      <w:spacing w:before="100" w:beforeAutospacing="1" w:after="100" w:afterLines="50" w:afterAutospacing="1"/>
      <w:ind w:left="900" w:hanging="420"/>
      <w:jc w:val="left"/>
    </w:pPr>
    <w:rPr>
      <w:kern w:val="0"/>
      <w:szCs w:val="20"/>
    </w:rPr>
  </w:style>
  <w:style w:type="paragraph" w:styleId="20">
    <w:name w:val="Document Map"/>
    <w:basedOn w:val="1"/>
    <w:link w:val="87"/>
    <w:autoRedefine/>
    <w:qFormat/>
    <w:uiPriority w:val="99"/>
    <w:pPr>
      <w:shd w:val="clear" w:color="auto" w:fill="000080"/>
    </w:pPr>
  </w:style>
  <w:style w:type="paragraph" w:styleId="21">
    <w:name w:val="toa heading"/>
    <w:basedOn w:val="1"/>
    <w:next w:val="1"/>
    <w:autoRedefine/>
    <w:qFormat/>
    <w:uiPriority w:val="99"/>
    <w:pPr>
      <w:spacing w:before="120"/>
    </w:pPr>
    <w:rPr>
      <w:rFonts w:ascii="Arial" w:hAnsi="Arial" w:cs="Arial"/>
      <w:sz w:val="24"/>
    </w:rPr>
  </w:style>
  <w:style w:type="paragraph" w:styleId="22">
    <w:name w:val="annotation text"/>
    <w:basedOn w:val="1"/>
    <w:link w:val="88"/>
    <w:autoRedefine/>
    <w:qFormat/>
    <w:uiPriority w:val="0"/>
    <w:pPr>
      <w:jc w:val="left"/>
    </w:pPr>
  </w:style>
  <w:style w:type="paragraph" w:styleId="23">
    <w:name w:val="index 6"/>
    <w:basedOn w:val="1"/>
    <w:next w:val="1"/>
    <w:autoRedefine/>
    <w:unhideWhenUsed/>
    <w:qFormat/>
    <w:uiPriority w:val="0"/>
    <w:pPr>
      <w:ind w:left="1260" w:hanging="210"/>
      <w:jc w:val="left"/>
    </w:pPr>
    <w:rPr>
      <w:sz w:val="20"/>
      <w:szCs w:val="20"/>
    </w:rPr>
  </w:style>
  <w:style w:type="paragraph" w:styleId="24">
    <w:name w:val="Salutation"/>
    <w:basedOn w:val="1"/>
    <w:next w:val="1"/>
    <w:link w:val="89"/>
    <w:autoRedefine/>
    <w:qFormat/>
    <w:uiPriority w:val="99"/>
    <w:rPr>
      <w:sz w:val="24"/>
    </w:rPr>
  </w:style>
  <w:style w:type="paragraph" w:styleId="25">
    <w:name w:val="Body Text 3"/>
    <w:basedOn w:val="1"/>
    <w:link w:val="90"/>
    <w:autoRedefine/>
    <w:qFormat/>
    <w:uiPriority w:val="99"/>
    <w:pPr>
      <w:snapToGrid w:val="0"/>
      <w:spacing w:before="50" w:beforeLines="0" w:after="50" w:afterLines="0"/>
    </w:pPr>
    <w:rPr>
      <w:rFonts w:hAnsi="宋体" w:eastAsia="仿宋_GB2312"/>
      <w:b/>
      <w:bCs/>
      <w:sz w:val="24"/>
      <w:szCs w:val="20"/>
    </w:rPr>
  </w:style>
  <w:style w:type="paragraph" w:styleId="26">
    <w:name w:val="Body Text"/>
    <w:basedOn w:val="1"/>
    <w:next w:val="27"/>
    <w:link w:val="91"/>
    <w:autoRedefine/>
    <w:qFormat/>
    <w:uiPriority w:val="0"/>
    <w:pPr>
      <w:spacing w:after="120" w:afterLines="0"/>
    </w:pPr>
    <w:rPr>
      <w:sz w:val="28"/>
    </w:rPr>
  </w:style>
  <w:style w:type="paragraph" w:styleId="27">
    <w:name w:val="Body Text First Indent"/>
    <w:basedOn w:val="26"/>
    <w:next w:val="28"/>
    <w:link w:val="92"/>
    <w:autoRedefine/>
    <w:qFormat/>
    <w:uiPriority w:val="99"/>
    <w:pPr>
      <w:spacing w:line="360" w:lineRule="auto"/>
      <w:ind w:firstLine="200" w:firstLineChars="200"/>
      <w:jc w:val="left"/>
    </w:pPr>
    <w:rPr>
      <w:bCs/>
      <w:sz w:val="24"/>
    </w:rPr>
  </w:style>
  <w:style w:type="paragraph" w:styleId="28">
    <w:name w:val="toc 6"/>
    <w:basedOn w:val="1"/>
    <w:next w:val="1"/>
    <w:autoRedefine/>
    <w:qFormat/>
    <w:uiPriority w:val="99"/>
    <w:pPr>
      <w:ind w:left="2100" w:leftChars="1000"/>
    </w:pPr>
  </w:style>
  <w:style w:type="paragraph" w:styleId="29">
    <w:name w:val="List Number 3"/>
    <w:basedOn w:val="1"/>
    <w:autoRedefine/>
    <w:qFormat/>
    <w:uiPriority w:val="0"/>
    <w:pPr>
      <w:tabs>
        <w:tab w:val="left" w:pos="1200"/>
      </w:tabs>
      <w:ind w:left="720" w:hanging="360"/>
    </w:pPr>
  </w:style>
  <w:style w:type="paragraph" w:styleId="30">
    <w:name w:val="List 2"/>
    <w:basedOn w:val="1"/>
    <w:autoRedefine/>
    <w:qFormat/>
    <w:uiPriority w:val="99"/>
    <w:pPr>
      <w:ind w:leftChars="200" w:hanging="200" w:hangingChars="200"/>
    </w:pPr>
    <w:rPr>
      <w:sz w:val="28"/>
    </w:rPr>
  </w:style>
  <w:style w:type="paragraph" w:styleId="31">
    <w:name w:val="Block Text"/>
    <w:basedOn w:val="1"/>
    <w:autoRedefine/>
    <w:qFormat/>
    <w:uiPriority w:val="99"/>
    <w:pPr>
      <w:spacing w:line="440" w:lineRule="exact"/>
      <w:ind w:left="223" w:leftChars="106" w:right="3036" w:firstLine="525"/>
    </w:pPr>
    <w:rPr>
      <w:rFonts w:ascii="楷体_GB2312" w:eastAsia="楷体_GB2312"/>
      <w:sz w:val="24"/>
    </w:rPr>
  </w:style>
  <w:style w:type="paragraph" w:styleId="32">
    <w:name w:val="List Bullet 2"/>
    <w:basedOn w:val="1"/>
    <w:autoRedefine/>
    <w:qFormat/>
    <w:uiPriority w:val="99"/>
    <w:pPr>
      <w:tabs>
        <w:tab w:val="left" w:pos="360"/>
        <w:tab w:val="left" w:pos="1191"/>
      </w:tabs>
      <w:snapToGrid w:val="0"/>
      <w:spacing w:line="360" w:lineRule="auto"/>
      <w:ind w:left="482" w:hanging="482" w:hangingChars="200"/>
      <w:jc w:val="left"/>
    </w:pPr>
    <w:rPr>
      <w:b/>
      <w:bCs/>
      <w:sz w:val="24"/>
      <w:szCs w:val="32"/>
    </w:rPr>
  </w:style>
  <w:style w:type="paragraph" w:styleId="33">
    <w:name w:val="index 4"/>
    <w:basedOn w:val="1"/>
    <w:next w:val="1"/>
    <w:autoRedefine/>
    <w:unhideWhenUsed/>
    <w:qFormat/>
    <w:uiPriority w:val="0"/>
    <w:pPr>
      <w:ind w:left="840" w:hanging="210"/>
      <w:jc w:val="left"/>
    </w:pPr>
    <w:rPr>
      <w:sz w:val="20"/>
      <w:szCs w:val="20"/>
    </w:rPr>
  </w:style>
  <w:style w:type="paragraph" w:styleId="34">
    <w:name w:val="toc 5"/>
    <w:basedOn w:val="1"/>
    <w:next w:val="1"/>
    <w:autoRedefine/>
    <w:qFormat/>
    <w:uiPriority w:val="99"/>
    <w:pPr>
      <w:ind w:left="1680" w:leftChars="800"/>
    </w:pPr>
  </w:style>
  <w:style w:type="paragraph" w:styleId="35">
    <w:name w:val="toc 3"/>
    <w:basedOn w:val="1"/>
    <w:next w:val="1"/>
    <w:autoRedefine/>
    <w:qFormat/>
    <w:uiPriority w:val="39"/>
    <w:pPr>
      <w:ind w:left="840" w:leftChars="400"/>
    </w:pPr>
  </w:style>
  <w:style w:type="paragraph" w:styleId="36">
    <w:name w:val="Plain Text"/>
    <w:basedOn w:val="1"/>
    <w:next w:val="1"/>
    <w:link w:val="94"/>
    <w:autoRedefine/>
    <w:qFormat/>
    <w:uiPriority w:val="0"/>
    <w:pPr>
      <w:spacing w:before="156" w:beforeLines="50" w:after="156" w:afterLines="50" w:line="400" w:lineRule="exact"/>
    </w:pPr>
    <w:rPr>
      <w:rFonts w:ascii="宋体" w:hAnsi="Courier New"/>
      <w:sz w:val="24"/>
    </w:rPr>
  </w:style>
  <w:style w:type="paragraph" w:styleId="37">
    <w:name w:val="List Bullet 5"/>
    <w:basedOn w:val="1"/>
    <w:autoRedefine/>
    <w:qFormat/>
    <w:uiPriority w:val="0"/>
    <w:pPr>
      <w:numPr>
        <w:ilvl w:val="0"/>
        <w:numId w:val="2"/>
      </w:numPr>
    </w:pPr>
  </w:style>
  <w:style w:type="paragraph" w:styleId="38">
    <w:name w:val="toc 8"/>
    <w:basedOn w:val="1"/>
    <w:next w:val="1"/>
    <w:autoRedefine/>
    <w:qFormat/>
    <w:uiPriority w:val="99"/>
    <w:pPr>
      <w:ind w:left="2940" w:leftChars="1400"/>
    </w:pPr>
  </w:style>
  <w:style w:type="paragraph" w:styleId="39">
    <w:name w:val="index 3"/>
    <w:basedOn w:val="1"/>
    <w:next w:val="1"/>
    <w:autoRedefine/>
    <w:unhideWhenUsed/>
    <w:qFormat/>
    <w:uiPriority w:val="99"/>
    <w:pPr>
      <w:ind w:left="630" w:hanging="210"/>
      <w:jc w:val="left"/>
    </w:pPr>
    <w:rPr>
      <w:sz w:val="20"/>
      <w:szCs w:val="20"/>
    </w:rPr>
  </w:style>
  <w:style w:type="paragraph" w:styleId="40">
    <w:name w:val="Date"/>
    <w:basedOn w:val="1"/>
    <w:next w:val="1"/>
    <w:link w:val="95"/>
    <w:autoRedefine/>
    <w:qFormat/>
    <w:uiPriority w:val="99"/>
    <w:pPr>
      <w:ind w:leftChars="2500"/>
    </w:pPr>
    <w:rPr>
      <w:rFonts w:eastAsia="楷体_GB2312"/>
      <w:sz w:val="32"/>
      <w:szCs w:val="20"/>
    </w:rPr>
  </w:style>
  <w:style w:type="paragraph" w:styleId="41">
    <w:name w:val="Body Text Indent 2"/>
    <w:basedOn w:val="1"/>
    <w:link w:val="96"/>
    <w:autoRedefine/>
    <w:qFormat/>
    <w:uiPriority w:val="99"/>
    <w:pPr>
      <w:snapToGrid w:val="0"/>
      <w:ind w:firstLine="542" w:firstLineChars="225"/>
    </w:pPr>
    <w:rPr>
      <w:rFonts w:ascii="仿宋_GB2312" w:hAnsi="宋体"/>
      <w:b/>
      <w:bCs/>
      <w:color w:val="000000"/>
      <w:sz w:val="24"/>
    </w:rPr>
  </w:style>
  <w:style w:type="paragraph" w:styleId="42">
    <w:name w:val="endnote text"/>
    <w:basedOn w:val="1"/>
    <w:link w:val="97"/>
    <w:autoRedefine/>
    <w:qFormat/>
    <w:uiPriority w:val="0"/>
    <w:pPr>
      <w:snapToGrid w:val="0"/>
      <w:spacing w:after="50" w:afterLines="50"/>
      <w:jc w:val="left"/>
    </w:pPr>
    <w:rPr>
      <w:rFonts w:ascii="宋体"/>
      <w:kern w:val="0"/>
      <w:szCs w:val="20"/>
    </w:rPr>
  </w:style>
  <w:style w:type="paragraph" w:styleId="43">
    <w:name w:val="Balloon Text"/>
    <w:basedOn w:val="1"/>
    <w:link w:val="98"/>
    <w:autoRedefine/>
    <w:qFormat/>
    <w:uiPriority w:val="99"/>
    <w:rPr>
      <w:sz w:val="18"/>
      <w:szCs w:val="18"/>
    </w:rPr>
  </w:style>
  <w:style w:type="paragraph" w:styleId="44">
    <w:name w:val="footer"/>
    <w:basedOn w:val="1"/>
    <w:link w:val="99"/>
    <w:autoRedefine/>
    <w:qFormat/>
    <w:uiPriority w:val="99"/>
    <w:pPr>
      <w:tabs>
        <w:tab w:val="center" w:pos="4153"/>
        <w:tab w:val="right" w:pos="8306"/>
      </w:tabs>
      <w:snapToGrid w:val="0"/>
      <w:jc w:val="left"/>
    </w:pPr>
    <w:rPr>
      <w:sz w:val="18"/>
      <w:szCs w:val="18"/>
    </w:rPr>
  </w:style>
  <w:style w:type="paragraph" w:styleId="45">
    <w:name w:val="header"/>
    <w:basedOn w:val="1"/>
    <w:link w:val="100"/>
    <w:autoRedefine/>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46">
    <w:name w:val="toc 1"/>
    <w:basedOn w:val="1"/>
    <w:next w:val="1"/>
    <w:autoRedefine/>
    <w:qFormat/>
    <w:uiPriority w:val="39"/>
  </w:style>
  <w:style w:type="paragraph" w:styleId="47">
    <w:name w:val="toc 4"/>
    <w:basedOn w:val="1"/>
    <w:next w:val="1"/>
    <w:autoRedefine/>
    <w:qFormat/>
    <w:uiPriority w:val="99"/>
    <w:pPr>
      <w:ind w:left="1260" w:leftChars="600"/>
    </w:pPr>
  </w:style>
  <w:style w:type="paragraph" w:styleId="48">
    <w:name w:val="index heading"/>
    <w:basedOn w:val="1"/>
    <w:next w:val="49"/>
    <w:autoRedefine/>
    <w:unhideWhenUsed/>
    <w:qFormat/>
    <w:uiPriority w:val="99"/>
    <w:pPr>
      <w:spacing w:before="120" w:after="120"/>
      <w:jc w:val="left"/>
    </w:pPr>
    <w:rPr>
      <w:b/>
      <w:bCs/>
      <w:i/>
      <w:iCs/>
      <w:sz w:val="20"/>
      <w:szCs w:val="20"/>
    </w:rPr>
  </w:style>
  <w:style w:type="paragraph" w:styleId="49">
    <w:name w:val="index 1"/>
    <w:basedOn w:val="1"/>
    <w:next w:val="1"/>
    <w:autoRedefine/>
    <w:qFormat/>
    <w:uiPriority w:val="99"/>
    <w:pPr>
      <w:adjustRightInd w:val="0"/>
      <w:spacing w:line="360" w:lineRule="atLeast"/>
      <w:jc w:val="center"/>
      <w:textAlignment w:val="baseline"/>
    </w:pPr>
    <w:rPr>
      <w:rFonts w:ascii="Arial" w:hAnsi="Arial"/>
      <w:szCs w:val="21"/>
    </w:rPr>
  </w:style>
  <w:style w:type="paragraph" w:styleId="50">
    <w:name w:val="Subtitle"/>
    <w:basedOn w:val="1"/>
    <w:link w:val="101"/>
    <w:autoRedefine/>
    <w:qFormat/>
    <w:uiPriority w:val="0"/>
    <w:pPr>
      <w:spacing w:after="60" w:afterLines="50"/>
      <w:jc w:val="center"/>
    </w:pPr>
    <w:rPr>
      <w:rFonts w:ascii="宋体"/>
      <w:i/>
      <w:kern w:val="0"/>
      <w:sz w:val="36"/>
      <w:szCs w:val="20"/>
      <w:lang w:val="en-AU"/>
    </w:rPr>
  </w:style>
  <w:style w:type="paragraph" w:styleId="51">
    <w:name w:val="List"/>
    <w:basedOn w:val="1"/>
    <w:autoRedefine/>
    <w:qFormat/>
    <w:uiPriority w:val="99"/>
    <w:pPr>
      <w:ind w:left="200" w:hanging="200" w:hangingChars="200"/>
    </w:pPr>
    <w:rPr>
      <w:sz w:val="28"/>
    </w:rPr>
  </w:style>
  <w:style w:type="paragraph" w:styleId="52">
    <w:name w:val="Body Text Indent 3"/>
    <w:basedOn w:val="1"/>
    <w:link w:val="102"/>
    <w:autoRedefine/>
    <w:qFormat/>
    <w:uiPriority w:val="99"/>
    <w:pPr>
      <w:snapToGrid w:val="0"/>
      <w:ind w:firstLine="480" w:firstLineChars="200"/>
      <w:jc w:val="left"/>
    </w:pPr>
    <w:rPr>
      <w:rFonts w:ascii="仿宋_GB2312" w:hAnsi="宋体" w:eastAsia="仿宋_GB2312"/>
      <w:color w:val="000000"/>
      <w:sz w:val="24"/>
    </w:rPr>
  </w:style>
  <w:style w:type="paragraph" w:styleId="53">
    <w:name w:val="index 7"/>
    <w:basedOn w:val="1"/>
    <w:next w:val="1"/>
    <w:autoRedefine/>
    <w:unhideWhenUsed/>
    <w:qFormat/>
    <w:uiPriority w:val="0"/>
    <w:pPr>
      <w:ind w:left="1470" w:hanging="210"/>
      <w:jc w:val="left"/>
    </w:pPr>
    <w:rPr>
      <w:sz w:val="20"/>
      <w:szCs w:val="20"/>
    </w:rPr>
  </w:style>
  <w:style w:type="paragraph" w:styleId="54">
    <w:name w:val="index 9"/>
    <w:basedOn w:val="1"/>
    <w:next w:val="1"/>
    <w:autoRedefine/>
    <w:unhideWhenUsed/>
    <w:qFormat/>
    <w:uiPriority w:val="0"/>
    <w:pPr>
      <w:ind w:left="1890" w:hanging="210"/>
      <w:jc w:val="left"/>
    </w:pPr>
    <w:rPr>
      <w:sz w:val="20"/>
      <w:szCs w:val="20"/>
    </w:rPr>
  </w:style>
  <w:style w:type="paragraph" w:styleId="55">
    <w:name w:val="table of figures"/>
    <w:basedOn w:val="1"/>
    <w:next w:val="1"/>
    <w:autoRedefine/>
    <w:unhideWhenUsed/>
    <w:qFormat/>
    <w:uiPriority w:val="0"/>
    <w:pPr>
      <w:ind w:leftChars="200" w:hanging="200" w:hangingChars="200"/>
    </w:pPr>
  </w:style>
  <w:style w:type="paragraph" w:styleId="56">
    <w:name w:val="toc 2"/>
    <w:basedOn w:val="1"/>
    <w:next w:val="1"/>
    <w:autoRedefine/>
    <w:qFormat/>
    <w:uiPriority w:val="39"/>
    <w:pPr>
      <w:ind w:left="420" w:leftChars="200"/>
    </w:pPr>
  </w:style>
  <w:style w:type="paragraph" w:styleId="57">
    <w:name w:val="toc 9"/>
    <w:basedOn w:val="1"/>
    <w:next w:val="1"/>
    <w:autoRedefine/>
    <w:qFormat/>
    <w:uiPriority w:val="99"/>
    <w:pPr>
      <w:ind w:left="3360" w:leftChars="1600"/>
    </w:pPr>
  </w:style>
  <w:style w:type="paragraph" w:styleId="58">
    <w:name w:val="Body Text 2"/>
    <w:basedOn w:val="1"/>
    <w:link w:val="103"/>
    <w:autoRedefine/>
    <w:qFormat/>
    <w:uiPriority w:val="99"/>
    <w:pPr>
      <w:widowControl/>
      <w:snapToGrid w:val="0"/>
      <w:spacing w:before="50" w:beforeLines="0" w:after="156" w:afterLines="50" w:line="400" w:lineRule="exact"/>
      <w:jc w:val="left"/>
    </w:pPr>
    <w:rPr>
      <w:rFonts w:ascii="宋体" w:hAnsi="宋体"/>
      <w:color w:val="000000"/>
      <w:sz w:val="24"/>
    </w:rPr>
  </w:style>
  <w:style w:type="paragraph" w:styleId="59">
    <w:name w:val="HTML Preformatted"/>
    <w:basedOn w:val="1"/>
    <w:link w:val="104"/>
    <w:autoRedefine/>
    <w:qFormat/>
    <w:uiPriority w:val="99"/>
    <w:rPr>
      <w:rFonts w:ascii="Courier New" w:hAnsi="Courier New"/>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61">
    <w:name w:val="index 2"/>
    <w:basedOn w:val="1"/>
    <w:next w:val="1"/>
    <w:autoRedefine/>
    <w:unhideWhenUsed/>
    <w:qFormat/>
    <w:uiPriority w:val="0"/>
    <w:pPr>
      <w:ind w:left="420" w:hanging="210"/>
      <w:jc w:val="left"/>
    </w:pPr>
    <w:rPr>
      <w:sz w:val="20"/>
      <w:szCs w:val="20"/>
    </w:rPr>
  </w:style>
  <w:style w:type="paragraph" w:styleId="62">
    <w:name w:val="Title"/>
    <w:basedOn w:val="1"/>
    <w:link w:val="105"/>
    <w:autoRedefine/>
    <w:qFormat/>
    <w:uiPriority w:val="99"/>
    <w:pPr>
      <w:widowControl/>
      <w:overflowPunct w:val="0"/>
      <w:autoSpaceDE w:val="0"/>
      <w:autoSpaceDN w:val="0"/>
      <w:adjustRightInd w:val="0"/>
      <w:jc w:val="center"/>
      <w:textAlignment w:val="baseline"/>
    </w:pPr>
    <w:rPr>
      <w:b/>
      <w:kern w:val="0"/>
      <w:sz w:val="24"/>
      <w:szCs w:val="20"/>
      <w:lang w:val="en-GB"/>
    </w:rPr>
  </w:style>
  <w:style w:type="paragraph" w:styleId="63">
    <w:name w:val="annotation subject"/>
    <w:basedOn w:val="22"/>
    <w:next w:val="22"/>
    <w:link w:val="106"/>
    <w:autoRedefine/>
    <w:qFormat/>
    <w:uiPriority w:val="99"/>
    <w:rPr>
      <w:b/>
      <w:bCs/>
    </w:rPr>
  </w:style>
  <w:style w:type="paragraph" w:styleId="64">
    <w:name w:val="Body Text First Indent 2"/>
    <w:basedOn w:val="16"/>
    <w:link w:val="107"/>
    <w:autoRedefine/>
    <w:qFormat/>
    <w:uiPriority w:val="99"/>
    <w:pPr>
      <w:spacing w:after="120" w:line="240" w:lineRule="auto"/>
      <w:ind w:left="420" w:leftChars="200" w:firstLine="420" w:firstLineChars="200"/>
    </w:pPr>
    <w:rPr>
      <w:sz w:val="21"/>
      <w:szCs w:val="24"/>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7"/>
    <w:basedOn w:val="65"/>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70">
    <w:name w:val="Strong"/>
    <w:autoRedefine/>
    <w:qFormat/>
    <w:uiPriority w:val="99"/>
    <w:rPr>
      <w:b/>
      <w:bCs/>
    </w:rPr>
  </w:style>
  <w:style w:type="character" w:styleId="71">
    <w:name w:val="page number"/>
    <w:autoRedefine/>
    <w:qFormat/>
    <w:uiPriority w:val="99"/>
  </w:style>
  <w:style w:type="character" w:styleId="72">
    <w:name w:val="FollowedHyperlink"/>
    <w:autoRedefine/>
    <w:qFormat/>
    <w:uiPriority w:val="99"/>
    <w:rPr>
      <w:color w:val="800080"/>
      <w:u w:val="single"/>
    </w:rPr>
  </w:style>
  <w:style w:type="character" w:styleId="73">
    <w:name w:val="Emphasis"/>
    <w:autoRedefine/>
    <w:qFormat/>
    <w:uiPriority w:val="0"/>
    <w:rPr>
      <w:i/>
      <w:iCs/>
    </w:rPr>
  </w:style>
  <w:style w:type="character" w:styleId="74">
    <w:name w:val="HTML Typewriter"/>
    <w:autoRedefine/>
    <w:qFormat/>
    <w:uiPriority w:val="99"/>
    <w:rPr>
      <w:rFonts w:ascii="Courier New" w:hAnsi="Courier New" w:eastAsia="宋体" w:cs="Times New Roman"/>
      <w:sz w:val="20"/>
    </w:rPr>
  </w:style>
  <w:style w:type="character" w:styleId="75">
    <w:name w:val="Hyperlink"/>
    <w:autoRedefine/>
    <w:qFormat/>
    <w:uiPriority w:val="99"/>
    <w:rPr>
      <w:color w:val="0000FF"/>
      <w:u w:val="single"/>
    </w:rPr>
  </w:style>
  <w:style w:type="character" w:styleId="76">
    <w:name w:val="annotation reference"/>
    <w:autoRedefine/>
    <w:qFormat/>
    <w:uiPriority w:val="0"/>
    <w:rPr>
      <w:sz w:val="21"/>
      <w:szCs w:val="21"/>
    </w:rPr>
  </w:style>
  <w:style w:type="character" w:customStyle="1" w:styleId="77">
    <w:name w:val="标题 1 字符"/>
    <w:link w:val="3"/>
    <w:autoRedefine/>
    <w:qFormat/>
    <w:uiPriority w:val="0"/>
    <w:rPr>
      <w:rFonts w:ascii="隶书" w:hAnsi="宋体" w:eastAsia="隶书" w:cs="宋体"/>
      <w:b/>
      <w:kern w:val="2"/>
      <w:sz w:val="36"/>
    </w:rPr>
  </w:style>
  <w:style w:type="character" w:customStyle="1" w:styleId="78">
    <w:name w:val="标题 2 字符"/>
    <w:link w:val="2"/>
    <w:autoRedefine/>
    <w:qFormat/>
    <w:uiPriority w:val="99"/>
    <w:rPr>
      <w:rFonts w:ascii="Cambria" w:hAnsi="Cambria" w:eastAsia="宋体" w:cs="Times New Roman"/>
      <w:b/>
      <w:bCs/>
      <w:kern w:val="2"/>
      <w:sz w:val="32"/>
      <w:szCs w:val="32"/>
    </w:rPr>
  </w:style>
  <w:style w:type="character" w:customStyle="1" w:styleId="79">
    <w:name w:val="标题 3 字符"/>
    <w:link w:val="4"/>
    <w:autoRedefine/>
    <w:qFormat/>
    <w:uiPriority w:val="99"/>
    <w:rPr>
      <w:b/>
      <w:bCs/>
      <w:kern w:val="2"/>
      <w:sz w:val="32"/>
      <w:szCs w:val="32"/>
    </w:rPr>
  </w:style>
  <w:style w:type="character" w:customStyle="1" w:styleId="80">
    <w:name w:val="标题 4 字符"/>
    <w:link w:val="5"/>
    <w:autoRedefine/>
    <w:qFormat/>
    <w:uiPriority w:val="99"/>
    <w:rPr>
      <w:rFonts w:ascii="Arial" w:hAnsi="Arial" w:eastAsia="黑体"/>
      <w:b/>
      <w:bCs/>
      <w:kern w:val="2"/>
      <w:sz w:val="28"/>
      <w:szCs w:val="28"/>
    </w:rPr>
  </w:style>
  <w:style w:type="character" w:customStyle="1" w:styleId="81">
    <w:name w:val="标题 5 字符"/>
    <w:link w:val="6"/>
    <w:autoRedefine/>
    <w:qFormat/>
    <w:uiPriority w:val="99"/>
    <w:rPr>
      <w:b/>
      <w:bCs/>
      <w:kern w:val="2"/>
      <w:sz w:val="28"/>
      <w:szCs w:val="28"/>
    </w:rPr>
  </w:style>
  <w:style w:type="character" w:customStyle="1" w:styleId="82">
    <w:name w:val="标题 6 字符"/>
    <w:link w:val="7"/>
    <w:autoRedefine/>
    <w:qFormat/>
    <w:uiPriority w:val="99"/>
    <w:rPr>
      <w:rFonts w:ascii="Arial" w:hAnsi="Arial" w:eastAsia="黑体"/>
      <w:b/>
      <w:bCs/>
      <w:kern w:val="2"/>
      <w:sz w:val="24"/>
    </w:rPr>
  </w:style>
  <w:style w:type="character" w:customStyle="1" w:styleId="83">
    <w:name w:val="标题 7 字符"/>
    <w:link w:val="8"/>
    <w:autoRedefine/>
    <w:qFormat/>
    <w:uiPriority w:val="99"/>
    <w:rPr>
      <w:rFonts w:ascii="宋体" w:eastAsia="仿宋_GB2312"/>
      <w:b/>
      <w:sz w:val="24"/>
    </w:rPr>
  </w:style>
  <w:style w:type="character" w:customStyle="1" w:styleId="84">
    <w:name w:val="标题 8 字符"/>
    <w:link w:val="9"/>
    <w:autoRedefine/>
    <w:qFormat/>
    <w:uiPriority w:val="99"/>
    <w:rPr>
      <w:rFonts w:ascii="Arial" w:hAnsi="Arial" w:eastAsia="黑体"/>
      <w:sz w:val="24"/>
    </w:rPr>
  </w:style>
  <w:style w:type="character" w:customStyle="1" w:styleId="85">
    <w:name w:val="标题 9 字符"/>
    <w:link w:val="10"/>
    <w:autoRedefine/>
    <w:qFormat/>
    <w:uiPriority w:val="99"/>
    <w:rPr>
      <w:rFonts w:ascii="Arial" w:hAnsi="Arial" w:eastAsia="黑体"/>
      <w:sz w:val="28"/>
    </w:rPr>
  </w:style>
  <w:style w:type="character" w:customStyle="1" w:styleId="86">
    <w:name w:val="正文缩进 字符"/>
    <w:link w:val="15"/>
    <w:autoRedefine/>
    <w:qFormat/>
    <w:uiPriority w:val="99"/>
    <w:rPr>
      <w:kern w:val="2"/>
      <w:sz w:val="21"/>
    </w:rPr>
  </w:style>
  <w:style w:type="character" w:customStyle="1" w:styleId="87">
    <w:name w:val="文档结构图 字符"/>
    <w:link w:val="20"/>
    <w:autoRedefine/>
    <w:qFormat/>
    <w:uiPriority w:val="99"/>
    <w:rPr>
      <w:kern w:val="2"/>
      <w:sz w:val="21"/>
      <w:szCs w:val="24"/>
      <w:shd w:val="clear" w:color="auto" w:fill="000080"/>
    </w:rPr>
  </w:style>
  <w:style w:type="character" w:customStyle="1" w:styleId="88">
    <w:name w:val="批注文字 字符1"/>
    <w:link w:val="22"/>
    <w:autoRedefine/>
    <w:qFormat/>
    <w:uiPriority w:val="0"/>
    <w:rPr>
      <w:kern w:val="2"/>
      <w:sz w:val="21"/>
      <w:szCs w:val="24"/>
    </w:rPr>
  </w:style>
  <w:style w:type="character" w:customStyle="1" w:styleId="89">
    <w:name w:val="称呼 字符"/>
    <w:link w:val="24"/>
    <w:autoRedefine/>
    <w:qFormat/>
    <w:uiPriority w:val="99"/>
    <w:rPr>
      <w:kern w:val="2"/>
      <w:sz w:val="24"/>
      <w:szCs w:val="24"/>
    </w:rPr>
  </w:style>
  <w:style w:type="character" w:customStyle="1" w:styleId="90">
    <w:name w:val="正文文本 3 字符"/>
    <w:link w:val="25"/>
    <w:autoRedefine/>
    <w:qFormat/>
    <w:uiPriority w:val="99"/>
    <w:rPr>
      <w:rFonts w:hAnsi="宋体" w:eastAsia="仿宋_GB2312"/>
      <w:b/>
      <w:bCs/>
      <w:kern w:val="2"/>
      <w:sz w:val="24"/>
    </w:rPr>
  </w:style>
  <w:style w:type="character" w:customStyle="1" w:styleId="91">
    <w:name w:val="正文文本 字符"/>
    <w:link w:val="26"/>
    <w:autoRedefine/>
    <w:qFormat/>
    <w:uiPriority w:val="0"/>
    <w:rPr>
      <w:kern w:val="2"/>
      <w:sz w:val="28"/>
      <w:szCs w:val="24"/>
    </w:rPr>
  </w:style>
  <w:style w:type="character" w:customStyle="1" w:styleId="92">
    <w:name w:val="正文首行缩进 字符"/>
    <w:link w:val="27"/>
    <w:autoRedefine/>
    <w:qFormat/>
    <w:uiPriority w:val="99"/>
    <w:rPr>
      <w:bCs/>
      <w:kern w:val="2"/>
      <w:sz w:val="24"/>
      <w:szCs w:val="24"/>
    </w:rPr>
  </w:style>
  <w:style w:type="character" w:customStyle="1" w:styleId="93">
    <w:name w:val="正文文本缩进 字符"/>
    <w:link w:val="16"/>
    <w:autoRedefine/>
    <w:qFormat/>
    <w:uiPriority w:val="0"/>
    <w:rPr>
      <w:rFonts w:ascii="宋体" w:hAnsi="Courier New"/>
      <w:spacing w:val="-4"/>
      <w:kern w:val="2"/>
      <w:sz w:val="18"/>
    </w:rPr>
  </w:style>
  <w:style w:type="character" w:customStyle="1" w:styleId="94">
    <w:name w:val="纯文本 字符1"/>
    <w:link w:val="36"/>
    <w:autoRedefine/>
    <w:qFormat/>
    <w:uiPriority w:val="0"/>
    <w:rPr>
      <w:rFonts w:ascii="宋体" w:hAnsi="Courier New" w:eastAsia="宋体"/>
      <w:kern w:val="2"/>
      <w:sz w:val="24"/>
      <w:szCs w:val="24"/>
      <w:lang w:val="en-US" w:eastAsia="zh-CN" w:bidi="ar-SA"/>
    </w:rPr>
  </w:style>
  <w:style w:type="character" w:customStyle="1" w:styleId="95">
    <w:name w:val="日期 字符"/>
    <w:link w:val="40"/>
    <w:autoRedefine/>
    <w:qFormat/>
    <w:uiPriority w:val="99"/>
    <w:rPr>
      <w:rFonts w:eastAsia="楷体_GB2312"/>
      <w:kern w:val="2"/>
      <w:sz w:val="32"/>
    </w:rPr>
  </w:style>
  <w:style w:type="character" w:customStyle="1" w:styleId="96">
    <w:name w:val="正文文本缩进 2 字符"/>
    <w:link w:val="41"/>
    <w:autoRedefine/>
    <w:qFormat/>
    <w:uiPriority w:val="99"/>
    <w:rPr>
      <w:rFonts w:ascii="仿宋_GB2312" w:hAnsi="宋体" w:cs="Arial"/>
      <w:b/>
      <w:bCs/>
      <w:color w:val="000000"/>
      <w:kern w:val="2"/>
      <w:sz w:val="24"/>
      <w:szCs w:val="24"/>
    </w:rPr>
  </w:style>
  <w:style w:type="character" w:customStyle="1" w:styleId="97">
    <w:name w:val="尾注文本 字符"/>
    <w:link w:val="42"/>
    <w:autoRedefine/>
    <w:qFormat/>
    <w:uiPriority w:val="0"/>
    <w:rPr>
      <w:rFonts w:ascii="宋体"/>
      <w:snapToGrid/>
      <w:sz w:val="21"/>
    </w:rPr>
  </w:style>
  <w:style w:type="character" w:customStyle="1" w:styleId="98">
    <w:name w:val="批注框文本 字符"/>
    <w:link w:val="43"/>
    <w:autoRedefine/>
    <w:qFormat/>
    <w:uiPriority w:val="99"/>
    <w:rPr>
      <w:kern w:val="2"/>
      <w:sz w:val="18"/>
      <w:szCs w:val="18"/>
    </w:rPr>
  </w:style>
  <w:style w:type="character" w:customStyle="1" w:styleId="99">
    <w:name w:val="页脚 字符"/>
    <w:link w:val="44"/>
    <w:autoRedefine/>
    <w:qFormat/>
    <w:uiPriority w:val="99"/>
    <w:rPr>
      <w:kern w:val="2"/>
      <w:sz w:val="18"/>
      <w:szCs w:val="18"/>
    </w:rPr>
  </w:style>
  <w:style w:type="character" w:customStyle="1" w:styleId="100">
    <w:name w:val="页眉 字符1"/>
    <w:link w:val="45"/>
    <w:autoRedefine/>
    <w:qFormat/>
    <w:uiPriority w:val="99"/>
    <w:rPr>
      <w:rFonts w:eastAsia="仿宋_GB2312"/>
      <w:kern w:val="2"/>
      <w:sz w:val="18"/>
    </w:rPr>
  </w:style>
  <w:style w:type="character" w:customStyle="1" w:styleId="101">
    <w:name w:val="副标题 字符"/>
    <w:link w:val="50"/>
    <w:autoRedefine/>
    <w:qFormat/>
    <w:uiPriority w:val="0"/>
    <w:rPr>
      <w:rFonts w:ascii="宋体"/>
      <w:i/>
      <w:snapToGrid/>
      <w:sz w:val="36"/>
      <w:lang w:val="en-AU"/>
    </w:rPr>
  </w:style>
  <w:style w:type="character" w:customStyle="1" w:styleId="102">
    <w:name w:val="正文文本缩进 3 字符"/>
    <w:link w:val="52"/>
    <w:autoRedefine/>
    <w:qFormat/>
    <w:uiPriority w:val="99"/>
    <w:rPr>
      <w:rFonts w:ascii="仿宋_GB2312" w:hAnsi="宋体" w:eastAsia="仿宋_GB2312"/>
      <w:color w:val="000000"/>
      <w:kern w:val="2"/>
      <w:sz w:val="24"/>
      <w:szCs w:val="24"/>
    </w:rPr>
  </w:style>
  <w:style w:type="character" w:customStyle="1" w:styleId="103">
    <w:name w:val="正文文本 2 字符"/>
    <w:link w:val="58"/>
    <w:autoRedefine/>
    <w:qFormat/>
    <w:uiPriority w:val="99"/>
    <w:rPr>
      <w:rFonts w:ascii="宋体" w:hAnsi="宋体"/>
      <w:color w:val="000000"/>
      <w:kern w:val="2"/>
      <w:sz w:val="24"/>
      <w:szCs w:val="24"/>
    </w:rPr>
  </w:style>
  <w:style w:type="character" w:customStyle="1" w:styleId="104">
    <w:name w:val="HTML 预设格式 字符"/>
    <w:link w:val="59"/>
    <w:autoRedefine/>
    <w:qFormat/>
    <w:uiPriority w:val="99"/>
    <w:rPr>
      <w:rFonts w:ascii="Courier New" w:hAnsi="Courier New" w:cs="Courier New"/>
      <w:kern w:val="2"/>
    </w:rPr>
  </w:style>
  <w:style w:type="character" w:customStyle="1" w:styleId="105">
    <w:name w:val="标题 字符"/>
    <w:link w:val="62"/>
    <w:autoRedefine/>
    <w:qFormat/>
    <w:uiPriority w:val="99"/>
    <w:rPr>
      <w:b/>
      <w:sz w:val="24"/>
      <w:lang w:val="en-GB"/>
    </w:rPr>
  </w:style>
  <w:style w:type="character" w:customStyle="1" w:styleId="106">
    <w:name w:val="批注主题 字符"/>
    <w:link w:val="63"/>
    <w:autoRedefine/>
    <w:qFormat/>
    <w:uiPriority w:val="99"/>
    <w:rPr>
      <w:b/>
      <w:bCs/>
      <w:kern w:val="2"/>
      <w:sz w:val="21"/>
      <w:szCs w:val="24"/>
    </w:rPr>
  </w:style>
  <w:style w:type="character" w:customStyle="1" w:styleId="107">
    <w:name w:val="正文首行缩进 2 字符"/>
    <w:link w:val="64"/>
    <w:autoRedefine/>
    <w:qFormat/>
    <w:uiPriority w:val="99"/>
    <w:rPr>
      <w:rFonts w:ascii="宋体" w:hAnsi="Courier New"/>
      <w:spacing w:val="-4"/>
      <w:kern w:val="2"/>
      <w:sz w:val="21"/>
      <w:szCs w:val="24"/>
    </w:rPr>
  </w:style>
  <w:style w:type="character" w:customStyle="1" w:styleId="108">
    <w:name w:val="标题 2 字符1"/>
    <w:link w:val="2"/>
    <w:autoRedefine/>
    <w:qFormat/>
    <w:uiPriority w:val="0"/>
    <w:rPr>
      <w:rFonts w:ascii="Arial" w:hAnsi="Arial" w:eastAsia="宋体"/>
      <w:b/>
      <w:bCs/>
      <w:kern w:val="2"/>
      <w:sz w:val="28"/>
      <w:szCs w:val="32"/>
      <w:lang w:val="en-US" w:eastAsia="zh-CN" w:bidi="ar-SA"/>
    </w:rPr>
  </w:style>
  <w:style w:type="paragraph" w:customStyle="1" w:styleId="109">
    <w:name w:val="Default"/>
    <w:autoRedefine/>
    <w:qFormat/>
    <w:uiPriority w:val="99"/>
    <w:pPr>
      <w:autoSpaceDE w:val="0"/>
      <w:autoSpaceDN w:val="0"/>
      <w:adjustRightInd w:val="0"/>
    </w:pPr>
    <w:rPr>
      <w:rFonts w:ascii="Arial" w:hAnsi="Arial" w:eastAsia="Times New Roman" w:cs="Arial"/>
      <w:lang w:val="en-US" w:eastAsia="en-US" w:bidi="he-IL"/>
    </w:rPr>
  </w:style>
  <w:style w:type="paragraph" w:customStyle="1" w:styleId="110">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111">
    <w:name w:val="blue1"/>
    <w:autoRedefine/>
    <w:qFormat/>
    <w:uiPriority w:val="99"/>
  </w:style>
  <w:style w:type="character" w:customStyle="1" w:styleId="112">
    <w:name w:val="font191"/>
    <w:autoRedefine/>
    <w:qFormat/>
    <w:uiPriority w:val="99"/>
    <w:rPr>
      <w:rFonts w:ascii="Arial" w:hAnsi="Arial"/>
      <w:color w:val="000000"/>
      <w:sz w:val="16"/>
      <w:u w:val="none"/>
    </w:rPr>
  </w:style>
  <w:style w:type="character" w:customStyle="1" w:styleId="113">
    <w:name w:val="方案正文 Char"/>
    <w:link w:val="114"/>
    <w:autoRedefine/>
    <w:qFormat/>
    <w:locked/>
    <w:uiPriority w:val="0"/>
    <w:rPr>
      <w:sz w:val="24"/>
      <w:szCs w:val="24"/>
    </w:rPr>
  </w:style>
  <w:style w:type="paragraph" w:customStyle="1" w:styleId="114">
    <w:name w:val="方案正文"/>
    <w:basedOn w:val="1"/>
    <w:link w:val="113"/>
    <w:autoRedefine/>
    <w:qFormat/>
    <w:uiPriority w:val="0"/>
    <w:pPr>
      <w:spacing w:line="360" w:lineRule="auto"/>
    </w:pPr>
    <w:rPr>
      <w:kern w:val="0"/>
      <w:sz w:val="24"/>
    </w:rPr>
  </w:style>
  <w:style w:type="character" w:customStyle="1" w:styleId="115">
    <w:name w:val="批注文字 字符"/>
    <w:autoRedefine/>
    <w:qFormat/>
    <w:uiPriority w:val="0"/>
    <w:rPr>
      <w:rFonts w:hint="eastAsia" w:ascii="宋体" w:hAnsi="宋体" w:eastAsia="宋体" w:cs="宋体"/>
      <w:sz w:val="24"/>
      <w:szCs w:val="24"/>
    </w:rPr>
  </w:style>
  <w:style w:type="character" w:customStyle="1" w:styleId="116">
    <w:name w:val="正文123 Char"/>
    <w:link w:val="117"/>
    <w:autoRedefine/>
    <w:qFormat/>
    <w:locked/>
    <w:uiPriority w:val="0"/>
    <w:rPr>
      <w:rFonts w:ascii="Calibri" w:hAnsi="Calibri" w:cs="Calibri"/>
      <w:sz w:val="24"/>
    </w:rPr>
  </w:style>
  <w:style w:type="paragraph" w:customStyle="1" w:styleId="117">
    <w:name w:val="正文123"/>
    <w:basedOn w:val="1"/>
    <w:link w:val="116"/>
    <w:autoRedefine/>
    <w:qFormat/>
    <w:uiPriority w:val="0"/>
    <w:pPr>
      <w:spacing w:line="360" w:lineRule="auto"/>
      <w:ind w:firstLine="200" w:firstLineChars="200"/>
    </w:pPr>
    <w:rPr>
      <w:rFonts w:ascii="Calibri" w:hAnsi="Calibri"/>
      <w:kern w:val="0"/>
      <w:sz w:val="24"/>
      <w:szCs w:val="20"/>
    </w:rPr>
  </w:style>
  <w:style w:type="character" w:customStyle="1" w:styleId="118">
    <w:name w:val="font171"/>
    <w:autoRedefine/>
    <w:qFormat/>
    <w:uiPriority w:val="99"/>
    <w:rPr>
      <w:rFonts w:ascii="宋体" w:hAnsi="宋体" w:eastAsia="宋体"/>
      <w:color w:val="000000"/>
      <w:sz w:val="18"/>
      <w:u w:val="none"/>
      <w:vertAlign w:val="superscript"/>
    </w:rPr>
  </w:style>
  <w:style w:type="character" w:customStyle="1" w:styleId="119">
    <w:name w:val="font2"/>
    <w:autoRedefine/>
    <w:qFormat/>
    <w:uiPriority w:val="0"/>
    <w:rPr>
      <w:rFonts w:hint="default" w:ascii="Arial" w:hAnsi="Arial" w:cs="Arial"/>
      <w:color w:val="333333"/>
      <w:spacing w:val="0"/>
      <w:sz w:val="18"/>
      <w:szCs w:val="18"/>
    </w:rPr>
  </w:style>
  <w:style w:type="character" w:customStyle="1" w:styleId="120">
    <w:name w:val="tw4winInternal"/>
    <w:autoRedefine/>
    <w:qFormat/>
    <w:uiPriority w:val="0"/>
    <w:rPr>
      <w:rFonts w:ascii="Courier New" w:hAnsi="Courier New"/>
      <w:color w:val="FF0000"/>
    </w:rPr>
  </w:style>
  <w:style w:type="character" w:customStyle="1" w:styleId="121">
    <w:name w:val="text1"/>
    <w:autoRedefine/>
    <w:qFormat/>
    <w:uiPriority w:val="99"/>
    <w:rPr>
      <w:sz w:val="18"/>
      <w:u w:val="none"/>
    </w:rPr>
  </w:style>
  <w:style w:type="character" w:customStyle="1" w:styleId="122">
    <w:name w:val="main-content1"/>
    <w:autoRedefine/>
    <w:qFormat/>
    <w:uiPriority w:val="99"/>
    <w:rPr>
      <w:rFonts w:ascii="Verdana" w:hAnsi="Verdana"/>
      <w:color w:val="000000"/>
      <w:sz w:val="18"/>
      <w:u w:val="none"/>
    </w:rPr>
  </w:style>
  <w:style w:type="character" w:customStyle="1" w:styleId="123">
    <w:name w:val="Table Text Char Char"/>
    <w:autoRedefine/>
    <w:qFormat/>
    <w:uiPriority w:val="99"/>
    <w:rPr>
      <w:rFonts w:ascii="Arial" w:hAnsi="Arial"/>
      <w:sz w:val="18"/>
      <w:lang w:val="en-US" w:eastAsia="zh-CN"/>
    </w:rPr>
  </w:style>
  <w:style w:type="character" w:customStyle="1" w:styleId="124">
    <w:name w:val="正文（缩进） Char"/>
    <w:autoRedefine/>
    <w:qFormat/>
    <w:uiPriority w:val="0"/>
    <w:rPr>
      <w:rFonts w:ascii="Times New Roman" w:hAnsi="Times New Roman"/>
      <w:sz w:val="24"/>
      <w:szCs w:val="24"/>
    </w:rPr>
  </w:style>
  <w:style w:type="character" w:customStyle="1" w:styleId="125">
    <w:name w:val="页眉 字符"/>
    <w:autoRedefine/>
    <w:qFormat/>
    <w:uiPriority w:val="99"/>
    <w:rPr>
      <w:kern w:val="2"/>
      <w:sz w:val="18"/>
      <w:szCs w:val="18"/>
    </w:rPr>
  </w:style>
  <w:style w:type="character" w:customStyle="1" w:styleId="126">
    <w:name w:val="zbggmain style9"/>
    <w:autoRedefine/>
    <w:qFormat/>
    <w:uiPriority w:val="0"/>
  </w:style>
  <w:style w:type="character" w:customStyle="1" w:styleId="127">
    <w:name w:val="3级标题 Char"/>
    <w:link w:val="128"/>
    <w:autoRedefine/>
    <w:qFormat/>
    <w:uiPriority w:val="0"/>
    <w:rPr>
      <w:rFonts w:ascii="黑体" w:hAnsi="黑体" w:eastAsia="黑体"/>
      <w:sz w:val="28"/>
      <w:szCs w:val="36"/>
      <w:lang w:eastAsia="en-US" w:bidi="en-US"/>
    </w:rPr>
  </w:style>
  <w:style w:type="paragraph" w:customStyle="1" w:styleId="128">
    <w:name w:val="3级标题"/>
    <w:basedOn w:val="129"/>
    <w:link w:val="127"/>
    <w:autoRedefine/>
    <w:qFormat/>
    <w:uiPriority w:val="0"/>
    <w:pPr>
      <w:keepLines/>
      <w:widowControl w:val="0"/>
      <w:adjustRightInd/>
      <w:snapToGrid/>
      <w:spacing w:after="0" w:line="360" w:lineRule="auto"/>
      <w:ind w:firstLine="0" w:firstLineChars="0"/>
      <w:contextualSpacing/>
      <w:outlineLvl w:val="2"/>
    </w:pPr>
    <w:rPr>
      <w:rFonts w:ascii="黑体" w:hAnsi="黑体" w:eastAsia="黑体"/>
      <w:sz w:val="28"/>
      <w:szCs w:val="36"/>
      <w:lang w:eastAsia="en-US" w:bidi="en-US"/>
    </w:rPr>
  </w:style>
  <w:style w:type="paragraph" w:customStyle="1" w:styleId="129">
    <w:name w:val="浅色网格 - 强调文字颜色 31"/>
    <w:basedOn w:val="1"/>
    <w:link w:val="130"/>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30">
    <w:name w:val="浅色网格 - 强调文字颜色 3字符"/>
    <w:link w:val="129"/>
    <w:autoRedefine/>
    <w:qFormat/>
    <w:locked/>
    <w:uiPriority w:val="34"/>
    <w:rPr>
      <w:rFonts w:ascii="Tahoma" w:hAnsi="Tahoma" w:eastAsia="微软雅黑"/>
      <w:sz w:val="22"/>
      <w:szCs w:val="22"/>
    </w:rPr>
  </w:style>
  <w:style w:type="character" w:customStyle="1" w:styleId="131">
    <w:name w:val="tw4winTerm"/>
    <w:autoRedefine/>
    <w:qFormat/>
    <w:uiPriority w:val="0"/>
    <w:rPr>
      <w:color w:val="0000FF"/>
    </w:rPr>
  </w:style>
  <w:style w:type="character" w:customStyle="1" w:styleId="132">
    <w:name w:val="txt1"/>
    <w:autoRedefine/>
    <w:qFormat/>
    <w:uiPriority w:val="99"/>
    <w:rPr>
      <w:rFonts w:ascii="宋体" w:hAnsi="宋体" w:eastAsia="宋体"/>
      <w:sz w:val="22"/>
      <w:u w:val="none"/>
    </w:rPr>
  </w:style>
  <w:style w:type="character" w:customStyle="1" w:styleId="133">
    <w:name w:val="font3"/>
    <w:autoRedefine/>
    <w:qFormat/>
    <w:uiPriority w:val="0"/>
  </w:style>
  <w:style w:type="character" w:customStyle="1" w:styleId="134">
    <w:name w:val="b titlename wangputoptitle"/>
    <w:autoRedefine/>
    <w:qFormat/>
    <w:uiPriority w:val="0"/>
  </w:style>
  <w:style w:type="character" w:customStyle="1" w:styleId="135">
    <w:name w:val="?y????×? Char"/>
    <w:autoRedefine/>
    <w:qFormat/>
    <w:uiPriority w:val="0"/>
    <w:rPr>
      <w:kern w:val="2"/>
      <w:sz w:val="28"/>
      <w:szCs w:val="24"/>
    </w:rPr>
  </w:style>
  <w:style w:type="character" w:customStyle="1" w:styleId="136">
    <w:name w:val="样式 金保文档标准正文 Char + 宋体1 Char"/>
    <w:link w:val="137"/>
    <w:autoRedefine/>
    <w:qFormat/>
    <w:uiPriority w:val="0"/>
    <w:rPr>
      <w:rFonts w:ascii="宋体" w:hAnsi="宋体"/>
      <w:kern w:val="2"/>
      <w:sz w:val="24"/>
      <w:szCs w:val="24"/>
    </w:rPr>
  </w:style>
  <w:style w:type="paragraph" w:customStyle="1" w:styleId="137">
    <w:name w:val="样式 金保文档标准正文 Char + 宋体1"/>
    <w:basedOn w:val="1"/>
    <w:link w:val="136"/>
    <w:autoRedefine/>
    <w:qFormat/>
    <w:uiPriority w:val="0"/>
    <w:pPr>
      <w:spacing w:line="360" w:lineRule="auto"/>
      <w:ind w:firstLine="480" w:firstLineChars="200"/>
      <w:jc w:val="left"/>
    </w:pPr>
    <w:rPr>
      <w:rFonts w:ascii="宋体" w:hAnsi="宋体"/>
      <w:sz w:val="24"/>
    </w:rPr>
  </w:style>
  <w:style w:type="character" w:customStyle="1" w:styleId="138">
    <w:name w:val="font151"/>
    <w:autoRedefine/>
    <w:qFormat/>
    <w:uiPriority w:val="99"/>
    <w:rPr>
      <w:rFonts w:ascii="Arial" w:hAnsi="Arial"/>
      <w:color w:val="000000"/>
      <w:sz w:val="16"/>
      <w:u w:val="none"/>
    </w:rPr>
  </w:style>
  <w:style w:type="character" w:customStyle="1" w:styleId="139">
    <w:name w:val="Char Char3"/>
    <w:autoRedefine/>
    <w:qFormat/>
    <w:uiPriority w:val="99"/>
    <w:rPr>
      <w:rFonts w:ascii="宋体" w:hAnsi="Courier New" w:eastAsia="宋体"/>
      <w:sz w:val="21"/>
      <w:lang w:val="en-US" w:eastAsia="zh-CN"/>
    </w:rPr>
  </w:style>
  <w:style w:type="character" w:customStyle="1" w:styleId="140">
    <w:name w:val="subject_matter1"/>
    <w:autoRedefine/>
    <w:qFormat/>
    <w:uiPriority w:val="99"/>
    <w:rPr>
      <w:rFonts w:ascii="Arial" w:hAnsi="Arial"/>
      <w:color w:val="000000"/>
      <w:sz w:val="20"/>
      <w:u w:val="none"/>
    </w:rPr>
  </w:style>
  <w:style w:type="character" w:customStyle="1" w:styleId="141">
    <w:name w:val="neiwen1"/>
    <w:autoRedefine/>
    <w:qFormat/>
    <w:uiPriority w:val="99"/>
    <w:rPr>
      <w:color w:val="000000"/>
      <w:sz w:val="22"/>
    </w:rPr>
  </w:style>
  <w:style w:type="character" w:customStyle="1" w:styleId="142">
    <w:name w:val="font91"/>
    <w:autoRedefine/>
    <w:qFormat/>
    <w:uiPriority w:val="0"/>
    <w:rPr>
      <w:rFonts w:hint="eastAsia" w:ascii="宋体" w:hAnsi="宋体" w:eastAsia="宋体" w:cs="宋体"/>
      <w:color w:val="000000"/>
      <w:sz w:val="24"/>
      <w:szCs w:val="24"/>
      <w:u w:val="none"/>
    </w:rPr>
  </w:style>
  <w:style w:type="character" w:customStyle="1" w:styleId="143">
    <w:name w:val="a4"/>
    <w:autoRedefine/>
    <w:qFormat/>
    <w:uiPriority w:val="99"/>
  </w:style>
  <w:style w:type="character" w:customStyle="1" w:styleId="144">
    <w:name w:val="标题 1 Char"/>
    <w:autoRedefine/>
    <w:qFormat/>
    <w:uiPriority w:val="99"/>
    <w:rPr>
      <w:rFonts w:ascii="Times New Roman" w:hAnsi="Times New Roman" w:eastAsia="宋体"/>
      <w:b/>
      <w:bCs/>
      <w:kern w:val="44"/>
      <w:sz w:val="44"/>
      <w:szCs w:val="44"/>
      <w:lang w:val="en-US" w:eastAsia="zh-CN" w:bidi="ar-SA"/>
    </w:rPr>
  </w:style>
  <w:style w:type="character" w:customStyle="1" w:styleId="145">
    <w:name w:val="小五号正文 Char Char"/>
    <w:link w:val="146"/>
    <w:autoRedefine/>
    <w:qFormat/>
    <w:locked/>
    <w:uiPriority w:val="99"/>
    <w:rPr>
      <w:rFonts w:ascii="Tahoma" w:hAnsi="Tahoma"/>
      <w:kern w:val="2"/>
      <w:sz w:val="18"/>
    </w:rPr>
  </w:style>
  <w:style w:type="paragraph" w:customStyle="1" w:styleId="146">
    <w:name w:val="小五号正文"/>
    <w:basedOn w:val="1"/>
    <w:link w:val="145"/>
    <w:autoRedefine/>
    <w:qFormat/>
    <w:uiPriority w:val="99"/>
    <w:rPr>
      <w:rFonts w:ascii="Tahoma" w:hAnsi="Tahoma"/>
      <w:sz w:val="18"/>
      <w:szCs w:val="20"/>
    </w:rPr>
  </w:style>
  <w:style w:type="character" w:customStyle="1" w:styleId="147">
    <w:name w:val="tw4winError"/>
    <w:autoRedefine/>
    <w:qFormat/>
    <w:uiPriority w:val="0"/>
    <w:rPr>
      <w:rFonts w:ascii="Courier New" w:hAnsi="Courier New"/>
      <w:color w:val="00FF00"/>
      <w:sz w:val="40"/>
    </w:rPr>
  </w:style>
  <w:style w:type="character" w:customStyle="1" w:styleId="148">
    <w:name w:val="style51"/>
    <w:autoRedefine/>
    <w:qFormat/>
    <w:uiPriority w:val="99"/>
    <w:rPr>
      <w:color w:val="3300FF"/>
    </w:rPr>
  </w:style>
  <w:style w:type="character" w:customStyle="1" w:styleId="149">
    <w:name w:val="fontblank12"/>
    <w:autoRedefine/>
    <w:qFormat/>
    <w:uiPriority w:val="0"/>
  </w:style>
  <w:style w:type="character" w:customStyle="1" w:styleId="150">
    <w:name w:val="批注文字 Char1"/>
    <w:autoRedefine/>
    <w:semiHidden/>
    <w:qFormat/>
    <w:locked/>
    <w:uiPriority w:val="0"/>
    <w:rPr>
      <w:kern w:val="2"/>
      <w:sz w:val="21"/>
      <w:szCs w:val="24"/>
    </w:rPr>
  </w:style>
  <w:style w:type="character" w:customStyle="1" w:styleId="151">
    <w:name w:val="tw4winJump"/>
    <w:autoRedefine/>
    <w:qFormat/>
    <w:uiPriority w:val="0"/>
    <w:rPr>
      <w:rFonts w:ascii="Courier New" w:hAnsi="Courier New"/>
      <w:color w:val="008080"/>
    </w:rPr>
  </w:style>
  <w:style w:type="character" w:customStyle="1" w:styleId="152">
    <w:name w:val="nav_title_9_161"/>
    <w:autoRedefine/>
    <w:qFormat/>
    <w:uiPriority w:val="99"/>
    <w:rPr>
      <w:color w:val="000000"/>
      <w:sz w:val="18"/>
      <w:u w:val="none"/>
    </w:rPr>
  </w:style>
  <w:style w:type="character" w:customStyle="1" w:styleId="153">
    <w:name w:val="point_normal1"/>
    <w:autoRedefine/>
    <w:qFormat/>
    <w:uiPriority w:val="0"/>
    <w:rPr>
      <w:rFonts w:hint="default" w:ascii="Arial" w:hAnsi="Arial" w:cs="Arial"/>
      <w:sz w:val="18"/>
      <w:szCs w:val="18"/>
    </w:rPr>
  </w:style>
  <w:style w:type="character" w:customStyle="1" w:styleId="154">
    <w:name w:val="页脚 Char1"/>
    <w:autoRedefine/>
    <w:semiHidden/>
    <w:qFormat/>
    <w:uiPriority w:val="99"/>
    <w:rPr>
      <w:rFonts w:ascii="Times New Roman" w:hAnsi="Times New Roman" w:eastAsia="宋体" w:cs="Times New Roman"/>
      <w:sz w:val="18"/>
      <w:szCs w:val="18"/>
    </w:rPr>
  </w:style>
  <w:style w:type="character" w:customStyle="1" w:styleId="155">
    <w:name w:val="font101"/>
    <w:autoRedefine/>
    <w:qFormat/>
    <w:uiPriority w:val="99"/>
    <w:rPr>
      <w:rFonts w:ascii="宋体" w:hAnsi="宋体" w:eastAsia="宋体"/>
      <w:color w:val="000000"/>
      <w:sz w:val="18"/>
      <w:u w:val="none"/>
      <w:vertAlign w:val="superscript"/>
    </w:rPr>
  </w:style>
  <w:style w:type="character" w:customStyle="1" w:styleId="156">
    <w:name w:val="normalpara"/>
    <w:autoRedefine/>
    <w:qFormat/>
    <w:uiPriority w:val="99"/>
  </w:style>
  <w:style w:type="character" w:customStyle="1" w:styleId="157">
    <w:name w:val="font141"/>
    <w:autoRedefine/>
    <w:qFormat/>
    <w:uiPriority w:val="99"/>
    <w:rPr>
      <w:rFonts w:ascii="宋体" w:hAnsi="宋体" w:eastAsia="宋体"/>
      <w:color w:val="000000"/>
      <w:sz w:val="18"/>
      <w:u w:val="none"/>
      <w:vertAlign w:val="superscript"/>
    </w:rPr>
  </w:style>
  <w:style w:type="character" w:customStyle="1" w:styleId="158">
    <w:name w:val="标题 1字符1"/>
    <w:autoRedefine/>
    <w:qFormat/>
    <w:uiPriority w:val="0"/>
    <w:rPr>
      <w:b/>
      <w:kern w:val="44"/>
      <w:sz w:val="44"/>
    </w:rPr>
  </w:style>
  <w:style w:type="character" w:customStyle="1" w:styleId="159">
    <w:name w:val="style31"/>
    <w:autoRedefine/>
    <w:qFormat/>
    <w:uiPriority w:val="0"/>
    <w:rPr>
      <w:color w:val="4B4B4B"/>
    </w:rPr>
  </w:style>
  <w:style w:type="character" w:customStyle="1" w:styleId="160">
    <w:name w:val="样式 标题 2章标题2nd levelh22Header 2l2Titre2Head 2H2Heading ... Char Char"/>
    <w:link w:val="161"/>
    <w:autoRedefine/>
    <w:qFormat/>
    <w:locked/>
    <w:uiPriority w:val="99"/>
    <w:rPr>
      <w:rFonts w:ascii="宋体" w:hAnsi="宋体" w:eastAsia="微软雅黑"/>
      <w:sz w:val="32"/>
    </w:rPr>
  </w:style>
  <w:style w:type="paragraph" w:customStyle="1" w:styleId="161">
    <w:name w:val="样式 标题 2章标题2nd levelh22Header 2l2Titre2Head 2H2Heading ..."/>
    <w:basedOn w:val="2"/>
    <w:link w:val="160"/>
    <w:autoRedefine/>
    <w:qFormat/>
    <w:uiPriority w:val="99"/>
    <w:pPr>
      <w:numPr>
        <w:ilvl w:val="1"/>
        <w:numId w:val="0"/>
      </w:numPr>
      <w:tabs>
        <w:tab w:val="left" w:pos="1285"/>
      </w:tabs>
      <w:spacing w:before="0" w:after="0" w:line="360" w:lineRule="auto"/>
      <w:ind w:left="945"/>
    </w:pPr>
    <w:rPr>
      <w:rFonts w:ascii="宋体" w:hAnsi="宋体" w:eastAsia="微软雅黑"/>
      <w:b w:val="0"/>
      <w:bCs w:val="0"/>
      <w:kern w:val="0"/>
      <w:szCs w:val="20"/>
    </w:rPr>
  </w:style>
  <w:style w:type="character" w:customStyle="1" w:styleId="162">
    <w:name w:val="1级标题 Char"/>
    <w:link w:val="163"/>
    <w:autoRedefine/>
    <w:qFormat/>
    <w:uiPriority w:val="0"/>
    <w:rPr>
      <w:rFonts w:ascii="黑体" w:hAnsi="黑体" w:eastAsia="黑体"/>
      <w:sz w:val="36"/>
      <w:szCs w:val="36"/>
      <w:lang w:eastAsia="en-US" w:bidi="en-US"/>
    </w:rPr>
  </w:style>
  <w:style w:type="paragraph" w:customStyle="1" w:styleId="163">
    <w:name w:val="1级标题"/>
    <w:basedOn w:val="129"/>
    <w:link w:val="162"/>
    <w:autoRedefine/>
    <w:qFormat/>
    <w:uiPriority w:val="0"/>
    <w:pPr>
      <w:keepLines/>
      <w:pageBreakBefore/>
      <w:widowControl w:val="0"/>
      <w:adjustRightInd/>
      <w:snapToGrid/>
      <w:spacing w:before="120" w:after="120" w:line="360" w:lineRule="auto"/>
      <w:ind w:left="2123" w:firstLine="288" w:firstLineChars="0"/>
      <w:contextualSpacing/>
      <w:jc w:val="center"/>
      <w:outlineLvl w:val="0"/>
    </w:pPr>
    <w:rPr>
      <w:rFonts w:ascii="黑体" w:hAnsi="黑体" w:eastAsia="黑体"/>
      <w:sz w:val="36"/>
      <w:szCs w:val="36"/>
      <w:lang w:eastAsia="en-US" w:bidi="en-US"/>
    </w:rPr>
  </w:style>
  <w:style w:type="character" w:customStyle="1" w:styleId="164">
    <w:name w:val="font71"/>
    <w:autoRedefine/>
    <w:qFormat/>
    <w:uiPriority w:val="99"/>
    <w:rPr>
      <w:rFonts w:ascii="Arial" w:hAnsi="Arial"/>
      <w:color w:val="000000"/>
      <w:sz w:val="20"/>
      <w:u w:val="none"/>
    </w:rPr>
  </w:style>
  <w:style w:type="character" w:customStyle="1" w:styleId="165">
    <w:name w:val="tw4winPopup"/>
    <w:autoRedefine/>
    <w:qFormat/>
    <w:uiPriority w:val="0"/>
    <w:rPr>
      <w:rFonts w:ascii="Courier New" w:hAnsi="Courier New"/>
      <w:color w:val="008000"/>
    </w:rPr>
  </w:style>
  <w:style w:type="character" w:customStyle="1" w:styleId="166">
    <w:name w:val="H17 Char"/>
    <w:autoRedefine/>
    <w:qFormat/>
    <w:uiPriority w:val="99"/>
    <w:rPr>
      <w:sz w:val="44"/>
    </w:rPr>
  </w:style>
  <w:style w:type="character" w:customStyle="1" w:styleId="167">
    <w:name w:val="font181"/>
    <w:autoRedefine/>
    <w:qFormat/>
    <w:uiPriority w:val="99"/>
    <w:rPr>
      <w:rFonts w:ascii="宋体" w:hAnsi="宋体" w:eastAsia="宋体"/>
      <w:color w:val="000000"/>
      <w:sz w:val="16"/>
      <w:u w:val="none"/>
    </w:rPr>
  </w:style>
  <w:style w:type="character" w:customStyle="1" w:styleId="168">
    <w:name w:val="body_main_content_text1"/>
    <w:autoRedefine/>
    <w:qFormat/>
    <w:uiPriority w:val="99"/>
    <w:rPr>
      <w:sz w:val="18"/>
    </w:rPr>
  </w:style>
  <w:style w:type="character" w:customStyle="1" w:styleId="169">
    <w:name w:val="apple-converted-space"/>
    <w:autoRedefine/>
    <w:qFormat/>
    <w:uiPriority w:val="0"/>
  </w:style>
  <w:style w:type="character" w:customStyle="1" w:styleId="170">
    <w:name w:val="Char Char1"/>
    <w:autoRedefine/>
    <w:qFormat/>
    <w:uiPriority w:val="99"/>
    <w:rPr>
      <w:rFonts w:eastAsia="宋体"/>
      <w:kern w:val="2"/>
      <w:sz w:val="18"/>
      <w:lang w:val="en-US" w:eastAsia="zh-CN"/>
    </w:rPr>
  </w:style>
  <w:style w:type="character" w:customStyle="1" w:styleId="171">
    <w:name w:val="列出段落 Char"/>
    <w:link w:val="172"/>
    <w:autoRedefine/>
    <w:qFormat/>
    <w:locked/>
    <w:uiPriority w:val="34"/>
    <w:rPr>
      <w:rFonts w:ascii="Calibri" w:hAnsi="Calibri"/>
      <w:sz w:val="24"/>
    </w:rPr>
  </w:style>
  <w:style w:type="paragraph" w:customStyle="1" w:styleId="172">
    <w:name w:val="List Paragraph1"/>
    <w:basedOn w:val="1"/>
    <w:link w:val="171"/>
    <w:autoRedefine/>
    <w:qFormat/>
    <w:uiPriority w:val="34"/>
    <w:pPr>
      <w:spacing w:line="360" w:lineRule="auto"/>
      <w:ind w:firstLine="420" w:firstLineChars="200"/>
    </w:pPr>
    <w:rPr>
      <w:rFonts w:ascii="Calibri" w:hAnsi="Calibri"/>
      <w:kern w:val="0"/>
      <w:sz w:val="24"/>
      <w:szCs w:val="20"/>
    </w:rPr>
  </w:style>
  <w:style w:type="character" w:customStyle="1" w:styleId="173">
    <w:name w:val="段 Char"/>
    <w:link w:val="174"/>
    <w:autoRedefine/>
    <w:qFormat/>
    <w:uiPriority w:val="0"/>
    <w:rPr>
      <w:rFonts w:ascii="宋体"/>
      <w:sz w:val="21"/>
      <w:lang w:val="en-US" w:eastAsia="zh-CN" w:bidi="ar-SA"/>
    </w:rPr>
  </w:style>
  <w:style w:type="paragraph" w:customStyle="1" w:styleId="174">
    <w:name w:val="段"/>
    <w:link w:val="173"/>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75">
    <w:name w:val="unnamed1"/>
    <w:autoRedefine/>
    <w:qFormat/>
    <w:uiPriority w:val="99"/>
  </w:style>
  <w:style w:type="character" w:customStyle="1" w:styleId="176">
    <w:name w:val="font121"/>
    <w:autoRedefine/>
    <w:qFormat/>
    <w:uiPriority w:val="99"/>
    <w:rPr>
      <w:rFonts w:ascii="Arial" w:hAnsi="Arial"/>
      <w:color w:val="000000"/>
      <w:sz w:val="20"/>
      <w:u w:val="none"/>
    </w:rPr>
  </w:style>
  <w:style w:type="character" w:customStyle="1" w:styleId="177">
    <w:name w:val="font41"/>
    <w:autoRedefine/>
    <w:qFormat/>
    <w:uiPriority w:val="0"/>
    <w:rPr>
      <w:rFonts w:hint="eastAsia" w:ascii="宋体" w:hAnsi="宋体" w:eastAsia="宋体" w:cs="宋体"/>
      <w:color w:val="FF0000"/>
      <w:sz w:val="22"/>
      <w:szCs w:val="22"/>
    </w:rPr>
  </w:style>
  <w:style w:type="character" w:customStyle="1" w:styleId="178">
    <w:name w:val="无"/>
    <w:autoRedefine/>
    <w:qFormat/>
    <w:uiPriority w:val="99"/>
  </w:style>
  <w:style w:type="character" w:customStyle="1" w:styleId="179">
    <w:name w:val="kuang1"/>
    <w:autoRedefine/>
    <w:qFormat/>
    <w:uiPriority w:val="99"/>
    <w:rPr>
      <w:sz w:val="20"/>
      <w:u w:val="none"/>
    </w:rPr>
  </w:style>
  <w:style w:type="character" w:customStyle="1" w:styleId="180">
    <w:name w:val="普通文字 Char Char1"/>
    <w:autoRedefine/>
    <w:qFormat/>
    <w:uiPriority w:val="0"/>
    <w:rPr>
      <w:rFonts w:ascii="宋体" w:hAnsi="Courier New"/>
      <w:kern w:val="2"/>
      <w:sz w:val="24"/>
      <w:szCs w:val="24"/>
    </w:rPr>
  </w:style>
  <w:style w:type="character" w:customStyle="1" w:styleId="181">
    <w:name w:val="正文 + 宋体 Char"/>
    <w:autoRedefine/>
    <w:qFormat/>
    <w:uiPriority w:val="99"/>
    <w:rPr>
      <w:rFonts w:ascii="宋体" w:hAnsi="宋体" w:eastAsia="宋体"/>
      <w:kern w:val="2"/>
      <w:sz w:val="24"/>
      <w:u w:val="single"/>
      <w:lang w:val="en-US" w:eastAsia="zh-CN"/>
    </w:rPr>
  </w:style>
  <w:style w:type="character" w:customStyle="1" w:styleId="182">
    <w:name w:val="普通文字 Char Char3"/>
    <w:autoRedefine/>
    <w:qFormat/>
    <w:uiPriority w:val="0"/>
    <w:rPr>
      <w:rFonts w:ascii="宋体" w:hAnsi="Courier New" w:eastAsia="仿宋_GB2312" w:cs="宋体"/>
      <w:b/>
      <w:bCs/>
      <w:color w:val="000000"/>
      <w:sz w:val="21"/>
      <w:lang w:val="en-US" w:eastAsia="zh-CN" w:bidi="ar-SA"/>
    </w:rPr>
  </w:style>
  <w:style w:type="character" w:customStyle="1" w:styleId="183">
    <w:name w:val="style101"/>
    <w:autoRedefine/>
    <w:qFormat/>
    <w:uiPriority w:val="0"/>
    <w:rPr>
      <w:color w:val="FFFFFF"/>
    </w:rPr>
  </w:style>
  <w:style w:type="character" w:customStyle="1" w:styleId="184">
    <w:name w:val="huide001"/>
    <w:autoRedefine/>
    <w:qFormat/>
    <w:uiPriority w:val="0"/>
    <w:rPr>
      <w:rFonts w:hint="default" w:ascii="Arial" w:hAnsi="Arial" w:cs="Arial"/>
      <w:color w:val="666666"/>
      <w:sz w:val="18"/>
      <w:szCs w:val="18"/>
    </w:rPr>
  </w:style>
  <w:style w:type="character" w:customStyle="1" w:styleId="185">
    <w:name w:val="段落 Char"/>
    <w:autoRedefine/>
    <w:qFormat/>
    <w:uiPriority w:val="0"/>
    <w:rPr>
      <w:rFonts w:eastAsia="仿宋_GB2312"/>
      <w:kern w:val="2"/>
      <w:sz w:val="24"/>
      <w:szCs w:val="22"/>
      <w:lang w:val="en-US" w:eastAsia="zh-CN" w:bidi="ar-SA"/>
    </w:rPr>
  </w:style>
  <w:style w:type="character" w:customStyle="1" w:styleId="186">
    <w:name w:val="样式 正文（首行缩进两字） + 宋体 Char"/>
    <w:autoRedefine/>
    <w:qFormat/>
    <w:uiPriority w:val="0"/>
    <w:rPr>
      <w:rFonts w:ascii="宋体" w:hAnsi="宋体" w:eastAsia="宋体"/>
      <w:spacing w:val="6"/>
      <w:kern w:val="24"/>
      <w:sz w:val="24"/>
      <w:szCs w:val="24"/>
      <w:lang w:val="en-US" w:eastAsia="zh-CN" w:bidi="ar-SA"/>
    </w:rPr>
  </w:style>
  <w:style w:type="character" w:customStyle="1" w:styleId="187">
    <w:name w:val=" Char Char10"/>
    <w:autoRedefine/>
    <w:qFormat/>
    <w:uiPriority w:val="0"/>
    <w:rPr>
      <w:rFonts w:eastAsia="黑体"/>
      <w:snapToGrid w:val="0"/>
      <w:sz w:val="18"/>
      <w:szCs w:val="18"/>
    </w:rPr>
  </w:style>
  <w:style w:type="character" w:customStyle="1" w:styleId="188">
    <w:name w:val="main-content"/>
    <w:autoRedefine/>
    <w:qFormat/>
    <w:uiPriority w:val="99"/>
  </w:style>
  <w:style w:type="character" w:customStyle="1" w:styleId="189">
    <w:name w:val="prodsubtitle1"/>
    <w:autoRedefine/>
    <w:qFormat/>
    <w:uiPriority w:val="99"/>
    <w:rPr>
      <w:rFonts w:ascii="Verdana" w:hAnsi="Verdana"/>
      <w:b/>
      <w:color w:val="01927C"/>
      <w:sz w:val="18"/>
    </w:rPr>
  </w:style>
  <w:style w:type="character" w:customStyle="1" w:styleId="190">
    <w:name w:val="内容文本 Char"/>
    <w:link w:val="191"/>
    <w:autoRedefine/>
    <w:qFormat/>
    <w:uiPriority w:val="0"/>
    <w:rPr>
      <w:rFonts w:ascii="宋体" w:hAnsi="宋体"/>
      <w:sz w:val="24"/>
      <w:szCs w:val="24"/>
      <w:lang w:eastAsia="en-US" w:bidi="en-US"/>
    </w:rPr>
  </w:style>
  <w:style w:type="paragraph" w:customStyle="1" w:styleId="191">
    <w:name w:val="内容文本"/>
    <w:basedOn w:val="129"/>
    <w:link w:val="190"/>
    <w:autoRedefine/>
    <w:qFormat/>
    <w:uiPriority w:val="0"/>
    <w:pPr>
      <w:widowControl w:val="0"/>
      <w:adjustRightInd/>
      <w:snapToGrid/>
      <w:spacing w:after="0" w:line="360" w:lineRule="auto"/>
      <w:ind w:firstLine="200"/>
      <w:contextualSpacing/>
    </w:pPr>
    <w:rPr>
      <w:rFonts w:ascii="宋体" w:hAnsi="宋体" w:eastAsia="宋体"/>
      <w:sz w:val="24"/>
      <w:szCs w:val="24"/>
      <w:lang w:eastAsia="en-US" w:bidi="en-US"/>
    </w:rPr>
  </w:style>
  <w:style w:type="character" w:customStyle="1" w:styleId="192">
    <w:name w:val="p141"/>
    <w:autoRedefine/>
    <w:qFormat/>
    <w:uiPriority w:val="0"/>
    <w:rPr>
      <w:sz w:val="21"/>
      <w:szCs w:val="21"/>
    </w:rPr>
  </w:style>
  <w:style w:type="character" w:customStyle="1" w:styleId="193">
    <w:name w:val="Normal Indent Char1 Char1 Char2 Char Char Char Char Char Char Char Char Char Char Char Char Char Char"/>
    <w:autoRedefine/>
    <w:qFormat/>
    <w:uiPriority w:val="0"/>
    <w:rPr>
      <w:rFonts w:eastAsia="仿宋_GB2312"/>
      <w:kern w:val="2"/>
      <w:sz w:val="22"/>
      <w:szCs w:val="24"/>
      <w:lang w:val="en-US" w:eastAsia="zh-CN" w:bidi="ar-SA"/>
    </w:rPr>
  </w:style>
  <w:style w:type="character" w:customStyle="1" w:styleId="194">
    <w:name w:val="副标题 Char1"/>
    <w:autoRedefine/>
    <w:qFormat/>
    <w:uiPriority w:val="11"/>
    <w:rPr>
      <w:rFonts w:hint="default" w:ascii="Cambria" w:hAnsi="Cambria" w:cs="Times New Roman"/>
      <w:b/>
      <w:bCs/>
      <w:kern w:val="28"/>
      <w:sz w:val="32"/>
      <w:szCs w:val="32"/>
    </w:rPr>
  </w:style>
  <w:style w:type="character" w:customStyle="1" w:styleId="195">
    <w:name w:val="标题 3 Char1"/>
    <w:autoRedefine/>
    <w:qFormat/>
    <w:uiPriority w:val="9"/>
    <w:rPr>
      <w:rFonts w:ascii="宋体"/>
      <w:b/>
      <w:sz w:val="24"/>
    </w:rPr>
  </w:style>
  <w:style w:type="character" w:customStyle="1" w:styleId="196">
    <w:name w:val="样式 Arial"/>
    <w:autoRedefine/>
    <w:qFormat/>
    <w:uiPriority w:val="99"/>
    <w:rPr>
      <w:rFonts w:ascii="Arial" w:hAnsi="Arial" w:eastAsia="宋体"/>
      <w:sz w:val="24"/>
    </w:rPr>
  </w:style>
  <w:style w:type="character" w:customStyle="1" w:styleId="197">
    <w:name w:val="style11"/>
    <w:autoRedefine/>
    <w:qFormat/>
    <w:uiPriority w:val="0"/>
    <w:rPr>
      <w:rFonts w:eastAsia="宋体"/>
      <w:kern w:val="2"/>
      <w:sz w:val="21"/>
      <w:szCs w:val="21"/>
      <w:lang w:val="en-US" w:eastAsia="zh-CN"/>
    </w:rPr>
  </w:style>
  <w:style w:type="character" w:customStyle="1" w:styleId="198">
    <w:name w:val="Table Text Char1"/>
    <w:link w:val="199"/>
    <w:autoRedefine/>
    <w:qFormat/>
    <w:locked/>
    <w:uiPriority w:val="99"/>
    <w:rPr>
      <w:rFonts w:ascii="Arial" w:hAnsi="Arial"/>
      <w:kern w:val="2"/>
      <w:sz w:val="18"/>
      <w:szCs w:val="18"/>
      <w:lang w:val="en-US" w:eastAsia="zh-CN" w:bidi="ar-SA"/>
    </w:rPr>
  </w:style>
  <w:style w:type="paragraph" w:customStyle="1" w:styleId="199">
    <w:name w:val="Table Text"/>
    <w:link w:val="198"/>
    <w:autoRedefine/>
    <w:qFormat/>
    <w:uiPriority w:val="99"/>
    <w:pPr>
      <w:snapToGrid w:val="0"/>
      <w:spacing w:before="80" w:after="80"/>
    </w:pPr>
    <w:rPr>
      <w:rFonts w:ascii="Arial" w:hAnsi="Arial" w:eastAsia="宋体" w:cs="Times New Roman"/>
      <w:kern w:val="2"/>
      <w:sz w:val="18"/>
      <w:szCs w:val="18"/>
      <w:lang w:val="en-US" w:eastAsia="zh-CN" w:bidi="ar-SA"/>
    </w:rPr>
  </w:style>
  <w:style w:type="character" w:customStyle="1" w:styleId="200">
    <w:name w:val="font21"/>
    <w:autoRedefine/>
    <w:qFormat/>
    <w:uiPriority w:val="99"/>
    <w:rPr>
      <w:rFonts w:ascii="宋体" w:hAnsi="宋体" w:eastAsia="宋体"/>
      <w:color w:val="000000"/>
      <w:sz w:val="20"/>
      <w:u w:val="none"/>
    </w:rPr>
  </w:style>
  <w:style w:type="character" w:customStyle="1" w:styleId="201">
    <w:name w:val=" Char Char1"/>
    <w:autoRedefine/>
    <w:qFormat/>
    <w:uiPriority w:val="0"/>
    <w:rPr>
      <w:kern w:val="2"/>
      <w:sz w:val="21"/>
      <w:szCs w:val="21"/>
    </w:rPr>
  </w:style>
  <w:style w:type="character" w:customStyle="1" w:styleId="202">
    <w:name w:val="正文首缩两字 Char1"/>
    <w:link w:val="203"/>
    <w:autoRedefine/>
    <w:qFormat/>
    <w:locked/>
    <w:uiPriority w:val="99"/>
    <w:rPr>
      <w:rFonts w:ascii="Verdana" w:hAnsi="Verdana"/>
      <w:sz w:val="24"/>
      <w:szCs w:val="24"/>
    </w:rPr>
  </w:style>
  <w:style w:type="paragraph" w:customStyle="1" w:styleId="203">
    <w:name w:val="正文首缩两字"/>
    <w:basedOn w:val="1"/>
    <w:link w:val="202"/>
    <w:autoRedefine/>
    <w:qFormat/>
    <w:uiPriority w:val="99"/>
    <w:pPr>
      <w:spacing w:line="360" w:lineRule="auto"/>
      <w:ind w:firstLine="200" w:firstLineChars="200"/>
    </w:pPr>
    <w:rPr>
      <w:rFonts w:ascii="Verdana" w:hAnsi="Verdana"/>
      <w:kern w:val="0"/>
      <w:sz w:val="24"/>
    </w:rPr>
  </w:style>
  <w:style w:type="character" w:customStyle="1" w:styleId="204">
    <w:name w:val="line1"/>
    <w:autoRedefine/>
    <w:qFormat/>
    <w:uiPriority w:val="0"/>
    <w:rPr>
      <w:u w:val="none"/>
    </w:rPr>
  </w:style>
  <w:style w:type="character" w:customStyle="1" w:styleId="205">
    <w:name w:val="unnamed11"/>
    <w:autoRedefine/>
    <w:qFormat/>
    <w:uiPriority w:val="0"/>
    <w:rPr>
      <w:sz w:val="20"/>
      <w:szCs w:val="20"/>
    </w:rPr>
  </w:style>
  <w:style w:type="character" w:customStyle="1" w:styleId="206">
    <w:name w:val="specifications1"/>
    <w:autoRedefine/>
    <w:qFormat/>
    <w:uiPriority w:val="99"/>
    <w:rPr>
      <w:rFonts w:ascii="Arial" w:hAnsi="Arial"/>
      <w:i/>
      <w:color w:val="FF3300"/>
      <w:sz w:val="20"/>
      <w:u w:val="none"/>
    </w:rPr>
  </w:style>
  <w:style w:type="character" w:customStyle="1" w:styleId="207">
    <w:name w:val="样式 小四"/>
    <w:autoRedefine/>
    <w:qFormat/>
    <w:uiPriority w:val="0"/>
    <w:rPr>
      <w:sz w:val="21"/>
    </w:rPr>
  </w:style>
  <w:style w:type="character" w:customStyle="1" w:styleId="208">
    <w:name w:val="Plain Text Char"/>
    <w:autoRedefine/>
    <w:qFormat/>
    <w:locked/>
    <w:uiPriority w:val="99"/>
    <w:rPr>
      <w:rFonts w:ascii="宋体" w:hAnsi="Courier New" w:eastAsia="宋体"/>
      <w:kern w:val="2"/>
      <w:sz w:val="24"/>
    </w:rPr>
  </w:style>
  <w:style w:type="character" w:customStyle="1" w:styleId="209">
    <w:name w:val="font11"/>
    <w:autoRedefine/>
    <w:qFormat/>
    <w:uiPriority w:val="99"/>
    <w:rPr>
      <w:rFonts w:ascii="宋体" w:hAnsi="宋体" w:eastAsia="宋体"/>
      <w:color w:val="000000"/>
      <w:sz w:val="20"/>
      <w:u w:val="none"/>
    </w:rPr>
  </w:style>
  <w:style w:type="character" w:customStyle="1" w:styleId="210">
    <w:name w:val="消息标题号"/>
    <w:autoRedefine/>
    <w:qFormat/>
    <w:uiPriority w:val="99"/>
    <w:rPr>
      <w:rFonts w:ascii="Arial" w:hAnsi="Arial" w:eastAsia="楷体_GB2312"/>
      <w:b/>
      <w:spacing w:val="-4"/>
      <w:sz w:val="18"/>
      <w:lang w:eastAsia="zh-CN"/>
    </w:rPr>
  </w:style>
  <w:style w:type="character" w:customStyle="1" w:styleId="211">
    <w:name w:val=" Char Char13"/>
    <w:autoRedefine/>
    <w:qFormat/>
    <w:uiPriority w:val="0"/>
    <w:rPr>
      <w:rFonts w:ascii="Arial" w:hAnsi="Arial" w:eastAsia="黑体"/>
      <w:b/>
      <w:bCs/>
      <w:kern w:val="2"/>
      <w:sz w:val="32"/>
      <w:szCs w:val="32"/>
    </w:rPr>
  </w:style>
  <w:style w:type="character" w:customStyle="1" w:styleId="212">
    <w:name w:val=" Char Char5"/>
    <w:autoRedefine/>
    <w:qFormat/>
    <w:uiPriority w:val="0"/>
    <w:rPr>
      <w:rFonts w:ascii="宋体" w:hAnsi="Courier New" w:eastAsia="宋体"/>
      <w:spacing w:val="-4"/>
      <w:kern w:val="2"/>
      <w:sz w:val="18"/>
      <w:lang w:val="en-US" w:eastAsia="zh-CN" w:bidi="ar-SA"/>
    </w:rPr>
  </w:style>
  <w:style w:type="character" w:customStyle="1" w:styleId="213">
    <w:name w:val="标题 1 Char Char"/>
    <w:autoRedefine/>
    <w:qFormat/>
    <w:uiPriority w:val="0"/>
    <w:rPr>
      <w:rFonts w:eastAsia="宋体"/>
      <w:b/>
      <w:spacing w:val="-2"/>
      <w:sz w:val="24"/>
      <w:lang w:val="en-US" w:eastAsia="zh-CN" w:bidi="ar-SA"/>
    </w:rPr>
  </w:style>
  <w:style w:type="character" w:customStyle="1" w:styleId="214">
    <w:name w:val="tw4winExternal"/>
    <w:autoRedefine/>
    <w:qFormat/>
    <w:uiPriority w:val="0"/>
    <w:rPr>
      <w:rFonts w:ascii="Courier New" w:hAnsi="Courier New"/>
      <w:color w:val="808080"/>
    </w:rPr>
  </w:style>
  <w:style w:type="character" w:customStyle="1" w:styleId="215">
    <w:name w:val="纯文本 字符"/>
    <w:autoRedefine/>
    <w:qFormat/>
    <w:uiPriority w:val="0"/>
    <w:rPr>
      <w:rFonts w:hint="eastAsia" w:ascii="宋体" w:hAnsi="Courier New" w:eastAsia="宋体"/>
      <w:kern w:val="2"/>
      <w:sz w:val="21"/>
      <w:lang w:val="en-US" w:eastAsia="zh-CN" w:bidi="ar-SA"/>
    </w:rPr>
  </w:style>
  <w:style w:type="character" w:customStyle="1" w:styleId="216">
    <w:name w:val="Book Title1"/>
    <w:autoRedefine/>
    <w:qFormat/>
    <w:uiPriority w:val="99"/>
    <w:rPr>
      <w:rFonts w:ascii="楷体_GB2312" w:hAnsi="Calibri" w:eastAsia="楷体_GB2312"/>
      <w:b/>
      <w:smallCaps/>
      <w:kern w:val="44"/>
      <w:sz w:val="24"/>
      <w:lang w:val="en-US" w:eastAsia="zh-CN"/>
    </w:rPr>
  </w:style>
  <w:style w:type="character" w:customStyle="1" w:styleId="217">
    <w:name w:val="subtitle3"/>
    <w:autoRedefine/>
    <w:qFormat/>
    <w:uiPriority w:val="0"/>
    <w:rPr>
      <w:sz w:val="23"/>
      <w:szCs w:val="23"/>
    </w:rPr>
  </w:style>
  <w:style w:type="character" w:customStyle="1" w:styleId="218">
    <w:name w:val="纯文本 Char1"/>
    <w:autoRedefine/>
    <w:qFormat/>
    <w:uiPriority w:val="99"/>
    <w:rPr>
      <w:rFonts w:ascii="宋体" w:hAnsi="Courier New" w:eastAsia="宋体" w:cs="Courier New"/>
      <w:szCs w:val="21"/>
    </w:rPr>
  </w:style>
  <w:style w:type="character" w:customStyle="1" w:styleId="219">
    <w:name w:val="pagetitle"/>
    <w:autoRedefine/>
    <w:qFormat/>
    <w:uiPriority w:val="0"/>
  </w:style>
  <w:style w:type="character" w:customStyle="1" w:styleId="220">
    <w:name w:val="A C"/>
    <w:autoRedefine/>
    <w:qFormat/>
    <w:uiPriority w:val="0"/>
    <w:rPr>
      <w:rFonts w:ascii="仿宋_GB2312"/>
      <w:bCs/>
      <w:iCs/>
      <w:sz w:val="24"/>
    </w:rPr>
  </w:style>
  <w:style w:type="character" w:customStyle="1" w:styleId="221">
    <w:name w:val="font61"/>
    <w:autoRedefine/>
    <w:qFormat/>
    <w:uiPriority w:val="99"/>
    <w:rPr>
      <w:rFonts w:ascii="宋体" w:hAnsi="宋体" w:eastAsia="宋体"/>
      <w:color w:val="000000"/>
      <w:sz w:val="16"/>
      <w:u w:val="none"/>
    </w:rPr>
  </w:style>
  <w:style w:type="character" w:customStyle="1" w:styleId="222">
    <w:name w:val="正文文本 Char"/>
    <w:autoRedefine/>
    <w:qFormat/>
    <w:uiPriority w:val="99"/>
    <w:rPr>
      <w:rFonts w:eastAsia="宋体"/>
      <w:kern w:val="2"/>
      <w:sz w:val="28"/>
      <w:szCs w:val="24"/>
      <w:lang w:val="en-US" w:eastAsia="zh-CN" w:bidi="ar-SA"/>
    </w:rPr>
  </w:style>
  <w:style w:type="character" w:customStyle="1" w:styleId="223">
    <w:name w:val="Normal Indent Char Char"/>
    <w:autoRedefine/>
    <w:qFormat/>
    <w:uiPriority w:val="99"/>
    <w:rPr>
      <w:rFonts w:eastAsia="宋体"/>
      <w:kern w:val="2"/>
      <w:sz w:val="21"/>
      <w:lang w:val="en-US" w:eastAsia="zh-CN" w:bidi="ar-SA"/>
    </w:rPr>
  </w:style>
  <w:style w:type="character" w:customStyle="1" w:styleId="224">
    <w:name w:val="Table Heading Char Char"/>
    <w:link w:val="225"/>
    <w:autoRedefine/>
    <w:qFormat/>
    <w:locked/>
    <w:uiPriority w:val="99"/>
    <w:rPr>
      <w:rFonts w:ascii="Arial" w:hAnsi="Arial" w:eastAsia="黑体"/>
      <w:sz w:val="18"/>
      <w:lang w:val="en-US" w:eastAsia="zh-CN" w:bidi="ar-SA"/>
    </w:rPr>
  </w:style>
  <w:style w:type="paragraph" w:customStyle="1" w:styleId="225">
    <w:name w:val="Table Heading"/>
    <w:link w:val="224"/>
    <w:autoRedefine/>
    <w:qFormat/>
    <w:uiPriority w:val="99"/>
    <w:pPr>
      <w:keepNext/>
      <w:snapToGrid w:val="0"/>
      <w:spacing w:before="80" w:after="80"/>
      <w:jc w:val="center"/>
    </w:pPr>
    <w:rPr>
      <w:rFonts w:ascii="Arial" w:hAnsi="Arial" w:eastAsia="黑体" w:cs="Times New Roman"/>
      <w:sz w:val="18"/>
      <w:lang w:val="en-US" w:eastAsia="zh-CN" w:bidi="ar-SA"/>
    </w:rPr>
  </w:style>
  <w:style w:type="character" w:customStyle="1" w:styleId="226">
    <w:name w:val="发展规划1"/>
    <w:autoRedefine/>
    <w:qFormat/>
    <w:uiPriority w:val="99"/>
    <w:rPr>
      <w:rFonts w:ascii="Arial" w:hAnsi="Arial"/>
      <w:color w:val="21688C"/>
      <w:sz w:val="21"/>
    </w:rPr>
  </w:style>
  <w:style w:type="character" w:customStyle="1" w:styleId="227">
    <w:name w:val="编写建议 Char Char"/>
    <w:link w:val="228"/>
    <w:autoRedefine/>
    <w:qFormat/>
    <w:locked/>
    <w:uiPriority w:val="99"/>
    <w:rPr>
      <w:rFonts w:ascii="Arial" w:hAnsi="Arial"/>
      <w:i/>
      <w:color w:val="0000FF"/>
      <w:sz w:val="21"/>
    </w:rPr>
  </w:style>
  <w:style w:type="paragraph" w:customStyle="1" w:styleId="228">
    <w:name w:val="编写建议"/>
    <w:basedOn w:val="1"/>
    <w:link w:val="227"/>
    <w:autoRedefine/>
    <w:qFormat/>
    <w:uiPriority w:val="99"/>
    <w:pPr>
      <w:autoSpaceDE w:val="0"/>
      <w:autoSpaceDN w:val="0"/>
      <w:adjustRightInd w:val="0"/>
      <w:spacing w:line="360" w:lineRule="auto"/>
      <w:ind w:firstLine="420" w:firstLineChars="200"/>
      <w:jc w:val="left"/>
    </w:pPr>
    <w:rPr>
      <w:rFonts w:ascii="Arial" w:hAnsi="Arial"/>
      <w:i/>
      <w:color w:val="0000FF"/>
      <w:kern w:val="0"/>
      <w:szCs w:val="20"/>
    </w:rPr>
  </w:style>
  <w:style w:type="character" w:customStyle="1" w:styleId="229">
    <w:name w:val="unnamed21"/>
    <w:autoRedefine/>
    <w:qFormat/>
    <w:uiPriority w:val="99"/>
    <w:rPr>
      <w:color w:val="000000"/>
      <w:sz w:val="20"/>
    </w:rPr>
  </w:style>
  <w:style w:type="character" w:customStyle="1" w:styleId="230">
    <w:name w:val="font31"/>
    <w:autoRedefine/>
    <w:qFormat/>
    <w:uiPriority w:val="0"/>
    <w:rPr>
      <w:rFonts w:hint="eastAsia" w:ascii="宋体" w:hAnsi="宋体" w:eastAsia="宋体" w:cs="宋体"/>
      <w:color w:val="000000"/>
      <w:sz w:val="21"/>
      <w:szCs w:val="21"/>
      <w:u w:val="none"/>
    </w:rPr>
  </w:style>
  <w:style w:type="character" w:customStyle="1" w:styleId="231">
    <w:name w:val="font51"/>
    <w:autoRedefine/>
    <w:qFormat/>
    <w:uiPriority w:val="0"/>
    <w:rPr>
      <w:rFonts w:hint="eastAsia" w:ascii="宋体" w:hAnsi="宋体" w:eastAsia="宋体" w:cs="宋体"/>
      <w:color w:val="000000"/>
      <w:sz w:val="22"/>
      <w:szCs w:val="22"/>
      <w:u w:val="none"/>
    </w:rPr>
  </w:style>
  <w:style w:type="character" w:customStyle="1" w:styleId="232">
    <w:name w:val="apple-style-span"/>
    <w:autoRedefine/>
    <w:qFormat/>
    <w:uiPriority w:val="99"/>
  </w:style>
  <w:style w:type="character" w:customStyle="1" w:styleId="233">
    <w:name w:val="a41"/>
    <w:autoRedefine/>
    <w:qFormat/>
    <w:uiPriority w:val="99"/>
    <w:rPr>
      <w:color w:val="666666"/>
      <w:sz w:val="20"/>
    </w:rPr>
  </w:style>
  <w:style w:type="character" w:customStyle="1" w:styleId="234">
    <w:name w:val="正文缩进2字符 Char"/>
    <w:link w:val="235"/>
    <w:autoRedefine/>
    <w:qFormat/>
    <w:uiPriority w:val="0"/>
    <w:rPr>
      <w:rFonts w:cs="宋体"/>
      <w:kern w:val="2"/>
      <w:sz w:val="24"/>
    </w:rPr>
  </w:style>
  <w:style w:type="paragraph" w:customStyle="1" w:styleId="235">
    <w:name w:val="正文缩进2字符"/>
    <w:basedOn w:val="1"/>
    <w:link w:val="234"/>
    <w:autoRedefine/>
    <w:qFormat/>
    <w:uiPriority w:val="0"/>
    <w:pPr>
      <w:spacing w:line="360" w:lineRule="auto"/>
      <w:ind w:firstLine="200" w:firstLineChars="200"/>
      <w:jc w:val="left"/>
    </w:pPr>
    <w:rPr>
      <w:sz w:val="24"/>
      <w:szCs w:val="20"/>
    </w:rPr>
  </w:style>
  <w:style w:type="character" w:customStyle="1" w:styleId="236">
    <w:name w:val="font01"/>
    <w:autoRedefine/>
    <w:qFormat/>
    <w:uiPriority w:val="0"/>
    <w:rPr>
      <w:rFonts w:hint="eastAsia" w:ascii="宋体" w:hAnsi="宋体" w:eastAsia="宋体" w:cs="宋体"/>
      <w:color w:val="000000"/>
      <w:sz w:val="22"/>
      <w:szCs w:val="22"/>
      <w:u w:val="none"/>
    </w:rPr>
  </w:style>
  <w:style w:type="character" w:customStyle="1" w:styleId="237">
    <w:name w:val="Item List Char Char"/>
    <w:link w:val="238"/>
    <w:autoRedefine/>
    <w:qFormat/>
    <w:locked/>
    <w:uiPriority w:val="99"/>
    <w:rPr>
      <w:rFonts w:ascii="Arial" w:hAnsi="Arial"/>
      <w:sz w:val="21"/>
      <w:lang w:val="en-US" w:eastAsia="en-US" w:bidi="ar-SA"/>
    </w:rPr>
  </w:style>
  <w:style w:type="paragraph" w:customStyle="1" w:styleId="238">
    <w:name w:val="Item List"/>
    <w:link w:val="237"/>
    <w:autoRedefine/>
    <w:qFormat/>
    <w:uiPriority w:val="99"/>
    <w:pPr>
      <w:tabs>
        <w:tab w:val="left" w:pos="2126"/>
      </w:tabs>
      <w:spacing w:line="300" w:lineRule="auto"/>
      <w:ind w:left="2126" w:hanging="425"/>
      <w:jc w:val="both"/>
    </w:pPr>
    <w:rPr>
      <w:rFonts w:ascii="Arial" w:hAnsi="Arial" w:eastAsia="宋体" w:cs="Times New Roman"/>
      <w:sz w:val="21"/>
      <w:lang w:val="en-US" w:eastAsia="en-US" w:bidi="ar-SA"/>
    </w:rPr>
  </w:style>
  <w:style w:type="character" w:customStyle="1" w:styleId="239">
    <w:name w:val="font161"/>
    <w:autoRedefine/>
    <w:qFormat/>
    <w:uiPriority w:val="99"/>
    <w:rPr>
      <w:rFonts w:ascii="Arial" w:hAnsi="Arial"/>
      <w:color w:val="000000"/>
      <w:sz w:val="16"/>
      <w:u w:val="none"/>
    </w:rPr>
  </w:style>
  <w:style w:type="character" w:customStyle="1" w:styleId="240">
    <w:name w:val="标题 2 Char1"/>
    <w:autoRedefine/>
    <w:qFormat/>
    <w:uiPriority w:val="0"/>
    <w:rPr>
      <w:rFonts w:ascii="Arial" w:hAnsi="Arial" w:eastAsia="宋体"/>
      <w:b/>
      <w:bCs/>
      <w:kern w:val="2"/>
      <w:sz w:val="28"/>
      <w:szCs w:val="32"/>
      <w:lang w:val="en-US" w:eastAsia="zh-CN" w:bidi="ar-SA"/>
    </w:rPr>
  </w:style>
  <w:style w:type="character" w:customStyle="1" w:styleId="241">
    <w:name w:val="正文 + 仿宋_GB2312 Char Char"/>
    <w:link w:val="242"/>
    <w:autoRedefine/>
    <w:qFormat/>
    <w:locked/>
    <w:uiPriority w:val="0"/>
    <w:rPr>
      <w:rFonts w:ascii="仿宋_GB2312" w:hAnsi="仿宋_GB2312" w:eastAsia="仿宋_GB2312" w:cs="Courier New"/>
      <w:kern w:val="2"/>
      <w:sz w:val="21"/>
      <w:szCs w:val="24"/>
    </w:rPr>
  </w:style>
  <w:style w:type="paragraph" w:customStyle="1" w:styleId="242">
    <w:name w:val="正文 + 仿宋_GB2312"/>
    <w:basedOn w:val="36"/>
    <w:link w:val="241"/>
    <w:autoRedefine/>
    <w:qFormat/>
    <w:uiPriority w:val="0"/>
    <w:pPr>
      <w:spacing w:before="0" w:beforeLines="0" w:after="0" w:afterLines="0" w:line="240" w:lineRule="auto"/>
      <w:ind w:firstLine="420" w:firstLineChars="200"/>
    </w:pPr>
    <w:rPr>
      <w:rFonts w:ascii="仿宋_GB2312" w:hAnsi="仿宋_GB2312" w:eastAsia="仿宋_GB2312"/>
      <w:sz w:val="21"/>
    </w:rPr>
  </w:style>
  <w:style w:type="character" w:customStyle="1" w:styleId="243">
    <w:name w:val="样式 样式3 + 宋体 五号 Char Char Char Char"/>
    <w:autoRedefine/>
    <w:qFormat/>
    <w:uiPriority w:val="0"/>
    <w:rPr>
      <w:rFonts w:hint="eastAsia" w:ascii="宋体" w:hAnsi="宋体" w:eastAsia="宋体"/>
      <w:b/>
      <w:bCs/>
      <w:kern w:val="2"/>
      <w:sz w:val="21"/>
      <w:szCs w:val="24"/>
      <w:lang w:val="en-US" w:eastAsia="zh-CN" w:bidi="ar-SA"/>
    </w:rPr>
  </w:style>
  <w:style w:type="character" w:customStyle="1" w:styleId="244">
    <w:name w:val="小四正文 Char"/>
    <w:link w:val="245"/>
    <w:autoRedefine/>
    <w:qFormat/>
    <w:uiPriority w:val="0"/>
    <w:rPr>
      <w:rFonts w:eastAsia="仿宋_GB2312"/>
      <w:sz w:val="24"/>
      <w:szCs w:val="24"/>
    </w:rPr>
  </w:style>
  <w:style w:type="paragraph" w:customStyle="1" w:styleId="245">
    <w:name w:val="小四正文"/>
    <w:basedOn w:val="1"/>
    <w:link w:val="244"/>
    <w:autoRedefine/>
    <w:qFormat/>
    <w:uiPriority w:val="0"/>
    <w:pPr>
      <w:spacing w:line="360" w:lineRule="auto"/>
      <w:ind w:firstLine="200" w:firstLineChars="200"/>
    </w:pPr>
    <w:rPr>
      <w:rFonts w:eastAsia="仿宋_GB2312"/>
      <w:kern w:val="0"/>
      <w:sz w:val="24"/>
    </w:rPr>
  </w:style>
  <w:style w:type="character" w:customStyle="1" w:styleId="246">
    <w:name w:val="!我的正文 Ctr+Q Char"/>
    <w:link w:val="247"/>
    <w:autoRedefine/>
    <w:qFormat/>
    <w:uiPriority w:val="0"/>
    <w:rPr>
      <w:rFonts w:ascii="Arial" w:hAnsi="Arial"/>
      <w:kern w:val="2"/>
      <w:sz w:val="24"/>
      <w:szCs w:val="21"/>
    </w:rPr>
  </w:style>
  <w:style w:type="paragraph" w:customStyle="1" w:styleId="247">
    <w:name w:val="!我的正文 Ctr+Q"/>
    <w:basedOn w:val="1"/>
    <w:link w:val="246"/>
    <w:autoRedefine/>
    <w:qFormat/>
    <w:uiPriority w:val="0"/>
    <w:pPr>
      <w:adjustRightInd w:val="0"/>
      <w:snapToGrid w:val="0"/>
      <w:spacing w:line="360" w:lineRule="auto"/>
      <w:ind w:firstLine="480" w:firstLineChars="200"/>
    </w:pPr>
    <w:rPr>
      <w:rFonts w:ascii="Arial" w:hAnsi="Arial"/>
      <w:sz w:val="24"/>
      <w:szCs w:val="21"/>
    </w:rPr>
  </w:style>
  <w:style w:type="character" w:customStyle="1" w:styleId="248">
    <w:name w:val="正文文本缩进字符"/>
    <w:autoRedefine/>
    <w:qFormat/>
    <w:uiPriority w:val="99"/>
    <w:rPr>
      <w:rFonts w:eastAsia="宋体"/>
      <w:kern w:val="2"/>
      <w:sz w:val="24"/>
      <w:lang w:val="en-US" w:eastAsia="zh-CN"/>
    </w:rPr>
  </w:style>
  <w:style w:type="character" w:customStyle="1" w:styleId="249">
    <w:name w:val="para"/>
    <w:autoRedefine/>
    <w:qFormat/>
    <w:uiPriority w:val="0"/>
  </w:style>
  <w:style w:type="character" w:customStyle="1" w:styleId="250">
    <w:name w:val="text11"/>
    <w:autoRedefine/>
    <w:qFormat/>
    <w:uiPriority w:val="0"/>
    <w:rPr>
      <w:rFonts w:hint="default" w:ascii="Verdana" w:hAnsi="Verdana"/>
      <w:color w:val="4E4E4E"/>
      <w:sz w:val="18"/>
      <w:szCs w:val="18"/>
    </w:rPr>
  </w:style>
  <w:style w:type="character" w:customStyle="1" w:styleId="251">
    <w:name w:val="px141"/>
    <w:autoRedefine/>
    <w:qFormat/>
    <w:uiPriority w:val="99"/>
    <w:rPr>
      <w:sz w:val="21"/>
    </w:rPr>
  </w:style>
  <w:style w:type="character" w:customStyle="1" w:styleId="252">
    <w:name w:val="正文文本缩进 Char"/>
    <w:autoRedefine/>
    <w:qFormat/>
    <w:uiPriority w:val="99"/>
    <w:rPr>
      <w:rFonts w:ascii="宋体" w:hAnsi="Courier New" w:eastAsia="宋体"/>
      <w:spacing w:val="-4"/>
      <w:kern w:val="2"/>
      <w:sz w:val="18"/>
      <w:lang w:val="en-US" w:eastAsia="zh-CN" w:bidi="ar-SA"/>
    </w:rPr>
  </w:style>
  <w:style w:type="character" w:customStyle="1" w:styleId="253">
    <w:name w:val="tw4winMark"/>
    <w:autoRedefine/>
    <w:qFormat/>
    <w:uiPriority w:val="99"/>
    <w:rPr>
      <w:rFonts w:ascii="Courier New" w:hAnsi="Courier New"/>
      <w:vanish/>
      <w:color w:val="800080"/>
      <w:vertAlign w:val="subscript"/>
    </w:rPr>
  </w:style>
  <w:style w:type="character" w:customStyle="1" w:styleId="254">
    <w:name w:val="font131"/>
    <w:autoRedefine/>
    <w:qFormat/>
    <w:uiPriority w:val="99"/>
    <w:rPr>
      <w:rFonts w:ascii="宋体" w:hAnsi="宋体" w:eastAsia="宋体"/>
      <w:color w:val="000000"/>
      <w:sz w:val="18"/>
      <w:u w:val="none"/>
      <w:vertAlign w:val="superscript"/>
    </w:rPr>
  </w:style>
  <w:style w:type="character" w:customStyle="1" w:styleId="255">
    <w:name w:val=" Char Char Char"/>
    <w:autoRedefine/>
    <w:qFormat/>
    <w:uiPriority w:val="0"/>
    <w:rPr>
      <w:rFonts w:ascii="宋体" w:hAnsi="Courier New" w:eastAsia="宋体"/>
      <w:kern w:val="2"/>
      <w:sz w:val="24"/>
      <w:szCs w:val="24"/>
      <w:lang w:val="en-US" w:eastAsia="zh-CN" w:bidi="ar-SA"/>
    </w:rPr>
  </w:style>
  <w:style w:type="character" w:customStyle="1" w:styleId="256">
    <w:name w:val="textcontents"/>
    <w:autoRedefine/>
    <w:qFormat/>
    <w:uiPriority w:val="99"/>
  </w:style>
  <w:style w:type="character" w:customStyle="1" w:styleId="257">
    <w:name w:val="正文文本字符"/>
    <w:autoRedefine/>
    <w:qFormat/>
    <w:uiPriority w:val="99"/>
    <w:rPr>
      <w:rFonts w:eastAsia="宋体"/>
      <w:kern w:val="2"/>
      <w:sz w:val="24"/>
      <w:lang w:val="en-US" w:eastAsia="zh-CN"/>
    </w:rPr>
  </w:style>
  <w:style w:type="character" w:customStyle="1" w:styleId="258">
    <w:name w:val="style41"/>
    <w:autoRedefine/>
    <w:qFormat/>
    <w:uiPriority w:val="99"/>
    <w:rPr>
      <w:rFonts w:ascii="Arial" w:hAnsi="Arial"/>
      <w:color w:val="333333"/>
      <w:sz w:val="22"/>
      <w:u w:val="none"/>
    </w:rPr>
  </w:style>
  <w:style w:type="character" w:customStyle="1" w:styleId="259">
    <w:name w:val="2级标题 Char"/>
    <w:link w:val="260"/>
    <w:autoRedefine/>
    <w:qFormat/>
    <w:uiPriority w:val="0"/>
    <w:rPr>
      <w:rFonts w:ascii="黑体" w:hAnsi="黑体" w:eastAsia="黑体"/>
      <w:sz w:val="32"/>
      <w:szCs w:val="36"/>
      <w:lang w:eastAsia="en-US" w:bidi="en-US"/>
    </w:rPr>
  </w:style>
  <w:style w:type="paragraph" w:customStyle="1" w:styleId="260">
    <w:name w:val="2级标题"/>
    <w:basedOn w:val="129"/>
    <w:link w:val="259"/>
    <w:autoRedefine/>
    <w:qFormat/>
    <w:uiPriority w:val="0"/>
    <w:pPr>
      <w:keepLines/>
      <w:widowControl w:val="0"/>
      <w:adjustRightInd/>
      <w:snapToGrid/>
      <w:spacing w:before="120" w:after="0" w:line="360" w:lineRule="auto"/>
      <w:ind w:firstLine="0" w:firstLineChars="0"/>
      <w:contextualSpacing/>
      <w:outlineLvl w:val="1"/>
    </w:pPr>
    <w:rPr>
      <w:rFonts w:ascii="黑体" w:hAnsi="黑体" w:eastAsia="黑体"/>
      <w:sz w:val="32"/>
      <w:szCs w:val="36"/>
      <w:lang w:eastAsia="en-US" w:bidi="en-US"/>
    </w:rPr>
  </w:style>
  <w:style w:type="character" w:customStyle="1" w:styleId="261">
    <w:name w:val="15"/>
    <w:autoRedefine/>
    <w:qFormat/>
    <w:uiPriority w:val="0"/>
    <w:rPr>
      <w:rFonts w:hint="eastAsia" w:ascii="等线" w:hAnsi="等线" w:eastAsia="等线"/>
      <w:color w:val="000000"/>
      <w:sz w:val="22"/>
      <w:szCs w:val="22"/>
    </w:rPr>
  </w:style>
  <w:style w:type="paragraph" w:customStyle="1" w:styleId="262">
    <w:name w:val="xl31"/>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263">
    <w:name w:val=" Char Char Char Char Char Char Char Char Char Char"/>
    <w:basedOn w:val="20"/>
    <w:autoRedefine/>
    <w:qFormat/>
    <w:uiPriority w:val="0"/>
    <w:rPr>
      <w:rFonts w:ascii="Tahoma" w:hAnsi="Tahoma"/>
      <w:sz w:val="24"/>
    </w:rPr>
  </w:style>
  <w:style w:type="paragraph" w:customStyle="1" w:styleId="264">
    <w:name w:val="表格样式"/>
    <w:basedOn w:val="1"/>
    <w:next w:val="1"/>
    <w:autoRedefine/>
    <w:qFormat/>
    <w:uiPriority w:val="0"/>
    <w:pPr>
      <w:jc w:val="left"/>
    </w:pPr>
    <w:rPr>
      <w:rFonts w:ascii="Cambria" w:hAnsi="Cambria"/>
      <w:szCs w:val="22"/>
    </w:rPr>
  </w:style>
  <w:style w:type="paragraph" w:customStyle="1" w:styleId="265">
    <w:name w:val="表格"/>
    <w:basedOn w:val="1"/>
    <w:autoRedefine/>
    <w:qFormat/>
    <w:uiPriority w:val="0"/>
    <w:pPr>
      <w:widowControl/>
      <w:jc w:val="center"/>
    </w:pPr>
    <w:rPr>
      <w:rFonts w:ascii="宋体" w:cs="宋体"/>
      <w:bCs/>
      <w:kern w:val="0"/>
    </w:rPr>
  </w:style>
  <w:style w:type="paragraph" w:customStyle="1" w:styleId="266">
    <w:name w:val="样式 样式 标题 4 + 段后: 0.5 行1"/>
    <w:basedOn w:val="267"/>
    <w:next w:val="42"/>
    <w:autoRedefine/>
    <w:qFormat/>
    <w:uiPriority w:val="0"/>
    <w:pPr>
      <w:spacing w:after="120"/>
    </w:pPr>
  </w:style>
  <w:style w:type="paragraph" w:customStyle="1" w:styleId="267">
    <w:name w:val="样式 标题 4 + 段后: 0.5 行"/>
    <w:basedOn w:val="5"/>
    <w:autoRedefine/>
    <w:qFormat/>
    <w:uiPriority w:val="0"/>
    <w:pPr>
      <w:keepLines w:val="0"/>
      <w:spacing w:before="120" w:after="50" w:afterLines="50" w:line="240" w:lineRule="auto"/>
      <w:jc w:val="left"/>
    </w:pPr>
    <w:rPr>
      <w:rFonts w:ascii="宋体" w:hAnsi="Times New Roman" w:eastAsia="宋体" w:cs="宋体"/>
      <w:snapToGrid w:val="0"/>
      <w:kern w:val="0"/>
      <w:sz w:val="21"/>
      <w:szCs w:val="20"/>
    </w:rPr>
  </w:style>
  <w:style w:type="paragraph" w:customStyle="1" w:styleId="268">
    <w:name w:val="Table Contents"/>
    <w:basedOn w:val="1"/>
    <w:autoRedefine/>
    <w:qFormat/>
    <w:uiPriority w:val="99"/>
    <w:pPr>
      <w:suppressAutoHyphens/>
      <w:autoSpaceDE w:val="0"/>
      <w:spacing w:after="120"/>
      <w:jc w:val="left"/>
    </w:pPr>
    <w:rPr>
      <w:rFonts w:ascii="Helvetica" w:hAnsi="Helvetica"/>
      <w:kern w:val="1"/>
      <w:sz w:val="20"/>
      <w:szCs w:val="20"/>
    </w:rPr>
  </w:style>
  <w:style w:type="paragraph" w:customStyle="1" w:styleId="269">
    <w:name w:val="xl3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kern w:val="0"/>
      <w:sz w:val="18"/>
      <w:szCs w:val="18"/>
    </w:rPr>
  </w:style>
  <w:style w:type="paragraph" w:customStyle="1" w:styleId="270">
    <w:name w:val="xyx"/>
    <w:basedOn w:val="1"/>
    <w:autoRedefine/>
    <w:qFormat/>
    <w:uiPriority w:val="99"/>
    <w:pPr>
      <w:tabs>
        <w:tab w:val="left" w:pos="886"/>
      </w:tabs>
      <w:adjustRightInd w:val="0"/>
      <w:snapToGrid w:val="0"/>
      <w:spacing w:line="360" w:lineRule="auto"/>
      <w:ind w:left="886" w:hanging="432" w:firstLineChars="200"/>
    </w:pPr>
    <w:rPr>
      <w:sz w:val="24"/>
    </w:rPr>
  </w:style>
  <w:style w:type="paragraph" w:customStyle="1" w:styleId="271">
    <w:name w:val="默认段落字体 Para Char Char Char Char Char Char Char Char Char Char"/>
    <w:basedOn w:val="1"/>
    <w:autoRedefine/>
    <w:qFormat/>
    <w:uiPriority w:val="99"/>
    <w:rPr>
      <w:rFonts w:ascii="Tahoma" w:hAnsi="Tahoma"/>
      <w:sz w:val="24"/>
      <w:szCs w:val="20"/>
    </w:rPr>
  </w:style>
  <w:style w:type="paragraph" w:customStyle="1" w:styleId="272">
    <w:name w:val="S4-L15-No"/>
    <w:basedOn w:val="273"/>
    <w:autoRedefine/>
    <w:qFormat/>
    <w:uiPriority w:val="0"/>
    <w:pPr>
      <w:tabs>
        <w:tab w:val="left" w:pos="720"/>
      </w:tabs>
      <w:ind w:hanging="720"/>
    </w:pPr>
  </w:style>
  <w:style w:type="paragraph" w:customStyle="1" w:styleId="273">
    <w:name w:val="S4-L15"/>
    <w:basedOn w:val="1"/>
    <w:autoRedefine/>
    <w:qFormat/>
    <w:uiPriority w:val="0"/>
    <w:pPr>
      <w:spacing w:after="120" w:line="360" w:lineRule="auto"/>
      <w:ind w:left="720" w:firstLine="392"/>
    </w:pPr>
    <w:rPr>
      <w:szCs w:val="21"/>
      <w:lang w:val="fr-FR"/>
    </w:rPr>
  </w:style>
  <w:style w:type="paragraph" w:customStyle="1" w:styleId="274">
    <w:name w:val="正文 1"/>
    <w:basedOn w:val="1"/>
    <w:autoRedefine/>
    <w:qFormat/>
    <w:uiPriority w:val="99"/>
    <w:pPr>
      <w:widowControl/>
      <w:snapToGrid w:val="0"/>
      <w:spacing w:before="80" w:after="80" w:line="360" w:lineRule="auto"/>
      <w:ind w:left="1418"/>
    </w:pPr>
    <w:rPr>
      <w:szCs w:val="20"/>
    </w:rPr>
  </w:style>
  <w:style w:type="paragraph" w:customStyle="1" w:styleId="275">
    <w:name w:val="标题1"/>
    <w:basedOn w:val="36"/>
    <w:autoRedefine/>
    <w:qFormat/>
    <w:uiPriority w:val="99"/>
    <w:pPr>
      <w:spacing w:before="0" w:beforeLines="0" w:after="0" w:afterLines="0" w:line="360" w:lineRule="auto"/>
    </w:pPr>
    <w:rPr>
      <w:b/>
      <w:sz w:val="30"/>
      <w:szCs w:val="20"/>
    </w:rPr>
  </w:style>
  <w:style w:type="paragraph" w:customStyle="1" w:styleId="276">
    <w:name w:val="正文表格"/>
    <w:basedOn w:val="1"/>
    <w:autoRedefine/>
    <w:qFormat/>
    <w:uiPriority w:val="0"/>
    <w:pPr>
      <w:spacing w:beforeLines="50" w:afterLines="50"/>
    </w:pPr>
    <w:rPr>
      <w:rFonts w:ascii="Calibri" w:hAnsi="Calibri"/>
      <w:sz w:val="24"/>
      <w:szCs w:val="22"/>
    </w:rPr>
  </w:style>
  <w:style w:type="paragraph" w:customStyle="1" w:styleId="277">
    <w:name w:val="xl61"/>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278">
    <w:name w:val="自动更正"/>
    <w:next w:val="27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9">
    <w:name w:val="xl39"/>
    <w:basedOn w:val="1"/>
    <w:next w:val="280"/>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color w:val="000000"/>
      <w:kern w:val="0"/>
      <w:sz w:val="18"/>
      <w:szCs w:val="18"/>
    </w:rPr>
  </w:style>
  <w:style w:type="paragraph" w:customStyle="1" w:styleId="280">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281">
    <w:name w:val=" Char Char Char Char1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82">
    <w:name w:val="S4-B-L15"/>
    <w:basedOn w:val="1"/>
    <w:autoRedefine/>
    <w:qFormat/>
    <w:uiPriority w:val="0"/>
    <w:pPr>
      <w:spacing w:line="360" w:lineRule="auto"/>
    </w:pPr>
    <w:rPr>
      <w:b/>
      <w:bCs/>
      <w:sz w:val="24"/>
    </w:rPr>
  </w:style>
  <w:style w:type="paragraph" w:customStyle="1" w:styleId="283">
    <w:name w:val="表头1"/>
    <w:basedOn w:val="26"/>
    <w:autoRedefine/>
    <w:qFormat/>
    <w:uiPriority w:val="0"/>
    <w:pPr>
      <w:adjustRightInd w:val="0"/>
      <w:spacing w:after="0"/>
      <w:jc w:val="center"/>
      <w:textAlignment w:val="baseline"/>
    </w:pPr>
    <w:rPr>
      <w:kern w:val="0"/>
      <w:sz w:val="24"/>
      <w:szCs w:val="20"/>
    </w:rPr>
  </w:style>
  <w:style w:type="paragraph" w:customStyle="1" w:styleId="284">
    <w:name w:val="BodyText1I"/>
    <w:basedOn w:val="285"/>
    <w:autoRedefine/>
    <w:qFormat/>
    <w:uiPriority w:val="0"/>
    <w:pPr>
      <w:tabs>
        <w:tab w:val="left" w:pos="720"/>
      </w:tabs>
      <w:ind w:firstLine="420" w:firstLineChars="100"/>
      <w:jc w:val="both"/>
      <w:textAlignment w:val="baseline"/>
    </w:pPr>
  </w:style>
  <w:style w:type="paragraph" w:customStyle="1" w:styleId="285">
    <w:name w:val="BodyText"/>
    <w:basedOn w:val="1"/>
    <w:next w:val="284"/>
    <w:autoRedefine/>
    <w:qFormat/>
    <w:uiPriority w:val="0"/>
    <w:pPr>
      <w:tabs>
        <w:tab w:val="left" w:pos="720"/>
      </w:tabs>
      <w:spacing w:line="360" w:lineRule="auto"/>
      <w:jc w:val="both"/>
      <w:textAlignment w:val="baseline"/>
    </w:pPr>
    <w:rPr>
      <w:rFonts w:ascii="宋体" w:hAnsi="宋体"/>
      <w:color w:val="000000"/>
      <w:sz w:val="28"/>
      <w:szCs w:val="20"/>
      <w:lang w:val="zh-CN" w:eastAsia="zh-CN" w:bidi="ar-SA"/>
    </w:rPr>
  </w:style>
  <w:style w:type="paragraph" w:customStyle="1" w:styleId="286">
    <w:name w:val="TOC2"/>
    <w:basedOn w:val="1"/>
    <w:next w:val="1"/>
    <w:autoRedefine/>
    <w:qFormat/>
    <w:uiPriority w:val="0"/>
    <w:pPr>
      <w:ind w:left="420" w:leftChars="200"/>
      <w:jc w:val="both"/>
      <w:textAlignment w:val="baseline"/>
    </w:pPr>
  </w:style>
  <w:style w:type="paragraph" w:customStyle="1" w:styleId="287">
    <w:name w:val="Paragraph4"/>
    <w:basedOn w:val="1"/>
    <w:autoRedefine/>
    <w:qFormat/>
    <w:uiPriority w:val="0"/>
    <w:pPr>
      <w:spacing w:before="80" w:after="50" w:afterLines="50"/>
      <w:ind w:left="2250"/>
    </w:pPr>
    <w:rPr>
      <w:rFonts w:ascii="宋体"/>
      <w:snapToGrid w:val="0"/>
      <w:kern w:val="0"/>
      <w:szCs w:val="20"/>
    </w:rPr>
  </w:style>
  <w:style w:type="paragraph" w:customStyle="1" w:styleId="28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289">
    <w:name w:val="Char Char Char Char Char"/>
    <w:basedOn w:val="1"/>
    <w:autoRedefine/>
    <w:qFormat/>
    <w:uiPriority w:val="0"/>
    <w:pPr>
      <w:widowControl/>
      <w:adjustRightInd w:val="0"/>
      <w:ind w:firstLine="200" w:firstLineChars="200"/>
      <w:jc w:val="left"/>
      <w:textAlignment w:val="baseline"/>
    </w:pPr>
  </w:style>
  <w:style w:type="paragraph" w:customStyle="1" w:styleId="290">
    <w:name w:val="样式 标题 + 居中 右侧:  -0.06 厘米"/>
    <w:basedOn w:val="62"/>
    <w:autoRedefine/>
    <w:qFormat/>
    <w:uiPriority w:val="99"/>
    <w:pPr>
      <w:widowControl w:val="0"/>
      <w:tabs>
        <w:tab w:val="left" w:pos="425"/>
      </w:tabs>
      <w:overflowPunct/>
      <w:autoSpaceDE/>
      <w:autoSpaceDN/>
      <w:snapToGrid w:val="0"/>
      <w:spacing w:line="360" w:lineRule="auto"/>
      <w:ind w:right="-34"/>
      <w:textAlignment w:val="auto"/>
      <w:outlineLvl w:val="0"/>
    </w:pPr>
    <w:rPr>
      <w:rFonts w:ascii="Arial" w:hAnsi="Arial" w:eastAsia="黑体" w:cs="宋体"/>
      <w:bCs/>
      <w:iCs/>
      <w:kern w:val="2"/>
      <w:sz w:val="52"/>
      <w:szCs w:val="52"/>
      <w:u w:val="single"/>
      <w:lang w:val="en-US" w:eastAsia="zh-CN"/>
    </w:rPr>
  </w:style>
  <w:style w:type="paragraph" w:customStyle="1" w:styleId="291">
    <w:name w:val="Table Paragraph"/>
    <w:basedOn w:val="1"/>
    <w:autoRedefine/>
    <w:qFormat/>
    <w:uiPriority w:val="1"/>
    <w:rPr>
      <w:rFonts w:ascii="宋体" w:hAnsi="宋体" w:eastAsia="宋体" w:cs="宋体"/>
      <w:lang w:val="zh-CN" w:eastAsia="zh-CN" w:bidi="zh-CN"/>
    </w:rPr>
  </w:style>
  <w:style w:type="paragraph" w:customStyle="1" w:styleId="292">
    <w:name w:val="样式 正文（首行缩进两字） + 宋体 首行缩进:  0 字符"/>
    <w:basedOn w:val="15"/>
    <w:autoRedefine/>
    <w:qFormat/>
    <w:uiPriority w:val="0"/>
    <w:pPr>
      <w:spacing w:line="460" w:lineRule="exact"/>
      <w:ind w:firstLine="0"/>
    </w:pPr>
    <w:rPr>
      <w:rFonts w:ascii="宋体" w:hAnsi="宋体" w:cs="宋体"/>
      <w:spacing w:val="6"/>
      <w:kern w:val="24"/>
      <w:sz w:val="24"/>
      <w:szCs w:val="24"/>
    </w:rPr>
  </w:style>
  <w:style w:type="paragraph" w:customStyle="1" w:styleId="293">
    <w:name w:val="段(正文）"/>
    <w:autoRedefine/>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94">
    <w:name w:val="List Paragraph"/>
    <w:basedOn w:val="1"/>
    <w:autoRedefine/>
    <w:qFormat/>
    <w:uiPriority w:val="0"/>
    <w:pPr>
      <w:widowControl w:val="0"/>
      <w:pBdr>
        <w:top w:val="none" w:color="FFFFFF" w:sz="0" w:space="31"/>
        <w:left w:val="none" w:color="FFFFFF" w:sz="0" w:space="31"/>
        <w:bottom w:val="none" w:color="FFFFFF" w:sz="0" w:space="31"/>
        <w:right w:val="none" w:color="FFFFFF" w:sz="0" w:space="31"/>
      </w:pBdr>
      <w:ind w:firstLine="420"/>
      <w:jc w:val="both"/>
    </w:pPr>
    <w:rPr>
      <w:rFonts w:eastAsia="Times New Roman" w:cs="Arial Unicode MS"/>
      <w:color w:val="000000"/>
      <w:kern w:val="2"/>
      <w:sz w:val="21"/>
      <w:szCs w:val="21"/>
      <w:u w:val="none" w:color="000000"/>
      <w:lang w:val="en-US" w:eastAsia="zh-CN" w:bidi="ar-SA"/>
    </w:rPr>
  </w:style>
  <w:style w:type="paragraph" w:customStyle="1" w:styleId="295">
    <w:name w:val="Paragraph2"/>
    <w:basedOn w:val="1"/>
    <w:autoRedefine/>
    <w:qFormat/>
    <w:uiPriority w:val="0"/>
    <w:pPr>
      <w:spacing w:before="80" w:after="50" w:afterLines="50"/>
      <w:ind w:left="720"/>
    </w:pPr>
    <w:rPr>
      <w:rFonts w:ascii="宋体"/>
      <w:snapToGrid w:val="0"/>
      <w:color w:val="000000"/>
      <w:kern w:val="0"/>
      <w:szCs w:val="20"/>
      <w:lang w:val="en-AU"/>
    </w:rPr>
  </w:style>
  <w:style w:type="paragraph" w:customStyle="1" w:styleId="296">
    <w:name w:val="xl62"/>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297">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18"/>
      <w:szCs w:val="18"/>
    </w:rPr>
  </w:style>
  <w:style w:type="paragraph" w:customStyle="1" w:styleId="298">
    <w:name w:val="表格11"/>
    <w:basedOn w:val="1"/>
    <w:autoRedefine/>
    <w:qFormat/>
    <w:uiPriority w:val="0"/>
    <w:pPr>
      <w:widowControl/>
      <w:jc w:val="left"/>
    </w:pPr>
    <w:rPr>
      <w:rFonts w:ascii="宋体" w:hAnsi="宋体" w:cs="宋体"/>
      <w:b/>
      <w:kern w:val="0"/>
      <w:szCs w:val="21"/>
    </w:rPr>
  </w:style>
  <w:style w:type="paragraph" w:customStyle="1" w:styleId="299">
    <w:name w:val="样式 样式 标题 3Chapter X.X.X. + 段后: 0.5 行 + 段后: 0.5 行"/>
    <w:basedOn w:val="300"/>
    <w:autoRedefine/>
    <w:qFormat/>
    <w:uiPriority w:val="0"/>
  </w:style>
  <w:style w:type="paragraph" w:customStyle="1" w:styleId="300">
    <w:name w:val="样式 标题 3Chapter X.X.X. + 段后: 0.5 行"/>
    <w:basedOn w:val="4"/>
    <w:autoRedefine/>
    <w:qFormat/>
    <w:uiPriority w:val="0"/>
    <w:pPr>
      <w:keepLines w:val="0"/>
      <w:spacing w:before="120" w:after="50" w:afterLines="50" w:line="240" w:lineRule="auto"/>
      <w:jc w:val="left"/>
    </w:pPr>
    <w:rPr>
      <w:rFonts w:ascii="宋体" w:cs="宋体"/>
      <w:snapToGrid w:val="0"/>
      <w:kern w:val="0"/>
      <w:sz w:val="24"/>
      <w:szCs w:val="20"/>
    </w:rPr>
  </w:style>
  <w:style w:type="paragraph" w:customStyle="1" w:styleId="301">
    <w:name w:val="xl5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302">
    <w:name w:val="表内1"/>
    <w:basedOn w:val="26"/>
    <w:autoRedefine/>
    <w:qFormat/>
    <w:uiPriority w:val="0"/>
    <w:pPr>
      <w:adjustRightInd w:val="0"/>
      <w:spacing w:after="0"/>
      <w:jc w:val="left"/>
      <w:textAlignment w:val="baseline"/>
    </w:pPr>
    <w:rPr>
      <w:kern w:val="0"/>
      <w:sz w:val="21"/>
      <w:szCs w:val="20"/>
    </w:rPr>
  </w:style>
  <w:style w:type="paragraph" w:customStyle="1" w:styleId="303">
    <w:name w:val="xl80"/>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04">
    <w:name w:val="xl6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sz w:val="18"/>
      <w:szCs w:val="18"/>
    </w:rPr>
  </w:style>
  <w:style w:type="paragraph" w:customStyle="1" w:styleId="305">
    <w:name w:val="样式 标题 4Chapter X.X.X. + 段后: 0.5 行1 + 段后: 0.5 行"/>
    <w:basedOn w:val="306"/>
    <w:autoRedefine/>
    <w:qFormat/>
    <w:uiPriority w:val="0"/>
    <w:rPr>
      <w:szCs w:val="21"/>
    </w:rPr>
  </w:style>
  <w:style w:type="paragraph" w:customStyle="1" w:styleId="306">
    <w:name w:val="样式 标题 4Chapter X.X.X. + 段后: 0.5 行1"/>
    <w:basedOn w:val="5"/>
    <w:next w:val="5"/>
    <w:autoRedefine/>
    <w:qFormat/>
    <w:uiPriority w:val="0"/>
    <w:pPr>
      <w:keepLines w:val="0"/>
      <w:spacing w:before="120" w:after="50" w:afterLines="50" w:line="240" w:lineRule="auto"/>
      <w:ind w:left="425" w:hanging="425"/>
      <w:jc w:val="left"/>
    </w:pPr>
    <w:rPr>
      <w:rFonts w:ascii="宋体" w:hAnsi="Times New Roman" w:eastAsia="宋体" w:cs="宋体"/>
      <w:snapToGrid w:val="0"/>
      <w:kern w:val="0"/>
      <w:sz w:val="21"/>
      <w:szCs w:val="20"/>
    </w:rPr>
  </w:style>
  <w:style w:type="paragraph" w:customStyle="1" w:styleId="307">
    <w:name w:val="样式 模板描述"/>
    <w:basedOn w:val="1"/>
    <w:next w:val="308"/>
    <w:autoRedefine/>
    <w:qFormat/>
    <w:uiPriority w:val="0"/>
    <w:pPr>
      <w:spacing w:after="120" w:afterLines="50"/>
      <w:jc w:val="left"/>
    </w:pPr>
    <w:rPr>
      <w:rFonts w:ascii="宋体" w:cs="宋体"/>
      <w:i/>
      <w:iCs/>
      <w:snapToGrid w:val="0"/>
      <w:color w:val="0000FF"/>
      <w:kern w:val="0"/>
      <w:szCs w:val="21"/>
    </w:rPr>
  </w:style>
  <w:style w:type="paragraph" w:customStyle="1" w:styleId="308">
    <w:name w:val="样式 正文"/>
    <w:basedOn w:val="1"/>
    <w:next w:val="1"/>
    <w:autoRedefine/>
    <w:qFormat/>
    <w:uiPriority w:val="0"/>
    <w:pPr>
      <w:spacing w:after="120" w:afterLines="50"/>
      <w:jc w:val="left"/>
    </w:pPr>
    <w:rPr>
      <w:rFonts w:ascii="宋体" w:cs="宋体"/>
      <w:snapToGrid w:val="0"/>
      <w:kern w:val="0"/>
      <w:szCs w:val="20"/>
    </w:rPr>
  </w:style>
  <w:style w:type="paragraph" w:customStyle="1" w:styleId="309">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10">
    <w:name w:val="普通(网站)1"/>
    <w:basedOn w:val="1"/>
    <w:autoRedefine/>
    <w:qFormat/>
    <w:uiPriority w:val="99"/>
    <w:pPr>
      <w:widowControl/>
      <w:spacing w:before="100" w:after="100"/>
      <w:jc w:val="left"/>
    </w:pPr>
    <w:rPr>
      <w:rFonts w:ascii="宋体"/>
      <w:kern w:val="0"/>
      <w:sz w:val="18"/>
      <w:szCs w:val="20"/>
    </w:rPr>
  </w:style>
  <w:style w:type="paragraph" w:customStyle="1" w:styleId="311">
    <w:name w:val="项目编号A"/>
    <w:next w:val="312"/>
    <w:autoRedefine/>
    <w:qFormat/>
    <w:uiPriority w:val="99"/>
    <w:pPr>
      <w:numPr>
        <w:ilvl w:val="0"/>
        <w:numId w:val="3"/>
      </w:numPr>
      <w:tabs>
        <w:tab w:val="left" w:pos="0"/>
      </w:tabs>
      <w:spacing w:line="360" w:lineRule="auto"/>
    </w:pPr>
    <w:rPr>
      <w:rFonts w:ascii="Arial" w:hAnsi="Arial" w:eastAsia="宋体" w:cs="Times New Roman"/>
      <w:sz w:val="24"/>
      <w:szCs w:val="24"/>
      <w:lang w:val="en-US" w:eastAsia="zh-CN" w:bidi="ar-SA"/>
    </w:rPr>
  </w:style>
  <w:style w:type="paragraph" w:customStyle="1" w:styleId="312">
    <w:name w:val="方案文档"/>
    <w:autoRedefine/>
    <w:qFormat/>
    <w:uiPriority w:val="99"/>
    <w:pPr>
      <w:spacing w:beforeLines="50" w:afterLines="50" w:line="360" w:lineRule="auto"/>
      <w:ind w:firstLine="200" w:firstLineChars="200"/>
    </w:pPr>
    <w:rPr>
      <w:rFonts w:ascii="Arial" w:hAnsi="Arial" w:eastAsia="宋体" w:cs="Times New Roman"/>
      <w:sz w:val="24"/>
      <w:szCs w:val="24"/>
      <w:lang w:val="en-US" w:eastAsia="zh-CN" w:bidi="ar-SA"/>
    </w:rPr>
  </w:style>
  <w:style w:type="paragraph" w:customStyle="1" w:styleId="313">
    <w:name w:val="&quot;List Paragraph_936dba31-b73a-4e23-98e6-fba0a05aeaf0&quot;"/>
    <w:basedOn w:val="1"/>
    <w:next w:val="31"/>
    <w:autoRedefine/>
    <w:qFormat/>
    <w:uiPriority w:val="0"/>
    <w:pPr>
      <w:ind w:firstLine="420" w:firstLineChars="200"/>
    </w:pPr>
  </w:style>
  <w:style w:type="paragraph" w:customStyle="1" w:styleId="314">
    <w:name w:val="样式 样式 标题 1 + 段前: 0.5 行 + 段前: 0.5 行"/>
    <w:basedOn w:val="1"/>
    <w:autoRedefine/>
    <w:qFormat/>
    <w:uiPriority w:val="99"/>
    <w:pPr>
      <w:keepNext/>
      <w:keepLines/>
      <w:tabs>
        <w:tab w:val="left" w:pos="567"/>
      </w:tabs>
      <w:spacing w:beforeLines="50"/>
      <w:outlineLvl w:val="0"/>
    </w:pPr>
    <w:rPr>
      <w:rFonts w:cs="宋体"/>
      <w:b/>
      <w:bCs/>
      <w:kern w:val="44"/>
      <w:sz w:val="28"/>
      <w:szCs w:val="20"/>
    </w:rPr>
  </w:style>
  <w:style w:type="paragraph" w:customStyle="1" w:styleId="315">
    <w:name w:val="列出段落1"/>
    <w:basedOn w:val="1"/>
    <w:autoRedefine/>
    <w:qFormat/>
    <w:uiPriority w:val="99"/>
    <w:pPr>
      <w:spacing w:line="360" w:lineRule="auto"/>
      <w:ind w:firstLine="420" w:firstLineChars="200"/>
      <w:jc w:val="left"/>
    </w:pPr>
    <w:rPr>
      <w:rFonts w:ascii="Calibri" w:hAnsi="Calibri"/>
      <w:sz w:val="24"/>
      <w:szCs w:val="22"/>
    </w:rPr>
  </w:style>
  <w:style w:type="paragraph" w:customStyle="1" w:styleId="316">
    <w:name w:val=" Char Char Char Char Char Char Char"/>
    <w:basedOn w:val="1"/>
    <w:autoRedefine/>
    <w:qFormat/>
    <w:uiPriority w:val="0"/>
  </w:style>
  <w:style w:type="paragraph" w:customStyle="1" w:styleId="317">
    <w:name w:val="font8"/>
    <w:basedOn w:val="1"/>
    <w:autoRedefine/>
    <w:qFormat/>
    <w:uiPriority w:val="99"/>
    <w:pPr>
      <w:widowControl/>
      <w:spacing w:before="100" w:beforeAutospacing="1" w:after="100" w:afterAutospacing="1"/>
      <w:jc w:val="left"/>
    </w:pPr>
    <w:rPr>
      <w:rFonts w:ascii="宋体" w:hAnsi="宋体"/>
      <w:kern w:val="0"/>
      <w:sz w:val="20"/>
      <w:szCs w:val="20"/>
    </w:rPr>
  </w:style>
  <w:style w:type="paragraph" w:customStyle="1" w:styleId="318">
    <w:name w:val="文本框内文字"/>
    <w:basedOn w:val="1"/>
    <w:autoRedefine/>
    <w:qFormat/>
    <w:uiPriority w:val="0"/>
    <w:pPr>
      <w:spacing w:line="0" w:lineRule="atLeast"/>
    </w:pPr>
    <w:rPr>
      <w:rFonts w:eastAsia="仿宋_GB2312"/>
      <w:sz w:val="22"/>
    </w:rPr>
  </w:style>
  <w:style w:type="paragraph" w:customStyle="1" w:styleId="319">
    <w:name w:val="表格标题(居中)"/>
    <w:basedOn w:val="1"/>
    <w:autoRedefine/>
    <w:qFormat/>
    <w:uiPriority w:val="99"/>
    <w:pPr>
      <w:adjustRightInd w:val="0"/>
      <w:snapToGrid w:val="0"/>
      <w:spacing w:line="300" w:lineRule="auto"/>
      <w:ind w:firstLine="200" w:firstLineChars="200"/>
      <w:jc w:val="center"/>
    </w:pPr>
    <w:rPr>
      <w:rFonts w:eastAsia="黑体"/>
      <w:snapToGrid w:val="0"/>
      <w:color w:val="000000"/>
      <w:kern w:val="0"/>
      <w:sz w:val="24"/>
      <w:szCs w:val="20"/>
    </w:rPr>
  </w:style>
  <w:style w:type="paragraph" w:customStyle="1" w:styleId="320">
    <w:name w:val="附录四级条标题"/>
    <w:basedOn w:val="321"/>
    <w:next w:val="174"/>
    <w:autoRedefine/>
    <w:qFormat/>
    <w:uiPriority w:val="0"/>
    <w:pPr>
      <w:numPr>
        <w:ilvl w:val="5"/>
        <w:numId w:val="4"/>
      </w:numPr>
      <w:tabs>
        <w:tab w:val="left" w:pos="360"/>
        <w:tab w:val="left" w:pos="1680"/>
        <w:tab w:val="left" w:pos="2100"/>
      </w:tabs>
      <w:outlineLvl w:val="5"/>
    </w:pPr>
  </w:style>
  <w:style w:type="paragraph" w:customStyle="1" w:styleId="321">
    <w:name w:val="附录三级条标题"/>
    <w:basedOn w:val="322"/>
    <w:next w:val="174"/>
    <w:autoRedefine/>
    <w:qFormat/>
    <w:uiPriority w:val="0"/>
    <w:pPr>
      <w:numPr>
        <w:ilvl w:val="4"/>
        <w:numId w:val="4"/>
      </w:numPr>
      <w:tabs>
        <w:tab w:val="left" w:pos="360"/>
        <w:tab w:val="left" w:pos="1680"/>
      </w:tabs>
      <w:outlineLvl w:val="4"/>
    </w:pPr>
  </w:style>
  <w:style w:type="paragraph" w:customStyle="1" w:styleId="322">
    <w:name w:val="附录二级条标题"/>
    <w:basedOn w:val="1"/>
    <w:next w:val="174"/>
    <w:autoRedefine/>
    <w:qFormat/>
    <w:uiPriority w:val="0"/>
    <w:pPr>
      <w:widowControl/>
      <w:numPr>
        <w:ilvl w:val="3"/>
        <w:numId w:val="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323">
    <w:name w:val="fon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24">
    <w:name w:val="font12"/>
    <w:basedOn w:val="1"/>
    <w:autoRedefine/>
    <w:qFormat/>
    <w:uiPriority w:val="99"/>
    <w:pPr>
      <w:widowControl/>
      <w:spacing w:before="100" w:beforeAutospacing="1" w:after="100" w:afterAutospacing="1"/>
      <w:jc w:val="left"/>
    </w:pPr>
    <w:rPr>
      <w:rFonts w:ascii="Arial" w:hAnsi="Arial" w:cs="Arial"/>
      <w:b/>
      <w:bCs/>
      <w:kern w:val="0"/>
      <w:sz w:val="24"/>
    </w:rPr>
  </w:style>
  <w:style w:type="paragraph" w:customStyle="1" w:styleId="325">
    <w:name w:val="xl45"/>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326">
    <w:name w:val="论文正文"/>
    <w:basedOn w:val="1"/>
    <w:autoRedefine/>
    <w:qFormat/>
    <w:uiPriority w:val="0"/>
    <w:pPr>
      <w:spacing w:line="360" w:lineRule="auto"/>
      <w:ind w:firstLine="480" w:firstLineChars="200"/>
      <w:jc w:val="left"/>
    </w:pPr>
    <w:rPr>
      <w:sz w:val="24"/>
    </w:rPr>
  </w:style>
  <w:style w:type="paragraph" w:customStyle="1" w:styleId="327">
    <w:name w:val="附录章标题"/>
    <w:next w:val="174"/>
    <w:autoRedefine/>
    <w:qFormat/>
    <w:uiPriority w:val="0"/>
    <w:pPr>
      <w:numPr>
        <w:ilvl w:val="1"/>
        <w:numId w:val="4"/>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328">
    <w:name w:val="样式2"/>
    <w:basedOn w:val="2"/>
    <w:autoRedefine/>
    <w:qFormat/>
    <w:uiPriority w:val="0"/>
    <w:pPr>
      <w:tabs>
        <w:tab w:val="left" w:pos="600"/>
      </w:tabs>
      <w:spacing w:before="20" w:after="20" w:line="360" w:lineRule="auto"/>
      <w:ind w:left="600" w:hanging="600"/>
    </w:pPr>
    <w:rPr>
      <w:rFonts w:ascii="Arial" w:hAnsi="Arial"/>
      <w:sz w:val="28"/>
    </w:rPr>
  </w:style>
  <w:style w:type="paragraph" w:customStyle="1" w:styleId="329">
    <w:name w:val="xl6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18"/>
      <w:szCs w:val="18"/>
    </w:rPr>
  </w:style>
  <w:style w:type="paragraph" w:customStyle="1" w:styleId="330">
    <w:name w:val="样式 宋体 首行缩进:  0.87 厘米"/>
    <w:basedOn w:val="1"/>
    <w:autoRedefine/>
    <w:qFormat/>
    <w:uiPriority w:val="0"/>
    <w:pPr>
      <w:spacing w:line="480" w:lineRule="exact"/>
      <w:ind w:firstLine="493"/>
    </w:pPr>
    <w:rPr>
      <w:rFonts w:ascii="宋体" w:hAnsi="宋体" w:cs="宋体"/>
      <w:spacing w:val="6"/>
      <w:sz w:val="24"/>
    </w:rPr>
  </w:style>
  <w:style w:type="paragraph" w:customStyle="1" w:styleId="331">
    <w:name w:val="普通(Web)1"/>
    <w:basedOn w:val="1"/>
    <w:next w:val="60"/>
    <w:autoRedefine/>
    <w:qFormat/>
    <w:uiPriority w:val="0"/>
    <w:pPr>
      <w:widowControl/>
      <w:numPr>
        <w:ilvl w:val="0"/>
        <w:numId w:val="5"/>
      </w:numPr>
      <w:spacing w:before="100" w:beforeAutospacing="1" w:after="100" w:afterAutospacing="1"/>
      <w:jc w:val="left"/>
    </w:pPr>
    <w:rPr>
      <w:rFonts w:ascii="宋体" w:hAnsi="宋体"/>
      <w:color w:val="000000"/>
      <w:kern w:val="0"/>
      <w:sz w:val="24"/>
    </w:rPr>
  </w:style>
  <w:style w:type="paragraph" w:customStyle="1" w:styleId="332">
    <w:name w:val="样式 正文（首行缩进两字） + 宋体 左侧:  0 厘米 悬挂缩进: 1.43 字符"/>
    <w:basedOn w:val="15"/>
    <w:autoRedefine/>
    <w:qFormat/>
    <w:uiPriority w:val="0"/>
    <w:pPr>
      <w:spacing w:line="460" w:lineRule="exact"/>
      <w:ind w:left="359" w:hanging="359" w:hangingChars="143"/>
    </w:pPr>
    <w:rPr>
      <w:rFonts w:ascii="宋体" w:hAnsi="宋体" w:cs="宋体"/>
      <w:spacing w:val="6"/>
      <w:kern w:val="24"/>
      <w:sz w:val="24"/>
      <w:szCs w:val="24"/>
    </w:rPr>
  </w:style>
  <w:style w:type="paragraph" w:customStyle="1" w:styleId="333">
    <w:name w:val="普文W"/>
    <w:basedOn w:val="36"/>
    <w:autoRedefine/>
    <w:qFormat/>
    <w:uiPriority w:val="99"/>
    <w:pPr>
      <w:spacing w:before="0" w:beforeLines="0" w:after="200" w:afterLines="0" w:line="360" w:lineRule="auto"/>
    </w:pPr>
    <w:rPr>
      <w:szCs w:val="20"/>
    </w:rPr>
  </w:style>
  <w:style w:type="paragraph" w:customStyle="1" w:styleId="334">
    <w:name w:val="Char3 Char Char Char1"/>
    <w:basedOn w:val="1"/>
    <w:autoRedefine/>
    <w:qFormat/>
    <w:uiPriority w:val="99"/>
    <w:pPr>
      <w:widowControl/>
      <w:spacing w:after="160" w:line="240" w:lineRule="exact"/>
      <w:jc w:val="left"/>
    </w:pPr>
  </w:style>
  <w:style w:type="paragraph" w:customStyle="1" w:styleId="335">
    <w:name w:val="小标题 1"/>
    <w:basedOn w:val="1"/>
    <w:autoRedefine/>
    <w:qFormat/>
    <w:uiPriority w:val="99"/>
    <w:pPr>
      <w:autoSpaceDE w:val="0"/>
      <w:autoSpaceDN w:val="0"/>
      <w:adjustRightInd w:val="0"/>
      <w:spacing w:line="360" w:lineRule="atLeast"/>
    </w:pPr>
    <w:rPr>
      <w:rFonts w:ascii="文鼎粗黑" w:eastAsia="文鼎粗黑"/>
      <w:kern w:val="0"/>
      <w:sz w:val="22"/>
      <w:szCs w:val="20"/>
    </w:rPr>
  </w:style>
  <w:style w:type="paragraph" w:customStyle="1" w:styleId="336">
    <w:name w:val="Notes Heading"/>
    <w:basedOn w:val="1"/>
    <w:autoRedefine/>
    <w:qFormat/>
    <w:uiPriority w:val="99"/>
    <w:pPr>
      <w:keepNext/>
      <w:topLinePunct/>
      <w:adjustRightInd w:val="0"/>
      <w:snapToGrid w:val="0"/>
      <w:spacing w:before="80" w:after="40" w:line="240" w:lineRule="atLeast"/>
      <w:ind w:left="1701"/>
    </w:pPr>
    <w:rPr>
      <w:rFonts w:ascii="Book Antiqua" w:hAnsi="Book Antiqua" w:eastAsia="黑体" w:cs="Arial"/>
      <w:bCs/>
      <w:position w:val="-6"/>
      <w:sz w:val="18"/>
      <w:szCs w:val="18"/>
    </w:rPr>
  </w:style>
  <w:style w:type="paragraph" w:customStyle="1" w:styleId="337">
    <w:name w:val="xl4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338">
    <w:name w:val="xl75"/>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339">
    <w:name w:val="Char Char3 Char Char Char Char"/>
    <w:basedOn w:val="1"/>
    <w:autoRedefine/>
    <w:qFormat/>
    <w:uiPriority w:val="0"/>
    <w:pPr>
      <w:widowControl/>
      <w:spacing w:after="160" w:line="360" w:lineRule="auto"/>
      <w:jc w:val="left"/>
    </w:pPr>
    <w:rPr>
      <w:rFonts w:ascii="Verdana" w:hAnsi="Verdana"/>
      <w:kern w:val="0"/>
      <w:sz w:val="24"/>
      <w:szCs w:val="20"/>
      <w:lang w:eastAsia="en-US"/>
    </w:rPr>
  </w:style>
  <w:style w:type="paragraph" w:customStyle="1" w:styleId="340">
    <w:name w:val="È¡ÀÊ¡ÎÄ¡À¾:1"/>
    <w:basedOn w:val="1"/>
    <w:autoRedefine/>
    <w:qFormat/>
    <w:uiPriority w:val="99"/>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341">
    <w:name w:val="样式 正文（首行缩进两字） + 宋体"/>
    <w:basedOn w:val="15"/>
    <w:autoRedefine/>
    <w:qFormat/>
    <w:uiPriority w:val="0"/>
    <w:pPr>
      <w:spacing w:line="460" w:lineRule="exact"/>
      <w:ind w:firstLine="200" w:firstLineChars="200"/>
    </w:pPr>
    <w:rPr>
      <w:rFonts w:ascii="宋体" w:hAnsi="宋体"/>
      <w:spacing w:val="6"/>
      <w:kern w:val="24"/>
      <w:sz w:val="24"/>
      <w:szCs w:val="24"/>
    </w:rPr>
  </w:style>
  <w:style w:type="paragraph" w:customStyle="1" w:styleId="342">
    <w:name w:val="xl5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343">
    <w:name w:val="xl3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344">
    <w:name w:val="Appendix Heading 2"/>
    <w:basedOn w:val="2"/>
    <w:next w:val="1"/>
    <w:autoRedefine/>
    <w:qFormat/>
    <w:uiPriority w:val="99"/>
    <w:pPr>
      <w:keepLines w:val="0"/>
      <w:widowControl/>
      <w:numPr>
        <w:ilvl w:val="1"/>
        <w:numId w:val="6"/>
      </w:numPr>
      <w:tabs>
        <w:tab w:val="left" w:pos="1116"/>
        <w:tab w:val="left" w:pos="1285"/>
      </w:tabs>
      <w:adjustRightInd w:val="0"/>
      <w:snapToGrid w:val="0"/>
      <w:spacing w:before="480" w:after="360" w:line="288" w:lineRule="auto"/>
      <w:ind w:left="1116"/>
      <w:jc w:val="left"/>
    </w:pPr>
    <w:rPr>
      <w:rFonts w:ascii="Times New Roman" w:hAnsi="Times New Roman" w:eastAsia="仿宋_GB2312"/>
      <w:color w:val="000080"/>
      <w:kern w:val="0"/>
      <w:lang w:val="en-US" w:eastAsia="zh-CN"/>
    </w:rPr>
  </w:style>
  <w:style w:type="paragraph" w:customStyle="1" w:styleId="345">
    <w:name w:val="Blockquote"/>
    <w:basedOn w:val="1"/>
    <w:autoRedefine/>
    <w:qFormat/>
    <w:uiPriority w:val="99"/>
    <w:pPr>
      <w:widowControl/>
      <w:spacing w:before="100" w:after="100" w:afterLines="50"/>
      <w:ind w:left="360" w:right="360"/>
      <w:jc w:val="left"/>
    </w:pPr>
    <w:rPr>
      <w:rFonts w:ascii="宋体"/>
      <w:snapToGrid w:val="0"/>
      <w:kern w:val="0"/>
      <w:sz w:val="24"/>
      <w:szCs w:val="20"/>
      <w:lang w:val="en-CA"/>
    </w:rPr>
  </w:style>
  <w:style w:type="paragraph" w:customStyle="1" w:styleId="346">
    <w:name w:val="目录标题"/>
    <w:basedOn w:val="3"/>
    <w:next w:val="1"/>
    <w:autoRedefine/>
    <w:qFormat/>
    <w:uiPriority w:val="39"/>
    <w:pPr>
      <w:keepLines/>
      <w:widowControl/>
      <w:tabs>
        <w:tab w:val="clear" w:pos="432"/>
      </w:tabs>
      <w:spacing w:before="480" w:line="276" w:lineRule="auto"/>
      <w:ind w:left="0" w:firstLine="0"/>
      <w:jc w:val="left"/>
      <w:outlineLvl w:val="9"/>
    </w:pPr>
    <w:rPr>
      <w:rFonts w:ascii="Cambria" w:hAnsi="Cambria" w:eastAsia="宋体" w:cs="Times New Roman"/>
      <w:bCs/>
      <w:color w:val="365F91"/>
      <w:kern w:val="0"/>
      <w:sz w:val="28"/>
      <w:szCs w:val="28"/>
    </w:rPr>
  </w:style>
  <w:style w:type="paragraph" w:customStyle="1" w:styleId="347">
    <w:name w:val="Char Char Char Char"/>
    <w:basedOn w:val="1"/>
    <w:autoRedefine/>
    <w:qFormat/>
    <w:uiPriority w:val="99"/>
  </w:style>
  <w:style w:type="paragraph" w:customStyle="1" w:styleId="348">
    <w:name w:val="5正文"/>
    <w:autoRedefine/>
    <w:qFormat/>
    <w:uiPriority w:val="0"/>
    <w:pPr>
      <w:spacing w:after="200" w:line="360" w:lineRule="auto"/>
      <w:ind w:right="210" w:rightChars="100"/>
    </w:pPr>
    <w:rPr>
      <w:rFonts w:ascii="Times New Roman" w:hAnsi="Times New Roman" w:eastAsia="仿宋_GB2312" w:cs="Times New Roman"/>
      <w:sz w:val="24"/>
      <w:szCs w:val="21"/>
      <w:lang w:val="en-US" w:eastAsia="zh-CN" w:bidi="ar-SA"/>
    </w:rPr>
  </w:style>
  <w:style w:type="paragraph" w:customStyle="1" w:styleId="349">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cs="宋体"/>
      <w:b/>
      <w:bCs/>
      <w:sz w:val="24"/>
    </w:rPr>
  </w:style>
  <w:style w:type="paragraph" w:customStyle="1" w:styleId="350">
    <w:name w:val="Body"/>
    <w:basedOn w:val="1"/>
    <w:autoRedefine/>
    <w:qFormat/>
    <w:uiPriority w:val="0"/>
    <w:pPr>
      <w:widowControl/>
      <w:spacing w:before="120" w:after="50" w:afterLines="50"/>
    </w:pPr>
    <w:rPr>
      <w:rFonts w:ascii="宋体"/>
      <w:snapToGrid w:val="0"/>
      <w:kern w:val="0"/>
      <w:szCs w:val="20"/>
    </w:rPr>
  </w:style>
  <w:style w:type="paragraph" w:customStyle="1" w:styleId="351">
    <w:name w:val=" Char1"/>
    <w:basedOn w:val="1"/>
    <w:autoRedefine/>
    <w:qFormat/>
    <w:uiPriority w:val="0"/>
    <w:pPr>
      <w:tabs>
        <w:tab w:val="left" w:pos="432"/>
      </w:tabs>
      <w:spacing w:before="50" w:beforeLines="50" w:after="50" w:afterLines="50"/>
      <w:ind w:left="432" w:hanging="432"/>
    </w:pPr>
    <w:rPr>
      <w:sz w:val="24"/>
    </w:rPr>
  </w:style>
  <w:style w:type="paragraph" w:customStyle="1" w:styleId="352">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353">
    <w:name w:val="样式 样式 样式 标题 3Chapter X.X.X. + 段后: 0.5 行 + 段后: 0.5 行 + 段后: 0.5 行"/>
    <w:basedOn w:val="299"/>
    <w:autoRedefine/>
    <w:qFormat/>
    <w:uiPriority w:val="0"/>
    <w:pPr>
      <w:spacing w:after="120"/>
    </w:pPr>
  </w:style>
  <w:style w:type="paragraph" w:customStyle="1" w:styleId="354">
    <w:name w:val="样式 三号 加粗 段后: 0.5 行"/>
    <w:basedOn w:val="1"/>
    <w:autoRedefine/>
    <w:qFormat/>
    <w:uiPriority w:val="0"/>
    <w:pPr>
      <w:spacing w:after="50" w:afterLines="50"/>
      <w:jc w:val="left"/>
    </w:pPr>
    <w:rPr>
      <w:rFonts w:ascii="宋体" w:cs="宋体"/>
      <w:b/>
      <w:bCs/>
      <w:snapToGrid w:val="0"/>
      <w:kern w:val="0"/>
      <w:sz w:val="32"/>
      <w:szCs w:val="20"/>
    </w:rPr>
  </w:style>
  <w:style w:type="paragraph" w:customStyle="1" w:styleId="355">
    <w:name w:val="xl23"/>
    <w:basedOn w:val="1"/>
    <w:autoRedefine/>
    <w:qFormat/>
    <w:uiPriority w:val="99"/>
    <w:pPr>
      <w:widowControl/>
      <w:spacing w:before="100" w:beforeAutospacing="1" w:after="100" w:afterAutospacing="1"/>
      <w:textAlignment w:val="top"/>
    </w:pPr>
    <w:rPr>
      <w:kern w:val="0"/>
      <w:sz w:val="24"/>
    </w:rPr>
  </w:style>
  <w:style w:type="paragraph" w:customStyle="1" w:styleId="356">
    <w:name w:val="Char Char Char1"/>
    <w:basedOn w:val="1"/>
    <w:autoRedefine/>
    <w:qFormat/>
    <w:uiPriority w:val="99"/>
  </w:style>
  <w:style w:type="paragraph" w:customStyle="1" w:styleId="357">
    <w:name w:val="附录表标号"/>
    <w:basedOn w:val="1"/>
    <w:next w:val="174"/>
    <w:autoRedefine/>
    <w:qFormat/>
    <w:uiPriority w:val="0"/>
    <w:pPr>
      <w:numPr>
        <w:ilvl w:val="0"/>
        <w:numId w:val="7"/>
      </w:numPr>
      <w:spacing w:line="14" w:lineRule="exact"/>
      <w:ind w:left="811" w:hanging="448"/>
      <w:jc w:val="center"/>
      <w:outlineLvl w:val="0"/>
    </w:pPr>
    <w:rPr>
      <w:color w:val="FFFFFF"/>
    </w:rPr>
  </w:style>
  <w:style w:type="paragraph" w:customStyle="1" w:styleId="358">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eastAsia="黑体" w:cs="宋体"/>
      <w:b w:val="0"/>
      <w:bCs w:val="0"/>
      <w:sz w:val="28"/>
      <w:szCs w:val="20"/>
      <w:lang w:val="en-US" w:eastAsia="zh-CN"/>
    </w:rPr>
  </w:style>
  <w:style w:type="paragraph" w:customStyle="1" w:styleId="359">
    <w:name w:val="二级项目符号"/>
    <w:basedOn w:val="1"/>
    <w:autoRedefine/>
    <w:qFormat/>
    <w:uiPriority w:val="0"/>
    <w:pPr>
      <w:widowControl/>
      <w:tabs>
        <w:tab w:val="left" w:pos="964"/>
      </w:tabs>
      <w:spacing w:line="360" w:lineRule="auto"/>
      <w:ind w:left="964" w:hanging="482"/>
    </w:pPr>
    <w:rPr>
      <w:kern w:val="0"/>
      <w:sz w:val="24"/>
      <w:szCs w:val="20"/>
    </w:rPr>
  </w:style>
  <w:style w:type="paragraph" w:customStyle="1" w:styleId="360">
    <w:name w:val="标题 3Chapter X.X.X. + 段后: 0.5 行 + 段后: 0.5 行 + 段后: 0.5 行1"/>
    <w:basedOn w:val="299"/>
    <w:autoRedefine/>
    <w:qFormat/>
    <w:uiPriority w:val="0"/>
  </w:style>
  <w:style w:type="paragraph" w:customStyle="1" w:styleId="361">
    <w:name w:val="Main Title"/>
    <w:basedOn w:val="1"/>
    <w:autoRedefine/>
    <w:qFormat/>
    <w:uiPriority w:val="0"/>
    <w:pPr>
      <w:spacing w:before="480" w:after="60" w:afterLines="50"/>
      <w:jc w:val="center"/>
    </w:pPr>
    <w:rPr>
      <w:rFonts w:ascii="宋体"/>
      <w:b/>
      <w:snapToGrid w:val="0"/>
      <w:kern w:val="28"/>
      <w:sz w:val="32"/>
      <w:szCs w:val="20"/>
    </w:rPr>
  </w:style>
  <w:style w:type="paragraph" w:customStyle="1" w:styleId="362">
    <w:name w:val="Bullet1"/>
    <w:basedOn w:val="1"/>
    <w:autoRedefine/>
    <w:qFormat/>
    <w:uiPriority w:val="0"/>
    <w:pPr>
      <w:spacing w:after="50" w:afterLines="50"/>
      <w:ind w:left="720" w:hanging="432"/>
      <w:jc w:val="left"/>
    </w:pPr>
    <w:rPr>
      <w:rFonts w:ascii="宋体"/>
      <w:snapToGrid w:val="0"/>
      <w:kern w:val="0"/>
      <w:szCs w:val="20"/>
    </w:rPr>
  </w:style>
  <w:style w:type="paragraph" w:customStyle="1" w:styleId="363">
    <w:name w:val="ÕýÎÄÎÄ¡ÁÖ 1"/>
    <w:basedOn w:val="1"/>
    <w:autoRedefine/>
    <w:qFormat/>
    <w:uiPriority w:val="99"/>
    <w:pPr>
      <w:widowControl/>
      <w:overflowPunct w:val="0"/>
      <w:autoSpaceDE w:val="0"/>
      <w:autoSpaceDN w:val="0"/>
      <w:adjustRightInd w:val="0"/>
      <w:spacing w:before="80" w:after="80" w:line="360" w:lineRule="auto"/>
      <w:ind w:left="1134"/>
      <w:textAlignment w:val="baseline"/>
    </w:pPr>
    <w:rPr>
      <w:rFonts w:ascii="宋体"/>
      <w:kern w:val="0"/>
      <w:szCs w:val="20"/>
    </w:rPr>
  </w:style>
  <w:style w:type="paragraph" w:customStyle="1" w:styleId="364">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65">
    <w:name w:val="xl9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366">
    <w:name w:val="xl102"/>
    <w:basedOn w:val="1"/>
    <w:autoRedefine/>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367">
    <w:name w:val="样式　标题4"/>
    <w:basedOn w:val="306"/>
    <w:next w:val="1"/>
    <w:autoRedefine/>
    <w:qFormat/>
    <w:uiPriority w:val="0"/>
  </w:style>
  <w:style w:type="paragraph" w:customStyle="1" w:styleId="368">
    <w:name w:val="p0"/>
    <w:basedOn w:val="1"/>
    <w:autoRedefine/>
    <w:qFormat/>
    <w:uiPriority w:val="0"/>
    <w:pPr>
      <w:widowControl/>
      <w:spacing w:after="50"/>
    </w:pPr>
    <w:rPr>
      <w:kern w:val="0"/>
      <w:szCs w:val="21"/>
    </w:rPr>
  </w:style>
  <w:style w:type="paragraph" w:customStyle="1" w:styleId="369">
    <w:name w:val="xl72"/>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kern w:val="0"/>
      <w:sz w:val="18"/>
      <w:szCs w:val="18"/>
    </w:rPr>
  </w:style>
  <w:style w:type="paragraph" w:customStyle="1" w:styleId="370">
    <w:name w:val="P1"/>
    <w:basedOn w:val="1"/>
    <w:autoRedefine/>
    <w:qFormat/>
    <w:uiPriority w:val="0"/>
    <w:pPr>
      <w:widowControl/>
      <w:spacing w:before="240" w:line="240" w:lineRule="atLeast"/>
      <w:jc w:val="left"/>
    </w:pPr>
    <w:rPr>
      <w:b/>
      <w:kern w:val="0"/>
      <w:szCs w:val="21"/>
      <w:lang w:val="en-AU" w:eastAsia="en-US"/>
    </w:rPr>
  </w:style>
  <w:style w:type="paragraph" w:customStyle="1" w:styleId="371">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72">
    <w:name w:val="Bullet2"/>
    <w:basedOn w:val="1"/>
    <w:autoRedefine/>
    <w:qFormat/>
    <w:uiPriority w:val="0"/>
    <w:pPr>
      <w:spacing w:after="50" w:afterLines="50"/>
      <w:ind w:left="1440" w:hanging="360"/>
      <w:jc w:val="left"/>
    </w:pPr>
    <w:rPr>
      <w:rFonts w:ascii="宋体"/>
      <w:snapToGrid w:val="0"/>
      <w:color w:val="000080"/>
      <w:kern w:val="0"/>
      <w:szCs w:val="20"/>
    </w:rPr>
  </w:style>
  <w:style w:type="paragraph" w:customStyle="1" w:styleId="373">
    <w:name w:val="ÕýÎÄ 1"/>
    <w:basedOn w:val="1"/>
    <w:autoRedefine/>
    <w:qFormat/>
    <w:uiPriority w:val="99"/>
    <w:pPr>
      <w:widowControl/>
      <w:overflowPunct w:val="0"/>
      <w:autoSpaceDE w:val="0"/>
      <w:autoSpaceDN w:val="0"/>
      <w:adjustRightInd w:val="0"/>
      <w:spacing w:before="80" w:after="80" w:line="360" w:lineRule="auto"/>
      <w:ind w:left="1417"/>
      <w:textAlignment w:val="baseline"/>
    </w:pPr>
    <w:rPr>
      <w:kern w:val="0"/>
      <w:szCs w:val="20"/>
    </w:rPr>
  </w:style>
  <w:style w:type="paragraph" w:customStyle="1" w:styleId="374">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75">
    <w:name w:val="表格正文"/>
    <w:basedOn w:val="1"/>
    <w:autoRedefine/>
    <w:qFormat/>
    <w:uiPriority w:val="0"/>
    <w:pPr>
      <w:adjustRightInd w:val="0"/>
      <w:snapToGrid w:val="0"/>
      <w:spacing w:before="60" w:after="60"/>
      <w:jc w:val="center"/>
      <w:textAlignment w:val="baseline"/>
    </w:pPr>
    <w:rPr>
      <w:kern w:val="0"/>
      <w:sz w:val="24"/>
      <w:szCs w:val="20"/>
    </w:rPr>
  </w:style>
  <w:style w:type="paragraph" w:customStyle="1" w:styleId="376">
    <w:name w:val="正文－恩普"/>
    <w:basedOn w:val="15"/>
    <w:autoRedefine/>
    <w:qFormat/>
    <w:uiPriority w:val="99"/>
    <w:pPr>
      <w:widowControl/>
      <w:spacing w:after="200" w:afterLines="50" w:line="360" w:lineRule="auto"/>
      <w:ind w:firstLine="480" w:firstLineChars="200"/>
      <w:jc w:val="left"/>
    </w:pPr>
    <w:rPr>
      <w:lang w:val="en-US" w:eastAsia="zh-CN"/>
    </w:rPr>
  </w:style>
  <w:style w:type="paragraph" w:customStyle="1" w:styleId="377">
    <w:name w:val="xl63"/>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378">
    <w:name w:val=" Char3 Char Char Char"/>
    <w:basedOn w:val="1"/>
    <w:autoRedefine/>
    <w:qFormat/>
    <w:uiPriority w:val="0"/>
    <w:pPr>
      <w:tabs>
        <w:tab w:val="left" w:pos="1440"/>
      </w:tabs>
      <w:ind w:left="1440" w:hanging="1275"/>
    </w:pPr>
    <w:rPr>
      <w:sz w:val="24"/>
    </w:rPr>
  </w:style>
  <w:style w:type="paragraph" w:customStyle="1" w:styleId="379">
    <w:name w:val="font5"/>
    <w:basedOn w:val="1"/>
    <w:autoRedefine/>
    <w:qFormat/>
    <w:uiPriority w:val="99"/>
    <w:pPr>
      <w:widowControl/>
      <w:spacing w:before="100" w:beforeAutospacing="1" w:after="100" w:afterAutospacing="1"/>
      <w:jc w:val="left"/>
    </w:pPr>
    <w:rPr>
      <w:rFonts w:hint="eastAsia" w:ascii="宋体" w:hAnsi="宋体"/>
      <w:kern w:val="0"/>
      <w:sz w:val="18"/>
      <w:szCs w:val="18"/>
    </w:rPr>
  </w:style>
  <w:style w:type="paragraph" w:customStyle="1" w:styleId="380">
    <w:name w:val="Style-正文"/>
    <w:basedOn w:val="1"/>
    <w:autoRedefine/>
    <w:qFormat/>
    <w:uiPriority w:val="0"/>
    <w:pPr>
      <w:spacing w:line="360" w:lineRule="auto"/>
      <w:ind w:firstLine="420"/>
    </w:pPr>
    <w:rPr>
      <w:rFonts w:ascii="宋体" w:hAnsi="宋体"/>
      <w:sz w:val="24"/>
    </w:rPr>
  </w:style>
  <w:style w:type="paragraph" w:customStyle="1" w:styleId="381">
    <w:name w:val="P3"/>
    <w:basedOn w:val="1"/>
    <w:autoRedefine/>
    <w:qFormat/>
    <w:uiPriority w:val="0"/>
    <w:pPr>
      <w:widowControl/>
      <w:spacing w:before="240" w:line="240" w:lineRule="atLeast"/>
      <w:ind w:left="1152"/>
      <w:jc w:val="left"/>
    </w:pPr>
    <w:rPr>
      <w:b/>
      <w:kern w:val="0"/>
      <w:szCs w:val="21"/>
      <w:lang w:val="en-AU" w:eastAsia="en-US"/>
    </w:rPr>
  </w:style>
  <w:style w:type="paragraph" w:customStyle="1" w:styleId="382">
    <w:name w:val="中等深浅网格 21"/>
    <w:autoRedefine/>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383">
    <w:name w:val=" Char1 Char Char Char Char Char Char"/>
    <w:basedOn w:val="1"/>
    <w:autoRedefine/>
    <w:qFormat/>
    <w:uiPriority w:val="0"/>
    <w:rPr>
      <w:rFonts w:ascii="Tahoma" w:hAnsi="Tahoma"/>
      <w:sz w:val="24"/>
      <w:szCs w:val="20"/>
    </w:rPr>
  </w:style>
  <w:style w:type="paragraph" w:customStyle="1" w:styleId="384">
    <w:name w:val="xl73"/>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385">
    <w:name w:val="xl98"/>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86">
    <w:name w:val="xl78"/>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87">
    <w:name w:val="正文标题二"/>
    <w:basedOn w:val="1"/>
    <w:autoRedefine/>
    <w:qFormat/>
    <w:uiPriority w:val="99"/>
    <w:pPr>
      <w:numPr>
        <w:ilvl w:val="0"/>
        <w:numId w:val="8"/>
      </w:numPr>
    </w:pPr>
    <w:rPr>
      <w:kern w:val="0"/>
      <w:sz w:val="20"/>
    </w:rPr>
  </w:style>
  <w:style w:type="paragraph" w:customStyle="1" w:styleId="388">
    <w:name w:val="此正文"/>
    <w:basedOn w:val="1"/>
    <w:autoRedefine/>
    <w:qFormat/>
    <w:uiPriority w:val="99"/>
    <w:pPr>
      <w:spacing w:line="360" w:lineRule="auto"/>
      <w:ind w:firstLine="200" w:firstLineChars="200"/>
    </w:pPr>
    <w:rPr>
      <w:sz w:val="24"/>
      <w:szCs w:val="20"/>
    </w:rPr>
  </w:style>
  <w:style w:type="paragraph" w:customStyle="1" w:styleId="389">
    <w:name w:val="xl43"/>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color w:val="000000"/>
      <w:kern w:val="0"/>
      <w:sz w:val="18"/>
      <w:szCs w:val="18"/>
    </w:rPr>
  </w:style>
  <w:style w:type="paragraph" w:customStyle="1" w:styleId="390">
    <w:name w:val="È¡ÀÊ¡ÎÄ¡À¾"/>
    <w:basedOn w:val="1"/>
    <w:autoRedefine/>
    <w:qFormat/>
    <w:uiPriority w:val="99"/>
    <w:pPr>
      <w:widowControl/>
      <w:overflowPunct w:val="0"/>
      <w:autoSpaceDE w:val="0"/>
      <w:autoSpaceDN w:val="0"/>
      <w:adjustRightInd w:val="0"/>
      <w:spacing w:line="360" w:lineRule="auto"/>
      <w:textAlignment w:val="baseline"/>
    </w:pPr>
    <w:rPr>
      <w:kern w:val="0"/>
      <w:szCs w:val="20"/>
    </w:rPr>
  </w:style>
  <w:style w:type="paragraph" w:customStyle="1" w:styleId="391">
    <w:name w:val="Bullet"/>
    <w:basedOn w:val="1"/>
    <w:autoRedefine/>
    <w:qFormat/>
    <w:uiPriority w:val="0"/>
    <w:pPr>
      <w:widowControl/>
      <w:tabs>
        <w:tab w:val="left" w:pos="720"/>
        <w:tab w:val="left" w:pos="964"/>
      </w:tabs>
      <w:spacing w:before="120" w:after="50" w:afterLines="50"/>
      <w:ind w:left="720" w:right="360" w:hanging="482"/>
    </w:pPr>
    <w:rPr>
      <w:rFonts w:ascii="宋体"/>
      <w:snapToGrid w:val="0"/>
      <w:kern w:val="0"/>
      <w:szCs w:val="20"/>
    </w:rPr>
  </w:style>
  <w:style w:type="paragraph" w:customStyle="1" w:styleId="392">
    <w:name w:val="reader-word-layer reader-word-s18-9"/>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393">
    <w:name w:val="样式 标题 1 + 一号 左侧:  0 厘米 首行缩进:  0 厘米"/>
    <w:basedOn w:val="3"/>
    <w:autoRedefine/>
    <w:qFormat/>
    <w:uiPriority w:val="99"/>
    <w:pPr>
      <w:keepLines/>
      <w:pageBreakBefore/>
      <w:tabs>
        <w:tab w:val="left" w:pos="-468"/>
        <w:tab w:val="clear" w:pos="432"/>
      </w:tabs>
      <w:spacing w:before="200" w:after="200" w:line="360" w:lineRule="auto"/>
      <w:ind w:left="0" w:firstLine="0"/>
    </w:pPr>
    <w:rPr>
      <w:rFonts w:ascii="Arial" w:hAnsi="Arial" w:eastAsia="黑体" w:cs="宋体"/>
      <w:bCs/>
      <w:kern w:val="44"/>
      <w:sz w:val="44"/>
      <w:szCs w:val="44"/>
      <w:lang w:val="en-US" w:eastAsia="zh-CN"/>
    </w:rPr>
  </w:style>
  <w:style w:type="paragraph" w:customStyle="1" w:styleId="394">
    <w:name w:val="表格文字"/>
    <w:basedOn w:val="1"/>
    <w:next w:val="26"/>
    <w:autoRedefine/>
    <w:qFormat/>
    <w:uiPriority w:val="0"/>
    <w:pPr>
      <w:autoSpaceDE w:val="0"/>
      <w:autoSpaceDN w:val="0"/>
      <w:adjustRightInd w:val="0"/>
      <w:jc w:val="left"/>
    </w:pPr>
    <w:rPr>
      <w:rFonts w:ascii="Arial" w:hAnsi="Arial"/>
    </w:rPr>
  </w:style>
  <w:style w:type="paragraph" w:customStyle="1" w:styleId="395">
    <w:name w:val="IBM 正文"/>
    <w:basedOn w:val="1"/>
    <w:autoRedefine/>
    <w:qFormat/>
    <w:uiPriority w:val="0"/>
    <w:pPr>
      <w:spacing w:line="360" w:lineRule="atLeast"/>
    </w:pPr>
    <w:rPr>
      <w:sz w:val="24"/>
      <w:szCs w:val="20"/>
    </w:rPr>
  </w:style>
  <w:style w:type="paragraph" w:customStyle="1" w:styleId="396">
    <w:name w:val=" Char Char"/>
    <w:basedOn w:val="1"/>
    <w:autoRedefine/>
    <w:qFormat/>
    <w:uiPriority w:val="0"/>
    <w:pPr>
      <w:spacing w:line="240" w:lineRule="atLeast"/>
      <w:ind w:left="420" w:firstLine="420"/>
    </w:pPr>
    <w:rPr>
      <w:kern w:val="0"/>
      <w:szCs w:val="21"/>
    </w:rPr>
  </w:style>
  <w:style w:type="paragraph" w:customStyle="1" w:styleId="397">
    <w:name w:val="xl4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398">
    <w:name w:val="_Style 9"/>
    <w:basedOn w:val="1"/>
    <w:autoRedefine/>
    <w:qFormat/>
    <w:uiPriority w:val="99"/>
    <w:pPr>
      <w:ind w:firstLine="420" w:firstLineChars="200"/>
    </w:pPr>
  </w:style>
  <w:style w:type="paragraph" w:customStyle="1" w:styleId="399">
    <w:name w:val="Char2"/>
    <w:basedOn w:val="20"/>
    <w:autoRedefine/>
    <w:qFormat/>
    <w:uiPriority w:val="99"/>
    <w:rPr>
      <w:rFonts w:ascii="Tahoma" w:hAnsi="Tahoma"/>
      <w:sz w:val="24"/>
      <w:shd w:val="clear" w:color="auto" w:fill="000080"/>
      <w:lang w:val="en-US" w:eastAsia="zh-CN"/>
    </w:rPr>
  </w:style>
  <w:style w:type="paragraph" w:customStyle="1" w:styleId="400">
    <w:name w:val="表内文字"/>
    <w:basedOn w:val="1"/>
    <w:autoRedefine/>
    <w:qFormat/>
    <w:uiPriority w:val="99"/>
    <w:pPr>
      <w:tabs>
        <w:tab w:val="left" w:pos="1418"/>
      </w:tabs>
      <w:spacing w:line="360" w:lineRule="auto"/>
      <w:jc w:val="center"/>
    </w:pPr>
    <w:rPr>
      <w:rFonts w:ascii="仿宋_GB2312" w:eastAsia="仿宋_GB2312"/>
      <w:spacing w:val="-20"/>
      <w:kern w:val="0"/>
      <w:sz w:val="24"/>
    </w:rPr>
  </w:style>
  <w:style w:type="paragraph" w:customStyle="1" w:styleId="401">
    <w:name w:val=" Char Char Char1 Char Char Char Char"/>
    <w:basedOn w:val="1"/>
    <w:autoRedefine/>
    <w:qFormat/>
    <w:uiPriority w:val="0"/>
    <w:rPr>
      <w:rFonts w:ascii="仿宋_GB2312" w:eastAsia="仿宋_GB2312"/>
      <w:b/>
      <w:sz w:val="32"/>
      <w:szCs w:val="32"/>
    </w:rPr>
  </w:style>
  <w:style w:type="paragraph" w:customStyle="1" w:styleId="402">
    <w:name w:val="def正文"/>
    <w:basedOn w:val="26"/>
    <w:autoRedefine/>
    <w:qFormat/>
    <w:uiPriority w:val="0"/>
    <w:pPr>
      <w:widowControl/>
      <w:spacing w:after="0" w:line="360" w:lineRule="auto"/>
      <w:ind w:firstLine="510"/>
      <w:jc w:val="left"/>
    </w:pPr>
    <w:rPr>
      <w:kern w:val="0"/>
      <w:sz w:val="24"/>
    </w:rPr>
  </w:style>
  <w:style w:type="paragraph" w:customStyle="1" w:styleId="403">
    <w:name w:val="标准有序列表（L1）"/>
    <w:basedOn w:val="15"/>
    <w:autoRedefine/>
    <w:qFormat/>
    <w:uiPriority w:val="0"/>
    <w:pPr>
      <w:tabs>
        <w:tab w:val="left" w:pos="0"/>
      </w:tabs>
      <w:spacing w:line="360" w:lineRule="auto"/>
      <w:ind w:firstLine="0"/>
    </w:pPr>
    <w:rPr>
      <w:rFonts w:ascii="黑体" w:eastAsia="黑体"/>
      <w:color w:val="000000"/>
      <w:sz w:val="24"/>
    </w:rPr>
  </w:style>
  <w:style w:type="paragraph" w:customStyle="1" w:styleId="404">
    <w:name w:val="默认段落字体 Para Char Char Char Char Char Char Char Char Char Char Char Char Char"/>
    <w:basedOn w:val="1"/>
    <w:autoRedefine/>
    <w:qFormat/>
    <w:uiPriority w:val="0"/>
    <w:pPr>
      <w:shd w:val="clear" w:color="auto" w:fill="000080"/>
    </w:pPr>
    <w:rPr>
      <w:sz w:val="24"/>
      <w:szCs w:val="20"/>
    </w:rPr>
  </w:style>
  <w:style w:type="paragraph" w:customStyle="1" w:styleId="405">
    <w:name w:val="xl7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406">
    <w:name w:val="f1"/>
    <w:basedOn w:val="1"/>
    <w:autoRedefine/>
    <w:qFormat/>
    <w:uiPriority w:val="0"/>
    <w:pPr>
      <w:widowControl/>
      <w:spacing w:before="100" w:beforeLines="0" w:beforeAutospacing="1" w:after="100" w:afterLines="0" w:afterAutospacing="1"/>
      <w:jc w:val="center"/>
    </w:pPr>
    <w:rPr>
      <w:rFonts w:ascii="Helvetica" w:hAnsi="Helvetica" w:cs="Helvetica"/>
      <w:b/>
      <w:bCs/>
      <w:color w:val="FF8080"/>
      <w:spacing w:val="160"/>
      <w:kern w:val="0"/>
      <w:sz w:val="80"/>
      <w:szCs w:val="80"/>
    </w:rPr>
  </w:style>
  <w:style w:type="paragraph" w:customStyle="1" w:styleId="407">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08">
    <w:name w:val="font7"/>
    <w:basedOn w:val="1"/>
    <w:autoRedefine/>
    <w:qFormat/>
    <w:uiPriority w:val="99"/>
    <w:pPr>
      <w:widowControl/>
      <w:spacing w:before="100" w:beforeAutospacing="1" w:after="100" w:afterAutospacing="1"/>
      <w:jc w:val="left"/>
    </w:pPr>
    <w:rPr>
      <w:kern w:val="0"/>
      <w:sz w:val="18"/>
      <w:szCs w:val="18"/>
    </w:rPr>
  </w:style>
  <w:style w:type="paragraph" w:customStyle="1" w:styleId="409">
    <w:name w:val="xl3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410">
    <w:name w:val="subject_matter"/>
    <w:basedOn w:val="1"/>
    <w:autoRedefine/>
    <w:qFormat/>
    <w:uiPriority w:val="99"/>
    <w:pPr>
      <w:widowControl/>
      <w:spacing w:before="100" w:beforeAutospacing="1" w:after="100" w:afterAutospacing="1"/>
      <w:jc w:val="left"/>
    </w:pPr>
    <w:rPr>
      <w:rFonts w:ascii="Arial" w:hAnsi="Arial" w:cs="Arial"/>
      <w:color w:val="000000"/>
      <w:kern w:val="0"/>
      <w:sz w:val="20"/>
      <w:szCs w:val="20"/>
    </w:rPr>
  </w:style>
  <w:style w:type="paragraph" w:customStyle="1" w:styleId="411">
    <w:name w:val="标准标题2"/>
    <w:basedOn w:val="2"/>
    <w:autoRedefine/>
    <w:qFormat/>
    <w:uiPriority w:val="0"/>
    <w:pPr>
      <w:spacing w:before="20" w:after="20" w:line="360" w:lineRule="auto"/>
    </w:pPr>
    <w:rPr>
      <w:rFonts w:ascii="Arial" w:hAnsi="Arial" w:eastAsia="仿宋_GB2312"/>
      <w:bCs w:val="0"/>
      <w:sz w:val="28"/>
    </w:rPr>
  </w:style>
  <w:style w:type="paragraph" w:customStyle="1" w:styleId="412">
    <w:name w:val="项目编号1"/>
    <w:basedOn w:val="1"/>
    <w:next w:val="1"/>
    <w:autoRedefine/>
    <w:qFormat/>
    <w:uiPriority w:val="0"/>
    <w:pPr>
      <w:spacing w:line="360" w:lineRule="auto"/>
      <w:ind w:firstLine="200" w:firstLineChars="200"/>
      <w:jc w:val="left"/>
    </w:pPr>
    <w:rPr>
      <w:rFonts w:ascii="宋体"/>
      <w:sz w:val="24"/>
    </w:rPr>
  </w:style>
  <w:style w:type="paragraph" w:customStyle="1" w:styleId="413">
    <w:name w:val="xl41"/>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宋体" w:hAnsi="宋体"/>
      <w:kern w:val="0"/>
      <w:sz w:val="18"/>
      <w:szCs w:val="18"/>
    </w:rPr>
  </w:style>
  <w:style w:type="paragraph" w:customStyle="1" w:styleId="414">
    <w:name w:val="样式 标题 1 + 五号"/>
    <w:basedOn w:val="3"/>
    <w:autoRedefine/>
    <w:qFormat/>
    <w:uiPriority w:val="0"/>
    <w:pPr>
      <w:keepLines/>
      <w:tabs>
        <w:tab w:val="clear" w:pos="432"/>
      </w:tabs>
      <w:ind w:left="0" w:firstLine="0"/>
      <w:jc w:val="center"/>
    </w:pPr>
    <w:rPr>
      <w:rFonts w:ascii="Times New Roman" w:hAnsi="Times New Roman" w:eastAsia="宋体" w:cs="Times New Roman"/>
      <w:bCs/>
      <w:kern w:val="44"/>
      <w:sz w:val="32"/>
      <w:szCs w:val="32"/>
    </w:rPr>
  </w:style>
  <w:style w:type="paragraph" w:customStyle="1" w:styleId="415">
    <w:name w:val="Table Description"/>
    <w:next w:val="1"/>
    <w:autoRedefine/>
    <w:qFormat/>
    <w:uiPriority w:val="99"/>
    <w:pPr>
      <w:keepNext/>
      <w:snapToGrid w:val="0"/>
      <w:spacing w:before="160" w:after="80"/>
      <w:ind w:left="1701"/>
      <w:jc w:val="center"/>
    </w:pPr>
    <w:rPr>
      <w:rFonts w:ascii="Arial" w:hAnsi="Arial" w:eastAsia="黑体" w:cs="Times New Roman"/>
      <w:sz w:val="18"/>
      <w:lang w:val="en-US" w:eastAsia="en-US" w:bidi="ar-SA"/>
    </w:rPr>
  </w:style>
  <w:style w:type="paragraph" w:customStyle="1" w:styleId="416">
    <w:name w:val="xl103"/>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417">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18"/>
      <w:szCs w:val="18"/>
    </w:rPr>
  </w:style>
  <w:style w:type="paragraph" w:customStyle="1" w:styleId="418">
    <w:name w:val="样式 标题 3(A-3)sect1.2.3h3H3level_3PIM 3Level 3 HeadHeading..."/>
    <w:basedOn w:val="4"/>
    <w:autoRedefine/>
    <w:qFormat/>
    <w:uiPriority w:val="0"/>
    <w:pPr>
      <w:numPr>
        <w:ilvl w:val="2"/>
        <w:numId w:val="0"/>
      </w:numPr>
    </w:pPr>
    <w:rPr>
      <w:rFonts w:ascii="Arial" w:hAnsi="Arial"/>
      <w:sz w:val="30"/>
    </w:rPr>
  </w:style>
  <w:style w:type="paragraph" w:customStyle="1" w:styleId="419">
    <w:name w:val="xl86"/>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20">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21">
    <w:name w:val="传真标题"/>
    <w:basedOn w:val="1"/>
    <w:autoRedefine/>
    <w:qFormat/>
    <w:uiPriority w:val="99"/>
    <w:pPr>
      <w:widowControl/>
      <w:spacing w:before="240" w:after="60"/>
      <w:ind w:left="150" w:hanging="150" w:hangingChars="78"/>
      <w:jc w:val="left"/>
    </w:pPr>
    <w:rPr>
      <w:kern w:val="0"/>
      <w:sz w:val="20"/>
    </w:rPr>
  </w:style>
  <w:style w:type="paragraph" w:customStyle="1" w:styleId="422">
    <w:name w:val="xl5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423">
    <w:name w:val="标书正文格式"/>
    <w:autoRedefine/>
    <w:qFormat/>
    <w:uiPriority w:val="99"/>
    <w:pPr>
      <w:spacing w:line="360" w:lineRule="auto"/>
      <w:ind w:firstLine="200" w:firstLineChars="200"/>
    </w:pPr>
    <w:rPr>
      <w:rFonts w:ascii="宋体" w:hAnsi="宋体" w:eastAsia="楷体_GB2312" w:cs="Times New Roman"/>
      <w:color w:val="000000"/>
      <w:kern w:val="2"/>
      <w:sz w:val="24"/>
      <w:szCs w:val="24"/>
      <w:lang w:val="en-US" w:eastAsia="zh-CN" w:bidi="ar-SA"/>
    </w:rPr>
  </w:style>
  <w:style w:type="paragraph" w:customStyle="1" w:styleId="424">
    <w:name w:val="xl99"/>
    <w:basedOn w:val="1"/>
    <w:autoRedefine/>
    <w:qFormat/>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425">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426">
    <w:name w:val="沈标题四"/>
    <w:basedOn w:val="5"/>
    <w:next w:val="1"/>
    <w:autoRedefine/>
    <w:qFormat/>
    <w:uiPriority w:val="0"/>
    <w:pPr>
      <w:keepNext w:val="0"/>
      <w:keepLines w:val="0"/>
      <w:spacing w:line="377" w:lineRule="auto"/>
    </w:pPr>
    <w:rPr>
      <w:rFonts w:ascii="Arial Narrow" w:hAnsi="Arial Narrow" w:eastAsia="方正姚体"/>
      <w:b w:val="0"/>
      <w:sz w:val="24"/>
      <w:szCs w:val="24"/>
    </w:rPr>
  </w:style>
  <w:style w:type="paragraph" w:customStyle="1" w:styleId="427">
    <w:name w:val="xl6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428">
    <w:name w:val="xl6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429">
    <w:name w:val="机房集中监控系统方案"/>
    <w:basedOn w:val="1"/>
    <w:autoRedefine/>
    <w:qFormat/>
    <w:uiPriority w:val="99"/>
  </w:style>
  <w:style w:type="paragraph" w:customStyle="1" w:styleId="430">
    <w:name w:val="xl5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431">
    <w:name w:val="xl77"/>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32">
    <w:name w:val="正文（缩进）"/>
    <w:basedOn w:val="1"/>
    <w:autoRedefine/>
    <w:qFormat/>
    <w:uiPriority w:val="0"/>
    <w:pPr>
      <w:spacing w:beforeLines="50" w:afterLines="50" w:line="360" w:lineRule="auto"/>
      <w:ind w:firstLine="480" w:firstLineChars="200"/>
    </w:pPr>
    <w:rPr>
      <w:kern w:val="0"/>
      <w:sz w:val="24"/>
    </w:rPr>
  </w:style>
  <w:style w:type="paragraph" w:customStyle="1" w:styleId="433">
    <w:name w:val="xl79"/>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34">
    <w:name w:val="xl82"/>
    <w:basedOn w:val="1"/>
    <w:autoRedefine/>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435">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436">
    <w:name w:val="样式 标题 3Chapter X.X.X"/>
    <w:basedOn w:val="360"/>
    <w:autoRedefine/>
    <w:qFormat/>
    <w:uiPriority w:val="0"/>
    <w:pPr>
      <w:spacing w:after="120"/>
    </w:pPr>
  </w:style>
  <w:style w:type="paragraph" w:customStyle="1" w:styleId="437">
    <w:name w:val="表项"/>
    <w:next w:val="438"/>
    <w:autoRedefine/>
    <w:qFormat/>
    <w:uiPriority w:val="99"/>
    <w:pPr>
      <w:keepNext/>
      <w:spacing w:line="300" w:lineRule="auto"/>
      <w:jc w:val="center"/>
      <w:textAlignment w:val="baseline"/>
    </w:pPr>
    <w:rPr>
      <w:rFonts w:ascii="Arial" w:hAnsi="Arial" w:eastAsia="黑体" w:cs="Times New Roman"/>
      <w:sz w:val="21"/>
      <w:lang w:val="en-US" w:eastAsia="zh-CN" w:bidi="ar-SA"/>
    </w:rPr>
  </w:style>
  <w:style w:type="paragraph" w:customStyle="1" w:styleId="438">
    <w:name w:val="表身"/>
    <w:autoRedefine/>
    <w:qFormat/>
    <w:uiPriority w:val="99"/>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439">
    <w:name w:val="样式 正文首行缩进 2 + 加粗 首行缩进:  2 字符 段前: 0.5 行"/>
    <w:basedOn w:val="64"/>
    <w:autoRedefine/>
    <w:qFormat/>
    <w:uiPriority w:val="99"/>
    <w:pPr>
      <w:adjustRightInd w:val="0"/>
      <w:snapToGrid w:val="0"/>
      <w:spacing w:beforeLines="50" w:line="360" w:lineRule="auto"/>
      <w:ind w:left="0" w:leftChars="0" w:firstLine="0" w:firstLineChars="0"/>
    </w:pPr>
    <w:rPr>
      <w:rFonts w:ascii="Times New Roman" w:hAnsi="Times New Roman" w:cs="宋体"/>
      <w:bCs/>
      <w:spacing w:val="0"/>
      <w:sz w:val="24"/>
      <w:szCs w:val="20"/>
      <w:lang w:val="zh-CN" w:eastAsia="zh-CN"/>
    </w:rPr>
  </w:style>
  <w:style w:type="paragraph" w:customStyle="1" w:styleId="440">
    <w:name w:val="font9"/>
    <w:basedOn w:val="1"/>
    <w:autoRedefine/>
    <w:qFormat/>
    <w:uiPriority w:val="99"/>
    <w:pPr>
      <w:widowControl/>
      <w:spacing w:before="100" w:beforeAutospacing="1" w:after="100" w:afterAutospacing="1"/>
      <w:jc w:val="left"/>
    </w:pPr>
    <w:rPr>
      <w:kern w:val="0"/>
      <w:sz w:val="20"/>
      <w:szCs w:val="20"/>
    </w:rPr>
  </w:style>
  <w:style w:type="paragraph" w:customStyle="1" w:styleId="441">
    <w:name w:val="Char1 Char Char Char"/>
    <w:basedOn w:val="1"/>
    <w:autoRedefine/>
    <w:qFormat/>
    <w:uiPriority w:val="0"/>
    <w:rPr>
      <w:rFonts w:ascii="Tahoma" w:hAnsi="Tahoma"/>
      <w:sz w:val="24"/>
      <w:szCs w:val="20"/>
    </w:rPr>
  </w:style>
  <w:style w:type="paragraph" w:customStyle="1" w:styleId="442">
    <w:name w:val="中等深浅列表 2 - 强调文字颜色 21"/>
    <w:autoRedefine/>
    <w:qFormat/>
    <w:uiPriority w:val="71"/>
    <w:rPr>
      <w:rFonts w:ascii="Times New Roman" w:hAnsi="Times New Roman" w:eastAsia="宋体" w:cs="Times New Roman"/>
      <w:kern w:val="2"/>
      <w:sz w:val="21"/>
      <w:szCs w:val="24"/>
      <w:lang w:val="en-US" w:eastAsia="zh-CN" w:bidi="ar-SA"/>
    </w:rPr>
  </w:style>
  <w:style w:type="paragraph" w:customStyle="1" w:styleId="443">
    <w:name w:val="prodtit"/>
    <w:basedOn w:val="1"/>
    <w:autoRedefine/>
    <w:qFormat/>
    <w:uiPriority w:val="99"/>
    <w:pPr>
      <w:widowControl/>
      <w:spacing w:before="100" w:beforeAutospacing="1" w:after="100" w:afterAutospacing="1"/>
      <w:jc w:val="left"/>
    </w:pPr>
    <w:rPr>
      <w:rFonts w:ascii="Tahoma" w:hAnsi="Tahoma"/>
      <w:color w:val="CC6600"/>
      <w:kern w:val="0"/>
      <w:sz w:val="30"/>
      <w:szCs w:val="30"/>
    </w:rPr>
  </w:style>
  <w:style w:type="paragraph" w:customStyle="1" w:styleId="444">
    <w:name w:val="Char Char Char Char Char Char Char"/>
    <w:basedOn w:val="1"/>
    <w:autoRedefine/>
    <w:qFormat/>
    <w:uiPriority w:val="99"/>
  </w:style>
  <w:style w:type="paragraph" w:customStyle="1" w:styleId="445">
    <w:name w:val="附录五级条标题"/>
    <w:basedOn w:val="320"/>
    <w:next w:val="174"/>
    <w:autoRedefine/>
    <w:qFormat/>
    <w:uiPriority w:val="0"/>
    <w:pPr>
      <w:numPr>
        <w:ilvl w:val="6"/>
        <w:numId w:val="4"/>
      </w:numPr>
      <w:outlineLvl w:val="6"/>
    </w:pPr>
  </w:style>
  <w:style w:type="paragraph" w:customStyle="1" w:styleId="446">
    <w:name w:val="msolistparagraph"/>
    <w:basedOn w:val="1"/>
    <w:autoRedefine/>
    <w:qFormat/>
    <w:uiPriority w:val="0"/>
    <w:pPr>
      <w:widowControl/>
      <w:ind w:firstLine="420" w:firstLineChars="200"/>
      <w:jc w:val="left"/>
    </w:pPr>
    <w:rPr>
      <w:rFonts w:ascii="宋体" w:hAnsi="宋体"/>
      <w:kern w:val="0"/>
      <w:sz w:val="24"/>
    </w:rPr>
  </w:style>
  <w:style w:type="paragraph" w:customStyle="1" w:styleId="447">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448">
    <w:name w:val="xl7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449">
    <w:name w:val="xl34"/>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450">
    <w:name w:val="正文表格内容"/>
    <w:basedOn w:val="1"/>
    <w:autoRedefine/>
    <w:qFormat/>
    <w:uiPriority w:val="0"/>
    <w:pPr>
      <w:widowControl/>
      <w:jc w:val="left"/>
    </w:pPr>
    <w:rPr>
      <w:rFonts w:ascii="Arial" w:hAnsi="Arial"/>
      <w:bCs/>
      <w:kern w:val="0"/>
      <w:szCs w:val="18"/>
    </w:rPr>
  </w:style>
  <w:style w:type="paragraph" w:customStyle="1" w:styleId="451">
    <w:name w:val="样式 标题 4"/>
    <w:basedOn w:val="452"/>
    <w:next w:val="308"/>
    <w:autoRedefine/>
    <w:qFormat/>
    <w:uiPriority w:val="0"/>
    <w:pPr>
      <w:tabs>
        <w:tab w:val="left" w:pos="2100"/>
      </w:tabs>
      <w:spacing w:after="50"/>
      <w:ind w:left="2100" w:hanging="420"/>
    </w:pPr>
  </w:style>
  <w:style w:type="paragraph" w:customStyle="1" w:styleId="452">
    <w:name w:val="样式 标题 4Chapter X.X.X.X. + 段后: 0.5 行1"/>
    <w:basedOn w:val="267"/>
    <w:autoRedefine/>
    <w:qFormat/>
    <w:uiPriority w:val="0"/>
    <w:pPr>
      <w:spacing w:after="120"/>
    </w:pPr>
  </w:style>
  <w:style w:type="paragraph" w:customStyle="1" w:styleId="453">
    <w:name w:val=" Char Char Char Char Char Char Char Char Char"/>
    <w:basedOn w:val="1"/>
    <w:autoRedefine/>
    <w:qFormat/>
    <w:uiPriority w:val="0"/>
    <w:rPr>
      <w:rFonts w:ascii="Tahoma" w:hAnsi="Tahoma" w:eastAsia="仿宋_GB2312"/>
      <w:sz w:val="24"/>
      <w:szCs w:val="20"/>
    </w:rPr>
  </w:style>
  <w:style w:type="paragraph" w:customStyle="1" w:styleId="454">
    <w:name w:val="P2"/>
    <w:basedOn w:val="1"/>
    <w:autoRedefine/>
    <w:qFormat/>
    <w:uiPriority w:val="0"/>
    <w:pPr>
      <w:widowControl/>
      <w:spacing w:before="240" w:line="240" w:lineRule="atLeast"/>
      <w:ind w:left="578"/>
      <w:jc w:val="left"/>
    </w:pPr>
    <w:rPr>
      <w:b/>
      <w:kern w:val="0"/>
      <w:szCs w:val="21"/>
      <w:lang w:val="en-AU" w:eastAsia="en-US"/>
    </w:rPr>
  </w:style>
  <w:style w:type="paragraph" w:customStyle="1" w:styleId="455">
    <w:name w:val="Tabletext"/>
    <w:basedOn w:val="1"/>
    <w:autoRedefine/>
    <w:qFormat/>
    <w:uiPriority w:val="0"/>
    <w:pPr>
      <w:keepLines/>
      <w:spacing w:after="120" w:afterLines="50"/>
      <w:jc w:val="left"/>
    </w:pPr>
    <w:rPr>
      <w:rFonts w:ascii="宋体"/>
      <w:snapToGrid w:val="0"/>
      <w:kern w:val="0"/>
      <w:szCs w:val="20"/>
    </w:rPr>
  </w:style>
  <w:style w:type="paragraph" w:customStyle="1" w:styleId="456">
    <w:name w:val="xl7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kern w:val="0"/>
      <w:sz w:val="18"/>
      <w:szCs w:val="18"/>
    </w:rPr>
  </w:style>
  <w:style w:type="paragraph" w:customStyle="1" w:styleId="457">
    <w:name w:val="Char1"/>
    <w:basedOn w:val="1"/>
    <w:autoRedefine/>
    <w:qFormat/>
    <w:uiPriority w:val="99"/>
    <w:pPr>
      <w:tabs>
        <w:tab w:val="left" w:pos="432"/>
      </w:tabs>
      <w:spacing w:beforeLines="50" w:afterLines="50"/>
      <w:ind w:left="432" w:hanging="432"/>
    </w:pPr>
    <w:rPr>
      <w:sz w:val="24"/>
    </w:rPr>
  </w:style>
  <w:style w:type="paragraph" w:customStyle="1" w:styleId="458">
    <w:name w:val="最新标题3"/>
    <w:basedOn w:val="459"/>
    <w:next w:val="460"/>
    <w:autoRedefine/>
    <w:qFormat/>
    <w:uiPriority w:val="0"/>
    <w:pPr>
      <w:spacing w:after="120"/>
    </w:pPr>
  </w:style>
  <w:style w:type="paragraph" w:customStyle="1" w:styleId="459">
    <w:name w:val="样式 标题 3"/>
    <w:basedOn w:val="4"/>
    <w:next w:val="460"/>
    <w:autoRedefine/>
    <w:qFormat/>
    <w:uiPriority w:val="0"/>
    <w:pPr>
      <w:keepLines w:val="0"/>
      <w:spacing w:before="120" w:after="50" w:afterLines="50" w:line="240" w:lineRule="auto"/>
      <w:jc w:val="left"/>
    </w:pPr>
    <w:rPr>
      <w:rFonts w:ascii="宋体" w:cs="宋体"/>
      <w:snapToGrid w:val="0"/>
      <w:kern w:val="0"/>
      <w:sz w:val="24"/>
      <w:szCs w:val="20"/>
    </w:rPr>
  </w:style>
  <w:style w:type="paragraph" w:customStyle="1" w:styleId="460">
    <w:name w:val="最新标题4"/>
    <w:basedOn w:val="451"/>
    <w:next w:val="1"/>
    <w:autoRedefine/>
    <w:qFormat/>
    <w:uiPriority w:val="0"/>
    <w:pPr>
      <w:tabs>
        <w:tab w:val="clear" w:pos="2100"/>
      </w:tabs>
      <w:spacing w:after="120"/>
      <w:ind w:left="0" w:firstLine="0"/>
    </w:pPr>
  </w:style>
  <w:style w:type="paragraph" w:customStyle="1" w:styleId="461">
    <w:name w:val="默认段落字体 Para Char"/>
    <w:basedOn w:val="1"/>
    <w:autoRedefine/>
    <w:qFormat/>
    <w:uiPriority w:val="0"/>
    <w:rPr>
      <w:szCs w:val="20"/>
    </w:rPr>
  </w:style>
  <w:style w:type="paragraph" w:customStyle="1" w:styleId="462">
    <w:name w:val="正文表格内容（居中）"/>
    <w:basedOn w:val="1"/>
    <w:autoRedefine/>
    <w:qFormat/>
    <w:uiPriority w:val="0"/>
    <w:pPr>
      <w:widowControl/>
      <w:jc w:val="center"/>
    </w:pPr>
    <w:rPr>
      <w:rFonts w:ascii="Arial" w:hAnsi="Arial" w:cs="Arial"/>
      <w:kern w:val="0"/>
      <w:sz w:val="18"/>
      <w:szCs w:val="18"/>
    </w:rPr>
  </w:style>
  <w:style w:type="paragraph" w:customStyle="1" w:styleId="463">
    <w:name w:val="GP公文标题1"/>
    <w:basedOn w:val="1"/>
    <w:next w:val="1"/>
    <w:autoRedefine/>
    <w:qFormat/>
    <w:uiPriority w:val="0"/>
    <w:pPr>
      <w:spacing w:line="360" w:lineRule="auto"/>
      <w:ind w:firstLine="480" w:firstLineChars="200"/>
    </w:pPr>
    <w:rPr>
      <w:rFonts w:ascii="宋体" w:hAnsi="宋体"/>
      <w:sz w:val="24"/>
    </w:rPr>
  </w:style>
  <w:style w:type="paragraph" w:customStyle="1" w:styleId="464">
    <w:name w:val="text"/>
    <w:basedOn w:val="1"/>
    <w:autoRedefine/>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65">
    <w:name w:val="xl74"/>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466">
    <w:name w:val="xl6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467">
    <w:name w:val="paragraph1"/>
    <w:basedOn w:val="1"/>
    <w:autoRedefine/>
    <w:qFormat/>
    <w:uiPriority w:val="0"/>
    <w:pPr>
      <w:spacing w:after="93" w:afterLines="30" w:line="360" w:lineRule="auto"/>
      <w:ind w:firstLine="420" w:firstLineChars="200"/>
    </w:pPr>
    <w:rPr>
      <w:rFonts w:eastAsia="楷体_GB2312"/>
      <w:sz w:val="24"/>
      <w:szCs w:val="20"/>
    </w:rPr>
  </w:style>
  <w:style w:type="paragraph" w:customStyle="1" w:styleId="468">
    <w:name w:val="xl2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469">
    <w:name w:val="S4-I-L15-U"/>
    <w:basedOn w:val="1"/>
    <w:autoRedefine/>
    <w:qFormat/>
    <w:uiPriority w:val="0"/>
    <w:pPr>
      <w:spacing w:line="360" w:lineRule="auto"/>
    </w:pPr>
    <w:rPr>
      <w:b/>
      <w:i/>
      <w:sz w:val="24"/>
      <w:u w:val="single"/>
    </w:rPr>
  </w:style>
  <w:style w:type="paragraph" w:customStyle="1" w:styleId="470">
    <w:name w:val="插图说明"/>
    <w:basedOn w:val="1"/>
    <w:autoRedefine/>
    <w:qFormat/>
    <w:uiPriority w:val="99"/>
    <w:pPr>
      <w:adjustRightInd w:val="0"/>
      <w:spacing w:after="240"/>
      <w:ind w:firstLine="200" w:firstLineChars="200"/>
      <w:jc w:val="center"/>
    </w:pPr>
    <w:rPr>
      <w:rFonts w:eastAsia="黑体"/>
      <w:kern w:val="0"/>
      <w:sz w:val="24"/>
      <w:szCs w:val="20"/>
    </w:rPr>
  </w:style>
  <w:style w:type="paragraph" w:customStyle="1" w:styleId="471">
    <w:name w:val="Figure Description"/>
    <w:next w:val="1"/>
    <w:autoRedefine/>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472">
    <w:name w:val="表格标题"/>
    <w:basedOn w:val="473"/>
    <w:autoRedefine/>
    <w:qFormat/>
    <w:uiPriority w:val="0"/>
    <w:pPr>
      <w:jc w:val="center"/>
    </w:pPr>
    <w:rPr>
      <w:b/>
      <w:bCs/>
      <w:i/>
      <w:iCs/>
    </w:rPr>
  </w:style>
  <w:style w:type="paragraph" w:customStyle="1" w:styleId="473">
    <w:name w:val="表格内容"/>
    <w:basedOn w:val="26"/>
    <w:autoRedefine/>
    <w:qFormat/>
    <w:uiPriority w:val="99"/>
    <w:pPr>
      <w:suppressLineNumbers/>
      <w:suppressAutoHyphens/>
    </w:pPr>
    <w:rPr>
      <w:kern w:val="1"/>
      <w:sz w:val="21"/>
      <w:lang w:eastAsia="ar-SA"/>
    </w:rPr>
  </w:style>
  <w:style w:type="paragraph" w:customStyle="1" w:styleId="474">
    <w:name w:val="样式 标题1"/>
    <w:basedOn w:val="475"/>
    <w:next w:val="476"/>
    <w:autoRedefine/>
    <w:qFormat/>
    <w:uiPriority w:val="0"/>
    <w:pPr>
      <w:tabs>
        <w:tab w:val="left" w:pos="1140"/>
      </w:tabs>
      <w:spacing w:after="50"/>
      <w:ind w:left="1140" w:hanging="720"/>
    </w:pPr>
    <w:rPr>
      <w:bCs w:val="0"/>
      <w:sz w:val="32"/>
    </w:rPr>
  </w:style>
  <w:style w:type="paragraph" w:customStyle="1" w:styleId="475">
    <w:name w:val="样式 标题 1 + 段后: 0.5 行"/>
    <w:basedOn w:val="3"/>
    <w:autoRedefine/>
    <w:qFormat/>
    <w:uiPriority w:val="0"/>
    <w:pPr>
      <w:tabs>
        <w:tab w:val="clear" w:pos="432"/>
      </w:tabs>
      <w:spacing w:before="120" w:after="120" w:afterLines="50"/>
      <w:ind w:left="0" w:firstLine="0"/>
      <w:jc w:val="left"/>
    </w:pPr>
    <w:rPr>
      <w:rFonts w:ascii="宋体" w:hAnsi="Times New Roman" w:eastAsia="宋体"/>
      <w:bCs/>
      <w:snapToGrid w:val="0"/>
      <w:kern w:val="0"/>
      <w:sz w:val="28"/>
    </w:rPr>
  </w:style>
  <w:style w:type="paragraph" w:customStyle="1" w:styleId="476">
    <w:name w:val="最新标题2"/>
    <w:basedOn w:val="477"/>
    <w:next w:val="458"/>
    <w:autoRedefine/>
    <w:qFormat/>
    <w:uiPriority w:val="0"/>
    <w:pPr>
      <w:spacing w:after="120"/>
    </w:pPr>
  </w:style>
  <w:style w:type="paragraph" w:customStyle="1" w:styleId="477">
    <w:name w:val="样式 标题 2"/>
    <w:basedOn w:val="2"/>
    <w:next w:val="458"/>
    <w:autoRedefine/>
    <w:qFormat/>
    <w:uiPriority w:val="0"/>
    <w:pPr>
      <w:keepLines w:val="0"/>
      <w:spacing w:before="120" w:after="50" w:afterLines="50" w:line="240" w:lineRule="auto"/>
      <w:ind w:left="380" w:hanging="380"/>
      <w:jc w:val="left"/>
    </w:pPr>
    <w:rPr>
      <w:rFonts w:ascii="宋体" w:hAnsi="Times New Roman" w:cs="宋体"/>
      <w:snapToGrid w:val="0"/>
      <w:kern w:val="0"/>
      <w:sz w:val="28"/>
      <w:szCs w:val="20"/>
    </w:rPr>
  </w:style>
  <w:style w:type="paragraph" w:customStyle="1" w:styleId="478">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479">
    <w:name w:val="huide00"/>
    <w:basedOn w:val="1"/>
    <w:autoRedefine/>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480">
    <w:name w:val="默认段落字体 Para Char Char Char Char Char Char Char Char Char1 Char Char Char Char"/>
    <w:basedOn w:val="1"/>
    <w:autoRedefine/>
    <w:qFormat/>
    <w:uiPriority w:val="0"/>
    <w:rPr>
      <w:rFonts w:ascii="Tahoma" w:hAnsi="Tahoma"/>
      <w:sz w:val="24"/>
      <w:szCs w:val="20"/>
    </w:rPr>
  </w:style>
  <w:style w:type="paragraph" w:customStyle="1" w:styleId="481">
    <w:name w:val="段落"/>
    <w:autoRedefine/>
    <w:qFormat/>
    <w:uiPriority w:val="0"/>
    <w:pPr>
      <w:adjustRightInd w:val="0"/>
      <w:snapToGrid w:val="0"/>
      <w:spacing w:before="120" w:after="120" w:line="360" w:lineRule="auto"/>
      <w:ind w:firstLine="480" w:firstLineChars="200"/>
      <w:jc w:val="both"/>
    </w:pPr>
    <w:rPr>
      <w:rFonts w:ascii="Times New Roman" w:hAnsi="Times New Roman" w:eastAsia="仿宋_GB2312" w:cs="Times New Roman"/>
      <w:kern w:val="2"/>
      <w:sz w:val="24"/>
      <w:szCs w:val="22"/>
      <w:lang w:val="en-US" w:eastAsia="zh-CN" w:bidi="ar-SA"/>
    </w:rPr>
  </w:style>
  <w:style w:type="paragraph" w:customStyle="1" w:styleId="482">
    <w:name w:val="二级条标题"/>
    <w:basedOn w:val="1"/>
    <w:next w:val="1"/>
    <w:autoRedefine/>
    <w:qFormat/>
    <w:uiPriority w:val="0"/>
    <w:pPr>
      <w:widowControl/>
      <w:tabs>
        <w:tab w:val="left" w:pos="360"/>
      </w:tabs>
      <w:jc w:val="left"/>
      <w:outlineLvl w:val="3"/>
    </w:pPr>
    <w:rPr>
      <w:rFonts w:eastAsia="黑体"/>
      <w:kern w:val="0"/>
      <w:szCs w:val="20"/>
    </w:rPr>
  </w:style>
  <w:style w:type="paragraph" w:customStyle="1" w:styleId="483">
    <w:name w:val="最新标题1"/>
    <w:basedOn w:val="474"/>
    <w:next w:val="476"/>
    <w:autoRedefine/>
    <w:qFormat/>
    <w:uiPriority w:val="0"/>
    <w:pPr>
      <w:spacing w:after="120"/>
    </w:pPr>
    <w:rPr>
      <w:bCs/>
    </w:rPr>
  </w:style>
  <w:style w:type="paragraph" w:customStyle="1" w:styleId="484">
    <w:name w:val="xl57"/>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485">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86">
    <w:name w:val="xl3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487">
    <w:name w:val="xl54"/>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88">
    <w:name w:val="正文1"/>
    <w:basedOn w:val="20"/>
    <w:next w:val="1"/>
    <w:autoRedefine/>
    <w:qFormat/>
    <w:uiPriority w:val="99"/>
    <w:pPr>
      <w:widowControl/>
      <w:overflowPunct w:val="0"/>
      <w:autoSpaceDE w:val="0"/>
      <w:autoSpaceDN w:val="0"/>
      <w:adjustRightInd w:val="0"/>
      <w:spacing w:line="400" w:lineRule="exact"/>
      <w:textAlignment w:val="baseline"/>
    </w:pPr>
    <w:rPr>
      <w:kern w:val="0"/>
      <w:sz w:val="24"/>
      <w:szCs w:val="20"/>
    </w:rPr>
  </w:style>
  <w:style w:type="paragraph" w:customStyle="1" w:styleId="489">
    <w:name w:val="样式 表格正文 + 两端对齐"/>
    <w:basedOn w:val="1"/>
    <w:next w:val="488"/>
    <w:autoRedefine/>
    <w:qFormat/>
    <w:uiPriority w:val="0"/>
    <w:pPr>
      <w:spacing w:line="300" w:lineRule="auto"/>
    </w:pPr>
    <w:rPr>
      <w:rFonts w:ascii="Times New Roman"/>
    </w:rPr>
  </w:style>
  <w:style w:type="paragraph" w:customStyle="1" w:styleId="490">
    <w:name w:val="xl25"/>
    <w:basedOn w:val="1"/>
    <w:autoRedefine/>
    <w:qFormat/>
    <w:uiPriority w:val="99"/>
    <w:pPr>
      <w:widowControl/>
      <w:pBdr>
        <w:left w:val="single" w:color="auto" w:sz="12" w:space="0"/>
        <w:bottom w:val="single" w:color="auto" w:sz="4" w:space="0"/>
        <w:right w:val="single" w:color="auto" w:sz="4" w:space="0"/>
      </w:pBdr>
      <w:spacing w:before="100" w:beforeAutospacing="1" w:after="100" w:afterAutospacing="1"/>
    </w:pPr>
    <w:rPr>
      <w:rFonts w:ascii="Arial Unicode MS" w:hAnsi="Arial Unicode MS" w:cs="Arial Unicode MS"/>
      <w:kern w:val="0"/>
      <w:sz w:val="18"/>
      <w:szCs w:val="18"/>
    </w:rPr>
  </w:style>
  <w:style w:type="paragraph" w:customStyle="1" w:styleId="491">
    <w:name w:val="附录表标题"/>
    <w:basedOn w:val="1"/>
    <w:next w:val="174"/>
    <w:autoRedefine/>
    <w:qFormat/>
    <w:uiPriority w:val="0"/>
    <w:pPr>
      <w:numPr>
        <w:ilvl w:val="1"/>
        <w:numId w:val="7"/>
      </w:numPr>
      <w:spacing w:beforeLines="50" w:afterLines="50"/>
      <w:jc w:val="center"/>
    </w:pPr>
    <w:rPr>
      <w:rFonts w:ascii="黑体" w:eastAsia="黑体"/>
      <w:szCs w:val="21"/>
    </w:rPr>
  </w:style>
  <w:style w:type="paragraph" w:customStyle="1" w:styleId="492">
    <w:name w:val="xl3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93">
    <w:name w:val="样式 标题 2Chapter X.X. Statementh22Header 2l2Level 2 Headhea...1"/>
    <w:basedOn w:val="4"/>
    <w:autoRedefine/>
    <w:qFormat/>
    <w:uiPriority w:val="0"/>
    <w:pPr>
      <w:keepLines w:val="0"/>
      <w:spacing w:before="120" w:after="120" w:afterLines="50" w:line="240" w:lineRule="auto"/>
      <w:jc w:val="left"/>
    </w:pPr>
    <w:rPr>
      <w:rFonts w:ascii="宋体" w:cs="宋体"/>
      <w:snapToGrid w:val="0"/>
      <w:kern w:val="0"/>
      <w:sz w:val="24"/>
      <w:szCs w:val="20"/>
    </w:rPr>
  </w:style>
  <w:style w:type="paragraph" w:customStyle="1" w:styleId="494">
    <w:name w:val="章正文"/>
    <w:basedOn w:val="1"/>
    <w:autoRedefine/>
    <w:qFormat/>
    <w:uiPriority w:val="99"/>
    <w:pPr>
      <w:spacing w:before="156" w:beforeLines="50" w:after="120" w:line="300" w:lineRule="auto"/>
      <w:ind w:firstLine="480"/>
    </w:pPr>
    <w:rPr>
      <w:rFonts w:ascii="Helvetica" w:hAnsi="Helvetica"/>
      <w:kern w:val="0"/>
      <w:sz w:val="24"/>
    </w:rPr>
  </w:style>
  <w:style w:type="paragraph" w:customStyle="1" w:styleId="495">
    <w:name w:val="浅色列表 - 强调文字颜色 31"/>
    <w:autoRedefine/>
    <w:semiHidden/>
    <w:qFormat/>
    <w:uiPriority w:val="99"/>
    <w:rPr>
      <w:rFonts w:ascii="Times New Roman" w:hAnsi="Times New Roman" w:eastAsia="宋体" w:cs="Times New Roman"/>
      <w:kern w:val="2"/>
      <w:sz w:val="21"/>
      <w:szCs w:val="24"/>
      <w:lang w:val="en-US" w:eastAsia="zh-CN" w:bidi="ar-SA"/>
    </w:rPr>
  </w:style>
  <w:style w:type="paragraph" w:customStyle="1" w:styleId="496">
    <w:name w:val="Plain Text1"/>
    <w:basedOn w:val="1"/>
    <w:autoRedefine/>
    <w:qFormat/>
    <w:uiPriority w:val="0"/>
    <w:pPr>
      <w:autoSpaceDE w:val="0"/>
      <w:autoSpaceDN w:val="0"/>
      <w:adjustRightInd w:val="0"/>
      <w:spacing w:line="360" w:lineRule="auto"/>
    </w:pPr>
    <w:rPr>
      <w:rFonts w:hint="eastAsia" w:ascii="宋体" w:hAnsi="宋体"/>
      <w:sz w:val="24"/>
      <w:szCs w:val="20"/>
    </w:rPr>
  </w:style>
  <w:style w:type="paragraph" w:customStyle="1" w:styleId="497">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498">
    <w:name w:val="项目编号B"/>
    <w:next w:val="312"/>
    <w:autoRedefine/>
    <w:qFormat/>
    <w:uiPriority w:val="99"/>
    <w:pPr>
      <w:tabs>
        <w:tab w:val="left" w:pos="720"/>
      </w:tabs>
      <w:spacing w:after="120" w:line="360" w:lineRule="auto"/>
      <w:ind w:left="720" w:hanging="720"/>
    </w:pPr>
    <w:rPr>
      <w:rFonts w:ascii="Arial" w:hAnsi="Arial" w:eastAsia="宋体" w:cs="Times New Roman"/>
      <w:sz w:val="24"/>
      <w:szCs w:val="24"/>
      <w:lang w:val="en-US" w:eastAsia="zh-CN" w:bidi="ar-SA"/>
    </w:rPr>
  </w:style>
  <w:style w:type="paragraph" w:customStyle="1" w:styleId="499">
    <w:name w:val="InfoBlue"/>
    <w:basedOn w:val="1"/>
    <w:next w:val="26"/>
    <w:autoRedefine/>
    <w:qFormat/>
    <w:uiPriority w:val="0"/>
    <w:pPr>
      <w:spacing w:after="120" w:afterLines="50"/>
      <w:ind w:left="720"/>
      <w:jc w:val="left"/>
    </w:pPr>
    <w:rPr>
      <w:rFonts w:ascii="宋体"/>
      <w:i/>
      <w:snapToGrid w:val="0"/>
      <w:color w:val="0000FF"/>
      <w:kern w:val="0"/>
      <w:szCs w:val="20"/>
    </w:rPr>
  </w:style>
  <w:style w:type="paragraph" w:customStyle="1" w:styleId="500">
    <w:name w:val="xl106"/>
    <w:basedOn w:val="1"/>
    <w:autoRedefine/>
    <w:qFormat/>
    <w:uiPriority w:val="0"/>
    <w:pPr>
      <w:widowControl/>
      <w:shd w:val="clear" w:color="000000" w:fill="FFFFFF"/>
      <w:spacing w:before="100" w:beforeAutospacing="1" w:after="100" w:afterAutospacing="1"/>
      <w:jc w:val="right"/>
    </w:pPr>
    <w:rPr>
      <w:rFonts w:ascii="宋体" w:hAnsi="宋体" w:cs="宋体"/>
      <w:b/>
      <w:bCs/>
      <w:kern w:val="0"/>
      <w:sz w:val="20"/>
      <w:szCs w:val="20"/>
    </w:rPr>
  </w:style>
  <w:style w:type="paragraph" w:customStyle="1" w:styleId="501">
    <w:name w:val="_Style 13"/>
    <w:basedOn w:val="1"/>
    <w:autoRedefine/>
    <w:qFormat/>
    <w:uiPriority w:val="0"/>
    <w:pPr>
      <w:widowControl/>
      <w:spacing w:after="160" w:line="240" w:lineRule="exact"/>
      <w:jc w:val="left"/>
    </w:pPr>
    <w:rPr>
      <w:szCs w:val="20"/>
    </w:rPr>
  </w:style>
  <w:style w:type="paragraph" w:customStyle="1" w:styleId="502">
    <w:name w:val="xl84"/>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503">
    <w:name w:val="四号"/>
    <w:basedOn w:val="1"/>
    <w:next w:val="15"/>
    <w:autoRedefine/>
    <w:qFormat/>
    <w:uiPriority w:val="99"/>
    <w:pPr>
      <w:adjustRightInd w:val="0"/>
      <w:spacing w:line="312" w:lineRule="atLeast"/>
      <w:ind w:firstLine="420"/>
      <w:textAlignment w:val="baseline"/>
    </w:pPr>
    <w:rPr>
      <w:kern w:val="0"/>
      <w:szCs w:val="20"/>
    </w:rPr>
  </w:style>
  <w:style w:type="paragraph" w:customStyle="1" w:styleId="504">
    <w:name w:val="xl42"/>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color w:val="000000"/>
      <w:kern w:val="0"/>
      <w:sz w:val="18"/>
      <w:szCs w:val="18"/>
    </w:rPr>
  </w:style>
  <w:style w:type="paragraph" w:customStyle="1" w:styleId="505">
    <w:name w:val="样式6"/>
    <w:basedOn w:val="1"/>
    <w:autoRedefine/>
    <w:qFormat/>
    <w:uiPriority w:val="0"/>
    <w:pPr>
      <w:adjustRightInd w:val="0"/>
      <w:spacing w:before="120" w:beforeLines="50" w:after="120" w:afterLines="50"/>
      <w:ind w:firstLine="669"/>
      <w:textAlignment w:val="baseline"/>
    </w:pPr>
    <w:rPr>
      <w:rFonts w:ascii="宋体" w:hAnsi="宋体"/>
      <w:kern w:val="0"/>
      <w:sz w:val="28"/>
      <w:szCs w:val="20"/>
    </w:rPr>
  </w:style>
  <w:style w:type="paragraph" w:customStyle="1" w:styleId="506">
    <w:name w:val="font6"/>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507">
    <w:name w:val=" Char2"/>
    <w:basedOn w:val="1"/>
    <w:autoRedefine/>
    <w:qFormat/>
    <w:uiPriority w:val="0"/>
    <w:pPr>
      <w:tabs>
        <w:tab w:val="left" w:pos="432"/>
      </w:tabs>
      <w:spacing w:before="50" w:beforeLines="50" w:after="50" w:afterLines="50"/>
      <w:ind w:left="432" w:hanging="432"/>
    </w:pPr>
    <w:rPr>
      <w:sz w:val="24"/>
    </w:rPr>
  </w:style>
  <w:style w:type="paragraph" w:customStyle="1" w:styleId="508">
    <w:name w:val="Char Char Char Char1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09">
    <w:name w:val="4级标题"/>
    <w:basedOn w:val="129"/>
    <w:autoRedefine/>
    <w:qFormat/>
    <w:uiPriority w:val="0"/>
    <w:pPr>
      <w:keepLines/>
      <w:widowControl w:val="0"/>
      <w:adjustRightInd/>
      <w:snapToGrid/>
      <w:spacing w:after="0" w:line="360" w:lineRule="auto"/>
      <w:ind w:firstLine="0" w:firstLineChars="0"/>
      <w:contextualSpacing/>
      <w:outlineLvl w:val="3"/>
    </w:pPr>
    <w:rPr>
      <w:rFonts w:ascii="黑体" w:hAnsi="黑体" w:eastAsia="黑体"/>
      <w:sz w:val="24"/>
      <w:szCs w:val="24"/>
      <w:lang w:eastAsia="en-US" w:bidi="en-US"/>
    </w:rPr>
  </w:style>
  <w:style w:type="paragraph" w:customStyle="1" w:styleId="510">
    <w:name w:val="xl101"/>
    <w:basedOn w:val="1"/>
    <w:autoRedefine/>
    <w:qFormat/>
    <w:uiPriority w:val="0"/>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11">
    <w:name w:val="pagehead"/>
    <w:basedOn w:val="1"/>
    <w:autoRedefine/>
    <w:qFormat/>
    <w:uiPriority w:val="99"/>
    <w:pPr>
      <w:widowControl/>
      <w:spacing w:before="100" w:beforeAutospacing="1" w:after="100" w:afterAutospacing="1"/>
      <w:jc w:val="left"/>
    </w:pPr>
    <w:rPr>
      <w:rFonts w:ascii="宋体" w:hAnsi="宋体"/>
      <w:b/>
      <w:bCs/>
      <w:color w:val="006699"/>
      <w:kern w:val="0"/>
      <w:sz w:val="18"/>
      <w:szCs w:val="18"/>
    </w:rPr>
  </w:style>
  <w:style w:type="paragraph" w:customStyle="1" w:styleId="512">
    <w:name w:val="样式 样式3 + 宋体 五号 Char Char Char"/>
    <w:basedOn w:val="1"/>
    <w:autoRedefine/>
    <w:qFormat/>
    <w:uiPriority w:val="0"/>
    <w:pPr>
      <w:keepNext/>
      <w:keepLines/>
      <w:tabs>
        <w:tab w:val="left" w:pos="1050"/>
      </w:tabs>
      <w:ind w:left="1050" w:hanging="450"/>
      <w:jc w:val="left"/>
      <w:outlineLvl w:val="7"/>
    </w:pPr>
    <w:rPr>
      <w:rFonts w:ascii="宋体" w:hAnsi="宋体"/>
      <w:b/>
      <w:bCs/>
    </w:rPr>
  </w:style>
  <w:style w:type="paragraph" w:customStyle="1" w:styleId="513">
    <w:name w:val="Table - Text"/>
    <w:basedOn w:val="1"/>
    <w:autoRedefine/>
    <w:qFormat/>
    <w:uiPriority w:val="0"/>
    <w:pPr>
      <w:widowControl/>
      <w:spacing w:before="60" w:after="60" w:afterLines="50"/>
      <w:jc w:val="left"/>
    </w:pPr>
    <w:rPr>
      <w:kern w:val="0"/>
      <w:szCs w:val="20"/>
      <w:lang w:eastAsia="en-US"/>
    </w:rPr>
  </w:style>
  <w:style w:type="paragraph" w:customStyle="1" w:styleId="514">
    <w:name w:val="Proposals body"/>
    <w:basedOn w:val="1"/>
    <w:next w:val="1"/>
    <w:autoRedefine/>
    <w:qFormat/>
    <w:uiPriority w:val="0"/>
    <w:pPr>
      <w:widowControl/>
      <w:spacing w:line="360" w:lineRule="auto"/>
      <w:jc w:val="left"/>
    </w:pPr>
    <w:rPr>
      <w:rFonts w:ascii="宋体"/>
      <w:snapToGrid w:val="0"/>
      <w:color w:val="000000"/>
      <w:kern w:val="0"/>
      <w:sz w:val="24"/>
      <w:szCs w:val="20"/>
    </w:rPr>
  </w:style>
  <w:style w:type="paragraph" w:customStyle="1" w:styleId="515">
    <w:name w:val="内容标题2"/>
    <w:basedOn w:val="1"/>
    <w:autoRedefine/>
    <w:qFormat/>
    <w:uiPriority w:val="0"/>
    <w:pPr>
      <w:spacing w:line="240" w:lineRule="atLeast"/>
      <w:ind w:firstLine="200" w:firstLineChars="200"/>
      <w:jc w:val="left"/>
      <w:outlineLvl w:val="1"/>
    </w:pPr>
    <w:rPr>
      <w:rFonts w:ascii="Arial" w:hAnsi="Arial" w:cs="宋体"/>
      <w:kern w:val="0"/>
      <w:sz w:val="24"/>
      <w:szCs w:val="20"/>
    </w:rPr>
  </w:style>
  <w:style w:type="paragraph" w:customStyle="1" w:styleId="516">
    <w:name w:val="附录标识"/>
    <w:basedOn w:val="1"/>
    <w:next w:val="174"/>
    <w:autoRedefine/>
    <w:qFormat/>
    <w:uiPriority w:val="0"/>
    <w:pPr>
      <w:keepNext/>
      <w:widowControl/>
      <w:numPr>
        <w:ilvl w:val="0"/>
        <w:numId w:val="4"/>
      </w:numPr>
      <w:shd w:val="clear" w:color="FFFFFF" w:fill="FFFFFF"/>
      <w:tabs>
        <w:tab w:val="left" w:pos="6405"/>
      </w:tabs>
      <w:spacing w:before="640" w:after="280"/>
      <w:jc w:val="center"/>
      <w:outlineLvl w:val="0"/>
    </w:pPr>
    <w:rPr>
      <w:rFonts w:ascii="黑体" w:eastAsia="黑体"/>
      <w:kern w:val="0"/>
      <w:szCs w:val="20"/>
    </w:rPr>
  </w:style>
  <w:style w:type="paragraph" w:customStyle="1" w:styleId="517">
    <w:name w:val="样式 正文文本缩进 + 仿宋_GB2312 小四 首行缩进:  0 厘米 行距: 1.5 倍行距"/>
    <w:basedOn w:val="16"/>
    <w:autoRedefine/>
    <w:qFormat/>
    <w:uiPriority w:val="0"/>
    <w:pPr>
      <w:spacing w:line="360" w:lineRule="auto"/>
      <w:ind w:firstLine="0"/>
    </w:pPr>
    <w:rPr>
      <w:rFonts w:ascii="仿宋_GB2312" w:hAnsi="Times New Roman" w:eastAsia="新宋体"/>
      <w:spacing w:val="0"/>
      <w:sz w:val="24"/>
    </w:rPr>
  </w:style>
  <w:style w:type="paragraph" w:customStyle="1" w:styleId="518">
    <w:name w:val="xl104"/>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519">
    <w:name w:val="Appendix Heading 1"/>
    <w:basedOn w:val="3"/>
    <w:next w:val="1"/>
    <w:autoRedefine/>
    <w:qFormat/>
    <w:uiPriority w:val="99"/>
    <w:pPr>
      <w:pageBreakBefore/>
      <w:widowControl/>
      <w:numPr>
        <w:ilvl w:val="0"/>
        <w:numId w:val="6"/>
      </w:numPr>
      <w:tabs>
        <w:tab w:val="left" w:pos="-720"/>
        <w:tab w:val="left" w:pos="1531"/>
        <w:tab w:val="left" w:pos="4320"/>
        <w:tab w:val="clear" w:pos="432"/>
      </w:tabs>
      <w:spacing w:before="480" w:after="360" w:line="480" w:lineRule="auto"/>
      <w:ind w:left="4032"/>
      <w:jc w:val="center"/>
    </w:pPr>
    <w:rPr>
      <w:rFonts w:ascii="Times New Roman" w:hAnsi="Times New Roman" w:eastAsia="仿宋_GB2312"/>
      <w:color w:val="000080"/>
      <w:kern w:val="0"/>
      <w:sz w:val="40"/>
      <w:szCs w:val="32"/>
      <w:lang w:val="en-US" w:eastAsia="zh-CN"/>
    </w:rPr>
  </w:style>
  <w:style w:type="paragraph" w:customStyle="1" w:styleId="520">
    <w:name w:val="样式 首行缩进:  0 字符"/>
    <w:basedOn w:val="1"/>
    <w:autoRedefine/>
    <w:qFormat/>
    <w:uiPriority w:val="0"/>
    <w:pPr>
      <w:spacing w:line="360" w:lineRule="auto"/>
      <w:ind w:firstLine="200" w:firstLineChars="200"/>
    </w:pPr>
    <w:rPr>
      <w:rFonts w:cs="宋体"/>
      <w:sz w:val="24"/>
      <w:szCs w:val="20"/>
    </w:rPr>
  </w:style>
  <w:style w:type="paragraph" w:customStyle="1" w:styleId="521">
    <w:name w:val="List Paragraph2"/>
    <w:basedOn w:val="1"/>
    <w:autoRedefine/>
    <w:qFormat/>
    <w:uiPriority w:val="0"/>
    <w:pPr>
      <w:widowControl w:val="0"/>
      <w:pBdr>
        <w:top w:val="none" w:color="FFFFFF" w:sz="0" w:space="31"/>
        <w:left w:val="none" w:color="FFFFFF" w:sz="0" w:space="31"/>
        <w:bottom w:val="none" w:color="FFFFFF" w:sz="0" w:space="31"/>
        <w:right w:val="none" w:color="FFFFFF" w:sz="0" w:space="31"/>
      </w:pBdr>
      <w:ind w:firstLine="420"/>
      <w:jc w:val="both"/>
    </w:pPr>
    <w:rPr>
      <w:rFonts w:eastAsia="Times New Roman" w:cs="Arial Unicode MS"/>
      <w:color w:val="000000"/>
      <w:kern w:val="2"/>
      <w:sz w:val="21"/>
      <w:szCs w:val="21"/>
      <w:u w:val="none" w:color="000000"/>
      <w:lang w:val="en-US" w:eastAsia="zh-CN" w:bidi="ar-SA"/>
    </w:rPr>
  </w:style>
  <w:style w:type="paragraph" w:customStyle="1" w:styleId="522">
    <w:name w:val="Item Step in Table"/>
    <w:autoRedefine/>
    <w:qFormat/>
    <w:uiPriority w:val="99"/>
    <w:pPr>
      <w:tabs>
        <w:tab w:val="left" w:pos="420"/>
      </w:tabs>
      <w:spacing w:before="40" w:after="40"/>
      <w:ind w:left="420" w:hanging="420"/>
      <w:jc w:val="both"/>
    </w:pPr>
    <w:rPr>
      <w:rFonts w:ascii="Arial" w:hAnsi="Arial" w:eastAsia="宋体" w:cs="Arial"/>
      <w:sz w:val="18"/>
      <w:szCs w:val="18"/>
      <w:lang w:val="en-US" w:eastAsia="zh-CN" w:bidi="ar-SA"/>
    </w:rPr>
  </w:style>
  <w:style w:type="paragraph" w:customStyle="1" w:styleId="523">
    <w:name w:val="样式 标题 1 + 五号1 Char Char Char Char Char Char Char Char Char Char Char Char Char Char Char Char Char"/>
    <w:basedOn w:val="3"/>
    <w:autoRedefine/>
    <w:qFormat/>
    <w:uiPriority w:val="0"/>
    <w:pPr>
      <w:keepLines/>
      <w:tabs>
        <w:tab w:val="clear" w:pos="432"/>
      </w:tabs>
      <w:spacing w:line="480" w:lineRule="auto"/>
      <w:ind w:left="0" w:firstLine="0"/>
      <w:jc w:val="center"/>
    </w:pPr>
    <w:rPr>
      <w:rFonts w:ascii="Times New Roman" w:hAnsi="Times New Roman" w:eastAsia="宋体" w:cs="Times New Roman"/>
      <w:bCs/>
      <w:kern w:val="44"/>
      <w:sz w:val="21"/>
      <w:szCs w:val="44"/>
    </w:rPr>
  </w:style>
  <w:style w:type="paragraph" w:customStyle="1" w:styleId="524">
    <w:name w:val="msonormal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5">
    <w:name w:val="xl44"/>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526">
    <w:name w:val="缺省文本"/>
    <w:autoRedefine/>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27">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28">
    <w:name w:val="±í???"/>
    <w:basedOn w:val="1"/>
    <w:autoRedefine/>
    <w:qFormat/>
    <w:uiPriority w:val="99"/>
    <w:pPr>
      <w:widowControl/>
      <w:overflowPunct w:val="0"/>
      <w:autoSpaceDE w:val="0"/>
      <w:autoSpaceDN w:val="0"/>
      <w:adjustRightInd w:val="0"/>
      <w:spacing w:line="300" w:lineRule="auto"/>
      <w:jc w:val="left"/>
      <w:textAlignment w:val="baseline"/>
    </w:pPr>
    <w:rPr>
      <w:kern w:val="0"/>
      <w:sz w:val="18"/>
      <w:szCs w:val="20"/>
    </w:rPr>
  </w:style>
  <w:style w:type="paragraph" w:customStyle="1" w:styleId="529">
    <w:name w:val="样式 左侧:  1 厘米 段后: 0.5 行"/>
    <w:basedOn w:val="1"/>
    <w:autoRedefine/>
    <w:qFormat/>
    <w:uiPriority w:val="0"/>
    <w:pPr>
      <w:spacing w:after="50" w:afterLines="50"/>
      <w:ind w:firstLine="425"/>
      <w:jc w:val="left"/>
    </w:pPr>
    <w:rPr>
      <w:rFonts w:ascii="宋体" w:cs="宋体"/>
      <w:snapToGrid w:val="0"/>
      <w:kern w:val="0"/>
      <w:szCs w:val="20"/>
    </w:rPr>
  </w:style>
  <w:style w:type="paragraph" w:customStyle="1" w:styleId="530">
    <w:name w:val="列出段落2"/>
    <w:basedOn w:val="1"/>
    <w:autoRedefine/>
    <w:unhideWhenUsed/>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531">
    <w:name w:val="Char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32">
    <w:name w:val="文档标题"/>
    <w:basedOn w:val="1"/>
    <w:autoRedefine/>
    <w:qFormat/>
    <w:uiPriority w:val="99"/>
    <w:pPr>
      <w:keepNext/>
      <w:widowControl/>
      <w:tabs>
        <w:tab w:val="left" w:pos="0"/>
      </w:tabs>
      <w:autoSpaceDE w:val="0"/>
      <w:autoSpaceDN w:val="0"/>
      <w:adjustRightInd w:val="0"/>
      <w:spacing w:before="480" w:after="360"/>
      <w:jc w:val="center"/>
    </w:pPr>
    <w:rPr>
      <w:rFonts w:ascii="Arial" w:hAnsi="Arial" w:eastAsia="黑体"/>
      <w:kern w:val="0"/>
      <w:sz w:val="36"/>
      <w:szCs w:val="36"/>
    </w:rPr>
  </w:style>
  <w:style w:type="paragraph" w:customStyle="1" w:styleId="533">
    <w:name w:val="Paragraph1"/>
    <w:basedOn w:val="1"/>
    <w:autoRedefine/>
    <w:qFormat/>
    <w:uiPriority w:val="0"/>
    <w:pPr>
      <w:spacing w:before="80" w:after="50" w:afterLines="50"/>
    </w:pPr>
    <w:rPr>
      <w:rFonts w:ascii="宋体"/>
      <w:snapToGrid w:val="0"/>
      <w:kern w:val="0"/>
      <w:szCs w:val="20"/>
    </w:rPr>
  </w:style>
  <w:style w:type="paragraph" w:customStyle="1" w:styleId="534">
    <w:name w:val="样式7"/>
    <w:basedOn w:val="1"/>
    <w:autoRedefine/>
    <w:qFormat/>
    <w:uiPriority w:val="0"/>
    <w:pPr>
      <w:adjustRightInd w:val="0"/>
      <w:spacing w:before="120" w:beforeLines="50" w:after="120" w:afterLines="50" w:line="360" w:lineRule="auto"/>
      <w:ind w:firstLine="669"/>
      <w:textAlignment w:val="baseline"/>
    </w:pPr>
    <w:rPr>
      <w:rFonts w:ascii="宋体" w:hAnsi="宋体"/>
      <w:kern w:val="0"/>
      <w:sz w:val="28"/>
      <w:szCs w:val="20"/>
    </w:rPr>
  </w:style>
  <w:style w:type="paragraph" w:customStyle="1" w:styleId="535">
    <w:name w:val="样式 宋体 黑色 行距: 1.5 倍行距"/>
    <w:basedOn w:val="1"/>
    <w:autoRedefine/>
    <w:qFormat/>
    <w:uiPriority w:val="0"/>
    <w:pPr>
      <w:spacing w:line="360" w:lineRule="auto"/>
    </w:pPr>
    <w:rPr>
      <w:rFonts w:ascii="宋体" w:hAnsi="宋体" w:cs="宋体"/>
      <w:color w:val="000000"/>
      <w:sz w:val="24"/>
      <w:szCs w:val="20"/>
    </w:rPr>
  </w:style>
  <w:style w:type="paragraph" w:customStyle="1" w:styleId="536">
    <w:name w:val="Paragraph3"/>
    <w:basedOn w:val="1"/>
    <w:autoRedefine/>
    <w:qFormat/>
    <w:uiPriority w:val="0"/>
    <w:pPr>
      <w:spacing w:before="80" w:after="50" w:afterLines="50"/>
      <w:ind w:left="1530"/>
    </w:pPr>
    <w:rPr>
      <w:rFonts w:ascii="宋体"/>
      <w:snapToGrid w:val="0"/>
      <w:kern w:val="0"/>
      <w:szCs w:val="20"/>
    </w:rPr>
  </w:style>
  <w:style w:type="paragraph" w:customStyle="1" w:styleId="537">
    <w:name w:val="xl6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b/>
      <w:bCs/>
      <w:kern w:val="0"/>
      <w:sz w:val="18"/>
      <w:szCs w:val="18"/>
    </w:rPr>
  </w:style>
  <w:style w:type="paragraph" w:customStyle="1" w:styleId="538">
    <w:name w:val="xl26"/>
    <w:basedOn w:val="1"/>
    <w:autoRedefine/>
    <w:qFormat/>
    <w:uiPriority w:val="99"/>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539">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40">
    <w:name w:val="样式 标题 2 + 五号"/>
    <w:basedOn w:val="2"/>
    <w:autoRedefine/>
    <w:qFormat/>
    <w:uiPriority w:val="0"/>
    <w:pPr>
      <w:spacing w:before="0" w:after="0" w:line="240" w:lineRule="auto"/>
    </w:pPr>
    <w:rPr>
      <w:rFonts w:ascii="宋体" w:hAnsi="宋体"/>
      <w:sz w:val="21"/>
    </w:rPr>
  </w:style>
  <w:style w:type="paragraph" w:customStyle="1" w:styleId="541">
    <w:name w:val=" Char"/>
    <w:basedOn w:val="1"/>
    <w:autoRedefine/>
    <w:qFormat/>
    <w:uiPriority w:val="0"/>
    <w:pPr>
      <w:tabs>
        <w:tab w:val="left" w:pos="1200"/>
        <w:tab w:val="left" w:pos="1440"/>
      </w:tabs>
      <w:ind w:left="1200" w:hanging="1275"/>
    </w:pPr>
    <w:rPr>
      <w:sz w:val="24"/>
    </w:rPr>
  </w:style>
  <w:style w:type="paragraph" w:customStyle="1" w:styleId="542">
    <w:name w:val="正文，首行缩进:"/>
    <w:basedOn w:val="1"/>
    <w:autoRedefine/>
    <w:qFormat/>
    <w:uiPriority w:val="99"/>
    <w:pPr>
      <w:spacing w:line="336" w:lineRule="auto"/>
      <w:ind w:firstLine="420" w:firstLineChars="175"/>
      <w:jc w:val="left"/>
    </w:pPr>
    <w:rPr>
      <w:rFonts w:ascii="宋体" w:hAnsi="宋体" w:cs="宋体"/>
      <w:sz w:val="24"/>
      <w:szCs w:val="20"/>
    </w:rPr>
  </w:style>
  <w:style w:type="paragraph" w:customStyle="1" w:styleId="543">
    <w:name w:val="样式 标题 4 + 非加粗"/>
    <w:basedOn w:val="5"/>
    <w:autoRedefine/>
    <w:qFormat/>
    <w:uiPriority w:val="0"/>
    <w:pPr>
      <w:spacing w:before="120" w:after="120" w:line="500" w:lineRule="exact"/>
    </w:pPr>
    <w:rPr>
      <w:rFonts w:eastAsia="宋体"/>
      <w:bCs w:val="0"/>
      <w:spacing w:val="4"/>
      <w:sz w:val="24"/>
      <w:szCs w:val="24"/>
    </w:rPr>
  </w:style>
  <w:style w:type="paragraph" w:customStyle="1" w:styleId="544">
    <w:name w:val="_Style 2"/>
    <w:basedOn w:val="1"/>
    <w:autoRedefine/>
    <w:qFormat/>
    <w:uiPriority w:val="0"/>
    <w:pPr>
      <w:ind w:firstLine="420" w:firstLineChars="200"/>
    </w:pPr>
  </w:style>
  <w:style w:type="paragraph" w:customStyle="1" w:styleId="545">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46">
    <w:name w:val="_Style 8"/>
    <w:basedOn w:val="1"/>
    <w:autoRedefine/>
    <w:qFormat/>
    <w:uiPriority w:val="0"/>
    <w:pPr>
      <w:ind w:firstLine="420" w:firstLineChars="200"/>
    </w:pPr>
    <w:rPr>
      <w:rFonts w:ascii="Calibri" w:hAnsi="Calibri"/>
      <w:szCs w:val="22"/>
    </w:rPr>
  </w:style>
  <w:style w:type="paragraph" w:customStyle="1" w:styleId="547">
    <w:name w:val="附录一级条标题"/>
    <w:basedOn w:val="327"/>
    <w:next w:val="174"/>
    <w:autoRedefine/>
    <w:qFormat/>
    <w:uiPriority w:val="0"/>
    <w:pPr>
      <w:numPr>
        <w:ilvl w:val="2"/>
        <w:numId w:val="4"/>
      </w:numPr>
      <w:autoSpaceDN w:val="0"/>
      <w:spacing w:beforeLines="50" w:afterLines="50"/>
      <w:outlineLvl w:val="2"/>
    </w:pPr>
  </w:style>
  <w:style w:type="paragraph" w:customStyle="1" w:styleId="548">
    <w:name w:val="正文首行缩进两字"/>
    <w:autoRedefine/>
    <w:qFormat/>
    <w:uiPriority w:val="99"/>
    <w:rPr>
      <w:rFonts w:ascii="仿宋" w:hAnsi="仿宋" w:eastAsia="仿宋" w:cs="Times New Roman"/>
      <w:sz w:val="21"/>
      <w:szCs w:val="22"/>
      <w:lang w:val="fr-FR" w:eastAsia="zh-CN" w:bidi="ar-SA"/>
    </w:rPr>
  </w:style>
  <w:style w:type="paragraph" w:customStyle="1" w:styleId="549">
    <w:name w:val="Appendix Heading 3"/>
    <w:basedOn w:val="4"/>
    <w:next w:val="1"/>
    <w:autoRedefine/>
    <w:qFormat/>
    <w:uiPriority w:val="99"/>
    <w:pPr>
      <w:numPr>
        <w:ilvl w:val="2"/>
        <w:numId w:val="6"/>
      </w:numPr>
      <w:pBdr>
        <w:bottom w:val="single" w:color="6666FF" w:sz="4" w:space="1"/>
      </w:pBdr>
      <w:tabs>
        <w:tab w:val="left" w:pos="210"/>
        <w:tab w:val="left" w:pos="720"/>
      </w:tabs>
      <w:spacing w:line="360" w:lineRule="auto"/>
    </w:pPr>
    <w:rPr>
      <w:rFonts w:eastAsia="仿宋_GB2312"/>
      <w:color w:val="0000FF"/>
      <w:kern w:val="0"/>
      <w:sz w:val="28"/>
      <w:szCs w:val="24"/>
      <w:lang w:val="en-US" w:eastAsia="zh-CN"/>
    </w:rPr>
  </w:style>
  <w:style w:type="paragraph" w:customStyle="1" w:styleId="550">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551">
    <w:name w:val="表格(五号)"/>
    <w:basedOn w:val="1"/>
    <w:autoRedefine/>
    <w:qFormat/>
    <w:uiPriority w:val="99"/>
    <w:pPr>
      <w:adjustRightInd w:val="0"/>
      <w:snapToGrid w:val="0"/>
      <w:spacing w:line="300" w:lineRule="auto"/>
      <w:jc w:val="center"/>
    </w:pPr>
    <w:rPr>
      <w:snapToGrid w:val="0"/>
      <w:kern w:val="0"/>
      <w:sz w:val="18"/>
      <w:szCs w:val="20"/>
    </w:rPr>
  </w:style>
  <w:style w:type="paragraph" w:customStyle="1" w:styleId="552">
    <w:name w:val="Char3 Char Char Char"/>
    <w:basedOn w:val="1"/>
    <w:autoRedefine/>
    <w:qFormat/>
    <w:uiPriority w:val="99"/>
    <w:pPr>
      <w:widowControl/>
      <w:spacing w:after="160" w:line="240" w:lineRule="exact"/>
      <w:jc w:val="left"/>
    </w:pPr>
  </w:style>
  <w:style w:type="paragraph" w:customStyle="1" w:styleId="553">
    <w:name w:val="列表内容"/>
    <w:basedOn w:val="1"/>
    <w:next w:val="1"/>
    <w:autoRedefine/>
    <w:qFormat/>
    <w:uiPriority w:val="0"/>
    <w:pPr>
      <w:widowControl/>
      <w:numPr>
        <w:ilvl w:val="0"/>
        <w:numId w:val="9"/>
      </w:numPr>
      <w:tabs>
        <w:tab w:val="left" w:pos="840"/>
      </w:tabs>
      <w:jc w:val="left"/>
    </w:pPr>
    <w:rPr>
      <w:kern w:val="0"/>
      <w:sz w:val="18"/>
    </w:rPr>
  </w:style>
  <w:style w:type="paragraph" w:customStyle="1" w:styleId="554">
    <w:name w:val="样式 样式 标题 4 + 段后: 0.5 行 + 段后: 0.5 行"/>
    <w:basedOn w:val="267"/>
    <w:autoRedefine/>
    <w:qFormat/>
    <w:uiPriority w:val="0"/>
  </w:style>
  <w:style w:type="paragraph" w:customStyle="1" w:styleId="555">
    <w:name w:val="基本正文"/>
    <w:autoRedefine/>
    <w:qFormat/>
    <w:uiPriority w:val="99"/>
    <w:pPr>
      <w:widowControl w:val="0"/>
      <w:spacing w:before="60" w:after="60"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556">
    <w:name w:val="正文段"/>
    <w:basedOn w:val="1"/>
    <w:autoRedefine/>
    <w:qFormat/>
    <w:uiPriority w:val="99"/>
    <w:pPr>
      <w:widowControl/>
      <w:snapToGrid w:val="0"/>
      <w:spacing w:after="156" w:afterLines="50"/>
      <w:ind w:firstLine="200" w:firstLineChars="200"/>
    </w:pPr>
    <w:rPr>
      <w:kern w:val="0"/>
      <w:sz w:val="24"/>
      <w:szCs w:val="20"/>
    </w:rPr>
  </w:style>
  <w:style w:type="paragraph" w:customStyle="1" w:styleId="557">
    <w:name w:val="Char Char Char"/>
    <w:basedOn w:val="1"/>
    <w:autoRedefine/>
    <w:qFormat/>
    <w:uiPriority w:val="99"/>
    <w:rPr>
      <w:rFonts w:ascii="Tahoma" w:hAnsi="Tahoma"/>
      <w:sz w:val="24"/>
      <w:szCs w:val="20"/>
    </w:rPr>
  </w:style>
  <w:style w:type="paragraph" w:customStyle="1" w:styleId="558">
    <w:name w:val="首行缩进"/>
    <w:basedOn w:val="1"/>
    <w:autoRedefine/>
    <w:qFormat/>
    <w:uiPriority w:val="0"/>
    <w:pPr>
      <w:widowControl/>
      <w:tabs>
        <w:tab w:val="left" w:pos="822"/>
      </w:tabs>
      <w:snapToGrid w:val="0"/>
      <w:spacing w:before="40" w:after="40" w:line="300" w:lineRule="atLeast"/>
      <w:ind w:left="1701"/>
    </w:pPr>
    <w:rPr>
      <w:rFonts w:ascii="Arial" w:hAnsi="Arial"/>
      <w:kern w:val="0"/>
      <w:szCs w:val="20"/>
    </w:rPr>
  </w:style>
  <w:style w:type="paragraph" w:customStyle="1" w:styleId="559">
    <w:name w:val="xl47"/>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560">
    <w:name w:val="nav_title_9_16"/>
    <w:basedOn w:val="1"/>
    <w:autoRedefine/>
    <w:qFormat/>
    <w:uiPriority w:val="99"/>
    <w:pPr>
      <w:widowControl/>
      <w:spacing w:before="100" w:beforeAutospacing="1" w:after="100" w:afterAutospacing="1" w:line="320" w:lineRule="atLeast"/>
      <w:jc w:val="left"/>
    </w:pPr>
    <w:rPr>
      <w:rFonts w:ascii="宋体" w:hAnsi="宋体" w:cs="宋体"/>
      <w:color w:val="000000"/>
      <w:kern w:val="0"/>
      <w:sz w:val="18"/>
      <w:szCs w:val="18"/>
    </w:rPr>
  </w:style>
  <w:style w:type="paragraph" w:customStyle="1" w:styleId="561">
    <w:name w:val=" Char Char Char Char Char Char Char Char Char Char Char Char Char Char Char Char"/>
    <w:basedOn w:val="1"/>
    <w:autoRedefine/>
    <w:qFormat/>
    <w:uiPriority w:val="0"/>
    <w:pPr>
      <w:tabs>
        <w:tab w:val="left" w:pos="360"/>
      </w:tabs>
    </w:pPr>
    <w:rPr>
      <w:sz w:val="24"/>
    </w:rPr>
  </w:style>
  <w:style w:type="paragraph" w:customStyle="1" w:styleId="562">
    <w:name w:val="xl4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563">
    <w:name w:val="xl8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64">
    <w:name w:val="模块说明"/>
    <w:basedOn w:val="15"/>
    <w:autoRedefine/>
    <w:qFormat/>
    <w:uiPriority w:val="99"/>
    <w:pPr>
      <w:tabs>
        <w:tab w:val="left" w:pos="1531"/>
      </w:tabs>
      <w:spacing w:before="120" w:line="300" w:lineRule="auto"/>
      <w:ind w:firstLine="0"/>
    </w:pPr>
    <w:rPr>
      <w:sz w:val="24"/>
      <w:lang w:val="en-US" w:eastAsia="zh-CN"/>
    </w:rPr>
  </w:style>
  <w:style w:type="paragraph" w:customStyle="1" w:styleId="565">
    <w:name w:val="页面边线"/>
    <w:basedOn w:val="1"/>
    <w:autoRedefine/>
    <w:qFormat/>
    <w:uiPriority w:val="0"/>
    <w:pPr>
      <w:adjustRightInd w:val="0"/>
      <w:spacing w:line="360" w:lineRule="atLeast"/>
      <w:textAlignment w:val="baseline"/>
    </w:pPr>
    <w:rPr>
      <w:rFonts w:ascii="Century" w:hAnsi="Century"/>
      <w:kern w:val="0"/>
      <w:szCs w:val="20"/>
      <w:lang w:eastAsia="ja-JP"/>
    </w:rPr>
  </w:style>
  <w:style w:type="paragraph" w:customStyle="1" w:styleId="566">
    <w:name w:val=".y....×. 3"/>
    <w:basedOn w:val="109"/>
    <w:next w:val="109"/>
    <w:autoRedefine/>
    <w:qFormat/>
    <w:uiPriority w:val="0"/>
    <w:rPr>
      <w:rFonts w:cs="Times New Roman"/>
      <w:sz w:val="24"/>
      <w:szCs w:val="24"/>
    </w:rPr>
  </w:style>
  <w:style w:type="paragraph" w:customStyle="1" w:styleId="567">
    <w:name w:val="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 Char Char3"/>
    <w:basedOn w:val="1"/>
    <w:autoRedefine/>
    <w:qFormat/>
    <w:uiPriority w:val="0"/>
  </w:style>
  <w:style w:type="paragraph" w:customStyle="1" w:styleId="569">
    <w:name w:val="标题2"/>
    <w:basedOn w:val="275"/>
    <w:autoRedefine/>
    <w:qFormat/>
    <w:uiPriority w:val="99"/>
    <w:pPr>
      <w:spacing w:line="240" w:lineRule="auto"/>
      <w:ind w:firstLine="200" w:firstLineChars="200"/>
    </w:pPr>
    <w:rPr>
      <w:rFonts w:ascii="Times New Roman" w:hAnsi="Times New Roman" w:eastAsia="黑体"/>
      <w:b w:val="0"/>
      <w:sz w:val="32"/>
      <w:szCs w:val="24"/>
    </w:rPr>
  </w:style>
  <w:style w:type="paragraph" w:customStyle="1" w:styleId="570">
    <w:name w:val="Char"/>
    <w:basedOn w:val="1"/>
    <w:autoRedefine/>
    <w:qFormat/>
    <w:uiPriority w:val="99"/>
    <w:pPr>
      <w:widowControl/>
      <w:spacing w:after="160" w:afterLines="0" w:line="240" w:lineRule="exact"/>
      <w:jc w:val="left"/>
    </w:pPr>
    <w:rPr>
      <w:rFonts w:ascii="Verdana" w:hAnsi="Verdana"/>
      <w:kern w:val="0"/>
      <w:sz w:val="20"/>
      <w:szCs w:val="20"/>
      <w:lang w:eastAsia="en-US"/>
    </w:rPr>
  </w:style>
  <w:style w:type="paragraph" w:customStyle="1" w:styleId="571">
    <w:name w:val="Table - Col. Head"/>
    <w:basedOn w:val="1"/>
    <w:autoRedefine/>
    <w:qFormat/>
    <w:uiPriority w:val="0"/>
    <w:pPr>
      <w:keepNext/>
      <w:widowControl/>
      <w:spacing w:before="60" w:after="60" w:afterLines="50"/>
      <w:jc w:val="left"/>
    </w:pPr>
    <w:rPr>
      <w:rFonts w:ascii="Arial" w:hAnsi="Arial"/>
      <w:b/>
      <w:kern w:val="0"/>
      <w:sz w:val="18"/>
      <w:szCs w:val="20"/>
      <w:lang w:eastAsia="en-US"/>
    </w:rPr>
  </w:style>
  <w:style w:type="paragraph" w:customStyle="1" w:styleId="572">
    <w:name w:val="a6"/>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573">
    <w:name w:val="样式 标题 2Chapter X.X. Statementh22Header 2l2Level 2 Headhea..."/>
    <w:basedOn w:val="2"/>
    <w:autoRedefine/>
    <w:qFormat/>
    <w:uiPriority w:val="0"/>
    <w:pPr>
      <w:keepLines w:val="0"/>
      <w:spacing w:before="120" w:after="50" w:afterLines="50" w:line="240" w:lineRule="auto"/>
      <w:jc w:val="left"/>
    </w:pPr>
    <w:rPr>
      <w:rFonts w:ascii="宋体" w:hAnsi="Times New Roman" w:cs="宋体"/>
      <w:snapToGrid w:val="0"/>
      <w:kern w:val="0"/>
      <w:sz w:val="24"/>
      <w:szCs w:val="24"/>
    </w:rPr>
  </w:style>
  <w:style w:type="paragraph" w:customStyle="1" w:styleId="574">
    <w:name w:val="标准标题1"/>
    <w:basedOn w:val="3"/>
    <w:autoRedefine/>
    <w:qFormat/>
    <w:uiPriority w:val="0"/>
    <w:pPr>
      <w:keepLines/>
      <w:pageBreakBefore/>
      <w:tabs>
        <w:tab w:val="left" w:pos="1080"/>
        <w:tab w:val="clear" w:pos="432"/>
      </w:tabs>
      <w:spacing w:before="340" w:after="330" w:line="360" w:lineRule="auto"/>
      <w:ind w:left="425" w:hanging="425"/>
      <w:jc w:val="center"/>
    </w:pPr>
    <w:rPr>
      <w:rFonts w:ascii="Times New Roman" w:hAnsi="Times New Roman" w:eastAsia="仿宋_GB2312" w:cs="Times New Roman"/>
      <w:bCs/>
      <w:kern w:val="44"/>
      <w:sz w:val="32"/>
      <w:szCs w:val="44"/>
    </w:rPr>
  </w:style>
  <w:style w:type="paragraph" w:customStyle="1" w:styleId="575">
    <w:name w:val="正文 + 宋体"/>
    <w:basedOn w:val="1"/>
    <w:autoRedefine/>
    <w:qFormat/>
    <w:uiPriority w:val="99"/>
    <w:pPr>
      <w:spacing w:line="360" w:lineRule="auto"/>
      <w:ind w:firstLine="360" w:firstLineChars="150"/>
    </w:pPr>
    <w:rPr>
      <w:rFonts w:ascii="宋体" w:hAnsi="宋体"/>
      <w:sz w:val="24"/>
      <w:u w:val="single"/>
    </w:rPr>
  </w:style>
  <w:style w:type="paragraph" w:customStyle="1" w:styleId="576">
    <w:name w:val="xl100"/>
    <w:basedOn w:val="1"/>
    <w:autoRedefine/>
    <w:qFormat/>
    <w:uiPriority w:val="0"/>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77">
    <w:name w:val="文档正文"/>
    <w:basedOn w:val="1"/>
    <w:autoRedefine/>
    <w:qFormat/>
    <w:uiPriority w:val="99"/>
    <w:pPr>
      <w:adjustRightInd w:val="0"/>
      <w:spacing w:line="440" w:lineRule="exact"/>
      <w:ind w:firstLine="567"/>
      <w:textAlignment w:val="baseline"/>
    </w:pPr>
    <w:rPr>
      <w:rFonts w:ascii="Arial Narrow" w:hAnsi="Arial Narrow"/>
      <w:kern w:val="0"/>
      <w:sz w:val="24"/>
    </w:rPr>
  </w:style>
  <w:style w:type="paragraph" w:customStyle="1" w:styleId="578">
    <w:name w:val="123"/>
    <w:basedOn w:val="1"/>
    <w:autoRedefine/>
    <w:qFormat/>
    <w:uiPriority w:val="99"/>
    <w:pPr>
      <w:spacing w:before="120"/>
      <w:ind w:firstLine="425"/>
    </w:pPr>
    <w:rPr>
      <w:szCs w:val="20"/>
    </w:rPr>
  </w:style>
  <w:style w:type="paragraph" w:customStyle="1" w:styleId="579">
    <w:name w:val="xl94"/>
    <w:basedOn w:val="1"/>
    <w:autoRedefine/>
    <w:qFormat/>
    <w:uiPriority w:val="0"/>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80">
    <w:name w:val="样式 标题 3Chapter X.X.X. + 段后: 0.5 行1"/>
    <w:basedOn w:val="4"/>
    <w:next w:val="1"/>
    <w:autoRedefine/>
    <w:qFormat/>
    <w:uiPriority w:val="0"/>
    <w:pPr>
      <w:keepLines w:val="0"/>
      <w:spacing w:before="120" w:after="120" w:afterLines="50" w:line="240" w:lineRule="auto"/>
      <w:jc w:val="left"/>
    </w:pPr>
    <w:rPr>
      <w:rFonts w:ascii="宋体" w:cs="宋体"/>
      <w:snapToGrid w:val="0"/>
      <w:kern w:val="0"/>
      <w:sz w:val="24"/>
      <w:szCs w:val="20"/>
    </w:rPr>
  </w:style>
  <w:style w:type="paragraph" w:customStyle="1" w:styleId="581">
    <w:name w:val="xl105"/>
    <w:basedOn w:val="1"/>
    <w:autoRedefine/>
    <w:qFormat/>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82">
    <w:name w:val="xl2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583">
    <w:name w:val="正文缩进1"/>
    <w:basedOn w:val="1"/>
    <w:autoRedefine/>
    <w:qFormat/>
    <w:uiPriority w:val="99"/>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584">
    <w:name w:val="我的正文"/>
    <w:basedOn w:val="1"/>
    <w:autoRedefine/>
    <w:qFormat/>
    <w:uiPriority w:val="0"/>
    <w:pPr>
      <w:spacing w:line="400" w:lineRule="exact"/>
      <w:ind w:firstLine="200" w:firstLineChars="200"/>
    </w:pPr>
    <w:rPr>
      <w:rFonts w:ascii="Tahoma" w:hAnsi="Tahoma"/>
      <w:sz w:val="24"/>
      <w:szCs w:val="20"/>
    </w:rPr>
  </w:style>
  <w:style w:type="paragraph" w:customStyle="1" w:styleId="585">
    <w:name w:val="±í??"/>
    <w:basedOn w:val="1"/>
    <w:autoRedefine/>
    <w:qFormat/>
    <w:uiPriority w:val="99"/>
    <w:pPr>
      <w:widowControl/>
      <w:overflowPunct w:val="0"/>
      <w:autoSpaceDE w:val="0"/>
      <w:autoSpaceDN w:val="0"/>
      <w:adjustRightInd w:val="0"/>
      <w:spacing w:line="300" w:lineRule="auto"/>
      <w:jc w:val="center"/>
      <w:textAlignment w:val="baseline"/>
    </w:pPr>
    <w:rPr>
      <w:kern w:val="0"/>
      <w:sz w:val="18"/>
      <w:szCs w:val="20"/>
    </w:rPr>
  </w:style>
  <w:style w:type="paragraph" w:customStyle="1" w:styleId="586">
    <w:name w:val="表格文字1"/>
    <w:basedOn w:val="1"/>
    <w:autoRedefine/>
    <w:qFormat/>
    <w:uiPriority w:val="99"/>
    <w:pPr>
      <w:spacing w:line="360" w:lineRule="auto"/>
      <w:jc w:val="center"/>
    </w:pPr>
    <w:rPr>
      <w:rFonts w:ascii="宋体"/>
      <w:b/>
      <w:bCs/>
      <w:sz w:val="24"/>
    </w:rPr>
  </w:style>
  <w:style w:type="paragraph" w:customStyle="1" w:styleId="587">
    <w:name w:val="标准标题3"/>
    <w:basedOn w:val="4"/>
    <w:autoRedefine/>
    <w:qFormat/>
    <w:uiPriority w:val="0"/>
    <w:pPr>
      <w:tabs>
        <w:tab w:val="left" w:pos="1050"/>
      </w:tabs>
      <w:spacing w:line="240" w:lineRule="auto"/>
      <w:ind w:leftChars="-258"/>
    </w:pPr>
    <w:rPr>
      <w:rFonts w:eastAsia="仿宋_GB2312"/>
      <w:sz w:val="28"/>
    </w:rPr>
  </w:style>
  <w:style w:type="paragraph" w:customStyle="1" w:styleId="588">
    <w:name w:val="样式1"/>
    <w:basedOn w:val="1"/>
    <w:autoRedefine/>
    <w:qFormat/>
    <w:uiPriority w:val="99"/>
    <w:pPr>
      <w:numPr>
        <w:ilvl w:val="0"/>
        <w:numId w:val="10"/>
      </w:numPr>
      <w:tabs>
        <w:tab w:val="left" w:pos="709"/>
      </w:tabs>
      <w:adjustRightInd w:val="0"/>
    </w:pPr>
    <w:rPr>
      <w:rFonts w:ascii="宋体" w:hAnsi="宋体"/>
      <w:kern w:val="0"/>
      <w:szCs w:val="21"/>
    </w:rPr>
  </w:style>
  <w:style w:type="paragraph" w:customStyle="1" w:styleId="589">
    <w:name w:val="S4-L15-C"/>
    <w:basedOn w:val="1"/>
    <w:autoRedefine/>
    <w:qFormat/>
    <w:uiPriority w:val="0"/>
    <w:pPr>
      <w:spacing w:after="120" w:line="360" w:lineRule="auto"/>
      <w:jc w:val="center"/>
    </w:pPr>
    <w:rPr>
      <w:szCs w:val="21"/>
    </w:rPr>
  </w:style>
  <w:style w:type="paragraph" w:customStyle="1" w:styleId="590">
    <w:name w:val="xl81"/>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91">
    <w:name w:val="Char Char Char Char Char Char Char Char Char Char Char Char Char Char Char Char"/>
    <w:basedOn w:val="1"/>
    <w:autoRedefine/>
    <w:qFormat/>
    <w:uiPriority w:val="0"/>
    <w:pPr>
      <w:tabs>
        <w:tab w:val="left" w:pos="360"/>
      </w:tabs>
    </w:pPr>
    <w:rPr>
      <w:szCs w:val="20"/>
    </w:rPr>
  </w:style>
  <w:style w:type="paragraph" w:customStyle="1" w:styleId="592">
    <w:name w:val="xl85"/>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593">
    <w:name w:val="S4-I-U-L15-No-dot"/>
    <w:basedOn w:val="1"/>
    <w:autoRedefine/>
    <w:qFormat/>
    <w:uiPriority w:val="0"/>
    <w:pPr>
      <w:tabs>
        <w:tab w:val="left" w:pos="1112"/>
      </w:tabs>
      <w:spacing w:after="120" w:line="360" w:lineRule="auto"/>
      <w:ind w:left="1112" w:hanging="420"/>
    </w:pPr>
    <w:rPr>
      <w:i/>
      <w:sz w:val="24"/>
      <w:u w:val="single"/>
    </w:rPr>
  </w:style>
  <w:style w:type="paragraph" w:customStyle="1" w:styleId="594">
    <w:name w:val="正文2"/>
    <w:basedOn w:val="1"/>
    <w:autoRedefine/>
    <w:qFormat/>
    <w:uiPriority w:val="0"/>
    <w:pPr>
      <w:spacing w:before="156" w:beforeLines="50" w:after="156" w:afterLines="50" w:line="360" w:lineRule="auto"/>
      <w:ind w:firstLine="480" w:firstLineChars="200"/>
    </w:pPr>
    <w:rPr>
      <w:rFonts w:ascii="仿宋_GB2312"/>
      <w:sz w:val="24"/>
      <w:szCs w:val="20"/>
    </w:rPr>
  </w:style>
  <w:style w:type="paragraph" w:customStyle="1" w:styleId="595">
    <w:name w:val="xl27"/>
    <w:basedOn w:val="1"/>
    <w:autoRedefine/>
    <w:qFormat/>
    <w:uiPriority w:val="99"/>
    <w:pPr>
      <w:widowControl/>
      <w:shd w:val="clear" w:color="auto" w:fill="FFFFFF"/>
      <w:spacing w:before="100" w:beforeAutospacing="1" w:after="100" w:afterAutospacing="1"/>
      <w:jc w:val="center"/>
      <w:textAlignment w:val="center"/>
    </w:pPr>
    <w:rPr>
      <w:rFonts w:ascii="宋体" w:hAnsi="宋体"/>
      <w:b/>
      <w:bCs/>
      <w:kern w:val="0"/>
      <w:sz w:val="24"/>
    </w:rPr>
  </w:style>
  <w:style w:type="paragraph" w:customStyle="1" w:styleId="596">
    <w:name w:val="样式 样式 正文文本缩进 + 仿宋_GB2312 小四 首行缩进:  0 厘米 行距: 1.5 倍行距 + (中文) 仿宋_GB..."/>
    <w:basedOn w:val="517"/>
    <w:autoRedefine/>
    <w:qFormat/>
    <w:uiPriority w:val="0"/>
    <w:pPr>
      <w:ind w:firstLine="480" w:firstLineChars="200"/>
    </w:pPr>
  </w:style>
  <w:style w:type="paragraph" w:customStyle="1" w:styleId="597">
    <w:name w:val="样式 正文首行缩进 2 + 首行缩进:  2 字符 段前: 0.5 行"/>
    <w:basedOn w:val="64"/>
    <w:autoRedefine/>
    <w:qFormat/>
    <w:uiPriority w:val="99"/>
    <w:pPr>
      <w:adjustRightInd w:val="0"/>
      <w:snapToGrid w:val="0"/>
      <w:spacing w:beforeLines="50" w:line="360" w:lineRule="auto"/>
      <w:ind w:left="900" w:leftChars="0" w:firstLine="0" w:firstLineChars="0"/>
      <w:jc w:val="center"/>
    </w:pPr>
    <w:rPr>
      <w:rFonts w:ascii="Times New Roman" w:hAnsi="Times New Roman" w:cs="宋体"/>
      <w:spacing w:val="0"/>
      <w:sz w:val="36"/>
      <w:szCs w:val="36"/>
      <w:lang w:val="zh-CN" w:eastAsia="zh-CN"/>
    </w:rPr>
  </w:style>
  <w:style w:type="paragraph" w:customStyle="1" w:styleId="598">
    <w:name w:val="xl64"/>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599">
    <w:name w:val="样式 标题 3Chapter X.X.X. + 五号 段后: 0.5 行"/>
    <w:basedOn w:val="4"/>
    <w:autoRedefine/>
    <w:qFormat/>
    <w:uiPriority w:val="0"/>
    <w:pPr>
      <w:keepLines w:val="0"/>
      <w:spacing w:before="120" w:after="120" w:afterLines="50" w:line="240" w:lineRule="auto"/>
      <w:jc w:val="left"/>
    </w:pPr>
    <w:rPr>
      <w:rFonts w:ascii="宋体" w:cs="宋体"/>
      <w:snapToGrid w:val="0"/>
      <w:kern w:val="0"/>
      <w:sz w:val="21"/>
      <w:szCs w:val="20"/>
    </w:rPr>
  </w:style>
  <w:style w:type="paragraph" w:customStyle="1" w:styleId="600">
    <w:name w:val="样式 样式 正文文本缩进 + 仿宋_GB2312 小四 首行缩进:  0 厘米 行距: 1.5 倍行距 + (中文) 仿宋_GB... Char Char"/>
    <w:basedOn w:val="517"/>
    <w:autoRedefine/>
    <w:qFormat/>
    <w:uiPriority w:val="0"/>
    <w:pPr>
      <w:ind w:firstLine="480" w:firstLineChars="200"/>
    </w:pPr>
  </w:style>
  <w:style w:type="paragraph" w:customStyle="1" w:styleId="601">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sz w:val="24"/>
      <w:szCs w:val="24"/>
      <w:u w:val="none" w:color="000000"/>
      <w:lang w:val="en-US" w:eastAsia="zh-CN" w:bidi="ar-SA"/>
    </w:rPr>
  </w:style>
  <w:style w:type="paragraph" w:customStyle="1" w:styleId="602">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16"/>
      <w:szCs w:val="16"/>
    </w:rPr>
  </w:style>
  <w:style w:type="paragraph" w:customStyle="1" w:styleId="603">
    <w:name w:val="xl51"/>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18"/>
      <w:szCs w:val="18"/>
    </w:rPr>
  </w:style>
  <w:style w:type="table" w:customStyle="1" w:styleId="604">
    <w:name w:val="Table Normal1"/>
    <w:autoRedefine/>
    <w:qFormat/>
    <w:uiPriority w:val="99"/>
    <w:rPr>
      <w:lang w:val="en-US" w:eastAsia="zh-CN" w:bidi="ar-SA"/>
    </w:rPr>
    <w:tblPr>
      <w:tblCellMar>
        <w:top w:w="0" w:type="dxa"/>
        <w:left w:w="0" w:type="dxa"/>
        <w:bottom w:w="0" w:type="dxa"/>
        <w:right w:w="0" w:type="dxa"/>
      </w:tblCellMar>
    </w:tblPr>
  </w:style>
  <w:style w:type="table" w:customStyle="1" w:styleId="605">
    <w:name w:val="浅色底纹 - 强调文字颜色 11"/>
    <w:basedOn w:val="65"/>
    <w:autoRedefine/>
    <w:qFormat/>
    <w:uiPriority w:val="99"/>
    <w:rPr>
      <w:color w:val="365F91"/>
    </w:rPr>
    <w:tblPr>
      <w:tblBorders>
        <w:top w:val="single" w:color="4F81BD" w:sz="8" w:space="0"/>
        <w:bottom w:val="single" w:color="4F81BD" w:sz="8" w:space="0"/>
      </w:tblBorders>
    </w:tblPr>
    <w:tblStylePr w:type="firstRow">
      <w:pPr>
        <w:spacing w:beforeLines="0" w:beforeAutospacing="0" w:afterLines="0" w:afterAutospacing="0"/>
      </w:pPr>
      <w:rPr>
        <w:rFonts w:cs="宋体"/>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Lines="0" w:beforeAutospacing="0" w:afterLines="0" w:afterAutospacing="0"/>
      </w:pPr>
      <w:rPr>
        <w:rFonts w:cs="宋体"/>
        <w:b/>
        <w:bCs/>
      </w:rPr>
      <w:tcPr>
        <w:tcBorders>
          <w:top w:val="single" w:color="4F81BD" w:sz="8" w:space="0"/>
          <w:left w:val="single" w:color="4F81BD" w:sz="8" w:space="0"/>
          <w:bottom w:val="nil"/>
          <w:right w:val="nil"/>
          <w:insideH w:val="nil"/>
          <w:insideV w:val="nil"/>
          <w:tl2br w:val="nil"/>
          <w:tr2bl w:val="nil"/>
        </w:tcBorders>
      </w:tcPr>
    </w:tblStylePr>
    <w:tblStylePr w:type="firstCol">
      <w:rPr>
        <w:rFonts w:cs="宋体"/>
        <w:b/>
        <w:bCs/>
      </w:rPr>
    </w:tblStylePr>
    <w:tblStylePr w:type="lastCol">
      <w:rPr>
        <w:rFonts w:cs="宋体"/>
        <w:b/>
        <w:bCs/>
      </w:rPr>
      <w:tcPr>
        <w:tcBorders>
          <w:top w:val="single" w:color="000000" w:sz="8" w:space="0"/>
          <w:left w:val="single" w:color="000000" w:sz="8" w:space="0"/>
          <w:bottom w:val="nil"/>
          <w:right w:val="nil"/>
          <w:insideH w:val="nil"/>
          <w:insideV w:val="nil"/>
          <w:tl2br w:val="nil"/>
          <w:tr2bl w:val="nil"/>
        </w:tcBorders>
      </w:tcPr>
    </w:tblStylePr>
    <w:tblStylePr w:type="band1Vert">
      <w:rPr>
        <w:rFonts w:cs="宋体"/>
      </w:rPr>
      <w:tcPr>
        <w:tcBorders>
          <w:top w:val="nil"/>
          <w:left w:val="nil"/>
          <w:bottom w:val="nil"/>
          <w:right w:val="nil"/>
          <w:insideH w:val="nil"/>
          <w:insideV w:val="nil"/>
          <w:tl2br w:val="nil"/>
          <w:tr2bl w:val="nil"/>
        </w:tcBorders>
        <w:shd w:val="clear" w:color="auto" w:fill="D3DFEE"/>
      </w:tcPr>
    </w:tblStylePr>
    <w:tblStylePr w:type="band1Horz">
      <w:rPr>
        <w:rFonts w:cs="宋体"/>
      </w:rPr>
      <w:tcPr>
        <w:tcBorders>
          <w:top w:val="nil"/>
          <w:left w:val="nil"/>
          <w:bottom w:val="nil"/>
          <w:right w:val="nil"/>
          <w:insideH w:val="nil"/>
          <w:insideV w:val="nil"/>
          <w:tl2br w:val="nil"/>
          <w:tr2bl w:val="nil"/>
        </w:tcBorders>
        <w:shd w:val="clear" w:color="auto" w:fill="D3DFEE"/>
      </w:tcPr>
    </w:tblStylePr>
  </w:style>
  <w:style w:type="character" w:customStyle="1" w:styleId="606">
    <w:name w:val="font81"/>
    <w:autoRedefine/>
    <w:qFormat/>
    <w:uiPriority w:val="0"/>
    <w:rPr>
      <w:rFonts w:hint="eastAsia" w:ascii="宋体" w:hAnsi="宋体" w:eastAsia="宋体" w:cs="宋体"/>
      <w:b/>
      <w:bCs/>
      <w:color w:val="FF0000"/>
      <w:sz w:val="18"/>
      <w:szCs w:val="18"/>
      <w:u w:val="none"/>
    </w:rPr>
  </w:style>
  <w:style w:type="character" w:customStyle="1" w:styleId="607">
    <w:name w:val="NormalCharacter"/>
    <w:autoRedefine/>
    <w:semiHidden/>
    <w:qFormat/>
    <w:uiPriority w:val="0"/>
    <w:rPr>
      <w:kern w:val="2"/>
      <w:sz w:val="21"/>
      <w:szCs w:val="24"/>
      <w:lang w:val="en-US" w:eastAsia="zh-CN" w:bidi="ar-SA"/>
    </w:rPr>
  </w:style>
  <w:style w:type="character" w:customStyle="1" w:styleId="608">
    <w:name w:val="font112"/>
    <w:basedOn w:val="69"/>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png"/><Relationship Id="rId67" Type="http://schemas.openxmlformats.org/officeDocument/2006/relationships/image" Target="media/image62.jpeg"/><Relationship Id="rId66" Type="http://schemas.openxmlformats.org/officeDocument/2006/relationships/image" Target="media/image61.png"/><Relationship Id="rId65" Type="http://schemas.openxmlformats.org/officeDocument/2006/relationships/image" Target="media/image60.jpe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36479</Words>
  <Characters>41307</Characters>
  <Lines>234</Lines>
  <Paragraphs>66</Paragraphs>
  <TotalTime>0</TotalTime>
  <ScaleCrop>false</ScaleCrop>
  <LinksUpToDate>false</LinksUpToDate>
  <CharactersWithSpaces>45821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2023-06-08T10:17:00Z</dcterms:created>
  <dc:creator>vilibook</dc:creator>
  <cp:lastModifiedBy>韦亮</cp:lastModifiedBy>
  <cp:lastPrinted>2024-09-29T11:35:00Z</cp:lastPrinted>
  <dcterms:modified xsi:type="dcterms:W3CDTF">2024-09-30T08:15:41Z</dcterms:modified>
  <dc:title>浙江泰宁建设工程管理咨询有限公司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91FC1311465046CB9044682F8E306576_13</vt:lpwstr>
  </property>
  <property fmtid="{D5CDD505-2E9C-101B-9397-08002B2CF9AE}" pid="4" name="MSIP_Label_2988f0a4-524a-45f2-829d-417725fa4957_Enabled">
    <vt:lpwstr>true</vt:lpwstr>
  </property>
  <property fmtid="{D5CDD505-2E9C-101B-9397-08002B2CF9AE}" pid="5" name="MSIP_Label_2988f0a4-524a-45f2-829d-417725fa4957_SetDate">
    <vt:lpwstr>2022-08-06T00:53:10Z</vt:lpwstr>
  </property>
  <property fmtid="{D5CDD505-2E9C-101B-9397-08002B2CF9AE}" pid="6" name="MSIP_Label_2988f0a4-524a-45f2-829d-417725fa4957_Method">
    <vt:lpwstr>Standard</vt:lpwstr>
  </property>
  <property fmtid="{D5CDD505-2E9C-101B-9397-08002B2CF9AE}" pid="7" name="MSIP_Label_2988f0a4-524a-45f2-829d-417725fa4957_Name">
    <vt:lpwstr>2988f0a4-524a-45f2-829d-417725fa4957</vt:lpwstr>
  </property>
  <property fmtid="{D5CDD505-2E9C-101B-9397-08002B2CF9AE}" pid="8" name="MSIP_Label_2988f0a4-524a-45f2-829d-417725fa4957_SiteId">
    <vt:lpwstr>52daf2a9-3b73-4da4-ac6a-3f81adc92b7e</vt:lpwstr>
  </property>
  <property fmtid="{D5CDD505-2E9C-101B-9397-08002B2CF9AE}" pid="9" name="MSIP_Label_2988f0a4-524a-45f2-829d-417725fa4957_ActionId">
    <vt:lpwstr>3fa5505f-757f-4cac-9880-55ccfa70af44</vt:lpwstr>
  </property>
  <property fmtid="{D5CDD505-2E9C-101B-9397-08002B2CF9AE}" pid="10" name="MSIP_Label_2988f0a4-524a-45f2-829d-417725fa4957_ContentBits">
    <vt:lpwstr>0</vt:lpwstr>
  </property>
</Properties>
</file>