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720" w:lineRule="auto"/>
        <w:jc w:val="distribute"/>
        <w:rPr>
          <w:rFonts w:ascii="宋体" w:hAnsi="宋体" w:cs="宋体"/>
          <w:b/>
          <w:spacing w:val="-20"/>
          <w:sz w:val="52"/>
          <w:szCs w:val="52"/>
        </w:rPr>
      </w:pPr>
      <w:r>
        <w:rPr>
          <w:rFonts w:hint="eastAsia"/>
          <w:b/>
          <w:bCs/>
          <w:sz w:val="52"/>
          <w:szCs w:val="52"/>
        </w:rPr>
        <w:t>“新鲜水果进校园，助力学生健康成长”服务采购</w:t>
      </w:r>
      <w:r>
        <w:rPr>
          <w:rFonts w:hint="eastAsia" w:ascii="宋体" w:hAnsi="宋体" w:cs="宋体"/>
          <w:b/>
          <w:bCs/>
          <w:sz w:val="52"/>
          <w:szCs w:val="52"/>
        </w:rPr>
        <w:t>项目</w:t>
      </w:r>
    </w:p>
    <w:p>
      <w:pPr>
        <w:spacing w:before="156" w:beforeLines="50"/>
        <w:jc w:val="center"/>
        <w:rPr>
          <w:rFonts w:ascii="宋体" w:hAnsi="宋体" w:cs="宋体"/>
          <w:b/>
          <w:color w:val="000000"/>
          <w:sz w:val="56"/>
          <w:szCs w:val="56"/>
        </w:rPr>
      </w:pPr>
      <w:r>
        <w:rPr>
          <w:rFonts w:hint="eastAsia" w:ascii="宋体" w:hAnsi="宋体" w:cs="宋体"/>
          <w:b/>
          <w:color w:val="000000"/>
          <w:sz w:val="72"/>
          <w:szCs w:val="72"/>
        </w:rPr>
        <w:t>竞争性磋商文件</w:t>
      </w:r>
    </w:p>
    <w:p>
      <w:pPr>
        <w:snapToGrid w:val="0"/>
        <w:spacing w:before="156" w:beforeLines="50" w:line="360" w:lineRule="auto"/>
        <w:jc w:val="center"/>
        <w:rPr>
          <w:rFonts w:hAnsi="宋体"/>
          <w:b/>
          <w:bCs/>
          <w:sz w:val="30"/>
          <w:szCs w:val="30"/>
        </w:rPr>
      </w:pPr>
      <w:r>
        <w:rPr>
          <w:rFonts w:ascii="宋体"/>
          <w:sz w:val="30"/>
          <w:szCs w:val="72"/>
        </w:rPr>
        <w:drawing>
          <wp:inline distT="0" distB="0" distL="0" distR="0">
            <wp:extent cx="2314575" cy="2095500"/>
            <wp:effectExtent l="19050" t="0" r="9525" b="0"/>
            <wp:docPr id="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igou"/>
                    <pic:cNvPicPr>
                      <a:picLocks noChangeAspect="1" noChangeArrowheads="1"/>
                    </pic:cNvPicPr>
                  </pic:nvPicPr>
                  <pic:blipFill>
                    <a:blip r:embed="rId13"/>
                    <a:srcRect/>
                    <a:stretch>
                      <a:fillRect/>
                    </a:stretch>
                  </pic:blipFill>
                  <pic:spPr>
                    <a:xfrm>
                      <a:off x="0" y="0"/>
                      <a:ext cx="2314575" cy="2095500"/>
                    </a:xfrm>
                    <a:prstGeom prst="rect">
                      <a:avLst/>
                    </a:prstGeom>
                    <a:noFill/>
                    <a:ln w="9525">
                      <a:noFill/>
                      <a:miter lim="800000"/>
                      <a:headEnd/>
                      <a:tailEnd/>
                    </a:ln>
                  </pic:spPr>
                </pic:pic>
              </a:graphicData>
            </a:graphic>
          </wp:inline>
        </w:drawing>
      </w:r>
    </w:p>
    <w:p>
      <w:pPr>
        <w:pStyle w:val="27"/>
        <w:snapToGrid w:val="0"/>
        <w:spacing w:before="312" w:beforeLines="100" w:after="156" w:line="360" w:lineRule="auto"/>
        <w:ind w:firstLine="320" w:firstLineChars="100"/>
        <w:rPr>
          <w:rFonts w:hint="eastAsia" w:hAnsi="宋体" w:eastAsia="宋体"/>
          <w:b/>
          <w:bCs/>
          <w:sz w:val="32"/>
          <w:szCs w:val="32"/>
          <w:lang w:eastAsia="zh-CN"/>
        </w:rPr>
      </w:pPr>
      <w:r>
        <w:rPr>
          <w:rFonts w:hint="eastAsia" w:hAnsi="宋体"/>
          <w:b/>
          <w:bCs/>
          <w:sz w:val="32"/>
          <w:szCs w:val="32"/>
        </w:rPr>
        <w:t>项目编号：</w:t>
      </w:r>
      <w:r>
        <w:rPr>
          <w:rFonts w:hint="eastAsia" w:hAnsi="宋体"/>
          <w:b/>
          <w:bCs/>
          <w:sz w:val="32"/>
          <w:szCs w:val="32"/>
          <w:lang w:eastAsia="zh-CN"/>
        </w:rPr>
        <w:t>JCZFCG2025-Q01-C498</w:t>
      </w:r>
    </w:p>
    <w:p>
      <w:pPr>
        <w:pStyle w:val="27"/>
        <w:snapToGrid w:val="0"/>
        <w:spacing w:before="156" w:after="156" w:line="360" w:lineRule="auto"/>
        <w:ind w:firstLine="320" w:firstLineChars="100"/>
        <w:rPr>
          <w:b/>
          <w:sz w:val="32"/>
          <w:szCs w:val="32"/>
        </w:rPr>
      </w:pPr>
      <w:r>
        <w:rPr>
          <w:rFonts w:hint="eastAsia"/>
          <w:b/>
          <w:bCs/>
          <w:sz w:val="32"/>
          <w:szCs w:val="32"/>
        </w:rPr>
        <w:t>项目名称：“新鲜水果进校园，助力学生健康成长”服务采购</w:t>
      </w:r>
    </w:p>
    <w:p>
      <w:pPr>
        <w:pStyle w:val="27"/>
        <w:snapToGrid w:val="0"/>
        <w:spacing w:before="156" w:after="156" w:line="360" w:lineRule="auto"/>
        <w:ind w:firstLine="320" w:firstLineChars="100"/>
        <w:rPr>
          <w:rFonts w:hint="eastAsia" w:hAnsi="宋体"/>
          <w:b/>
          <w:bCs/>
          <w:sz w:val="32"/>
          <w:szCs w:val="32"/>
          <w:lang w:eastAsia="zh-CN"/>
        </w:rPr>
      </w:pPr>
      <w:r>
        <w:rPr>
          <w:rFonts w:hint="eastAsia" w:hAnsi="宋体"/>
          <w:b/>
          <w:bCs/>
          <w:sz w:val="32"/>
          <w:szCs w:val="32"/>
        </w:rPr>
        <w:t>采购单位：</w:t>
      </w:r>
      <w:r>
        <w:rPr>
          <w:rFonts w:hint="eastAsia" w:hAnsi="宋体"/>
          <w:b/>
          <w:bCs/>
          <w:sz w:val="32"/>
          <w:szCs w:val="32"/>
          <w:lang w:eastAsia="zh-CN"/>
        </w:rPr>
        <w:t>东阳市第三高级中学</w:t>
      </w:r>
    </w:p>
    <w:p>
      <w:pPr>
        <w:pStyle w:val="27"/>
        <w:snapToGrid w:val="0"/>
        <w:spacing w:before="156" w:after="156" w:line="360" w:lineRule="auto"/>
        <w:ind w:firstLine="304" w:firstLineChars="100"/>
        <w:rPr>
          <w:rFonts w:hAnsi="宋体"/>
          <w:b/>
          <w:bCs/>
          <w:sz w:val="30"/>
          <w:szCs w:val="30"/>
        </w:rPr>
      </w:pPr>
      <w:r>
        <w:rPr>
          <w:rFonts w:hint="eastAsia" w:hAnsi="宋体"/>
          <w:b/>
          <w:bCs/>
          <w:w w:val="95"/>
          <w:sz w:val="32"/>
          <w:szCs w:val="32"/>
        </w:rPr>
        <w:t>磋商代理机构：</w:t>
      </w:r>
      <w:r>
        <w:rPr>
          <w:rFonts w:hint="eastAsia" w:hAnsi="宋体"/>
          <w:b/>
          <w:sz w:val="32"/>
          <w:szCs w:val="32"/>
        </w:rPr>
        <w:t>金华市金诚招投标代理有限公司</w:t>
      </w:r>
    </w:p>
    <w:p>
      <w:pPr>
        <w:snapToGrid w:val="0"/>
        <w:spacing w:before="312" w:beforeLines="100" w:line="360" w:lineRule="auto"/>
        <w:jc w:val="center"/>
        <w:rPr>
          <w:rFonts w:ascii="宋体" w:hAnsi="宋体"/>
          <w:b/>
          <w:bCs/>
          <w:sz w:val="32"/>
          <w:szCs w:val="32"/>
        </w:rPr>
      </w:pPr>
      <w:r>
        <w:rPr>
          <w:rFonts w:hint="eastAsia" w:ascii="宋体" w:hAnsi="宋体" w:cs="宋体"/>
          <w:w w:val="95"/>
          <w:sz w:val="32"/>
          <w:szCs w:val="32"/>
        </w:rPr>
        <w:t xml:space="preserve">              </w:t>
      </w:r>
      <w:r>
        <w:rPr>
          <w:rFonts w:hint="eastAsia" w:ascii="宋体" w:hAnsi="宋体"/>
          <w:b/>
          <w:bCs/>
          <w:sz w:val="32"/>
          <w:szCs w:val="32"/>
        </w:rPr>
        <w:t xml:space="preserve">             </w:t>
      </w:r>
    </w:p>
    <w:p>
      <w:pPr>
        <w:snapToGrid w:val="0"/>
        <w:spacing w:before="312" w:beforeLines="100" w:line="360" w:lineRule="auto"/>
        <w:jc w:val="center"/>
        <w:rPr>
          <w:rFonts w:ascii="宋体" w:hAnsi="宋体"/>
          <w:b/>
          <w:bCs/>
          <w:sz w:val="32"/>
          <w:szCs w:val="32"/>
        </w:rPr>
      </w:pPr>
      <w:r>
        <w:rPr>
          <w:rFonts w:hint="eastAsia" w:ascii="宋体" w:hAnsi="宋体"/>
          <w:b/>
          <w:bCs/>
          <w:sz w:val="32"/>
          <w:szCs w:val="32"/>
        </w:rPr>
        <w:t xml:space="preserve">                                       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r>
        <w:rPr>
          <w:rFonts w:hint="eastAsia" w:ascii="宋体" w:hAnsi="宋体"/>
          <w:b/>
          <w:bCs/>
          <w:sz w:val="32"/>
          <w:szCs w:val="32"/>
          <w:lang w:val="en-US" w:eastAsia="zh-CN"/>
        </w:rPr>
        <w:t>31</w:t>
      </w:r>
      <w:r>
        <w:rPr>
          <w:rFonts w:hint="eastAsia" w:ascii="宋体" w:hAnsi="宋体"/>
          <w:b/>
          <w:bCs/>
          <w:sz w:val="32"/>
          <w:szCs w:val="32"/>
        </w:rPr>
        <w:t>日</w:t>
      </w:r>
    </w:p>
    <w:p>
      <w:pPr>
        <w:snapToGrid w:val="0"/>
        <w:spacing w:before="156" w:beforeLines="50" w:line="360" w:lineRule="auto"/>
        <w:jc w:val="center"/>
        <w:rPr>
          <w:rFonts w:ascii="创艺简标宋" w:hAnsi="宋体" w:eastAsia="创艺简标宋"/>
          <w:sz w:val="44"/>
          <w:szCs w:val="44"/>
        </w:rPr>
      </w:pPr>
      <w:r>
        <w:rPr>
          <w:rFonts w:hint="eastAsia" w:ascii="宋体" w:hAnsi="宋体" w:cs="宋体"/>
        </w:rPr>
        <w:br w:type="page"/>
      </w:r>
      <w:r>
        <w:rPr>
          <w:rFonts w:hint="eastAsia" w:ascii="宋体" w:hAnsi="宋体" w:cs="宋体"/>
          <w:b/>
          <w:spacing w:val="42"/>
          <w:sz w:val="46"/>
          <w:szCs w:val="30"/>
        </w:rPr>
        <w:t>磋商文件目录</w:t>
      </w:r>
    </w:p>
    <w:p>
      <w:pPr>
        <w:tabs>
          <w:tab w:val="left" w:pos="2160"/>
        </w:tabs>
        <w:spacing w:line="900" w:lineRule="exact"/>
        <w:ind w:left="539"/>
        <w:jc w:val="left"/>
        <w:rPr>
          <w:rFonts w:ascii="新宋体" w:hAnsi="新宋体" w:eastAsia="新宋体"/>
          <w:sz w:val="32"/>
          <w:szCs w:val="32"/>
        </w:rPr>
      </w:pPr>
      <w:r>
        <w:rPr>
          <w:rFonts w:hint="eastAsia" w:ascii="新宋体" w:hAnsi="新宋体" w:eastAsia="新宋体"/>
          <w:sz w:val="32"/>
          <w:szCs w:val="32"/>
        </w:rPr>
        <w:t>第一章  竞争性磋商公告</w:t>
      </w:r>
    </w:p>
    <w:p>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第二章  供应商须知</w:t>
      </w:r>
    </w:p>
    <w:p>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第三章  采购需求</w:t>
      </w:r>
    </w:p>
    <w:p>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第四章  评审方法</w:t>
      </w:r>
    </w:p>
    <w:p>
      <w:pPr>
        <w:tabs>
          <w:tab w:val="left" w:pos="2160"/>
        </w:tabs>
        <w:spacing w:line="900" w:lineRule="exact"/>
        <w:ind w:left="540"/>
        <w:jc w:val="left"/>
      </w:pPr>
      <w:r>
        <w:rPr>
          <w:rFonts w:hint="eastAsia" w:ascii="新宋体" w:hAnsi="新宋体" w:eastAsia="新宋体"/>
          <w:sz w:val="32"/>
          <w:szCs w:val="32"/>
        </w:rPr>
        <w:t>第五章  附件</w:t>
      </w:r>
    </w:p>
    <w:p>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第六章  采购合同</w:t>
      </w:r>
    </w:p>
    <w:p/>
    <w:p/>
    <w:p/>
    <w:p/>
    <w:p/>
    <w:p/>
    <w:p/>
    <w:p/>
    <w:p>
      <w:pPr>
        <w:spacing w:line="360" w:lineRule="auto"/>
        <w:rPr>
          <w:bCs/>
          <w:sz w:val="30"/>
        </w:rPr>
      </w:pPr>
    </w:p>
    <w:p>
      <w:pPr>
        <w:spacing w:line="360" w:lineRule="auto"/>
        <w:rPr>
          <w:bCs/>
          <w:sz w:val="30"/>
        </w:rPr>
      </w:pPr>
    </w:p>
    <w:p>
      <w:pPr>
        <w:spacing w:line="360" w:lineRule="auto"/>
        <w:rPr>
          <w:bCs/>
          <w:sz w:val="30"/>
        </w:rPr>
      </w:pPr>
    </w:p>
    <w:p>
      <w:pPr>
        <w:spacing w:line="360" w:lineRule="auto"/>
        <w:rPr>
          <w:bCs/>
          <w:sz w:val="30"/>
        </w:rPr>
      </w:pPr>
    </w:p>
    <w:p>
      <w:pPr>
        <w:spacing w:line="360" w:lineRule="auto"/>
        <w:rPr>
          <w:bCs/>
          <w:sz w:val="30"/>
        </w:rPr>
      </w:pPr>
      <w:r>
        <w:rPr>
          <w:rFonts w:hint="eastAsia"/>
          <w:bCs/>
          <w:sz w:val="30"/>
        </w:rPr>
        <w:t>温馨提示：</w:t>
      </w:r>
    </w:p>
    <w:p>
      <w:pPr>
        <w:spacing w:line="360" w:lineRule="auto"/>
        <w:ind w:firstLine="600" w:firstLineChars="200"/>
      </w:pPr>
      <w:r>
        <w:rPr>
          <w:rFonts w:hint="eastAsia"/>
          <w:bCs/>
          <w:sz w:val="30"/>
        </w:rPr>
        <w:t>请认真阅读此竞争性磋商采购文件，并按规定制作竞争性磋商响应文件。磋商响应供应商不得向采购人、代理公司工作人员、评标专家行贿，违者一经查实，</w:t>
      </w:r>
      <w:r>
        <w:rPr>
          <w:rFonts w:hint="eastAsia" w:ascii="宋体" w:hAnsi="宋体" w:cs="宋体"/>
          <w:bCs/>
          <w:sz w:val="30"/>
        </w:rPr>
        <w:t>将依法予以查处！</w:t>
      </w:r>
    </w:p>
    <w:p>
      <w:pPr>
        <w:pStyle w:val="27"/>
        <w:snapToGrid w:val="0"/>
        <w:spacing w:before="156" w:after="156" w:line="360" w:lineRule="auto"/>
        <w:outlineLvl w:val="0"/>
        <w:rPr>
          <w:rFonts w:hAnsi="宋体"/>
        </w:rPr>
        <w:sectPr>
          <w:headerReference r:id="rId3" w:type="first"/>
          <w:footerReference r:id="rId6" w:type="first"/>
          <w:footerReference r:id="rId4" w:type="default"/>
          <w:footerReference r:id="rId5" w:type="even"/>
          <w:type w:val="continuous"/>
          <w:pgSz w:w="11906" w:h="16838"/>
          <w:pgMar w:top="1440" w:right="1417" w:bottom="1440" w:left="1417" w:header="851" w:footer="992" w:gutter="0"/>
          <w:pgNumType w:fmt="numberInDash"/>
          <w:cols w:space="720" w:num="1"/>
          <w:docGrid w:type="linesAndChar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第一章  竞争性磋商公告</w:t>
      </w:r>
    </w:p>
    <w:p>
      <w:pPr>
        <w:pStyle w:val="27"/>
        <w:snapToGrid w:val="0"/>
        <w:spacing w:beforeLines="0" w:afterLines="0" w:line="360" w:lineRule="auto"/>
        <w:ind w:firstLine="480" w:firstLineChars="200"/>
        <w:outlineLvl w:val="0"/>
        <w:rPr>
          <w:rFonts w:hAnsi="宋体" w:cs="宋体"/>
          <w:szCs w:val="24"/>
        </w:rPr>
      </w:pPr>
      <w:r>
        <w:rPr>
          <w:rFonts w:hint="eastAsia" w:hAnsi="宋体" w:cs="宋体"/>
          <w:szCs w:val="24"/>
        </w:rPr>
        <w:t>参照</w:t>
      </w:r>
      <w:r>
        <w:rPr>
          <w:rFonts w:hint="eastAsia" w:hAnsi="宋体" w:cs="宋体"/>
        </w:rPr>
        <w:t>《中华人民共和国政府采购法》、《政府采购货物和服务招标投标管理办法》等相关规定</w:t>
      </w:r>
      <w:r>
        <w:rPr>
          <w:rFonts w:hAnsi="宋体" w:cs="宋体"/>
        </w:rPr>
        <w:t>,</w:t>
      </w:r>
      <w:r>
        <w:rPr>
          <w:rFonts w:hint="eastAsia" w:hAnsi="宋体" w:cs="宋体"/>
          <w:szCs w:val="24"/>
        </w:rPr>
        <w:t>经批准并受</w:t>
      </w:r>
      <w:r>
        <w:rPr>
          <w:rFonts w:hint="eastAsia" w:hAnsi="宋体" w:cs="宋体"/>
          <w:bCs/>
          <w:color w:val="0D0D0D"/>
          <w:szCs w:val="24"/>
          <w:u w:val="single"/>
        </w:rPr>
        <w:t>东阳市第</w:t>
      </w:r>
      <w:r>
        <w:rPr>
          <w:rFonts w:hint="eastAsia" w:hAnsi="宋体" w:cs="宋体"/>
          <w:bCs/>
          <w:color w:val="0D0D0D"/>
          <w:szCs w:val="24"/>
          <w:u w:val="single"/>
          <w:lang w:val="en-US" w:eastAsia="zh-CN"/>
        </w:rPr>
        <w:t>三</w:t>
      </w:r>
      <w:r>
        <w:rPr>
          <w:rFonts w:hint="eastAsia" w:hAnsi="宋体" w:cs="宋体"/>
          <w:bCs/>
          <w:color w:val="0D0D0D"/>
          <w:szCs w:val="24"/>
          <w:u w:val="single"/>
        </w:rPr>
        <w:t>高级中学</w:t>
      </w:r>
      <w:r>
        <w:rPr>
          <w:rFonts w:hint="eastAsia" w:hAnsi="宋体" w:cs="宋体"/>
          <w:color w:val="0D0D0D"/>
          <w:szCs w:val="24"/>
        </w:rPr>
        <w:t>委托</w:t>
      </w:r>
      <w:r>
        <w:rPr>
          <w:rFonts w:hint="eastAsia" w:hAnsi="宋体" w:cs="宋体"/>
          <w:szCs w:val="24"/>
        </w:rPr>
        <w:t>，金华市金诚招投标代理有限公司</w:t>
      </w:r>
      <w:r>
        <w:rPr>
          <w:rFonts w:hint="eastAsia" w:hAnsi="宋体" w:cs="宋体"/>
          <w:color w:val="000000"/>
          <w:szCs w:val="24"/>
        </w:rPr>
        <w:t>就</w:t>
      </w:r>
      <w:r>
        <w:rPr>
          <w:rFonts w:hint="eastAsia" w:hAnsi="宋体" w:cs="宋体"/>
          <w:bCs/>
          <w:szCs w:val="24"/>
          <w:u w:val="single"/>
        </w:rPr>
        <w:t>“新鲜水果进校园，助力学生健康成长”服务采购项目</w:t>
      </w:r>
      <w:r>
        <w:rPr>
          <w:rFonts w:hint="eastAsia" w:hAnsi="宋体" w:cs="宋体"/>
          <w:szCs w:val="24"/>
        </w:rPr>
        <w:t>进行</w:t>
      </w:r>
      <w:r>
        <w:rPr>
          <w:rFonts w:hint="eastAsia" w:hAnsi="宋体" w:cs="宋体"/>
          <w:kern w:val="0"/>
          <w:szCs w:val="24"/>
        </w:rPr>
        <w:t>竞争性磋商采购，</w:t>
      </w:r>
      <w:r>
        <w:rPr>
          <w:rFonts w:hint="eastAsia" w:hAnsi="宋体" w:cs="宋体"/>
        </w:rPr>
        <w:t>欢迎符合条件的合格供应商前来参加磋商。</w:t>
      </w:r>
    </w:p>
    <w:p>
      <w:pPr>
        <w:spacing w:line="360" w:lineRule="auto"/>
        <w:ind w:firstLine="480" w:firstLineChars="200"/>
        <w:rPr>
          <w:rFonts w:hint="eastAsia" w:ascii="宋体" w:hAnsi="宋体" w:eastAsia="宋体" w:cs="宋体"/>
          <w:sz w:val="24"/>
          <w:lang w:eastAsia="zh-CN"/>
        </w:rPr>
      </w:pPr>
      <w:r>
        <w:rPr>
          <w:rFonts w:hint="eastAsia" w:ascii="宋体" w:hAnsi="宋体" w:cs="宋体"/>
          <w:color w:val="0D0D0D"/>
          <w:sz w:val="24"/>
        </w:rPr>
        <w:t>一、</w:t>
      </w:r>
      <w:r>
        <w:rPr>
          <w:rFonts w:hint="eastAsia" w:ascii="宋体" w:hAnsi="宋体" w:cs="宋体"/>
          <w:b/>
          <w:bCs/>
          <w:color w:val="0D0D0D"/>
          <w:sz w:val="24"/>
        </w:rPr>
        <w:t>项目编号：</w:t>
      </w:r>
      <w:r>
        <w:rPr>
          <w:rFonts w:hint="eastAsia" w:ascii="宋体" w:hAnsi="宋体" w:cs="宋体"/>
          <w:sz w:val="24"/>
          <w:lang w:eastAsia="zh-CN"/>
        </w:rPr>
        <w:t>JCZFCG2025-Q01-C498</w:t>
      </w:r>
    </w:p>
    <w:p>
      <w:pPr>
        <w:spacing w:line="360" w:lineRule="auto"/>
        <w:ind w:firstLine="480" w:firstLineChars="200"/>
        <w:rPr>
          <w:rFonts w:ascii="宋体" w:hAnsi="宋体" w:cs="宋体"/>
          <w:sz w:val="24"/>
        </w:rPr>
      </w:pPr>
      <w:r>
        <w:rPr>
          <w:rFonts w:hint="eastAsia" w:ascii="宋体" w:hAnsi="宋体" w:cs="宋体"/>
          <w:color w:val="0D0D0D"/>
          <w:sz w:val="24"/>
        </w:rPr>
        <w:t>二、</w:t>
      </w:r>
      <w:r>
        <w:rPr>
          <w:rFonts w:hint="eastAsia" w:ascii="宋体" w:hAnsi="宋体" w:cs="宋体"/>
          <w:b/>
          <w:bCs/>
          <w:color w:val="0D0D0D"/>
          <w:sz w:val="24"/>
        </w:rPr>
        <w:t>采购组织类型：</w:t>
      </w:r>
      <w:r>
        <w:rPr>
          <w:rFonts w:hint="eastAsia" w:ascii="宋体" w:hAnsi="宋体" w:cs="宋体"/>
          <w:color w:val="0D0D0D"/>
          <w:sz w:val="24"/>
        </w:rPr>
        <w:t>自行</w:t>
      </w:r>
      <w:r>
        <w:rPr>
          <w:rFonts w:hint="eastAsia" w:ascii="宋体" w:hAnsi="宋体" w:cs="宋体"/>
          <w:color w:val="000000"/>
          <w:sz w:val="24"/>
        </w:rPr>
        <w:t>采购委托代理</w:t>
      </w:r>
    </w:p>
    <w:p>
      <w:pPr>
        <w:spacing w:line="360" w:lineRule="auto"/>
        <w:ind w:firstLine="480" w:firstLineChars="200"/>
        <w:rPr>
          <w:rFonts w:ascii="宋体" w:hAnsi="宋体" w:cs="宋体"/>
          <w:b/>
          <w:bCs/>
          <w:sz w:val="24"/>
        </w:rPr>
      </w:pPr>
      <w:r>
        <w:rPr>
          <w:rFonts w:hint="eastAsia" w:ascii="宋体" w:hAnsi="宋体" w:cs="宋体"/>
          <w:b/>
          <w:bCs/>
          <w:color w:val="0D0D0D"/>
          <w:sz w:val="24"/>
        </w:rPr>
        <w:t>三、</w:t>
      </w:r>
      <w:r>
        <w:rPr>
          <w:rFonts w:hint="eastAsia" w:ascii="宋体" w:hAnsi="宋体" w:cs="宋体"/>
          <w:b/>
          <w:bCs/>
          <w:sz w:val="24"/>
        </w:rPr>
        <w:t>采购项目内容及数量</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626"/>
        <w:gridCol w:w="1184"/>
        <w:gridCol w:w="187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20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采购内容</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数量</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sz w:val="24"/>
              </w:rPr>
            </w:pPr>
            <w:r>
              <w:rPr>
                <w:rFonts w:hint="eastAsia" w:ascii="宋体" w:hAnsi="宋体" w:cs="宋体"/>
                <w:sz w:val="24"/>
              </w:rPr>
              <w:t>▲售价折扣率（最高限价）</w:t>
            </w:r>
          </w:p>
        </w:tc>
        <w:tc>
          <w:tcPr>
            <w:tcW w:w="8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3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bookmarkStart w:id="0" w:name="B10_序号"/>
            <w:r>
              <w:rPr>
                <w:rFonts w:hint="eastAsia" w:ascii="宋体" w:hAnsi="宋体" w:cs="宋体"/>
                <w:sz w:val="24"/>
              </w:rPr>
              <w:t>1</w:t>
            </w:r>
            <w:bookmarkEnd w:id="0"/>
          </w:p>
        </w:tc>
        <w:tc>
          <w:tcPr>
            <w:tcW w:w="20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Cs/>
                <w:sz w:val="24"/>
              </w:rPr>
              <w:t>“新鲜水果进校园，助力学生健康成长”服务采购项目</w:t>
            </w:r>
          </w:p>
        </w:tc>
        <w:tc>
          <w:tcPr>
            <w:tcW w:w="6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sz w:val="24"/>
              </w:rPr>
            </w:pPr>
            <w:r>
              <w:rPr>
                <w:rFonts w:hint="eastAsia" w:ascii="宋体" w:hAnsi="宋体" w:cs="宋体"/>
                <w:sz w:val="24"/>
              </w:rPr>
              <w:t>100%</w:t>
            </w:r>
          </w:p>
        </w:tc>
        <w:tc>
          <w:tcPr>
            <w:tcW w:w="8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FF0000"/>
                <w:sz w:val="24"/>
              </w:rPr>
            </w:pPr>
            <w:bookmarkStart w:id="1" w:name="B15_备注"/>
            <w:r>
              <w:rPr>
                <w:rFonts w:hint="eastAsia" w:ascii="宋体" w:hAnsi="宋体" w:cs="宋体"/>
                <w:sz w:val="24"/>
              </w:rPr>
              <w:t>3年</w:t>
            </w:r>
          </w:p>
        </w:tc>
      </w:tr>
      <w:bookmarkEnd w:id="1"/>
    </w:tbl>
    <w:p>
      <w:pPr>
        <w:spacing w:line="360" w:lineRule="auto"/>
        <w:ind w:firstLine="480" w:firstLineChars="200"/>
        <w:rPr>
          <w:rFonts w:ascii="宋体" w:hAnsi="宋体" w:cs="宋体"/>
          <w:sz w:val="24"/>
        </w:rPr>
      </w:pPr>
      <w:r>
        <w:rPr>
          <w:rFonts w:hint="eastAsia" w:ascii="宋体" w:hAnsi="宋体" w:cs="宋体"/>
          <w:b/>
          <w:bCs/>
          <w:sz w:val="24"/>
        </w:rPr>
        <w:t>四、参加磋商供应商资格要求</w:t>
      </w:r>
    </w:p>
    <w:p>
      <w:pP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1、符合《中华人民共和国政府采购法》第二十二条规定的供应商资格条件；</w:t>
      </w:r>
    </w:p>
    <w:p>
      <w:pPr>
        <w:spacing w:line="360" w:lineRule="auto"/>
        <w:ind w:firstLine="480" w:firstLineChars="200"/>
        <w:rPr>
          <w:rFonts w:ascii="宋体" w:hAnsi="宋体" w:cs="宋体"/>
          <w:sz w:val="24"/>
        </w:rPr>
      </w:pPr>
      <w:r>
        <w:rPr>
          <w:rFonts w:hint="eastAsia" w:ascii="宋体" w:hAnsi="宋体" w:cs="宋体"/>
          <w:sz w:val="24"/>
        </w:rPr>
        <w:t>2、本项目仅面向中小型及以下企业可参加磋商。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ascii="宋体" w:hAnsi="宋体" w:cs="宋体"/>
          <w:sz w:val="24"/>
        </w:rPr>
        <w:t>磋商</w:t>
      </w:r>
      <w:r>
        <w:rPr>
          <w:rFonts w:hint="eastAsia" w:ascii="宋体" w:hAnsi="宋体" w:cs="宋体"/>
          <w:sz w:val="24"/>
          <w:shd w:val="clear" w:color="auto" w:fill="FFFFFF"/>
        </w:rPr>
        <w:t>；</w:t>
      </w:r>
    </w:p>
    <w:p>
      <w:pPr>
        <w:snapToGrid w:val="0"/>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pPr>
        <w:spacing w:line="360" w:lineRule="auto"/>
        <w:ind w:firstLine="480" w:firstLineChars="200"/>
        <w:rPr>
          <w:rFonts w:ascii="宋体" w:hAnsi="宋体" w:cs="宋体"/>
          <w:b/>
          <w:bCs/>
          <w:sz w:val="24"/>
        </w:rPr>
      </w:pPr>
      <w:r>
        <w:rPr>
          <w:rFonts w:hint="eastAsia" w:ascii="宋体" w:hAnsi="宋体" w:cs="宋体"/>
          <w:b/>
          <w:bCs/>
          <w:sz w:val="24"/>
        </w:rPr>
        <w:t>五、报名、竞争性磋商文件的发售</w:t>
      </w:r>
    </w:p>
    <w:p>
      <w:pPr>
        <w:spacing w:line="360" w:lineRule="auto"/>
        <w:ind w:firstLine="480" w:firstLineChars="200"/>
        <w:rPr>
          <w:rFonts w:ascii="宋体" w:hAnsi="宋体" w:cs="宋体"/>
          <w:sz w:val="24"/>
        </w:rPr>
      </w:pPr>
      <w:r>
        <w:rPr>
          <w:rFonts w:hint="eastAsia" w:ascii="宋体" w:hAnsi="宋体" w:cs="宋体"/>
          <w:sz w:val="24"/>
        </w:rPr>
        <w:t>1、发售时间：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日至202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rPr>
        <w:t>，上午8:30-11:00；下午14:00-17:30。</w:t>
      </w:r>
    </w:p>
    <w:p>
      <w:pPr>
        <w:spacing w:line="360" w:lineRule="auto"/>
        <w:ind w:left="478" w:leftChars="228"/>
        <w:rPr>
          <w:rFonts w:ascii="宋体" w:hAnsi="宋体" w:cs="宋体"/>
          <w:sz w:val="24"/>
        </w:rPr>
      </w:pPr>
      <w:r>
        <w:rPr>
          <w:rFonts w:hint="eastAsia" w:ascii="宋体" w:hAnsi="宋体" w:cs="宋体"/>
          <w:sz w:val="24"/>
        </w:rPr>
        <w:t>2、发售地点：金华市金诚招投标代理有限公司(东阳市江北街道关山北路20号)。</w:t>
      </w:r>
    </w:p>
    <w:p>
      <w:pPr>
        <w:spacing w:line="360" w:lineRule="auto"/>
        <w:ind w:firstLine="480" w:firstLineChars="200"/>
        <w:rPr>
          <w:rFonts w:ascii="宋体" w:hAnsi="宋体" w:cs="宋体"/>
          <w:sz w:val="24"/>
        </w:rPr>
      </w:pPr>
      <w:r>
        <w:rPr>
          <w:rFonts w:hint="eastAsia" w:ascii="宋体" w:hAnsi="宋体" w:cs="宋体"/>
          <w:sz w:val="24"/>
        </w:rPr>
        <w:t>3、磋商文件售价：磋商文件资料费每套现金</w:t>
      </w:r>
      <w:r>
        <w:rPr>
          <w:rFonts w:hint="eastAsia" w:ascii="宋体" w:hAnsi="宋体" w:cs="宋体"/>
          <w:sz w:val="24"/>
          <w:u w:val="single"/>
        </w:rPr>
        <w:t xml:space="preserve">  / </w:t>
      </w:r>
      <w:r>
        <w:rPr>
          <w:rFonts w:hint="eastAsia" w:ascii="宋体" w:hAnsi="宋体" w:cs="宋体"/>
          <w:sz w:val="24"/>
        </w:rPr>
        <w:t>元，售后不退。</w:t>
      </w:r>
    </w:p>
    <w:p>
      <w:pPr>
        <w:spacing w:line="360" w:lineRule="auto"/>
        <w:ind w:firstLine="480" w:firstLineChars="200"/>
        <w:rPr>
          <w:rFonts w:ascii="宋体" w:hAnsi="宋体" w:cs="宋体"/>
          <w:sz w:val="24"/>
        </w:rPr>
      </w:pPr>
      <w:r>
        <w:rPr>
          <w:rFonts w:hint="eastAsia" w:ascii="宋体" w:hAnsi="宋体" w:cs="宋体"/>
          <w:sz w:val="24"/>
        </w:rPr>
        <w:t>4、磋商响应方未在</w:t>
      </w:r>
      <w:r>
        <w:rPr>
          <w:rFonts w:hint="eastAsia" w:ascii="宋体" w:hAnsi="宋体" w:cs="宋体"/>
          <w:bCs/>
          <w:sz w:val="24"/>
        </w:rPr>
        <w:t>磋商</w:t>
      </w:r>
      <w:r>
        <w:rPr>
          <w:rFonts w:hint="eastAsia" w:ascii="宋体" w:hAnsi="宋体" w:cs="宋体"/>
          <w:sz w:val="24"/>
        </w:rPr>
        <w:t>代理机构办理报名手续的磋商响应文件将被拒收。</w:t>
      </w:r>
    </w:p>
    <w:p>
      <w:pPr>
        <w:spacing w:line="360" w:lineRule="auto"/>
        <w:ind w:firstLine="480" w:firstLineChars="200"/>
        <w:rPr>
          <w:rFonts w:ascii="宋体" w:hAnsi="宋体" w:cs="宋体"/>
          <w:sz w:val="24"/>
        </w:rPr>
      </w:pPr>
      <w:r>
        <w:rPr>
          <w:rFonts w:hint="eastAsia" w:ascii="宋体" w:hAnsi="宋体" w:cs="宋体"/>
          <w:b/>
          <w:bCs/>
          <w:sz w:val="24"/>
        </w:rPr>
        <w:t>六、购买磋商响应文件时应提供以下资料</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ascii="宋体" w:hAnsi="宋体" w:cs="宋体"/>
          <w:sz w:val="24"/>
        </w:rPr>
      </w:pPr>
      <w:r>
        <w:rPr>
          <w:rFonts w:hint="eastAsia" w:ascii="宋体" w:hAnsi="宋体" w:cs="宋体"/>
          <w:sz w:val="24"/>
        </w:rPr>
        <w:t>2、法定代表人授权委托书及经办人身份证复印件；</w:t>
      </w:r>
    </w:p>
    <w:p>
      <w:pPr>
        <w:spacing w:line="360" w:lineRule="auto"/>
        <w:ind w:firstLine="480" w:firstLineChars="200"/>
        <w:rPr>
          <w:rFonts w:ascii="宋体" w:hAnsi="宋体" w:cs="宋体"/>
          <w:sz w:val="24"/>
        </w:rPr>
      </w:pPr>
      <w:r>
        <w:rPr>
          <w:rFonts w:hint="eastAsia" w:ascii="宋体" w:hAnsi="宋体" w:cs="宋体"/>
          <w:sz w:val="24"/>
        </w:rPr>
        <w:t>3、以上复印件均需加盖单位公章。</w:t>
      </w:r>
    </w:p>
    <w:p>
      <w:pPr>
        <w:pStyle w:val="255"/>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rPr>
      </w:pPr>
      <w:r>
        <w:rPr>
          <w:rFonts w:hint="eastAsia" w:ascii="宋体" w:hAnsi="宋体" w:cs="宋体"/>
          <w:b/>
          <w:bCs/>
          <w:sz w:val="24"/>
          <w:lang w:val="en-US" w:eastAsia="zh-CN"/>
        </w:rPr>
        <w:t>七、磋商</w:t>
      </w:r>
      <w:r>
        <w:rPr>
          <w:rFonts w:hint="eastAsia" w:ascii="宋体" w:hAnsi="宋体" w:cs="宋体"/>
          <w:b/>
          <w:bCs/>
          <w:sz w:val="24"/>
        </w:rPr>
        <w:t>保证金</w:t>
      </w:r>
      <w:r>
        <w:rPr>
          <w:rFonts w:hint="eastAsia" w:ascii="宋体" w:hAnsi="宋体" w:cs="宋体"/>
          <w:sz w:val="24"/>
        </w:rPr>
        <w:t>：</w:t>
      </w:r>
    </w:p>
    <w:p>
      <w:pPr>
        <w:pStyle w:val="255"/>
        <w:keepNext w:val="0"/>
        <w:keepLines w:val="0"/>
        <w:pageBreakBefore w:val="0"/>
        <w:kinsoku/>
        <w:wordWrap/>
        <w:overflowPunct/>
        <w:topLinePunct w:val="0"/>
        <w:autoSpaceDE/>
        <w:autoSpaceDN/>
        <w:bidi w:val="0"/>
        <w:adjustRightInd/>
        <w:spacing w:line="500" w:lineRule="exact"/>
        <w:ind w:left="0" w:leftChars="0" w:firstLine="480"/>
        <w:textAlignment w:val="auto"/>
        <w:rPr>
          <w:rFonts w:ascii="宋体" w:hAnsi="宋体" w:cs="宋体"/>
          <w:sz w:val="24"/>
          <w:u w:val="single"/>
        </w:rPr>
      </w:pPr>
      <w:r>
        <w:rPr>
          <w:rFonts w:hint="eastAsia" w:ascii="宋体" w:hAnsi="宋体" w:cs="宋体"/>
          <w:sz w:val="24"/>
          <w:lang w:val="en-US" w:eastAsia="zh-CN"/>
        </w:rPr>
        <w:t>磋商</w:t>
      </w:r>
      <w:r>
        <w:rPr>
          <w:rFonts w:hint="eastAsia" w:ascii="宋体" w:hAnsi="宋体" w:cs="宋体"/>
          <w:sz w:val="24"/>
        </w:rPr>
        <w:t>保证金人民币：</w:t>
      </w:r>
      <w:r>
        <w:rPr>
          <w:rFonts w:hint="eastAsia" w:ascii="宋体" w:hAnsi="宋体" w:cs="宋体"/>
          <w:sz w:val="24"/>
          <w:u w:val="single"/>
        </w:rPr>
        <w:t xml:space="preserve"> </w:t>
      </w:r>
      <w:r>
        <w:rPr>
          <w:rFonts w:hint="eastAsia" w:ascii="宋体" w:hAnsi="宋体" w:cs="宋体"/>
          <w:sz w:val="24"/>
          <w:u w:val="single"/>
          <w:lang w:val="en-US" w:eastAsia="zh-CN"/>
        </w:rPr>
        <w:t>壹万</w:t>
      </w:r>
      <w:r>
        <w:rPr>
          <w:rFonts w:hint="eastAsia" w:ascii="宋体" w:hAnsi="宋体" w:cs="宋体"/>
          <w:sz w:val="24"/>
          <w:u w:val="single"/>
        </w:rPr>
        <w:t>元整</w:t>
      </w:r>
    </w:p>
    <w:p>
      <w:pPr>
        <w:pStyle w:val="255"/>
        <w:keepNext w:val="0"/>
        <w:keepLines w:val="0"/>
        <w:pageBreakBefore w:val="0"/>
        <w:kinsoku/>
        <w:wordWrap/>
        <w:overflowPunct/>
        <w:topLinePunct w:val="0"/>
        <w:autoSpaceDE/>
        <w:autoSpaceDN/>
        <w:bidi w:val="0"/>
        <w:adjustRightInd/>
        <w:spacing w:line="500" w:lineRule="exact"/>
        <w:ind w:left="0" w:leftChars="0" w:firstLine="480"/>
        <w:textAlignment w:val="auto"/>
        <w:rPr>
          <w:rFonts w:ascii="宋体" w:hAnsi="宋体" w:cs="宋体"/>
          <w:sz w:val="24"/>
        </w:rPr>
      </w:pPr>
      <w:r>
        <w:rPr>
          <w:rFonts w:hint="eastAsia" w:ascii="宋体" w:hAnsi="宋体" w:cs="宋体"/>
          <w:sz w:val="24"/>
        </w:rPr>
        <w:t>磋商响应方应于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01 </w:t>
      </w:r>
      <w:r>
        <w:rPr>
          <w:rFonts w:hint="eastAsia" w:ascii="宋体" w:hAnsi="宋体" w:cs="宋体"/>
          <w:sz w:val="24"/>
          <w:u w:val="single"/>
        </w:rPr>
        <w:t>月</w:t>
      </w:r>
      <w:r>
        <w:rPr>
          <w:rFonts w:hint="eastAsia" w:ascii="宋体" w:hAnsi="宋体" w:cs="宋体"/>
          <w:sz w:val="24"/>
          <w:u w:val="single"/>
          <w:lang w:val="en-US" w:eastAsia="zh-CN"/>
        </w:rPr>
        <w:t xml:space="preserve">12 </w:t>
      </w:r>
      <w:r>
        <w:rPr>
          <w:rFonts w:hint="eastAsia" w:ascii="宋体" w:hAnsi="宋体" w:cs="宋体"/>
          <w:sz w:val="24"/>
          <w:u w:val="single"/>
        </w:rPr>
        <w:t>日</w:t>
      </w:r>
      <w:r>
        <w:rPr>
          <w:rFonts w:hint="eastAsia" w:ascii="宋体" w:hAnsi="宋体" w:cs="宋体"/>
          <w:sz w:val="24"/>
        </w:rPr>
        <w:t>下午</w:t>
      </w:r>
      <w:r>
        <w:rPr>
          <w:rFonts w:hint="eastAsia" w:ascii="宋体" w:hAnsi="宋体" w:cs="宋体"/>
          <w:sz w:val="24"/>
          <w:u w:val="single"/>
        </w:rPr>
        <w:t>1</w:t>
      </w:r>
      <w:r>
        <w:rPr>
          <w:rFonts w:hint="eastAsia" w:ascii="宋体" w:hAnsi="宋体" w:cs="宋体"/>
          <w:sz w:val="24"/>
          <w:u w:val="single"/>
          <w:lang w:val="en-US" w:eastAsia="zh-CN"/>
        </w:rPr>
        <w:t>7</w:t>
      </w:r>
      <w:r>
        <w:rPr>
          <w:rFonts w:hint="eastAsia" w:ascii="宋体" w:hAnsi="宋体" w:cs="宋体"/>
          <w:sz w:val="24"/>
          <w:u w:val="single"/>
        </w:rPr>
        <w:t>:00</w:t>
      </w:r>
      <w:r>
        <w:rPr>
          <w:rFonts w:hint="eastAsia" w:ascii="宋体" w:hAnsi="宋体" w:cs="宋体"/>
          <w:sz w:val="24"/>
        </w:rPr>
        <w:t>时前向招标方缴纳磋商保证金，以入账为准</w:t>
      </w:r>
      <w:r>
        <w:rPr>
          <w:rFonts w:hint="eastAsia" w:ascii="宋体" w:hAnsi="宋体" w:cs="宋体"/>
          <w:sz w:val="24"/>
          <w:lang w:eastAsia="zh-CN"/>
        </w:rPr>
        <w:t>。</w:t>
      </w:r>
      <w:r>
        <w:rPr>
          <w:rFonts w:hint="eastAsia" w:ascii="宋体" w:hAnsi="宋体" w:cs="宋体"/>
          <w:sz w:val="24"/>
        </w:rPr>
        <w:t>磋商保证金须由磋商响应方账户汇至：</w:t>
      </w:r>
    </w:p>
    <w:p>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rPr>
      </w:pPr>
      <w:r>
        <w:rPr>
          <w:rFonts w:hint="eastAsia" w:ascii="宋体" w:hAnsi="宋体" w:cs="宋体"/>
          <w:sz w:val="24"/>
        </w:rPr>
        <w:t>账户名称：金华市金诚招投标代理有限公司</w:t>
      </w:r>
    </w:p>
    <w:p>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rPr>
      </w:pPr>
      <w:r>
        <w:rPr>
          <w:rFonts w:hint="eastAsia" w:ascii="宋体" w:hAnsi="宋体" w:cs="宋体"/>
          <w:sz w:val="24"/>
        </w:rPr>
        <w:t>开户银行：兴业银行金华东阳支行</w:t>
      </w:r>
    </w:p>
    <w:p>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u w:val="single"/>
        </w:rPr>
      </w:pPr>
      <w:r>
        <w:rPr>
          <w:rFonts w:hint="eastAsia" w:ascii="宋体" w:hAnsi="宋体" w:cs="宋体"/>
          <w:sz w:val="24"/>
        </w:rPr>
        <w:t>银行账号：</w:t>
      </w:r>
      <w:r>
        <w:rPr>
          <w:rFonts w:hint="eastAsia" w:ascii="宋体" w:hAnsi="宋体" w:cs="宋体"/>
          <w:sz w:val="24"/>
          <w:u w:val="single"/>
        </w:rPr>
        <w:t>356090100100124651</w:t>
      </w:r>
    </w:p>
    <w:p>
      <w:pPr>
        <w:spacing w:line="360" w:lineRule="auto"/>
        <w:ind w:firstLine="480" w:firstLineChars="200"/>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、磋商</w:t>
      </w:r>
      <w:r>
        <w:rPr>
          <w:rFonts w:hint="eastAsia" w:ascii="宋体" w:hAnsi="宋体" w:cs="宋体"/>
          <w:b/>
          <w:bCs/>
          <w:color w:val="000000"/>
          <w:sz w:val="24"/>
        </w:rPr>
        <w:t>响应文件提交截止时间</w:t>
      </w:r>
    </w:p>
    <w:p>
      <w:pPr>
        <w:spacing w:line="360" w:lineRule="auto"/>
        <w:ind w:firstLine="480" w:firstLineChars="200"/>
        <w:rPr>
          <w:rFonts w:ascii="宋体" w:hAnsi="宋体" w:cs="宋体"/>
          <w:sz w:val="24"/>
        </w:rPr>
      </w:pP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日下午14：00</w:t>
      </w:r>
      <w:r>
        <w:rPr>
          <w:rFonts w:hint="eastAsia" w:ascii="宋体" w:hAnsi="宋体" w:cs="宋体"/>
          <w:sz w:val="24"/>
        </w:rPr>
        <w:t>时前将竞争性磋商响应文件密封送交到金华市金诚招投标代理有限公司（东阳市江北街道关山北路20号）开标室，逾期送达或未按要求密封的将被拒绝接受。</w:t>
      </w:r>
    </w:p>
    <w:p>
      <w:pPr>
        <w:spacing w:line="360" w:lineRule="auto"/>
        <w:ind w:firstLine="480" w:firstLineChars="200"/>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、磋商开始时间及地点：</w:t>
      </w:r>
    </w:p>
    <w:p>
      <w:pPr>
        <w:spacing w:line="360" w:lineRule="auto"/>
        <w:ind w:firstLine="470"/>
        <w:rPr>
          <w:rFonts w:ascii="宋体" w:hAnsi="宋体" w:cs="宋体"/>
          <w:sz w:val="24"/>
        </w:rPr>
      </w:pP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日下午14：00</w:t>
      </w:r>
      <w:r>
        <w:rPr>
          <w:rFonts w:hint="eastAsia" w:ascii="宋体" w:hAnsi="宋体" w:cs="宋体"/>
          <w:sz w:val="24"/>
        </w:rPr>
        <w:t>时在金华市金诚招投标代理有限公司（东阳市江北街道关山北路20号）开标室开始磋商。</w:t>
      </w:r>
    </w:p>
    <w:p>
      <w:pPr>
        <w:spacing w:line="360" w:lineRule="auto"/>
        <w:ind w:firstLine="480" w:firstLineChars="200"/>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、发布磋商公告地址：</w:t>
      </w:r>
    </w:p>
    <w:p>
      <w:pPr>
        <w:spacing w:line="360" w:lineRule="auto"/>
        <w:ind w:firstLine="470" w:firstLineChars="196"/>
        <w:rPr>
          <w:rFonts w:ascii="宋体" w:hAnsi="宋体" w:cs="宋体"/>
          <w:sz w:val="24"/>
        </w:rPr>
      </w:pPr>
      <w:r>
        <w:rPr>
          <w:rFonts w:hint="eastAsia" w:ascii="宋体" w:hAnsi="宋体" w:cs="宋体"/>
          <w:sz w:val="24"/>
        </w:rPr>
        <w:t xml:space="preserve">浙江省政府采购网（http://www.zjzfcg.gov.cn）。   </w:t>
      </w:r>
    </w:p>
    <w:p>
      <w:pPr>
        <w:numPr>
          <w:ilvl w:val="0"/>
          <w:numId w:val="0"/>
        </w:numPr>
        <w:spacing w:line="360" w:lineRule="auto"/>
        <w:ind w:firstLine="480" w:firstLineChars="200"/>
        <w:rPr>
          <w:rFonts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业务咨询；</w:t>
      </w:r>
    </w:p>
    <w:p>
      <w:pPr>
        <w:spacing w:line="360" w:lineRule="auto"/>
        <w:ind w:firstLine="480" w:firstLineChars="200"/>
        <w:rPr>
          <w:rFonts w:ascii="宋体" w:hAnsi="宋体" w:cs="宋体"/>
          <w:sz w:val="24"/>
        </w:rPr>
      </w:pPr>
      <w:r>
        <w:rPr>
          <w:rFonts w:hint="eastAsia" w:ascii="宋体" w:hAnsi="宋体" w:cs="宋体"/>
          <w:sz w:val="24"/>
        </w:rPr>
        <w:t>代理机构：金华市金诚招投标代理有限公司</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张晓亮</w:t>
      </w:r>
      <w:r>
        <w:rPr>
          <w:rFonts w:hint="eastAsia" w:ascii="宋体" w:hAnsi="宋体" w:cs="宋体"/>
          <w:sz w:val="24"/>
        </w:rPr>
        <w:t xml:space="preserve">        电话：</w:t>
      </w:r>
      <w:r>
        <w:rPr>
          <w:rFonts w:hint="eastAsia" w:ascii="宋体" w:hAnsi="宋体" w:cs="宋体"/>
          <w:sz w:val="24"/>
          <w:lang w:val="en-US" w:eastAsia="zh-CN"/>
        </w:rPr>
        <w:t>13505890861</w:t>
      </w:r>
    </w:p>
    <w:p>
      <w:pPr>
        <w:spacing w:line="360" w:lineRule="auto"/>
        <w:ind w:left="482"/>
        <w:rPr>
          <w:rFonts w:hint="eastAsia" w:ascii="宋体" w:hAnsi="宋体" w:cs="宋体"/>
          <w:color w:val="auto"/>
          <w:sz w:val="24"/>
          <w:lang w:eastAsia="zh-CN"/>
        </w:rPr>
      </w:pPr>
      <w:r>
        <w:rPr>
          <w:rFonts w:hint="eastAsia" w:ascii="宋体" w:hAnsi="宋体" w:cs="宋体"/>
          <w:color w:val="auto"/>
          <w:sz w:val="24"/>
        </w:rPr>
        <w:t>采购人：</w:t>
      </w:r>
      <w:r>
        <w:rPr>
          <w:rFonts w:hint="eastAsia" w:ascii="宋体" w:hAnsi="宋体" w:cs="宋体"/>
          <w:color w:val="auto"/>
          <w:sz w:val="24"/>
          <w:lang w:eastAsia="zh-CN"/>
        </w:rPr>
        <w:t>东阳市第三高级中学</w:t>
      </w:r>
    </w:p>
    <w:p>
      <w:pPr>
        <w:spacing w:line="360" w:lineRule="auto"/>
        <w:ind w:left="482"/>
        <w:rPr>
          <w:rFonts w:hint="eastAsia" w:ascii="宋体" w:hAnsi="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吴老师</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电话：</w:t>
      </w:r>
      <w:r>
        <w:rPr>
          <w:rFonts w:hint="eastAsia" w:ascii="宋体" w:hAnsi="宋体" w:cs="宋体"/>
          <w:color w:val="auto"/>
          <w:sz w:val="24"/>
          <w:lang w:val="en-US" w:eastAsia="zh-CN"/>
        </w:rPr>
        <w:t>13588620447</w:t>
      </w:r>
    </w:p>
    <w:p>
      <w:pPr>
        <w:spacing w:line="360" w:lineRule="auto"/>
        <w:ind w:left="482"/>
        <w:rPr>
          <w:rFonts w:ascii="宋体" w:hAnsi="宋体" w:cs="宋体"/>
          <w:color w:val="auto"/>
          <w:sz w:val="24"/>
        </w:rPr>
      </w:pPr>
      <w:r>
        <w:rPr>
          <w:rFonts w:hint="eastAsia" w:ascii="宋体" w:hAnsi="宋体" w:cs="宋体"/>
          <w:color w:val="auto"/>
          <w:sz w:val="24"/>
        </w:rPr>
        <w:t>采购行政监督：东阳市第</w:t>
      </w:r>
      <w:r>
        <w:rPr>
          <w:rFonts w:hint="eastAsia" w:ascii="宋体" w:hAnsi="宋体" w:cs="宋体"/>
          <w:color w:val="auto"/>
          <w:sz w:val="24"/>
          <w:lang w:val="en-US" w:eastAsia="zh-CN"/>
        </w:rPr>
        <w:t>三</w:t>
      </w:r>
      <w:r>
        <w:rPr>
          <w:rFonts w:hint="eastAsia" w:ascii="宋体" w:hAnsi="宋体" w:cs="宋体"/>
          <w:color w:val="auto"/>
          <w:sz w:val="24"/>
        </w:rPr>
        <w:t xml:space="preserve">高级中学校监委  </w:t>
      </w:r>
    </w:p>
    <w:p>
      <w:pPr>
        <w:spacing w:line="360" w:lineRule="auto"/>
        <w:ind w:left="482"/>
        <w:rPr>
          <w:rFonts w:hint="default"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单老师</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电话：</w:t>
      </w:r>
      <w:r>
        <w:rPr>
          <w:rFonts w:hint="eastAsia" w:ascii="宋体" w:hAnsi="宋体" w:cs="宋体"/>
          <w:color w:val="auto"/>
          <w:sz w:val="24"/>
          <w:lang w:val="en-US" w:eastAsia="zh-CN"/>
        </w:rPr>
        <w:t>15167901986</w:t>
      </w:r>
    </w:p>
    <w:p>
      <w:pPr>
        <w:spacing w:line="360" w:lineRule="auto"/>
        <w:ind w:firstLine="480" w:firstLineChars="200"/>
        <w:rPr>
          <w:rFonts w:ascii="宋体" w:hAns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42"/>
        <w:spacing w:before="0" w:beforeAutospacing="0" w:after="0" w:afterAutospacing="0" w:line="360" w:lineRule="auto"/>
        <w:rPr>
          <w:rFonts w:hint="eastAsia" w:cs="宋体"/>
          <w:color w:val="auto"/>
        </w:rPr>
      </w:pPr>
      <w:r>
        <w:rPr>
          <w:rFonts w:hint="eastAsia" w:cs="宋体"/>
          <w:color w:val="auto"/>
        </w:rPr>
        <w:t xml:space="preserve">举报电话：市扫黑办 0579-86655381      </w:t>
      </w:r>
    </w:p>
    <w:p>
      <w:pPr>
        <w:pStyle w:val="42"/>
        <w:spacing w:before="0" w:beforeAutospacing="0" w:after="0" w:afterAutospacing="0" w:line="360" w:lineRule="auto"/>
        <w:ind w:firstLine="1200" w:firstLineChars="500"/>
        <w:rPr>
          <w:rFonts w:cs="宋体"/>
          <w:color w:val="auto"/>
        </w:rPr>
      </w:pPr>
      <w:r>
        <w:rPr>
          <w:rFonts w:hint="eastAsia" w:cs="宋体"/>
          <w:color w:val="auto"/>
        </w:rPr>
        <w:t>市公安局 110、0579-86096000</w:t>
      </w:r>
    </w:p>
    <w:p>
      <w:pPr>
        <w:pStyle w:val="42"/>
        <w:spacing w:before="0" w:beforeAutospacing="0" w:after="0" w:afterAutospacing="0" w:line="360" w:lineRule="auto"/>
        <w:ind w:firstLine="1200" w:firstLineChars="500"/>
        <w:jc w:val="both"/>
        <w:rPr>
          <w:rFonts w:hint="eastAsia" w:cs="宋体"/>
          <w:color w:val="auto"/>
        </w:rPr>
      </w:pPr>
      <w:r>
        <w:rPr>
          <w:rFonts w:hint="eastAsia" w:cs="宋体"/>
          <w:color w:val="auto"/>
        </w:rPr>
        <w:t xml:space="preserve">市检察院 0579-86642000      </w:t>
      </w:r>
    </w:p>
    <w:p>
      <w:pPr>
        <w:pStyle w:val="42"/>
        <w:spacing w:before="0" w:beforeAutospacing="0" w:after="0" w:afterAutospacing="0" w:line="360" w:lineRule="auto"/>
        <w:ind w:firstLine="1200" w:firstLineChars="500"/>
        <w:jc w:val="both"/>
        <w:rPr>
          <w:rFonts w:cs="宋体"/>
          <w:color w:val="auto"/>
        </w:rPr>
      </w:pPr>
      <w:r>
        <w:rPr>
          <w:rFonts w:hint="eastAsia" w:cs="宋体"/>
          <w:color w:val="auto"/>
        </w:rPr>
        <w:t>市法院  0579-86620148</w:t>
      </w:r>
    </w:p>
    <w:p>
      <w:pPr>
        <w:pStyle w:val="42"/>
        <w:spacing w:before="0" w:beforeAutospacing="0" w:after="0" w:afterAutospacing="0" w:line="360" w:lineRule="auto"/>
        <w:ind w:firstLine="1200" w:firstLineChars="500"/>
        <w:rPr>
          <w:rFonts w:hint="eastAsia" w:cs="宋体"/>
          <w:color w:val="auto"/>
        </w:rPr>
      </w:pPr>
      <w:r>
        <w:rPr>
          <w:rFonts w:hint="eastAsia" w:cs="宋体"/>
          <w:color w:val="auto"/>
        </w:rPr>
        <w:t xml:space="preserve">市公共资源办 0579-86691835  </w:t>
      </w:r>
    </w:p>
    <w:p>
      <w:pPr>
        <w:pStyle w:val="42"/>
        <w:spacing w:before="0" w:beforeAutospacing="0" w:after="0" w:afterAutospacing="0" w:line="360" w:lineRule="auto"/>
        <w:ind w:firstLine="1200" w:firstLineChars="500"/>
        <w:rPr>
          <w:rFonts w:cs="宋体"/>
        </w:rPr>
      </w:pPr>
      <w:r>
        <w:rPr>
          <w:rFonts w:hint="eastAsia" w:cs="宋体"/>
          <w:color w:val="auto"/>
        </w:rPr>
        <w:t>市公共资源交易中心 0579-86691729</w:t>
      </w:r>
    </w:p>
    <w:p>
      <w:pPr>
        <w:spacing w:line="360" w:lineRule="auto"/>
        <w:jc w:val="right"/>
        <w:rPr>
          <w:rFonts w:ascii="宋体" w:hAnsi="宋体" w:cs="宋体"/>
          <w:sz w:val="24"/>
        </w:rPr>
      </w:pPr>
    </w:p>
    <w:p>
      <w:pPr>
        <w:spacing w:line="360" w:lineRule="auto"/>
        <w:jc w:val="right"/>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lang w:eastAsia="zh-CN"/>
        </w:rPr>
        <w:t>东阳市第三高级中学</w:t>
      </w:r>
      <w:r>
        <w:rPr>
          <w:rFonts w:hint="eastAsia" w:ascii="宋体" w:hAnsi="宋体" w:cs="宋体"/>
          <w:sz w:val="24"/>
        </w:rPr>
        <w:t xml:space="preserve">　                       </w:t>
      </w:r>
    </w:p>
    <w:p>
      <w:pPr>
        <w:spacing w:line="360" w:lineRule="auto"/>
        <w:jc w:val="right"/>
        <w:rPr>
          <w:rFonts w:ascii="宋体" w:hAnsi="宋体" w:cs="宋体"/>
          <w:sz w:val="24"/>
        </w:rPr>
      </w:pPr>
      <w:r>
        <w:rPr>
          <w:rFonts w:hint="eastAsia" w:ascii="宋体" w:hAnsi="宋体" w:cs="宋体"/>
          <w:sz w:val="24"/>
        </w:rPr>
        <w:t xml:space="preserve"> 金华市金诚招投标代理有限公司</w:t>
      </w:r>
    </w:p>
    <w:p>
      <w:pPr>
        <w:spacing w:line="360" w:lineRule="auto"/>
        <w:jc w:val="right"/>
        <w:rPr>
          <w:rFonts w:ascii="宋体" w:hAnsi="宋体" w:cs="宋体"/>
          <w:b/>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w:t>
      </w:r>
    </w:p>
    <w:p>
      <w:pPr>
        <w:spacing w:line="460" w:lineRule="exact"/>
        <w:rPr>
          <w:rFonts w:ascii="宋体" w:hAnsi="宋体" w:cs="宋体"/>
          <w:sz w:val="24"/>
        </w:rPr>
      </w:pPr>
      <w:r>
        <w:rPr>
          <w:rFonts w:hint="eastAsia" w:ascii="宋体" w:hAnsi="宋体" w:cs="宋体"/>
          <w:sz w:val="24"/>
        </w:rPr>
        <w:br w:type="page"/>
      </w:r>
    </w:p>
    <w:p>
      <w:pPr>
        <w:pStyle w:val="4"/>
        <w:spacing w:before="0" w:after="0" w:line="240" w:lineRule="auto"/>
        <w:jc w:val="center"/>
        <w:rPr>
          <w:rFonts w:ascii="宋体" w:hAnsi="宋体" w:eastAsia="宋体" w:cs="宋体"/>
          <w:sz w:val="36"/>
          <w:szCs w:val="36"/>
        </w:rPr>
      </w:pPr>
      <w:bookmarkStart w:id="2" w:name="_Toc452457413"/>
      <w:bookmarkStart w:id="3" w:name="_Toc26206"/>
      <w:r>
        <w:rPr>
          <w:rFonts w:hint="eastAsia" w:ascii="宋体" w:hAnsi="宋体" w:eastAsia="宋体" w:cs="宋体"/>
          <w:sz w:val="36"/>
          <w:szCs w:val="36"/>
        </w:rPr>
        <w:t>第二章  供应商须知</w:t>
      </w:r>
    </w:p>
    <w:p>
      <w:pPr>
        <w:jc w:val="right"/>
      </w:pPr>
      <w:r>
        <w:rPr>
          <w:rFonts w:hint="eastAsia" w:ascii="宋体" w:hAnsi="宋体"/>
          <w:bCs/>
          <w:sz w:val="24"/>
        </w:rPr>
        <w:t>前附表</w:t>
      </w:r>
    </w:p>
    <w:bookmarkEnd w:id="2"/>
    <w:bookmarkEnd w:id="3"/>
    <w:tbl>
      <w:tblPr>
        <w:tblStyle w:val="4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8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项目名</w:t>
            </w:r>
            <w:r>
              <w:rPr>
                <w:rFonts w:hint="eastAsia" w:ascii="宋体" w:hAnsi="宋体"/>
                <w:sz w:val="24"/>
              </w:rPr>
              <w:t>称：</w:t>
            </w:r>
            <w:r>
              <w:rPr>
                <w:rFonts w:hint="eastAsia" w:ascii="宋体" w:hAnsi="宋体" w:cs="宋体"/>
                <w:bCs/>
                <w:sz w:val="24"/>
              </w:rPr>
              <w:t>“新鲜水果进校园，助力学生健康成长”服务采购项目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454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D0D0D"/>
                <w:sz w:val="24"/>
              </w:rPr>
            </w:pPr>
            <w:r>
              <w:rPr>
                <w:rFonts w:hint="eastAsia" w:ascii="宋体" w:hAnsi="宋体" w:cs="宋体"/>
                <w:sz w:val="24"/>
              </w:rPr>
              <w:t>磋商</w:t>
            </w:r>
            <w:r>
              <w:rPr>
                <w:rFonts w:hint="eastAsia" w:ascii="宋体" w:hAnsi="宋体"/>
                <w:color w:val="0D0D0D"/>
                <w:sz w:val="24"/>
              </w:rPr>
              <w:t>报价及费用：</w:t>
            </w:r>
          </w:p>
          <w:p>
            <w:pPr>
              <w:spacing w:line="400" w:lineRule="exact"/>
              <w:rPr>
                <w:rFonts w:ascii="宋体" w:hAnsi="宋体"/>
                <w:color w:val="0D0D0D"/>
                <w:sz w:val="24"/>
              </w:rPr>
            </w:pPr>
            <w:r>
              <w:rPr>
                <w:rFonts w:ascii="宋体" w:hAnsi="宋体"/>
                <w:color w:val="0D0D0D"/>
                <w:sz w:val="24"/>
              </w:rPr>
              <w:t>1</w:t>
            </w:r>
            <w:r>
              <w:rPr>
                <w:rFonts w:hint="eastAsia" w:ascii="宋体" w:hAnsi="宋体"/>
                <w:color w:val="0D0D0D"/>
                <w:sz w:val="24"/>
              </w:rPr>
              <w:t>、本项目</w:t>
            </w:r>
            <w:r>
              <w:rPr>
                <w:rFonts w:hint="eastAsia" w:ascii="宋体" w:hAnsi="宋体" w:cs="宋体"/>
                <w:sz w:val="24"/>
              </w:rPr>
              <w:t>磋商</w:t>
            </w:r>
            <w:r>
              <w:rPr>
                <w:rFonts w:hint="eastAsia" w:ascii="宋体" w:hAnsi="宋体"/>
                <w:color w:val="0D0D0D"/>
                <w:sz w:val="24"/>
              </w:rPr>
              <w:t>应以人民币报价。</w:t>
            </w:r>
          </w:p>
          <w:p>
            <w:pPr>
              <w:spacing w:line="400" w:lineRule="exact"/>
              <w:rPr>
                <w:rFonts w:ascii="宋体" w:hAnsi="宋体"/>
                <w:sz w:val="24"/>
              </w:rPr>
            </w:pPr>
            <w:r>
              <w:rPr>
                <w:rFonts w:hint="eastAsia" w:ascii="宋体" w:hAnsi="宋体"/>
                <w:color w:val="000000"/>
                <w:sz w:val="24"/>
              </w:rPr>
              <w:t>2</w:t>
            </w:r>
            <w:r>
              <w:rPr>
                <w:rFonts w:hint="eastAsia" w:ascii="宋体" w:hAnsi="宋体"/>
                <w:sz w:val="24"/>
              </w:rPr>
              <w:t>、</w:t>
            </w:r>
            <w:r>
              <w:rPr>
                <w:rFonts w:hint="eastAsia" w:ascii="宋体" w:hAnsi="宋体" w:cs="宋体"/>
                <w:b/>
                <w:sz w:val="24"/>
              </w:rPr>
              <w:t>本项目最高限价详见采购需求。</w:t>
            </w:r>
            <w:r>
              <w:rPr>
                <w:rFonts w:hint="eastAsia" w:ascii="宋体" w:hAnsi="宋体" w:cs="宋体"/>
                <w:sz w:val="24"/>
              </w:rPr>
              <w:t>供应商必须按采购需求的要求报价，并且报价不得高于或等于最高限价，否则作废标处理。</w:t>
            </w:r>
          </w:p>
          <w:p>
            <w:pPr>
              <w:pStyle w:val="8"/>
              <w:snapToGrid w:val="0"/>
              <w:spacing w:line="480" w:lineRule="exact"/>
              <w:ind w:firstLine="0"/>
              <w:jc w:val="left"/>
              <w:rPr>
                <w:sz w:val="24"/>
              </w:rPr>
            </w:pPr>
            <w:r>
              <w:rPr>
                <w:rFonts w:hint="eastAsia" w:hAnsi="宋体"/>
                <w:sz w:val="24"/>
              </w:rPr>
              <w:t>3、不论</w:t>
            </w:r>
            <w:r>
              <w:rPr>
                <w:rFonts w:hint="eastAsia" w:hAnsi="宋体"/>
                <w:sz w:val="24"/>
                <w:szCs w:val="24"/>
              </w:rPr>
              <w:t>磋商</w:t>
            </w:r>
            <w:r>
              <w:rPr>
                <w:rFonts w:hint="eastAsia" w:hAnsi="宋体"/>
                <w:sz w:val="24"/>
              </w:rPr>
              <w:t>结果如何，</w:t>
            </w:r>
            <w:r>
              <w:rPr>
                <w:rFonts w:hint="eastAsia" w:hAnsi="宋体"/>
                <w:sz w:val="24"/>
                <w:szCs w:val="24"/>
              </w:rPr>
              <w:t>磋商响应</w:t>
            </w:r>
            <w:r>
              <w:rPr>
                <w:rFonts w:hint="eastAsia" w:hAnsi="宋体"/>
                <w:sz w:val="24"/>
              </w:rPr>
              <w:t>人均应</w:t>
            </w:r>
            <w:r>
              <w:rPr>
                <w:rFonts w:hint="eastAsia" w:hAnsi="宋体"/>
                <w:color w:val="0D0D0D"/>
                <w:sz w:val="24"/>
              </w:rPr>
              <w:t>自行承担所有与</w:t>
            </w:r>
            <w:r>
              <w:rPr>
                <w:rFonts w:hint="eastAsia" w:hAnsi="宋体"/>
                <w:sz w:val="24"/>
                <w:szCs w:val="24"/>
              </w:rPr>
              <w:t>磋商</w:t>
            </w:r>
            <w:r>
              <w:rPr>
                <w:rFonts w:hint="eastAsia" w:hAnsi="宋体"/>
                <w:color w:val="0D0D0D"/>
                <w:sz w:val="24"/>
              </w:rPr>
              <w:t>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heme="minorEastAsia" w:hAnsiTheme="minorEastAsia" w:eastAsiaTheme="minorEastAsia"/>
                <w:color w:val="000000"/>
                <w:sz w:val="24"/>
              </w:rPr>
            </w:pPr>
            <w:r>
              <w:rPr>
                <w:rFonts w:hint="eastAsia" w:ascii="宋体" w:hAnsi="宋体" w:cs="宋体"/>
                <w:sz w:val="24"/>
              </w:rPr>
              <w:t>答疑与澄清：</w:t>
            </w:r>
            <w:r>
              <w:rPr>
                <w:rFonts w:hint="eastAsia" w:hAnsi="宋体"/>
                <w:sz w:val="24"/>
              </w:rPr>
              <w:t>磋商响应</w:t>
            </w:r>
            <w:r>
              <w:rPr>
                <w:rFonts w:hint="eastAsia" w:ascii="宋体" w:hAnsi="宋体" w:cs="宋体"/>
                <w:sz w:val="24"/>
              </w:rPr>
              <w:t>人如认为</w:t>
            </w:r>
            <w:r>
              <w:rPr>
                <w:rFonts w:hint="eastAsia" w:ascii="宋体" w:hAnsi="宋体" w:cs="宋体"/>
                <w:bCs/>
                <w:sz w:val="24"/>
              </w:rPr>
              <w:t>磋商</w:t>
            </w:r>
            <w:r>
              <w:rPr>
                <w:rFonts w:hint="eastAsia" w:ascii="宋体" w:hAnsi="宋体" w:cs="宋体"/>
                <w:sz w:val="24"/>
              </w:rPr>
              <w:t>文件表述不清晰、存在歧视性、排他性或者其他违法内容，应当于</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w:t>
            </w:r>
            <w:r>
              <w:rPr>
                <w:rFonts w:ascii="宋体" w:hAnsi="宋体" w:cs="宋体"/>
                <w:sz w:val="24"/>
              </w:rPr>
              <w:t>1</w:t>
            </w:r>
            <w:r>
              <w:rPr>
                <w:rFonts w:hint="eastAsia" w:ascii="宋体" w:hAnsi="宋体" w:cs="宋体"/>
                <w:sz w:val="24"/>
              </w:rPr>
              <w:t>7</w:t>
            </w:r>
            <w:r>
              <w:rPr>
                <w:rFonts w:ascii="宋体" w:hAnsi="宋体" w:cs="宋体"/>
                <w:sz w:val="24"/>
              </w:rPr>
              <w:t>:00</w:t>
            </w:r>
            <w:r>
              <w:rPr>
                <w:rFonts w:hint="eastAsia" w:ascii="宋体" w:hAnsi="宋体" w:cs="宋体"/>
                <w:sz w:val="24"/>
              </w:rPr>
              <w:t>前，以书面形式要求采购单位作出书面解释、澄清或者向</w:t>
            </w:r>
            <w:r>
              <w:rPr>
                <w:rFonts w:hint="eastAsia" w:ascii="宋体" w:hAnsi="宋体" w:cs="宋体"/>
                <w:bCs/>
                <w:sz w:val="24"/>
              </w:rPr>
              <w:t>磋商</w:t>
            </w:r>
            <w:r>
              <w:rPr>
                <w:rFonts w:hint="eastAsia" w:ascii="宋体" w:hAnsi="宋体" w:cs="宋体"/>
                <w:sz w:val="24"/>
              </w:rPr>
              <w:t>采购单位提出书面质疑（超过此规定时间的质疑函将不予受理）。答疑内容将于</w:t>
            </w:r>
            <w:r>
              <w:rPr>
                <w:rFonts w:hint="eastAsia" w:hAnsi="宋体"/>
                <w:sz w:val="24"/>
              </w:rPr>
              <w:t>磋商响应</w:t>
            </w:r>
            <w:r>
              <w:rPr>
                <w:rFonts w:hint="eastAsia" w:ascii="宋体" w:hAnsi="宋体" w:cs="宋体"/>
                <w:sz w:val="24"/>
              </w:rPr>
              <w:t>截止日期</w:t>
            </w:r>
            <w:r>
              <w:rPr>
                <w:rFonts w:ascii="宋体" w:hAnsi="宋体" w:cs="宋体"/>
                <w:sz w:val="24"/>
              </w:rPr>
              <w:t>5</w:t>
            </w:r>
            <w:r>
              <w:rPr>
                <w:rFonts w:hint="eastAsia" w:ascii="宋体" w:hAnsi="宋体" w:cs="宋体"/>
                <w:sz w:val="24"/>
              </w:rPr>
              <w:t>天前以网上发布公告的形式通知；如果答疑、澄清或修改的内容可能影响</w:t>
            </w:r>
            <w:r>
              <w:rPr>
                <w:rFonts w:hint="eastAsia" w:hAnsi="宋体"/>
                <w:sz w:val="24"/>
              </w:rPr>
              <w:t>磋商响应</w:t>
            </w:r>
            <w:r>
              <w:rPr>
                <w:rFonts w:hint="eastAsia" w:ascii="宋体" w:hAnsi="宋体" w:cs="宋体"/>
                <w:sz w:val="24"/>
              </w:rPr>
              <w:t>文件编制，</w:t>
            </w:r>
            <w:r>
              <w:rPr>
                <w:rFonts w:hint="eastAsia" w:ascii="宋体" w:hAnsi="宋体" w:cs="宋体"/>
                <w:bCs/>
                <w:sz w:val="24"/>
              </w:rPr>
              <w:t>磋商</w:t>
            </w:r>
            <w:r>
              <w:rPr>
                <w:rFonts w:hint="eastAsia" w:ascii="宋体" w:hAnsi="宋体" w:cs="宋体"/>
                <w:sz w:val="24"/>
              </w:rPr>
              <w:t>采购单位将于</w:t>
            </w:r>
            <w:r>
              <w:rPr>
                <w:rFonts w:hint="eastAsia" w:hAnsi="宋体"/>
                <w:sz w:val="24"/>
              </w:rPr>
              <w:t>磋商响应</w:t>
            </w:r>
            <w:r>
              <w:rPr>
                <w:rFonts w:hint="eastAsia" w:ascii="宋体" w:hAnsi="宋体" w:cs="宋体"/>
                <w:sz w:val="24"/>
              </w:rPr>
              <w:t>截止日期</w:t>
            </w:r>
            <w:r>
              <w:rPr>
                <w:rFonts w:ascii="宋体" w:hAnsi="宋体" w:cs="宋体"/>
                <w:sz w:val="24"/>
              </w:rPr>
              <w:t>15</w:t>
            </w:r>
            <w:r>
              <w:rPr>
                <w:rFonts w:hint="eastAsia" w:ascii="宋体" w:hAnsi="宋体" w:cs="宋体"/>
                <w:sz w:val="24"/>
              </w:rPr>
              <w:t>天前以网上公告的形式通知所有已报名的</w:t>
            </w:r>
            <w:r>
              <w:rPr>
                <w:rFonts w:hint="eastAsia" w:hAnsi="宋体"/>
                <w:sz w:val="24"/>
              </w:rPr>
              <w:t>磋商响应</w:t>
            </w:r>
            <w:r>
              <w:rPr>
                <w:rFonts w:hint="eastAsia" w:ascii="宋体" w:hAnsi="宋体" w:cs="宋体"/>
                <w:sz w:val="24"/>
              </w:rPr>
              <w:t>人，答疑内容是</w:t>
            </w:r>
            <w:r>
              <w:rPr>
                <w:rFonts w:hint="eastAsia" w:ascii="宋体" w:hAnsi="宋体" w:cs="宋体"/>
                <w:bCs/>
                <w:sz w:val="24"/>
              </w:rPr>
              <w:t>磋商</w:t>
            </w:r>
            <w:r>
              <w:rPr>
                <w:rFonts w:hint="eastAsia" w:ascii="宋体" w:hAnsi="宋体" w:cs="宋体"/>
                <w:sz w:val="24"/>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 w:val="24"/>
              </w:rPr>
            </w:pPr>
            <w:r>
              <w:rPr>
                <w:rFonts w:hint="eastAsia" w:ascii="宋体" w:hAnsi="宋体" w:cs="宋体"/>
                <w:sz w:val="24"/>
              </w:rPr>
              <w:t>4</w:t>
            </w:r>
          </w:p>
        </w:tc>
        <w:tc>
          <w:tcPr>
            <w:tcW w:w="454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磋商办法：综合评分法（其中报价分为两轮）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54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hAnsi="宋体"/>
                <w:sz w:val="24"/>
              </w:rPr>
              <w:t>磋商响应</w:t>
            </w:r>
            <w:r>
              <w:rPr>
                <w:rFonts w:hint="eastAsia" w:ascii="宋体" w:hAnsi="宋体" w:cs="宋体"/>
                <w:sz w:val="24"/>
              </w:rPr>
              <w:t>文件组成：</w:t>
            </w:r>
            <w:r>
              <w:rPr>
                <w:rFonts w:hint="eastAsia" w:ascii="宋体" w:hAnsi="宋体" w:cs="宋体"/>
                <w:bCs/>
                <w:sz w:val="24"/>
              </w:rPr>
              <w:t>由资格审查资料、资信商务及技术文件、磋商报价文件三部份组成。磋商响应单位应携带相关原件备查。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exact"/>
              <w:rPr>
                <w:rFonts w:cs="Arial" w:asciiTheme="minorEastAsia" w:hAnsiTheme="minorEastAsia" w:eastAsiaTheme="minorEastAsia"/>
                <w:sz w:val="24"/>
              </w:rPr>
            </w:pPr>
            <w:r>
              <w:rPr>
                <w:rFonts w:hint="eastAsia" w:hAnsi="宋体"/>
                <w:sz w:val="24"/>
              </w:rPr>
              <w:t>磋商响应</w:t>
            </w:r>
            <w:r>
              <w:rPr>
                <w:rFonts w:hint="eastAsia" w:asciiTheme="minorEastAsia" w:hAnsiTheme="minorEastAsia" w:eastAsiaTheme="minorEastAsia"/>
                <w:sz w:val="24"/>
              </w:rPr>
              <w:t>截止时间：</w:t>
            </w:r>
            <w:r>
              <w:rPr>
                <w:rFonts w:hint="eastAsia" w:ascii="宋体" w:hAnsi="宋体" w:cs="宋体"/>
                <w:sz w:val="24"/>
              </w:rPr>
              <w:t>于</w:t>
            </w:r>
            <w:r>
              <w:rPr>
                <w:rFonts w:hint="eastAsia" w:ascii="宋体" w:hAnsi="宋体" w:cs="宋体"/>
                <w:sz w:val="24"/>
                <w:lang w:eastAsia="zh-CN"/>
              </w:rPr>
              <w:t>2025年01月</w:t>
            </w:r>
            <w:r>
              <w:rPr>
                <w:rFonts w:hint="eastAsia" w:ascii="宋体" w:hAnsi="宋体" w:cs="宋体"/>
                <w:sz w:val="24"/>
                <w:lang w:val="en-US" w:eastAsia="zh-CN"/>
              </w:rPr>
              <w:t>13</w:t>
            </w:r>
            <w:r>
              <w:rPr>
                <w:rFonts w:hint="eastAsia" w:ascii="宋体" w:hAnsi="宋体" w:cs="宋体"/>
                <w:sz w:val="24"/>
                <w:u w:val="none"/>
              </w:rPr>
              <w:t>日</w:t>
            </w:r>
            <w:r>
              <w:rPr>
                <w:rFonts w:hint="eastAsia" w:asciiTheme="minorEastAsia" w:hAnsiTheme="minorEastAsia" w:eastAsiaTheme="minorEastAsia"/>
                <w:sz w:val="24"/>
              </w:rPr>
              <w:t>下午14</w:t>
            </w:r>
            <w:r>
              <w:rPr>
                <w:rFonts w:hint="eastAsia" w:cs="Arial" w:asciiTheme="minorEastAsia" w:hAnsiTheme="minorEastAsia" w:eastAsiaTheme="minorEastAsia"/>
                <w:sz w:val="24"/>
              </w:rPr>
              <w:t>：00时</w:t>
            </w:r>
          </w:p>
          <w:p>
            <w:pPr>
              <w:snapToGrid w:val="0"/>
              <w:spacing w:line="480" w:lineRule="exact"/>
              <w:rPr>
                <w:rFonts w:asciiTheme="minorEastAsia" w:hAnsiTheme="minorEastAsia" w:eastAsiaTheme="minorEastAsia"/>
                <w:sz w:val="24"/>
              </w:rPr>
            </w:pPr>
            <w:r>
              <w:rPr>
                <w:rFonts w:hint="eastAsia" w:hAnsi="宋体"/>
                <w:sz w:val="24"/>
              </w:rPr>
              <w:t>磋商响应</w:t>
            </w:r>
            <w:r>
              <w:rPr>
                <w:rFonts w:hint="eastAsia" w:cs="Arial" w:asciiTheme="minorEastAsia" w:hAnsiTheme="minorEastAsia" w:eastAsiaTheme="minorEastAsia"/>
                <w:sz w:val="24"/>
              </w:rPr>
              <w:t>文件递交地点：</w:t>
            </w:r>
            <w:r>
              <w:rPr>
                <w:rFonts w:hint="eastAsia" w:ascii="宋体" w:hAnsi="宋体" w:cs="宋体"/>
                <w:sz w:val="24"/>
              </w:rPr>
              <w:t>金华市金诚招投标代理有限公司（东阳市江北街道关山北路20号）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80" w:lineRule="exact"/>
              <w:rPr>
                <w:rFonts w:cs="Arial" w:asciiTheme="minorEastAsia" w:hAnsiTheme="minorEastAsia" w:eastAsiaTheme="minorEastAsia"/>
                <w:sz w:val="24"/>
              </w:rPr>
            </w:pPr>
            <w:r>
              <w:rPr>
                <w:rFonts w:hint="eastAsia" w:asciiTheme="minorEastAsia" w:hAnsiTheme="minorEastAsia" w:eastAsiaTheme="minorEastAsia"/>
                <w:sz w:val="24"/>
              </w:rPr>
              <w:t>开标时间：</w:t>
            </w:r>
            <w:r>
              <w:rPr>
                <w:rFonts w:hint="eastAsia" w:ascii="宋体" w:hAnsi="宋体" w:cs="宋体"/>
                <w:sz w:val="24"/>
              </w:rPr>
              <w:t>于</w:t>
            </w:r>
            <w:r>
              <w:rPr>
                <w:rFonts w:hint="eastAsia" w:ascii="宋体" w:hAnsi="宋体" w:cs="宋体"/>
                <w:sz w:val="24"/>
                <w:lang w:eastAsia="zh-CN"/>
              </w:rPr>
              <w:t>2025年01月</w:t>
            </w:r>
            <w:r>
              <w:rPr>
                <w:rFonts w:hint="eastAsia" w:ascii="宋体" w:hAnsi="宋体" w:cs="宋体"/>
                <w:sz w:val="24"/>
                <w:lang w:val="en-US" w:eastAsia="zh-CN"/>
              </w:rPr>
              <w:t>13</w:t>
            </w:r>
            <w:r>
              <w:rPr>
                <w:rFonts w:hint="eastAsia" w:ascii="宋体" w:hAnsi="宋体" w:cs="宋体"/>
                <w:sz w:val="24"/>
                <w:u w:val="none"/>
              </w:rPr>
              <w:t>日</w:t>
            </w:r>
            <w:r>
              <w:rPr>
                <w:rFonts w:hint="eastAsia" w:asciiTheme="minorEastAsia" w:hAnsiTheme="minorEastAsia" w:eastAsiaTheme="minorEastAsia"/>
                <w:sz w:val="24"/>
              </w:rPr>
              <w:t>下午14</w:t>
            </w:r>
            <w:r>
              <w:rPr>
                <w:rFonts w:hint="eastAsia" w:cs="Arial" w:asciiTheme="minorEastAsia" w:hAnsiTheme="minorEastAsia" w:eastAsiaTheme="minorEastAsia"/>
                <w:sz w:val="24"/>
              </w:rPr>
              <w:t>：00时</w:t>
            </w:r>
          </w:p>
          <w:p>
            <w:pPr>
              <w:snapToGrid w:val="0"/>
              <w:spacing w:line="480" w:lineRule="exact"/>
              <w:rPr>
                <w:rFonts w:asciiTheme="minorEastAsia" w:hAnsiTheme="minorEastAsia" w:eastAsiaTheme="minorEastAsia"/>
                <w:sz w:val="24"/>
              </w:rPr>
            </w:pPr>
            <w:r>
              <w:rPr>
                <w:rFonts w:hint="eastAsia" w:cs="Arial" w:asciiTheme="minorEastAsia" w:hAnsiTheme="minorEastAsia" w:eastAsiaTheme="minorEastAsia"/>
                <w:sz w:val="24"/>
              </w:rPr>
              <w:t>开标地点：</w:t>
            </w:r>
            <w:r>
              <w:rPr>
                <w:rFonts w:hint="eastAsia" w:ascii="宋体" w:hAnsi="宋体" w:cs="宋体"/>
                <w:sz w:val="24"/>
              </w:rPr>
              <w:t>金华市金诚招投标代理有限公司（东阳市江北街道关山北路20号）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heme="minorEastAsia" w:hAnsiTheme="minorEastAsia" w:eastAsiaTheme="minorEastAsia"/>
                <w:color w:val="000000"/>
                <w:sz w:val="24"/>
              </w:rPr>
            </w:pPr>
            <w:r>
              <w:rPr>
                <w:rFonts w:hint="eastAsia" w:ascii="宋体" w:hAnsi="宋体" w:cs="宋体"/>
                <w:sz w:val="24"/>
              </w:rPr>
              <w:t>现场踏勘：供应商自行组织现场踏勘。现场踏勘所发生费用由供应商自行承担，踏勘期间发生人身或交通安全等大小事故，一切责任和经济补偿均由供应商负责。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cs="Arial" w:asciiTheme="minorEastAsia" w:hAnsiTheme="minorEastAsia" w:eastAsiaTheme="minorEastAsia"/>
                <w:b/>
                <w:color w:val="000000"/>
                <w:sz w:val="24"/>
              </w:rPr>
            </w:pPr>
            <w:r>
              <w:rPr>
                <w:rFonts w:hint="eastAsia" w:ascii="宋体" w:hAnsi="宋体" w:cs="宋体"/>
                <w:sz w:val="24"/>
              </w:rPr>
              <w:t>中标结果公告：自中标人确定之日起2天内，中标结果公告于浙江省政府采购网(</w:t>
            </w:r>
            <w:r>
              <w:fldChar w:fldCharType="begin"/>
            </w:r>
            <w:r>
              <w:instrText xml:space="preserve"> HYPERLINK "http://www.zjzfcg.gov.cn/" </w:instrText>
            </w:r>
            <w:r>
              <w:fldChar w:fldCharType="separate"/>
            </w:r>
            <w:r>
              <w:rPr>
                <w:rStyle w:val="54"/>
                <w:rFonts w:hint="eastAsia" w:ascii="宋体" w:hAnsi="宋体" w:cs="宋体"/>
                <w:color w:val="auto"/>
                <w:sz w:val="24"/>
              </w:rPr>
              <w:t>https://zfcg.czt.zj.gov.cn/</w:t>
            </w:r>
            <w:r>
              <w:rPr>
                <w:rStyle w:val="54"/>
                <w:rFonts w:hint="eastAsia" w:ascii="宋体" w:hAnsi="宋体" w:cs="宋体"/>
                <w:color w:val="auto"/>
                <w:sz w:val="24"/>
              </w:rPr>
              <w:fldChar w:fldCharType="end"/>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10</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中标通知书：确定中标人后，中标人应在三个工作日内，向</w:t>
            </w:r>
            <w:r>
              <w:rPr>
                <w:rFonts w:hint="eastAsia" w:ascii="宋体" w:hAnsi="宋体" w:cs="宋体"/>
                <w:bCs/>
                <w:sz w:val="24"/>
              </w:rPr>
              <w:t>磋商</w:t>
            </w:r>
            <w:r>
              <w:rPr>
                <w:rFonts w:hint="eastAsia" w:ascii="宋体" w:hAnsi="宋体" w:cs="宋体"/>
                <w:color w:val="000000"/>
                <w:sz w:val="24"/>
              </w:rPr>
              <w:t>代理机构</w:t>
            </w:r>
            <w:r>
              <w:rPr>
                <w:rFonts w:hint="eastAsia" w:ascii="宋体" w:hAnsi="宋体" w:cs="宋体"/>
                <w:sz w:val="24"/>
              </w:rPr>
              <w:t>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000000"/>
                <w:sz w:val="24"/>
              </w:rPr>
            </w:pPr>
            <w:r>
              <w:rPr>
                <w:rFonts w:hint="eastAsia" w:ascii="宋体" w:hAnsi="宋体" w:cs="宋体"/>
                <w:color w:val="000000"/>
                <w:sz w:val="24"/>
              </w:rPr>
              <w:t>11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履约保证金：</w:t>
            </w:r>
            <w:r>
              <w:rPr>
                <w:rFonts w:hint="eastAsia" w:ascii="宋体" w:hAnsi="宋体"/>
                <w:sz w:val="24"/>
              </w:rPr>
              <w:t>本项目不设</w:t>
            </w:r>
            <w:r>
              <w:rPr>
                <w:rFonts w:hint="eastAsia" w:ascii="宋体" w:hAnsi="宋体" w:cs="宋体"/>
                <w:sz w:val="24"/>
              </w:rPr>
              <w:t>履约保证</w:t>
            </w:r>
            <w:r>
              <w:rPr>
                <w:rFonts w:hint="eastAsia" w:ascii="宋体" w:hAnsi="宋体"/>
                <w:sz w:val="24"/>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000000"/>
                <w:sz w:val="24"/>
              </w:rPr>
            </w:pPr>
            <w:r>
              <w:rPr>
                <w:rFonts w:hint="eastAsia" w:ascii="宋体" w:hAnsi="宋体" w:cs="宋体"/>
                <w:color w:val="000000"/>
                <w:sz w:val="24"/>
              </w:rPr>
              <w:t>12</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签订合同时间：中标通知书发出后10日内。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13</w:t>
            </w:r>
          </w:p>
        </w:tc>
        <w:tc>
          <w:tcPr>
            <w:tcW w:w="8227"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ascii="宋体" w:hAnsi="宋体" w:cs="宋体"/>
              </w:rPr>
              <w:t>中标人须在领取中标通知书前向</w:t>
            </w:r>
            <w:r>
              <w:rPr>
                <w:rFonts w:hint="eastAsia" w:ascii="宋体" w:hAnsi="宋体" w:cs="宋体"/>
                <w:bCs/>
              </w:rPr>
              <w:t>磋商</w:t>
            </w:r>
            <w:r>
              <w:rPr>
                <w:rFonts w:hint="eastAsia" w:ascii="宋体" w:hAnsi="宋体" w:cs="宋体"/>
              </w:rPr>
              <w:t>代理机构交纳中标服务费，</w:t>
            </w:r>
            <w:r>
              <w:rPr>
                <w:rFonts w:hint="eastAsia" w:ascii="宋体" w:hAnsi="宋体" w:cs="宋体"/>
                <w:bCs/>
              </w:rPr>
              <w:t>磋商</w:t>
            </w:r>
            <w:r>
              <w:rPr>
                <w:rFonts w:hint="eastAsia" w:ascii="宋体" w:hAnsi="宋体"/>
                <w:color w:val="000000"/>
              </w:rPr>
              <w:t>代理机构开具增值税</w:t>
            </w:r>
            <w:r>
              <w:rPr>
                <w:rFonts w:hint="eastAsia" w:ascii="宋体" w:hAnsi="宋体"/>
              </w:rPr>
              <w:t>普通发票，本项目的</w:t>
            </w:r>
            <w:r>
              <w:rPr>
                <w:rFonts w:hint="eastAsia" w:ascii="宋体" w:hAnsi="宋体" w:cs="宋体"/>
              </w:rPr>
              <w:t>中标服务费</w:t>
            </w:r>
            <w:r>
              <w:rPr>
                <w:rFonts w:hint="eastAsia" w:ascii="宋体" w:hAnsi="宋体" w:cs="宋体"/>
                <w:color w:val="0D0D0D"/>
              </w:rPr>
              <w:t>按</w:t>
            </w:r>
            <w:r>
              <w:rPr>
                <w:rFonts w:hint="eastAsia" w:ascii="宋体" w:hAnsi="宋体" w:cs="宋体"/>
                <w:color w:val="0D0D0D"/>
                <w:lang w:val="en-US" w:eastAsia="zh-CN"/>
              </w:rPr>
              <w:t>7</w:t>
            </w:r>
            <w:r>
              <w:rPr>
                <w:rFonts w:hint="eastAsia" w:ascii="宋体" w:hAnsi="宋体" w:cs="宋体"/>
                <w:color w:val="0D0D0D"/>
              </w:rPr>
              <w:t>000元</w:t>
            </w:r>
            <w:r>
              <w:rPr>
                <w:rFonts w:hint="eastAsia" w:ascii="宋体" w:hAnsi="宋体" w:cs="宋体"/>
              </w:rPr>
              <w:t>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000000"/>
                <w:sz w:val="24"/>
              </w:rPr>
            </w:pPr>
            <w:r>
              <w:rPr>
                <w:rFonts w:hint="eastAsia" w:ascii="宋体" w:hAnsi="宋体" w:cs="宋体"/>
                <w:color w:val="000000"/>
                <w:sz w:val="24"/>
              </w:rPr>
              <w:t>14</w:t>
            </w:r>
          </w:p>
        </w:tc>
        <w:tc>
          <w:tcPr>
            <w:tcW w:w="4542" w:type="pct"/>
            <w:tcBorders>
              <w:top w:val="single" w:color="auto" w:sz="4" w:space="0"/>
              <w:left w:val="single" w:color="auto" w:sz="4" w:space="0"/>
              <w:bottom w:val="single" w:color="auto" w:sz="4" w:space="0"/>
              <w:right w:val="single" w:color="auto" w:sz="4" w:space="0"/>
            </w:tcBorders>
            <w:vAlign w:val="center"/>
          </w:tcPr>
          <w:p>
            <w:pPr>
              <w:pStyle w:val="281"/>
              <w:spacing w:line="450" w:lineRule="exact"/>
              <w:rPr>
                <w:rFonts w:ascii="宋体" w:hAnsi="宋体" w:eastAsia="宋体" w:cs="宋体"/>
                <w:sz w:val="24"/>
              </w:rPr>
            </w:pPr>
            <w:r>
              <w:rPr>
                <w:rFonts w:hint="eastAsia" w:ascii="宋体" w:hAnsi="宋体" w:eastAsia="宋体" w:cs="宋体"/>
                <w:sz w:val="24"/>
                <w:szCs w:val="24"/>
              </w:rPr>
              <w:t>付款方式：详见采购需求。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hAnsi="宋体"/>
                <w:sz w:val="24"/>
              </w:rPr>
              <w:t>磋商响应</w:t>
            </w:r>
            <w:r>
              <w:rPr>
                <w:rFonts w:hint="eastAsia" w:ascii="宋体" w:hAnsi="宋体" w:cs="宋体"/>
                <w:sz w:val="24"/>
              </w:rPr>
              <w:t>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16</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解释：本竞争性磋商文件的解释权归</w:t>
            </w:r>
            <w:r>
              <w:rPr>
                <w:rFonts w:hint="eastAsia" w:ascii="宋体" w:hAnsi="宋体" w:cs="宋体"/>
                <w:bCs/>
                <w:sz w:val="24"/>
              </w:rPr>
              <w:t>磋商</w:t>
            </w:r>
            <w:r>
              <w:rPr>
                <w:rFonts w:hint="eastAsia" w:ascii="宋体" w:hAnsi="宋体" w:cs="宋体"/>
                <w:sz w:val="24"/>
              </w:rPr>
              <w:t>采购单位。采购代理机构对磋商响应方的落选不作任何解释。</w:t>
            </w:r>
          </w:p>
        </w:tc>
      </w:tr>
    </w:tbl>
    <w:p>
      <w:pPr>
        <w:snapToGrid w:val="0"/>
        <w:spacing w:line="360" w:lineRule="auto"/>
        <w:jc w:val="center"/>
        <w:rPr>
          <w:rFonts w:ascii="宋体" w:hAnsi="宋体" w:cs="宋体"/>
          <w:b/>
          <w:kern w:val="44"/>
          <w:sz w:val="32"/>
          <w:szCs w:val="32"/>
        </w:rPr>
      </w:pPr>
      <w:r>
        <w:rPr>
          <w:rFonts w:hint="eastAsia" w:ascii="宋体" w:hAnsi="宋体" w:cs="宋体"/>
          <w:b/>
          <w:kern w:val="44"/>
          <w:sz w:val="32"/>
          <w:szCs w:val="32"/>
        </w:rPr>
        <w:t>一、总则</w:t>
      </w:r>
      <w:bookmarkStart w:id="4" w:name="_Toc20381"/>
    </w:p>
    <w:p>
      <w:pPr>
        <w:spacing w:line="360" w:lineRule="auto"/>
        <w:rPr>
          <w:rFonts w:ascii="宋体" w:hAnsi="宋体" w:cs="宋体"/>
          <w:b/>
          <w:kern w:val="0"/>
          <w:sz w:val="24"/>
        </w:rPr>
      </w:pPr>
      <w:r>
        <w:rPr>
          <w:rFonts w:hint="eastAsia" w:ascii="宋体" w:hAnsi="宋体" w:cs="宋体"/>
          <w:b/>
          <w:sz w:val="24"/>
        </w:rPr>
        <w:t>（一）磋商文件的适用范围</w:t>
      </w:r>
    </w:p>
    <w:bookmarkEnd w:id="4"/>
    <w:p>
      <w:pPr>
        <w:spacing w:line="360" w:lineRule="auto"/>
        <w:ind w:firstLine="480"/>
        <w:jc w:val="left"/>
        <w:rPr>
          <w:rFonts w:ascii="宋体" w:hAnsi="宋体" w:cs="宋体"/>
          <w:color w:val="000000"/>
          <w:sz w:val="24"/>
        </w:rPr>
      </w:pPr>
      <w:r>
        <w:rPr>
          <w:rFonts w:hint="eastAsia" w:ascii="宋体" w:hAnsi="宋体" w:cs="宋体"/>
          <w:color w:val="000000"/>
          <w:sz w:val="24"/>
        </w:rPr>
        <w:t>本磋商文件仅适用于本次</w:t>
      </w:r>
      <w:r>
        <w:rPr>
          <w:rFonts w:hint="eastAsia" w:ascii="宋体" w:hAnsi="宋体" w:cs="宋体"/>
          <w:color w:val="0D0D0D"/>
          <w:sz w:val="24"/>
          <w:u w:val="single"/>
        </w:rPr>
        <w:t>“新鲜水果进校园，助力学生健康成长”服务采购项目</w:t>
      </w:r>
      <w:r>
        <w:rPr>
          <w:rFonts w:hint="eastAsia" w:ascii="宋体" w:hAnsi="宋体" w:cs="宋体"/>
          <w:color w:val="000000"/>
          <w:sz w:val="24"/>
        </w:rPr>
        <w:t>的</w:t>
      </w:r>
      <w:r>
        <w:rPr>
          <w:rFonts w:hint="eastAsia" w:ascii="宋体" w:hAnsi="宋体" w:cs="宋体"/>
          <w:bCs/>
          <w:sz w:val="24"/>
        </w:rPr>
        <w:t>磋商</w:t>
      </w:r>
      <w:r>
        <w:rPr>
          <w:rFonts w:hint="eastAsia" w:ascii="宋体" w:hAnsi="宋体" w:cs="宋体"/>
          <w:color w:val="000000"/>
          <w:sz w:val="24"/>
        </w:rPr>
        <w:t>采购。</w:t>
      </w:r>
    </w:p>
    <w:p>
      <w:pPr>
        <w:spacing w:line="360" w:lineRule="auto"/>
        <w:jc w:val="left"/>
        <w:rPr>
          <w:rFonts w:ascii="宋体" w:hAnsi="宋体" w:cs="宋体"/>
          <w:b/>
          <w:bCs/>
          <w:color w:val="000000"/>
          <w:sz w:val="24"/>
        </w:rPr>
      </w:pPr>
      <w:r>
        <w:rPr>
          <w:rFonts w:hint="eastAsia" w:ascii="宋体" w:hAnsi="宋体" w:cs="宋体"/>
          <w:b/>
          <w:sz w:val="24"/>
        </w:rPr>
        <w:t>（二）</w:t>
      </w:r>
      <w:r>
        <w:rPr>
          <w:rFonts w:hint="eastAsia" w:ascii="宋体" w:hAnsi="宋体" w:cs="宋体"/>
          <w:b/>
          <w:bCs/>
          <w:color w:val="000000"/>
          <w:sz w:val="24"/>
        </w:rPr>
        <w:t>定义</w:t>
      </w:r>
    </w:p>
    <w:p>
      <w:pPr>
        <w:snapToGrid w:val="0"/>
        <w:spacing w:line="360" w:lineRule="auto"/>
        <w:ind w:firstLine="480" w:firstLineChars="200"/>
        <w:jc w:val="left"/>
        <w:rPr>
          <w:rFonts w:ascii="宋体" w:hAnsi="宋体" w:cs="宋体"/>
          <w:sz w:val="24"/>
        </w:rPr>
      </w:pPr>
      <w:r>
        <w:rPr>
          <w:rFonts w:hint="eastAsia" w:ascii="宋体" w:hAnsi="宋体" w:cs="宋体"/>
          <w:sz w:val="24"/>
        </w:rPr>
        <w:t>1、“采购人”系指本项目采购单位</w:t>
      </w:r>
      <w:r>
        <w:rPr>
          <w:rFonts w:hint="eastAsia" w:ascii="宋体" w:hAnsi="宋体" w:cs="宋体"/>
          <w:color w:val="000000"/>
          <w:sz w:val="24"/>
          <w:u w:val="single"/>
        </w:rPr>
        <w:t>东阳市第</w:t>
      </w:r>
      <w:r>
        <w:rPr>
          <w:rFonts w:hint="eastAsia" w:ascii="宋体" w:hAnsi="宋体" w:cs="宋体"/>
          <w:color w:val="000000"/>
          <w:sz w:val="24"/>
          <w:u w:val="single"/>
          <w:lang w:val="en-US" w:eastAsia="zh-CN"/>
        </w:rPr>
        <w:t>三</w:t>
      </w:r>
      <w:r>
        <w:rPr>
          <w:rFonts w:hint="eastAsia" w:ascii="宋体" w:hAnsi="宋体" w:cs="宋体"/>
          <w:color w:val="000000"/>
          <w:sz w:val="24"/>
          <w:u w:val="single"/>
        </w:rPr>
        <w:t>高级中学</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hAnsi="宋体"/>
          <w:sz w:val="24"/>
        </w:rPr>
        <w:t>磋商响应</w:t>
      </w:r>
      <w:r>
        <w:rPr>
          <w:rFonts w:hint="eastAsia" w:ascii="宋体" w:hAnsi="宋体" w:cs="宋体"/>
          <w:sz w:val="24"/>
        </w:rPr>
        <w:t>方”系指向</w:t>
      </w:r>
      <w:r>
        <w:rPr>
          <w:rFonts w:hint="eastAsia" w:ascii="宋体" w:hAnsi="宋体" w:cs="宋体"/>
          <w:bCs/>
          <w:sz w:val="24"/>
        </w:rPr>
        <w:t>磋商</w:t>
      </w:r>
      <w:r>
        <w:rPr>
          <w:rFonts w:hint="eastAsia" w:ascii="宋体" w:hAnsi="宋体" w:cs="宋体"/>
          <w:sz w:val="24"/>
        </w:rPr>
        <w:t>方提交</w:t>
      </w:r>
      <w:r>
        <w:rPr>
          <w:rFonts w:hint="eastAsia" w:hAnsi="宋体"/>
          <w:sz w:val="24"/>
        </w:rPr>
        <w:t>磋商响应</w:t>
      </w:r>
      <w:r>
        <w:rPr>
          <w:rFonts w:hint="eastAsia" w:ascii="宋体" w:hAnsi="宋体" w:cs="宋体"/>
          <w:sz w:val="24"/>
        </w:rPr>
        <w:t>文件的</w:t>
      </w:r>
      <w:r>
        <w:rPr>
          <w:rFonts w:hint="eastAsia" w:ascii="宋体" w:hAnsi="宋体" w:cs="宋体"/>
          <w:color w:val="000000"/>
          <w:sz w:val="24"/>
        </w:rPr>
        <w:t>供应商</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3、“采购代理机构”系指</w:t>
      </w:r>
      <w:r>
        <w:rPr>
          <w:rFonts w:hint="eastAsia" w:ascii="宋体" w:hAnsi="宋体" w:cs="宋体"/>
          <w:sz w:val="24"/>
          <w:u w:val="single"/>
        </w:rPr>
        <w:t>金华市金诚招投标代理有限公司</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4、“产品”系指响应方按磋商文件规定，须向采购人提供的一切设备、保险、税金、备品备件、工具、手册及其它有关技术资料和材料。</w:t>
      </w:r>
    </w:p>
    <w:p>
      <w:pPr>
        <w:snapToGrid w:val="0"/>
        <w:spacing w:line="360" w:lineRule="auto"/>
        <w:ind w:firstLine="480" w:firstLineChars="200"/>
        <w:jc w:val="left"/>
        <w:rPr>
          <w:rFonts w:ascii="宋体" w:hAnsi="宋体" w:cs="宋体"/>
          <w:color w:val="000000"/>
          <w:sz w:val="24"/>
        </w:rPr>
      </w:pPr>
      <w:r>
        <w:rPr>
          <w:rFonts w:hint="eastAsia" w:ascii="宋体" w:hAnsi="宋体" w:cs="宋体"/>
          <w:sz w:val="24"/>
        </w:rPr>
        <w:t>5、“服务”系指</w:t>
      </w:r>
      <w:r>
        <w:rPr>
          <w:rFonts w:hint="eastAsia" w:ascii="宋体" w:hAnsi="宋体" w:cs="宋体"/>
          <w:bCs/>
          <w:sz w:val="24"/>
        </w:rPr>
        <w:t>磋商</w:t>
      </w:r>
      <w:r>
        <w:rPr>
          <w:rFonts w:hint="eastAsia" w:ascii="宋体" w:hAnsi="宋体" w:cs="宋体"/>
          <w:sz w:val="24"/>
        </w:rPr>
        <w:t>文件规定</w:t>
      </w:r>
      <w:r>
        <w:rPr>
          <w:rFonts w:hint="eastAsia" w:hAnsi="宋体"/>
          <w:sz w:val="24"/>
        </w:rPr>
        <w:t>磋商响应</w:t>
      </w:r>
      <w:r>
        <w:rPr>
          <w:rFonts w:hint="eastAsia" w:ascii="宋体" w:hAnsi="宋体" w:cs="宋体"/>
          <w:sz w:val="24"/>
        </w:rPr>
        <w:t>人须承担的</w:t>
      </w:r>
      <w:r>
        <w:rPr>
          <w:rFonts w:hint="eastAsia" w:ascii="宋体" w:hAnsi="宋体" w:cs="宋体"/>
          <w:color w:val="0D0D0D"/>
          <w:sz w:val="24"/>
        </w:rPr>
        <w:t>安装、调试、技术协助、培训、</w:t>
      </w:r>
      <w:r>
        <w:rPr>
          <w:rFonts w:hint="eastAsia" w:ascii="宋体" w:hAnsi="宋体" w:cs="宋体"/>
          <w:color w:val="000000"/>
          <w:sz w:val="24"/>
        </w:rPr>
        <w:t>技术指导以及其他类似的附随义务。</w:t>
      </w:r>
    </w:p>
    <w:p>
      <w:pPr>
        <w:snapToGrid w:val="0"/>
        <w:spacing w:line="360" w:lineRule="auto"/>
        <w:ind w:firstLine="480" w:firstLineChars="200"/>
        <w:jc w:val="left"/>
        <w:rPr>
          <w:rFonts w:ascii="宋体" w:hAnsi="宋体" w:cs="宋体"/>
          <w:sz w:val="24"/>
        </w:rPr>
      </w:pPr>
      <w:r>
        <w:rPr>
          <w:rFonts w:hint="eastAsia" w:ascii="宋体" w:hAnsi="宋体" w:cs="宋体"/>
          <w:sz w:val="24"/>
        </w:rPr>
        <w:t>6、“项目”系指响应方按磋商文件规定向采购人提供的产品成果和项目服务。</w:t>
      </w:r>
    </w:p>
    <w:p>
      <w:pPr>
        <w:snapToGrid w:val="0"/>
        <w:spacing w:line="360" w:lineRule="auto"/>
        <w:ind w:firstLine="480" w:firstLineChars="200"/>
        <w:jc w:val="left"/>
        <w:rPr>
          <w:rFonts w:ascii="宋体" w:hAnsi="宋体" w:cs="宋体"/>
          <w:sz w:val="24"/>
        </w:rPr>
      </w:pPr>
      <w:r>
        <w:rPr>
          <w:rFonts w:hint="eastAsia" w:ascii="宋体" w:hAnsi="宋体" w:cs="宋体"/>
          <w:sz w:val="24"/>
        </w:rPr>
        <w:t>7、“书面形式”包括信函、传真、电报等。</w:t>
      </w:r>
    </w:p>
    <w:p>
      <w:pPr>
        <w:snapToGrid w:val="0"/>
        <w:spacing w:line="360" w:lineRule="auto"/>
        <w:ind w:firstLine="480" w:firstLineChars="200"/>
        <w:jc w:val="left"/>
        <w:rPr>
          <w:rFonts w:ascii="宋体" w:hAnsi="宋体" w:cs="宋体"/>
          <w:sz w:val="24"/>
        </w:rPr>
      </w:pPr>
      <w:r>
        <w:rPr>
          <w:rFonts w:hint="eastAsia" w:ascii="宋体" w:hAnsi="宋体" w:cs="宋体"/>
          <w:sz w:val="24"/>
        </w:rPr>
        <w:t>8、“▲”系指实质性要求条款。</w:t>
      </w:r>
    </w:p>
    <w:p>
      <w:pPr>
        <w:snapToGrid w:val="0"/>
        <w:spacing w:line="360" w:lineRule="auto"/>
        <w:jc w:val="left"/>
        <w:rPr>
          <w:rFonts w:ascii="宋体" w:hAnsi="宋体" w:cs="宋体"/>
          <w:b/>
          <w:sz w:val="24"/>
        </w:rPr>
      </w:pPr>
      <w:r>
        <w:rPr>
          <w:rFonts w:hint="eastAsia" w:ascii="宋体" w:hAnsi="宋体" w:cs="宋体"/>
          <w:b/>
          <w:sz w:val="24"/>
        </w:rPr>
        <w:t>（三）合格的磋商响应人</w:t>
      </w:r>
    </w:p>
    <w:p>
      <w:pP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1、符合《中华人民共和国政府采购法》第二十二条规定的供应商资格条件；</w:t>
      </w:r>
    </w:p>
    <w:p>
      <w:pPr>
        <w:spacing w:line="360" w:lineRule="auto"/>
        <w:ind w:firstLine="480" w:firstLineChars="200"/>
        <w:rPr>
          <w:rFonts w:ascii="宋体" w:hAnsi="宋体" w:cs="宋体"/>
          <w:sz w:val="24"/>
        </w:rPr>
      </w:pPr>
      <w:r>
        <w:rPr>
          <w:rFonts w:hint="eastAsia" w:ascii="宋体" w:hAnsi="宋体" w:cs="宋体"/>
          <w:sz w:val="24"/>
        </w:rPr>
        <w:t>2、本项目仅面向中小型及以下企业可参加磋商。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hAnsi="宋体"/>
          <w:sz w:val="24"/>
        </w:rPr>
        <w:t>磋商</w:t>
      </w:r>
      <w:r>
        <w:rPr>
          <w:rFonts w:hint="eastAsia" w:ascii="宋体" w:hAnsi="宋体" w:cs="宋体"/>
          <w:sz w:val="24"/>
          <w:shd w:val="clear" w:color="auto" w:fill="FFFFFF"/>
        </w:rPr>
        <w:t>；</w:t>
      </w:r>
    </w:p>
    <w:p>
      <w:pPr>
        <w:snapToGrid w:val="0"/>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pPr>
        <w:spacing w:line="360" w:lineRule="auto"/>
        <w:rPr>
          <w:rFonts w:ascii="宋体" w:hAnsi="宋体" w:cs="宋体"/>
          <w:b/>
          <w:sz w:val="24"/>
        </w:rPr>
      </w:pPr>
      <w:r>
        <w:rPr>
          <w:rFonts w:hint="eastAsia" w:ascii="宋体" w:hAnsi="宋体" w:cs="宋体"/>
          <w:b/>
          <w:sz w:val="24"/>
        </w:rPr>
        <w:t>（四）磋商费用</w:t>
      </w:r>
    </w:p>
    <w:p>
      <w:pPr>
        <w:spacing w:line="360" w:lineRule="auto"/>
        <w:ind w:firstLine="480" w:firstLineChars="200"/>
        <w:rPr>
          <w:rFonts w:ascii="宋体" w:hAnsi="宋体" w:cs="宋体"/>
          <w:color w:val="0D0D0D"/>
          <w:sz w:val="24"/>
        </w:rPr>
      </w:pPr>
      <w:r>
        <w:rPr>
          <w:rFonts w:hint="eastAsia" w:ascii="宋体" w:hAnsi="宋体" w:cs="宋体"/>
          <w:color w:val="0D0D0D"/>
          <w:sz w:val="24"/>
        </w:rPr>
        <w:t>1、无论</w:t>
      </w:r>
      <w:r>
        <w:rPr>
          <w:rFonts w:hint="eastAsia" w:hAnsi="宋体"/>
          <w:sz w:val="24"/>
        </w:rPr>
        <w:t>磋商</w:t>
      </w:r>
      <w:r>
        <w:rPr>
          <w:rFonts w:hint="eastAsia" w:ascii="宋体" w:hAnsi="宋体" w:cs="宋体"/>
          <w:color w:val="0D0D0D"/>
          <w:sz w:val="24"/>
        </w:rPr>
        <w:t>过程和结果如何，</w:t>
      </w:r>
      <w:r>
        <w:rPr>
          <w:rFonts w:hint="eastAsia" w:hAnsi="宋体"/>
          <w:sz w:val="24"/>
        </w:rPr>
        <w:t>磋商响应</w:t>
      </w:r>
      <w:r>
        <w:rPr>
          <w:rFonts w:hint="eastAsia" w:ascii="宋体" w:hAnsi="宋体" w:cs="宋体"/>
          <w:sz w:val="24"/>
        </w:rPr>
        <w:t>人均应自行承担与本次</w:t>
      </w:r>
      <w:r>
        <w:rPr>
          <w:rFonts w:hint="eastAsia" w:hAnsi="宋体"/>
          <w:sz w:val="24"/>
        </w:rPr>
        <w:t>磋商</w:t>
      </w:r>
      <w:r>
        <w:rPr>
          <w:rFonts w:hint="eastAsia" w:ascii="宋体" w:hAnsi="宋体" w:cs="宋体"/>
          <w:sz w:val="24"/>
        </w:rPr>
        <w:t>有关的全部费用</w:t>
      </w:r>
      <w:r>
        <w:rPr>
          <w:rFonts w:hint="eastAsia" w:ascii="宋体" w:hAnsi="宋体" w:cs="宋体"/>
          <w:color w:val="0D0D0D"/>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sz w:val="24"/>
        </w:rPr>
        <w:t>中标人须在领取中标通知书前向</w:t>
      </w:r>
      <w:r>
        <w:rPr>
          <w:rFonts w:hint="eastAsia" w:ascii="宋体" w:hAnsi="宋体" w:cs="宋体"/>
          <w:bCs/>
          <w:sz w:val="24"/>
        </w:rPr>
        <w:t>磋商</w:t>
      </w:r>
      <w:r>
        <w:rPr>
          <w:rFonts w:hint="eastAsia" w:ascii="宋体" w:hAnsi="宋体"/>
          <w:sz w:val="24"/>
        </w:rPr>
        <w:t>代理机构交纳中标服务费，本项目</w:t>
      </w:r>
      <w:r>
        <w:rPr>
          <w:rFonts w:hint="eastAsia" w:ascii="宋体" w:hAnsi="宋体" w:cs="宋体"/>
          <w:sz w:val="24"/>
        </w:rPr>
        <w:t>服务费按</w:t>
      </w:r>
      <w:r>
        <w:rPr>
          <w:rFonts w:hint="eastAsia" w:ascii="宋体" w:hAnsi="宋体" w:cs="宋体"/>
          <w:sz w:val="24"/>
          <w:lang w:val="en-US" w:eastAsia="zh-CN"/>
        </w:rPr>
        <w:t>7</w:t>
      </w:r>
      <w:r>
        <w:rPr>
          <w:rFonts w:hint="eastAsia" w:ascii="宋体" w:hAnsi="宋体" w:cs="宋体"/>
          <w:sz w:val="24"/>
        </w:rPr>
        <w:t>000元收取。</w:t>
      </w:r>
    </w:p>
    <w:p>
      <w:pPr>
        <w:pStyle w:val="16"/>
        <w:spacing w:after="0"/>
        <w:ind w:firstLine="0" w:firstLineChars="0"/>
        <w:rPr>
          <w:rFonts w:ascii="宋体" w:hAnsi="宋体" w:cs="宋体"/>
          <w:b/>
          <w:szCs w:val="24"/>
        </w:rPr>
      </w:pPr>
      <w:r>
        <w:rPr>
          <w:rFonts w:hint="eastAsia" w:ascii="宋体" w:hAnsi="宋体" w:cs="宋体"/>
          <w:b/>
          <w:szCs w:val="24"/>
        </w:rPr>
        <w:t>（五）</w:t>
      </w:r>
      <w:r>
        <w:rPr>
          <w:rFonts w:hint="eastAsia" w:ascii="宋体" w:hAnsi="宋体" w:cs="宋体"/>
          <w:b/>
        </w:rPr>
        <w:t>磋商</w:t>
      </w:r>
      <w:r>
        <w:rPr>
          <w:rFonts w:hint="eastAsia" w:ascii="宋体" w:hAnsi="宋体" w:cs="宋体"/>
          <w:b/>
          <w:szCs w:val="24"/>
        </w:rPr>
        <w:t>报价</w:t>
      </w:r>
    </w:p>
    <w:p>
      <w:pPr>
        <w:spacing w:line="360" w:lineRule="auto"/>
        <w:ind w:firstLine="480" w:firstLineChars="200"/>
        <w:rPr>
          <w:rFonts w:ascii="宋体" w:hAnsi="宋体" w:cs="宋体"/>
          <w:sz w:val="24"/>
        </w:rPr>
      </w:pPr>
      <w:r>
        <w:rPr>
          <w:rFonts w:hint="eastAsia" w:ascii="宋体" w:hAnsi="宋体" w:cs="宋体"/>
          <w:sz w:val="24"/>
        </w:rPr>
        <w:t>1、磋商报价应以人民币为结算货币。磋商报价为磋商响应方所能承受的最低、最终一次性报价。磋商响应方的报价为整个采购项目的总报价，磋商报价</w:t>
      </w:r>
      <w:r>
        <w:rPr>
          <w:rFonts w:hint="eastAsia" w:ascii="宋体" w:hAnsi="宋体" w:cs="宋体"/>
          <w:bCs/>
          <w:sz w:val="24"/>
        </w:rPr>
        <w:t>包括本次项目实施所需的设备、水果、日常经营、劳务、办公 、通信、劳保、福利、利润、税金、培训、奖罚措施、保险、管理政策性收费</w:t>
      </w:r>
      <w:r>
        <w:rPr>
          <w:rFonts w:hint="eastAsia" w:ascii="宋体" w:hAnsi="宋体" w:cs="宋体"/>
          <w:sz w:val="24"/>
        </w:rPr>
        <w:t>以及为完成本项目</w:t>
      </w:r>
      <w:r>
        <w:rPr>
          <w:rFonts w:hint="eastAsia" w:ascii="宋体" w:hAnsi="宋体" w:cs="宋体"/>
          <w:bCs/>
          <w:sz w:val="24"/>
        </w:rPr>
        <w:t>磋商</w:t>
      </w:r>
      <w:r>
        <w:rPr>
          <w:rFonts w:hint="eastAsia" w:ascii="宋体" w:hAnsi="宋体" w:cs="宋体"/>
          <w:sz w:val="24"/>
        </w:rPr>
        <w:t>文件规定的所有工作所涉及到的一切相关费用。如有漏项，视同已包含在其总项目中，合同总价不做调整。磋商中标单位应当向采购人开具正式发票，税费由磋商中标单位承担。</w:t>
      </w:r>
    </w:p>
    <w:p>
      <w:pPr>
        <w:snapToGrid w:val="0"/>
        <w:spacing w:line="360" w:lineRule="auto"/>
        <w:ind w:firstLine="480" w:firstLineChars="200"/>
        <w:jc w:val="left"/>
        <w:rPr>
          <w:rFonts w:ascii="宋体" w:hAnsi="宋体" w:cs="宋体"/>
          <w:sz w:val="24"/>
        </w:rPr>
      </w:pPr>
      <w:r>
        <w:rPr>
          <w:rFonts w:hint="eastAsia" w:ascii="宋体" w:hAnsi="宋体" w:cs="宋体"/>
          <w:sz w:val="24"/>
        </w:rPr>
        <w:t>2、磋商响应方应按采购文件的《报价表》格式报价。如果大写与小写有出入，以大写为准。</w:t>
      </w:r>
    </w:p>
    <w:p>
      <w:pPr>
        <w:pStyle w:val="27"/>
        <w:widowControl/>
        <w:spacing w:beforeLines="0" w:afterLines="0" w:line="360" w:lineRule="auto"/>
        <w:textAlignment w:val="baseline"/>
        <w:rPr>
          <w:rFonts w:hAnsi="宋体" w:cs="宋体"/>
          <w:b/>
          <w:bCs/>
          <w:color w:val="000000"/>
        </w:rPr>
      </w:pPr>
      <w:r>
        <w:rPr>
          <w:rFonts w:hint="eastAsia" w:hAnsi="宋体" w:cs="宋体"/>
          <w:b/>
          <w:bCs/>
          <w:color w:val="000000"/>
          <w:lang w:eastAsia="zh-CN"/>
        </w:rPr>
        <w:t>（六）磋商</w:t>
      </w:r>
      <w:r>
        <w:rPr>
          <w:rFonts w:hint="eastAsia" w:hAnsi="宋体" w:cs="宋体"/>
          <w:b/>
          <w:bCs/>
          <w:color w:val="000000"/>
        </w:rPr>
        <w:t>保证金</w:t>
      </w:r>
    </w:p>
    <w:p>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1、</w:t>
      </w:r>
      <w:r>
        <w:rPr>
          <w:rFonts w:hint="eastAsia" w:hAnsi="宋体" w:cs="宋体"/>
          <w:color w:val="000000"/>
          <w:lang w:eastAsia="zh-CN"/>
        </w:rPr>
        <w:t>磋商</w:t>
      </w:r>
      <w:r>
        <w:rPr>
          <w:rFonts w:hint="eastAsia" w:hAnsi="宋体" w:cs="宋体"/>
          <w:color w:val="000000"/>
        </w:rPr>
        <w:t>保证金为</w:t>
      </w:r>
      <w:r>
        <w:rPr>
          <w:rFonts w:hint="eastAsia" w:hAnsi="宋体" w:cs="宋体"/>
          <w:lang w:eastAsia="zh-CN"/>
        </w:rPr>
        <w:t>磋商</w:t>
      </w:r>
      <w:r>
        <w:rPr>
          <w:rFonts w:hint="eastAsia" w:hAnsi="宋体" w:cs="宋体"/>
          <w:color w:val="000000"/>
        </w:rPr>
        <w:t>响应文件的组成部分之一。</w:t>
      </w:r>
    </w:p>
    <w:p>
      <w:pPr>
        <w:widowControl/>
        <w:spacing w:line="360" w:lineRule="auto"/>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磋商</w:t>
      </w:r>
      <w:r>
        <w:rPr>
          <w:rFonts w:hint="eastAsia" w:ascii="宋体" w:hAnsi="宋体" w:cs="宋体"/>
          <w:color w:val="000000"/>
          <w:sz w:val="24"/>
          <w:szCs w:val="24"/>
        </w:rPr>
        <w:t>响应方应按竞争性</w:t>
      </w:r>
      <w:r>
        <w:rPr>
          <w:rFonts w:hint="eastAsia" w:ascii="宋体" w:hAnsi="宋体" w:cs="宋体"/>
          <w:color w:val="000000"/>
          <w:sz w:val="24"/>
          <w:szCs w:val="24"/>
          <w:lang w:eastAsia="zh-CN"/>
        </w:rPr>
        <w:t>磋商</w:t>
      </w:r>
      <w:r>
        <w:rPr>
          <w:rFonts w:hint="eastAsia" w:ascii="宋体" w:hAnsi="宋体" w:cs="宋体"/>
          <w:color w:val="000000"/>
          <w:sz w:val="24"/>
          <w:szCs w:val="24"/>
        </w:rPr>
        <w:t>公告第</w:t>
      </w:r>
      <w:r>
        <w:rPr>
          <w:rFonts w:hint="eastAsia" w:ascii="宋体" w:hAnsi="宋体" w:cs="宋体"/>
          <w:color w:val="000000"/>
          <w:sz w:val="24"/>
          <w:szCs w:val="24"/>
          <w:lang w:eastAsia="zh-CN"/>
        </w:rPr>
        <w:t>七</w:t>
      </w:r>
      <w:r>
        <w:rPr>
          <w:rFonts w:hint="eastAsia" w:ascii="宋体" w:hAnsi="宋体" w:cs="宋体"/>
          <w:color w:val="000000"/>
          <w:sz w:val="24"/>
          <w:szCs w:val="24"/>
        </w:rPr>
        <w:t>条规定提交相应的</w:t>
      </w:r>
      <w:r>
        <w:rPr>
          <w:rFonts w:hint="eastAsia" w:ascii="宋体" w:hAnsi="宋体" w:cs="宋体"/>
          <w:color w:val="000000"/>
          <w:sz w:val="24"/>
          <w:szCs w:val="24"/>
          <w:lang w:eastAsia="zh-CN"/>
        </w:rPr>
        <w:t>磋商</w:t>
      </w:r>
      <w:r>
        <w:rPr>
          <w:rFonts w:hint="eastAsia" w:ascii="宋体" w:hAnsi="宋体" w:cs="宋体"/>
          <w:color w:val="000000"/>
          <w:sz w:val="24"/>
          <w:szCs w:val="24"/>
        </w:rPr>
        <w:t>保证金。</w:t>
      </w:r>
    </w:p>
    <w:p>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3、未按规定提交</w:t>
      </w:r>
      <w:r>
        <w:rPr>
          <w:rFonts w:hint="eastAsia" w:hAnsi="宋体" w:cs="宋体"/>
          <w:color w:val="000000"/>
          <w:lang w:eastAsia="zh-CN"/>
        </w:rPr>
        <w:t>磋商</w:t>
      </w:r>
      <w:r>
        <w:rPr>
          <w:rFonts w:hint="eastAsia" w:hAnsi="宋体" w:cs="宋体"/>
          <w:color w:val="000000"/>
        </w:rPr>
        <w:t>保证金的</w:t>
      </w:r>
      <w:r>
        <w:rPr>
          <w:rFonts w:hint="eastAsia" w:hAnsi="宋体" w:cs="宋体"/>
          <w:color w:val="000000"/>
          <w:lang w:eastAsia="zh-CN"/>
        </w:rPr>
        <w:t>磋商</w:t>
      </w:r>
      <w:r>
        <w:rPr>
          <w:rFonts w:hint="eastAsia" w:hAnsi="宋体" w:cs="宋体"/>
          <w:color w:val="000000"/>
        </w:rPr>
        <w:t>响应，视为自动放弃本次竞争性</w:t>
      </w:r>
      <w:r>
        <w:rPr>
          <w:rFonts w:hint="eastAsia" w:hAnsi="宋体" w:cs="宋体"/>
          <w:color w:val="000000"/>
          <w:lang w:eastAsia="zh-CN"/>
        </w:rPr>
        <w:t>磋商</w:t>
      </w:r>
      <w:r>
        <w:rPr>
          <w:rFonts w:hint="eastAsia" w:hAnsi="宋体" w:cs="宋体"/>
          <w:color w:val="000000"/>
        </w:rPr>
        <w:t>谈判。</w:t>
      </w:r>
    </w:p>
    <w:p>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4、若发现有串标者，将被视为无效</w:t>
      </w:r>
      <w:r>
        <w:rPr>
          <w:rFonts w:hint="eastAsia" w:hAnsi="宋体" w:cs="宋体"/>
          <w:color w:val="000000"/>
          <w:lang w:eastAsia="zh-CN"/>
        </w:rPr>
        <w:t>磋商</w:t>
      </w:r>
      <w:r>
        <w:rPr>
          <w:rFonts w:hint="eastAsia" w:hAnsi="宋体" w:cs="宋体"/>
          <w:color w:val="000000"/>
        </w:rPr>
        <w:t>响应，并将被没收其</w:t>
      </w:r>
      <w:r>
        <w:rPr>
          <w:rFonts w:hint="eastAsia" w:hAnsi="宋体" w:cs="宋体"/>
          <w:color w:val="000000"/>
          <w:lang w:eastAsia="zh-CN"/>
        </w:rPr>
        <w:t>磋商</w:t>
      </w:r>
      <w:r>
        <w:rPr>
          <w:rFonts w:hint="eastAsia" w:hAnsi="宋体" w:cs="宋体"/>
          <w:color w:val="000000"/>
        </w:rPr>
        <w:t>保证金。</w:t>
      </w:r>
    </w:p>
    <w:p>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5、未中标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保证金，在确定中标人后3个工作日内退还（无息）。</w:t>
      </w:r>
    </w:p>
    <w:p>
      <w:pPr>
        <w:pStyle w:val="27"/>
        <w:widowControl/>
        <w:spacing w:beforeLines="0" w:afterLines="0" w:line="360" w:lineRule="auto"/>
        <w:ind w:firstLine="480" w:firstLineChars="200"/>
        <w:textAlignment w:val="baseline"/>
        <w:rPr>
          <w:rFonts w:hint="eastAsia" w:hAnsi="宋体" w:cs="宋体"/>
          <w:color w:val="000000"/>
        </w:rPr>
      </w:pPr>
      <w:r>
        <w:rPr>
          <w:rFonts w:hint="eastAsia" w:hAnsi="宋体" w:cs="宋体"/>
          <w:color w:val="000000"/>
        </w:rPr>
        <w:t>6、</w:t>
      </w:r>
      <w:r>
        <w:rPr>
          <w:rFonts w:hint="eastAsia" w:hAnsi="宋体" w:cs="宋体"/>
          <w:lang w:eastAsia="zh-CN"/>
        </w:rPr>
        <w:t>磋商</w:t>
      </w:r>
      <w:r>
        <w:rPr>
          <w:rFonts w:hint="eastAsia" w:hAnsi="宋体" w:cs="宋体"/>
          <w:color w:val="000000"/>
        </w:rPr>
        <w:t>响应文件递交截止日后，</w:t>
      </w:r>
      <w:r>
        <w:rPr>
          <w:rFonts w:hint="eastAsia" w:hAnsi="宋体" w:cs="宋体"/>
          <w:lang w:eastAsia="zh-CN"/>
        </w:rPr>
        <w:t>磋商</w:t>
      </w:r>
      <w:r>
        <w:rPr>
          <w:rFonts w:hint="eastAsia" w:hAnsi="宋体" w:cs="宋体"/>
          <w:color w:val="000000"/>
        </w:rPr>
        <w:t>响应方撤回</w:t>
      </w:r>
      <w:r>
        <w:rPr>
          <w:rFonts w:hint="eastAsia" w:hAnsi="宋体" w:cs="宋体"/>
          <w:lang w:eastAsia="zh-CN"/>
        </w:rPr>
        <w:t>磋商</w:t>
      </w:r>
      <w:r>
        <w:rPr>
          <w:rFonts w:hint="eastAsia" w:hAnsi="宋体" w:cs="宋体"/>
          <w:color w:val="000000"/>
        </w:rPr>
        <w:t>响应文件的，</w:t>
      </w:r>
      <w:r>
        <w:rPr>
          <w:rFonts w:hint="eastAsia" w:hAnsi="宋体" w:cs="宋体"/>
          <w:color w:val="000000"/>
          <w:lang w:eastAsia="zh-CN"/>
        </w:rPr>
        <w:t>磋商</w:t>
      </w:r>
      <w:r>
        <w:rPr>
          <w:rFonts w:hint="eastAsia" w:hAnsi="宋体" w:cs="宋体"/>
          <w:color w:val="000000"/>
        </w:rPr>
        <w:t>保证金不予退还。</w:t>
      </w:r>
    </w:p>
    <w:p>
      <w:pPr>
        <w:pStyle w:val="27"/>
        <w:widowControl/>
        <w:spacing w:beforeLines="0" w:afterLines="0" w:line="360" w:lineRule="auto"/>
        <w:ind w:firstLine="480" w:firstLineChars="200"/>
        <w:textAlignment w:val="baseline"/>
        <w:rPr>
          <w:rFonts w:hint="eastAsia" w:hAnsi="宋体" w:cs="宋体"/>
          <w:color w:val="000000"/>
          <w:lang w:eastAsia="zh-CN"/>
        </w:rPr>
      </w:pPr>
      <w:r>
        <w:rPr>
          <w:rFonts w:hint="eastAsia" w:hAnsi="宋体" w:cs="宋体"/>
          <w:color w:val="000000"/>
        </w:rPr>
        <w:t>7、中标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保证金在签订合同后3个工作日内退还（无息）</w:t>
      </w:r>
      <w:r>
        <w:rPr>
          <w:rFonts w:hint="eastAsia" w:hAnsi="宋体" w:cs="宋体"/>
          <w:color w:val="000000"/>
          <w:lang w:eastAsia="zh-CN"/>
        </w:rPr>
        <w:t>。</w:t>
      </w:r>
    </w:p>
    <w:p>
      <w:pPr>
        <w:pStyle w:val="27"/>
        <w:widowControl/>
        <w:spacing w:beforeLines="0" w:afterLines="0" w:line="360" w:lineRule="auto"/>
        <w:textAlignment w:val="baseline"/>
        <w:rPr>
          <w:rFonts w:ascii="宋体" w:hAnsi="宋体" w:cs="宋体"/>
          <w:b/>
          <w:bCs/>
          <w:sz w:val="24"/>
        </w:rPr>
      </w:pPr>
      <w:r>
        <w:rPr>
          <w:rFonts w:hint="eastAsia" w:ascii="宋体" w:hAnsi="宋体" w:cs="宋体"/>
          <w:b/>
          <w:bCs/>
          <w:color w:val="000000"/>
          <w:sz w:val="24"/>
        </w:rPr>
        <w:t>（</w:t>
      </w:r>
      <w:r>
        <w:rPr>
          <w:rFonts w:hint="eastAsia" w:hAnsi="宋体" w:cs="宋体"/>
          <w:b/>
          <w:bCs/>
          <w:color w:val="000000"/>
          <w:sz w:val="24"/>
          <w:lang w:eastAsia="zh-CN"/>
        </w:rPr>
        <w:t>七</w:t>
      </w:r>
      <w:r>
        <w:rPr>
          <w:rFonts w:hint="eastAsia" w:ascii="宋体" w:hAnsi="宋体" w:cs="宋体"/>
          <w:b/>
          <w:bCs/>
          <w:color w:val="000000"/>
          <w:sz w:val="24"/>
        </w:rPr>
        <w:t>）磋商响应</w:t>
      </w:r>
      <w:r>
        <w:rPr>
          <w:rFonts w:hint="eastAsia" w:ascii="宋体" w:hAnsi="宋体" w:cs="宋体"/>
          <w:b/>
          <w:bCs/>
          <w:sz w:val="24"/>
        </w:rPr>
        <w:t>文件的有效期</w:t>
      </w:r>
    </w:p>
    <w:p>
      <w:pPr>
        <w:spacing w:line="360" w:lineRule="auto"/>
        <w:ind w:firstLine="480" w:firstLineChars="200"/>
        <w:jc w:val="left"/>
        <w:outlineLvl w:val="2"/>
        <w:rPr>
          <w:rFonts w:ascii="宋体" w:hAnsi="宋体" w:cs="宋体"/>
          <w:sz w:val="24"/>
        </w:rPr>
      </w:pPr>
      <w:r>
        <w:rPr>
          <w:rFonts w:hint="eastAsia" w:ascii="宋体" w:hAnsi="宋体" w:cs="宋体"/>
          <w:sz w:val="24"/>
        </w:rPr>
        <w:t>磋商响应文件从</w:t>
      </w:r>
      <w:r>
        <w:rPr>
          <w:rFonts w:hint="eastAsia" w:hAnsi="宋体"/>
          <w:sz w:val="24"/>
        </w:rPr>
        <w:t>磋商响应</w:t>
      </w:r>
      <w:r>
        <w:rPr>
          <w:rFonts w:hint="eastAsia" w:ascii="宋体" w:hAnsi="宋体" w:cs="宋体"/>
          <w:sz w:val="24"/>
        </w:rPr>
        <w:t>截止之日起，</w:t>
      </w:r>
      <w:r>
        <w:rPr>
          <w:rFonts w:hint="eastAsia" w:hAnsi="宋体"/>
          <w:sz w:val="24"/>
        </w:rPr>
        <w:t>磋商响应文件</w:t>
      </w:r>
      <w:r>
        <w:rPr>
          <w:rFonts w:hint="eastAsia" w:ascii="宋体" w:hAnsi="宋体" w:cs="宋体"/>
          <w:sz w:val="24"/>
        </w:rPr>
        <w:t>有效期为60天。</w:t>
      </w:r>
    </w:p>
    <w:p>
      <w:pPr>
        <w:spacing w:line="360" w:lineRule="auto"/>
        <w:jc w:val="left"/>
        <w:outlineLvl w:val="2"/>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八</w:t>
      </w:r>
      <w:r>
        <w:rPr>
          <w:rFonts w:hint="eastAsia" w:ascii="宋体" w:hAnsi="宋体" w:cs="宋体"/>
          <w:b/>
          <w:bCs/>
          <w:sz w:val="24"/>
        </w:rPr>
        <w:t>）特别说明：</w:t>
      </w:r>
    </w:p>
    <w:p>
      <w:pPr>
        <w:spacing w:line="440" w:lineRule="exact"/>
        <w:ind w:firstLine="480" w:firstLineChars="200"/>
        <w:rPr>
          <w:rFonts w:ascii="宋体" w:hAnsi="宋体"/>
          <w:b/>
          <w:sz w:val="24"/>
        </w:rPr>
      </w:pPr>
      <w:r>
        <w:rPr>
          <w:rFonts w:hint="eastAsia" w:ascii="宋体" w:hAnsi="宋体" w:cs="宋体"/>
          <w:sz w:val="24"/>
        </w:rPr>
        <w:t>▲</w:t>
      </w:r>
      <w:r>
        <w:rPr>
          <w:rFonts w:ascii="宋体" w:hAnsi="宋体"/>
          <w:b/>
          <w:sz w:val="24"/>
        </w:rPr>
        <w:t>1</w:t>
      </w:r>
      <w:r>
        <w:rPr>
          <w:rFonts w:hint="eastAsia" w:ascii="宋体" w:hAnsi="宋体"/>
          <w:b/>
          <w:sz w:val="24"/>
        </w:rPr>
        <w:t>.</w:t>
      </w:r>
      <w:r>
        <w:rPr>
          <w:rFonts w:hint="eastAsia" w:ascii="宋体" w:hAnsi="宋体"/>
          <w:sz w:val="24"/>
        </w:rPr>
        <w:t>多个供应商参加磋商，如其中两家或两家以上供应商的法定代表人为同一人或相互之间存在投资关系且达到控股的，应当按一个供应商认定。</w:t>
      </w:r>
    </w:p>
    <w:p>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2.供应商磋商所使用的资格、信誉、荣誉与企业认证必须为本法人所拥有。供应商磋商所使用的采购项目实施人员必须为本法人员工（或必须为本法人或控股公司正式员工）。</w:t>
      </w:r>
    </w:p>
    <w:p>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3.供应商应仔细阅读磋商文件的所有内容，按照磋商文件的要求提交磋商响应文件，并对所提供的全部资料的真实性承担法律责任。</w:t>
      </w:r>
    </w:p>
    <w:p>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pPr>
        <w:spacing w:line="360" w:lineRule="auto"/>
        <w:ind w:firstLine="480" w:firstLineChars="200"/>
        <w:rPr>
          <w:sz w:val="24"/>
        </w:rPr>
      </w:pPr>
      <w:r>
        <w:rPr>
          <w:rFonts w:hint="eastAsia" w:ascii="宋体" w:hAnsi="宋体" w:cs="宋体"/>
          <w:sz w:val="24"/>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pPr>
        <w:spacing w:line="360" w:lineRule="auto"/>
        <w:ind w:firstLine="480" w:firstLineChars="200"/>
        <w:rPr>
          <w:rFonts w:ascii="宋体" w:hAnsi="宋体"/>
          <w:sz w:val="24"/>
        </w:rPr>
      </w:pPr>
      <w:r>
        <w:rPr>
          <w:rFonts w:hint="eastAsia" w:ascii="宋体" w:hAnsi="宋体" w:cs="宋体"/>
          <w:sz w:val="24"/>
        </w:rPr>
        <w:t>▲</w:t>
      </w:r>
      <w:r>
        <w:rPr>
          <w:rFonts w:hint="eastAsia" w:ascii="宋体" w:hAnsi="宋体"/>
          <w:sz w:val="24"/>
        </w:rPr>
        <w:t>6.</w:t>
      </w:r>
      <w:r>
        <w:rPr>
          <w:rFonts w:ascii="宋体" w:hAnsi="宋体"/>
          <w:sz w:val="24"/>
        </w:rPr>
        <w:t xml:space="preserve"> </w:t>
      </w:r>
      <w:r>
        <w:rPr>
          <w:rFonts w:hint="eastAsia" w:ascii="宋体" w:hAnsi="宋体" w:cs="宋体"/>
          <w:bCs/>
          <w:sz w:val="24"/>
        </w:rPr>
        <w:t>磋商</w:t>
      </w:r>
      <w:r>
        <w:rPr>
          <w:rFonts w:ascii="宋体" w:hAnsi="宋体"/>
          <w:sz w:val="24"/>
        </w:rPr>
        <w:t>方不保证最低报价者为中标方。</w:t>
      </w:r>
    </w:p>
    <w:p>
      <w:pPr>
        <w:snapToGrid w:val="0"/>
        <w:spacing w:line="360" w:lineRule="auto"/>
        <w:ind w:firstLine="3184" w:firstLineChars="995"/>
        <w:rPr>
          <w:rFonts w:ascii="宋体" w:hAnsi="宋体" w:cs="宋体"/>
          <w:b/>
          <w:sz w:val="24"/>
        </w:rPr>
      </w:pPr>
      <w:r>
        <w:rPr>
          <w:rFonts w:hint="eastAsia" w:ascii="宋体" w:hAnsi="宋体"/>
          <w:b/>
          <w:kern w:val="44"/>
          <w:sz w:val="32"/>
          <w:szCs w:val="32"/>
        </w:rPr>
        <w:t>二、磋商文件</w:t>
      </w:r>
    </w:p>
    <w:p>
      <w:pPr>
        <w:spacing w:line="360" w:lineRule="auto"/>
        <w:rPr>
          <w:rFonts w:ascii="宋体" w:hAnsi="宋体" w:cs="宋体"/>
          <w:b/>
          <w:sz w:val="24"/>
        </w:rPr>
      </w:pPr>
      <w:r>
        <w:rPr>
          <w:rFonts w:hint="eastAsia" w:ascii="宋体" w:hAnsi="宋体" w:cs="宋体"/>
          <w:b/>
          <w:sz w:val="24"/>
        </w:rPr>
        <w:t>（</w:t>
      </w:r>
      <w:r>
        <w:rPr>
          <w:rFonts w:hint="eastAsia" w:ascii="宋体" w:hAnsi="宋体" w:cs="宋体"/>
          <w:b/>
          <w:sz w:val="24"/>
          <w:lang w:eastAsia="zh-CN"/>
        </w:rPr>
        <w:t>九</w:t>
      </w: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文件的组成</w:t>
      </w:r>
    </w:p>
    <w:p>
      <w:pPr>
        <w:snapToGrid w:val="0"/>
        <w:spacing w:line="360" w:lineRule="auto"/>
        <w:ind w:firstLine="470" w:firstLineChars="196"/>
        <w:jc w:val="left"/>
        <w:rPr>
          <w:rFonts w:ascii="宋体" w:hAnsi="宋体" w:cs="宋体"/>
          <w:b/>
          <w:sz w:val="24"/>
        </w:rPr>
      </w:pP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文件由资格审查文件、商务技术文件、报价文件三部分组成。</w:t>
      </w:r>
    </w:p>
    <w:p>
      <w:pPr>
        <w:snapToGrid w:val="0"/>
        <w:spacing w:line="360" w:lineRule="auto"/>
        <w:ind w:firstLine="480" w:firstLineChars="200"/>
        <w:jc w:val="left"/>
        <w:rPr>
          <w:rFonts w:ascii="宋体" w:hAnsi="宋体" w:cs="宋体"/>
          <w:b/>
          <w:sz w:val="24"/>
        </w:rPr>
      </w:pPr>
      <w:r>
        <w:rPr>
          <w:rFonts w:hint="eastAsia" w:ascii="宋体" w:hAnsi="宋体" w:cs="宋体"/>
          <w:b/>
          <w:sz w:val="24"/>
        </w:rPr>
        <w:t>1.资格审查文件：</w:t>
      </w:r>
    </w:p>
    <w:p>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pPr>
        <w:snapToGrid w:val="0"/>
        <w:spacing w:line="360" w:lineRule="auto"/>
        <w:ind w:firstLine="480" w:firstLineChars="200"/>
        <w:rPr>
          <w:rFonts w:ascii="宋体" w:hAnsi="宋体" w:cs="宋体"/>
          <w:b/>
          <w:bCs/>
          <w:sz w:val="24"/>
        </w:rPr>
      </w:pPr>
      <w:r>
        <w:rPr>
          <w:rFonts w:hint="eastAsia" w:ascii="宋体" w:hAnsi="宋体" w:cs="宋体"/>
          <w:b/>
          <w:bCs/>
          <w:sz w:val="24"/>
        </w:rPr>
        <w:t>备注：</w:t>
      </w:r>
    </w:p>
    <w:p>
      <w:pPr>
        <w:snapToGrid w:val="0"/>
        <w:spacing w:line="360" w:lineRule="auto"/>
        <w:ind w:firstLine="480" w:firstLineChars="200"/>
        <w:rPr>
          <w:rFonts w:ascii="宋体" w:hAnsi="宋体" w:cs="宋体"/>
          <w:sz w:val="24"/>
        </w:rPr>
      </w:pPr>
      <w:r>
        <w:rPr>
          <w:rFonts w:hint="eastAsia" w:hAnsi="宋体"/>
          <w:sz w:val="24"/>
        </w:rPr>
        <w:t>磋商响应</w:t>
      </w:r>
      <w:r>
        <w:rPr>
          <w:rFonts w:hint="eastAsia" w:ascii="宋体" w:hAnsi="宋体" w:cs="宋体"/>
          <w:sz w:val="24"/>
        </w:rPr>
        <w:t>人应未被列入失信被执行人名单、重大税收违法案件当事人名单、政府采购严重违法失信行为记录名单，信用信息以</w:t>
      </w:r>
      <w:r>
        <w:rPr>
          <w:rFonts w:hint="eastAsia" w:hAnsi="宋体"/>
          <w:sz w:val="24"/>
        </w:rPr>
        <w:t>磋商响应</w:t>
      </w:r>
      <w:r>
        <w:rPr>
          <w:rFonts w:hint="eastAsia" w:ascii="宋体" w:hAnsi="宋体" w:cs="宋体"/>
          <w:sz w:val="24"/>
        </w:rPr>
        <w:t>截止日信用中国网站（https://www.creditchina.gov.cn/）、中国政府采购网（http://www.ccgp.gov.cn/）公布为准；</w:t>
      </w:r>
    </w:p>
    <w:p>
      <w:pPr>
        <w:snapToGrid w:val="0"/>
        <w:spacing w:line="360" w:lineRule="auto"/>
        <w:ind w:firstLine="480" w:firstLineChars="200"/>
        <w:rPr>
          <w:rFonts w:ascii="宋体" w:hAnsi="宋体" w:cs="宋体"/>
          <w:b/>
          <w:bCs/>
          <w:sz w:val="24"/>
        </w:rPr>
      </w:pPr>
      <w:r>
        <w:rPr>
          <w:rFonts w:hint="eastAsia" w:ascii="宋体" w:hAnsi="宋体" w:cs="宋体"/>
          <w:b/>
          <w:bCs/>
          <w:sz w:val="24"/>
        </w:rPr>
        <w:t>2.商务技术文件</w:t>
      </w:r>
    </w:p>
    <w:p>
      <w:pPr>
        <w:snapToGrid w:val="0"/>
        <w:spacing w:line="360" w:lineRule="auto"/>
        <w:ind w:firstLine="480" w:firstLineChars="200"/>
        <w:rPr>
          <w:rFonts w:ascii="宋体" w:hAnsi="宋体" w:cs="宋体"/>
          <w:sz w:val="24"/>
        </w:rPr>
      </w:pPr>
      <w:r>
        <w:rPr>
          <w:rFonts w:hint="eastAsia" w:ascii="宋体" w:hAnsi="宋体" w:cs="宋体"/>
          <w:sz w:val="24"/>
        </w:rPr>
        <w:t>（1）评分响应表（格式见附件2.3）；</w:t>
      </w:r>
    </w:p>
    <w:p>
      <w:pPr>
        <w:snapToGrid w:val="0"/>
        <w:spacing w:line="360" w:lineRule="auto"/>
        <w:ind w:firstLine="480" w:firstLineChars="200"/>
        <w:rPr>
          <w:rFonts w:ascii="宋体" w:hAnsi="宋体" w:cs="宋体"/>
          <w:sz w:val="24"/>
        </w:rPr>
      </w:pPr>
      <w:r>
        <w:rPr>
          <w:rFonts w:hint="eastAsia" w:ascii="宋体" w:hAnsi="宋体" w:cs="宋体"/>
          <w:sz w:val="24"/>
        </w:rPr>
        <w:t>（2）竞争性磋商响应书（格式见附件2.4）；</w:t>
      </w:r>
    </w:p>
    <w:p>
      <w:pPr>
        <w:snapToGrid w:val="0"/>
        <w:spacing w:line="360" w:lineRule="auto"/>
        <w:ind w:firstLine="470" w:firstLineChars="196"/>
        <w:jc w:val="left"/>
        <w:rPr>
          <w:rFonts w:ascii="宋体" w:hAnsi="宋体" w:cs="宋体"/>
          <w:sz w:val="24"/>
        </w:rPr>
      </w:pPr>
      <w:r>
        <w:rPr>
          <w:rFonts w:hint="eastAsia" w:ascii="宋体" w:hAnsi="宋体" w:cs="宋体"/>
          <w:sz w:val="24"/>
        </w:rPr>
        <w:t>（3）法定代表人授权委托书(格式见附件2.5)；</w:t>
      </w:r>
    </w:p>
    <w:p>
      <w:pPr>
        <w:snapToGrid w:val="0"/>
        <w:spacing w:line="360" w:lineRule="auto"/>
        <w:ind w:firstLine="470" w:firstLineChars="196"/>
        <w:jc w:val="left"/>
        <w:rPr>
          <w:rFonts w:ascii="宋体" w:hAnsi="宋体" w:cs="宋体"/>
          <w:sz w:val="24"/>
        </w:rPr>
      </w:pPr>
      <w:r>
        <w:rPr>
          <w:rFonts w:hint="eastAsia" w:ascii="宋体" w:hAnsi="宋体" w:cs="宋体"/>
          <w:sz w:val="24"/>
        </w:rPr>
        <w:t>（4）磋商响应方情况表(格式见附件2.6)；</w:t>
      </w:r>
    </w:p>
    <w:p>
      <w:pPr>
        <w:snapToGrid w:val="0"/>
        <w:spacing w:line="360" w:lineRule="auto"/>
        <w:ind w:firstLine="470" w:firstLineChars="196"/>
        <w:jc w:val="left"/>
        <w:rPr>
          <w:rFonts w:ascii="宋体" w:hAnsi="宋体" w:cs="宋体"/>
          <w:sz w:val="24"/>
        </w:rPr>
      </w:pPr>
      <w:r>
        <w:rPr>
          <w:rFonts w:hint="eastAsia" w:ascii="宋体" w:hAnsi="宋体" w:cs="宋体"/>
          <w:sz w:val="24"/>
        </w:rPr>
        <w:t>（5）营业执照副本复印件；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（6）磋商响应方项目负责人及实施人员情况一览表（表格见附件2.7）；</w:t>
      </w:r>
    </w:p>
    <w:p>
      <w:pPr>
        <w:snapToGrid w:val="0"/>
        <w:spacing w:line="360" w:lineRule="auto"/>
        <w:ind w:firstLine="470" w:firstLineChars="196"/>
        <w:jc w:val="left"/>
        <w:rPr>
          <w:rFonts w:ascii="宋体" w:hAnsi="宋体" w:cs="宋体"/>
          <w:sz w:val="24"/>
        </w:rPr>
      </w:pPr>
      <w:r>
        <w:rPr>
          <w:rFonts w:hint="eastAsia" w:ascii="宋体" w:hAnsi="宋体" w:cs="宋体"/>
          <w:sz w:val="24"/>
        </w:rPr>
        <w:t>（7）磋商响应方成功实施的同类项目的业绩或者案例(格式见附件2.8)；</w:t>
      </w:r>
    </w:p>
    <w:p>
      <w:pPr>
        <w:snapToGrid w:val="0"/>
        <w:spacing w:line="360" w:lineRule="auto"/>
        <w:ind w:firstLine="470" w:firstLineChars="196"/>
        <w:jc w:val="left"/>
        <w:rPr>
          <w:rFonts w:ascii="宋体" w:hAnsi="宋体" w:cs="宋体"/>
          <w:sz w:val="24"/>
        </w:rPr>
      </w:pPr>
      <w:r>
        <w:rPr>
          <w:rFonts w:hint="eastAsia" w:ascii="宋体" w:hAnsi="宋体" w:cs="宋体"/>
          <w:sz w:val="24"/>
        </w:rPr>
        <w:t>（8）项目实施计划及供货方案；</w:t>
      </w:r>
    </w:p>
    <w:p>
      <w:pPr>
        <w:snapToGrid w:val="0"/>
        <w:spacing w:line="360" w:lineRule="auto"/>
        <w:ind w:firstLine="470" w:firstLineChars="196"/>
        <w:jc w:val="left"/>
        <w:rPr>
          <w:rFonts w:ascii="宋体"/>
          <w:sz w:val="24"/>
        </w:rPr>
      </w:pPr>
      <w:r>
        <w:rPr>
          <w:rFonts w:hint="eastAsia" w:ascii="宋体" w:hAnsi="宋体" w:cs="宋体"/>
          <w:color w:val="0D0D0D"/>
          <w:sz w:val="24"/>
        </w:rPr>
        <w:t>（9）技术服务方案；</w:t>
      </w:r>
    </w:p>
    <w:p>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0）</w:t>
      </w:r>
      <w:r>
        <w:rPr>
          <w:rFonts w:hint="eastAsia" w:ascii="宋体"/>
          <w:sz w:val="24"/>
        </w:rPr>
        <w:t>商务响应表（格式见附件2.9）；</w:t>
      </w:r>
    </w:p>
    <w:p>
      <w:pPr>
        <w:snapToGrid w:val="0"/>
        <w:spacing w:line="360" w:lineRule="auto"/>
        <w:ind w:firstLine="480" w:firstLineChars="200"/>
        <w:jc w:val="left"/>
        <w:rPr>
          <w:rFonts w:ascii="宋体"/>
          <w:sz w:val="24"/>
        </w:rPr>
      </w:pPr>
      <w:r>
        <w:rPr>
          <w:rFonts w:hint="eastAsia" w:ascii="宋体"/>
          <w:sz w:val="24"/>
        </w:rPr>
        <w:t>（11）</w:t>
      </w:r>
      <w:r>
        <w:rPr>
          <w:rFonts w:hint="eastAsia"/>
          <w:sz w:val="24"/>
        </w:rPr>
        <w:t>技术响应表（格式见附件</w:t>
      </w:r>
      <w:r>
        <w:rPr>
          <w:rFonts w:hint="eastAsia" w:ascii="宋体" w:hAnsi="宋体" w:cs="宋体"/>
          <w:sz w:val="24"/>
        </w:rPr>
        <w:t>2.10</w:t>
      </w:r>
      <w:r>
        <w:rPr>
          <w:rFonts w:hint="eastAsia"/>
          <w:sz w:val="24"/>
        </w:rPr>
        <w:t>）；</w:t>
      </w:r>
    </w:p>
    <w:p>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2）</w:t>
      </w:r>
      <w:r>
        <w:rPr>
          <w:rFonts w:hint="eastAsia" w:hAnsi="宋体"/>
          <w:sz w:val="24"/>
        </w:rPr>
        <w:t>磋商响应</w:t>
      </w:r>
      <w:r>
        <w:rPr>
          <w:rFonts w:hint="eastAsia" w:ascii="宋体" w:hAnsi="宋体"/>
          <w:sz w:val="24"/>
        </w:rPr>
        <w:t>产品服务计划表（格式见附件2</w:t>
      </w:r>
      <w:r>
        <w:rPr>
          <w:rFonts w:ascii="宋体" w:hAnsi="宋体"/>
          <w:sz w:val="24"/>
        </w:rPr>
        <w:t>.</w:t>
      </w:r>
      <w:r>
        <w:rPr>
          <w:rFonts w:hint="eastAsia" w:ascii="宋体" w:hAnsi="宋体"/>
          <w:sz w:val="24"/>
        </w:rPr>
        <w:t>11）；</w:t>
      </w:r>
    </w:p>
    <w:p>
      <w:pPr>
        <w:pStyle w:val="27"/>
        <w:snapToGrid w:val="0"/>
        <w:spacing w:beforeLines="0" w:afterLines="0" w:line="360" w:lineRule="auto"/>
        <w:ind w:firstLine="480" w:firstLineChars="200"/>
        <w:rPr>
          <w:rFonts w:hAnsi="宋体"/>
        </w:rPr>
      </w:pPr>
      <w:r>
        <w:rPr>
          <w:rFonts w:hint="eastAsia" w:hAnsi="宋体"/>
        </w:rPr>
        <w:t>（13）</w:t>
      </w:r>
      <w:r>
        <w:rPr>
          <w:rFonts w:hint="eastAsia" w:hAnsi="宋体"/>
          <w:szCs w:val="24"/>
        </w:rPr>
        <w:t>响应</w:t>
      </w:r>
      <w:r>
        <w:rPr>
          <w:rFonts w:hint="eastAsia" w:hAnsi="宋体"/>
        </w:rPr>
        <w:t>该项目的优势及自我评价；</w:t>
      </w:r>
    </w:p>
    <w:p>
      <w:pPr>
        <w:snapToGrid w:val="0"/>
        <w:spacing w:line="360" w:lineRule="auto"/>
        <w:ind w:left="480"/>
        <w:jc w:val="left"/>
        <w:rPr>
          <w:rFonts w:ascii="宋体"/>
          <w:sz w:val="24"/>
        </w:rPr>
      </w:pPr>
      <w:r>
        <w:rPr>
          <w:rFonts w:hint="eastAsia" w:ascii="宋体" w:hAnsi="宋体"/>
          <w:sz w:val="24"/>
        </w:rPr>
        <w:t>（14）拟投入本项目的设备（格式见附件2.12）；</w:t>
      </w:r>
    </w:p>
    <w:p>
      <w:pPr>
        <w:snapToGrid w:val="0"/>
        <w:spacing w:line="360" w:lineRule="auto"/>
        <w:ind w:firstLine="470" w:firstLineChars="196"/>
        <w:jc w:val="left"/>
        <w:rPr>
          <w:rFonts w:ascii="宋体" w:hAnsi="宋体"/>
          <w:sz w:val="24"/>
        </w:rPr>
      </w:pPr>
      <w:r>
        <w:rPr>
          <w:rFonts w:hint="eastAsia" w:ascii="宋体" w:hAnsi="宋体"/>
          <w:sz w:val="24"/>
        </w:rPr>
        <w:t>（15）优惠条件：</w:t>
      </w:r>
      <w:r>
        <w:rPr>
          <w:rFonts w:hint="eastAsia" w:hAnsi="宋体"/>
          <w:sz w:val="24"/>
        </w:rPr>
        <w:t>磋商响应</w:t>
      </w:r>
      <w:r>
        <w:rPr>
          <w:rFonts w:hint="eastAsia" w:ascii="宋体" w:hAnsi="宋体"/>
          <w:sz w:val="24"/>
        </w:rPr>
        <w:t>人承诺给予</w:t>
      </w:r>
      <w:r>
        <w:rPr>
          <w:rFonts w:hint="eastAsia" w:ascii="宋体" w:hAnsi="宋体" w:cs="宋体"/>
          <w:bCs/>
          <w:sz w:val="24"/>
        </w:rPr>
        <w:t>磋商</w:t>
      </w:r>
      <w:r>
        <w:rPr>
          <w:rFonts w:hint="eastAsia" w:ascii="宋体" w:hAnsi="宋体"/>
          <w:sz w:val="24"/>
        </w:rPr>
        <w:t>人的各种优惠条件，包括售后服务、服务网点、备品备件、专用耗材等方面的优惠；</w:t>
      </w:r>
    </w:p>
    <w:p>
      <w:pPr>
        <w:snapToGrid w:val="0"/>
        <w:spacing w:line="360" w:lineRule="auto"/>
        <w:ind w:firstLine="470" w:firstLineChars="196"/>
        <w:jc w:val="left"/>
        <w:rPr>
          <w:rFonts w:ascii="宋体" w:hAnsi="宋体" w:cs="宋体"/>
          <w:sz w:val="24"/>
        </w:rPr>
      </w:pPr>
      <w:r>
        <w:rPr>
          <w:rFonts w:hint="eastAsia" w:ascii="宋体" w:hAnsi="宋体"/>
          <w:sz w:val="24"/>
        </w:rPr>
        <w:t>（16）</w:t>
      </w:r>
      <w:r>
        <w:rPr>
          <w:rFonts w:hint="eastAsia" w:ascii="宋体" w:hAnsi="宋体" w:cs="宋体"/>
          <w:sz w:val="24"/>
        </w:rPr>
        <w:t>磋商响应方认为需要提供的其他响应文件和资料。</w:t>
      </w:r>
    </w:p>
    <w:p>
      <w:pPr>
        <w:spacing w:line="360" w:lineRule="auto"/>
        <w:ind w:left="525" w:leftChars="250"/>
        <w:rPr>
          <w:rFonts w:ascii="宋体" w:hAnsi="宋体" w:cs="宋体"/>
          <w:b/>
          <w:sz w:val="24"/>
        </w:rPr>
      </w:pPr>
      <w:r>
        <w:rPr>
          <w:rFonts w:hint="eastAsia" w:ascii="宋体" w:hAnsi="宋体" w:cs="宋体"/>
          <w:b/>
          <w:sz w:val="24"/>
        </w:rPr>
        <w:t>3.报价文件</w:t>
      </w:r>
    </w:p>
    <w:p>
      <w:pPr>
        <w:spacing w:line="360" w:lineRule="auto"/>
        <w:ind w:left="525" w:leftChars="250"/>
        <w:rPr>
          <w:rFonts w:ascii="宋体" w:hAnsi="宋体" w:cs="宋体"/>
          <w:sz w:val="24"/>
        </w:rPr>
      </w:pPr>
      <w:r>
        <w:rPr>
          <w:rFonts w:hint="eastAsia" w:ascii="宋体" w:hAnsi="宋体" w:cs="宋体"/>
          <w:sz w:val="24"/>
        </w:rPr>
        <w:t xml:space="preserve">（1）磋商函（格式见附件3.1）； </w:t>
      </w:r>
    </w:p>
    <w:p>
      <w:pPr>
        <w:spacing w:line="360" w:lineRule="auto"/>
        <w:ind w:left="525" w:leftChars="250"/>
        <w:rPr>
          <w:rFonts w:ascii="宋体" w:hAnsi="宋体" w:cs="宋体"/>
          <w:sz w:val="24"/>
        </w:rPr>
      </w:pPr>
      <w:r>
        <w:rPr>
          <w:rFonts w:hint="eastAsia" w:ascii="宋体" w:hAnsi="宋体" w:cs="宋体"/>
          <w:sz w:val="24"/>
        </w:rPr>
        <w:t xml:space="preserve">（2）磋商初次报价表（格式见附件3.2）； </w:t>
      </w:r>
    </w:p>
    <w:p>
      <w:pPr>
        <w:spacing w:line="360" w:lineRule="auto"/>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pPr>
        <w:spacing w:line="360" w:lineRule="auto"/>
        <w:ind w:firstLine="480" w:firstLineChars="200"/>
        <w:rPr>
          <w:rFonts w:ascii="宋体" w:hAnsi="宋体" w:cs="宋体"/>
          <w:b/>
          <w:bCs/>
          <w:sz w:val="24"/>
        </w:rPr>
      </w:pPr>
      <w:r>
        <w:rPr>
          <w:rFonts w:hint="eastAsia" w:ascii="宋体" w:hAnsi="宋体" w:cs="宋体"/>
          <w:b/>
          <w:bCs/>
          <w:sz w:val="24"/>
        </w:rPr>
        <w:t>注：以上资料</w:t>
      </w:r>
      <w:r>
        <w:rPr>
          <w:rFonts w:hint="eastAsia" w:ascii="宋体" w:hAnsi="宋体" w:cs="宋体"/>
          <w:b/>
          <w:sz w:val="24"/>
        </w:rPr>
        <w:t>磋商响应</w:t>
      </w:r>
      <w:r>
        <w:rPr>
          <w:rFonts w:hint="eastAsia" w:ascii="宋体" w:hAnsi="宋体" w:cs="宋体"/>
          <w:b/>
          <w:bCs/>
          <w:sz w:val="24"/>
        </w:rPr>
        <w:t>方提供不全的有可能导致响应无效。</w:t>
      </w:r>
    </w:p>
    <w:p>
      <w:pPr>
        <w:spacing w:line="360" w:lineRule="auto"/>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十</w:t>
      </w:r>
      <w:r>
        <w:rPr>
          <w:rFonts w:hint="eastAsia" w:ascii="宋体" w:hAnsi="宋体" w:cs="宋体"/>
          <w:b/>
          <w:bCs/>
          <w:sz w:val="24"/>
        </w:rPr>
        <w:t>）</w:t>
      </w:r>
      <w:r>
        <w:rPr>
          <w:rFonts w:hint="eastAsia" w:ascii="宋体" w:hAnsi="宋体" w:cs="宋体"/>
          <w:b/>
          <w:sz w:val="24"/>
        </w:rPr>
        <w:t>磋商响应</w:t>
      </w:r>
      <w:r>
        <w:rPr>
          <w:rFonts w:hint="eastAsia" w:ascii="宋体" w:hAnsi="宋体" w:cs="宋体"/>
          <w:b/>
          <w:bCs/>
          <w:sz w:val="24"/>
        </w:rPr>
        <w:t>文件的签署和份数</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磋商响应方</w:t>
      </w:r>
      <w:r>
        <w:rPr>
          <w:rFonts w:hint="eastAsia" w:ascii="宋体" w:hAnsi="宋体" w:cs="宋体"/>
          <w:sz w:val="24"/>
        </w:rPr>
        <w:t>应提供</w:t>
      </w:r>
      <w:r>
        <w:rPr>
          <w:rFonts w:hint="eastAsia" w:ascii="宋体" w:hAnsi="宋体" w:cs="宋体"/>
          <w:kern w:val="0"/>
          <w:sz w:val="24"/>
        </w:rPr>
        <w:t>磋商</w:t>
      </w:r>
      <w:r>
        <w:rPr>
          <w:rFonts w:hint="eastAsia" w:ascii="宋体" w:hAnsi="宋体" w:cs="宋体"/>
          <w:sz w:val="24"/>
        </w:rPr>
        <w:t>响应资格审查文件一份，商务技术文件正本一份、副本二份，报价文件正本一份、副本二份，并在封面左上角注明正、副本字样，若正本与副本不符，以正本为准；分别编制并单独装订成册。</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响应文件需打印或用不褪色的墨水填写。</w:t>
      </w:r>
      <w:r>
        <w:rPr>
          <w:rFonts w:hint="eastAsia" w:ascii="宋体" w:hAnsi="宋体" w:cs="宋体"/>
          <w:kern w:val="0"/>
          <w:sz w:val="24"/>
        </w:rPr>
        <w:t>磋商</w:t>
      </w:r>
      <w:r>
        <w:rPr>
          <w:rFonts w:hint="eastAsia" w:ascii="宋体" w:hAnsi="宋体" w:cs="宋体"/>
          <w:sz w:val="24"/>
        </w:rPr>
        <w:t>响应文件的装订顺序应按</w:t>
      </w:r>
      <w:r>
        <w:rPr>
          <w:rFonts w:hint="eastAsia" w:ascii="宋体" w:hAnsi="宋体" w:cs="宋体"/>
          <w:kern w:val="0"/>
          <w:sz w:val="24"/>
        </w:rPr>
        <w:t>磋商</w:t>
      </w:r>
      <w:r>
        <w:rPr>
          <w:rFonts w:hint="eastAsia" w:ascii="宋体" w:hAnsi="宋体" w:cs="宋体"/>
          <w:sz w:val="24"/>
        </w:rPr>
        <w:t>须知第（八）条所列顺序装订。</w:t>
      </w:r>
    </w:p>
    <w:p>
      <w:pPr>
        <w:spacing w:line="360" w:lineRule="auto"/>
        <w:ind w:firstLine="480" w:firstLineChars="200"/>
        <w:rPr>
          <w:rFonts w:ascii="宋体" w:hAnsi="宋体" w:cs="宋体"/>
          <w:sz w:val="24"/>
        </w:rPr>
      </w:pPr>
      <w:r>
        <w:rPr>
          <w:rFonts w:hint="eastAsia" w:ascii="宋体" w:hAnsi="宋体" w:cs="宋体"/>
          <w:sz w:val="24"/>
        </w:rPr>
        <w:t>3、所有</w:t>
      </w:r>
      <w:r>
        <w:rPr>
          <w:rFonts w:hint="eastAsia" w:ascii="宋体" w:hAnsi="宋体" w:cs="宋体"/>
          <w:kern w:val="0"/>
          <w:sz w:val="24"/>
        </w:rPr>
        <w:t>磋商</w:t>
      </w:r>
      <w:r>
        <w:rPr>
          <w:rFonts w:hint="eastAsia" w:ascii="宋体" w:hAnsi="宋体" w:cs="宋体"/>
          <w:sz w:val="24"/>
        </w:rPr>
        <w:t>响应文件均须由</w:t>
      </w:r>
      <w:r>
        <w:rPr>
          <w:rFonts w:hint="eastAsia" w:ascii="宋体" w:hAnsi="宋体" w:cs="宋体"/>
          <w:bCs/>
          <w:sz w:val="24"/>
        </w:rPr>
        <w:t>磋商响应方</w:t>
      </w:r>
      <w:r>
        <w:rPr>
          <w:rFonts w:hint="eastAsia" w:ascii="宋体" w:hAnsi="宋体" w:cs="宋体"/>
          <w:sz w:val="24"/>
        </w:rPr>
        <w:t>盖章，并由法定代表人或法定代表人授权代表签字，</w:t>
      </w:r>
      <w:r>
        <w:rPr>
          <w:rFonts w:hint="eastAsia" w:ascii="宋体" w:hAnsi="宋体" w:cs="宋体"/>
          <w:bCs/>
          <w:sz w:val="24"/>
        </w:rPr>
        <w:t>磋商响应方</w:t>
      </w:r>
      <w:r>
        <w:rPr>
          <w:rFonts w:hint="eastAsia" w:ascii="宋体" w:hAnsi="宋体" w:cs="宋体"/>
          <w:sz w:val="24"/>
        </w:rPr>
        <w:t>应写全称。</w:t>
      </w:r>
    </w:p>
    <w:p>
      <w:pPr>
        <w:tabs>
          <w:tab w:val="left" w:pos="412"/>
        </w:tabs>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一</w:t>
      </w:r>
      <w:r>
        <w:rPr>
          <w:rFonts w:hint="eastAsia" w:ascii="宋体" w:hAnsi="宋体" w:cs="宋体"/>
          <w:b/>
          <w:bCs/>
          <w:sz w:val="24"/>
        </w:rPr>
        <w:t>）</w:t>
      </w:r>
      <w:r>
        <w:rPr>
          <w:rFonts w:hint="eastAsia" w:ascii="宋体" w:hAnsi="宋体" w:cs="宋体"/>
          <w:b/>
          <w:sz w:val="24"/>
        </w:rPr>
        <w:t>磋商</w:t>
      </w:r>
      <w:r>
        <w:rPr>
          <w:rFonts w:hint="eastAsia" w:ascii="宋体" w:hAnsi="宋体" w:cs="宋体"/>
          <w:b/>
          <w:bCs/>
          <w:sz w:val="24"/>
        </w:rPr>
        <w:t>响应文件的递交</w:t>
      </w:r>
    </w:p>
    <w:p>
      <w:pPr>
        <w:spacing w:line="360" w:lineRule="auto"/>
        <w:ind w:firstLine="480" w:firstLineChars="200"/>
        <w:rPr>
          <w:rFonts w:ascii="宋体" w:hAnsi="宋体" w:cs="宋体"/>
          <w:sz w:val="24"/>
        </w:rPr>
      </w:pPr>
      <w:r>
        <w:rPr>
          <w:rFonts w:hint="eastAsia" w:ascii="宋体" w:hAnsi="宋体" w:cs="宋体"/>
          <w:sz w:val="24"/>
        </w:rPr>
        <w:t>1、磋商响应文件填写字迹必须清楚、工整。</w:t>
      </w:r>
      <w:r>
        <w:rPr>
          <w:rFonts w:hint="eastAsia" w:ascii="宋体" w:hAnsi="宋体" w:cs="宋体"/>
          <w:kern w:val="0"/>
          <w:sz w:val="24"/>
        </w:rPr>
        <w:t>并</w:t>
      </w:r>
      <w:r>
        <w:rPr>
          <w:rFonts w:hint="eastAsia" w:ascii="宋体" w:hAnsi="宋体" w:cs="宋体"/>
          <w:sz w:val="24"/>
        </w:rPr>
        <w:t>按以下方法装袋密封标记：商务技术文件</w:t>
      </w:r>
      <w:r>
        <w:rPr>
          <w:rFonts w:hint="eastAsia" w:ascii="宋体" w:hAnsi="宋体" w:cs="宋体"/>
          <w:color w:val="000000"/>
          <w:sz w:val="24"/>
        </w:rPr>
        <w:t>包装袋内装</w:t>
      </w:r>
      <w:r>
        <w:rPr>
          <w:rFonts w:hint="eastAsia" w:ascii="宋体" w:hAnsi="宋体" w:cs="宋体"/>
          <w:sz w:val="24"/>
        </w:rPr>
        <w:t>商务技术文件</w:t>
      </w:r>
      <w:r>
        <w:rPr>
          <w:rFonts w:hint="eastAsia" w:ascii="宋体" w:hAnsi="宋体" w:cs="宋体"/>
          <w:color w:val="000000"/>
          <w:sz w:val="24"/>
        </w:rPr>
        <w:t>正本1份和副本2份</w:t>
      </w:r>
      <w:r>
        <w:rPr>
          <w:rFonts w:hint="eastAsia" w:ascii="宋体" w:hAnsi="宋体" w:cs="宋体"/>
          <w:b/>
          <w:color w:val="000000"/>
          <w:sz w:val="24"/>
        </w:rPr>
        <w:t>；</w:t>
      </w:r>
      <w:r>
        <w:rPr>
          <w:rFonts w:hint="eastAsia" w:ascii="宋体" w:hAnsi="宋体" w:cs="宋体"/>
          <w:color w:val="0D0D0D"/>
          <w:sz w:val="24"/>
        </w:rPr>
        <w:t>报价文件包装袋内装报价文件正本1份和副本2份;</w:t>
      </w:r>
      <w:r>
        <w:rPr>
          <w:rFonts w:hint="eastAsia" w:ascii="宋体" w:hAnsi="宋体" w:cs="宋体"/>
          <w:sz w:val="24"/>
        </w:rPr>
        <w:t>包装封面上应标明“项目编号、项目名称、商务技术文件</w:t>
      </w:r>
      <w:r>
        <w:rPr>
          <w:rFonts w:hint="eastAsia" w:ascii="宋体" w:hAnsi="宋体" w:cs="宋体"/>
          <w:color w:val="0D0D0D"/>
          <w:sz w:val="24"/>
        </w:rPr>
        <w:t>、报价文件</w:t>
      </w:r>
      <w:r>
        <w:rPr>
          <w:rFonts w:hint="eastAsia" w:ascii="宋体" w:hAnsi="宋体" w:cs="宋体"/>
          <w:sz w:val="24"/>
        </w:rPr>
        <w:t>、</w:t>
      </w:r>
      <w:r>
        <w:rPr>
          <w:rFonts w:hint="eastAsia" w:ascii="宋体" w:hAnsi="宋体" w:cs="宋体"/>
          <w:kern w:val="0"/>
          <w:sz w:val="24"/>
        </w:rPr>
        <w:t>磋商</w:t>
      </w:r>
      <w:r>
        <w:rPr>
          <w:rFonts w:hint="eastAsia" w:ascii="宋体" w:hAnsi="宋体" w:cs="宋体"/>
          <w:sz w:val="24"/>
        </w:rPr>
        <w:t>响应方名称、于</w:t>
      </w:r>
      <w:r>
        <w:rPr>
          <w:rFonts w:hint="eastAsia" w:ascii="宋体" w:hAnsi="宋体" w:cs="宋体"/>
          <w:sz w:val="24"/>
          <w:u w:val="single"/>
          <w:lang w:eastAsia="zh-CN"/>
        </w:rPr>
        <w:t>2025年01月</w:t>
      </w:r>
      <w:r>
        <w:rPr>
          <w:rFonts w:hint="eastAsia" w:ascii="宋体" w:hAnsi="宋体" w:cs="宋体"/>
          <w:sz w:val="24"/>
          <w:u w:val="single"/>
          <w:lang w:val="en-US" w:eastAsia="zh-CN"/>
        </w:rPr>
        <w:t>13</w:t>
      </w:r>
      <w:r>
        <w:rPr>
          <w:rFonts w:hint="eastAsia" w:ascii="宋体" w:hAnsi="宋体" w:cs="宋体"/>
          <w:sz w:val="24"/>
          <w:u w:val="single"/>
        </w:rPr>
        <w:t>日下午</w:t>
      </w:r>
      <w:r>
        <w:rPr>
          <w:rFonts w:hint="eastAsia" w:ascii="宋体" w:hAnsi="宋体" w:cs="宋体"/>
          <w:color w:val="0D0D0D"/>
          <w:sz w:val="24"/>
          <w:u w:val="single"/>
        </w:rPr>
        <w:t>14：00</w:t>
      </w:r>
      <w:r>
        <w:rPr>
          <w:rFonts w:hint="eastAsia" w:ascii="宋体" w:hAnsi="宋体" w:cs="宋体"/>
          <w:color w:val="000000"/>
          <w:sz w:val="24"/>
        </w:rPr>
        <w:t>前</w:t>
      </w:r>
      <w:r>
        <w:rPr>
          <w:rFonts w:hint="eastAsia" w:ascii="宋体" w:hAnsi="宋体" w:cs="宋体"/>
          <w:sz w:val="24"/>
        </w:rPr>
        <w:t>不准启封”等，并在封口加盖磋商响应单位公章。</w:t>
      </w:r>
    </w:p>
    <w:p>
      <w:pPr>
        <w:spacing w:line="360" w:lineRule="auto"/>
        <w:ind w:firstLine="480" w:firstLineChars="200"/>
        <w:jc w:val="left"/>
        <w:rPr>
          <w:rFonts w:ascii="宋体" w:hAnsi="宋体" w:cs="宋体"/>
          <w:sz w:val="24"/>
        </w:rPr>
      </w:pPr>
      <w:r>
        <w:rPr>
          <w:rFonts w:hint="eastAsia" w:ascii="宋体" w:hAnsi="宋体" w:cs="宋体"/>
          <w:sz w:val="24"/>
        </w:rPr>
        <w:t>否则，采购代理机构对</w:t>
      </w:r>
      <w:r>
        <w:rPr>
          <w:rFonts w:hint="eastAsia" w:ascii="宋体" w:hAnsi="宋体" w:cs="宋体"/>
          <w:kern w:val="0"/>
          <w:sz w:val="24"/>
        </w:rPr>
        <w:t>磋商</w:t>
      </w:r>
      <w:r>
        <w:rPr>
          <w:rFonts w:hint="eastAsia" w:ascii="宋体" w:hAnsi="宋体" w:cs="宋体"/>
          <w:sz w:val="24"/>
        </w:rPr>
        <w:t>响应文件的误投和提前启封等造成的后果不负责任。</w:t>
      </w:r>
    </w:p>
    <w:p>
      <w:pPr>
        <w:spacing w:line="360" w:lineRule="auto"/>
        <w:ind w:firstLine="480" w:firstLineChars="200"/>
        <w:jc w:val="left"/>
        <w:rPr>
          <w:rFonts w:ascii="宋体" w:hAnsi="宋体" w:cs="宋体"/>
          <w:b/>
          <w:sz w:val="24"/>
        </w:rPr>
      </w:pPr>
      <w:r>
        <w:rPr>
          <w:rFonts w:hint="eastAsia" w:ascii="宋体" w:hAnsi="宋体" w:cs="宋体"/>
          <w:sz w:val="24"/>
        </w:rPr>
        <w:t>▲</w:t>
      </w:r>
      <w:r>
        <w:rPr>
          <w:rFonts w:hint="eastAsia" w:ascii="宋体" w:hAnsi="宋体" w:cs="宋体"/>
          <w:b/>
          <w:sz w:val="24"/>
        </w:rPr>
        <w:t>未按要求密封的</w:t>
      </w:r>
      <w:r>
        <w:rPr>
          <w:rFonts w:hint="eastAsia" w:ascii="宋体" w:hAnsi="宋体" w:cs="宋体"/>
          <w:b/>
          <w:kern w:val="0"/>
          <w:sz w:val="24"/>
        </w:rPr>
        <w:t>磋商</w:t>
      </w:r>
      <w:r>
        <w:rPr>
          <w:rFonts w:hint="eastAsia" w:ascii="宋体" w:hAnsi="宋体" w:cs="宋体"/>
          <w:b/>
          <w:sz w:val="24"/>
        </w:rPr>
        <w:t>响应文件将拒绝接收。</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响应文件的补充和修改</w:t>
      </w:r>
    </w:p>
    <w:p>
      <w:pPr>
        <w:spacing w:line="360" w:lineRule="auto"/>
        <w:ind w:firstLine="480" w:firstLineChars="200"/>
        <w:rPr>
          <w:rFonts w:ascii="宋体" w:hAnsi="宋体" w:cs="宋体"/>
          <w:sz w:val="24"/>
        </w:rPr>
      </w:pPr>
      <w:r>
        <w:rPr>
          <w:rFonts w:hint="eastAsia" w:ascii="宋体" w:hAnsi="宋体" w:cs="宋体"/>
          <w:bCs/>
          <w:sz w:val="24"/>
        </w:rPr>
        <w:t>磋商响应方</w:t>
      </w:r>
      <w:r>
        <w:rPr>
          <w:rFonts w:hint="eastAsia" w:ascii="宋体" w:hAnsi="宋体" w:cs="宋体"/>
          <w:sz w:val="24"/>
        </w:rPr>
        <w:t>在</w:t>
      </w:r>
      <w:r>
        <w:rPr>
          <w:rFonts w:hint="eastAsia" w:hAnsi="宋体"/>
          <w:sz w:val="24"/>
        </w:rPr>
        <w:t>磋商响应</w:t>
      </w:r>
      <w:r>
        <w:rPr>
          <w:rFonts w:hint="eastAsia" w:ascii="宋体" w:hAnsi="宋体" w:cs="宋体"/>
          <w:sz w:val="24"/>
        </w:rPr>
        <w:t>截止时间前，可以对所递交的磋商响应文件进行补充、修改或者撤回，并书面通知</w:t>
      </w:r>
      <w:r>
        <w:rPr>
          <w:rFonts w:hint="eastAsia" w:ascii="宋体" w:hAnsi="宋体" w:cs="宋体"/>
          <w:bCs/>
          <w:sz w:val="24"/>
        </w:rPr>
        <w:t>磋商响应方</w:t>
      </w:r>
      <w:r>
        <w:rPr>
          <w:rFonts w:hint="eastAsia" w:ascii="宋体" w:hAnsi="宋体" w:cs="宋体"/>
          <w:sz w:val="24"/>
        </w:rPr>
        <w:t>。补充、修改的内容应当按</w:t>
      </w:r>
      <w:r>
        <w:rPr>
          <w:rFonts w:hint="eastAsia" w:ascii="宋体" w:hAnsi="宋体" w:cs="宋体"/>
          <w:kern w:val="0"/>
          <w:sz w:val="24"/>
        </w:rPr>
        <w:t>磋商</w:t>
      </w:r>
      <w:r>
        <w:rPr>
          <w:rFonts w:hint="eastAsia" w:ascii="宋体" w:hAnsi="宋体" w:cs="宋体"/>
          <w:sz w:val="24"/>
        </w:rPr>
        <w:t>文件要求签署、盖章，并作为</w:t>
      </w:r>
      <w:r>
        <w:rPr>
          <w:rFonts w:hint="eastAsia" w:ascii="宋体" w:hAnsi="宋体" w:cs="宋体"/>
          <w:kern w:val="0"/>
          <w:sz w:val="24"/>
        </w:rPr>
        <w:t>磋商</w:t>
      </w:r>
      <w:r>
        <w:rPr>
          <w:rFonts w:hint="eastAsia" w:ascii="宋体" w:hAnsi="宋体" w:cs="宋体"/>
          <w:sz w:val="24"/>
        </w:rPr>
        <w:t>响应文件的组成部分。</w:t>
      </w:r>
    </w:p>
    <w:p>
      <w:pPr>
        <w:numPr>
          <w:ilvl w:val="0"/>
          <w:numId w:val="3"/>
        </w:numPr>
        <w:spacing w:line="460" w:lineRule="exact"/>
        <w:ind w:firstLine="480" w:firstLineChars="200"/>
        <w:jc w:val="left"/>
        <w:rPr>
          <w:rFonts w:ascii="宋体" w:hAnsi="宋体" w:cs="宋体"/>
          <w:sz w:val="24"/>
        </w:rPr>
      </w:pPr>
      <w:r>
        <w:rPr>
          <w:rFonts w:hint="eastAsia" w:ascii="宋体" w:hAnsi="宋体" w:cs="宋体"/>
          <w:kern w:val="0"/>
          <w:sz w:val="24"/>
        </w:rPr>
        <w:t>磋商</w:t>
      </w:r>
      <w:r>
        <w:rPr>
          <w:rFonts w:hint="eastAsia" w:ascii="宋体" w:hAnsi="宋体" w:cs="宋体"/>
          <w:sz w:val="24"/>
        </w:rPr>
        <w:t>响应文件不得涂改和增删，由于字迹模糊或表达不清引起的后果由</w:t>
      </w:r>
      <w:r>
        <w:rPr>
          <w:rFonts w:hint="eastAsia" w:ascii="宋体" w:hAnsi="宋体" w:cs="宋体"/>
          <w:kern w:val="0"/>
          <w:sz w:val="24"/>
        </w:rPr>
        <w:t>磋商</w:t>
      </w:r>
      <w:r>
        <w:rPr>
          <w:rFonts w:hint="eastAsia" w:ascii="宋体" w:hAnsi="宋体" w:cs="宋体"/>
          <w:sz w:val="24"/>
        </w:rPr>
        <w:t>响应方负责。</w:t>
      </w:r>
    </w:p>
    <w:p>
      <w:pPr>
        <w:spacing w:line="460" w:lineRule="exact"/>
        <w:jc w:val="left"/>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）有下列情况之一者其磋商文件无效</w:t>
      </w:r>
    </w:p>
    <w:p>
      <w:pPr>
        <w:spacing w:line="460" w:lineRule="exact"/>
        <w:ind w:firstLine="480" w:firstLineChars="200"/>
        <w:jc w:val="left"/>
        <w:rPr>
          <w:rFonts w:ascii="宋体" w:hAnsi="宋体" w:cs="宋体"/>
          <w:sz w:val="24"/>
        </w:rPr>
      </w:pPr>
      <w:r>
        <w:rPr>
          <w:rFonts w:hint="eastAsia" w:ascii="宋体" w:hAnsi="宋体" w:cs="宋体"/>
          <w:sz w:val="24"/>
        </w:rPr>
        <w:t>1、在</w:t>
      </w:r>
      <w:r>
        <w:rPr>
          <w:rFonts w:hint="eastAsia" w:ascii="宋体" w:hAnsi="宋体" w:cs="宋体"/>
          <w:kern w:val="0"/>
          <w:sz w:val="24"/>
        </w:rPr>
        <w:t>磋商</w:t>
      </w:r>
      <w:r>
        <w:rPr>
          <w:rFonts w:hint="eastAsia" w:ascii="宋体" w:hAnsi="宋体" w:cs="宋体"/>
          <w:sz w:val="24"/>
        </w:rPr>
        <w:t>响应文件递交截止时间以后送达的</w:t>
      </w:r>
      <w:r>
        <w:rPr>
          <w:rFonts w:hint="eastAsia" w:ascii="宋体" w:hAnsi="宋体" w:cs="宋体"/>
          <w:kern w:val="0"/>
          <w:sz w:val="24"/>
        </w:rPr>
        <w:t>磋商</w:t>
      </w:r>
      <w:r>
        <w:rPr>
          <w:rFonts w:hint="eastAsia" w:ascii="宋体" w:hAnsi="宋体" w:cs="宋体"/>
          <w:sz w:val="24"/>
        </w:rPr>
        <w:t>响应文件不予接收；</w:t>
      </w:r>
    </w:p>
    <w:p>
      <w:pPr>
        <w:spacing w:line="460" w:lineRule="exact"/>
        <w:ind w:firstLine="480" w:firstLineChars="200"/>
        <w:jc w:val="left"/>
        <w:rPr>
          <w:rFonts w:ascii="宋体" w:hAnsi="宋体" w:cs="宋体"/>
          <w:sz w:val="24"/>
        </w:rPr>
      </w:pPr>
      <w:r>
        <w:rPr>
          <w:rFonts w:hint="eastAsia" w:ascii="宋体" w:hAnsi="宋体" w:cs="宋体"/>
          <w:sz w:val="24"/>
        </w:rPr>
        <w:t>2、应盖而未盖公章，</w:t>
      </w:r>
      <w:r>
        <w:rPr>
          <w:rFonts w:hint="eastAsia" w:ascii="宋体" w:hAnsi="宋体" w:cs="宋体"/>
          <w:kern w:val="0"/>
          <w:sz w:val="24"/>
        </w:rPr>
        <w:t>磋商</w:t>
      </w:r>
      <w:r>
        <w:rPr>
          <w:rFonts w:hint="eastAsia" w:ascii="宋体" w:hAnsi="宋体" w:cs="宋体"/>
          <w:sz w:val="24"/>
        </w:rPr>
        <w:t>响应书、法定代表人授权书、资格声明函等填写不完整或有涂改的</w:t>
      </w:r>
      <w:r>
        <w:rPr>
          <w:rFonts w:hint="eastAsia" w:ascii="宋体" w:hAnsi="宋体" w:cs="宋体"/>
          <w:kern w:val="0"/>
          <w:sz w:val="24"/>
        </w:rPr>
        <w:t>磋商</w:t>
      </w:r>
      <w:r>
        <w:rPr>
          <w:rFonts w:hint="eastAsia" w:ascii="宋体" w:hAnsi="宋体" w:cs="宋体"/>
          <w:sz w:val="24"/>
        </w:rPr>
        <w:t>响应文件；</w:t>
      </w:r>
    </w:p>
    <w:p>
      <w:pPr>
        <w:spacing w:line="460" w:lineRule="exact"/>
        <w:ind w:firstLine="480" w:firstLineChars="200"/>
        <w:jc w:val="left"/>
        <w:rPr>
          <w:rFonts w:ascii="宋体" w:hAnsi="宋体" w:cs="宋体"/>
          <w:sz w:val="24"/>
        </w:rPr>
      </w:pPr>
      <w:r>
        <w:rPr>
          <w:rFonts w:hint="eastAsia" w:ascii="宋体" w:hAnsi="宋体" w:cs="宋体"/>
          <w:sz w:val="24"/>
        </w:rPr>
        <w:t>3、与</w:t>
      </w:r>
      <w:r>
        <w:rPr>
          <w:rFonts w:hint="eastAsia" w:ascii="宋体" w:hAnsi="宋体" w:cs="宋体"/>
          <w:kern w:val="0"/>
          <w:sz w:val="24"/>
        </w:rPr>
        <w:t>磋商</w:t>
      </w:r>
      <w:r>
        <w:rPr>
          <w:rFonts w:hint="eastAsia" w:ascii="宋体" w:hAnsi="宋体" w:cs="宋体"/>
          <w:sz w:val="24"/>
        </w:rPr>
        <w:t>文件有重大偏离的</w:t>
      </w:r>
      <w:r>
        <w:rPr>
          <w:rFonts w:hint="eastAsia" w:ascii="宋体" w:hAnsi="宋体" w:cs="宋体"/>
          <w:kern w:val="0"/>
          <w:sz w:val="24"/>
        </w:rPr>
        <w:t>磋商</w:t>
      </w:r>
      <w:r>
        <w:rPr>
          <w:rFonts w:hint="eastAsia" w:ascii="宋体" w:hAnsi="宋体" w:cs="宋体"/>
          <w:sz w:val="24"/>
        </w:rPr>
        <w:t>响应文件；</w:t>
      </w:r>
    </w:p>
    <w:p>
      <w:pPr>
        <w:spacing w:line="4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kern w:val="0"/>
          <w:sz w:val="24"/>
        </w:rPr>
        <w:t>磋商</w:t>
      </w:r>
      <w:r>
        <w:rPr>
          <w:rFonts w:hint="eastAsia" w:ascii="宋体" w:hAnsi="宋体" w:cs="宋体"/>
          <w:sz w:val="24"/>
        </w:rPr>
        <w:t>响应文件的签署未按本须知第八、九条规定的；</w:t>
      </w:r>
    </w:p>
    <w:p>
      <w:pPr>
        <w:spacing w:line="460" w:lineRule="exact"/>
        <w:ind w:firstLine="480" w:firstLineChars="200"/>
        <w:jc w:val="left"/>
        <w:rPr>
          <w:rFonts w:ascii="宋体" w:hAnsi="宋体" w:cs="宋体"/>
          <w:sz w:val="24"/>
        </w:rPr>
      </w:pPr>
      <w:r>
        <w:rPr>
          <w:rFonts w:hint="eastAsia" w:ascii="宋体" w:hAnsi="宋体" w:cs="宋体"/>
          <w:sz w:val="24"/>
        </w:rPr>
        <w:t>5、不符合法律、法规和</w:t>
      </w:r>
      <w:r>
        <w:rPr>
          <w:rFonts w:hint="eastAsia" w:ascii="宋体" w:hAnsi="宋体" w:cs="宋体"/>
          <w:kern w:val="0"/>
          <w:sz w:val="24"/>
        </w:rPr>
        <w:t>磋商</w:t>
      </w:r>
      <w:r>
        <w:rPr>
          <w:rFonts w:hint="eastAsia" w:ascii="宋体" w:hAnsi="宋体" w:cs="宋体"/>
          <w:sz w:val="24"/>
        </w:rPr>
        <w:t>文件规定的其他实质性要求的。</w:t>
      </w:r>
    </w:p>
    <w:p>
      <w:pPr>
        <w:spacing w:line="460" w:lineRule="exact"/>
        <w:ind w:firstLine="480" w:firstLineChars="200"/>
        <w:jc w:val="left"/>
        <w:rPr>
          <w:rFonts w:ascii="宋体" w:hAnsi="宋体" w:cs="宋体"/>
          <w:sz w:val="24"/>
        </w:rPr>
      </w:pPr>
      <w:r>
        <w:rPr>
          <w:rFonts w:hint="eastAsia" w:ascii="宋体" w:hAnsi="宋体" w:cs="宋体"/>
          <w:sz w:val="24"/>
        </w:rPr>
        <w:t>6、报价评审过程中，磋商小组发现磋商响应方的报价明显低于其他磋商响应方的报价，使得其磋商报价可能低于其成本的，将要求该磋商响应方当场作出书面说明并提供相关证明材料，磋商响应方不能合理说明或不能提供证明材料，磋商小组可以认定磋商响应方以低于成本价竞标，其磋商响应作为废标处理。</w:t>
      </w:r>
    </w:p>
    <w:p>
      <w:pPr>
        <w:spacing w:line="440" w:lineRule="exact"/>
        <w:ind w:firstLine="480" w:firstLineChars="200"/>
      </w:pPr>
      <w:r>
        <w:rPr>
          <w:rFonts w:hint="eastAsia" w:ascii="宋体" w:hAnsi="宋体" w:cs="宋体"/>
          <w:sz w:val="24"/>
        </w:rPr>
        <w:t>7、明显不符合磋商文件质量标准的，或者与磋商文件中标有“ ▲”的技术指标、主要功能项目发生实质性偏离的。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jc w:val="center"/>
        <w:rPr>
          <w:rFonts w:ascii="宋体" w:hAnsi="宋体"/>
          <w:b/>
          <w:bCs/>
          <w:color w:val="000000"/>
          <w:kern w:val="0"/>
          <w:sz w:val="32"/>
          <w:szCs w:val="32"/>
        </w:rPr>
      </w:pPr>
      <w:r>
        <w:rPr>
          <w:rFonts w:hint="eastAsia" w:ascii="宋体" w:hAnsi="宋体"/>
          <w:b/>
          <w:kern w:val="44"/>
          <w:sz w:val="32"/>
          <w:szCs w:val="32"/>
        </w:rPr>
        <w:t>三、磋商与评标</w:t>
      </w:r>
    </w:p>
    <w:p>
      <w:pPr>
        <w:pStyle w:val="27"/>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三</w:t>
      </w:r>
      <w:r>
        <w:rPr>
          <w:rFonts w:hint="eastAsia" w:hAnsi="宋体"/>
          <w:b/>
          <w:szCs w:val="24"/>
        </w:rPr>
        <w:t>）磋商小组</w:t>
      </w:r>
    </w:p>
    <w:p>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采购代理机构在“前附表”中规定的时间、地点，在有关部门的监督下组织竞争性磋商会议。供应商须由法定代表人持有效身份证件或委托代理机构持授权委托书和有效身份证件参加。未能按要求提交证件的视为不合格供应商，将拒绝其进入磋商程序。采购人将根据本次采购的特点，按照《中华人民共和国政府采购法》规定成立磋商小组。磋商小组对</w:t>
      </w:r>
      <w:r>
        <w:rPr>
          <w:rFonts w:hint="eastAsia" w:hAnsi="宋体"/>
          <w:sz w:val="24"/>
        </w:rPr>
        <w:t>磋商响应</w:t>
      </w:r>
      <w:r>
        <w:rPr>
          <w:rFonts w:hint="eastAsia" w:ascii="宋体" w:hAnsi="宋体"/>
          <w:color w:val="000000"/>
          <w:kern w:val="0"/>
          <w:sz w:val="24"/>
        </w:rPr>
        <w:t>文件进行审查、质疑、评估和比较，并进行磋商、定标。</w:t>
      </w:r>
    </w:p>
    <w:p>
      <w:pPr>
        <w:pStyle w:val="27"/>
        <w:keepNext w:val="0"/>
        <w:keepLines w:val="0"/>
        <w:pageBreakBefore w:val="0"/>
        <w:widowControl w:val="0"/>
        <w:kinsoku/>
        <w:wordWrap/>
        <w:overflowPunct/>
        <w:topLinePunct w:val="0"/>
        <w:bidi w:val="0"/>
        <w:snapToGrid w:val="0"/>
        <w:spacing w:beforeLines="0" w:afterLines="0" w:line="360" w:lineRule="auto"/>
        <w:jc w:val="left"/>
        <w:textAlignment w:val="auto"/>
        <w:rPr>
          <w:rFonts w:hAnsi="宋体"/>
          <w:b/>
          <w:szCs w:val="24"/>
        </w:rPr>
      </w:pPr>
      <w:r>
        <w:rPr>
          <w:rFonts w:hint="eastAsia" w:hAnsi="宋体"/>
          <w:b/>
          <w:szCs w:val="24"/>
        </w:rPr>
        <w:t>（十</w:t>
      </w:r>
      <w:r>
        <w:rPr>
          <w:rFonts w:hint="eastAsia" w:hAnsi="宋体"/>
          <w:b/>
          <w:szCs w:val="24"/>
          <w:lang w:eastAsia="zh-CN"/>
        </w:rPr>
        <w:t>四</w:t>
      </w:r>
      <w:r>
        <w:rPr>
          <w:rFonts w:hint="eastAsia" w:hAnsi="宋体"/>
          <w:b/>
          <w:szCs w:val="24"/>
        </w:rPr>
        <w:t>）对“磋商响应文件”的审查和响应性</w:t>
      </w:r>
    </w:p>
    <w:p>
      <w:pPr>
        <w:pStyle w:val="27"/>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Ansi="宋体"/>
          <w:color w:val="000000"/>
          <w:kern w:val="0"/>
          <w:szCs w:val="24"/>
        </w:rPr>
      </w:pPr>
      <w:r>
        <w:rPr>
          <w:rFonts w:hint="eastAsia" w:hAnsi="宋体"/>
          <w:b/>
          <w:color w:val="000000"/>
          <w:kern w:val="0"/>
          <w:szCs w:val="24"/>
        </w:rPr>
        <w:t>1</w:t>
      </w:r>
      <w:r>
        <w:rPr>
          <w:rFonts w:hint="eastAsia" w:hAnsi="宋体"/>
          <w:color w:val="000000"/>
          <w:kern w:val="0"/>
          <w:szCs w:val="24"/>
        </w:rPr>
        <w:t>.磋商小组就所有</w:t>
      </w:r>
      <w:r>
        <w:rPr>
          <w:rFonts w:hint="eastAsia" w:hAnsi="宋体"/>
          <w:szCs w:val="24"/>
        </w:rPr>
        <w:t>磋商响应</w:t>
      </w:r>
      <w:r>
        <w:rPr>
          <w:rFonts w:hint="eastAsia" w:hAnsi="宋体"/>
          <w:color w:val="000000"/>
          <w:kern w:val="0"/>
          <w:szCs w:val="24"/>
        </w:rPr>
        <w:t>文件是否对磋商文件的实质性要求作出完全响应进行资格初审，确定合格</w:t>
      </w:r>
      <w:r>
        <w:rPr>
          <w:rFonts w:hint="eastAsia" w:hAnsi="宋体"/>
          <w:szCs w:val="24"/>
        </w:rPr>
        <w:t>磋商响应</w:t>
      </w:r>
      <w:r>
        <w:rPr>
          <w:rFonts w:hint="eastAsia" w:hAnsi="宋体"/>
          <w:color w:val="000000"/>
          <w:kern w:val="0"/>
          <w:szCs w:val="24"/>
        </w:rPr>
        <w:t>人。</w:t>
      </w:r>
    </w:p>
    <w:p>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①磋商小组审查“</w:t>
      </w:r>
      <w:r>
        <w:rPr>
          <w:rFonts w:hint="eastAsia" w:hAnsi="宋体"/>
          <w:sz w:val="24"/>
        </w:rPr>
        <w:t>磋商响应</w:t>
      </w:r>
      <w:r>
        <w:rPr>
          <w:rFonts w:hint="eastAsia" w:ascii="宋体" w:hAnsi="宋体"/>
          <w:color w:val="000000"/>
          <w:kern w:val="0"/>
          <w:sz w:val="24"/>
        </w:rPr>
        <w:t>文件”是否完整；是否有计算错误；文件是否恰当地签署。</w:t>
      </w:r>
    </w:p>
    <w:p>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②在对“</w:t>
      </w:r>
      <w:r>
        <w:rPr>
          <w:rFonts w:hint="eastAsia" w:hAnsi="宋体"/>
          <w:sz w:val="24"/>
        </w:rPr>
        <w:t>磋商响应</w:t>
      </w:r>
      <w:r>
        <w:rPr>
          <w:rFonts w:hint="eastAsia" w:ascii="宋体" w:hAnsi="宋体"/>
          <w:color w:val="000000"/>
          <w:kern w:val="0"/>
          <w:sz w:val="24"/>
        </w:rPr>
        <w:t>文件”进行详细评估之前，磋商小组将依据</w:t>
      </w:r>
      <w:r>
        <w:rPr>
          <w:rFonts w:hint="eastAsia" w:hAnsi="宋体"/>
          <w:sz w:val="24"/>
        </w:rPr>
        <w:t>磋商响应</w:t>
      </w:r>
      <w:r>
        <w:rPr>
          <w:rFonts w:hint="eastAsia" w:ascii="宋体" w:hAnsi="宋体"/>
          <w:color w:val="000000"/>
          <w:kern w:val="0"/>
          <w:sz w:val="24"/>
        </w:rPr>
        <w:t>方提供的“资信文件”审查</w:t>
      </w:r>
      <w:r>
        <w:rPr>
          <w:rFonts w:hint="eastAsia" w:hAnsi="宋体"/>
          <w:sz w:val="24"/>
        </w:rPr>
        <w:t>磋商响应</w:t>
      </w:r>
      <w:r>
        <w:rPr>
          <w:rFonts w:hint="eastAsia" w:ascii="宋体" w:hAnsi="宋体"/>
          <w:color w:val="000000"/>
          <w:kern w:val="0"/>
          <w:sz w:val="24"/>
        </w:rPr>
        <w:t>方的技术和服务或生产能力。如果确定</w:t>
      </w:r>
      <w:r>
        <w:rPr>
          <w:rFonts w:hint="eastAsia" w:hAnsi="宋体"/>
          <w:sz w:val="24"/>
        </w:rPr>
        <w:t>磋商响应</w:t>
      </w:r>
      <w:r>
        <w:rPr>
          <w:rFonts w:hint="eastAsia" w:ascii="宋体" w:hAnsi="宋体"/>
          <w:color w:val="000000"/>
          <w:kern w:val="0"/>
          <w:sz w:val="24"/>
        </w:rPr>
        <w:t>方无资格履行合同，其</w:t>
      </w:r>
      <w:r>
        <w:rPr>
          <w:rFonts w:hint="eastAsia" w:hAnsi="宋体"/>
          <w:sz w:val="24"/>
        </w:rPr>
        <w:t>磋商响应</w:t>
      </w:r>
      <w:r>
        <w:rPr>
          <w:rFonts w:hint="eastAsia" w:ascii="宋体" w:hAnsi="宋体"/>
          <w:color w:val="000000"/>
          <w:kern w:val="0"/>
          <w:sz w:val="24"/>
        </w:rPr>
        <w:t>将被拒绝。</w:t>
      </w:r>
    </w:p>
    <w:p>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right="71" w:rightChars="34" w:firstLine="540" w:firstLineChars="225"/>
        <w:jc w:val="left"/>
        <w:textAlignment w:val="auto"/>
        <w:rPr>
          <w:rFonts w:ascii="宋体" w:hAnsi="宋体"/>
          <w:kern w:val="0"/>
          <w:sz w:val="24"/>
        </w:rPr>
      </w:pPr>
      <w:r>
        <w:rPr>
          <w:rFonts w:hint="eastAsia" w:ascii="宋体" w:hAnsi="宋体"/>
          <w:color w:val="000000"/>
          <w:kern w:val="0"/>
          <w:sz w:val="24"/>
        </w:rPr>
        <w:t>③磋商小组将确定每份</w:t>
      </w:r>
      <w:r>
        <w:rPr>
          <w:rFonts w:hint="eastAsia" w:hAnsi="宋体"/>
          <w:sz w:val="24"/>
        </w:rPr>
        <w:t>磋商响应</w:t>
      </w:r>
      <w:r>
        <w:rPr>
          <w:rFonts w:hint="eastAsia" w:ascii="宋体" w:hAnsi="宋体"/>
          <w:color w:val="000000"/>
          <w:kern w:val="0"/>
          <w:sz w:val="24"/>
        </w:rPr>
        <w:t>文件是否对“磋商文件”的要求，作出了实质性的响应而没有重大偏离。实质上响应的</w:t>
      </w:r>
      <w:r>
        <w:rPr>
          <w:rFonts w:hint="eastAsia" w:hAnsi="宋体"/>
          <w:sz w:val="24"/>
        </w:rPr>
        <w:t>磋商响应文件</w:t>
      </w:r>
      <w:r>
        <w:rPr>
          <w:rFonts w:hint="eastAsia" w:ascii="宋体" w:hAnsi="宋体"/>
          <w:color w:val="000000"/>
          <w:kern w:val="0"/>
          <w:sz w:val="24"/>
        </w:rPr>
        <w:t>应该是与磋商文件要求的全部条款、条件和规格相符且没有重大偏离的</w:t>
      </w:r>
      <w:r>
        <w:rPr>
          <w:rFonts w:hint="eastAsia" w:hAnsi="宋体"/>
          <w:sz w:val="24"/>
        </w:rPr>
        <w:t>磋商响应</w:t>
      </w:r>
      <w:r>
        <w:rPr>
          <w:rFonts w:hint="eastAsia" w:ascii="宋体" w:hAnsi="宋体"/>
          <w:color w:val="000000"/>
          <w:kern w:val="0"/>
          <w:sz w:val="24"/>
        </w:rPr>
        <w:t>。对</w:t>
      </w:r>
      <w:r>
        <w:rPr>
          <w:rFonts w:hint="eastAsia" w:hAnsi="宋体"/>
          <w:sz w:val="24"/>
        </w:rPr>
        <w:t>磋商响应</w:t>
      </w:r>
      <w:r>
        <w:rPr>
          <w:rFonts w:hint="eastAsia" w:ascii="宋体" w:hAnsi="宋体"/>
          <w:color w:val="000000"/>
          <w:kern w:val="0"/>
          <w:sz w:val="24"/>
        </w:rPr>
        <w:t>文件中的商务文件和技术文件的负偏离（使采购人无法接受）、反对将被认为是实质上的偏离，而纠正这些偏离将影响到其它提交实质性响应</w:t>
      </w:r>
      <w:r>
        <w:rPr>
          <w:rFonts w:hint="eastAsia" w:hAnsi="宋体"/>
          <w:sz w:val="24"/>
        </w:rPr>
        <w:t>磋商</w:t>
      </w:r>
      <w:r>
        <w:rPr>
          <w:rFonts w:hint="eastAsia" w:ascii="宋体" w:hAnsi="宋体"/>
          <w:color w:val="000000"/>
          <w:kern w:val="0"/>
          <w:sz w:val="24"/>
        </w:rPr>
        <w:t>的</w:t>
      </w:r>
      <w:r>
        <w:rPr>
          <w:rFonts w:hint="eastAsia" w:hAnsi="宋体"/>
          <w:sz w:val="24"/>
        </w:rPr>
        <w:t>磋商响应</w:t>
      </w:r>
      <w:r>
        <w:rPr>
          <w:rFonts w:hint="eastAsia" w:ascii="宋体" w:hAnsi="宋体"/>
          <w:color w:val="000000"/>
          <w:kern w:val="0"/>
          <w:sz w:val="24"/>
        </w:rPr>
        <w:t>人的公平竞争地位。实质偏离除本须知中列明的事项外，还包括：</w:t>
      </w:r>
      <w:r>
        <w:rPr>
          <w:rFonts w:hint="eastAsia" w:hAnsi="宋体"/>
          <w:sz w:val="24"/>
        </w:rPr>
        <w:t>磋商响应</w:t>
      </w:r>
      <w:r>
        <w:rPr>
          <w:rFonts w:hint="eastAsia" w:ascii="宋体" w:hAnsi="宋体"/>
          <w:color w:val="000000"/>
          <w:kern w:val="0"/>
          <w:sz w:val="24"/>
        </w:rPr>
        <w:t>文件未按</w:t>
      </w:r>
      <w:r>
        <w:rPr>
          <w:rFonts w:hint="eastAsia" w:ascii="宋体" w:hAnsi="宋体" w:cs="宋体"/>
          <w:sz w:val="24"/>
        </w:rPr>
        <w:t>第八、九条</w:t>
      </w:r>
      <w:r>
        <w:rPr>
          <w:rFonts w:hint="eastAsia" w:ascii="宋体" w:hAnsi="宋体"/>
          <w:color w:val="000000"/>
          <w:kern w:val="0"/>
          <w:sz w:val="24"/>
        </w:rPr>
        <w:t>的要求签署和盖章；</w:t>
      </w:r>
      <w:r>
        <w:rPr>
          <w:rFonts w:hint="eastAsia" w:hAnsi="宋体"/>
          <w:sz w:val="24"/>
        </w:rPr>
        <w:t>磋商响应</w:t>
      </w:r>
      <w:r>
        <w:rPr>
          <w:rFonts w:hint="eastAsia" w:ascii="宋体" w:hAnsi="宋体"/>
          <w:color w:val="000000"/>
          <w:kern w:val="0"/>
          <w:sz w:val="24"/>
        </w:rPr>
        <w:t>文件明显不满足磋商文件的技术规格、技术标准要求或超出偏差范围。</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④磋商小组判断“</w:t>
      </w:r>
      <w:r>
        <w:rPr>
          <w:rFonts w:hint="eastAsia" w:hAnsi="宋体"/>
          <w:sz w:val="24"/>
        </w:rPr>
        <w:t>磋商响应</w:t>
      </w:r>
      <w:r>
        <w:rPr>
          <w:rFonts w:hint="eastAsia" w:ascii="宋体" w:hAnsi="宋体"/>
          <w:color w:val="000000"/>
          <w:kern w:val="0"/>
          <w:sz w:val="24"/>
        </w:rPr>
        <w:t>文件”的响应性，仅基于“</w:t>
      </w:r>
      <w:r>
        <w:rPr>
          <w:rFonts w:hint="eastAsia" w:hAnsi="宋体"/>
          <w:sz w:val="24"/>
        </w:rPr>
        <w:t>磋商响应</w:t>
      </w:r>
      <w:r>
        <w:rPr>
          <w:rFonts w:hint="eastAsia" w:ascii="宋体" w:hAnsi="宋体"/>
          <w:color w:val="000000"/>
          <w:kern w:val="0"/>
          <w:sz w:val="24"/>
        </w:rPr>
        <w:t>文件”本身而不靠外部证据。</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⑤采购人将拒绝被磋商小组确定为非实质性响应的</w:t>
      </w:r>
      <w:r>
        <w:rPr>
          <w:rFonts w:hint="eastAsia" w:hAnsi="宋体"/>
          <w:sz w:val="24"/>
        </w:rPr>
        <w:t>磋商响应</w:t>
      </w:r>
      <w:r>
        <w:rPr>
          <w:rFonts w:hint="eastAsia" w:ascii="宋体" w:hAnsi="宋体"/>
          <w:color w:val="000000"/>
          <w:kern w:val="0"/>
          <w:sz w:val="24"/>
        </w:rPr>
        <w:t>方。</w:t>
      </w:r>
      <w:r>
        <w:rPr>
          <w:rFonts w:hint="eastAsia" w:hAnsi="宋体"/>
          <w:sz w:val="24"/>
        </w:rPr>
        <w:t>磋商响应</w:t>
      </w:r>
      <w:r>
        <w:rPr>
          <w:rFonts w:hint="eastAsia" w:ascii="宋体" w:hAnsi="宋体"/>
          <w:color w:val="000000"/>
          <w:kern w:val="0"/>
          <w:sz w:val="24"/>
        </w:rPr>
        <w:t>方不能通过修正或撤销不符之处，而使其</w:t>
      </w:r>
      <w:r>
        <w:rPr>
          <w:rFonts w:hint="eastAsia" w:hAnsi="宋体"/>
          <w:sz w:val="24"/>
        </w:rPr>
        <w:t>磋商响应</w:t>
      </w:r>
      <w:r>
        <w:rPr>
          <w:rFonts w:hint="eastAsia" w:ascii="宋体" w:hAnsi="宋体"/>
          <w:color w:val="000000"/>
          <w:kern w:val="0"/>
          <w:sz w:val="24"/>
        </w:rPr>
        <w:t>成为实质性响应的</w:t>
      </w:r>
      <w:r>
        <w:rPr>
          <w:rFonts w:hint="eastAsia" w:hAnsi="宋体"/>
          <w:sz w:val="24"/>
        </w:rPr>
        <w:t>磋商响应</w:t>
      </w:r>
      <w:r>
        <w:rPr>
          <w:rFonts w:hint="eastAsia" w:ascii="宋体" w:hAnsi="宋体"/>
          <w:color w:val="000000"/>
          <w:kern w:val="0"/>
          <w:sz w:val="24"/>
        </w:rPr>
        <w:t>。</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w:t>
      </w:r>
      <w:r>
        <w:rPr>
          <w:rFonts w:hint="eastAsia" w:ascii="宋体" w:hAnsi="宋体"/>
          <w:b/>
          <w:bCs/>
          <w:color w:val="000000"/>
          <w:kern w:val="0"/>
          <w:sz w:val="24"/>
        </w:rPr>
        <w:t>磋商响应无效</w:t>
      </w:r>
      <w:r>
        <w:rPr>
          <w:rFonts w:hint="eastAsia" w:ascii="宋体" w:hAnsi="宋体"/>
          <w:b/>
          <w:color w:val="000000"/>
          <w:kern w:val="0"/>
          <w:sz w:val="24"/>
        </w:rPr>
        <w:t>的情形</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实质上没有响应</w:t>
      </w:r>
      <w:r>
        <w:rPr>
          <w:rFonts w:hint="eastAsia" w:ascii="宋体" w:hAnsi="宋体" w:cs="宋体"/>
          <w:bCs/>
          <w:sz w:val="24"/>
        </w:rPr>
        <w:t>磋商</w:t>
      </w:r>
      <w:r>
        <w:rPr>
          <w:rFonts w:hint="eastAsia" w:ascii="宋体" w:hAnsi="宋体"/>
          <w:color w:val="000000"/>
          <w:kern w:val="0"/>
          <w:sz w:val="24"/>
        </w:rPr>
        <w:t>文件要求的</w:t>
      </w:r>
      <w:r>
        <w:rPr>
          <w:rFonts w:hint="eastAsia" w:hAnsi="宋体"/>
          <w:sz w:val="24"/>
        </w:rPr>
        <w:t>磋商响应</w:t>
      </w:r>
      <w:r>
        <w:rPr>
          <w:rFonts w:hint="eastAsia" w:ascii="宋体" w:hAnsi="宋体"/>
          <w:color w:val="000000"/>
          <w:kern w:val="0"/>
          <w:sz w:val="24"/>
        </w:rPr>
        <w:t>将被视为无效</w:t>
      </w:r>
      <w:r>
        <w:rPr>
          <w:rFonts w:hint="eastAsia" w:hAnsi="宋体"/>
          <w:sz w:val="24"/>
        </w:rPr>
        <w:t>磋商响应</w:t>
      </w:r>
      <w:r>
        <w:rPr>
          <w:rFonts w:hint="eastAsia" w:ascii="宋体" w:hAnsi="宋体"/>
          <w:color w:val="000000"/>
          <w:kern w:val="0"/>
          <w:sz w:val="24"/>
        </w:rPr>
        <w:t>。</w:t>
      </w:r>
      <w:r>
        <w:rPr>
          <w:rFonts w:hint="eastAsia" w:hAnsi="宋体"/>
          <w:sz w:val="24"/>
        </w:rPr>
        <w:t>磋商响应</w:t>
      </w:r>
      <w:r>
        <w:rPr>
          <w:rFonts w:hint="eastAsia" w:ascii="宋体" w:hAnsi="宋体"/>
          <w:color w:val="000000"/>
          <w:kern w:val="0"/>
          <w:sz w:val="24"/>
        </w:rPr>
        <w:t>人不得通过修正或撤消不合要求的偏离或保留从而使其</w:t>
      </w:r>
      <w:r>
        <w:rPr>
          <w:rFonts w:hint="eastAsia" w:hAnsi="宋体"/>
          <w:sz w:val="24"/>
        </w:rPr>
        <w:t>磋商响应</w:t>
      </w:r>
      <w:r>
        <w:rPr>
          <w:rFonts w:hint="eastAsia" w:ascii="宋体" w:hAnsi="宋体"/>
          <w:color w:val="000000"/>
          <w:kern w:val="0"/>
          <w:sz w:val="24"/>
        </w:rPr>
        <w:t>成为实质上响应的</w:t>
      </w:r>
      <w:r>
        <w:rPr>
          <w:rFonts w:hint="eastAsia" w:hAnsi="宋体"/>
          <w:sz w:val="24"/>
        </w:rPr>
        <w:t>磋商响应</w:t>
      </w:r>
      <w:r>
        <w:rPr>
          <w:rFonts w:hint="eastAsia" w:ascii="宋体" w:hAnsi="宋体"/>
          <w:color w:val="000000"/>
          <w:kern w:val="0"/>
          <w:sz w:val="24"/>
        </w:rPr>
        <w:t>，但经评标委员会认定属于</w:t>
      </w:r>
      <w:r>
        <w:rPr>
          <w:rFonts w:hint="eastAsia" w:hAnsi="宋体"/>
          <w:sz w:val="24"/>
        </w:rPr>
        <w:t>磋商响应</w:t>
      </w:r>
      <w:r>
        <w:rPr>
          <w:rFonts w:hint="eastAsia" w:ascii="宋体" w:hAnsi="宋体"/>
          <w:color w:val="000000"/>
          <w:kern w:val="0"/>
          <w:sz w:val="24"/>
        </w:rPr>
        <w:t>人疏忽、笔误所造成的差错，应当允许其在评标结束之前进行修改或者补正（可以是复印件、传真件等，原件必须加盖单位公章）。修改或者补正</w:t>
      </w:r>
      <w:r>
        <w:rPr>
          <w:rFonts w:hint="eastAsia" w:hAnsi="宋体"/>
          <w:sz w:val="24"/>
        </w:rPr>
        <w:t>磋商响应</w:t>
      </w:r>
      <w:r>
        <w:rPr>
          <w:rFonts w:hint="eastAsia" w:ascii="宋体" w:hAnsi="宋体"/>
          <w:color w:val="000000"/>
          <w:kern w:val="0"/>
          <w:sz w:val="24"/>
        </w:rPr>
        <w:t>文件必须以书面形式进行，并应在中标结果公告之前查核原件。限期内不补正或经补正后仍不符合</w:t>
      </w:r>
      <w:r>
        <w:rPr>
          <w:rFonts w:hint="eastAsia" w:ascii="宋体" w:hAnsi="宋体" w:cs="宋体"/>
          <w:bCs/>
          <w:sz w:val="24"/>
        </w:rPr>
        <w:t>磋商</w:t>
      </w:r>
      <w:r>
        <w:rPr>
          <w:rFonts w:hint="eastAsia" w:ascii="宋体" w:hAnsi="宋体"/>
          <w:color w:val="000000"/>
          <w:kern w:val="0"/>
          <w:sz w:val="24"/>
        </w:rPr>
        <w:t>文件要求的，应认定其</w:t>
      </w:r>
      <w:r>
        <w:rPr>
          <w:rFonts w:hint="eastAsia" w:hAnsi="宋体"/>
          <w:sz w:val="24"/>
        </w:rPr>
        <w:t>磋商响应</w:t>
      </w:r>
      <w:r>
        <w:rPr>
          <w:rFonts w:hint="eastAsia" w:ascii="宋体" w:hAnsi="宋体"/>
          <w:color w:val="000000"/>
          <w:kern w:val="0"/>
          <w:sz w:val="24"/>
        </w:rPr>
        <w:t>无效。</w:t>
      </w:r>
      <w:r>
        <w:rPr>
          <w:rFonts w:hint="eastAsia" w:hAnsi="宋体"/>
          <w:sz w:val="24"/>
        </w:rPr>
        <w:t>磋商响应</w:t>
      </w:r>
      <w:r>
        <w:rPr>
          <w:rFonts w:hint="eastAsia" w:ascii="宋体" w:hAnsi="宋体"/>
          <w:color w:val="000000"/>
          <w:kern w:val="0"/>
          <w:sz w:val="24"/>
        </w:rPr>
        <w:t>人修改、补正</w:t>
      </w:r>
      <w:r>
        <w:rPr>
          <w:rFonts w:hint="eastAsia"/>
          <w:sz w:val="24"/>
        </w:rPr>
        <w:t>磋商响应</w:t>
      </w:r>
      <w:r>
        <w:rPr>
          <w:rFonts w:hint="eastAsia" w:ascii="宋体" w:hAnsi="宋体"/>
          <w:color w:val="000000"/>
          <w:kern w:val="0"/>
          <w:sz w:val="24"/>
        </w:rPr>
        <w:t>文件后，不影响评标委员会对其</w:t>
      </w:r>
      <w:r>
        <w:rPr>
          <w:rFonts w:hint="eastAsia" w:hAnsi="宋体"/>
          <w:sz w:val="24"/>
        </w:rPr>
        <w:t>磋商响应</w:t>
      </w:r>
      <w:r>
        <w:rPr>
          <w:rFonts w:hint="eastAsia" w:ascii="宋体" w:hAnsi="宋体"/>
          <w:color w:val="000000"/>
          <w:kern w:val="0"/>
          <w:sz w:val="24"/>
        </w:rPr>
        <w:t>文件所作的评价和评分结果。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（1）在符合性审查和商务技术评审时，如发现下列情形之一的，磋商响应文件将被视为无效：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①资格文件不全的，或者不符合</w:t>
      </w:r>
      <w:r>
        <w:rPr>
          <w:rFonts w:hint="eastAsia" w:ascii="宋体" w:hAnsi="宋体" w:cs="宋体"/>
          <w:bCs/>
          <w:sz w:val="24"/>
        </w:rPr>
        <w:t>磋商</w:t>
      </w:r>
      <w:r>
        <w:rPr>
          <w:rFonts w:hint="eastAsia" w:ascii="宋体" w:hAnsi="宋体"/>
          <w:kern w:val="0"/>
          <w:sz w:val="24"/>
        </w:rPr>
        <w:t>文件标明的资格要求的；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②</w:t>
      </w:r>
      <w:r>
        <w:rPr>
          <w:rFonts w:hint="eastAsia" w:hAnsi="宋体"/>
          <w:sz w:val="24"/>
        </w:rPr>
        <w:t>磋商响应</w:t>
      </w:r>
      <w:r>
        <w:rPr>
          <w:rFonts w:hint="eastAsia" w:ascii="宋体" w:hAnsi="宋体"/>
          <w:kern w:val="0"/>
          <w:sz w:val="24"/>
        </w:rPr>
        <w:t>文件无法定代表人签字,或未提供法定代表人授权委托书、</w:t>
      </w:r>
      <w:r>
        <w:rPr>
          <w:rFonts w:hint="eastAsia" w:hAnsi="宋体"/>
          <w:sz w:val="24"/>
        </w:rPr>
        <w:t>磋商响应</w:t>
      </w:r>
      <w:r>
        <w:rPr>
          <w:rFonts w:hint="eastAsia" w:ascii="宋体" w:hAnsi="宋体"/>
          <w:kern w:val="0"/>
          <w:sz w:val="24"/>
        </w:rPr>
        <w:t>声明书或者填写项目不齐全的；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③</w:t>
      </w:r>
      <w:r>
        <w:rPr>
          <w:rFonts w:hint="eastAsia" w:hAnsi="宋体"/>
          <w:sz w:val="24"/>
        </w:rPr>
        <w:t>磋商响应</w:t>
      </w:r>
      <w:r>
        <w:rPr>
          <w:rFonts w:hint="eastAsia" w:ascii="宋体" w:hAnsi="宋体"/>
          <w:kern w:val="0"/>
          <w:sz w:val="24"/>
        </w:rPr>
        <w:t xml:space="preserve">代表人未能出具身份证或与法定代表人授权委托人身份不符的； </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④</w:t>
      </w:r>
      <w:r>
        <w:rPr>
          <w:rFonts w:hint="eastAsia" w:hAnsi="宋体"/>
          <w:sz w:val="24"/>
        </w:rPr>
        <w:t>磋商响应</w:t>
      </w:r>
      <w:r>
        <w:rPr>
          <w:rFonts w:hint="eastAsia" w:ascii="宋体" w:hAnsi="宋体"/>
          <w:kern w:val="0"/>
          <w:sz w:val="24"/>
        </w:rPr>
        <w:t xml:space="preserve">文件格式不规范、项目不齐全或者提供不真实资料的； </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⑤</w:t>
      </w:r>
      <w:r>
        <w:rPr>
          <w:rFonts w:hint="eastAsia" w:hAnsi="宋体"/>
          <w:sz w:val="24"/>
        </w:rPr>
        <w:t>磋商响应</w:t>
      </w:r>
      <w:r>
        <w:rPr>
          <w:rFonts w:hint="eastAsia" w:ascii="宋体" w:hAnsi="宋体"/>
          <w:kern w:val="0"/>
          <w:sz w:val="24"/>
        </w:rPr>
        <w:t>文件的实质性内容未使用中文表述、意思表述不明确、前后矛盾或者使用计量单位不符合</w:t>
      </w:r>
      <w:r>
        <w:rPr>
          <w:rFonts w:hint="eastAsia" w:ascii="宋体" w:hAnsi="宋体" w:cs="宋体"/>
          <w:bCs/>
          <w:sz w:val="24"/>
        </w:rPr>
        <w:t>磋商</w:t>
      </w:r>
      <w:r>
        <w:rPr>
          <w:rFonts w:hint="eastAsia" w:ascii="宋体" w:hAnsi="宋体"/>
          <w:kern w:val="0"/>
          <w:sz w:val="24"/>
        </w:rPr>
        <w:t>文件要求的（经评标委员会认定并允许其当场更正的笔误除外）；</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⑥</w:t>
      </w:r>
      <w:r>
        <w:rPr>
          <w:rFonts w:hint="eastAsia" w:hAnsi="宋体"/>
          <w:sz w:val="24"/>
        </w:rPr>
        <w:t>磋商响应</w:t>
      </w:r>
      <w:r>
        <w:rPr>
          <w:rFonts w:hint="eastAsia" w:ascii="宋体" w:hAnsi="宋体"/>
          <w:kern w:val="0"/>
          <w:sz w:val="24"/>
        </w:rPr>
        <w:t>有效期、交货时间、质保期、付款方式等商务条款不能满足</w:t>
      </w:r>
      <w:r>
        <w:rPr>
          <w:rFonts w:hint="eastAsia" w:ascii="宋体" w:hAnsi="宋体" w:cs="宋体"/>
          <w:bCs/>
          <w:sz w:val="24"/>
        </w:rPr>
        <w:t>磋商</w:t>
      </w:r>
      <w:r>
        <w:rPr>
          <w:rFonts w:hint="eastAsia" w:ascii="宋体" w:hAnsi="宋体"/>
          <w:kern w:val="0"/>
          <w:sz w:val="24"/>
        </w:rPr>
        <w:t>文件要求的；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⑦</w:t>
      </w:r>
      <w:r>
        <w:rPr>
          <w:rFonts w:hint="eastAsia" w:hAnsi="宋体"/>
          <w:sz w:val="24"/>
        </w:rPr>
        <w:t>磋商响应</w:t>
      </w:r>
      <w:r>
        <w:rPr>
          <w:rFonts w:hint="eastAsia" w:ascii="宋体" w:hAnsi="宋体"/>
          <w:kern w:val="0"/>
          <w:sz w:val="24"/>
        </w:rPr>
        <w:t>技术方案不明确，存在一个或一个以上备选（替代）</w:t>
      </w:r>
      <w:r>
        <w:rPr>
          <w:rFonts w:hint="eastAsia" w:hAnsi="宋体"/>
          <w:sz w:val="24"/>
        </w:rPr>
        <w:t>磋商响应</w:t>
      </w:r>
      <w:r>
        <w:rPr>
          <w:rFonts w:hint="eastAsia" w:ascii="宋体" w:hAnsi="宋体"/>
          <w:kern w:val="0"/>
          <w:sz w:val="24"/>
        </w:rPr>
        <w:t>方案的；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⑧</w:t>
      </w:r>
      <w:r>
        <w:rPr>
          <w:rFonts w:hint="eastAsia" w:ascii="宋体" w:hAnsi="宋体"/>
          <w:kern w:val="0"/>
          <w:sz w:val="24"/>
        </w:rPr>
        <w:t>与其他参加本次</w:t>
      </w:r>
      <w:r>
        <w:rPr>
          <w:rFonts w:hint="eastAsia" w:hAnsi="宋体"/>
          <w:sz w:val="24"/>
        </w:rPr>
        <w:t>磋商响应</w:t>
      </w:r>
      <w:r>
        <w:rPr>
          <w:rFonts w:hint="eastAsia" w:ascii="宋体" w:hAnsi="宋体"/>
          <w:kern w:val="0"/>
          <w:sz w:val="24"/>
        </w:rPr>
        <w:t>供应商的</w:t>
      </w:r>
      <w:r>
        <w:rPr>
          <w:rFonts w:hint="eastAsia" w:hAnsi="宋体"/>
          <w:sz w:val="24"/>
        </w:rPr>
        <w:t>磋商响应</w:t>
      </w:r>
      <w:r>
        <w:rPr>
          <w:rFonts w:hint="eastAsia" w:ascii="宋体" w:hAnsi="宋体"/>
          <w:kern w:val="0"/>
          <w:sz w:val="24"/>
        </w:rPr>
        <w:t>文件（技术文件）的文字表述内容相同连续20行以上或者差错相同2处以上的；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b/>
          <w:kern w:val="0"/>
          <w:sz w:val="24"/>
        </w:rPr>
      </w:pPr>
      <w:r>
        <w:rPr>
          <w:rFonts w:hint="eastAsia" w:ascii="宋体" w:hAnsi="宋体" w:cs="宋体"/>
          <w:kern w:val="0"/>
          <w:sz w:val="24"/>
        </w:rPr>
        <w:t>⑨</w:t>
      </w:r>
      <w:r>
        <w:rPr>
          <w:rFonts w:hint="eastAsia" w:ascii="宋体" w:hAnsi="宋体"/>
          <w:kern w:val="0"/>
          <w:sz w:val="24"/>
        </w:rPr>
        <w:t>未实质性响应</w:t>
      </w:r>
      <w:r>
        <w:rPr>
          <w:rFonts w:hint="eastAsia" w:ascii="宋体" w:hAnsi="宋体" w:cs="宋体"/>
          <w:bCs/>
          <w:sz w:val="24"/>
        </w:rPr>
        <w:t>磋商</w:t>
      </w:r>
      <w:r>
        <w:rPr>
          <w:rFonts w:hint="eastAsia" w:ascii="宋体" w:hAnsi="宋体"/>
          <w:kern w:val="0"/>
          <w:sz w:val="24"/>
        </w:rPr>
        <w:t>文件要求或</w:t>
      </w:r>
      <w:r>
        <w:rPr>
          <w:rFonts w:hint="eastAsia" w:hAnsi="宋体"/>
          <w:sz w:val="24"/>
        </w:rPr>
        <w:t>磋商响应</w:t>
      </w:r>
      <w:r>
        <w:rPr>
          <w:rFonts w:hint="eastAsia" w:ascii="宋体" w:hAnsi="宋体"/>
          <w:kern w:val="0"/>
          <w:sz w:val="24"/>
        </w:rPr>
        <w:t>文件有</w:t>
      </w:r>
      <w:r>
        <w:rPr>
          <w:rFonts w:hint="eastAsia" w:ascii="宋体" w:hAnsi="宋体" w:cs="宋体"/>
          <w:bCs/>
          <w:sz w:val="24"/>
        </w:rPr>
        <w:t>磋商</w:t>
      </w:r>
      <w:r>
        <w:rPr>
          <w:rFonts w:hint="eastAsia" w:ascii="宋体" w:hAnsi="宋体"/>
          <w:kern w:val="0"/>
          <w:sz w:val="24"/>
        </w:rPr>
        <w:t>方不能接受的附加条件的。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（2）在报价评审时，如发现下列情形之一的，磋商响应文件将被视为无效：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①未采用人民币报价或者未按照</w:t>
      </w:r>
      <w:r>
        <w:rPr>
          <w:rFonts w:hint="eastAsia" w:ascii="宋体" w:hAnsi="宋体" w:cs="宋体"/>
          <w:bCs/>
          <w:sz w:val="24"/>
        </w:rPr>
        <w:t>磋商</w:t>
      </w:r>
      <w:r>
        <w:rPr>
          <w:rFonts w:hint="eastAsia" w:ascii="宋体" w:hAnsi="宋体"/>
          <w:kern w:val="0"/>
          <w:sz w:val="24"/>
        </w:rPr>
        <w:t>文件标明的币种报价的；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②报价超出最高限价的；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③</w:t>
      </w:r>
      <w:r>
        <w:rPr>
          <w:rFonts w:hint="eastAsia" w:hAnsi="宋体"/>
          <w:sz w:val="24"/>
        </w:rPr>
        <w:t>磋商响应</w:t>
      </w:r>
      <w:r>
        <w:rPr>
          <w:rFonts w:hint="eastAsia" w:ascii="宋体" w:hAnsi="宋体"/>
          <w:color w:val="000000"/>
          <w:kern w:val="0"/>
          <w:sz w:val="24"/>
        </w:rPr>
        <w:t>报价具有选择性，或者开标价格与</w:t>
      </w:r>
      <w:r>
        <w:rPr>
          <w:rFonts w:hint="eastAsia" w:hAnsi="宋体"/>
          <w:sz w:val="24"/>
        </w:rPr>
        <w:t>磋商响应</w:t>
      </w:r>
      <w:r>
        <w:rPr>
          <w:rFonts w:hint="eastAsia" w:ascii="宋体" w:hAnsi="宋体"/>
          <w:color w:val="000000"/>
          <w:kern w:val="0"/>
          <w:sz w:val="24"/>
        </w:rPr>
        <w:t>文件承诺的优惠（折扣）价格不一致的；</w:t>
      </w:r>
    </w:p>
    <w:p>
      <w:pPr>
        <w:pStyle w:val="27"/>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五</w:t>
      </w:r>
      <w:r>
        <w:rPr>
          <w:rFonts w:hint="eastAsia" w:hAnsi="宋体"/>
          <w:b/>
          <w:szCs w:val="24"/>
        </w:rPr>
        <w:t>）磋商与评审</w:t>
      </w:r>
    </w:p>
    <w:p>
      <w:pPr>
        <w:pStyle w:val="27"/>
        <w:snapToGrid w:val="0"/>
        <w:spacing w:beforeLines="0" w:afterLines="0" w:line="360" w:lineRule="auto"/>
        <w:ind w:firstLine="588" w:firstLineChars="245"/>
        <w:jc w:val="left"/>
        <w:rPr>
          <w:rFonts w:hAnsi="宋体"/>
          <w:color w:val="000000"/>
          <w:kern w:val="0"/>
          <w:szCs w:val="24"/>
        </w:rPr>
      </w:pPr>
      <w:r>
        <w:rPr>
          <w:rFonts w:hint="eastAsia" w:hAnsi="宋体"/>
          <w:color w:val="000000"/>
          <w:kern w:val="0"/>
          <w:szCs w:val="24"/>
        </w:rPr>
        <w:t>1．采购人根据需要对合格</w:t>
      </w:r>
      <w:r>
        <w:rPr>
          <w:rFonts w:hint="eastAsia" w:hAnsi="宋体"/>
          <w:szCs w:val="24"/>
        </w:rPr>
        <w:t>磋商响应</w:t>
      </w:r>
      <w:r>
        <w:rPr>
          <w:rFonts w:hint="eastAsia" w:hAnsi="宋体"/>
          <w:color w:val="000000"/>
          <w:kern w:val="0"/>
          <w:szCs w:val="24"/>
        </w:rPr>
        <w:t>方进行磋商。</w:t>
      </w:r>
    </w:p>
    <w:p>
      <w:pPr>
        <w:pStyle w:val="27"/>
        <w:snapToGrid w:val="0"/>
        <w:spacing w:beforeLines="0" w:afterLines="0" w:line="360" w:lineRule="auto"/>
        <w:ind w:firstLine="588" w:firstLineChars="245"/>
        <w:jc w:val="left"/>
        <w:rPr>
          <w:rFonts w:hAnsi="宋体"/>
          <w:b/>
          <w:color w:val="000000"/>
          <w:kern w:val="0"/>
          <w:szCs w:val="24"/>
          <w:u w:val="single"/>
        </w:rPr>
      </w:pPr>
      <w:r>
        <w:rPr>
          <w:rFonts w:hint="eastAsia" w:hAnsi="宋体"/>
          <w:color w:val="000000"/>
          <w:kern w:val="0"/>
          <w:szCs w:val="24"/>
        </w:rPr>
        <w:t>2．磋商小组成员与资格审查合格供应商进行谈判。</w:t>
      </w:r>
      <w:r>
        <w:rPr>
          <w:rFonts w:hint="eastAsia" w:hAnsi="宋体"/>
          <w:szCs w:val="24"/>
        </w:rPr>
        <w:t>磋商响应</w:t>
      </w:r>
      <w:r>
        <w:rPr>
          <w:rFonts w:hint="eastAsia" w:hAnsi="宋体"/>
          <w:color w:val="000000"/>
          <w:kern w:val="0"/>
          <w:szCs w:val="24"/>
        </w:rPr>
        <w:t>方应由法人代表或法人代表授权的</w:t>
      </w:r>
      <w:r>
        <w:rPr>
          <w:rFonts w:hint="eastAsia" w:hAnsi="宋体"/>
          <w:szCs w:val="24"/>
        </w:rPr>
        <w:t>磋商响应</w:t>
      </w:r>
      <w:r>
        <w:rPr>
          <w:rFonts w:hint="eastAsia" w:hAnsi="宋体"/>
          <w:color w:val="000000"/>
          <w:kern w:val="0"/>
          <w:szCs w:val="24"/>
        </w:rPr>
        <w:t>人进行磋商。磋商的内容主要有技术规格、产品质量、售后服务、合同草案，包括当事人的权利和义务、履约期限和方式、资金支付要求、验收标准等</w:t>
      </w:r>
      <w:r>
        <w:rPr>
          <w:rFonts w:hint="eastAsia" w:hAnsi="宋体"/>
          <w:szCs w:val="24"/>
        </w:rPr>
        <w:t>磋商响应</w:t>
      </w:r>
      <w:r>
        <w:rPr>
          <w:rFonts w:hint="eastAsia" w:hAnsi="宋体"/>
          <w:color w:val="000000"/>
          <w:kern w:val="0"/>
          <w:szCs w:val="24"/>
        </w:rPr>
        <w:t>人所作的重要答复均应补充以书面形式，并经法定代表人或授权人签署，作为</w:t>
      </w:r>
      <w:r>
        <w:rPr>
          <w:rFonts w:hint="eastAsia" w:hAnsi="宋体"/>
          <w:szCs w:val="24"/>
        </w:rPr>
        <w:t>磋商响应</w:t>
      </w:r>
      <w:r>
        <w:rPr>
          <w:rFonts w:hint="eastAsia" w:hAnsi="宋体"/>
          <w:color w:val="000000"/>
          <w:kern w:val="0"/>
          <w:szCs w:val="24"/>
        </w:rPr>
        <w:t>文件的一部分，对</w:t>
      </w:r>
      <w:r>
        <w:rPr>
          <w:rFonts w:hint="eastAsia" w:hAnsi="宋体"/>
          <w:szCs w:val="24"/>
        </w:rPr>
        <w:t>磋商响应</w:t>
      </w:r>
      <w:r>
        <w:rPr>
          <w:rFonts w:hint="eastAsia" w:hAnsi="宋体"/>
          <w:color w:val="000000"/>
          <w:kern w:val="0"/>
          <w:szCs w:val="24"/>
        </w:rPr>
        <w:t>人有约束力，但不得对</w:t>
      </w:r>
      <w:r>
        <w:rPr>
          <w:rFonts w:hint="eastAsia" w:hAnsi="宋体"/>
          <w:szCs w:val="24"/>
        </w:rPr>
        <w:t>磋商响应</w:t>
      </w:r>
      <w:r>
        <w:rPr>
          <w:rFonts w:hint="eastAsia" w:hAnsi="宋体"/>
          <w:color w:val="000000"/>
          <w:kern w:val="0"/>
          <w:szCs w:val="24"/>
        </w:rPr>
        <w:t>内容进行实质性修改。在磋商中，磋商的任何一方不得透露与磋商有关的其他供应商的技术资料、价格和其他信息。专家询标期间，</w:t>
      </w:r>
      <w:r>
        <w:rPr>
          <w:rFonts w:hint="eastAsia" w:hAnsi="宋体"/>
          <w:szCs w:val="24"/>
        </w:rPr>
        <w:t>磋商响应</w:t>
      </w:r>
      <w:r>
        <w:rPr>
          <w:rFonts w:hint="eastAsia" w:hAnsi="宋体"/>
          <w:color w:val="000000"/>
          <w:kern w:val="0"/>
          <w:szCs w:val="24"/>
        </w:rPr>
        <w:t>方法定代表人或委托代理人必须在场。</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3．为了更好地实现采购目标，磋商小组可能对部分设备进行增删或技术规格、质量要求以及磋商文件的其他条款进行修改，但涉及实质性变动的，要以书面形式通知所有参加磋商的供应商。供应商收到修改磋商文件的通知后，可以决定是否继续参加磋商活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4．如对磋商文件中的设备及规格要求没有更改的，即对商务部分进行评审。如果有更改的则按照新的规定，并在启封商务标之前要求所有参加磋商的供应商对修改磋商文件的通知进行签字，在规定时间内再次报价。超过规定时间提交的报价作无效处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kern w:val="0"/>
          <w:sz w:val="24"/>
        </w:rPr>
        <w:t>5</w:t>
      </w:r>
      <w:r>
        <w:rPr>
          <w:rFonts w:hint="eastAsia"/>
          <w:kern w:val="0"/>
          <w:sz w:val="24"/>
        </w:rPr>
        <w:t>．</w:t>
      </w:r>
      <w:r>
        <w:rPr>
          <w:rFonts w:hint="eastAsia"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供应商出现重大偏离或未实质性响应</w:t>
      </w:r>
      <w:r>
        <w:rPr>
          <w:rFonts w:hint="eastAsia" w:ascii="宋体" w:hAnsi="宋体" w:cs="宋体"/>
          <w:bCs/>
          <w:sz w:val="24"/>
        </w:rPr>
        <w:t>磋商</w:t>
      </w:r>
      <w:r>
        <w:rPr>
          <w:rFonts w:hint="eastAsia" w:ascii="宋体" w:hAnsi="宋体"/>
          <w:color w:val="000000"/>
          <w:kern w:val="0"/>
          <w:sz w:val="24"/>
        </w:rPr>
        <w:t>要求的情形，不得涉及供应商评分得分的更正修改。为此，可能造成的供应商</w:t>
      </w:r>
      <w:r>
        <w:rPr>
          <w:rFonts w:hint="eastAsia" w:hAnsi="宋体"/>
          <w:sz w:val="24"/>
        </w:rPr>
        <w:t>磋商响应</w:t>
      </w:r>
      <w:r>
        <w:rPr>
          <w:rFonts w:hint="eastAsia" w:ascii="宋体" w:hAnsi="宋体"/>
          <w:color w:val="000000"/>
          <w:kern w:val="0"/>
          <w:sz w:val="24"/>
        </w:rPr>
        <w:t>文件的开启拆封，评标顺序的变更，采购人、采购组织机构与磋商小组不承担责任。</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6．如本项目参与</w:t>
      </w:r>
      <w:r>
        <w:rPr>
          <w:rFonts w:hint="eastAsia" w:hAnsi="宋体"/>
          <w:sz w:val="24"/>
        </w:rPr>
        <w:t>磋商响应</w:t>
      </w:r>
      <w:r>
        <w:rPr>
          <w:rFonts w:hint="eastAsia" w:ascii="宋体" w:hAnsi="宋体"/>
          <w:color w:val="000000"/>
          <w:kern w:val="0"/>
          <w:sz w:val="24"/>
        </w:rPr>
        <w:t>的供应商不足三家的，本项目做流标处理；如本项目在评审过程中出现有效供应商不足三家的，根据实际情况，可以流标；也可以按《浙江省财政厅、省监察厅关于进一步规范政府采购活动的若干意见》【浙财采监字〔2007〕2号】文件规定执行。</w:t>
      </w:r>
    </w:p>
    <w:p>
      <w:pPr>
        <w:pStyle w:val="27"/>
        <w:snapToGrid w:val="0"/>
        <w:spacing w:beforeLines="0" w:afterLines="0" w:line="360" w:lineRule="auto"/>
        <w:jc w:val="center"/>
        <w:rPr>
          <w:rFonts w:hAnsi="宋体" w:cs="宋体"/>
          <w:b/>
          <w:color w:val="000000"/>
          <w:kern w:val="0"/>
          <w:sz w:val="32"/>
          <w:szCs w:val="32"/>
        </w:rPr>
      </w:pPr>
      <w:r>
        <w:rPr>
          <w:rFonts w:hint="eastAsia" w:hAnsi="宋体" w:cs="宋体"/>
          <w:b/>
          <w:color w:val="000000"/>
          <w:kern w:val="0"/>
          <w:sz w:val="32"/>
          <w:szCs w:val="32"/>
        </w:rPr>
        <w:t>四、磋商程序</w:t>
      </w:r>
    </w:p>
    <w:p>
      <w:pPr>
        <w:pStyle w:val="27"/>
        <w:snapToGrid w:val="0"/>
        <w:spacing w:beforeLines="0" w:afterLines="0" w:line="360" w:lineRule="auto"/>
        <w:jc w:val="left"/>
        <w:rPr>
          <w:rFonts w:hAnsi="宋体" w:cs="宋体"/>
          <w:b/>
          <w:szCs w:val="24"/>
        </w:rPr>
      </w:pPr>
      <w:r>
        <w:rPr>
          <w:rFonts w:hint="eastAsia" w:hAnsi="宋体" w:cs="宋体"/>
          <w:b/>
          <w:szCs w:val="24"/>
        </w:rPr>
        <w:t>（十</w:t>
      </w:r>
      <w:r>
        <w:rPr>
          <w:rFonts w:hint="eastAsia" w:hAnsi="宋体" w:cs="宋体"/>
          <w:b/>
          <w:szCs w:val="24"/>
          <w:lang w:eastAsia="zh-CN"/>
        </w:rPr>
        <w:t>六</w:t>
      </w:r>
      <w:r>
        <w:rPr>
          <w:rFonts w:hint="eastAsia" w:hAnsi="宋体" w:cs="宋体"/>
          <w:b/>
          <w:szCs w:val="24"/>
        </w:rPr>
        <w:t>）磋商程序</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s="宋体"/>
          <w:color w:val="000000"/>
          <w:kern w:val="0"/>
          <w:sz w:val="24"/>
        </w:rPr>
        <w:t>1．初审和初评：磋商小组由有关专家共三人以上的单数组成,磋商小组对所磋商单位的磋商响应书进行初审和初评，</w:t>
      </w:r>
      <w:r>
        <w:rPr>
          <w:rFonts w:hint="eastAsia" w:ascii="宋体" w:hAnsi="宋体" w:cs="宋体"/>
          <w:b/>
          <w:bCs/>
          <w:kern w:val="0"/>
          <w:sz w:val="24"/>
        </w:rPr>
        <w:t>并在最终报价前</w:t>
      </w:r>
      <w:r>
        <w:rPr>
          <w:rFonts w:hint="eastAsia" w:ascii="宋体" w:hAnsi="宋体" w:cs="宋体"/>
          <w:b/>
          <w:bCs/>
          <w:sz w:val="24"/>
        </w:rPr>
        <w:t>公开资格审查和技术商务评审结果</w:t>
      </w:r>
      <w:r>
        <w:rPr>
          <w:rFonts w:hint="eastAsia" w:ascii="宋体" w:hAnsi="宋体" w:cs="宋体"/>
          <w:color w:val="000000"/>
          <w:kern w:val="0"/>
          <w:sz w:val="24"/>
        </w:rPr>
        <w:t>。根据初审和初评的情况，磋商小组</w:t>
      </w:r>
      <w:r>
        <w:rPr>
          <w:rFonts w:hint="eastAsia" w:ascii="宋体" w:hAnsi="宋体"/>
          <w:color w:val="000000"/>
          <w:kern w:val="0"/>
          <w:sz w:val="24"/>
        </w:rPr>
        <w:t>有权决定对初评中最差的磋商单位将取消参加竞争性磋商资格的权力；磋商响应文件存在“▲”项不允许实质性负偏离，或非实质性负偏离超过本文件规定项数的，磋商响应文件无效。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3．根据第一轮磋商的情况，磋商小组有权决定对第一轮磋商中排名较差的磋商单位将取消参加竞争性磋商资格的权力；</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4．第二轮磋商：对第一轮磋商结果不满意，磋商小组可以再次要求磋商单位进行第二轮磋商，磋商内容及要求跟第一轮磋商一样, 磋商小组有权决定对第二轮磋商中排名较差的磋商单位将取消参加竞争性磋商资格的权力。</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5．最终磋商：磋商小组对第一、二轮磋商结果都不满意，可以进行第三轮磋商，磋商单位必须在第三轮磋商结束前对磋商服务的技术要求、价格、服务承诺及优惠条件等需求进行最后的承诺，本项目的磋商不少于一轮。</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6．磋商时，磋商供应商应派代表在采购机构指定的地点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7．如果最后一轮的磋商结果不能满足采购单位的需求，此次竞争性磋商失败，采购单位和采购机构另行组织采购。</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8．在磋商期间，采购机构可要求磋商供应商对其磋商响应文件进行澄清，但不得寻求、提供或允许实质性内容做任何更改。有关澄清的要求和答复均应以书面形式提交。</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9．出席磋商的有关人员：监督审查小组和磋商小组成员；监督审查小组负责现场监督。磋商单位的所有磋商响应文件(包括每次报价及重新承诺)截至时间前接收，任何参与磋商的个人均不得私自拆封。磋商小组负责本次项目所有磋商任务，包括全程磋商、推荐磋商成交候选人、填写磋商采购结果报告等。</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b/>
          <w:color w:val="000000"/>
          <w:kern w:val="0"/>
          <w:sz w:val="24"/>
        </w:rPr>
      </w:pPr>
      <w:r>
        <w:rPr>
          <w:rFonts w:hint="eastAsia" w:ascii="宋体" w:hAnsi="宋体"/>
          <w:b/>
          <w:color w:val="000000"/>
          <w:kern w:val="0"/>
          <w:sz w:val="24"/>
        </w:rPr>
        <w:t>磋商采购结果确定的原则：</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1．结果确定规则方案：磋商工作必须遵循公平、公正的竞争原则。最大限度地保护当事人的权益，磋商小组应严格按照磋商文件的技术、商务要求，对磋商响应书进行综合分析评价，编制磋商报告。磋商人员必须严格遵守保密规定，不得泄露磋商有关的情况，不得索贿受贿，不得参加影响磋商的任何活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b/>
          <w:color w:val="000000"/>
          <w:kern w:val="0"/>
          <w:sz w:val="24"/>
        </w:rPr>
      </w:pPr>
      <w:r>
        <w:rPr>
          <w:rFonts w:hint="eastAsia" w:ascii="宋体" w:hAnsi="宋体"/>
          <w:b/>
          <w:color w:val="000000"/>
          <w:kern w:val="0"/>
          <w:sz w:val="24"/>
        </w:rPr>
        <w:t>2．本次磋商采用综合评分法</w:t>
      </w:r>
    </w:p>
    <w:p>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50" w:lineRule="exact"/>
        <w:ind w:firstLine="540" w:firstLineChars="225"/>
        <w:jc w:val="left"/>
        <w:textAlignment w:val="auto"/>
        <w:rPr>
          <w:rFonts w:hAnsi="宋体"/>
          <w:b/>
          <w:sz w:val="24"/>
        </w:rPr>
      </w:pPr>
      <w:r>
        <w:rPr>
          <w:rFonts w:hint="eastAsia" w:ascii="宋体" w:hAnsi="宋体"/>
          <w:color w:val="000000"/>
          <w:kern w:val="0"/>
          <w:sz w:val="24"/>
        </w:rPr>
        <w:t>本项目磋商单位的确定将以提交的磋商响应文件及澄清文件为依据，在最大限度满足本次磋商的要求（包括服务承诺及国家质量规范标准）的前提下，充分考虑磋商单位的服务承诺，优惠条件等综合比较价格、服务质量、信誉等因素，</w:t>
      </w:r>
      <w:r>
        <w:rPr>
          <w:rFonts w:hint="eastAsia" w:ascii="宋体" w:hAnsi="宋体"/>
          <w:b/>
          <w:bCs/>
          <w:color w:val="000000"/>
          <w:kern w:val="0"/>
          <w:sz w:val="24"/>
        </w:rPr>
        <w:t>由磋商小组推荐综合得分最高的磋商单位作为磋商成交候选人</w:t>
      </w:r>
      <w:r>
        <w:rPr>
          <w:rFonts w:hint="eastAsia" w:ascii="宋体" w:hAnsi="宋体"/>
          <w:color w:val="000000"/>
          <w:kern w:val="0"/>
          <w:sz w:val="24"/>
        </w:rPr>
        <w:t>，磋商小组填写磋商采购结果报告书。</w:t>
      </w:r>
      <w:r>
        <w:rPr>
          <w:rFonts w:hint="eastAsia" w:hAnsi="宋体"/>
          <w:b/>
          <w:sz w:val="24"/>
        </w:rPr>
        <w:t>（十</w:t>
      </w:r>
      <w:r>
        <w:rPr>
          <w:rFonts w:hint="eastAsia" w:hAnsi="宋体"/>
          <w:b/>
          <w:sz w:val="24"/>
          <w:lang w:eastAsia="zh-CN"/>
        </w:rPr>
        <w:t>七</w:t>
      </w:r>
      <w:r>
        <w:rPr>
          <w:rFonts w:hint="eastAsia" w:hAnsi="宋体"/>
          <w:b/>
          <w:sz w:val="24"/>
        </w:rPr>
        <w:t>）</w:t>
      </w:r>
      <w:r>
        <w:rPr>
          <w:rFonts w:hint="eastAsia" w:ascii="宋体" w:hAnsi="宋体" w:cs="宋体"/>
          <w:b/>
          <w:sz w:val="24"/>
        </w:rPr>
        <w:t>磋商</w:t>
      </w:r>
      <w:r>
        <w:rPr>
          <w:rFonts w:hint="eastAsia" w:ascii="宋体" w:hAnsi="宋体" w:cs="宋体"/>
          <w:b/>
          <w:bCs/>
          <w:sz w:val="24"/>
        </w:rPr>
        <w:t>响应</w:t>
      </w:r>
      <w:r>
        <w:rPr>
          <w:rFonts w:hint="eastAsia" w:hAnsi="宋体"/>
          <w:b/>
          <w:sz w:val="24"/>
        </w:rPr>
        <w:t>文件的澄清</w:t>
      </w:r>
    </w:p>
    <w:p>
      <w:pPr>
        <w:pStyle w:val="27"/>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olor w:val="000000"/>
          <w:kern w:val="0"/>
          <w:szCs w:val="24"/>
        </w:rPr>
      </w:pPr>
      <w:r>
        <w:rPr>
          <w:rFonts w:hint="eastAsia" w:hAnsi="宋体"/>
          <w:color w:val="000000"/>
          <w:kern w:val="0"/>
          <w:szCs w:val="24"/>
        </w:rPr>
        <w:t>1．评标时磋商小组有权请</w:t>
      </w:r>
      <w:r>
        <w:rPr>
          <w:rFonts w:hint="eastAsia" w:hAnsi="宋体"/>
          <w:szCs w:val="24"/>
        </w:rPr>
        <w:t>磋商响应</w:t>
      </w:r>
      <w:r>
        <w:rPr>
          <w:rFonts w:hint="eastAsia" w:hAnsi="宋体"/>
          <w:color w:val="000000"/>
          <w:kern w:val="0"/>
          <w:szCs w:val="24"/>
        </w:rPr>
        <w:t>人就</w:t>
      </w:r>
      <w:r>
        <w:rPr>
          <w:rFonts w:hint="eastAsia" w:hAnsi="宋体"/>
          <w:szCs w:val="24"/>
        </w:rPr>
        <w:t>磋商响应</w:t>
      </w:r>
      <w:r>
        <w:rPr>
          <w:rFonts w:hint="eastAsia" w:hAnsi="宋体"/>
          <w:color w:val="000000"/>
          <w:kern w:val="0"/>
          <w:szCs w:val="24"/>
        </w:rPr>
        <w:t>文件加以澄清。</w:t>
      </w:r>
      <w:r>
        <w:rPr>
          <w:rFonts w:hint="eastAsia" w:hAnsi="宋体"/>
          <w:szCs w:val="24"/>
        </w:rPr>
        <w:t>磋商响应</w:t>
      </w:r>
      <w:r>
        <w:rPr>
          <w:rFonts w:hint="eastAsia" w:hAnsi="宋体"/>
          <w:color w:val="000000"/>
          <w:kern w:val="0"/>
          <w:szCs w:val="24"/>
        </w:rPr>
        <w:t>人对要求澄清的问题应以书面形式明确答复，并应有法定代表人或法人授权代表的签署。</w:t>
      </w:r>
      <w:r>
        <w:rPr>
          <w:rFonts w:hint="eastAsia" w:hAnsi="宋体"/>
          <w:szCs w:val="24"/>
        </w:rPr>
        <w:t>磋商响应</w:t>
      </w:r>
      <w:r>
        <w:rPr>
          <w:rFonts w:hint="eastAsia" w:hAnsi="宋体"/>
          <w:color w:val="000000"/>
          <w:kern w:val="0"/>
          <w:szCs w:val="24"/>
        </w:rPr>
        <w:t>人的澄清文件是</w:t>
      </w:r>
      <w:r>
        <w:rPr>
          <w:rFonts w:hint="eastAsia" w:hAnsi="宋体"/>
          <w:szCs w:val="24"/>
        </w:rPr>
        <w:t>磋商响应</w:t>
      </w:r>
      <w:r>
        <w:rPr>
          <w:rFonts w:hint="eastAsia" w:hAnsi="宋体"/>
          <w:color w:val="000000"/>
          <w:kern w:val="0"/>
          <w:szCs w:val="24"/>
        </w:rPr>
        <w:t>文件的组成部分，</w:t>
      </w:r>
      <w:r>
        <w:rPr>
          <w:rFonts w:hint="eastAsia" w:hAnsi="宋体"/>
          <w:szCs w:val="24"/>
        </w:rPr>
        <w:t>磋商响应</w:t>
      </w:r>
      <w:r>
        <w:rPr>
          <w:rFonts w:hint="eastAsia" w:hAnsi="宋体"/>
          <w:color w:val="000000"/>
          <w:kern w:val="0"/>
          <w:szCs w:val="24"/>
        </w:rPr>
        <w:t>文件的澄清不得改变</w:t>
      </w:r>
      <w:r>
        <w:rPr>
          <w:rFonts w:hint="eastAsia" w:hAnsi="宋体"/>
          <w:szCs w:val="24"/>
        </w:rPr>
        <w:t>磋商响应</w:t>
      </w:r>
      <w:r>
        <w:rPr>
          <w:rFonts w:hint="eastAsia" w:hAnsi="宋体"/>
          <w:color w:val="000000"/>
          <w:kern w:val="0"/>
          <w:szCs w:val="24"/>
        </w:rPr>
        <w:t>的实质内容。</w:t>
      </w:r>
    </w:p>
    <w:p>
      <w:pPr>
        <w:pStyle w:val="27"/>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olor w:val="000000"/>
          <w:kern w:val="0"/>
          <w:szCs w:val="24"/>
        </w:rPr>
      </w:pPr>
      <w:r>
        <w:rPr>
          <w:rFonts w:hint="eastAsia" w:hAnsi="宋体"/>
          <w:color w:val="000000"/>
          <w:kern w:val="0"/>
          <w:szCs w:val="24"/>
        </w:rPr>
        <w:t>2．算术的错误将按以下方法修正：小写与大写金额不一致的，以大写金额为准修正；单价金额与总价金额不一致的，以单价为准修正，单价金额小数点有明显错误的，以总价为准；文字与数字不符的，以文字为准修正；磋商响应人不同意上述修正的，其</w:t>
      </w:r>
      <w:r>
        <w:rPr>
          <w:rFonts w:hint="eastAsia" w:hAnsi="宋体"/>
          <w:szCs w:val="24"/>
        </w:rPr>
        <w:t>磋商响应</w:t>
      </w:r>
      <w:r>
        <w:rPr>
          <w:rFonts w:hint="eastAsia" w:hAnsi="宋体"/>
          <w:color w:val="000000"/>
          <w:kern w:val="0"/>
          <w:szCs w:val="24"/>
        </w:rPr>
        <w:t>将被拒绝。</w:t>
      </w:r>
      <w:bookmarkStart w:id="5" w:name="_Toc44759273"/>
      <w:bookmarkStart w:id="6" w:name="_Toc15805936"/>
      <w:bookmarkStart w:id="7" w:name="_Toc44759085"/>
      <w:bookmarkStart w:id="8" w:name="_Toc114115351"/>
      <w:bookmarkStart w:id="9" w:name="_Toc15813253"/>
    </w:p>
    <w:p>
      <w:pPr>
        <w:keepNext w:val="0"/>
        <w:keepLines w:val="0"/>
        <w:pageBreakBefore w:val="0"/>
        <w:widowControl w:val="0"/>
        <w:kinsoku/>
        <w:wordWrap/>
        <w:overflowPunct/>
        <w:topLinePunct w:val="0"/>
        <w:bidi w:val="0"/>
        <w:snapToGrid w:val="0"/>
        <w:spacing w:line="450" w:lineRule="exact"/>
        <w:jc w:val="center"/>
        <w:textAlignment w:val="auto"/>
        <w:rPr>
          <w:rFonts w:ascii="宋体" w:hAnsi="宋体" w:cs="宋体"/>
          <w:b/>
          <w:kern w:val="44"/>
          <w:sz w:val="32"/>
          <w:szCs w:val="32"/>
        </w:rPr>
      </w:pPr>
      <w:r>
        <w:rPr>
          <w:rFonts w:hint="eastAsia" w:ascii="宋体" w:hAnsi="宋体" w:cs="宋体"/>
          <w:b/>
          <w:kern w:val="44"/>
          <w:sz w:val="32"/>
          <w:szCs w:val="32"/>
        </w:rPr>
        <w:t>五、授予合同</w:t>
      </w:r>
      <w:bookmarkEnd w:id="5"/>
      <w:bookmarkEnd w:id="6"/>
      <w:bookmarkEnd w:id="7"/>
      <w:bookmarkEnd w:id="8"/>
      <w:bookmarkEnd w:id="9"/>
    </w:p>
    <w:p>
      <w:pPr>
        <w:keepNext w:val="0"/>
        <w:keepLines w:val="0"/>
        <w:pageBreakBefore w:val="0"/>
        <w:widowControl w:val="0"/>
        <w:kinsoku/>
        <w:wordWrap/>
        <w:overflowPunct/>
        <w:topLinePunct w:val="0"/>
        <w:bidi w:val="0"/>
        <w:snapToGrid w:val="0"/>
        <w:spacing w:line="450" w:lineRule="exact"/>
        <w:textAlignment w:val="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八</w:t>
      </w:r>
      <w:r>
        <w:rPr>
          <w:rFonts w:hint="eastAsia" w:ascii="宋体" w:hAnsi="宋体" w:cs="宋体"/>
          <w:b/>
          <w:sz w:val="24"/>
        </w:rPr>
        <w:t>）合同授予标准</w:t>
      </w:r>
    </w:p>
    <w:p>
      <w:pPr>
        <w:pStyle w:val="27"/>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s="宋体"/>
          <w:color w:val="000000"/>
          <w:kern w:val="0"/>
          <w:szCs w:val="24"/>
        </w:rPr>
      </w:pPr>
      <w:r>
        <w:rPr>
          <w:rFonts w:hint="eastAsia" w:hAnsi="宋体" w:cs="宋体"/>
          <w:color w:val="000000"/>
          <w:kern w:val="0"/>
          <w:szCs w:val="24"/>
        </w:rPr>
        <w:t>在审标、询标及调查考核的基础上，磋商小组按照平等、客观、公正的原则，根据评标办法进行综合评定。本项目响应文件基本符合竞争性磋商采购要求，</w:t>
      </w:r>
      <w:r>
        <w:rPr>
          <w:rFonts w:hint="eastAsia" w:hAnsi="宋体" w:cs="宋体"/>
          <w:b/>
          <w:color w:val="000000"/>
          <w:kern w:val="0"/>
          <w:szCs w:val="24"/>
        </w:rPr>
        <w:t>能够最大限度满足竞争性磋商采购中规定的各项综合评价标准.</w:t>
      </w:r>
    </w:p>
    <w:p>
      <w:pPr>
        <w:pStyle w:val="27"/>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cs="宋体"/>
          <w:b/>
          <w:szCs w:val="24"/>
        </w:rPr>
      </w:pPr>
      <w:r>
        <w:rPr>
          <w:rFonts w:hint="eastAsia" w:hAnsi="宋体" w:cs="宋体"/>
          <w:b/>
          <w:szCs w:val="24"/>
        </w:rPr>
        <w:t>（十</w:t>
      </w:r>
      <w:r>
        <w:rPr>
          <w:rFonts w:hint="eastAsia" w:hAnsi="宋体" w:cs="宋体"/>
          <w:b/>
          <w:szCs w:val="24"/>
          <w:lang w:eastAsia="zh-CN"/>
        </w:rPr>
        <w:t>九</w:t>
      </w:r>
      <w:r>
        <w:rPr>
          <w:rFonts w:hint="eastAsia" w:hAnsi="宋体" w:cs="宋体"/>
          <w:b/>
          <w:szCs w:val="24"/>
        </w:rPr>
        <w:t>）中标通知书</w:t>
      </w:r>
    </w:p>
    <w:p>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b/>
          <w:sz w:val="24"/>
        </w:rPr>
      </w:pPr>
      <w:r>
        <w:rPr>
          <w:rFonts w:hint="eastAsia" w:ascii="宋体" w:hAnsi="宋体" w:cs="宋体"/>
          <w:sz w:val="24"/>
        </w:rPr>
        <w:t>1．磋商结束后，自中标、成交供应商确定之日起2个工作</w:t>
      </w:r>
      <w:r>
        <w:rPr>
          <w:rFonts w:hint="eastAsia" w:ascii="宋体" w:hAnsi="宋体"/>
          <w:sz w:val="24"/>
        </w:rPr>
        <w:t>日内，发《中标通知书》，并在浙江省政府采购网上发布中标、成交结果公告。</w:t>
      </w:r>
    </w:p>
    <w:p>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b/>
          <w:sz w:val="24"/>
        </w:rPr>
      </w:pPr>
      <w:r>
        <w:rPr>
          <w:rFonts w:hint="eastAsia" w:ascii="宋体" w:hAnsi="宋体"/>
          <w:sz w:val="24"/>
        </w:rPr>
        <w:t>2．中标通知书发出后，若成交供应商放弃中标，应当承担相应的法律责任，中标通知书对采购人和成交供应商具有同等法律效力。</w:t>
      </w:r>
    </w:p>
    <w:p>
      <w:pPr>
        <w:pStyle w:val="27"/>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b/>
          <w:szCs w:val="24"/>
        </w:rPr>
      </w:pPr>
      <w:r>
        <w:rPr>
          <w:rFonts w:hint="eastAsia" w:hAnsi="宋体"/>
          <w:b/>
          <w:szCs w:val="24"/>
        </w:rPr>
        <w:t>（</w:t>
      </w:r>
      <w:r>
        <w:rPr>
          <w:rFonts w:hint="eastAsia" w:hAnsi="宋体"/>
          <w:b/>
          <w:szCs w:val="24"/>
          <w:lang w:eastAsia="zh-CN"/>
        </w:rPr>
        <w:t>二十</w:t>
      </w:r>
      <w:r>
        <w:rPr>
          <w:rFonts w:hint="eastAsia" w:hAnsi="宋体"/>
          <w:b/>
          <w:szCs w:val="24"/>
        </w:rPr>
        <w:t>）签订合同</w:t>
      </w:r>
    </w:p>
    <w:p>
      <w:pPr>
        <w:keepNext w:val="0"/>
        <w:keepLines w:val="0"/>
        <w:pageBreakBefore w:val="0"/>
        <w:widowControl w:val="0"/>
        <w:kinsoku/>
        <w:wordWrap/>
        <w:overflowPunct/>
        <w:topLinePunct w:val="0"/>
        <w:bidi w:val="0"/>
        <w:spacing w:line="450" w:lineRule="exact"/>
        <w:ind w:firstLine="480" w:firstLineChars="200"/>
        <w:textAlignment w:val="auto"/>
        <w:rPr>
          <w:rFonts w:ascii="黑体" w:hAnsi="黑体" w:eastAsia="黑体" w:cs="宋体"/>
          <w:b/>
          <w:bCs/>
          <w:sz w:val="24"/>
        </w:rPr>
      </w:pPr>
      <w:r>
        <w:rPr>
          <w:rFonts w:hint="eastAsia" w:ascii="宋体" w:hAnsi="宋体" w:cs="宋体"/>
          <w:sz w:val="24"/>
        </w:rPr>
        <w:t>采购人与中标供应商应当在《中标通知书》发出之日起10日内签订采购合同，如中标供应商拖延、拒签合同，在10日内未完成合同签订的，按自动放弃中标处理，并承担相应的法律责任，中标通知书对采购人和中标供应商具有同等法律效力。当确定的中标供应商放弃中标，采购人可以依此类推，由第二预中标供应商中标，或重新组织</w:t>
      </w:r>
      <w:r>
        <w:rPr>
          <w:rFonts w:hint="eastAsia" w:ascii="宋体" w:hAnsi="宋体" w:cs="宋体"/>
          <w:bCs/>
          <w:sz w:val="24"/>
        </w:rPr>
        <w:t>磋商</w:t>
      </w:r>
      <w:r>
        <w:rPr>
          <w:rFonts w:hint="eastAsia" w:ascii="宋体" w:hAnsi="宋体" w:cs="宋体"/>
          <w:sz w:val="24"/>
        </w:rPr>
        <w:t>。</w:t>
      </w:r>
    </w:p>
    <w:p>
      <w:pPr>
        <w:pStyle w:val="27"/>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b/>
          <w:szCs w:val="24"/>
        </w:rPr>
      </w:pPr>
      <w:r>
        <w:rPr>
          <w:rFonts w:hint="eastAsia" w:hAnsi="宋体"/>
          <w:b/>
          <w:szCs w:val="24"/>
        </w:rPr>
        <w:t>（二十</w:t>
      </w:r>
      <w:r>
        <w:rPr>
          <w:rFonts w:hint="eastAsia" w:hAnsi="宋体"/>
          <w:b/>
          <w:szCs w:val="24"/>
          <w:lang w:eastAsia="zh-CN"/>
        </w:rPr>
        <w:t>一</w:t>
      </w:r>
      <w:r>
        <w:rPr>
          <w:rFonts w:hint="eastAsia" w:hAnsi="宋体"/>
          <w:b/>
          <w:szCs w:val="24"/>
        </w:rPr>
        <w:t>）履约保证金</w:t>
      </w:r>
    </w:p>
    <w:p>
      <w:pPr>
        <w:keepNext w:val="0"/>
        <w:keepLines w:val="0"/>
        <w:pageBreakBefore w:val="0"/>
        <w:widowControl w:val="0"/>
        <w:kinsoku/>
        <w:wordWrap/>
        <w:overflowPunct/>
        <w:topLinePunct w:val="0"/>
        <w:bidi w:val="0"/>
        <w:spacing w:line="450" w:lineRule="exact"/>
        <w:ind w:firstLine="480" w:firstLineChars="200"/>
        <w:textAlignment w:val="auto"/>
        <w:rPr>
          <w:rFonts w:ascii="Calibri" w:hAnsi="Calibri"/>
          <w:b/>
          <w:bCs/>
          <w:kern w:val="44"/>
          <w:sz w:val="36"/>
          <w:szCs w:val="44"/>
        </w:rPr>
      </w:pPr>
      <w:r>
        <w:rPr>
          <w:rFonts w:hint="eastAsia" w:hAnsi="宋体"/>
          <w:kern w:val="0"/>
          <w:sz w:val="24"/>
        </w:rPr>
        <w:t>本项目不设履约保证金。</w:t>
      </w:r>
      <w:r>
        <w:rPr>
          <w:rFonts w:hint="eastAsia" w:ascii="Calibri" w:hAnsi="Calibri"/>
          <w:b/>
          <w:bCs/>
          <w:kern w:val="44"/>
          <w:sz w:val="36"/>
          <w:szCs w:val="44"/>
        </w:rPr>
        <w:br w:type="page"/>
      </w:r>
    </w:p>
    <w:p>
      <w:pPr>
        <w:numPr>
          <w:ilvl w:val="0"/>
          <w:numId w:val="4"/>
        </w:numPr>
        <w:spacing w:line="360" w:lineRule="auto"/>
        <w:jc w:val="center"/>
        <w:rPr>
          <w:rFonts w:ascii="宋体" w:hAnsi="宋体" w:cs="宋体"/>
          <w:b/>
          <w:bCs/>
          <w:kern w:val="44"/>
          <w:sz w:val="36"/>
          <w:szCs w:val="36"/>
        </w:rPr>
      </w:pPr>
      <w:r>
        <w:rPr>
          <w:rFonts w:hint="eastAsia" w:ascii="宋体" w:hAnsi="宋体" w:cs="宋体"/>
          <w:b/>
          <w:bCs/>
          <w:kern w:val="44"/>
          <w:sz w:val="36"/>
          <w:szCs w:val="36"/>
        </w:rPr>
        <w:t xml:space="preserve"> 采购需求</w:t>
      </w:r>
    </w:p>
    <w:p>
      <w:pPr>
        <w:pStyle w:val="27"/>
        <w:spacing w:beforeLines="0" w:afterLines="0" w:line="360" w:lineRule="auto"/>
        <w:ind w:firstLine="240" w:firstLineChars="100"/>
        <w:outlineLvl w:val="0"/>
        <w:rPr>
          <w:rFonts w:hAnsi="宋体" w:cs="宋体"/>
          <w:b/>
          <w:bCs/>
          <w:color w:val="0D0D0D"/>
          <w:szCs w:val="24"/>
        </w:rPr>
      </w:pPr>
      <w:r>
        <w:rPr>
          <w:rFonts w:hint="eastAsia" w:hAnsi="宋体" w:cs="宋体"/>
          <w:b/>
          <w:bCs/>
          <w:color w:val="0D0D0D"/>
          <w:szCs w:val="24"/>
        </w:rPr>
        <w:t>一、项目基本情况</w:t>
      </w:r>
    </w:p>
    <w:p>
      <w:pPr>
        <w:pStyle w:val="27"/>
        <w:spacing w:beforeLines="0" w:afterLines="0" w:line="360" w:lineRule="auto"/>
        <w:ind w:firstLine="480" w:firstLineChars="200"/>
        <w:outlineLvl w:val="0"/>
        <w:rPr>
          <w:rFonts w:hint="eastAsia" w:hAnsi="宋体" w:eastAsia="宋体" w:cs="宋体"/>
          <w:color w:val="0D0D0D"/>
          <w:szCs w:val="24"/>
          <w:lang w:eastAsia="zh-CN"/>
        </w:rPr>
      </w:pPr>
      <w:r>
        <w:rPr>
          <w:rFonts w:hint="eastAsia" w:hAnsi="宋体" w:cs="宋体"/>
          <w:color w:val="0D0D0D"/>
          <w:szCs w:val="24"/>
        </w:rPr>
        <w:t>1、项目编号：</w:t>
      </w:r>
      <w:r>
        <w:rPr>
          <w:rFonts w:hint="eastAsia" w:hAnsi="宋体" w:cs="宋体"/>
          <w:color w:val="0D0D0D"/>
          <w:szCs w:val="24"/>
          <w:lang w:eastAsia="zh-CN"/>
        </w:rPr>
        <w:t>JCZFCG2025-Q01-C498</w:t>
      </w:r>
    </w:p>
    <w:p>
      <w:pPr>
        <w:pStyle w:val="27"/>
        <w:spacing w:beforeLines="0" w:afterLines="0" w:line="360" w:lineRule="auto"/>
        <w:ind w:firstLine="480" w:firstLineChars="200"/>
        <w:rPr>
          <w:rFonts w:hAnsi="宋体" w:cs="宋体"/>
          <w:szCs w:val="24"/>
        </w:rPr>
      </w:pPr>
      <w:r>
        <w:rPr>
          <w:rFonts w:hint="eastAsia" w:hAnsi="宋体" w:cs="宋体"/>
          <w:szCs w:val="24"/>
        </w:rPr>
        <w:t>2、项目名称：</w:t>
      </w:r>
      <w:r>
        <w:rPr>
          <w:rFonts w:hint="eastAsia" w:hAnsi="宋体" w:cs="宋体"/>
          <w:bCs/>
          <w:szCs w:val="24"/>
        </w:rPr>
        <w:t>“新鲜水果进校园，助力学生健康成长”服务采购项目</w:t>
      </w:r>
    </w:p>
    <w:p>
      <w:pPr>
        <w:spacing w:line="360" w:lineRule="auto"/>
        <w:ind w:firstLine="240" w:firstLineChars="100"/>
        <w:rPr>
          <w:rFonts w:ascii="宋体" w:hAnsi="宋体" w:cs="宋体"/>
          <w:b/>
          <w:bCs/>
          <w:sz w:val="24"/>
        </w:rPr>
      </w:pPr>
      <w:r>
        <w:rPr>
          <w:rFonts w:hint="eastAsia" w:ascii="宋体" w:hAnsi="宋体" w:cs="宋体"/>
          <w:b/>
          <w:sz w:val="24"/>
        </w:rPr>
        <w:t>二、项目概况</w:t>
      </w:r>
    </w:p>
    <w:p>
      <w:pPr>
        <w:pStyle w:val="7"/>
        <w:spacing w:line="360" w:lineRule="auto"/>
        <w:ind w:firstLine="480" w:firstLineChars="200"/>
        <w:rPr>
          <w:rFonts w:ascii="宋体" w:hAnsi="宋体" w:cs="宋体"/>
          <w:kern w:val="0"/>
          <w:sz w:val="24"/>
          <w:szCs w:val="24"/>
        </w:rPr>
      </w:pPr>
      <w:r>
        <w:rPr>
          <w:rFonts w:hint="eastAsia" w:ascii="宋体" w:hAnsi="宋体" w:cs="宋体"/>
          <w:sz w:val="24"/>
          <w:szCs w:val="24"/>
        </w:rPr>
        <w:t>为满足学生对购买新鲜水果的需求，助力学生健康成长</w:t>
      </w:r>
      <w:r>
        <w:rPr>
          <w:rFonts w:hint="eastAsia" w:ascii="宋体" w:hAnsi="宋体" w:cs="宋体"/>
          <w:kern w:val="0"/>
          <w:sz w:val="24"/>
          <w:szCs w:val="24"/>
        </w:rPr>
        <w:t>，</w:t>
      </w:r>
      <w:r>
        <w:rPr>
          <w:rFonts w:hint="eastAsia" w:ascii="宋体" w:hAnsi="宋体" w:cs="宋体"/>
          <w:sz w:val="24"/>
          <w:szCs w:val="24"/>
        </w:rPr>
        <w:t>通过社会化、市场化、专业化运作，依照“廉洁、服务、节俭”的原则，引进一家专业公司进行服务。</w:t>
      </w:r>
    </w:p>
    <w:p>
      <w:pPr>
        <w:spacing w:line="360" w:lineRule="auto"/>
        <w:ind w:firstLine="240" w:firstLineChars="100"/>
        <w:jc w:val="left"/>
        <w:rPr>
          <w:rFonts w:ascii="宋体" w:hAnsi="宋体" w:cs="宋体"/>
          <w:bCs/>
          <w:sz w:val="24"/>
        </w:rPr>
      </w:pPr>
      <w:r>
        <w:rPr>
          <w:rFonts w:hint="eastAsia" w:ascii="宋体" w:hAnsi="宋体" w:cs="宋体"/>
          <w:b/>
          <w:kern w:val="0"/>
          <w:sz w:val="24"/>
        </w:rPr>
        <w:t>三、项目主要服务内容</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1.供应商在</w:t>
      </w:r>
      <w:r>
        <w:rPr>
          <w:rFonts w:hint="eastAsia" w:ascii="宋体" w:hAnsi="宋体" w:cs="宋体"/>
          <w:bCs/>
          <w:color w:val="0D0D0D"/>
          <w:sz w:val="24"/>
        </w:rPr>
        <w:t>东阳市第</w:t>
      </w:r>
      <w:r>
        <w:rPr>
          <w:rFonts w:hint="eastAsia" w:ascii="宋体" w:hAnsi="宋体" w:cs="宋体"/>
          <w:bCs/>
          <w:color w:val="0D0D0D"/>
          <w:sz w:val="24"/>
          <w:lang w:val="en-US" w:eastAsia="zh-CN"/>
        </w:rPr>
        <w:t>三</w:t>
      </w:r>
      <w:r>
        <w:rPr>
          <w:rFonts w:hint="eastAsia" w:ascii="宋体" w:hAnsi="宋体" w:cs="宋体"/>
          <w:bCs/>
          <w:color w:val="0D0D0D"/>
          <w:sz w:val="24"/>
        </w:rPr>
        <w:t>高级中学</w:t>
      </w:r>
      <w:r>
        <w:rPr>
          <w:rFonts w:hint="eastAsia" w:ascii="宋体" w:hAnsi="宋体" w:cs="宋体"/>
          <w:sz w:val="24"/>
        </w:rPr>
        <w:t>摆放</w:t>
      </w:r>
      <w:r>
        <w:rPr>
          <w:rFonts w:hint="eastAsia" w:ascii="宋体" w:hAnsi="宋体" w:cs="宋体"/>
          <w:kern w:val="0"/>
          <w:sz w:val="24"/>
        </w:rPr>
        <w:t>水果自助售卖机</w:t>
      </w:r>
      <w:r>
        <w:rPr>
          <w:rFonts w:hint="eastAsia" w:ascii="宋体" w:hAnsi="宋体" w:cs="宋体"/>
          <w:sz w:val="24"/>
        </w:rPr>
        <w:t>，</w:t>
      </w:r>
      <w:r>
        <w:rPr>
          <w:rFonts w:hint="eastAsia" w:ascii="宋体" w:hAnsi="宋体" w:cs="宋体"/>
          <w:kern w:val="0"/>
          <w:sz w:val="24"/>
        </w:rPr>
        <w:t>具体点位和数量按采购人要求</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Cs/>
          <w:sz w:val="24"/>
        </w:rPr>
        <w:t>2.供应商应按照采购人指定</w:t>
      </w:r>
      <w:r>
        <w:rPr>
          <w:rFonts w:hint="eastAsia" w:ascii="宋体" w:hAnsi="宋体" w:cs="宋体"/>
          <w:sz w:val="24"/>
        </w:rPr>
        <w:t>水果品种</w:t>
      </w:r>
      <w:r>
        <w:rPr>
          <w:rFonts w:hint="eastAsia" w:ascii="宋体" w:hAnsi="宋体" w:cs="宋体"/>
          <w:bCs/>
          <w:sz w:val="24"/>
        </w:rPr>
        <w:t>进行</w:t>
      </w:r>
      <w:r>
        <w:rPr>
          <w:rFonts w:hint="eastAsia" w:ascii="宋体" w:hAnsi="宋体" w:cs="宋体"/>
          <w:kern w:val="0"/>
          <w:sz w:val="24"/>
        </w:rPr>
        <w:t>售卖，并且有150平方以上的水果操作间（包括仓库、清洗、去皮、切配、包装等操作间），运营公司与设备提供商为同一家公司，并拥有技术专利证书等，配备一辆冷链运输车。</w:t>
      </w:r>
    </w:p>
    <w:p>
      <w:pPr>
        <w:spacing w:line="360" w:lineRule="auto"/>
        <w:ind w:firstLine="480" w:firstLineChars="200"/>
        <w:rPr>
          <w:rFonts w:ascii="宋体" w:hAnsi="宋体" w:cs="宋体"/>
          <w:sz w:val="24"/>
          <w:shd w:val="clear" w:color="auto" w:fill="FFFFFF"/>
        </w:rPr>
      </w:pPr>
      <w:r>
        <w:rPr>
          <w:rFonts w:hint="eastAsia" w:ascii="宋体" w:hAnsi="宋体" w:cs="宋体"/>
          <w:bCs/>
          <w:sz w:val="24"/>
        </w:rPr>
        <w:t>3.</w:t>
      </w:r>
      <w:r>
        <w:rPr>
          <w:rFonts w:hint="eastAsia" w:ascii="宋体" w:hAnsi="宋体" w:cs="宋体"/>
          <w:sz w:val="24"/>
          <w:shd w:val="clear" w:color="auto" w:fill="FFFFFF"/>
        </w:rPr>
        <w:t>供应商提供的水果自助售卖机各项技术符合国家质量及使用安全标准，水果自助售卖机外观风格须与学校环境一致，保证外形美观协调。</w:t>
      </w:r>
    </w:p>
    <w:p>
      <w:pPr>
        <w:spacing w:line="360" w:lineRule="auto"/>
        <w:ind w:firstLine="480" w:firstLineChars="200"/>
        <w:rPr>
          <w:rFonts w:ascii="宋体" w:hAnsi="宋体" w:cs="宋体"/>
          <w:bCs/>
          <w:sz w:val="24"/>
        </w:rPr>
      </w:pPr>
      <w:r>
        <w:rPr>
          <w:rFonts w:hint="eastAsia" w:ascii="宋体" w:hAnsi="宋体" w:cs="宋体"/>
          <w:sz w:val="24"/>
          <w:shd w:val="clear" w:color="auto" w:fill="FFFFFF"/>
        </w:rPr>
        <w:t>4.供应商提供的水果自助售卖机，产权归供应商所有，自行承担设备维修维护，并保证设施24小时正常运行，</w:t>
      </w:r>
      <w:r>
        <w:rPr>
          <w:rFonts w:hint="eastAsia" w:ascii="宋体" w:hAnsi="宋体" w:cs="宋体"/>
          <w:bCs/>
          <w:sz w:val="24"/>
        </w:rPr>
        <w:t>负责日常经营、服务、管理，自负盈亏，</w:t>
      </w:r>
      <w:r>
        <w:rPr>
          <w:rFonts w:hint="eastAsia" w:ascii="宋体" w:hAnsi="宋体" w:cs="宋体"/>
          <w:sz w:val="24"/>
          <w:shd w:val="clear" w:color="auto" w:fill="FFFFFF"/>
        </w:rPr>
        <w:t>不允许转包他人经营</w:t>
      </w:r>
      <w:r>
        <w:rPr>
          <w:rFonts w:hint="eastAsia" w:ascii="宋体" w:hAnsi="宋体" w:cs="宋体"/>
          <w:bCs/>
          <w:sz w:val="24"/>
        </w:rPr>
        <w:t>。</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5.采购人为供应商提供</w:t>
      </w:r>
      <w:r>
        <w:rPr>
          <w:rFonts w:hint="eastAsia" w:ascii="宋体" w:hAnsi="宋体" w:cs="宋体"/>
          <w:sz w:val="24"/>
          <w:shd w:val="clear" w:color="auto" w:fill="FFFFFF"/>
        </w:rPr>
        <w:t>场地和固定电源</w:t>
      </w:r>
      <w:r>
        <w:rPr>
          <w:rFonts w:hint="eastAsia" w:ascii="宋体" w:hAnsi="宋体" w:cs="宋体"/>
          <w:sz w:val="24"/>
        </w:rPr>
        <w:t>。供应商在服务期间，所有网络费、营业税、工商、环保、卫生、城管、治安等费用，均由供应商自负。水、电费供应商每季按表（供应商必须在每个</w:t>
      </w:r>
      <w:r>
        <w:rPr>
          <w:rFonts w:hint="eastAsia" w:ascii="宋体" w:hAnsi="宋体" w:cs="宋体"/>
          <w:kern w:val="0"/>
          <w:sz w:val="24"/>
        </w:rPr>
        <w:t>点位的</w:t>
      </w:r>
      <w:r>
        <w:rPr>
          <w:rFonts w:hint="eastAsia" w:ascii="宋体" w:hAnsi="宋体" w:cs="宋体"/>
          <w:sz w:val="24"/>
        </w:rPr>
        <w:t>水果自助售卖机旁安装电表）按时缴纳。逾期将停电停水处理。</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6.供应商必须遵守国家的法律、法规，遵守采购人的规章制度，做到优质服务，文明经营。供应商必须服从采购人的管理、监督以及有关部门的检查。在服务期间，如发生食物中毒、治安、环卫、消防等重大责任事故，供应商独立承担相应法律责任，并承担与事故相关的其它所有费用。</w:t>
      </w:r>
    </w:p>
    <w:p>
      <w:pPr>
        <w:spacing w:line="360" w:lineRule="auto"/>
        <w:ind w:firstLine="480" w:firstLineChars="200"/>
        <w:rPr>
          <w:rFonts w:ascii="宋体" w:hAnsi="宋体" w:cs="宋体"/>
          <w:sz w:val="24"/>
        </w:rPr>
      </w:pPr>
      <w:r>
        <w:rPr>
          <w:rFonts w:hint="eastAsia" w:ascii="宋体" w:hAnsi="宋体" w:cs="宋体"/>
          <w:sz w:val="24"/>
        </w:rPr>
        <w:t>7.供应商必须严格遵守《中华人民共和国食品安全法》、《中华人民</w:t>
      </w:r>
      <w:r>
        <w:rPr>
          <w:rFonts w:hint="eastAsia" w:ascii="宋体" w:hAnsi="宋体" w:cs="宋体"/>
          <w:kern w:val="0"/>
          <w:sz w:val="24"/>
        </w:rPr>
        <w:t>共和国产品质量法》等相关规定</w:t>
      </w:r>
      <w:r>
        <w:rPr>
          <w:rFonts w:hint="eastAsia" w:ascii="宋体" w:hAnsi="宋体" w:cs="宋体"/>
          <w:sz w:val="24"/>
        </w:rPr>
        <w:t xml:space="preserve">。 </w:t>
      </w:r>
    </w:p>
    <w:p>
      <w:pPr>
        <w:pStyle w:val="27"/>
        <w:spacing w:beforeLines="0" w:afterLines="0" w:line="360" w:lineRule="auto"/>
        <w:ind w:firstLine="480" w:firstLineChars="200"/>
        <w:rPr>
          <w:rFonts w:hAnsi="宋体" w:cs="宋体"/>
          <w:szCs w:val="24"/>
        </w:rPr>
      </w:pPr>
      <w:r>
        <w:rPr>
          <w:rFonts w:hint="eastAsia" w:hAnsi="宋体" w:cs="宋体"/>
          <w:szCs w:val="24"/>
        </w:rPr>
        <w:t>8.</w:t>
      </w:r>
      <w:r>
        <w:rPr>
          <w:rFonts w:hint="eastAsia" w:hAnsi="宋体" w:cs="宋体"/>
          <w:bCs/>
          <w:szCs w:val="24"/>
        </w:rPr>
        <w:t>服务期</w:t>
      </w:r>
      <w:r>
        <w:rPr>
          <w:rFonts w:hint="eastAsia" w:hAnsi="宋体" w:cs="宋体"/>
          <w:szCs w:val="24"/>
        </w:rPr>
        <w:t>内供应商劳动用工必须符合相关法律法规，如有违法违规用工行为，责任由供应商自行承担。</w:t>
      </w:r>
    </w:p>
    <w:p>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bCs/>
          <w:sz w:val="24"/>
        </w:rPr>
        <w:t>供应商应</w:t>
      </w:r>
      <w:r>
        <w:rPr>
          <w:rFonts w:hint="eastAsia" w:ascii="宋体" w:hAnsi="宋体" w:cs="宋体"/>
          <w:sz w:val="24"/>
        </w:rPr>
        <w:t>依法申办工商、税务、公安、卫生等证件，取得合法经营资格，费用自负。供应商及其从业人员须具有身份证、健康证、暂住证以及从业人员资格证。</w:t>
      </w:r>
    </w:p>
    <w:p>
      <w:pPr>
        <w:spacing w:line="360" w:lineRule="auto"/>
        <w:ind w:firstLine="480" w:firstLineChars="200"/>
        <w:rPr>
          <w:rFonts w:ascii="宋体" w:hAnsi="宋体" w:cs="宋体"/>
          <w:sz w:val="24"/>
        </w:rPr>
      </w:pPr>
      <w:r>
        <w:rPr>
          <w:rFonts w:hint="eastAsia" w:ascii="宋体" w:hAnsi="宋体" w:cs="宋体"/>
          <w:sz w:val="24"/>
        </w:rPr>
        <w:t>10.服务期间中标人必须服从采购人的现场管理。</w:t>
      </w:r>
    </w:p>
    <w:p>
      <w:pPr>
        <w:spacing w:line="360" w:lineRule="auto"/>
        <w:ind w:firstLine="240" w:firstLineChars="100"/>
        <w:jc w:val="left"/>
        <w:rPr>
          <w:rFonts w:ascii="宋体" w:hAnsi="宋体" w:cs="宋体"/>
          <w:sz w:val="24"/>
          <w:shd w:val="clear" w:color="auto" w:fill="FFFFFF"/>
        </w:rPr>
      </w:pPr>
      <w:r>
        <w:rPr>
          <w:rFonts w:hint="eastAsia" w:ascii="宋体" w:hAnsi="宋体" w:cs="宋体"/>
          <w:b/>
          <w:bCs/>
          <w:sz w:val="24"/>
          <w:shd w:val="clear" w:color="auto" w:fill="FFFFFF"/>
        </w:rPr>
        <w:t>四、服务要求</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1.供应商必须承诺售卖水果的种类、数量、满足学校要求。</w:t>
      </w:r>
    </w:p>
    <w:p>
      <w:pPr>
        <w:spacing w:line="360" w:lineRule="auto"/>
        <w:ind w:firstLine="480" w:firstLineChars="200"/>
        <w:jc w:val="left"/>
        <w:rPr>
          <w:rFonts w:ascii="宋体" w:hAnsi="宋体" w:cs="宋体"/>
          <w:sz w:val="24"/>
        </w:rPr>
      </w:pPr>
      <w:r>
        <w:rPr>
          <w:rFonts w:hint="eastAsia" w:ascii="宋体" w:hAnsi="宋体" w:cs="宋体"/>
          <w:sz w:val="24"/>
        </w:rPr>
        <w:t>2.每天必须保障2次 (上午11时之前、下午16时之前) 更新盒装水果 (盒装水果注明上架日期，采用密封、充氮保鲜包装) ，整果48小时必须全部下架更新。</w:t>
      </w:r>
    </w:p>
    <w:p>
      <w:pPr>
        <w:spacing w:line="360" w:lineRule="auto"/>
        <w:ind w:firstLine="480" w:firstLineChars="200"/>
        <w:jc w:val="left"/>
        <w:rPr>
          <w:rFonts w:ascii="宋体" w:hAnsi="宋体" w:cs="宋体"/>
          <w:sz w:val="24"/>
        </w:rPr>
      </w:pPr>
      <w:r>
        <w:rPr>
          <w:rFonts w:hint="eastAsia" w:ascii="宋体" w:hAnsi="宋体" w:cs="宋体"/>
          <w:sz w:val="24"/>
        </w:rPr>
        <w:t>3.新鲜水果全程冷藏车配送到学校，温控在0-10°C。</w:t>
      </w:r>
    </w:p>
    <w:p>
      <w:pPr>
        <w:spacing w:line="360" w:lineRule="auto"/>
        <w:ind w:firstLine="480" w:firstLineChars="200"/>
        <w:jc w:val="left"/>
        <w:rPr>
          <w:rFonts w:ascii="宋体" w:hAnsi="宋体" w:cs="宋体"/>
          <w:sz w:val="24"/>
        </w:rPr>
      </w:pPr>
      <w:r>
        <w:rPr>
          <w:rFonts w:hint="eastAsia" w:ascii="宋体" w:hAnsi="宋体" w:cs="宋体"/>
          <w:sz w:val="24"/>
        </w:rPr>
        <w:t>4.每天同步提供新鲜水果农残检测报告，及第三方检测机构报告 (菌落总数、大肠菌群.沙门氏菌、金黄色葡萄球菌、单核细胞增生李斯特氏菌等检测报告)。</w:t>
      </w:r>
    </w:p>
    <w:p>
      <w:pPr>
        <w:spacing w:line="360" w:lineRule="auto"/>
        <w:ind w:firstLine="480" w:firstLineChars="200"/>
        <w:jc w:val="left"/>
        <w:rPr>
          <w:rFonts w:ascii="宋体" w:hAnsi="宋体" w:cs="宋体"/>
          <w:sz w:val="24"/>
        </w:rPr>
      </w:pPr>
      <w:r>
        <w:rPr>
          <w:rFonts w:hint="eastAsia" w:ascii="宋体" w:hAnsi="宋体" w:cs="宋体"/>
          <w:sz w:val="24"/>
        </w:rPr>
        <w:t>5.提供智慧反馈终端设备，高效受理、解决师生售后问题。</w:t>
      </w:r>
    </w:p>
    <w:p>
      <w:pPr>
        <w:spacing w:line="360" w:lineRule="auto"/>
        <w:ind w:firstLine="480" w:firstLineChars="200"/>
        <w:jc w:val="left"/>
        <w:rPr>
          <w:rFonts w:ascii="宋体" w:hAnsi="宋体" w:cs="宋体"/>
          <w:sz w:val="24"/>
        </w:rPr>
      </w:pPr>
      <w:r>
        <w:rPr>
          <w:rFonts w:hint="eastAsia" w:ascii="宋体" w:hAnsi="宋体" w:cs="宋体"/>
          <w:sz w:val="24"/>
        </w:rPr>
        <w:t>6.兼容校园一卡通、刷脸、手机扫码等多种支付方式。</w:t>
      </w:r>
    </w:p>
    <w:p>
      <w:pPr>
        <w:widowControl/>
        <w:wordWrap w:val="0"/>
        <w:spacing w:line="360" w:lineRule="auto"/>
        <w:ind w:firstLine="480" w:firstLineChars="200"/>
        <w:jc w:val="left"/>
        <w:rPr>
          <w:rFonts w:ascii="宋体" w:hAnsi="宋体" w:cs="宋体"/>
          <w:sz w:val="24"/>
        </w:rPr>
      </w:pPr>
      <w:r>
        <w:rPr>
          <w:rFonts w:hint="eastAsia" w:ascii="宋体" w:hAnsi="宋体" w:cs="宋体"/>
          <w:sz w:val="24"/>
        </w:rPr>
        <w:t>7.水果必须保证新鲜，当季水果，外形正常，成熟度良好，口感好，色泽鲜明，无发霉发黄，无变质，无虫害、无虫咬，且大小均匀，农药残留不超标。</w:t>
      </w:r>
      <w:r>
        <w:rPr>
          <w:rFonts w:hint="eastAsia" w:ascii="宋体" w:hAnsi="宋体" w:cs="宋体"/>
          <w:sz w:val="24"/>
        </w:rPr>
        <w:tab/>
      </w:r>
    </w:p>
    <w:p>
      <w:pPr>
        <w:pStyle w:val="255"/>
        <w:spacing w:line="360" w:lineRule="auto"/>
        <w:ind w:firstLine="480"/>
        <w:jc w:val="left"/>
        <w:rPr>
          <w:rFonts w:ascii="宋体" w:hAnsi="宋体" w:cs="宋体"/>
          <w:bCs/>
          <w:sz w:val="24"/>
        </w:rPr>
      </w:pPr>
      <w:r>
        <w:rPr>
          <w:rFonts w:hint="eastAsia" w:ascii="宋体" w:hAnsi="宋体" w:cs="宋体"/>
          <w:bCs/>
          <w:sz w:val="24"/>
        </w:rPr>
        <w:t>8.供应商所提供的水果必须符合国家有关食品卫生、安全质量等方面的要求。所提供的水果质量，必须经采购人验收，验收合格后才能进行售卖。如验收达不到采购人要求，则应立刻退回，若供应商不听劝告，一再坚持错误继续售卖，采购人有权终止与供应商的采购合同，由此造成的一切损失由供应商承担。</w:t>
      </w:r>
    </w:p>
    <w:p>
      <w:pPr>
        <w:spacing w:line="360" w:lineRule="auto"/>
        <w:ind w:firstLine="480" w:firstLineChars="200"/>
        <w:rPr>
          <w:rFonts w:ascii="宋体" w:hAnsi="宋体" w:cs="宋体"/>
          <w:sz w:val="24"/>
          <w:shd w:val="clear" w:color="auto" w:fill="FFFFFF"/>
        </w:rPr>
      </w:pPr>
      <w:r>
        <w:rPr>
          <w:rFonts w:hint="eastAsia" w:ascii="宋体" w:hAnsi="宋体" w:cs="宋体"/>
          <w:sz w:val="24"/>
        </w:rPr>
        <w:t>9.运输和装卸食品的容器、工具和设备应当安全、无害，保持清洁，防止食品污染，并符合保证食品安全所需的温度、湿度等特殊要求，不得将食品与有毒、有害物品一同贮存、运输。</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10.水果自助售卖机发生故障后供应商承诺在24小时内修理完毕。</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11.水果自助售卖机售卖造成的安全事故或纠纷由供应商自行处理并要圆满解决，采购人可提供协助。如果发生有效投诉的，采购人将对供应商进行处罚。</w:t>
      </w:r>
    </w:p>
    <w:p>
      <w:pPr>
        <w:spacing w:line="360" w:lineRule="auto"/>
        <w:ind w:firstLine="480" w:firstLineChars="200"/>
        <w:jc w:val="left"/>
        <w:rPr>
          <w:rFonts w:ascii="宋体" w:hAnsi="宋体" w:cs="宋体"/>
          <w:b/>
          <w:bCs/>
          <w:kern w:val="0"/>
          <w:sz w:val="24"/>
        </w:rPr>
      </w:pPr>
      <w:r>
        <w:rPr>
          <w:rFonts w:hint="eastAsia" w:ascii="宋体" w:hAnsi="宋体" w:cs="宋体"/>
          <w:sz w:val="24"/>
          <w:shd w:val="clear" w:color="auto" w:fill="FFFFFF"/>
        </w:rPr>
        <w:t>12.供应商须承诺在合同签定后30天内将设备投入使用。</w:t>
      </w:r>
    </w:p>
    <w:p>
      <w:pPr>
        <w:spacing w:line="360" w:lineRule="auto"/>
        <w:ind w:firstLine="240" w:firstLineChars="100"/>
        <w:jc w:val="left"/>
        <w:rPr>
          <w:rFonts w:ascii="宋体" w:hAnsi="宋体" w:cs="宋体"/>
          <w:b/>
          <w:bCs/>
          <w:sz w:val="24"/>
        </w:rPr>
      </w:pPr>
      <w:r>
        <w:rPr>
          <w:rFonts w:hint="eastAsia" w:ascii="宋体" w:hAnsi="宋体" w:cs="宋体"/>
          <w:b/>
          <w:bCs/>
          <w:kern w:val="0"/>
          <w:sz w:val="24"/>
        </w:rPr>
        <w:t>五、</w:t>
      </w:r>
      <w:r>
        <w:rPr>
          <w:rFonts w:hint="eastAsia" w:ascii="宋体" w:hAnsi="宋体" w:cs="宋体"/>
          <w:b/>
          <w:bCs/>
          <w:sz w:val="24"/>
        </w:rPr>
        <w:t>现场踏勘</w:t>
      </w:r>
    </w:p>
    <w:p>
      <w:pPr>
        <w:spacing w:line="360" w:lineRule="auto"/>
        <w:ind w:firstLine="480" w:firstLineChars="200"/>
        <w:jc w:val="left"/>
        <w:rPr>
          <w:rFonts w:ascii="宋体" w:hAnsi="宋体" w:cs="宋体"/>
          <w:sz w:val="24"/>
        </w:rPr>
      </w:pPr>
      <w:r>
        <w:rPr>
          <w:rFonts w:hint="eastAsia" w:ascii="宋体" w:hAnsi="宋体" w:cs="宋体"/>
          <w:sz w:val="24"/>
        </w:rPr>
        <w:t>1.供应商可根据需要自行前往项目位置和周围环境进行勘察，以便获取编制</w:t>
      </w:r>
      <w:r>
        <w:rPr>
          <w:rFonts w:hint="eastAsia" w:ascii="宋体" w:hAnsi="宋体" w:cs="宋体"/>
          <w:kern w:val="0"/>
          <w:sz w:val="24"/>
        </w:rPr>
        <w:t>响应文件等</w:t>
      </w:r>
      <w:r>
        <w:rPr>
          <w:rFonts w:hint="eastAsia" w:ascii="宋体" w:hAnsi="宋体" w:cs="宋体"/>
          <w:sz w:val="24"/>
        </w:rPr>
        <w:t>所需的一切资料，勘察现场所发生的费用、责任与风险均由供应商自己承担。</w:t>
      </w:r>
    </w:p>
    <w:p>
      <w:pPr>
        <w:spacing w:line="360" w:lineRule="auto"/>
        <w:ind w:firstLine="480" w:firstLineChars="200"/>
        <w:jc w:val="left"/>
        <w:rPr>
          <w:rFonts w:ascii="宋体" w:hAnsi="宋体" w:cs="宋体"/>
          <w:sz w:val="24"/>
        </w:rPr>
      </w:pPr>
      <w:r>
        <w:rPr>
          <w:rFonts w:hint="eastAsia" w:ascii="宋体" w:hAnsi="宋体" w:cs="宋体"/>
          <w:sz w:val="24"/>
        </w:rPr>
        <w:t>2.现场勘察时，供应商可向采购人询问项目位置的地形、原有设施拆除、水文地质、水源、电源、交通条件、临时设施等情况，以帮助了解现场条件，并充分了解自己将承担的风险、义务和责任。</w:t>
      </w:r>
    </w:p>
    <w:p>
      <w:pPr>
        <w:spacing w:line="360" w:lineRule="auto"/>
        <w:ind w:firstLine="480" w:firstLineChars="200"/>
        <w:jc w:val="left"/>
        <w:rPr>
          <w:rFonts w:ascii="宋体" w:hAnsi="宋体" w:cs="宋体"/>
          <w:sz w:val="24"/>
        </w:rPr>
      </w:pPr>
      <w:r>
        <w:rPr>
          <w:rFonts w:hint="eastAsia" w:ascii="宋体" w:hAnsi="宋体" w:cs="宋体"/>
          <w:sz w:val="24"/>
        </w:rPr>
        <w:t>3.中标后, 中标人不得以未对现场勘察或勘察不详为由调整价款或提出其他任何权利主张。</w:t>
      </w:r>
    </w:p>
    <w:p>
      <w:pPr>
        <w:spacing w:line="360" w:lineRule="auto"/>
        <w:ind w:firstLine="240" w:firstLineChars="100"/>
        <w:rPr>
          <w:rFonts w:ascii="宋体" w:hAnsi="宋体" w:cs="宋体"/>
          <w:b/>
          <w:color w:val="auto"/>
          <w:sz w:val="24"/>
        </w:rPr>
      </w:pPr>
      <w:r>
        <w:rPr>
          <w:rFonts w:hint="eastAsia" w:ascii="宋体" w:hAnsi="宋体" w:cs="宋体"/>
          <w:color w:val="auto"/>
          <w:sz w:val="24"/>
        </w:rPr>
        <w:t>▲六</w:t>
      </w:r>
      <w:r>
        <w:rPr>
          <w:rFonts w:hint="eastAsia" w:ascii="宋体" w:hAnsi="宋体" w:cs="宋体"/>
          <w:b/>
          <w:color w:val="auto"/>
          <w:sz w:val="24"/>
        </w:rPr>
        <w:t>、价格标准</w:t>
      </w:r>
    </w:p>
    <w:p>
      <w:pPr>
        <w:numPr>
          <w:ilvl w:val="0"/>
          <w:numId w:val="5"/>
        </w:numPr>
        <w:spacing w:line="360" w:lineRule="auto"/>
        <w:ind w:firstLine="480" w:firstLineChars="200"/>
        <w:rPr>
          <w:rFonts w:ascii="宋体" w:hAnsi="宋体" w:cs="宋体"/>
          <w:color w:val="auto"/>
          <w:sz w:val="24"/>
        </w:rPr>
      </w:pPr>
      <w:r>
        <w:rPr>
          <w:rFonts w:hint="eastAsia" w:ascii="宋体" w:hAnsi="宋体" w:eastAsia="宋体" w:cs="宋体"/>
          <w:color w:val="auto"/>
          <w:sz w:val="24"/>
          <w:szCs w:val="24"/>
        </w:rPr>
        <w:t>水果售价</w:t>
      </w:r>
      <w:r>
        <w:rPr>
          <w:rStyle w:val="277"/>
          <w:rFonts w:hint="eastAsia" w:ascii="宋体" w:hAnsi="宋体" w:eastAsia="宋体" w:cs="宋体"/>
          <w:color w:val="auto"/>
          <w:sz w:val="24"/>
          <w:szCs w:val="24"/>
        </w:rPr>
        <w:t>必须</w:t>
      </w:r>
      <w:r>
        <w:rPr>
          <w:rStyle w:val="277"/>
          <w:rFonts w:hint="eastAsia" w:ascii="宋体" w:hAnsi="宋体" w:cs="宋体"/>
          <w:color w:val="auto"/>
          <w:sz w:val="24"/>
          <w:szCs w:val="24"/>
          <w:lang w:val="en-US"/>
        </w:rPr>
        <w:t>向</w:t>
      </w:r>
      <w:r>
        <w:rPr>
          <w:rStyle w:val="277"/>
          <w:rFonts w:hint="eastAsia" w:ascii="宋体" w:hAnsi="宋体" w:eastAsia="宋体" w:cs="宋体"/>
          <w:color w:val="auto"/>
          <w:sz w:val="24"/>
          <w:szCs w:val="24"/>
        </w:rPr>
        <w:t>采购人报</w:t>
      </w:r>
      <w:r>
        <w:rPr>
          <w:rStyle w:val="277"/>
          <w:rFonts w:hint="eastAsia" w:ascii="宋体" w:hAnsi="宋体" w:cs="宋体"/>
          <w:color w:val="auto"/>
          <w:sz w:val="24"/>
          <w:szCs w:val="24"/>
          <w:lang w:val="en-US"/>
        </w:rPr>
        <w:t>备</w:t>
      </w:r>
      <w:r>
        <w:rPr>
          <w:rStyle w:val="277"/>
          <w:rFonts w:hint="eastAsia" w:ascii="宋体" w:hAnsi="宋体" w:eastAsia="宋体" w:cs="宋体"/>
          <w:color w:val="auto"/>
          <w:sz w:val="24"/>
          <w:szCs w:val="24"/>
        </w:rPr>
        <w:t>，</w:t>
      </w:r>
      <w:r>
        <w:rPr>
          <w:rStyle w:val="277"/>
          <w:rFonts w:hint="eastAsia" w:ascii="宋体" w:hAnsi="宋体" w:cs="宋体"/>
          <w:color w:val="auto"/>
          <w:sz w:val="24"/>
          <w:szCs w:val="24"/>
          <w:lang w:val="en-US"/>
        </w:rPr>
        <w:t>并</w:t>
      </w:r>
      <w:r>
        <w:rPr>
          <w:rStyle w:val="277"/>
          <w:rFonts w:hint="eastAsia" w:ascii="宋体" w:hAnsi="宋体" w:cs="宋体"/>
          <w:color w:val="auto"/>
          <w:sz w:val="24"/>
        </w:rPr>
        <w:t>在项目实施处“大屏”公示，</w:t>
      </w:r>
      <w:r>
        <w:rPr>
          <w:rFonts w:hint="eastAsia" w:ascii="宋体" w:hAnsi="宋体" w:cs="宋体"/>
          <w:color w:val="auto"/>
          <w:sz w:val="24"/>
        </w:rPr>
        <w:t>不得高于当地大型商超同类同质水果的价格</w:t>
      </w:r>
      <w:r>
        <w:rPr>
          <w:rFonts w:hint="eastAsia" w:ascii="宋体" w:hAnsi="宋体" w:cs="宋体"/>
          <w:color w:val="auto"/>
          <w:sz w:val="24"/>
          <w:shd w:val="clear" w:color="auto" w:fill="FFFFFF"/>
        </w:rPr>
        <w:t>，</w:t>
      </w:r>
      <w:r>
        <w:rPr>
          <w:rFonts w:hint="eastAsia" w:ascii="宋体" w:hAnsi="宋体" w:cs="宋体"/>
          <w:color w:val="auto"/>
          <w:sz w:val="24"/>
        </w:rPr>
        <w:t>销售价格受采购人监督。</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2、投标人按</w:t>
      </w:r>
      <w:r>
        <w:rPr>
          <w:rFonts w:hint="eastAsia" w:ascii="宋体" w:hAnsi="宋体" w:cs="宋体"/>
          <w:b/>
          <w:bCs/>
          <w:color w:val="auto"/>
          <w:sz w:val="24"/>
        </w:rPr>
        <w:t>东阳市区世纪联华超市实体店</w:t>
      </w:r>
      <w:r>
        <w:rPr>
          <w:rFonts w:hint="eastAsia" w:ascii="宋体" w:hAnsi="宋体" w:cs="宋体"/>
          <w:color w:val="auto"/>
          <w:sz w:val="24"/>
        </w:rPr>
        <w:t>的实时售卖价格为“基准价”（</w:t>
      </w:r>
      <w:r>
        <w:rPr>
          <w:rFonts w:hint="eastAsia" w:ascii="宋体" w:hAnsi="宋体" w:cs="宋体"/>
          <w:color w:val="auto"/>
          <w:sz w:val="24"/>
          <w:lang w:val="en-US" w:eastAsia="zh-CN"/>
        </w:rPr>
        <w:t>超市搞</w:t>
      </w:r>
      <w:r>
        <w:rPr>
          <w:rFonts w:hint="eastAsia" w:ascii="宋体" w:hAnsi="宋体" w:cs="宋体"/>
          <w:color w:val="auto"/>
          <w:sz w:val="24"/>
        </w:rPr>
        <w:t>促销活动</w:t>
      </w:r>
      <w:r>
        <w:rPr>
          <w:rFonts w:hint="eastAsia" w:ascii="宋体" w:hAnsi="宋体" w:cs="宋体"/>
          <w:color w:val="auto"/>
          <w:sz w:val="24"/>
          <w:lang w:val="en-US" w:eastAsia="zh-CN"/>
        </w:rPr>
        <w:t>的</w:t>
      </w:r>
      <w:r>
        <w:rPr>
          <w:rFonts w:hint="eastAsia" w:ascii="宋体" w:hAnsi="宋体" w:cs="宋体"/>
          <w:color w:val="auto"/>
          <w:sz w:val="24"/>
        </w:rPr>
        <w:t>商品除外），按照投标文件中承诺的折扣率折价销售。</w:t>
      </w:r>
    </w:p>
    <w:p>
      <w:pPr>
        <w:spacing w:line="360" w:lineRule="auto"/>
        <w:ind w:firstLine="480" w:firstLineChars="200"/>
        <w:rPr>
          <w:rFonts w:ascii="宋体" w:hAnsi="宋体" w:cs="宋体"/>
          <w:color w:val="auto"/>
          <w:sz w:val="24"/>
        </w:rPr>
      </w:pPr>
      <w:r>
        <w:rPr>
          <w:rFonts w:hint="eastAsia" w:ascii="宋体" w:hAnsi="宋体" w:cs="宋体"/>
          <w:color w:val="auto"/>
          <w:sz w:val="24"/>
        </w:rPr>
        <w:t>3、所售商品必须是东阳市区大型超市实体店有售（便于监管和丰富种类），如超出范围必须征得采购人同意并协商确定折扣“基准价”；</w:t>
      </w:r>
    </w:p>
    <w:p>
      <w:pPr>
        <w:pStyle w:val="284"/>
        <w:widowControl/>
        <w:spacing w:line="360" w:lineRule="auto"/>
        <w:ind w:firstLine="240" w:firstLineChars="100"/>
        <w:rPr>
          <w:rStyle w:val="277"/>
          <w:rFonts w:ascii="宋体" w:hAnsi="宋体" w:cs="宋体"/>
          <w:b/>
          <w:bCs/>
          <w:color w:val="auto"/>
          <w:sz w:val="24"/>
        </w:rPr>
      </w:pPr>
      <w:r>
        <w:rPr>
          <w:rFonts w:hint="eastAsia" w:ascii="宋体" w:hAnsi="宋体" w:eastAsia="宋体" w:cs="宋体"/>
          <w:color w:val="auto"/>
          <w:sz w:val="24"/>
          <w:szCs w:val="24"/>
        </w:rPr>
        <w:t>▲七</w:t>
      </w:r>
      <w:r>
        <w:rPr>
          <w:rStyle w:val="277"/>
          <w:rFonts w:hint="eastAsia" w:ascii="宋体" w:hAnsi="宋体" w:cs="宋体"/>
          <w:b/>
          <w:bCs/>
          <w:color w:val="auto"/>
          <w:sz w:val="24"/>
          <w:lang w:val="zh-CN"/>
        </w:rPr>
        <w:t>、</w:t>
      </w:r>
      <w:r>
        <w:rPr>
          <w:rStyle w:val="277"/>
          <w:rFonts w:hint="eastAsia" w:ascii="宋体" w:hAnsi="宋体" w:cs="宋体"/>
          <w:b/>
          <w:bCs/>
          <w:color w:val="auto"/>
          <w:sz w:val="24"/>
        </w:rPr>
        <w:t>项目安全事项</w:t>
      </w:r>
    </w:p>
    <w:p>
      <w:pPr>
        <w:pStyle w:val="284"/>
        <w:widowControl/>
        <w:spacing w:line="360" w:lineRule="auto"/>
        <w:ind w:firstLine="480" w:firstLineChars="200"/>
        <w:rPr>
          <w:rStyle w:val="277"/>
          <w:rFonts w:ascii="宋体" w:hAnsi="宋体" w:cs="宋体"/>
          <w:sz w:val="24"/>
        </w:rPr>
      </w:pPr>
      <w:r>
        <w:rPr>
          <w:rStyle w:val="277"/>
          <w:rFonts w:hint="eastAsia" w:ascii="宋体" w:hAnsi="宋体" w:cs="宋体"/>
          <w:sz w:val="24"/>
        </w:rPr>
        <w:t>1.供应商须按国家有关规定及标准进行</w:t>
      </w:r>
      <w:r>
        <w:rPr>
          <w:rFonts w:hint="eastAsia" w:ascii="宋体" w:hAnsi="宋体" w:eastAsia="宋体" w:cs="宋体"/>
          <w:sz w:val="24"/>
          <w:szCs w:val="24"/>
        </w:rPr>
        <w:t>经营</w:t>
      </w:r>
      <w:r>
        <w:rPr>
          <w:rStyle w:val="277"/>
          <w:rFonts w:hint="eastAsia" w:ascii="宋体" w:hAnsi="宋体" w:cs="宋体"/>
          <w:sz w:val="24"/>
        </w:rPr>
        <w:t>，供应商对</w:t>
      </w:r>
      <w:r>
        <w:rPr>
          <w:rFonts w:hint="eastAsia" w:ascii="宋体" w:hAnsi="宋体" w:eastAsia="宋体" w:cs="宋体"/>
          <w:sz w:val="24"/>
          <w:szCs w:val="24"/>
        </w:rPr>
        <w:t>服务期间</w:t>
      </w:r>
      <w:r>
        <w:rPr>
          <w:rStyle w:val="277"/>
          <w:rFonts w:hint="eastAsia" w:ascii="宋体" w:hAnsi="宋体" w:cs="宋体"/>
          <w:sz w:val="24"/>
        </w:rPr>
        <w:t>的安全性与可靠性负全部责任。</w:t>
      </w:r>
    </w:p>
    <w:p>
      <w:pPr>
        <w:pStyle w:val="284"/>
        <w:widowControl/>
        <w:spacing w:line="360" w:lineRule="auto"/>
        <w:ind w:firstLine="480" w:firstLineChars="200"/>
        <w:rPr>
          <w:rStyle w:val="277"/>
          <w:rFonts w:ascii="宋体" w:hAnsi="宋体" w:cs="宋体"/>
          <w:sz w:val="24"/>
        </w:rPr>
      </w:pPr>
      <w:r>
        <w:rPr>
          <w:rStyle w:val="277"/>
          <w:rFonts w:hint="eastAsia" w:ascii="宋体" w:hAnsi="宋体" w:cs="宋体"/>
          <w:sz w:val="24"/>
        </w:rPr>
        <w:t>2.供应商在</w:t>
      </w:r>
      <w:r>
        <w:rPr>
          <w:rFonts w:hint="eastAsia" w:ascii="宋体" w:hAnsi="宋体" w:eastAsia="宋体" w:cs="宋体"/>
          <w:sz w:val="24"/>
          <w:szCs w:val="24"/>
        </w:rPr>
        <w:t>服务期间</w:t>
      </w:r>
      <w:r>
        <w:rPr>
          <w:rStyle w:val="277"/>
          <w:rFonts w:hint="eastAsia" w:ascii="宋体" w:hAnsi="宋体" w:cs="宋体"/>
          <w:sz w:val="24"/>
        </w:rPr>
        <w:t>必须为完成本项目所招用的所有人员【</w:t>
      </w:r>
      <w:r>
        <w:rPr>
          <w:rStyle w:val="277"/>
          <w:rFonts w:hint="eastAsia" w:ascii="宋体" w:hAnsi="宋体" w:cs="宋体"/>
          <w:bCs/>
          <w:sz w:val="24"/>
        </w:rPr>
        <w:t>劳务人员</w:t>
      </w:r>
      <w:r>
        <w:rPr>
          <w:rStyle w:val="277"/>
          <w:rFonts w:hint="eastAsia" w:ascii="宋体" w:hAnsi="宋体" w:cs="宋体"/>
          <w:sz w:val="24"/>
        </w:rPr>
        <w:t>、技术人员、管理人员等】办理保险。</w:t>
      </w:r>
    </w:p>
    <w:p>
      <w:pPr>
        <w:pStyle w:val="284"/>
        <w:widowControl/>
        <w:spacing w:line="360" w:lineRule="auto"/>
        <w:ind w:firstLine="480" w:firstLineChars="200"/>
        <w:rPr>
          <w:rFonts w:ascii="宋体" w:hAnsi="宋体" w:eastAsia="宋体" w:cs="宋体"/>
          <w:sz w:val="24"/>
          <w:szCs w:val="24"/>
        </w:rPr>
      </w:pPr>
      <w:r>
        <w:rPr>
          <w:rStyle w:val="277"/>
          <w:rFonts w:hint="eastAsia" w:ascii="宋体" w:hAnsi="宋体" w:cs="宋体"/>
          <w:sz w:val="24"/>
        </w:rPr>
        <w:t>3.供应商应严格执行各项国家地方有关规定，应实施严格的各类安全防护保证措施，做好安全</w:t>
      </w:r>
      <w:r>
        <w:rPr>
          <w:rFonts w:hint="eastAsia" w:ascii="宋体" w:hAnsi="宋体" w:eastAsia="宋体" w:cs="宋体"/>
          <w:sz w:val="24"/>
          <w:szCs w:val="24"/>
        </w:rPr>
        <w:t>经营</w:t>
      </w:r>
      <w:r>
        <w:rPr>
          <w:rStyle w:val="277"/>
          <w:rFonts w:hint="eastAsia" w:ascii="宋体" w:hAnsi="宋体" w:cs="宋体"/>
          <w:sz w:val="24"/>
        </w:rPr>
        <w:t>。供应商在</w:t>
      </w:r>
      <w:r>
        <w:rPr>
          <w:rFonts w:hint="eastAsia" w:ascii="宋体" w:hAnsi="宋体" w:eastAsia="宋体" w:cs="宋体"/>
          <w:sz w:val="24"/>
          <w:szCs w:val="24"/>
        </w:rPr>
        <w:t>服务期间</w:t>
      </w:r>
      <w:r>
        <w:rPr>
          <w:rStyle w:val="277"/>
          <w:rFonts w:hint="eastAsia" w:ascii="宋体" w:hAnsi="宋体" w:cs="宋体"/>
          <w:sz w:val="24"/>
        </w:rPr>
        <w:t>，若发生与本项目相关的安全事故、交通事故等事故，一切法律和经济责任均由供应商承担，采购人概不负责。</w:t>
      </w:r>
    </w:p>
    <w:p>
      <w:pPr>
        <w:pStyle w:val="42"/>
        <w:spacing w:before="0" w:beforeAutospacing="0" w:after="0" w:afterAutospacing="0" w:line="360" w:lineRule="auto"/>
        <w:ind w:firstLine="240" w:firstLineChars="100"/>
        <w:rPr>
          <w:rFonts w:cs="宋体"/>
          <w:b/>
        </w:rPr>
      </w:pPr>
      <w:r>
        <w:rPr>
          <w:rFonts w:hint="eastAsia" w:cs="宋体"/>
        </w:rPr>
        <w:t>▲八</w:t>
      </w:r>
      <w:r>
        <w:rPr>
          <w:rFonts w:hint="eastAsia" w:cs="宋体"/>
          <w:b/>
        </w:rPr>
        <w:t>、违约责任</w:t>
      </w:r>
    </w:p>
    <w:p>
      <w:pPr>
        <w:pStyle w:val="27"/>
        <w:spacing w:beforeLines="0" w:afterLines="0" w:line="360" w:lineRule="auto"/>
        <w:ind w:firstLine="480" w:firstLineChars="200"/>
        <w:rPr>
          <w:rFonts w:hAnsi="宋体" w:cs="宋体"/>
          <w:szCs w:val="24"/>
        </w:rPr>
      </w:pPr>
      <w:r>
        <w:rPr>
          <w:rFonts w:hint="eastAsia" w:hAnsi="宋体" w:cs="宋体"/>
          <w:szCs w:val="24"/>
        </w:rPr>
        <w:t>供应商有下列情形之一的，采购人有权终止本合同，并由供应商承担相应的责任且赔偿采购人遭受的损失：</w:t>
      </w:r>
    </w:p>
    <w:p>
      <w:pPr>
        <w:pStyle w:val="27"/>
        <w:spacing w:beforeLines="0" w:afterLines="0" w:line="360" w:lineRule="auto"/>
        <w:ind w:firstLine="480" w:firstLineChars="200"/>
        <w:rPr>
          <w:rFonts w:hAnsi="宋体" w:cs="宋体"/>
          <w:szCs w:val="24"/>
        </w:rPr>
      </w:pPr>
      <w:r>
        <w:rPr>
          <w:rFonts w:hint="eastAsia" w:hAnsi="宋体" w:cs="宋体"/>
          <w:szCs w:val="24"/>
        </w:rPr>
        <w:t>1．擅自转租、转让、转借的；</w:t>
      </w:r>
    </w:p>
    <w:p>
      <w:pPr>
        <w:pStyle w:val="27"/>
        <w:spacing w:beforeLines="0" w:afterLines="0" w:line="360" w:lineRule="auto"/>
        <w:ind w:firstLine="480" w:firstLineChars="200"/>
        <w:rPr>
          <w:rFonts w:hAnsi="宋体" w:cs="宋体"/>
          <w:szCs w:val="24"/>
        </w:rPr>
      </w:pPr>
      <w:r>
        <w:rPr>
          <w:rFonts w:hint="eastAsia" w:hAnsi="宋体" w:cs="宋体"/>
          <w:szCs w:val="24"/>
        </w:rPr>
        <w:t>2．从事不正当经营或非法活动，损害集体和他人利益的；</w:t>
      </w:r>
    </w:p>
    <w:p>
      <w:pPr>
        <w:pStyle w:val="27"/>
        <w:spacing w:beforeLines="0" w:afterLines="0" w:line="360" w:lineRule="auto"/>
        <w:ind w:firstLine="480" w:firstLineChars="200"/>
        <w:rPr>
          <w:rFonts w:hAnsi="宋体" w:cs="宋体"/>
          <w:szCs w:val="24"/>
        </w:rPr>
      </w:pPr>
      <w:r>
        <w:rPr>
          <w:rFonts w:hint="eastAsia" w:hAnsi="宋体" w:cs="宋体"/>
          <w:szCs w:val="24"/>
        </w:rPr>
        <w:t>3．未按合同约定的经营种类，超范围经营的；</w:t>
      </w:r>
    </w:p>
    <w:p>
      <w:pPr>
        <w:pStyle w:val="27"/>
        <w:spacing w:beforeLines="0" w:afterLines="0" w:line="360" w:lineRule="auto"/>
        <w:ind w:firstLine="480" w:firstLineChars="200"/>
        <w:rPr>
          <w:rFonts w:hAnsi="宋体" w:cs="宋体"/>
          <w:szCs w:val="24"/>
        </w:rPr>
      </w:pPr>
      <w:r>
        <w:rPr>
          <w:rFonts w:hint="eastAsia" w:hAnsi="宋体" w:cs="宋体"/>
          <w:szCs w:val="24"/>
        </w:rPr>
        <w:t>4．不服从管理，受书面警告达到3次的；</w:t>
      </w:r>
    </w:p>
    <w:p>
      <w:pPr>
        <w:pStyle w:val="27"/>
        <w:spacing w:beforeLines="0" w:afterLines="0" w:line="360" w:lineRule="auto"/>
        <w:ind w:firstLine="480" w:firstLineChars="200"/>
        <w:rPr>
          <w:rFonts w:hAnsi="宋体" w:cs="宋体"/>
          <w:szCs w:val="24"/>
        </w:rPr>
      </w:pPr>
      <w:r>
        <w:rPr>
          <w:rFonts w:hint="eastAsia" w:hAnsi="宋体" w:cs="宋体"/>
          <w:szCs w:val="24"/>
        </w:rPr>
        <w:t>5.</w:t>
      </w:r>
      <w:r>
        <w:rPr>
          <w:rFonts w:hint="eastAsia" w:hAnsi="宋体" w:cs="宋体"/>
          <w:bCs/>
          <w:szCs w:val="24"/>
        </w:rPr>
        <w:t>考核不合格</w:t>
      </w:r>
      <w:r>
        <w:rPr>
          <w:rFonts w:hint="eastAsia" w:hAnsi="宋体" w:cs="宋体"/>
          <w:szCs w:val="24"/>
        </w:rPr>
        <w:t>（</w:t>
      </w:r>
      <w:r>
        <w:rPr>
          <w:rFonts w:hint="eastAsia" w:hAnsi="宋体" w:cs="宋体"/>
          <w:bCs/>
          <w:szCs w:val="24"/>
        </w:rPr>
        <w:t>在服务期内采购人将制定一套考核办法，对供应商进行考核，考核办法另行制定。</w:t>
      </w:r>
      <w:r>
        <w:rPr>
          <w:rFonts w:hint="eastAsia" w:hAnsi="宋体" w:cs="宋体"/>
          <w:szCs w:val="24"/>
        </w:rPr>
        <w:t>）</w:t>
      </w:r>
    </w:p>
    <w:p>
      <w:pPr>
        <w:pStyle w:val="27"/>
        <w:spacing w:beforeLines="0" w:afterLines="0" w:line="360" w:lineRule="auto"/>
        <w:ind w:firstLine="480" w:firstLineChars="200"/>
        <w:rPr>
          <w:rFonts w:hAnsi="宋体" w:cs="宋体"/>
          <w:szCs w:val="24"/>
        </w:rPr>
      </w:pPr>
      <w:r>
        <w:rPr>
          <w:rFonts w:hint="eastAsia" w:hAnsi="宋体" w:cs="宋体"/>
          <w:szCs w:val="24"/>
        </w:rPr>
        <w:t>6．发生重大食品卫生安全事故或其他严重安全事故、公共事件等。</w:t>
      </w:r>
    </w:p>
    <w:p>
      <w:pPr>
        <w:pStyle w:val="27"/>
        <w:spacing w:beforeLines="0" w:afterLines="0" w:line="360" w:lineRule="auto"/>
        <w:ind w:firstLine="480" w:firstLineChars="200"/>
        <w:rPr>
          <w:rFonts w:hAnsi="宋体" w:cs="宋体"/>
          <w:szCs w:val="24"/>
        </w:rPr>
      </w:pPr>
      <w:r>
        <w:rPr>
          <w:rFonts w:hint="eastAsia" w:hAnsi="宋体" w:cs="宋体"/>
          <w:szCs w:val="24"/>
        </w:rPr>
        <w:t>7.供应商擅自装修、改变位置结构等人为破坏的；</w:t>
      </w:r>
    </w:p>
    <w:p>
      <w:pPr>
        <w:pStyle w:val="27"/>
        <w:spacing w:beforeLines="0" w:afterLines="0" w:line="360" w:lineRule="auto"/>
        <w:ind w:firstLine="480" w:firstLineChars="200"/>
        <w:rPr>
          <w:rFonts w:hAnsi="宋体" w:cs="宋体"/>
          <w:szCs w:val="24"/>
        </w:rPr>
      </w:pPr>
      <w:r>
        <w:rPr>
          <w:rFonts w:hint="eastAsia" w:hAnsi="宋体" w:cs="宋体"/>
          <w:szCs w:val="24"/>
        </w:rPr>
        <w:t>8.在合同期内如果因经营不善或投诉产生严重不良影响，采购人责令中标人整改仍未改善的</w:t>
      </w:r>
    </w:p>
    <w:p>
      <w:pPr>
        <w:pStyle w:val="27"/>
        <w:spacing w:beforeLines="0" w:afterLines="0" w:line="360" w:lineRule="auto"/>
        <w:ind w:firstLine="480" w:firstLineChars="200"/>
        <w:rPr>
          <w:rFonts w:hAnsi="宋体" w:cs="宋体"/>
          <w:szCs w:val="24"/>
        </w:rPr>
      </w:pPr>
      <w:r>
        <w:rPr>
          <w:rFonts w:hint="eastAsia" w:hAnsi="宋体" w:cs="宋体"/>
          <w:szCs w:val="24"/>
        </w:rPr>
        <w:t>9.其他违反相关法律法规的情形。</w:t>
      </w:r>
    </w:p>
    <w:p>
      <w:pPr>
        <w:spacing w:line="360" w:lineRule="auto"/>
        <w:ind w:firstLine="240" w:firstLineChars="100"/>
        <w:rPr>
          <w:rFonts w:ascii="宋体" w:hAnsi="宋体" w:cs="宋体"/>
          <w:b/>
          <w:bCs/>
          <w:sz w:val="24"/>
        </w:rPr>
      </w:pPr>
      <w:r>
        <w:rPr>
          <w:rFonts w:hint="eastAsia" w:ascii="宋体" w:hAnsi="宋体" w:cs="宋体"/>
          <w:b/>
          <w:bCs/>
          <w:sz w:val="24"/>
        </w:rPr>
        <w:t>▲九、商务部分</w:t>
      </w:r>
    </w:p>
    <w:p>
      <w:pPr>
        <w:spacing w:line="360" w:lineRule="auto"/>
        <w:ind w:firstLine="480"/>
        <w:rPr>
          <w:rFonts w:ascii="宋体" w:hAnsi="宋体" w:cs="宋体"/>
          <w:kern w:val="0"/>
          <w:sz w:val="24"/>
        </w:rPr>
      </w:pPr>
      <w:r>
        <w:rPr>
          <w:rFonts w:hint="eastAsia" w:ascii="宋体" w:hAnsi="宋体" w:cs="宋体"/>
          <w:kern w:val="0"/>
          <w:sz w:val="24"/>
        </w:rPr>
        <w:t>服务期限</w:t>
      </w:r>
    </w:p>
    <w:p>
      <w:pPr>
        <w:spacing w:line="360" w:lineRule="auto"/>
        <w:ind w:firstLine="480"/>
        <w:rPr>
          <w:rFonts w:ascii="宋体" w:hAnsi="宋体" w:cs="宋体"/>
          <w:kern w:val="0"/>
          <w:sz w:val="24"/>
        </w:rPr>
      </w:pPr>
      <w:r>
        <w:rPr>
          <w:rFonts w:hint="eastAsia" w:ascii="宋体" w:hAnsi="宋体" w:cs="宋体"/>
          <w:kern w:val="0"/>
          <w:sz w:val="24"/>
        </w:rPr>
        <w:t>1.服务期限为3年。</w:t>
      </w:r>
    </w:p>
    <w:p>
      <w:pPr>
        <w:snapToGrid w:val="0"/>
        <w:spacing w:line="360" w:lineRule="auto"/>
        <w:ind w:firstLine="480" w:firstLineChars="200"/>
        <w:rPr>
          <w:rFonts w:ascii="宋体" w:hAnsi="宋体" w:cs="宋体"/>
          <w:sz w:val="24"/>
        </w:rPr>
      </w:pPr>
      <w:r>
        <w:rPr>
          <w:rFonts w:hint="eastAsia" w:ascii="宋体" w:hAnsi="宋体" w:cs="宋体"/>
          <w:sz w:val="24"/>
        </w:rPr>
        <w:t>2.服务期内因采购人需要，挪换位置，供应商必须无条件服从。</w:t>
      </w:r>
    </w:p>
    <w:p>
      <w:pPr>
        <w:snapToGrid w:val="0"/>
        <w:spacing w:line="360" w:lineRule="auto"/>
        <w:ind w:firstLine="480" w:firstLineChars="200"/>
        <w:rPr>
          <w:rFonts w:ascii="宋体" w:hAnsi="宋体" w:cs="宋体"/>
          <w:sz w:val="24"/>
        </w:rPr>
      </w:pPr>
      <w:r>
        <w:rPr>
          <w:rFonts w:hint="eastAsia" w:ascii="宋体" w:hAnsi="宋体" w:cs="宋体"/>
          <w:sz w:val="24"/>
        </w:rPr>
        <w:t>3.因不可抗力使得本合同的履行不可能、不必要或者无意义的，采购人可以解除本合同。解除合同应通过书面形式提前一个月通知中标人。</w:t>
      </w:r>
    </w:p>
    <w:p>
      <w:pPr>
        <w:pStyle w:val="45"/>
        <w:spacing w:line="360" w:lineRule="auto"/>
        <w:ind w:firstLine="466"/>
        <w:rPr>
          <w:rFonts w:hAnsi="宋体" w:cs="宋体"/>
          <w:b/>
          <w:bCs/>
          <w:sz w:val="24"/>
          <w:szCs w:val="24"/>
        </w:rPr>
      </w:pPr>
      <w:r>
        <w:rPr>
          <w:rFonts w:hint="eastAsia" w:hAnsi="宋体" w:cs="宋体"/>
          <w:b/>
          <w:bCs/>
          <w:sz w:val="24"/>
          <w:szCs w:val="24"/>
        </w:rPr>
        <w:t>十、报价要求</w:t>
      </w:r>
    </w:p>
    <w:p>
      <w:pPr>
        <w:pStyle w:val="45"/>
        <w:spacing w:line="360" w:lineRule="auto"/>
        <w:ind w:firstLine="464"/>
        <w:rPr>
          <w:rFonts w:hAnsi="宋体" w:cs="宋体"/>
          <w:sz w:val="24"/>
          <w:szCs w:val="24"/>
        </w:rPr>
      </w:pPr>
      <w:r>
        <w:rPr>
          <w:rFonts w:hint="eastAsia" w:hAnsi="宋体" w:cs="宋体"/>
          <w:sz w:val="24"/>
          <w:szCs w:val="24"/>
        </w:rPr>
        <w:t>1.本次采购采用售价折扣率形式报价。</w:t>
      </w:r>
    </w:p>
    <w:p>
      <w:pPr>
        <w:pStyle w:val="45"/>
        <w:spacing w:line="360" w:lineRule="auto"/>
        <w:ind w:firstLine="464"/>
        <w:rPr>
          <w:rFonts w:hAnsi="宋体" w:cs="宋体"/>
          <w:sz w:val="24"/>
          <w:szCs w:val="24"/>
        </w:rPr>
      </w:pPr>
      <w:r>
        <w:rPr>
          <w:rFonts w:hint="eastAsia" w:hAnsi="宋体" w:cs="宋体"/>
          <w:sz w:val="24"/>
          <w:szCs w:val="24"/>
        </w:rPr>
        <w:t>2.报价要求：售价折扣率≤100%，高于最高折扣率的报价，视为供应商实质性不响应，作为无效投标处理。</w:t>
      </w:r>
    </w:p>
    <w:p>
      <w:pPr>
        <w:pStyle w:val="45"/>
        <w:spacing w:line="360" w:lineRule="auto"/>
        <w:ind w:firstLine="464"/>
        <w:rPr>
          <w:rFonts w:hAnsi="宋体" w:cs="宋体"/>
          <w:sz w:val="24"/>
          <w:szCs w:val="24"/>
        </w:rPr>
      </w:pPr>
      <w:r>
        <w:rPr>
          <w:rFonts w:hint="eastAsia" w:hAnsi="宋体" w:cs="宋体"/>
          <w:sz w:val="24"/>
          <w:szCs w:val="24"/>
        </w:rPr>
        <w:t>3.水果售价=供应商报价×中标折扣率。</w:t>
      </w:r>
    </w:p>
    <w:p>
      <w:pPr>
        <w:pStyle w:val="27"/>
        <w:adjustRightInd w:val="0"/>
        <w:snapToGrid w:val="0"/>
        <w:spacing w:beforeLines="0" w:afterLines="0" w:line="360" w:lineRule="auto"/>
        <w:ind w:firstLine="480" w:firstLineChars="200"/>
        <w:rPr>
          <w:rFonts w:hAnsi="宋体" w:cs="宋体"/>
          <w:b/>
          <w:bCs/>
          <w:szCs w:val="24"/>
        </w:rPr>
      </w:pPr>
      <w:r>
        <w:rPr>
          <w:rFonts w:hint="eastAsia" w:hAnsi="宋体" w:cs="宋体"/>
          <w:b/>
          <w:bCs/>
          <w:szCs w:val="24"/>
        </w:rPr>
        <w:t>十一、其他</w:t>
      </w:r>
    </w:p>
    <w:p>
      <w:pPr>
        <w:pStyle w:val="15"/>
        <w:tabs>
          <w:tab w:val="left" w:pos="208"/>
        </w:tabs>
        <w:spacing w:after="0" w:line="360" w:lineRule="auto"/>
        <w:ind w:firstLine="480" w:firstLineChars="200"/>
        <w:rPr>
          <w:rFonts w:hint="eastAsia" w:ascii="宋体" w:hAnsi="宋体" w:cs="宋体"/>
          <w:b/>
          <w:bCs/>
          <w:szCs w:val="24"/>
          <w:lang w:val="zh-CN"/>
        </w:rPr>
      </w:pPr>
      <w:r>
        <w:rPr>
          <w:rFonts w:hint="eastAsia" w:ascii="宋体" w:hAnsi="宋体" w:cs="宋体"/>
          <w:b/>
          <w:bCs/>
          <w:szCs w:val="24"/>
        </w:rPr>
        <w:t>1.</w:t>
      </w:r>
      <w:r>
        <w:rPr>
          <w:rFonts w:hint="eastAsia" w:ascii="宋体" w:hAnsi="宋体" w:cs="宋体"/>
          <w:b/>
          <w:bCs/>
          <w:szCs w:val="24"/>
          <w:lang w:val="zh-CN"/>
        </w:rPr>
        <w:t>中标人未按本项目合同、采购文件和中标人响应文件的规定及政府采购法律、法规的规定履行合同责任和义务，采购人有权解除或终止合同，并提请政府采购监管部门将其列入政府采购不良行为记录名单。</w:t>
      </w:r>
    </w:p>
    <w:p>
      <w:pPr>
        <w:pStyle w:val="15"/>
        <w:tabs>
          <w:tab w:val="left" w:pos="208"/>
        </w:tabs>
        <w:spacing w:after="0" w:line="360" w:lineRule="auto"/>
        <w:ind w:firstLine="480" w:firstLineChars="200"/>
        <w:rPr>
          <w:rFonts w:cs="宋体"/>
          <w:iCs/>
          <w:spacing w:val="20"/>
        </w:rPr>
      </w:pPr>
      <w:r>
        <w:rPr>
          <w:rFonts w:hint="eastAsia" w:cs="宋体"/>
        </w:rPr>
        <w:t>2.本项目所涉及的报价，</w:t>
      </w:r>
      <w:r>
        <w:rPr>
          <w:rFonts w:hint="eastAsia" w:cs="宋体"/>
          <w:iCs/>
          <w:spacing w:val="20"/>
        </w:rPr>
        <w:t>应包括本次项目实施所需的设备、水果、日常经营、劳务、办公、通信、劳保、福利、利润、税金、培训、奖罚措施、保险、管理政策性收费以及实施本项目所需的其他一切费用，供应商应列入而未列入其中的费用，均视为已包含在内，风险由供应商承担。</w:t>
      </w: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p>
    <w:p>
      <w:pPr>
        <w:jc w:val="center"/>
        <w:rPr>
          <w:rFonts w:ascii="Calibri" w:hAnsi="Calibri"/>
          <w:b/>
          <w:bCs/>
          <w:sz w:val="36"/>
          <w:szCs w:val="36"/>
        </w:rPr>
      </w:pPr>
      <w:r>
        <w:rPr>
          <w:rFonts w:hint="eastAsia" w:ascii="Calibri" w:hAnsi="Calibri"/>
          <w:b/>
          <w:bCs/>
          <w:sz w:val="36"/>
          <w:szCs w:val="36"/>
        </w:rPr>
        <w:t>第四章  评审方法</w:t>
      </w:r>
    </w:p>
    <w:p>
      <w:pPr>
        <w:spacing w:line="360" w:lineRule="auto"/>
        <w:ind w:firstLine="480" w:firstLineChars="200"/>
        <w:rPr>
          <w:rFonts w:ascii="宋体" w:hAnsi="宋体" w:cs="宋体"/>
          <w:sz w:val="24"/>
        </w:rPr>
      </w:pPr>
      <w:r>
        <w:rPr>
          <w:rFonts w:hint="eastAsia" w:ascii="宋体" w:hAnsi="宋体" w:cs="宋体"/>
          <w:sz w:val="24"/>
        </w:rPr>
        <w:t>参照</w:t>
      </w:r>
      <w:r>
        <w:rPr>
          <w:rFonts w:hint="eastAsia" w:ascii="宋体" w:hAnsi="宋体"/>
          <w:sz w:val="24"/>
        </w:rPr>
        <w:t>《中华人民共和国政府采购法》</w:t>
      </w:r>
      <w:r>
        <w:rPr>
          <w:rFonts w:hint="eastAsia" w:ascii="宋体" w:hAnsi="宋体" w:cs="宋体"/>
          <w:sz w:val="24"/>
        </w:rPr>
        <w:t>和《中华人民共和国招标投标法》的有关规定，为更好地做到公开、公平、公正，结合本次</w:t>
      </w:r>
      <w:r>
        <w:rPr>
          <w:rFonts w:hint="eastAsia" w:ascii="宋体" w:hAnsi="宋体" w:cs="宋体"/>
          <w:bCs/>
          <w:sz w:val="24"/>
        </w:rPr>
        <w:t>磋商</w:t>
      </w:r>
      <w:r>
        <w:rPr>
          <w:rFonts w:hint="eastAsia" w:ascii="宋体" w:hAnsi="宋体" w:cs="宋体"/>
          <w:sz w:val="24"/>
        </w:rPr>
        <w:t>的特点，特制定本评标细则。</w:t>
      </w:r>
    </w:p>
    <w:p>
      <w:pPr>
        <w:spacing w:line="360" w:lineRule="auto"/>
        <w:rPr>
          <w:rFonts w:ascii="宋体" w:hAnsi="宋体" w:cs="宋体"/>
          <w:b/>
          <w:bCs/>
          <w:sz w:val="24"/>
        </w:rPr>
      </w:pPr>
      <w:r>
        <w:rPr>
          <w:rFonts w:hint="eastAsia" w:ascii="宋体" w:hAnsi="宋体" w:cs="宋体"/>
          <w:b/>
          <w:bCs/>
          <w:sz w:val="24"/>
        </w:rPr>
        <w:t>一、评标组织</w:t>
      </w:r>
    </w:p>
    <w:p>
      <w:pPr>
        <w:spacing w:line="360" w:lineRule="auto"/>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w:t>
      </w:r>
    </w:p>
    <w:p>
      <w:pPr>
        <w:spacing w:line="360" w:lineRule="auto"/>
        <w:rPr>
          <w:rFonts w:ascii="宋体" w:hAnsi="宋体" w:cs="宋体"/>
          <w:b/>
          <w:bCs/>
          <w:sz w:val="24"/>
        </w:rPr>
      </w:pPr>
      <w:r>
        <w:rPr>
          <w:rFonts w:hint="eastAsia" w:ascii="宋体" w:hAnsi="宋体" w:cs="宋体"/>
          <w:b/>
          <w:bCs/>
          <w:sz w:val="24"/>
        </w:rPr>
        <w:t>二、评标原则和评标方法</w:t>
      </w:r>
    </w:p>
    <w:p>
      <w:pPr>
        <w:spacing w:line="360" w:lineRule="auto"/>
        <w:ind w:firstLine="480" w:firstLineChars="200"/>
        <w:rPr>
          <w:rFonts w:ascii="宋体" w:hAnsi="宋体" w:cs="宋体"/>
          <w:sz w:val="24"/>
        </w:rPr>
      </w:pPr>
      <w:r>
        <w:rPr>
          <w:rFonts w:hint="eastAsia" w:ascii="宋体" w:hAnsi="宋体" w:cs="宋体"/>
          <w:sz w:val="24"/>
        </w:rPr>
        <w:t>1.开标后，评标小组首先对</w:t>
      </w:r>
      <w:r>
        <w:rPr>
          <w:rFonts w:hint="eastAsia" w:hAnsi="宋体"/>
          <w:sz w:val="24"/>
        </w:rPr>
        <w:t>磋商响应文件</w:t>
      </w:r>
      <w:r>
        <w:rPr>
          <w:rFonts w:hint="eastAsia" w:ascii="宋体" w:hAnsi="宋体" w:cs="宋体"/>
          <w:sz w:val="24"/>
        </w:rPr>
        <w:t>的完整性、符合性、响应性等进行审查。凡不符合有关规定或不响应</w:t>
      </w:r>
      <w:r>
        <w:rPr>
          <w:rFonts w:hint="eastAsia" w:ascii="宋体" w:hAnsi="宋体" w:cs="宋体"/>
          <w:bCs/>
          <w:sz w:val="24"/>
        </w:rPr>
        <w:t>磋商</w:t>
      </w:r>
      <w:r>
        <w:rPr>
          <w:rFonts w:hint="eastAsia" w:ascii="宋体" w:hAnsi="宋体" w:cs="宋体"/>
          <w:sz w:val="24"/>
        </w:rPr>
        <w:t>文件要求的</w:t>
      </w:r>
      <w:r>
        <w:rPr>
          <w:rFonts w:hint="eastAsia" w:hAnsi="宋体"/>
          <w:sz w:val="24"/>
        </w:rPr>
        <w:t>磋商响应文件</w:t>
      </w:r>
      <w:r>
        <w:rPr>
          <w:rFonts w:hint="eastAsia" w:ascii="宋体" w:hAnsi="宋体" w:cs="宋体"/>
          <w:sz w:val="24"/>
        </w:rPr>
        <w:t>将不进入评标范围。评标专家组以开标、审标、询标情况为基本依据，对有效的</w:t>
      </w:r>
      <w:r>
        <w:rPr>
          <w:rFonts w:hint="eastAsia" w:hAnsi="宋体"/>
          <w:sz w:val="24"/>
        </w:rPr>
        <w:t>磋商响应文件</w:t>
      </w:r>
      <w:r>
        <w:rPr>
          <w:rFonts w:hint="eastAsia" w:ascii="宋体" w:hAnsi="宋体" w:cs="宋体"/>
          <w:sz w:val="24"/>
        </w:rPr>
        <w:t>及其</w:t>
      </w:r>
      <w:r>
        <w:rPr>
          <w:rFonts w:hint="eastAsia" w:hAnsi="宋体"/>
          <w:sz w:val="24"/>
        </w:rPr>
        <w:t>磋商响应</w:t>
      </w:r>
      <w:r>
        <w:rPr>
          <w:rFonts w:hint="eastAsia" w:ascii="宋体" w:hAnsi="宋体" w:cs="宋体"/>
          <w:sz w:val="24"/>
        </w:rPr>
        <w:t>人按评标内容进行分析、评议，先评技术标技术分，再开商务标。</w:t>
      </w:r>
    </w:p>
    <w:p>
      <w:pPr>
        <w:spacing w:line="360" w:lineRule="auto"/>
        <w:ind w:firstLine="480" w:firstLineChars="200"/>
        <w:rPr>
          <w:rFonts w:ascii="宋体" w:hAnsi="宋体" w:cs="宋体"/>
          <w:b/>
          <w:sz w:val="24"/>
        </w:rPr>
      </w:pPr>
      <w:r>
        <w:rPr>
          <w:rFonts w:hint="eastAsia" w:ascii="宋体" w:hAnsi="宋体" w:cs="宋体"/>
          <w:sz w:val="24"/>
        </w:rPr>
        <w:t>2.</w:t>
      </w:r>
      <w:r>
        <w:rPr>
          <w:rFonts w:hint="eastAsia" w:ascii="宋体" w:hAnsi="宋体" w:cs="宋体"/>
          <w:b/>
          <w:sz w:val="24"/>
        </w:rPr>
        <w:t>本次采购是根据竞争性磋商采购方式进行，各供应商第一次报价不公开。</w:t>
      </w:r>
    </w:p>
    <w:p>
      <w:pPr>
        <w:spacing w:line="360" w:lineRule="auto"/>
        <w:ind w:firstLine="480" w:firstLineChars="200"/>
        <w:rPr>
          <w:rFonts w:ascii="宋体" w:hAnsi="宋体" w:cs="宋体"/>
          <w:sz w:val="24"/>
        </w:rPr>
      </w:pPr>
      <w:r>
        <w:rPr>
          <w:rFonts w:hint="eastAsia" w:ascii="宋体" w:hAnsi="宋体" w:cs="宋体"/>
          <w:sz w:val="24"/>
        </w:rPr>
        <w:t>3.磋商小组负责审查响应文件是否符合竞争性磋商文件的要求，并作出评价。磋商小组认为必要时，可向供应商进行质疑。磋商小组有权决定全部或部分供应商响应文件无效。</w:t>
      </w:r>
    </w:p>
    <w:p>
      <w:pPr>
        <w:spacing w:line="360" w:lineRule="auto"/>
        <w:ind w:firstLine="480" w:firstLineChars="200"/>
        <w:rPr>
          <w:rFonts w:ascii="宋体" w:hAnsi="宋体" w:cs="宋体"/>
          <w:sz w:val="24"/>
        </w:rPr>
      </w:pPr>
      <w:r>
        <w:rPr>
          <w:rFonts w:hint="eastAsia" w:ascii="宋体" w:hAnsi="宋体" w:cs="宋体"/>
          <w:sz w:val="24"/>
        </w:rPr>
        <w:t xml:space="preserve">4.磋商小组将综合分析合格供应商的各项指标，而不是以单项指标的优劣评选出成交的供应商。   </w:t>
      </w:r>
    </w:p>
    <w:p>
      <w:pPr>
        <w:spacing w:line="360" w:lineRule="auto"/>
        <w:ind w:firstLine="480" w:firstLineChars="200"/>
        <w:rPr>
          <w:rFonts w:ascii="宋体" w:hAnsi="宋体" w:cs="宋体"/>
          <w:sz w:val="24"/>
        </w:rPr>
      </w:pPr>
      <w:r>
        <w:rPr>
          <w:rFonts w:hint="eastAsia" w:ascii="宋体" w:hAnsi="宋体" w:cs="宋体"/>
          <w:sz w:val="24"/>
        </w:rPr>
        <w:t>5.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spacing w:line="360" w:lineRule="auto"/>
        <w:ind w:firstLine="480" w:firstLineChars="200"/>
        <w:rPr>
          <w:rFonts w:ascii="宋体" w:hAnsi="宋体" w:cs="宋体"/>
          <w:b/>
          <w:bCs/>
          <w:sz w:val="24"/>
        </w:rPr>
      </w:pPr>
      <w:r>
        <w:rPr>
          <w:rFonts w:hint="eastAsia" w:ascii="宋体" w:hAnsi="宋体" w:cs="宋体"/>
          <w:b/>
          <w:sz w:val="24"/>
        </w:rPr>
        <w:t>本次评审采用综合评分法，总分100分。磋商小组根据竞争性磋商文件制定的评审办法对供应商进行评审排序，将综合得分第一的供应商向采购人推荐其为成交供应商。</w:t>
      </w:r>
    </w:p>
    <w:p>
      <w:pPr>
        <w:spacing w:line="360" w:lineRule="auto"/>
        <w:ind w:firstLine="480" w:firstLineChars="200"/>
        <w:rPr>
          <w:rFonts w:ascii="宋体" w:hAnsi="宋体" w:cs="宋体"/>
          <w:b/>
          <w:bCs/>
          <w:sz w:val="24"/>
        </w:rPr>
      </w:pPr>
      <w:r>
        <w:rPr>
          <w:rFonts w:hint="eastAsia" w:ascii="宋体" w:hAnsi="宋体" w:cs="宋体"/>
          <w:b/>
          <w:bCs/>
          <w:sz w:val="24"/>
        </w:rPr>
        <w:t>商务资信/技术分（80分）</w:t>
      </w:r>
    </w:p>
    <w:tbl>
      <w:tblPr>
        <w:tblStyle w:val="47"/>
        <w:tblW w:w="931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217"/>
        <w:gridCol w:w="6571"/>
        <w:gridCol w:w="82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706" w:type="dxa"/>
            <w:tcBorders>
              <w:bottom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sz w:val="24"/>
              </w:rPr>
            </w:pPr>
            <w:r>
              <w:rPr>
                <w:rFonts w:hint="eastAsia" w:ascii="宋体" w:hAnsi="宋体" w:cs="宋体"/>
                <w:b/>
                <w:bCs/>
                <w:color w:val="auto"/>
                <w:sz w:val="24"/>
              </w:rPr>
              <w:t>序号</w:t>
            </w:r>
          </w:p>
        </w:tc>
        <w:tc>
          <w:tcPr>
            <w:tcW w:w="1217" w:type="dxa"/>
            <w:tcBorders>
              <w:bottom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sz w:val="24"/>
              </w:rPr>
            </w:pPr>
            <w:r>
              <w:rPr>
                <w:rFonts w:hint="eastAsia" w:ascii="宋体" w:hAnsi="宋体" w:cs="宋体"/>
                <w:b/>
                <w:bCs/>
                <w:color w:val="auto"/>
                <w:sz w:val="24"/>
              </w:rPr>
              <w:t>评审内容</w:t>
            </w:r>
          </w:p>
        </w:tc>
        <w:tc>
          <w:tcPr>
            <w:tcW w:w="6571" w:type="dxa"/>
            <w:tcBorders>
              <w:bottom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sz w:val="24"/>
              </w:rPr>
            </w:pPr>
            <w:r>
              <w:rPr>
                <w:rFonts w:hint="eastAsia" w:ascii="宋体" w:hAnsi="宋体" w:cs="宋体"/>
                <w:b/>
                <w:bCs/>
                <w:color w:val="auto"/>
                <w:sz w:val="24"/>
              </w:rPr>
              <w:t>评审标准</w:t>
            </w:r>
          </w:p>
        </w:tc>
        <w:tc>
          <w:tcPr>
            <w:tcW w:w="824" w:type="dxa"/>
            <w:tcBorders>
              <w:bottom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sz w:val="24"/>
              </w:rPr>
            </w:pPr>
            <w:r>
              <w:rPr>
                <w:rFonts w:hint="eastAsia" w:ascii="宋体" w:hAnsi="宋体" w:cs="宋体"/>
                <w:b/>
                <w:bCs/>
                <w:color w:val="auto"/>
                <w:sz w:val="24"/>
              </w:rPr>
              <w:t>分值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b/>
                <w:bCs/>
                <w:color w:val="auto"/>
                <w:sz w:val="24"/>
              </w:rPr>
            </w:pPr>
            <w:r>
              <w:rPr>
                <w:rFonts w:hint="eastAsia" w:ascii="宋体" w:hAnsi="宋体" w:cs="宋体"/>
                <w:color w:val="auto"/>
                <w:sz w:val="24"/>
              </w:rPr>
              <w:t>1</w:t>
            </w:r>
          </w:p>
        </w:tc>
        <w:tc>
          <w:tcPr>
            <w:tcW w:w="1217" w:type="dxa"/>
            <w:tcBorders>
              <w:top w:val="single" w:color="auto" w:sz="4" w:space="0"/>
              <w:bottom w:val="single" w:color="auto" w:sz="4" w:space="0"/>
            </w:tcBorders>
            <w:tcMar>
              <w:top w:w="0" w:type="dxa"/>
              <w:left w:w="108" w:type="dxa"/>
              <w:bottom w:w="0" w:type="dxa"/>
              <w:right w:w="108" w:type="dxa"/>
            </w:tcMar>
            <w:vAlign w:val="center"/>
          </w:tcPr>
          <w:p>
            <w:pPr>
              <w:pStyle w:val="29"/>
              <w:ind w:firstLine="0" w:firstLineChars="0"/>
              <w:jc w:val="center"/>
              <w:rPr>
                <w:rFonts w:ascii="宋体" w:cs="宋体"/>
                <w:bCs/>
                <w:color w:val="auto"/>
                <w:szCs w:val="24"/>
              </w:rPr>
            </w:pPr>
            <w:r>
              <w:rPr>
                <w:rFonts w:hint="eastAsia" w:ascii="宋体" w:cs="宋体"/>
                <w:color w:val="auto"/>
                <w:szCs w:val="24"/>
              </w:rPr>
              <w:t>同类项目案例</w:t>
            </w:r>
          </w:p>
        </w:tc>
        <w:tc>
          <w:tcPr>
            <w:tcW w:w="6571" w:type="dxa"/>
            <w:tcBorders>
              <w:top w:val="single" w:color="auto" w:sz="4" w:space="0"/>
              <w:bottom w:val="single" w:color="auto" w:sz="4" w:space="0"/>
            </w:tcBorders>
            <w:tcMar>
              <w:top w:w="0" w:type="dxa"/>
              <w:left w:w="108" w:type="dxa"/>
              <w:bottom w:w="0" w:type="dxa"/>
              <w:right w:w="108" w:type="dxa"/>
            </w:tcMar>
            <w:vAlign w:val="center"/>
          </w:tcPr>
          <w:p>
            <w:pPr>
              <w:pStyle w:val="286"/>
              <w:ind w:firstLine="50"/>
              <w:jc w:val="left"/>
              <w:rPr>
                <w:rFonts w:hAnsi="宋体" w:cs="宋体"/>
                <w:b/>
                <w:bCs/>
                <w:color w:val="auto"/>
                <w:sz w:val="24"/>
                <w:szCs w:val="24"/>
              </w:rPr>
            </w:pPr>
            <w:r>
              <w:rPr>
                <w:rFonts w:hint="eastAsia" w:hAnsi="宋体" w:cs="宋体"/>
                <w:color w:val="auto"/>
                <w:sz w:val="24"/>
                <w:szCs w:val="24"/>
              </w:rPr>
              <w:t>供应商自2021年1月1日（以签订合同时间为准）以来成功实施过同类项目案例的每个得1分，最高得</w:t>
            </w:r>
            <w:r>
              <w:rPr>
                <w:rFonts w:hint="eastAsia" w:hAnsi="宋体" w:cs="宋体"/>
                <w:color w:val="auto"/>
                <w:sz w:val="24"/>
                <w:szCs w:val="24"/>
                <w:lang w:val="en-US" w:eastAsia="zh-CN"/>
              </w:rPr>
              <w:t>2</w:t>
            </w:r>
            <w:r>
              <w:rPr>
                <w:rFonts w:hint="eastAsia" w:hAnsi="宋体" w:cs="宋体"/>
                <w:color w:val="auto"/>
                <w:sz w:val="24"/>
                <w:szCs w:val="24"/>
              </w:rPr>
              <w:t>分。须提供合同扫描件，不提供不得分（有效同类项目案例以评审专家集体认定为准）。（客观分）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pStyle w:val="286"/>
              <w:ind w:firstLine="50"/>
              <w:jc w:val="center"/>
              <w:rPr>
                <w:rFonts w:hint="eastAsia" w:hAnsi="宋体" w:eastAsia="宋体" w:cs="宋体"/>
                <w:b/>
                <w:bCs/>
                <w:color w:val="auto"/>
                <w:sz w:val="24"/>
                <w:szCs w:val="24"/>
                <w:lang w:val="en-US" w:eastAsia="zh-CN"/>
              </w:rPr>
            </w:pPr>
            <w:r>
              <w:rPr>
                <w:rFonts w:hint="eastAsia" w:hAnsi="宋体" w:cs="宋体"/>
                <w:color w:val="auto"/>
                <w:sz w:val="24"/>
                <w:szCs w:val="24"/>
              </w:rPr>
              <w:t>0-</w:t>
            </w:r>
            <w:r>
              <w:rPr>
                <w:rFonts w:hint="eastAsia" w:hAnsi="宋体" w:cs="宋体"/>
                <w:color w:val="auto"/>
                <w:sz w:val="24"/>
                <w:szCs w:val="24"/>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2</w:t>
            </w:r>
          </w:p>
        </w:tc>
        <w:tc>
          <w:tcPr>
            <w:tcW w:w="1217"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项目服务方案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项目服务方案完全能满足项目实施要求，内容全面、合理且切实可行的得10分；基本能满足项目实施要求，内容全面但存在不足之处的得7分；基本能满足项目实施要求，但内容不全面、存在缺陷的得4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sz w:val="24"/>
              </w:rPr>
              <w:t>3</w:t>
            </w:r>
          </w:p>
        </w:tc>
        <w:tc>
          <w:tcPr>
            <w:tcW w:w="1217" w:type="dxa"/>
            <w:tcBorders>
              <w:top w:val="single" w:color="auto" w:sz="4" w:space="0"/>
              <w:bottom w:val="single" w:color="auto" w:sz="4" w:space="0"/>
            </w:tcBorders>
            <w:tcMar>
              <w:top w:w="0" w:type="dxa"/>
              <w:left w:w="108" w:type="dxa"/>
              <w:bottom w:w="0" w:type="dxa"/>
              <w:right w:w="108" w:type="dxa"/>
            </w:tcMar>
            <w:vAlign w:val="center"/>
          </w:tcPr>
          <w:p>
            <w:pPr>
              <w:pStyle w:val="2"/>
              <w:adjustRightInd w:val="0"/>
              <w:snapToGrid w:val="0"/>
              <w:jc w:val="center"/>
              <w:rPr>
                <w:rFonts w:ascii="宋体" w:hAnsi="宋体" w:cs="宋体"/>
                <w:color w:val="auto"/>
              </w:rPr>
            </w:pPr>
            <w:r>
              <w:rPr>
                <w:rFonts w:hint="eastAsia" w:ascii="宋体" w:hAnsi="宋体" w:cs="宋体"/>
                <w:color w:val="auto"/>
                <w:kern w:val="0"/>
              </w:rPr>
              <w:t>管理规章制度</w:t>
            </w:r>
          </w:p>
        </w:tc>
        <w:tc>
          <w:tcPr>
            <w:tcW w:w="6571" w:type="dxa"/>
            <w:tcBorders>
              <w:top w:val="single" w:color="auto" w:sz="4" w:space="0"/>
              <w:bottom w:val="single" w:color="auto" w:sz="4" w:space="0"/>
            </w:tcBorders>
            <w:tcMar>
              <w:top w:w="0" w:type="dxa"/>
              <w:left w:w="108" w:type="dxa"/>
              <w:bottom w:w="0" w:type="dxa"/>
              <w:right w:w="108" w:type="dxa"/>
            </w:tcMar>
            <w:vAlign w:val="center"/>
          </w:tcPr>
          <w:p>
            <w:pPr>
              <w:pStyle w:val="2"/>
              <w:adjustRightInd w:val="0"/>
              <w:snapToGrid w:val="0"/>
              <w:spacing w:before="0"/>
              <w:rPr>
                <w:rFonts w:ascii="宋体" w:hAnsi="宋体" w:cs="宋体"/>
                <w:color w:val="auto"/>
              </w:rPr>
            </w:pPr>
            <w:r>
              <w:rPr>
                <w:rFonts w:hint="eastAsia" w:ascii="宋体" w:hAnsi="宋体" w:cs="宋体"/>
                <w:color w:val="auto"/>
                <w:kern w:val="0"/>
              </w:rPr>
              <w:t>管理规章制度</w:t>
            </w:r>
            <w:r>
              <w:rPr>
                <w:rFonts w:hint="eastAsia" w:ascii="宋体" w:hAnsi="宋体" w:cs="宋体"/>
                <w:color w:val="auto"/>
              </w:rPr>
              <w:t>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4</w:t>
            </w:r>
          </w:p>
        </w:tc>
        <w:tc>
          <w:tcPr>
            <w:tcW w:w="1217" w:type="dxa"/>
            <w:tcBorders>
              <w:top w:val="single" w:color="auto" w:sz="4" w:space="0"/>
              <w:bottom w:val="single" w:color="auto" w:sz="4" w:space="0"/>
            </w:tcBorders>
            <w:tcMar>
              <w:top w:w="0" w:type="dxa"/>
              <w:left w:w="108" w:type="dxa"/>
              <w:bottom w:w="0" w:type="dxa"/>
              <w:right w:w="108" w:type="dxa"/>
            </w:tcMar>
            <w:vAlign w:val="center"/>
          </w:tcPr>
          <w:p>
            <w:pPr>
              <w:jc w:val="center"/>
              <w:rPr>
                <w:rFonts w:ascii="宋体" w:hAnsi="宋体" w:cs="宋体"/>
                <w:color w:val="auto"/>
                <w:kern w:val="0"/>
                <w:sz w:val="24"/>
              </w:rPr>
            </w:pPr>
            <w:r>
              <w:rPr>
                <w:rFonts w:hint="eastAsia" w:ascii="宋体" w:hAnsi="宋体" w:cs="宋体"/>
                <w:color w:val="auto"/>
                <w:sz w:val="24"/>
              </w:rPr>
              <w:t>水果自助售卖机</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根据供应商提供的水果自助售卖机的外观、技术指标、安全指标、功能等相关证明材料优劣打分：</w:t>
            </w:r>
          </w:p>
          <w:p>
            <w:pPr>
              <w:pStyle w:val="2"/>
              <w:adjustRightInd w:val="0"/>
              <w:snapToGrid w:val="0"/>
              <w:spacing w:before="0"/>
              <w:rPr>
                <w:rFonts w:ascii="宋体" w:hAnsi="宋体" w:cs="宋体"/>
                <w:color w:val="auto"/>
                <w:kern w:val="0"/>
                <w:lang w:bidi="ar"/>
              </w:rPr>
            </w:pPr>
            <w:r>
              <w:rPr>
                <w:rFonts w:hint="eastAsia" w:ascii="宋体" w:hAnsi="宋体" w:cs="宋体"/>
                <w:color w:val="auto"/>
              </w:rPr>
              <w:t>1.最优</w:t>
            </w:r>
            <w:r>
              <w:rPr>
                <w:rFonts w:hint="eastAsia" w:ascii="宋体" w:hAnsi="宋体" w:cs="宋体"/>
                <w:color w:val="auto"/>
                <w:kern w:val="0"/>
                <w:lang w:bidi="ar"/>
              </w:rPr>
              <w:t>的得15分。</w:t>
            </w:r>
          </w:p>
          <w:p>
            <w:pPr>
              <w:pStyle w:val="2"/>
              <w:adjustRightInd w:val="0"/>
              <w:snapToGrid w:val="0"/>
              <w:spacing w:before="0"/>
              <w:rPr>
                <w:rFonts w:ascii="宋体" w:hAnsi="宋体" w:cs="宋体"/>
                <w:color w:val="auto"/>
                <w:kern w:val="0"/>
                <w:lang w:bidi="ar"/>
              </w:rPr>
            </w:pPr>
            <w:r>
              <w:rPr>
                <w:rFonts w:hint="eastAsia" w:ascii="宋体" w:hAnsi="宋体" w:cs="宋体"/>
                <w:color w:val="auto"/>
                <w:kern w:val="0"/>
                <w:lang w:bidi="ar"/>
              </w:rPr>
              <w:t>2.</w:t>
            </w:r>
            <w:r>
              <w:rPr>
                <w:rFonts w:hint="eastAsia" w:ascii="宋体" w:hAnsi="宋体" w:cs="宋体"/>
                <w:color w:val="auto"/>
              </w:rPr>
              <w:t>较优</w:t>
            </w:r>
            <w:r>
              <w:rPr>
                <w:rFonts w:hint="eastAsia" w:ascii="宋体" w:hAnsi="宋体" w:cs="宋体"/>
                <w:color w:val="auto"/>
                <w:kern w:val="0"/>
                <w:lang w:bidi="ar"/>
              </w:rPr>
              <w:t>的得12分</w:t>
            </w:r>
            <w:r>
              <w:rPr>
                <w:rFonts w:hint="eastAsia" w:ascii="宋体" w:hAnsi="宋体" w:cs="宋体"/>
                <w:color w:val="auto"/>
              </w:rPr>
              <w:t>；</w:t>
            </w:r>
          </w:p>
          <w:p>
            <w:pPr>
              <w:pStyle w:val="2"/>
              <w:adjustRightInd w:val="0"/>
              <w:snapToGrid w:val="0"/>
              <w:spacing w:before="0"/>
              <w:rPr>
                <w:rFonts w:ascii="宋体" w:hAnsi="宋体" w:cs="宋体"/>
                <w:color w:val="auto"/>
              </w:rPr>
            </w:pPr>
            <w:r>
              <w:rPr>
                <w:rFonts w:hint="eastAsia" w:ascii="宋体" w:hAnsi="宋体" w:cs="宋体"/>
                <w:color w:val="auto"/>
                <w:kern w:val="0"/>
                <w:lang w:bidi="ar"/>
              </w:rPr>
              <w:t>3.</w:t>
            </w:r>
            <w:r>
              <w:rPr>
                <w:rFonts w:hint="eastAsia" w:ascii="宋体" w:hAnsi="宋体" w:cs="宋体"/>
                <w:color w:val="auto"/>
              </w:rPr>
              <w:t>一遍</w:t>
            </w:r>
            <w:r>
              <w:rPr>
                <w:rFonts w:hint="eastAsia" w:ascii="宋体" w:hAnsi="宋体" w:cs="宋体"/>
                <w:color w:val="auto"/>
                <w:kern w:val="0"/>
                <w:lang w:bidi="ar"/>
              </w:rPr>
              <w:t>的得9分</w:t>
            </w:r>
            <w:r>
              <w:rPr>
                <w:rFonts w:hint="eastAsia" w:ascii="宋体" w:hAnsi="宋体" w:cs="宋体"/>
                <w:color w:val="auto"/>
              </w:rPr>
              <w:t>；</w:t>
            </w:r>
          </w:p>
          <w:p>
            <w:pPr>
              <w:pStyle w:val="16"/>
              <w:tabs>
                <w:tab w:val="left" w:pos="208"/>
              </w:tabs>
              <w:spacing w:after="0" w:line="240" w:lineRule="auto"/>
              <w:ind w:firstLine="0" w:firstLineChars="0"/>
              <w:rPr>
                <w:rFonts w:ascii="宋体" w:hAnsi="宋体" w:cs="宋体"/>
                <w:color w:val="auto"/>
                <w:szCs w:val="24"/>
              </w:rPr>
            </w:pPr>
            <w:r>
              <w:rPr>
                <w:rFonts w:hint="eastAsia" w:ascii="宋体" w:hAnsi="宋体" w:cs="宋体"/>
                <w:color w:val="auto"/>
                <w:kern w:val="0"/>
                <w:szCs w:val="24"/>
              </w:rPr>
              <w:t>4.</w:t>
            </w:r>
            <w:r>
              <w:rPr>
                <w:rFonts w:hint="eastAsia" w:ascii="宋体" w:hAnsi="宋体" w:cs="宋体"/>
                <w:color w:val="auto"/>
                <w:szCs w:val="24"/>
              </w:rPr>
              <w:t>较差</w:t>
            </w:r>
            <w:r>
              <w:rPr>
                <w:rFonts w:hint="eastAsia" w:ascii="宋体" w:hAnsi="宋体" w:cs="宋体"/>
                <w:color w:val="auto"/>
                <w:kern w:val="0"/>
                <w:szCs w:val="24"/>
                <w:lang w:bidi="ar"/>
              </w:rPr>
              <w:t>的得6分</w:t>
            </w:r>
            <w:r>
              <w:rPr>
                <w:rFonts w:hint="eastAsia" w:ascii="宋体" w:hAnsi="宋体" w:cs="宋体"/>
                <w:color w:val="auto"/>
                <w:szCs w:val="24"/>
              </w:rPr>
              <w:t>；</w:t>
            </w:r>
          </w:p>
          <w:p>
            <w:pPr>
              <w:pStyle w:val="2"/>
              <w:adjustRightInd w:val="0"/>
              <w:snapToGrid w:val="0"/>
              <w:spacing w:before="0"/>
              <w:rPr>
                <w:rFonts w:ascii="宋体" w:hAnsi="宋体" w:cs="宋体"/>
                <w:color w:val="auto"/>
              </w:rPr>
            </w:pPr>
            <w:r>
              <w:rPr>
                <w:rFonts w:hint="eastAsia" w:ascii="宋体" w:hAnsi="宋体" w:cs="宋体"/>
                <w:color w:val="auto"/>
                <w:kern w:val="0"/>
                <w:lang w:bidi="ar"/>
              </w:rPr>
              <w:t>5.</w:t>
            </w:r>
            <w:r>
              <w:rPr>
                <w:rFonts w:hint="eastAsia" w:ascii="宋体" w:hAnsi="宋体" w:cs="宋体"/>
                <w:color w:val="auto"/>
              </w:rPr>
              <w:t>差</w:t>
            </w:r>
            <w:r>
              <w:rPr>
                <w:rFonts w:hint="eastAsia" w:ascii="宋体" w:hAnsi="宋体" w:cs="宋体"/>
                <w:color w:val="auto"/>
                <w:kern w:val="0"/>
                <w:lang w:bidi="ar"/>
              </w:rPr>
              <w:t>的得3分</w:t>
            </w:r>
            <w:r>
              <w:rPr>
                <w:rFonts w:hint="eastAsia" w:ascii="宋体" w:hAnsi="宋体" w:cs="宋体"/>
                <w:color w:val="auto"/>
              </w:rPr>
              <w:t>；</w:t>
            </w:r>
          </w:p>
          <w:p>
            <w:pPr>
              <w:widowControl/>
              <w:jc w:val="left"/>
              <w:rPr>
                <w:rFonts w:ascii="宋体" w:hAnsi="宋体" w:cs="宋体"/>
                <w:color w:val="auto"/>
                <w:sz w:val="24"/>
              </w:rPr>
            </w:pPr>
            <w:r>
              <w:rPr>
                <w:rFonts w:hint="eastAsia" w:ascii="宋体" w:hAnsi="宋体" w:cs="宋体"/>
                <w:color w:val="auto"/>
                <w:sz w:val="24"/>
              </w:rPr>
              <w:t>6.未提供相关证明材料的不得分。（客观分）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color w:val="auto"/>
                <w:sz w:val="24"/>
              </w:rPr>
            </w:pPr>
            <w:r>
              <w:rPr>
                <w:rFonts w:hint="eastAsia" w:ascii="宋体" w:hAnsi="宋体" w:cs="宋体"/>
                <w:color w:val="auto"/>
                <w:sz w:val="24"/>
              </w:rPr>
              <w:t>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5</w:t>
            </w:r>
          </w:p>
        </w:tc>
        <w:tc>
          <w:tcPr>
            <w:tcW w:w="1217" w:type="dxa"/>
            <w:tcBorders>
              <w:top w:val="single" w:color="auto" w:sz="4" w:space="0"/>
              <w:bottom w:val="single" w:color="auto" w:sz="4" w:space="0"/>
            </w:tcBorders>
            <w:tcMar>
              <w:top w:w="0" w:type="dxa"/>
              <w:left w:w="108" w:type="dxa"/>
              <w:bottom w:w="0" w:type="dxa"/>
              <w:right w:w="108" w:type="dxa"/>
            </w:tcMar>
            <w:vAlign w:val="center"/>
          </w:tcPr>
          <w:p>
            <w:pPr>
              <w:pStyle w:val="29"/>
              <w:ind w:firstLine="0" w:firstLineChars="0"/>
              <w:jc w:val="center"/>
              <w:rPr>
                <w:rFonts w:ascii="宋体" w:cs="宋体"/>
                <w:color w:val="auto"/>
                <w:szCs w:val="24"/>
              </w:rPr>
            </w:pPr>
            <w:r>
              <w:rPr>
                <w:rFonts w:hint="eastAsia" w:ascii="宋体" w:cs="宋体"/>
                <w:b w:val="0"/>
                <w:bCs/>
                <w:color w:val="auto"/>
                <w:szCs w:val="24"/>
              </w:rPr>
              <w:t>水果</w:t>
            </w:r>
            <w:r>
              <w:rPr>
                <w:rFonts w:hint="eastAsia" w:ascii="宋体" w:cs="宋体"/>
                <w:b w:val="0"/>
                <w:color w:val="auto"/>
                <w:szCs w:val="24"/>
              </w:rPr>
              <w:t>采购方案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水果采购方案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color w:val="auto"/>
                <w:sz w:val="24"/>
              </w:rPr>
            </w:pPr>
            <w:r>
              <w:rPr>
                <w:rFonts w:hint="eastAsia" w:ascii="宋体" w:hAnsi="宋体" w:cs="宋体"/>
                <w:color w:val="auto"/>
                <w:sz w:val="24"/>
              </w:rPr>
              <w:t>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6</w:t>
            </w:r>
          </w:p>
        </w:tc>
        <w:tc>
          <w:tcPr>
            <w:tcW w:w="1217"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安全保证方案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安全保证方案</w:t>
            </w:r>
            <w:r>
              <w:rPr>
                <w:rFonts w:hint="eastAsia" w:ascii="宋体" w:hAnsi="宋体" w:cs="宋体"/>
                <w:color w:val="auto"/>
                <w:sz w:val="24"/>
              </w:rPr>
              <w:t>完全能满足项目实施要求，内容全面、合理且切实可行的得</w:t>
            </w:r>
            <w:r>
              <w:rPr>
                <w:rFonts w:hint="eastAsia" w:ascii="宋体" w:hAnsi="宋体" w:cs="宋体"/>
                <w:color w:val="auto"/>
                <w:sz w:val="24"/>
                <w:lang w:val="en-US" w:eastAsia="zh-CN"/>
              </w:rPr>
              <w:t>8</w:t>
            </w:r>
            <w:r>
              <w:rPr>
                <w:rFonts w:hint="eastAsia" w:ascii="宋体" w:hAnsi="宋体" w:cs="宋体"/>
                <w:color w:val="auto"/>
                <w:sz w:val="24"/>
              </w:rPr>
              <w:t>分；基本能满足项目实施要求，内容全面但存在不足之处的得</w:t>
            </w:r>
            <w:r>
              <w:rPr>
                <w:rFonts w:hint="eastAsia" w:ascii="宋体" w:hAnsi="宋体" w:cs="宋体"/>
                <w:color w:val="auto"/>
                <w:sz w:val="24"/>
                <w:lang w:val="en-US" w:eastAsia="zh-CN"/>
              </w:rPr>
              <w:t>6</w:t>
            </w:r>
            <w:r>
              <w:rPr>
                <w:rFonts w:hint="eastAsia" w:ascii="宋体" w:hAnsi="宋体" w:cs="宋体"/>
                <w:color w:val="auto"/>
                <w:sz w:val="24"/>
              </w:rPr>
              <w:t>分；基本能满足项目实施要求，但内容不全面、存在缺陷的得</w:t>
            </w:r>
            <w:r>
              <w:rPr>
                <w:rFonts w:hint="eastAsia" w:ascii="宋体" w:hAnsi="宋体" w:cs="宋体"/>
                <w:color w:val="auto"/>
                <w:sz w:val="24"/>
                <w:lang w:val="en-US" w:eastAsia="zh-CN"/>
              </w:rPr>
              <w:t>4</w:t>
            </w:r>
            <w:r>
              <w:rPr>
                <w:rFonts w:hint="eastAsia" w:ascii="宋体" w:hAnsi="宋体" w:cs="宋体"/>
                <w:color w:val="auto"/>
                <w:sz w:val="24"/>
              </w:rPr>
              <w:t>分；基本能满足项目实施要求，但内容不全面、缺陷较多的得</w:t>
            </w:r>
            <w:r>
              <w:rPr>
                <w:rFonts w:hint="eastAsia" w:ascii="宋体" w:hAnsi="宋体" w:cs="宋体"/>
                <w:color w:val="auto"/>
                <w:sz w:val="24"/>
                <w:lang w:val="en-US" w:eastAsia="zh-CN"/>
              </w:rPr>
              <w:t>2</w:t>
            </w:r>
            <w:r>
              <w:rPr>
                <w:rFonts w:hint="eastAsia" w:ascii="宋体" w:hAnsi="宋体" w:cs="宋体"/>
                <w:color w:val="auto"/>
                <w:sz w:val="24"/>
              </w:rPr>
              <w:t>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widowControl/>
              <w:snapToGrid w:val="0"/>
              <w:jc w:val="center"/>
              <w:rPr>
                <w:rFonts w:hint="eastAsia" w:ascii="宋体" w:hAnsi="宋体" w:eastAsia="宋体" w:cs="宋体"/>
                <w:color w:val="auto"/>
                <w:sz w:val="24"/>
                <w:lang w:val="en-US" w:eastAsia="zh-CN"/>
              </w:rPr>
            </w:pPr>
            <w:r>
              <w:rPr>
                <w:rFonts w:hint="eastAsia" w:ascii="宋体" w:hAnsi="宋体" w:cs="宋体"/>
                <w:color w:val="auto"/>
                <w:sz w:val="24"/>
              </w:rPr>
              <w:t>0-</w:t>
            </w:r>
            <w:r>
              <w:rPr>
                <w:rFonts w:hint="eastAsia" w:ascii="宋体" w:hAnsi="宋体" w:cs="宋体"/>
                <w:color w:val="auto"/>
                <w:sz w:val="24"/>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7</w:t>
            </w:r>
          </w:p>
        </w:tc>
        <w:tc>
          <w:tcPr>
            <w:tcW w:w="1217" w:type="dxa"/>
            <w:tcBorders>
              <w:top w:val="single" w:color="auto" w:sz="4" w:space="0"/>
              <w:bottom w:val="single" w:color="auto" w:sz="4" w:space="0"/>
            </w:tcBorders>
            <w:tcMar>
              <w:top w:w="0" w:type="dxa"/>
              <w:left w:w="108" w:type="dxa"/>
              <w:bottom w:w="0" w:type="dxa"/>
              <w:right w:w="108" w:type="dxa"/>
            </w:tcMar>
            <w:vAlign w:val="center"/>
          </w:tcPr>
          <w:p>
            <w:pPr>
              <w:pStyle w:val="29"/>
              <w:ind w:firstLine="0" w:firstLineChars="0"/>
              <w:jc w:val="center"/>
              <w:rPr>
                <w:rFonts w:ascii="宋体" w:cs="宋体"/>
                <w:color w:val="auto"/>
                <w:szCs w:val="24"/>
              </w:rPr>
            </w:pPr>
            <w:r>
              <w:rPr>
                <w:rFonts w:hint="eastAsia" w:ascii="宋体" w:cs="宋体"/>
                <w:b w:val="0"/>
                <w:bCs/>
                <w:color w:val="auto"/>
                <w:szCs w:val="24"/>
              </w:rPr>
              <w:t>水果</w:t>
            </w:r>
            <w:r>
              <w:rPr>
                <w:rStyle w:val="277"/>
                <w:rFonts w:hint="eastAsia" w:ascii="宋体" w:hAnsi="宋体" w:cs="宋体"/>
                <w:b w:val="0"/>
                <w:bCs/>
                <w:color w:val="auto"/>
                <w:sz w:val="24"/>
              </w:rPr>
              <w:t>质量保证方案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质量保证方案</w:t>
            </w:r>
            <w:r>
              <w:rPr>
                <w:rFonts w:hint="eastAsia" w:ascii="宋体" w:hAnsi="宋体" w:cs="宋体"/>
                <w:color w:val="auto"/>
                <w:sz w:val="24"/>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color w:val="auto"/>
                <w:sz w:val="24"/>
              </w:rPr>
            </w:pPr>
            <w:r>
              <w:rPr>
                <w:rFonts w:hint="eastAsia" w:ascii="宋体" w:hAnsi="宋体" w:cs="宋体"/>
                <w:color w:val="auto"/>
                <w:sz w:val="24"/>
              </w:rPr>
              <w:t>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8</w:t>
            </w:r>
          </w:p>
        </w:tc>
        <w:tc>
          <w:tcPr>
            <w:tcW w:w="1217" w:type="dxa"/>
            <w:tcBorders>
              <w:top w:val="single" w:color="auto" w:sz="4" w:space="0"/>
              <w:bottom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项目人员配置</w:t>
            </w:r>
          </w:p>
        </w:tc>
        <w:tc>
          <w:tcPr>
            <w:tcW w:w="6571" w:type="dxa"/>
            <w:tcBorders>
              <w:top w:val="single" w:color="auto" w:sz="4" w:space="0"/>
              <w:bottom w:val="single" w:color="auto" w:sz="4" w:space="0"/>
            </w:tcBorders>
            <w:tcMar>
              <w:top w:w="0" w:type="dxa"/>
              <w:left w:w="108" w:type="dxa"/>
              <w:bottom w:w="0" w:type="dxa"/>
              <w:right w:w="108" w:type="dxa"/>
            </w:tcMar>
            <w:vAlign w:val="center"/>
          </w:tcPr>
          <w:p>
            <w:pPr>
              <w:widowControl/>
              <w:jc w:val="left"/>
              <w:rPr>
                <w:rFonts w:ascii="宋体" w:hAnsi="宋体" w:cs="宋体"/>
                <w:color w:val="auto"/>
                <w:sz w:val="24"/>
              </w:rPr>
            </w:pPr>
            <w:r>
              <w:rPr>
                <w:rFonts w:hint="eastAsia" w:ascii="宋体" w:hAnsi="宋体" w:cs="宋体"/>
                <w:color w:val="auto"/>
                <w:sz w:val="24"/>
              </w:rPr>
              <w:t>项目人员配置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9</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突发事件或重大活动保障措施</w:t>
            </w:r>
          </w:p>
        </w:tc>
        <w:tc>
          <w:tcPr>
            <w:tcW w:w="6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ascii="宋体" w:hAnsi="宋体" w:cs="宋体"/>
                <w:color w:val="auto"/>
                <w:sz w:val="24"/>
              </w:rPr>
            </w:pPr>
            <w:r>
              <w:rPr>
                <w:rFonts w:hint="eastAsia" w:ascii="宋体" w:hAnsi="宋体" w:cs="宋体"/>
                <w:color w:val="auto"/>
                <w:sz w:val="24"/>
              </w:rPr>
              <w:t>突发事件或重大活动保障措施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06"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10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sz w:val="24"/>
              </w:rPr>
            </w:pPr>
            <w:r>
              <w:rPr>
                <w:rFonts w:hint="eastAsia" w:ascii="宋体" w:hAnsi="宋体" w:cs="宋体"/>
                <w:color w:val="auto"/>
                <w:sz w:val="24"/>
              </w:rPr>
              <w:t>项目履行保证方案</w:t>
            </w:r>
          </w:p>
        </w:tc>
        <w:tc>
          <w:tcPr>
            <w:tcW w:w="6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ascii="宋体" w:hAnsi="宋体" w:cs="宋体"/>
                <w:color w:val="auto"/>
                <w:sz w:val="24"/>
              </w:rPr>
            </w:pPr>
            <w:r>
              <w:rPr>
                <w:rFonts w:hint="eastAsia" w:ascii="宋体" w:hAnsi="宋体" w:cs="宋体"/>
                <w:color w:val="auto"/>
                <w:sz w:val="24"/>
              </w:rPr>
              <w:t>项目履行保证方案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0-8</w:t>
            </w:r>
          </w:p>
        </w:tc>
      </w:tr>
    </w:tbl>
    <w:p>
      <w:pPr>
        <w:spacing w:line="360" w:lineRule="auto"/>
        <w:ind w:firstLine="480" w:firstLineChars="200"/>
        <w:rPr>
          <w:rFonts w:ascii="宋体" w:hAnsi="宋体" w:cs="宋体"/>
          <w:b/>
          <w:color w:val="FF0000"/>
          <w:sz w:val="24"/>
        </w:rPr>
      </w:pPr>
      <w:r>
        <w:rPr>
          <w:rFonts w:hint="eastAsia" w:ascii="宋体" w:hAnsi="宋体" w:cs="宋体"/>
          <w:sz w:val="24"/>
        </w:rPr>
        <w:t>评标委员会根据评分细则，对各</w:t>
      </w:r>
      <w:r>
        <w:rPr>
          <w:rFonts w:hint="eastAsia" w:hAnsi="宋体"/>
          <w:sz w:val="24"/>
        </w:rPr>
        <w:t>磋商响应</w:t>
      </w:r>
      <w:r>
        <w:rPr>
          <w:rFonts w:hint="eastAsia" w:ascii="宋体" w:hAnsi="宋体" w:cs="宋体"/>
          <w:sz w:val="24"/>
        </w:rPr>
        <w:t>单位的技术标进行书面审核和评论后，由各专家独立酌情给分，打分时保留小数1位，每人一份评分表，并签名。</w:t>
      </w:r>
      <w:r>
        <w:rPr>
          <w:rFonts w:hint="eastAsia" w:hAnsi="宋体"/>
          <w:sz w:val="24"/>
        </w:rPr>
        <w:t>磋商响应</w:t>
      </w:r>
      <w:r>
        <w:rPr>
          <w:rFonts w:hint="eastAsia" w:ascii="宋体" w:hAnsi="宋体" w:cs="宋体"/>
          <w:sz w:val="24"/>
        </w:rPr>
        <w:t>人资信、业绩及技术性能等的最终得分为评标专家组成员的有效评分。</w:t>
      </w:r>
    </w:p>
    <w:p>
      <w:pPr>
        <w:pStyle w:val="29"/>
        <w:tabs>
          <w:tab w:val="left" w:pos="0"/>
          <w:tab w:val="left" w:pos="720"/>
          <w:tab w:val="left" w:pos="2160"/>
          <w:tab w:val="left" w:pos="2880"/>
          <w:tab w:val="left" w:pos="3600"/>
          <w:tab w:val="left" w:pos="4320"/>
          <w:tab w:val="left" w:pos="5040"/>
          <w:tab w:val="left" w:pos="5760"/>
        </w:tabs>
        <w:spacing w:line="360" w:lineRule="auto"/>
        <w:ind w:firstLine="0" w:firstLineChars="0"/>
        <w:rPr>
          <w:rFonts w:ascii="宋体" w:cs="宋体"/>
          <w:bCs/>
          <w:color w:val="auto"/>
          <w:szCs w:val="24"/>
        </w:rPr>
      </w:pPr>
      <w:r>
        <w:rPr>
          <w:rFonts w:hint="eastAsia" w:ascii="宋体" w:cs="宋体"/>
          <w:bCs/>
          <w:color w:val="auto"/>
          <w:szCs w:val="24"/>
        </w:rPr>
        <w:t>三、商务报价</w:t>
      </w:r>
    </w:p>
    <w:p>
      <w:pPr>
        <w:pStyle w:val="29"/>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rPr>
      </w:pPr>
      <w:r>
        <w:rPr>
          <w:rFonts w:hint="eastAsia" w:ascii="宋体" w:cs="宋体"/>
        </w:rPr>
        <w:t>1.以满足磋商文件要求且最后报价最低的供应商的价格为磋商基准价，其价格分为满分。其他供应商的价格分统一按照下列公式计算：</w:t>
      </w:r>
    </w:p>
    <w:p>
      <w:pPr>
        <w:pStyle w:val="29"/>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color w:val="auto"/>
        </w:rPr>
      </w:pPr>
      <w:r>
        <w:rPr>
          <w:rFonts w:hint="eastAsia" w:ascii="宋体" w:cs="宋体"/>
          <w:color w:val="auto"/>
        </w:rPr>
        <w:t>2．磋商报价得分=（磋商基准价/最终轮磋商报价）×20</w:t>
      </w:r>
    </w:p>
    <w:p>
      <w:pPr>
        <w:spacing w:line="360" w:lineRule="auto"/>
        <w:ind w:firstLine="480" w:firstLineChars="200"/>
        <w:rPr>
          <w:rFonts w:ascii="宋体" w:hAnsi="宋体"/>
          <w:sz w:val="24"/>
        </w:rPr>
      </w:pPr>
      <w:r>
        <w:rPr>
          <w:rFonts w:hint="eastAsia" w:ascii="宋体" w:hAnsi="宋体"/>
          <w:sz w:val="24"/>
        </w:rPr>
        <w:t>3.分析总报价及各个分项报价是否合理、报价范围是否完整、有否重大错漏项。如磋商小组一致认为最低</w:t>
      </w:r>
      <w:r>
        <w:rPr>
          <w:rFonts w:hint="eastAsia" w:hAnsi="宋体"/>
          <w:sz w:val="24"/>
        </w:rPr>
        <w:t>磋商响应</w:t>
      </w:r>
      <w:r>
        <w:rPr>
          <w:rFonts w:hint="eastAsia" w:ascii="宋体" w:hAnsi="宋体"/>
          <w:sz w:val="24"/>
        </w:rPr>
        <w:t>报价或某些分项明显不合理，有降低质量、不能诚信履约的可能时，磋商小组有权通知</w:t>
      </w:r>
      <w:r>
        <w:rPr>
          <w:rFonts w:hint="eastAsia"/>
          <w:sz w:val="24"/>
        </w:rPr>
        <w:t>磋商响应</w:t>
      </w:r>
      <w:r>
        <w:rPr>
          <w:rFonts w:hint="eastAsia" w:ascii="宋体" w:hAnsi="宋体"/>
          <w:sz w:val="24"/>
        </w:rPr>
        <w:t>方限期进行解释。如</w:t>
      </w:r>
      <w:r>
        <w:rPr>
          <w:rFonts w:hint="eastAsia"/>
          <w:sz w:val="24"/>
        </w:rPr>
        <w:t>磋商响应</w:t>
      </w:r>
      <w:r>
        <w:rPr>
          <w:rFonts w:hint="eastAsia" w:ascii="宋体" w:hAnsi="宋体"/>
          <w:sz w:val="24"/>
        </w:rPr>
        <w:t>方未在规定期限内做出解释，或所作解释不合理，经磋商小组取得一致意见后，可确定该</w:t>
      </w:r>
      <w:r>
        <w:rPr>
          <w:rFonts w:hint="eastAsia"/>
          <w:sz w:val="24"/>
        </w:rPr>
        <w:t>磋商响应</w:t>
      </w:r>
      <w:r>
        <w:rPr>
          <w:rFonts w:hint="eastAsia" w:ascii="宋体" w:hAnsi="宋体"/>
          <w:sz w:val="24"/>
        </w:rPr>
        <w:t>为无效标。</w:t>
      </w:r>
    </w:p>
    <w:p>
      <w:pPr>
        <w:spacing w:line="360" w:lineRule="auto"/>
        <w:rPr>
          <w:rFonts w:ascii="宋体" w:hAnsi="宋体"/>
          <w:color w:val="000000"/>
          <w:sz w:val="24"/>
        </w:rPr>
      </w:pPr>
      <w:r>
        <w:rPr>
          <w:rFonts w:hint="eastAsia" w:ascii="宋体" w:hAnsi="宋体"/>
          <w:b/>
          <w:bCs/>
          <w:color w:val="000000"/>
          <w:sz w:val="24"/>
        </w:rPr>
        <w:t>四、定标办法</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b/>
          <w:color w:val="000000"/>
          <w:sz w:val="24"/>
        </w:rPr>
        <w:t>决标</w:t>
      </w:r>
    </w:p>
    <w:p>
      <w:pPr>
        <w:spacing w:line="360" w:lineRule="auto"/>
        <w:ind w:firstLine="480" w:firstLineChars="200"/>
        <w:rPr>
          <w:rFonts w:ascii="宋体" w:hAnsi="宋体"/>
          <w:sz w:val="24"/>
        </w:rPr>
      </w:pPr>
      <w:r>
        <w:rPr>
          <w:rFonts w:hint="eastAsia" w:ascii="宋体" w:hAnsi="宋体"/>
          <w:sz w:val="24"/>
        </w:rPr>
        <w:t>1）每个供应商最终得分=技术资信部分分值（所有磋商小组成员打分的算术平均值）＋商务报价部分分值。</w:t>
      </w:r>
    </w:p>
    <w:p>
      <w:pPr>
        <w:spacing w:line="360" w:lineRule="auto"/>
        <w:ind w:firstLine="480" w:firstLineChars="200"/>
        <w:rPr>
          <w:rFonts w:ascii="宋体" w:hAnsi="宋体"/>
          <w:sz w:val="24"/>
        </w:rPr>
      </w:pPr>
      <w:r>
        <w:rPr>
          <w:rFonts w:hint="eastAsia" w:ascii="宋体" w:hAnsi="宋体"/>
          <w:sz w:val="24"/>
        </w:rPr>
        <w:t>2）磋商小组推荐综合得分最高的供应商为预成交供应商（如果得分相同则按报价从低到高顺序依次推荐为预中标单位）；如果得分相同，以报价低的优先；报价也相同，以抽签决定，并编写采购报告。</w:t>
      </w:r>
    </w:p>
    <w:p>
      <w:pPr>
        <w:spacing w:line="360" w:lineRule="auto"/>
        <w:ind w:firstLine="480" w:firstLineChars="200"/>
        <w:rPr>
          <w:rFonts w:ascii="宋体" w:hAnsi="宋体"/>
          <w:sz w:val="24"/>
        </w:rPr>
      </w:pPr>
      <w:r>
        <w:rPr>
          <w:rFonts w:hint="eastAsia" w:ascii="宋体" w:hAnsi="宋体"/>
          <w:sz w:val="24"/>
        </w:rPr>
        <w:t>2.所有分值计算保留小数点后二位，小数点后三位四舍五入。</w:t>
      </w:r>
    </w:p>
    <w:p>
      <w:pPr>
        <w:spacing w:line="360" w:lineRule="auto"/>
        <w:ind w:firstLine="480" w:firstLineChars="200"/>
        <w:rPr>
          <w:rFonts w:ascii="宋体" w:hAnsi="宋体"/>
          <w:sz w:val="24"/>
          <w:u w:val="single"/>
        </w:rPr>
      </w:pPr>
      <w:r>
        <w:rPr>
          <w:rFonts w:hint="eastAsia" w:ascii="宋体" w:hAnsi="宋体"/>
          <w:sz w:val="24"/>
          <w:u w:val="single"/>
        </w:rPr>
        <w:t>3.▲报价超过最高限价的，二次报价高于第一次报价的，为无效标。</w:t>
      </w:r>
    </w:p>
    <w:p>
      <w:pPr>
        <w:spacing w:line="360" w:lineRule="auto"/>
        <w:rPr>
          <w:rFonts w:ascii="Calibri" w:hAnsi="Calibri"/>
          <w:bCs/>
          <w:sz w:val="36"/>
          <w:szCs w:val="44"/>
        </w:rPr>
      </w:pPr>
      <w:r>
        <w:rPr>
          <w:rFonts w:hint="eastAsia" w:ascii="Calibri" w:hAnsi="Calibri"/>
          <w:bCs/>
          <w:sz w:val="36"/>
          <w:szCs w:val="44"/>
        </w:rPr>
        <w:br w:type="page"/>
      </w:r>
    </w:p>
    <w:p>
      <w:pPr>
        <w:pStyle w:val="3"/>
        <w:spacing w:before="120" w:after="120" w:line="360" w:lineRule="auto"/>
        <w:jc w:val="center"/>
        <w:rPr>
          <w:rFonts w:ascii="Calibri" w:hAnsi="Calibri"/>
          <w:bCs/>
          <w:sz w:val="36"/>
          <w:szCs w:val="44"/>
        </w:rPr>
      </w:pPr>
      <w:r>
        <w:rPr>
          <w:rFonts w:hint="eastAsia" w:ascii="Calibri" w:hAnsi="Calibri"/>
          <w:bCs/>
          <w:sz w:val="36"/>
          <w:szCs w:val="44"/>
        </w:rPr>
        <w:t>第五章  附件</w:t>
      </w:r>
    </w:p>
    <w:p>
      <w:pPr>
        <w:snapToGrid w:val="0"/>
        <w:spacing w:before="156" w:beforeLines="50" w:after="156" w:afterLines="50" w:line="360" w:lineRule="auto"/>
        <w:outlineLvl w:val="1"/>
        <w:rPr>
          <w:rFonts w:ascii="宋体" w:hAnsi="宋体" w:cs="宋体"/>
          <w:b/>
          <w:color w:val="0D0D0D"/>
          <w:sz w:val="24"/>
        </w:rPr>
      </w:pPr>
      <w:r>
        <w:rPr>
          <w:rFonts w:hint="eastAsia" w:ascii="宋体" w:hAnsi="宋体" w:cs="宋体"/>
          <w:b/>
          <w:bCs/>
          <w:sz w:val="24"/>
        </w:rPr>
        <w:t>1</w:t>
      </w:r>
      <w:r>
        <w:rPr>
          <w:rFonts w:hint="eastAsia" w:ascii="宋体" w:hAnsi="宋体" w:cs="宋体"/>
          <w:b/>
          <w:color w:val="0D0D0D"/>
          <w:sz w:val="24"/>
        </w:rPr>
        <w:t>.所有磋商文件的外包装封面格式：</w:t>
      </w:r>
    </w:p>
    <w:p>
      <w:pPr>
        <w:snapToGrid w:val="0"/>
        <w:spacing w:before="156" w:beforeLines="50" w:after="156" w:afterLines="50" w:line="360" w:lineRule="auto"/>
        <w:jc w:val="center"/>
        <w:rPr>
          <w:rFonts w:ascii="宋体" w:hAnsi="宋体" w:cs="宋体"/>
          <w:bCs/>
          <w:color w:val="0D0D0D"/>
          <w:sz w:val="24"/>
        </w:rPr>
      </w:pPr>
      <w:r>
        <w:rPr>
          <w:rFonts w:hint="eastAsia" w:ascii="宋体" w:hAnsi="宋体" w:cs="宋体"/>
          <w:bCs/>
          <w:color w:val="0D0D0D"/>
          <w:sz w:val="24"/>
        </w:rPr>
        <w:t>磋商响应文件</w:t>
      </w:r>
    </w:p>
    <w:p>
      <w:pPr>
        <w:pStyle w:val="27"/>
        <w:snapToGrid w:val="0"/>
        <w:spacing w:before="156" w:after="156" w:line="360" w:lineRule="auto"/>
        <w:ind w:left="1190" w:hanging="1190" w:hangingChars="496"/>
        <w:rPr>
          <w:rFonts w:hAnsi="宋体" w:cs="Arial"/>
        </w:rPr>
      </w:pPr>
      <w:r>
        <w:rPr>
          <w:rFonts w:hint="eastAsia" w:hAnsi="宋体"/>
          <w:bCs/>
        </w:rPr>
        <w:t>项目名称：</w:t>
      </w:r>
      <w:r>
        <w:rPr>
          <w:rFonts w:hint="eastAsia" w:hAnsi="宋体" w:cs="Arial"/>
        </w:rPr>
        <w:t>“新鲜水果进校园，助力学生健康成长”服务采购项目</w:t>
      </w:r>
    </w:p>
    <w:p>
      <w:pPr>
        <w:pStyle w:val="27"/>
        <w:snapToGrid w:val="0"/>
        <w:spacing w:before="156" w:after="156" w:line="360" w:lineRule="auto"/>
        <w:ind w:left="1190" w:hanging="1190" w:hangingChars="496"/>
        <w:rPr>
          <w:rFonts w:hint="eastAsia" w:hAnsi="宋体" w:eastAsia="宋体"/>
          <w:bCs/>
          <w:lang w:eastAsia="zh-CN"/>
        </w:rPr>
      </w:pPr>
      <w:r>
        <w:rPr>
          <w:rFonts w:hint="eastAsia" w:hAnsi="宋体"/>
          <w:bCs/>
        </w:rPr>
        <w:t>项目编号：</w:t>
      </w:r>
      <w:r>
        <w:rPr>
          <w:rFonts w:hint="eastAsia" w:hAnsi="宋体"/>
          <w:bCs/>
          <w:lang w:eastAsia="zh-CN"/>
        </w:rPr>
        <w:t>JCZFCG2025-Q01-C498</w:t>
      </w:r>
    </w:p>
    <w:p>
      <w:pPr>
        <w:pStyle w:val="27"/>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b/>
          <w:bCs/>
        </w:rPr>
        <w:t>资格审查文件、商务技术文件、报价文件</w:t>
      </w:r>
    </w:p>
    <w:p>
      <w:pPr>
        <w:pStyle w:val="27"/>
        <w:snapToGrid w:val="0"/>
        <w:spacing w:before="156" w:after="156" w:line="360" w:lineRule="auto"/>
        <w:ind w:left="1190" w:hanging="1190" w:hangingChars="496"/>
        <w:rPr>
          <w:bCs/>
        </w:rPr>
      </w:pPr>
      <w:r>
        <w:rPr>
          <w:rFonts w:hint="eastAsia" w:hAnsi="宋体"/>
          <w:bCs/>
        </w:rPr>
        <w:t>磋商响应方名称：</w:t>
      </w:r>
    </w:p>
    <w:p>
      <w:pPr>
        <w:snapToGrid w:val="0"/>
        <w:spacing w:before="156" w:beforeLines="50" w:after="156" w:afterLines="50" w:line="360" w:lineRule="auto"/>
        <w:rPr>
          <w:rFonts w:ascii="宋体"/>
          <w:bCs/>
          <w:sz w:val="24"/>
        </w:rPr>
      </w:pPr>
      <w:r>
        <w:rPr>
          <w:rFonts w:hint="eastAsia" w:ascii="宋体" w:hAnsi="宋体"/>
          <w:bCs/>
          <w:sz w:val="24"/>
        </w:rPr>
        <w:t>磋商响应方地址：</w:t>
      </w:r>
    </w:p>
    <w:p>
      <w:pPr>
        <w:snapToGrid w:val="0"/>
        <w:spacing w:line="360" w:lineRule="auto"/>
        <w:ind w:firstLine="1068" w:firstLineChars="445"/>
        <w:rPr>
          <w:rFonts w:ascii="宋体" w:hAnsi="宋体" w:cs="宋体"/>
          <w:bCs/>
          <w:color w:val="0D0D0D"/>
          <w:sz w:val="24"/>
        </w:rPr>
      </w:pPr>
    </w:p>
    <w:p>
      <w:pPr>
        <w:snapToGrid w:val="0"/>
        <w:spacing w:line="360" w:lineRule="auto"/>
        <w:ind w:firstLine="1068" w:firstLineChars="445"/>
        <w:rPr>
          <w:rFonts w:ascii="宋体" w:hAnsi="宋体" w:cs="宋体"/>
          <w:bCs/>
          <w:color w:val="0D0D0D"/>
          <w:sz w:val="24"/>
        </w:rPr>
      </w:pPr>
      <w:r>
        <w:rPr>
          <w:rFonts w:hint="eastAsia" w:ascii="宋体" w:hAnsi="宋体" w:cs="宋体"/>
          <w:bCs/>
          <w:color w:val="0D0D0D"/>
          <w:sz w:val="24"/>
        </w:rPr>
        <w:t xml:space="preserve">在 </w:t>
      </w:r>
      <w:r>
        <w:rPr>
          <w:rFonts w:hint="eastAsia" w:ascii="宋体" w:hAnsi="宋体" w:cs="宋体"/>
          <w:bCs/>
          <w:color w:val="0D0D0D"/>
          <w:sz w:val="24"/>
          <w:lang w:eastAsia="zh-CN"/>
        </w:rPr>
        <w:t>2025年01月</w:t>
      </w:r>
      <w:r>
        <w:rPr>
          <w:rFonts w:hint="eastAsia" w:ascii="宋体" w:hAnsi="宋体" w:cs="宋体"/>
          <w:bCs/>
          <w:color w:val="0D0D0D"/>
          <w:sz w:val="24"/>
          <w:lang w:val="en-US" w:eastAsia="zh-CN"/>
        </w:rPr>
        <w:t>13</w:t>
      </w:r>
      <w:r>
        <w:rPr>
          <w:rFonts w:hint="eastAsia" w:ascii="宋体" w:hAnsi="宋体" w:cs="宋体"/>
          <w:bCs/>
          <w:color w:val="0D0D0D"/>
          <w:sz w:val="24"/>
        </w:rPr>
        <w:t>日14时00分之前不得启封</w:t>
      </w:r>
    </w:p>
    <w:p>
      <w:pPr>
        <w:snapToGrid w:val="0"/>
        <w:spacing w:before="156" w:beforeLines="50" w:after="50" w:line="360" w:lineRule="auto"/>
        <w:ind w:firstLine="645"/>
        <w:jc w:val="center"/>
        <w:rPr>
          <w:rFonts w:ascii="宋体"/>
          <w:sz w:val="24"/>
        </w:rPr>
      </w:pPr>
      <w:r>
        <w:rPr>
          <w:rFonts w:hint="eastAsia" w:ascii="宋体" w:hAnsi="宋体"/>
          <w:sz w:val="24"/>
        </w:rPr>
        <w:t xml:space="preserve">                                 年月日</w:t>
      </w:r>
    </w:p>
    <w:p>
      <w:pPr>
        <w:snapToGrid w:val="0"/>
        <w:spacing w:line="480" w:lineRule="exact"/>
        <w:outlineLvl w:val="1"/>
        <w:rPr>
          <w:rFonts w:ascii="宋体" w:hAnsi="宋体" w:cs="宋体"/>
          <w:b/>
          <w:bCs/>
          <w:sz w:val="24"/>
        </w:rPr>
      </w:pPr>
    </w:p>
    <w:p>
      <w:pPr>
        <w:snapToGrid w:val="0"/>
        <w:spacing w:line="480" w:lineRule="exact"/>
        <w:outlineLvl w:val="1"/>
        <w:rPr>
          <w:rFonts w:ascii="宋体" w:hAnsi="宋体" w:cs="宋体"/>
          <w:b/>
          <w:color w:val="0D0D0D"/>
          <w:sz w:val="24"/>
        </w:rPr>
      </w:pPr>
      <w:r>
        <w:rPr>
          <w:rFonts w:hint="eastAsia" w:ascii="宋体" w:hAnsi="宋体" w:cs="宋体"/>
          <w:b/>
          <w:bCs/>
          <w:sz w:val="24"/>
        </w:rPr>
        <w:t>2</w:t>
      </w:r>
      <w:r>
        <w:rPr>
          <w:rFonts w:hint="eastAsia" w:ascii="宋体" w:hAnsi="宋体" w:cs="宋体"/>
          <w:b/>
          <w:color w:val="0D0D0D"/>
          <w:sz w:val="24"/>
        </w:rPr>
        <w:t>.所有磋商文件封面格式：</w:t>
      </w:r>
    </w:p>
    <w:p>
      <w:pPr>
        <w:snapToGrid w:val="0"/>
        <w:spacing w:line="480" w:lineRule="exact"/>
        <w:ind w:firstLine="5736" w:firstLineChars="2390"/>
        <w:rPr>
          <w:rFonts w:ascii="宋体" w:hAnsi="宋体" w:cs="宋体"/>
          <w:b/>
          <w:bCs/>
          <w:color w:val="0D0D0D"/>
          <w:sz w:val="24"/>
        </w:rPr>
      </w:pPr>
      <w:r>
        <w:rPr>
          <w:rFonts w:hint="eastAsia" w:ascii="宋体" w:hAnsi="宋体" w:cs="宋体"/>
          <w:b/>
          <w:bCs/>
          <w:color w:val="0D0D0D"/>
          <w:sz w:val="24"/>
        </w:rPr>
        <w:t>正本/或副本</w:t>
      </w:r>
    </w:p>
    <w:p>
      <w:pPr>
        <w:pStyle w:val="27"/>
        <w:snapToGrid w:val="0"/>
        <w:spacing w:before="156" w:after="156" w:line="360" w:lineRule="auto"/>
        <w:ind w:left="1195" w:hanging="1190" w:hangingChars="496"/>
        <w:jc w:val="center"/>
        <w:rPr>
          <w:rFonts w:hAnsi="宋体" w:cs="宋体"/>
          <w:b/>
          <w:bCs/>
          <w:color w:val="0D0D0D"/>
          <w:szCs w:val="24"/>
        </w:rPr>
      </w:pPr>
      <w:r>
        <w:rPr>
          <w:rFonts w:hint="eastAsia" w:hAnsi="宋体" w:cs="宋体"/>
          <w:b/>
          <w:bCs/>
        </w:rPr>
        <w:t>资格审查文件、商务技术文件、报价文件</w:t>
      </w:r>
    </w:p>
    <w:p>
      <w:pPr>
        <w:pStyle w:val="27"/>
        <w:snapToGrid w:val="0"/>
        <w:spacing w:before="156" w:after="156" w:line="360" w:lineRule="auto"/>
        <w:ind w:left="1190" w:hanging="1190" w:hangingChars="496"/>
        <w:rPr>
          <w:rFonts w:hAnsi="宋体" w:cs="宋体"/>
          <w:szCs w:val="24"/>
        </w:rPr>
      </w:pPr>
      <w:r>
        <w:rPr>
          <w:rFonts w:hint="eastAsia" w:hAnsi="宋体" w:cs="宋体"/>
          <w:bCs/>
          <w:color w:val="0D0D0D"/>
          <w:szCs w:val="24"/>
        </w:rPr>
        <w:t>项目名称：</w:t>
      </w:r>
      <w:r>
        <w:rPr>
          <w:rFonts w:hint="eastAsia" w:hAnsi="宋体" w:cs="宋体"/>
          <w:szCs w:val="24"/>
        </w:rPr>
        <w:t>“新鲜水果进校园，助力学生健康成长”服务采购项目</w:t>
      </w:r>
    </w:p>
    <w:p>
      <w:pPr>
        <w:pStyle w:val="27"/>
        <w:snapToGrid w:val="0"/>
        <w:spacing w:before="156" w:after="156" w:line="360" w:lineRule="auto"/>
        <w:ind w:left="1190" w:hanging="1190" w:hangingChars="496"/>
        <w:rPr>
          <w:rFonts w:hint="eastAsia" w:hAnsi="宋体" w:eastAsia="宋体" w:cs="宋体"/>
          <w:bCs/>
          <w:color w:val="0D0D0D"/>
          <w:szCs w:val="24"/>
          <w:lang w:eastAsia="zh-CN"/>
        </w:rPr>
      </w:pPr>
      <w:r>
        <w:rPr>
          <w:rFonts w:hint="eastAsia" w:hAnsi="宋体" w:cs="宋体"/>
          <w:bCs/>
          <w:color w:val="0D0D0D"/>
          <w:szCs w:val="24"/>
        </w:rPr>
        <w:t>项目编号：</w:t>
      </w:r>
      <w:r>
        <w:rPr>
          <w:rFonts w:hint="eastAsia" w:hAnsi="宋体" w:cs="宋体"/>
          <w:bCs/>
          <w:szCs w:val="24"/>
          <w:lang w:eastAsia="zh-CN"/>
        </w:rPr>
        <w:t>JCZFCG2025-Q01-C498</w:t>
      </w:r>
    </w:p>
    <w:p>
      <w:pPr>
        <w:pStyle w:val="27"/>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rPr>
        <w:t>资格审查文件、商务技术文件、报价文件</w:t>
      </w:r>
    </w:p>
    <w:p>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磋商响应人名称：</w:t>
      </w:r>
    </w:p>
    <w:p>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磋商响应人地址：</w:t>
      </w:r>
    </w:p>
    <w:p>
      <w:pPr>
        <w:snapToGrid w:val="0"/>
        <w:spacing w:line="480" w:lineRule="exact"/>
        <w:ind w:firstLine="645"/>
        <w:jc w:val="center"/>
        <w:rPr>
          <w:rFonts w:ascii="宋体" w:hAnsi="宋体" w:cs="宋体"/>
          <w:color w:val="0D0D0D"/>
          <w:sz w:val="24"/>
        </w:rPr>
      </w:pPr>
      <w:r>
        <w:rPr>
          <w:rFonts w:hint="eastAsia" w:ascii="宋体" w:hAnsi="宋体" w:cs="宋体"/>
          <w:color w:val="0D0D0D"/>
          <w:sz w:val="24"/>
        </w:rPr>
        <w:t xml:space="preserve">          年  月  日</w:t>
      </w:r>
    </w:p>
    <w:p>
      <w:pPr>
        <w:snapToGrid w:val="0"/>
        <w:spacing w:line="360" w:lineRule="auto"/>
        <w:ind w:firstLine="470" w:firstLineChars="196"/>
        <w:jc w:val="left"/>
        <w:rPr>
          <w:rFonts w:ascii="宋体" w:hAnsi="宋体"/>
          <w:b/>
          <w:bCs/>
          <w:sz w:val="24"/>
        </w:rPr>
      </w:pPr>
    </w:p>
    <w:p>
      <w:pPr>
        <w:pStyle w:val="57"/>
        <w:spacing w:before="156"/>
        <w:rPr>
          <w:rFonts w:ascii="宋体" w:hAnsi="宋体"/>
          <w:b/>
          <w:bCs/>
        </w:rPr>
      </w:pPr>
    </w:p>
    <w:p>
      <w:pPr>
        <w:rPr>
          <w:rFonts w:ascii="宋体" w:hAnsi="宋体" w:cs="宋体"/>
          <w:b/>
          <w:sz w:val="24"/>
        </w:rPr>
      </w:pPr>
      <w:r>
        <w:rPr>
          <w:rFonts w:hint="eastAsia" w:ascii="宋体" w:hAnsi="宋体" w:cs="宋体"/>
          <w:b/>
          <w:sz w:val="24"/>
        </w:rPr>
        <w:br w:type="page"/>
      </w:r>
    </w:p>
    <w:p>
      <w:pPr>
        <w:snapToGrid w:val="0"/>
        <w:spacing w:line="360" w:lineRule="auto"/>
        <w:jc w:val="left"/>
        <w:rPr>
          <w:rFonts w:ascii="宋体" w:hAnsi="宋体" w:cs="宋体"/>
          <w:b/>
          <w:sz w:val="24"/>
        </w:rPr>
      </w:pPr>
      <w:r>
        <w:rPr>
          <w:rFonts w:hint="eastAsia" w:ascii="宋体" w:hAnsi="宋体" w:cs="宋体"/>
          <w:b/>
          <w:sz w:val="24"/>
        </w:rPr>
        <w:t>1.资格审查文件目录：</w:t>
      </w:r>
    </w:p>
    <w:p>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pPr>
        <w:spacing w:line="360" w:lineRule="auto"/>
        <w:rPr>
          <w:rFonts w:ascii="宋体" w:hAnsi="宋体" w:cs="宋体"/>
          <w:b/>
          <w:sz w:val="24"/>
        </w:rPr>
      </w:pPr>
      <w:r>
        <w:rPr>
          <w:rFonts w:hint="eastAsia" w:ascii="宋体" w:hAnsi="宋体" w:cs="宋体"/>
          <w:b/>
          <w:bCs/>
          <w:sz w:val="24"/>
        </w:rPr>
        <w:t>2、商务技术文件</w:t>
      </w:r>
      <w:r>
        <w:rPr>
          <w:rFonts w:hint="eastAsia" w:ascii="宋体" w:hAnsi="宋体" w:cs="宋体"/>
          <w:b/>
          <w:sz w:val="24"/>
        </w:rPr>
        <w:t>目录：</w:t>
      </w:r>
    </w:p>
    <w:p>
      <w:pPr>
        <w:snapToGrid w:val="0"/>
        <w:spacing w:line="360" w:lineRule="auto"/>
        <w:ind w:firstLine="480" w:firstLineChars="200"/>
        <w:rPr>
          <w:rFonts w:ascii="宋体" w:hAnsi="宋体" w:cs="宋体"/>
          <w:sz w:val="24"/>
        </w:rPr>
      </w:pPr>
      <w:r>
        <w:rPr>
          <w:rFonts w:hint="eastAsia" w:ascii="宋体" w:hAnsi="宋体" w:cs="宋体"/>
          <w:sz w:val="24"/>
        </w:rPr>
        <w:t>（1）评分响应表（格式见附件2.3）；</w:t>
      </w:r>
    </w:p>
    <w:p>
      <w:pPr>
        <w:snapToGrid w:val="0"/>
        <w:spacing w:line="360" w:lineRule="auto"/>
        <w:ind w:firstLine="480" w:firstLineChars="200"/>
        <w:rPr>
          <w:rFonts w:ascii="宋体" w:hAnsi="宋体" w:cs="宋体"/>
          <w:sz w:val="24"/>
        </w:rPr>
      </w:pPr>
      <w:r>
        <w:rPr>
          <w:rFonts w:hint="eastAsia" w:ascii="宋体" w:hAnsi="宋体" w:cs="宋体"/>
          <w:sz w:val="24"/>
        </w:rPr>
        <w:t>（2）竞争性磋商响应书（格式见附件2.4）；</w:t>
      </w:r>
    </w:p>
    <w:p>
      <w:pPr>
        <w:snapToGrid w:val="0"/>
        <w:spacing w:line="360" w:lineRule="auto"/>
        <w:ind w:firstLine="470" w:firstLineChars="196"/>
        <w:jc w:val="left"/>
        <w:rPr>
          <w:rFonts w:ascii="宋体" w:hAnsi="宋体" w:cs="宋体"/>
          <w:sz w:val="24"/>
        </w:rPr>
      </w:pPr>
      <w:r>
        <w:rPr>
          <w:rFonts w:hint="eastAsia" w:ascii="宋体" w:hAnsi="宋体" w:cs="宋体"/>
          <w:sz w:val="24"/>
        </w:rPr>
        <w:t>（3）法定代表人授权委托书(格式见附件2.5)；</w:t>
      </w:r>
    </w:p>
    <w:p>
      <w:pPr>
        <w:snapToGrid w:val="0"/>
        <w:spacing w:line="360" w:lineRule="auto"/>
        <w:ind w:firstLine="470" w:firstLineChars="196"/>
        <w:jc w:val="left"/>
        <w:rPr>
          <w:rFonts w:ascii="宋体" w:hAnsi="宋体" w:cs="宋体"/>
          <w:sz w:val="24"/>
        </w:rPr>
      </w:pPr>
      <w:r>
        <w:rPr>
          <w:rFonts w:hint="eastAsia" w:ascii="宋体" w:hAnsi="宋体" w:cs="宋体"/>
          <w:sz w:val="24"/>
        </w:rPr>
        <w:t>（4）磋商响应方情况表(格式见附件2.6)；</w:t>
      </w:r>
    </w:p>
    <w:p>
      <w:pPr>
        <w:snapToGrid w:val="0"/>
        <w:spacing w:line="360" w:lineRule="auto"/>
        <w:ind w:firstLine="470" w:firstLineChars="196"/>
        <w:jc w:val="left"/>
        <w:rPr>
          <w:rFonts w:ascii="宋体" w:hAnsi="宋体" w:cs="宋体"/>
          <w:sz w:val="24"/>
        </w:rPr>
      </w:pPr>
      <w:r>
        <w:rPr>
          <w:rFonts w:hint="eastAsia" w:ascii="宋体" w:hAnsi="宋体" w:cs="宋体"/>
          <w:sz w:val="24"/>
        </w:rPr>
        <w:t>（5）营业执照副本复印件；</w:t>
      </w:r>
    </w:p>
    <w:p>
      <w:pPr>
        <w:snapToGrid w:val="0"/>
        <w:spacing w:line="360" w:lineRule="auto"/>
        <w:ind w:firstLine="480" w:firstLineChars="200"/>
        <w:jc w:val="left"/>
        <w:rPr>
          <w:rFonts w:ascii="宋体" w:hAnsi="宋体" w:cs="宋体"/>
          <w:sz w:val="24"/>
        </w:rPr>
      </w:pPr>
      <w:r>
        <w:rPr>
          <w:rFonts w:hint="eastAsia" w:ascii="宋体" w:hAnsi="宋体" w:cs="宋体"/>
          <w:sz w:val="24"/>
        </w:rPr>
        <w:t>（6）磋商响应方项目负责人及实施人员情况一览表（表格见附件2.7）；</w:t>
      </w:r>
    </w:p>
    <w:p>
      <w:pPr>
        <w:snapToGrid w:val="0"/>
        <w:spacing w:line="360" w:lineRule="auto"/>
        <w:ind w:firstLine="470" w:firstLineChars="196"/>
        <w:jc w:val="left"/>
        <w:rPr>
          <w:rFonts w:ascii="宋体" w:hAnsi="宋体" w:cs="宋体"/>
          <w:sz w:val="24"/>
        </w:rPr>
      </w:pPr>
      <w:r>
        <w:rPr>
          <w:rFonts w:hint="eastAsia" w:ascii="宋体" w:hAnsi="宋体" w:cs="宋体"/>
          <w:sz w:val="24"/>
        </w:rPr>
        <w:t>（7）磋商响应方成功实施的同类项目的业绩或者案例(格式见附件2.8)；</w:t>
      </w:r>
    </w:p>
    <w:p>
      <w:pPr>
        <w:snapToGrid w:val="0"/>
        <w:spacing w:line="360" w:lineRule="auto"/>
        <w:ind w:firstLine="470" w:firstLineChars="196"/>
        <w:jc w:val="left"/>
        <w:rPr>
          <w:rFonts w:ascii="宋体" w:hAnsi="宋体" w:cs="宋体"/>
          <w:sz w:val="24"/>
        </w:rPr>
      </w:pPr>
      <w:r>
        <w:rPr>
          <w:rFonts w:hint="eastAsia" w:ascii="宋体" w:hAnsi="宋体" w:cs="宋体"/>
          <w:sz w:val="24"/>
        </w:rPr>
        <w:t>（8）项目实施计划及供货方案；</w:t>
      </w:r>
    </w:p>
    <w:p>
      <w:pPr>
        <w:snapToGrid w:val="0"/>
        <w:spacing w:line="360" w:lineRule="auto"/>
        <w:ind w:firstLine="470" w:firstLineChars="196"/>
        <w:jc w:val="left"/>
        <w:rPr>
          <w:rFonts w:ascii="宋体"/>
          <w:sz w:val="24"/>
        </w:rPr>
      </w:pPr>
      <w:r>
        <w:rPr>
          <w:rFonts w:hint="eastAsia" w:ascii="宋体" w:hAnsi="宋体" w:cs="宋体"/>
          <w:color w:val="0D0D0D"/>
          <w:sz w:val="24"/>
        </w:rPr>
        <w:t>（9）技术服务方案；</w:t>
      </w:r>
    </w:p>
    <w:p>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0）</w:t>
      </w:r>
      <w:r>
        <w:rPr>
          <w:rFonts w:hint="eastAsia" w:ascii="宋体"/>
          <w:sz w:val="24"/>
        </w:rPr>
        <w:t>商务响应表（格式见附件2.9）；</w:t>
      </w:r>
    </w:p>
    <w:p>
      <w:pPr>
        <w:snapToGrid w:val="0"/>
        <w:spacing w:line="360" w:lineRule="auto"/>
        <w:ind w:firstLine="480" w:firstLineChars="200"/>
        <w:jc w:val="left"/>
        <w:rPr>
          <w:rFonts w:ascii="宋体"/>
          <w:sz w:val="24"/>
        </w:rPr>
      </w:pPr>
      <w:r>
        <w:rPr>
          <w:rFonts w:hint="eastAsia" w:ascii="宋体"/>
          <w:sz w:val="24"/>
        </w:rPr>
        <w:t>（11）</w:t>
      </w:r>
      <w:r>
        <w:rPr>
          <w:rFonts w:hint="eastAsia"/>
          <w:sz w:val="24"/>
        </w:rPr>
        <w:t>技术响应表（格式见附件</w:t>
      </w:r>
      <w:r>
        <w:rPr>
          <w:rFonts w:hint="eastAsia" w:ascii="宋体" w:hAnsi="宋体" w:cs="宋体"/>
          <w:sz w:val="24"/>
        </w:rPr>
        <w:t>2.10</w:t>
      </w:r>
      <w:r>
        <w:rPr>
          <w:rFonts w:hint="eastAsia"/>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（12）磋商响应产品服务计划表（格式见附件2.11）；</w:t>
      </w:r>
    </w:p>
    <w:p>
      <w:pPr>
        <w:snapToGrid w:val="0"/>
        <w:spacing w:line="360" w:lineRule="auto"/>
        <w:ind w:firstLine="470" w:firstLineChars="196"/>
        <w:jc w:val="left"/>
        <w:rPr>
          <w:rFonts w:ascii="宋体" w:hAnsi="宋体" w:cs="宋体"/>
          <w:sz w:val="24"/>
        </w:rPr>
      </w:pPr>
      <w:r>
        <w:rPr>
          <w:rFonts w:hint="eastAsia" w:ascii="宋体" w:hAnsi="宋体" w:cs="宋体"/>
          <w:sz w:val="24"/>
        </w:rPr>
        <w:t>（13）响应该项目的优势及自我评价；</w:t>
      </w:r>
    </w:p>
    <w:p>
      <w:pPr>
        <w:snapToGrid w:val="0"/>
        <w:spacing w:line="360" w:lineRule="auto"/>
        <w:ind w:left="480"/>
        <w:jc w:val="left"/>
        <w:rPr>
          <w:rFonts w:ascii="宋体" w:hAnsi="宋体" w:cs="宋体"/>
          <w:sz w:val="24"/>
        </w:rPr>
      </w:pPr>
      <w:r>
        <w:rPr>
          <w:rFonts w:hint="eastAsia" w:ascii="宋体" w:hAnsi="宋体" w:cs="宋体"/>
          <w:sz w:val="24"/>
        </w:rPr>
        <w:t>（14）拟投入本项目的设备（格式见附件2.12）；</w:t>
      </w:r>
    </w:p>
    <w:p>
      <w:pPr>
        <w:snapToGrid w:val="0"/>
        <w:spacing w:line="360" w:lineRule="auto"/>
        <w:ind w:firstLine="470" w:firstLineChars="196"/>
        <w:jc w:val="left"/>
        <w:rPr>
          <w:rFonts w:ascii="宋体" w:hAnsi="宋体" w:cs="宋体"/>
          <w:sz w:val="24"/>
        </w:rPr>
      </w:pPr>
      <w:r>
        <w:rPr>
          <w:rFonts w:hint="eastAsia" w:ascii="宋体" w:hAnsi="宋体" w:cs="宋体"/>
          <w:sz w:val="24"/>
        </w:rPr>
        <w:t>（15）优惠条件：磋商响应人承诺给予</w:t>
      </w:r>
      <w:r>
        <w:rPr>
          <w:rFonts w:hint="eastAsia" w:ascii="宋体" w:hAnsi="宋体" w:cs="宋体"/>
          <w:bCs/>
          <w:sz w:val="24"/>
        </w:rPr>
        <w:t>磋商</w:t>
      </w:r>
      <w:r>
        <w:rPr>
          <w:rFonts w:hint="eastAsia" w:ascii="宋体" w:hAnsi="宋体" w:cs="宋体"/>
          <w:sz w:val="24"/>
        </w:rPr>
        <w:t>人的各种优惠条件，包括售后服务、服务网点、备品备件、专用耗材等方面的优惠；</w:t>
      </w:r>
    </w:p>
    <w:p>
      <w:pPr>
        <w:snapToGrid w:val="0"/>
        <w:spacing w:line="360" w:lineRule="auto"/>
        <w:ind w:firstLine="470" w:firstLineChars="196"/>
        <w:jc w:val="left"/>
        <w:rPr>
          <w:rFonts w:ascii="宋体" w:hAnsi="宋体" w:cs="宋体"/>
          <w:sz w:val="24"/>
        </w:rPr>
      </w:pPr>
      <w:r>
        <w:rPr>
          <w:rFonts w:hint="eastAsia" w:ascii="宋体" w:hAnsi="宋体" w:cs="宋体"/>
          <w:sz w:val="24"/>
        </w:rPr>
        <w:t>（16）磋商响应方认为需要提供的其他响应文件和资料。</w:t>
      </w:r>
    </w:p>
    <w:p>
      <w:pPr>
        <w:ind w:firstLine="480" w:firstLineChars="200"/>
        <w:rPr>
          <w:rFonts w:ascii="宋体" w:hAnsi="宋体" w:cs="宋体"/>
          <w:b/>
          <w:bCs/>
          <w:sz w:val="24"/>
        </w:rPr>
      </w:pPr>
      <w:r>
        <w:rPr>
          <w:rFonts w:hint="eastAsia" w:ascii="宋体" w:hAnsi="宋体" w:cs="宋体"/>
          <w:b/>
          <w:bCs/>
          <w:sz w:val="24"/>
        </w:rPr>
        <w:br w:type="page"/>
      </w:r>
    </w:p>
    <w:p>
      <w:pPr>
        <w:pageBreakBefore/>
        <w:spacing w:line="360" w:lineRule="auto"/>
        <w:outlineLvl w:val="1"/>
        <w:rPr>
          <w:rFonts w:ascii="宋体" w:hAnsi="宋体" w:cs="宋体"/>
          <w:b/>
          <w:sz w:val="24"/>
        </w:rPr>
      </w:pPr>
      <w:bookmarkStart w:id="10" w:name="_Toc19515"/>
      <w:bookmarkStart w:id="11" w:name="_Toc24603"/>
      <w:bookmarkStart w:id="12" w:name="_Toc2801"/>
      <w:bookmarkStart w:id="13" w:name="_Toc14307"/>
      <w:r>
        <w:rPr>
          <w:rFonts w:hint="eastAsia" w:ascii="宋体" w:hAnsi="宋体" w:cs="宋体"/>
          <w:b/>
          <w:sz w:val="24"/>
        </w:rPr>
        <w:t>2.1磋商声明书</w:t>
      </w:r>
      <w:bookmarkEnd w:id="10"/>
      <w:bookmarkEnd w:id="11"/>
      <w:bookmarkEnd w:id="12"/>
      <w:bookmarkEnd w:id="13"/>
    </w:p>
    <w:p>
      <w:pPr>
        <w:snapToGrid w:val="0"/>
        <w:spacing w:before="156" w:beforeLines="50" w:after="50" w:line="276" w:lineRule="auto"/>
        <w:jc w:val="center"/>
        <w:rPr>
          <w:rFonts w:ascii="宋体" w:hAnsi="宋体" w:cs="宋体"/>
          <w:b/>
          <w:sz w:val="24"/>
        </w:rPr>
      </w:pPr>
      <w:r>
        <w:rPr>
          <w:rFonts w:hint="eastAsia" w:ascii="宋体" w:hAnsi="宋体" w:cs="宋体"/>
          <w:b/>
          <w:sz w:val="24"/>
        </w:rPr>
        <w:t>磋商声明书</w:t>
      </w:r>
    </w:p>
    <w:p>
      <w:pPr>
        <w:snapToGrid w:val="0"/>
        <w:spacing w:before="156"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snapToGrid w:val="0"/>
        <w:spacing w:before="156" w:beforeLines="50" w:after="50" w:line="276" w:lineRule="auto"/>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276"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（供应商名称）的法定代表人，我方愿意参加贵方组织的 </w:t>
      </w:r>
      <w:r>
        <w:rPr>
          <w:rFonts w:hint="eastAsia" w:ascii="宋体" w:hAnsi="宋体" w:cs="宋体"/>
          <w:sz w:val="24"/>
          <w:u w:val="single"/>
        </w:rPr>
        <w:t xml:space="preserve">                    </w:t>
      </w:r>
      <w:r>
        <w:rPr>
          <w:rFonts w:hint="eastAsia" w:ascii="宋体" w:hAnsi="宋体" w:cs="宋体"/>
          <w:sz w:val="24"/>
        </w:rPr>
        <w:t xml:space="preserve"> 项目的磋商，为便于贵方公正、择优地确定中标人及其磋商服务，我方就本次磋商有关事项郑重声明如下：</w:t>
      </w:r>
    </w:p>
    <w:p>
      <w:pPr>
        <w:spacing w:line="360" w:lineRule="auto"/>
        <w:ind w:firstLine="480" w:firstLineChars="200"/>
        <w:rPr>
          <w:rFonts w:ascii="宋体" w:hAnsi="宋体" w:cs="宋体"/>
          <w:sz w:val="24"/>
        </w:rPr>
      </w:pPr>
      <w:r>
        <w:rPr>
          <w:rFonts w:hint="eastAsia" w:ascii="宋体" w:hAnsi="宋体" w:cs="宋体"/>
          <w:sz w:val="24"/>
        </w:rPr>
        <w:t>1.我方向贵方提交的所有磋商响应文件、资料都是准确的和真实的。若有违背，我公司愿为由此而产生的一切后果负责。</w:t>
      </w:r>
    </w:p>
    <w:p>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before="156" w:beforeLines="50" w:line="276" w:lineRule="auto"/>
        <w:ind w:firstLine="480" w:firstLineChars="200"/>
        <w:rPr>
          <w:rFonts w:ascii="宋体" w:hAnsi="宋体" w:cs="宋体"/>
          <w:sz w:val="24"/>
        </w:rPr>
      </w:pPr>
      <w:r>
        <w:rPr>
          <w:rFonts w:hint="eastAsia" w:ascii="宋体" w:hAnsi="宋体" w:cs="宋体"/>
          <w:sz w:val="24"/>
        </w:rPr>
        <w:t>3. 我方诚意提请贵方关注：近期有</w:t>
      </w:r>
      <w:r>
        <w:rPr>
          <w:rFonts w:hint="eastAsia" w:ascii="宋体" w:hAnsi="宋体" w:cs="宋体"/>
          <w:sz w:val="24"/>
          <w:u w:val="single"/>
        </w:rPr>
        <w:t xml:space="preserve">                   （采购内容）</w:t>
      </w:r>
      <w:r>
        <w:rPr>
          <w:rFonts w:hint="eastAsia" w:ascii="宋体" w:hAnsi="宋体" w:cs="宋体"/>
          <w:sz w:val="24"/>
        </w:rPr>
        <w:t>等方面的重大决策和事项有：</w:t>
      </w:r>
    </w:p>
    <w:p>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pPr>
        <w:snapToGrid w:val="0"/>
        <w:spacing w:before="156" w:beforeLines="50" w:line="276" w:lineRule="auto"/>
        <w:ind w:firstLine="480" w:firstLineChars="200"/>
        <w:rPr>
          <w:rFonts w:ascii="宋体" w:hAnsi="宋体" w:cs="宋体"/>
          <w:sz w:val="24"/>
        </w:rPr>
      </w:pPr>
      <w:r>
        <w:rPr>
          <w:rFonts w:hint="eastAsia" w:ascii="宋体" w:hAnsi="宋体" w:cs="宋体"/>
          <w:sz w:val="24"/>
          <w:u w:val="single"/>
        </w:rPr>
        <w:t>　　　　　　　　　　　　　　　　　　　　　　　　　　　</w:t>
      </w:r>
    </w:p>
    <w:p>
      <w:pPr>
        <w:snapToGrid w:val="0"/>
        <w:spacing w:after="120" w:line="276" w:lineRule="auto"/>
        <w:ind w:left="420" w:leftChars="200"/>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pPr>
        <w:snapToGrid w:val="0"/>
        <w:spacing w:line="276"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tabs>
          <w:tab w:val="left" w:pos="939"/>
        </w:tabs>
        <w:snapToGrid w:val="0"/>
        <w:spacing w:line="276" w:lineRule="auto"/>
        <w:ind w:left="773" w:leftChars="150" w:hanging="458" w:hangingChars="191"/>
        <w:rPr>
          <w:rFonts w:ascii="宋体" w:hAnsi="宋体" w:cs="宋体"/>
          <w:sz w:val="24"/>
        </w:rPr>
      </w:pPr>
    </w:p>
    <w:p>
      <w:pPr>
        <w:snapToGrid w:val="0"/>
        <w:spacing w:before="156" w:beforeLines="50" w:line="276" w:lineRule="auto"/>
        <w:ind w:firstLine="200"/>
        <w:rPr>
          <w:rFonts w:ascii="宋体" w:hAnsi="宋体" w:cs="宋体"/>
          <w:sz w:val="24"/>
        </w:rPr>
      </w:pPr>
    </w:p>
    <w:p>
      <w:pPr>
        <w:snapToGrid w:val="0"/>
        <w:spacing w:before="156" w:beforeLines="50" w:line="276" w:lineRule="auto"/>
        <w:ind w:firstLine="319" w:firstLineChars="133"/>
        <w:rPr>
          <w:rFonts w:ascii="宋体" w:hAnsi="宋体" w:cs="宋体"/>
          <w:sz w:val="24"/>
          <w:u w:val="single"/>
        </w:rPr>
      </w:pPr>
      <w:r>
        <w:rPr>
          <w:rFonts w:hint="eastAsia" w:ascii="宋体" w:hAnsi="宋体" w:cs="宋体"/>
          <w:sz w:val="24"/>
        </w:rPr>
        <w:t>法定代表人或委托代理人签字：</w:t>
      </w:r>
      <w:r>
        <w:rPr>
          <w:rFonts w:hint="eastAsia" w:ascii="宋体" w:hAnsi="宋体" w:cs="宋体"/>
          <w:sz w:val="24"/>
          <w:u w:val="single"/>
        </w:rPr>
        <w:t xml:space="preserve">             </w:t>
      </w:r>
    </w:p>
    <w:p>
      <w:pPr>
        <w:snapToGrid w:val="0"/>
        <w:spacing w:before="156" w:beforeLines="50" w:after="50" w:line="276" w:lineRule="auto"/>
        <w:ind w:firstLine="360" w:firstLineChars="150"/>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56" w:beforeLines="50" w:after="50" w:line="276" w:lineRule="auto"/>
        <w:ind w:firstLine="6240" w:firstLineChars="2600"/>
        <w:rPr>
          <w:rFonts w:ascii="宋体" w:hAnsi="宋体" w:cs="宋体"/>
          <w:sz w:val="24"/>
        </w:rPr>
      </w:pPr>
      <w:r>
        <w:rPr>
          <w:rFonts w:hint="eastAsia" w:ascii="宋体" w:hAnsi="宋体" w:cs="宋体"/>
          <w:sz w:val="24"/>
        </w:rPr>
        <w:t>年    月    日</w:t>
      </w:r>
      <w:bookmarkStart w:id="14" w:name="_Toc30843"/>
      <w:bookmarkStart w:id="15" w:name="_Toc3669"/>
      <w:bookmarkStart w:id="16" w:name="_Toc25066"/>
      <w:bookmarkStart w:id="17" w:name="_Toc5501"/>
      <w:bookmarkStart w:id="18" w:name="_Toc24340"/>
      <w:bookmarkStart w:id="19" w:name="_Toc23315"/>
      <w:bookmarkStart w:id="20" w:name="_Toc8399"/>
      <w:bookmarkStart w:id="21" w:name="_Toc10320"/>
      <w:bookmarkStart w:id="22" w:name="_Toc16938"/>
    </w:p>
    <w:p>
      <w:pPr>
        <w:snapToGrid w:val="0"/>
        <w:spacing w:before="156" w:beforeLines="50" w:after="50" w:line="276" w:lineRule="auto"/>
        <w:jc w:val="center"/>
        <w:rPr>
          <w:rFonts w:ascii="宋体" w:hAnsi="宋体" w:cs="宋体"/>
          <w:b/>
          <w:sz w:val="24"/>
        </w:rPr>
      </w:pPr>
      <w:r>
        <w:rPr>
          <w:rFonts w:hint="eastAsia" w:ascii="宋体" w:hAnsi="宋体" w:cs="宋体"/>
          <w:sz w:val="24"/>
        </w:rPr>
        <w:br w:type="page"/>
      </w:r>
      <w:bookmarkEnd w:id="14"/>
      <w:bookmarkEnd w:id="15"/>
      <w:bookmarkEnd w:id="16"/>
      <w:bookmarkEnd w:id="17"/>
      <w:bookmarkEnd w:id="18"/>
      <w:bookmarkEnd w:id="19"/>
      <w:bookmarkEnd w:id="20"/>
      <w:bookmarkEnd w:id="21"/>
      <w:bookmarkEnd w:id="22"/>
    </w:p>
    <w:p>
      <w:pPr>
        <w:pageBreakBefore/>
        <w:spacing w:line="360" w:lineRule="auto"/>
        <w:outlineLvl w:val="1"/>
        <w:rPr>
          <w:rFonts w:ascii="宋体" w:hAnsi="宋体" w:cs="宋体"/>
          <w:b/>
          <w:sz w:val="24"/>
        </w:rPr>
      </w:pPr>
      <w:bookmarkStart w:id="23" w:name="_Toc13442"/>
      <w:bookmarkStart w:id="24" w:name="_Toc15842"/>
      <w:bookmarkStart w:id="25" w:name="_Toc14899"/>
      <w:bookmarkStart w:id="26" w:name="_Toc13405"/>
      <w:r>
        <w:rPr>
          <w:rFonts w:hint="eastAsia" w:ascii="宋体" w:hAnsi="宋体" w:cs="宋体"/>
          <w:b/>
          <w:sz w:val="24"/>
        </w:rPr>
        <w:t>2.2：中小企业声明函</w:t>
      </w:r>
      <w:bookmarkEnd w:id="23"/>
      <w:bookmarkEnd w:id="24"/>
      <w:bookmarkEnd w:id="25"/>
      <w:bookmarkEnd w:id="26"/>
    </w:p>
    <w:p>
      <w:pPr>
        <w:spacing w:after="120"/>
        <w:ind w:left="420" w:leftChars="200"/>
      </w:pPr>
    </w:p>
    <w:p>
      <w:pPr>
        <w:tabs>
          <w:tab w:val="left" w:pos="420"/>
        </w:tabs>
        <w:ind w:firstLine="480" w:firstLineChars="200"/>
        <w:jc w:val="center"/>
        <w:rPr>
          <w:rFonts w:ascii="宋体" w:hAnsi="宋体" w:cs="Arial"/>
          <w:b/>
          <w:bCs/>
          <w:kern w:val="0"/>
          <w:sz w:val="24"/>
        </w:rPr>
      </w:pPr>
      <w:r>
        <w:rPr>
          <w:rFonts w:hint="eastAsia" w:ascii="宋体" w:hAnsi="宋体" w:cs="Arial"/>
          <w:b/>
          <w:bCs/>
          <w:kern w:val="0"/>
          <w:sz w:val="24"/>
        </w:rPr>
        <w:t>中小企业声明函（服务）</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pPr>
        <w:spacing w:line="500" w:lineRule="exact"/>
        <w:rPr>
          <w:rFonts w:ascii="宋体"/>
          <w:sz w:val="24"/>
        </w:rPr>
      </w:pPr>
      <w:r>
        <w:rPr>
          <w:rFonts w:hint="eastAsia" w:ascii="宋体" w:hAnsi="宋体"/>
          <w:b/>
          <w:szCs w:val="21"/>
        </w:rPr>
        <w:t>2、如中标人声明为小微企业，本声明函将随中标结果同时公告，接受社会监督。</w:t>
      </w:r>
    </w:p>
    <w:p>
      <w:pPr>
        <w:spacing w:line="360" w:lineRule="auto"/>
        <w:rPr>
          <w:rFonts w:ascii="宋体" w:hAnsi="宋体" w:cs="宋体"/>
          <w:b/>
          <w:bCs/>
          <w:sz w:val="24"/>
        </w:rPr>
      </w:pPr>
    </w:p>
    <w:p>
      <w:pPr>
        <w:rPr>
          <w:rFonts w:ascii="宋体" w:hAnsi="宋体"/>
          <w:b/>
          <w:sz w:val="24"/>
        </w:rPr>
      </w:pPr>
      <w:r>
        <w:rPr>
          <w:rFonts w:hint="eastAsia" w:ascii="宋体" w:hAnsi="宋体"/>
          <w:b/>
          <w:sz w:val="24"/>
        </w:rPr>
        <w:br w:type="page"/>
      </w:r>
    </w:p>
    <w:p>
      <w:pPr>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3 评分响应表格式：</w:t>
      </w:r>
    </w:p>
    <w:p>
      <w:pPr>
        <w:snapToGrid w:val="0"/>
        <w:spacing w:before="50" w:after="50" w:line="400" w:lineRule="exact"/>
        <w:rPr>
          <w:rFonts w:ascii="宋体"/>
          <w:b/>
          <w:sz w:val="24"/>
          <w:u w:val="single"/>
        </w:rPr>
      </w:pPr>
      <w:r>
        <w:rPr>
          <w:rFonts w:hint="eastAsia" w:ascii="宋体" w:hAnsi="宋体"/>
          <w:b/>
          <w:sz w:val="24"/>
        </w:rPr>
        <w:t xml:space="preserve">项目名称：                                                </w:t>
      </w:r>
    </w:p>
    <w:tbl>
      <w:tblPr>
        <w:tblStyle w:val="47"/>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69"/>
        <w:gridCol w:w="2673"/>
        <w:gridCol w:w="996"/>
        <w:gridCol w:w="2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序号</w:t>
            </w:r>
          </w:p>
        </w:tc>
        <w:tc>
          <w:tcPr>
            <w:tcW w:w="1769"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评审内容</w:t>
            </w:r>
          </w:p>
        </w:tc>
        <w:tc>
          <w:tcPr>
            <w:tcW w:w="2673"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left="367" w:leftChars="175" w:firstLine="482"/>
              <w:rPr>
                <w:rFonts w:ascii="宋体" w:eastAsia="宋体"/>
                <w:b/>
                <w:bCs/>
                <w:color w:val="auto"/>
                <w:szCs w:val="24"/>
              </w:rPr>
            </w:pPr>
            <w:r>
              <w:rPr>
                <w:rFonts w:hint="eastAsia" w:ascii="宋体" w:eastAsia="宋体"/>
                <w:b/>
                <w:bCs/>
                <w:color w:val="auto"/>
                <w:szCs w:val="24"/>
              </w:rPr>
              <w:t>评分标准</w:t>
            </w:r>
          </w:p>
        </w:tc>
        <w:tc>
          <w:tcPr>
            <w:tcW w:w="996"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分值</w:t>
            </w:r>
          </w:p>
        </w:tc>
        <w:tc>
          <w:tcPr>
            <w:tcW w:w="2860" w:type="dxa"/>
            <w:tcBorders>
              <w:top w:val="single" w:color="auto" w:sz="4" w:space="0"/>
              <w:left w:val="single" w:color="auto" w:sz="4" w:space="0"/>
              <w:bottom w:val="single" w:color="auto" w:sz="4" w:space="0"/>
            </w:tcBorders>
            <w:vAlign w:val="center"/>
          </w:tcPr>
          <w:p>
            <w:pPr>
              <w:pStyle w:val="38"/>
              <w:spacing w:line="400" w:lineRule="exact"/>
              <w:ind w:left="480" w:firstLine="482"/>
              <w:rPr>
                <w:rFonts w:ascii="宋体" w:eastAsia="宋体"/>
                <w:b/>
                <w:bCs/>
                <w:color w:val="auto"/>
                <w:szCs w:val="24"/>
              </w:rPr>
            </w:pPr>
            <w:r>
              <w:rPr>
                <w:rFonts w:hint="eastAsia" w:ascii="宋体" w:eastAsia="宋体"/>
                <w:b/>
                <w:bCs/>
                <w:color w:val="auto"/>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pPr>
              <w:spacing w:line="400" w:lineRule="exact"/>
              <w:rPr>
                <w:rFonts w:ascii="宋体"/>
                <w:sz w:val="24"/>
              </w:rPr>
            </w:pPr>
          </w:p>
        </w:tc>
        <w:tc>
          <w:tcPr>
            <w:tcW w:w="996" w:type="dxa"/>
            <w:tcBorders>
              <w:top w:val="single" w:color="auto" w:sz="4" w:space="0"/>
              <w:left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tcBorders>
            <w:vAlign w:val="center"/>
          </w:tcPr>
          <w:p>
            <w:pPr>
              <w:spacing w:line="400" w:lineRule="exact"/>
              <w:jc w:val="center"/>
              <w:rPr>
                <w:rFonts w:ascii="宋体"/>
                <w:bCs/>
                <w:sz w:val="24"/>
              </w:rPr>
            </w:pPr>
            <w:r>
              <w:rPr>
                <w:rFonts w:hint="eastAsia" w:ascii="宋体" w:hAnsi="宋体"/>
                <w:bCs/>
                <w:sz w:val="24"/>
              </w:rPr>
              <w:t>详见资信商务及技术文件第几页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pPr>
              <w:spacing w:line="400" w:lineRule="exact"/>
              <w:rPr>
                <w:rFonts w:ascii="宋体" w:cs="宋体"/>
                <w:sz w:val="24"/>
              </w:rPr>
            </w:pPr>
          </w:p>
        </w:tc>
        <w:tc>
          <w:tcPr>
            <w:tcW w:w="996" w:type="dxa"/>
            <w:tcBorders>
              <w:top w:val="single" w:color="auto" w:sz="4" w:space="0"/>
              <w:left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tcBorders>
            <w:vAlign w:val="center"/>
          </w:tcPr>
          <w:p>
            <w:pPr>
              <w:spacing w:line="400" w:lineRule="exact"/>
              <w:jc w:val="center"/>
              <w:rPr>
                <w:rFonts w:asci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w:t>
            </w:r>
          </w:p>
        </w:tc>
        <w:tc>
          <w:tcPr>
            <w:tcW w:w="1769" w:type="dxa"/>
            <w:tcBorders>
              <w:left w:val="single" w:color="auto" w:sz="4" w:space="0"/>
              <w:bottom w:val="single" w:color="auto" w:sz="4" w:space="0"/>
              <w:right w:val="single" w:color="auto" w:sz="4" w:space="0"/>
            </w:tcBorders>
            <w:vAlign w:val="center"/>
          </w:tcPr>
          <w:p>
            <w:pPr>
              <w:spacing w:line="400" w:lineRule="exact"/>
              <w:rPr>
                <w:rFonts w:ascii="宋体" w:cs="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ind w:left="54" w:leftChars="26"/>
              <w:rPr>
                <w:rFonts w:ascii="宋体" w:cs="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pPr>
              <w:pStyle w:val="38"/>
              <w:spacing w:line="400" w:lineRule="exact"/>
              <w:ind w:left="480"/>
              <w:jc w:val="both"/>
              <w:rPr>
                <w:rFonts w:ascii="宋体" w:eastAsia="宋体"/>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pPr>
              <w:pStyle w:val="38"/>
              <w:spacing w:line="400" w:lineRule="exact"/>
              <w:ind w:left="480"/>
              <w:jc w:val="center"/>
              <w:rPr>
                <w:rFonts w:ascii="宋体" w:eastAsia="宋体"/>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bottom w:val="single" w:color="auto" w:sz="4" w:space="0"/>
              <w:right w:val="single" w:color="auto" w:sz="4" w:space="0"/>
            </w:tcBorders>
            <w:vAlign w:val="center"/>
          </w:tcPr>
          <w:p>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pPr>
              <w:spacing w:line="400" w:lineRule="exact"/>
              <w:rPr>
                <w:rFonts w:ascii="宋体"/>
                <w:b/>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ind w:left="480"/>
              <w:jc w:val="both"/>
              <w:rPr>
                <w:rFonts w:ascii="宋体" w:eastAsia="宋体"/>
                <w:color w:val="auto"/>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sz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bottom w:val="single" w:color="auto" w:sz="4" w:space="0"/>
              <w:right w:val="single" w:color="auto" w:sz="4" w:space="0"/>
            </w:tcBorders>
            <w:vAlign w:val="center"/>
          </w:tcPr>
          <w:p>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pPr>
              <w:spacing w:line="400" w:lineRule="exact"/>
              <w:jc w:val="center"/>
              <w:rPr>
                <w:rFonts w:ascii="宋体"/>
                <w:bCs/>
                <w:sz w:val="24"/>
              </w:rPr>
            </w:pPr>
          </w:p>
        </w:tc>
      </w:tr>
    </w:tbl>
    <w:p>
      <w:pPr>
        <w:snapToGrid w:val="0"/>
        <w:spacing w:before="50" w:after="50" w:line="400" w:lineRule="exact"/>
        <w:rPr>
          <w:rFonts w:ascii="宋体"/>
          <w:sz w:val="24"/>
        </w:rPr>
      </w:pPr>
      <w:r>
        <w:rPr>
          <w:rFonts w:hint="eastAsia" w:ascii="宋体" w:hAnsi="宋体"/>
          <w:sz w:val="24"/>
        </w:rPr>
        <w:t>注：</w:t>
      </w:r>
      <w:r>
        <w:rPr>
          <w:rFonts w:hint="eastAsia" w:ascii="宋体" w:hAnsi="宋体" w:cs="宋体"/>
          <w:sz w:val="24"/>
        </w:rPr>
        <w:t>磋商响应方根据所</w:t>
      </w:r>
      <w:r>
        <w:rPr>
          <w:rFonts w:hint="eastAsia" w:hAnsi="宋体"/>
          <w:sz w:val="24"/>
        </w:rPr>
        <w:t>磋商</w:t>
      </w:r>
      <w:r>
        <w:rPr>
          <w:rFonts w:hint="eastAsia" w:ascii="宋体" w:hAnsi="宋体" w:cs="宋体"/>
          <w:sz w:val="24"/>
        </w:rPr>
        <w:t>项的评分表内容，按此格式提供并置于资信商务及技术文件第</w:t>
      </w:r>
      <w:r>
        <w:rPr>
          <w:rFonts w:ascii="宋体" w:hAnsi="宋体" w:cs="宋体"/>
          <w:sz w:val="24"/>
        </w:rPr>
        <w:t>1</w:t>
      </w:r>
      <w:r>
        <w:rPr>
          <w:rFonts w:hint="eastAsia" w:ascii="宋体" w:hAnsi="宋体" w:cs="宋体"/>
          <w:sz w:val="24"/>
        </w:rPr>
        <w:t>页。</w:t>
      </w:r>
    </w:p>
    <w:p>
      <w:pPr>
        <w:rPr>
          <w:rFonts w:ascii="宋体" w:hAnsi="宋体" w:cs="宋体"/>
          <w:b/>
          <w:bCs/>
          <w:sz w:val="24"/>
        </w:rPr>
      </w:pPr>
      <w:r>
        <w:rPr>
          <w:rFonts w:hint="eastAsia" w:ascii="宋体" w:hAnsi="宋体" w:cs="宋体"/>
          <w:b/>
          <w:bCs/>
          <w:sz w:val="24"/>
        </w:rPr>
        <w:br w:type="page"/>
      </w:r>
    </w:p>
    <w:p>
      <w:pPr>
        <w:snapToGrid w:val="0"/>
        <w:spacing w:before="50" w:after="156" w:afterLines="50" w:line="360" w:lineRule="auto"/>
        <w:jc w:val="left"/>
        <w:outlineLvl w:val="2"/>
        <w:rPr>
          <w:rFonts w:ascii="宋体"/>
          <w:b/>
          <w:sz w:val="24"/>
        </w:rPr>
      </w:pPr>
      <w:r>
        <w:rPr>
          <w:rFonts w:hint="eastAsia" w:ascii="宋体" w:hAnsi="宋体" w:cs="宋体"/>
          <w:b/>
          <w:bCs/>
          <w:sz w:val="24"/>
        </w:rPr>
        <w:t>2.4：</w:t>
      </w:r>
      <w:r>
        <w:rPr>
          <w:rFonts w:hint="eastAsia" w:ascii="宋体" w:hAnsi="宋体"/>
          <w:b/>
          <w:sz w:val="24"/>
        </w:rPr>
        <w:t>磋商响应书格式：</w:t>
      </w:r>
    </w:p>
    <w:p>
      <w:pPr>
        <w:snapToGrid w:val="0"/>
        <w:spacing w:before="50" w:after="156" w:afterLines="50" w:line="360" w:lineRule="auto"/>
        <w:jc w:val="center"/>
        <w:outlineLvl w:val="2"/>
        <w:rPr>
          <w:rFonts w:ascii="宋体" w:hAnsi="宋体"/>
          <w:b/>
          <w:sz w:val="24"/>
        </w:rPr>
      </w:pPr>
      <w:r>
        <w:rPr>
          <w:rFonts w:hint="eastAsia" w:ascii="宋体" w:hAnsi="宋体"/>
          <w:b/>
          <w:sz w:val="24"/>
        </w:rPr>
        <w:t>磋商响应书</w:t>
      </w:r>
    </w:p>
    <w:p>
      <w:pPr>
        <w:spacing w:line="360" w:lineRule="auto"/>
        <w:ind w:firstLine="480" w:firstLineChars="200"/>
        <w:rPr>
          <w:sz w:val="24"/>
        </w:rPr>
      </w:pPr>
      <w:r>
        <w:rPr>
          <w:rFonts w:hAnsi="宋体"/>
          <w:sz w:val="24"/>
        </w:rPr>
        <w:t>致</w:t>
      </w:r>
      <w:r>
        <w:rPr>
          <w:rFonts w:hint="eastAsia" w:hAnsi="宋体"/>
          <w:sz w:val="24"/>
        </w:rPr>
        <w:t>：</w:t>
      </w:r>
      <w:r>
        <w:rPr>
          <w:rFonts w:hint="eastAsia" w:ascii="宋体" w:hAnsi="宋体" w:cs="宋体"/>
          <w:sz w:val="24"/>
          <w:u w:val="single"/>
        </w:rPr>
        <w:t>金华市金诚招投标代理有限公司：</w:t>
      </w:r>
    </w:p>
    <w:p>
      <w:pPr>
        <w:spacing w:line="360" w:lineRule="auto"/>
        <w:ind w:firstLine="480" w:firstLineChars="200"/>
        <w:rPr>
          <w:sz w:val="24"/>
        </w:rPr>
      </w:pPr>
      <w:r>
        <w:rPr>
          <w:rFonts w:hint="eastAsia" w:hAnsi="宋体"/>
          <w:sz w:val="24"/>
          <w:u w:val="single"/>
        </w:rPr>
        <w:t xml:space="preserve"> 磋商响应方  </w:t>
      </w:r>
      <w:r>
        <w:rPr>
          <w:rFonts w:hAnsi="宋体"/>
          <w:sz w:val="24"/>
        </w:rPr>
        <w:t>授权</w:t>
      </w:r>
      <w:r>
        <w:rPr>
          <w:rFonts w:hint="eastAsia" w:hAnsi="宋体"/>
          <w:sz w:val="24"/>
          <w:u w:val="single"/>
        </w:rPr>
        <w:t xml:space="preserve">       </w:t>
      </w:r>
      <w:r>
        <w:rPr>
          <w:rFonts w:hAnsi="宋体"/>
          <w:sz w:val="24"/>
        </w:rPr>
        <w:t>为全权代表，参加贵方组织的</w:t>
      </w:r>
      <w:r>
        <w:rPr>
          <w:rFonts w:hint="eastAsia" w:ascii="宋体" w:hAnsi="宋体"/>
          <w:bCs/>
          <w:sz w:val="24"/>
          <w:u w:val="single"/>
        </w:rPr>
        <w:t>“新鲜水果进校园，助力学生健康成长”服务采购项目</w:t>
      </w:r>
      <w:r>
        <w:rPr>
          <w:rFonts w:hAnsi="宋体"/>
          <w:sz w:val="24"/>
        </w:rPr>
        <w:t>（编号</w:t>
      </w:r>
      <w:r>
        <w:rPr>
          <w:rFonts w:hint="eastAsia" w:ascii="宋体" w:hAnsi="宋体"/>
          <w:bCs/>
          <w:sz w:val="24"/>
          <w:u w:val="single"/>
          <w:lang w:eastAsia="zh-CN"/>
        </w:rPr>
        <w:t>JCZFCG2025-Q01-C498</w:t>
      </w:r>
      <w:r>
        <w:rPr>
          <w:rFonts w:hAnsi="宋体"/>
          <w:sz w:val="24"/>
        </w:rPr>
        <w:t>）采购有关活动，并进行竞争性</w:t>
      </w:r>
      <w:r>
        <w:rPr>
          <w:rFonts w:hint="eastAsia" w:hAnsi="宋体"/>
          <w:sz w:val="24"/>
        </w:rPr>
        <w:t>磋商</w:t>
      </w:r>
      <w:r>
        <w:rPr>
          <w:rFonts w:hAnsi="宋体"/>
          <w:sz w:val="24"/>
        </w:rPr>
        <w:t>。为此：</w:t>
      </w:r>
    </w:p>
    <w:p>
      <w:pPr>
        <w:spacing w:line="360" w:lineRule="auto"/>
        <w:ind w:firstLine="480" w:firstLineChars="200"/>
        <w:jc w:val="left"/>
        <w:rPr>
          <w:rFonts w:ascii="宋体" w:hAnsi="宋体" w:cs="宋体"/>
          <w:sz w:val="24"/>
        </w:rPr>
      </w:pPr>
      <w:r>
        <w:rPr>
          <w:rFonts w:hint="eastAsia" w:ascii="宋体" w:hAnsi="宋体" w:cs="宋体"/>
          <w:sz w:val="24"/>
        </w:rPr>
        <w:t>1、提供磋商须知规定的全部磋商响应文件。</w:t>
      </w:r>
    </w:p>
    <w:p>
      <w:pPr>
        <w:spacing w:line="360" w:lineRule="auto"/>
        <w:ind w:firstLine="480" w:firstLineChars="200"/>
        <w:jc w:val="left"/>
        <w:rPr>
          <w:rFonts w:ascii="宋体" w:hAnsi="宋体" w:cs="宋体"/>
          <w:sz w:val="24"/>
        </w:rPr>
      </w:pPr>
      <w:r>
        <w:rPr>
          <w:rFonts w:hint="eastAsia" w:ascii="宋体" w:hAnsi="宋体" w:cs="宋体"/>
          <w:sz w:val="24"/>
        </w:rPr>
        <w:t>2、所附初次报价表中规定的应提供和支付的总价。</w:t>
      </w:r>
    </w:p>
    <w:p>
      <w:pPr>
        <w:spacing w:line="360" w:lineRule="auto"/>
        <w:ind w:firstLine="480" w:firstLineChars="200"/>
        <w:jc w:val="left"/>
        <w:rPr>
          <w:rFonts w:ascii="宋体" w:hAnsi="宋体" w:cs="宋体"/>
          <w:sz w:val="24"/>
        </w:rPr>
      </w:pPr>
      <w:r>
        <w:rPr>
          <w:rFonts w:hint="eastAsia" w:ascii="宋体" w:hAnsi="宋体" w:cs="宋体"/>
          <w:sz w:val="24"/>
        </w:rPr>
        <w:t>3、我方已详细审查全部磋商文件，同意竞争性磋商须知的各项要求。</w:t>
      </w:r>
    </w:p>
    <w:p>
      <w:pPr>
        <w:spacing w:line="360" w:lineRule="auto"/>
        <w:ind w:firstLine="480" w:firstLineChars="200"/>
        <w:jc w:val="left"/>
        <w:rPr>
          <w:rFonts w:ascii="宋体" w:hAnsi="宋体" w:cs="宋体"/>
          <w:sz w:val="24"/>
        </w:rPr>
      </w:pPr>
      <w:r>
        <w:rPr>
          <w:rFonts w:hint="eastAsia" w:ascii="宋体" w:hAnsi="宋体" w:cs="宋体"/>
          <w:sz w:val="24"/>
        </w:rPr>
        <w:t>4、若中标，我方将按磋商文件规定履行合同责任和义务。</w:t>
      </w:r>
    </w:p>
    <w:p>
      <w:pPr>
        <w:spacing w:line="360" w:lineRule="auto"/>
        <w:ind w:firstLine="480" w:firstLineChars="200"/>
        <w:jc w:val="left"/>
        <w:rPr>
          <w:rFonts w:ascii="宋体" w:hAnsi="宋体" w:cs="宋体"/>
          <w:sz w:val="24"/>
        </w:rPr>
      </w:pPr>
      <w:r>
        <w:rPr>
          <w:rFonts w:hint="eastAsia" w:ascii="宋体" w:hAnsi="宋体" w:cs="宋体"/>
          <w:sz w:val="24"/>
        </w:rPr>
        <w:t>5、磋商响应文件自磋商当日起有效期为</w:t>
      </w:r>
      <w:r>
        <w:rPr>
          <w:rFonts w:hint="eastAsia" w:ascii="宋体" w:hAnsi="宋体" w:cs="宋体"/>
          <w:sz w:val="24"/>
          <w:u w:val="single"/>
        </w:rPr>
        <w:t xml:space="preserve">  60  </w:t>
      </w:r>
      <w:r>
        <w:rPr>
          <w:rFonts w:hint="eastAsia" w:ascii="宋体" w:hAnsi="宋体" w:cs="宋体"/>
          <w:sz w:val="24"/>
        </w:rPr>
        <w:t>天。</w:t>
      </w:r>
    </w:p>
    <w:p>
      <w:pPr>
        <w:spacing w:line="360" w:lineRule="auto"/>
        <w:ind w:firstLine="480" w:firstLineChars="200"/>
        <w:rPr>
          <w:rFonts w:ascii="宋体" w:hAnsi="宋体" w:cs="宋体"/>
          <w:sz w:val="24"/>
        </w:rPr>
      </w:pPr>
      <w:r>
        <w:rPr>
          <w:rFonts w:hint="eastAsia" w:ascii="宋体" w:hAnsi="宋体" w:cs="宋体"/>
          <w:sz w:val="24"/>
        </w:rPr>
        <w:t>6、如果在规定的磋商截止时间后，我方在磋商有效期内撤回</w:t>
      </w:r>
      <w:r>
        <w:rPr>
          <w:rFonts w:hint="eastAsia" w:hAnsi="宋体"/>
          <w:sz w:val="24"/>
        </w:rPr>
        <w:t>磋商响应</w:t>
      </w:r>
      <w:r>
        <w:rPr>
          <w:rFonts w:hint="eastAsia" w:ascii="宋体" w:hAnsi="宋体" w:cs="宋体"/>
          <w:sz w:val="24"/>
        </w:rPr>
        <w:t>或放弃中标，保证金将被贵方没收。</w:t>
      </w:r>
    </w:p>
    <w:p>
      <w:pPr>
        <w:spacing w:line="360" w:lineRule="auto"/>
        <w:ind w:firstLine="480" w:firstLineChars="200"/>
        <w:jc w:val="left"/>
        <w:rPr>
          <w:rFonts w:ascii="宋体" w:hAnsi="宋体" w:cs="宋体"/>
          <w:sz w:val="24"/>
        </w:rPr>
      </w:pPr>
      <w:r>
        <w:rPr>
          <w:rFonts w:hint="eastAsia" w:ascii="宋体" w:hAnsi="宋体" w:cs="宋体"/>
          <w:sz w:val="24"/>
        </w:rPr>
        <w:t>7、我方同意提供按照贵方可能要求的与其磋商有关的一切数据或资料，并保证其真实性、合法性。</w:t>
      </w:r>
    </w:p>
    <w:p>
      <w:pPr>
        <w:spacing w:line="360" w:lineRule="auto"/>
        <w:ind w:firstLine="480" w:firstLineChars="200"/>
        <w:jc w:val="left"/>
        <w:rPr>
          <w:sz w:val="24"/>
        </w:rPr>
      </w:pPr>
      <w:r>
        <w:rPr>
          <w:rFonts w:hint="eastAsia" w:ascii="宋体" w:hAnsi="宋体" w:cs="宋体"/>
          <w:sz w:val="24"/>
        </w:rPr>
        <w:t>8、我方与本磋商有关的一切正式来往通讯请寄：</w:t>
      </w:r>
    </w:p>
    <w:p>
      <w:pPr>
        <w:spacing w:line="360" w:lineRule="auto"/>
        <w:ind w:left="540" w:firstLine="30"/>
        <w:jc w:val="left"/>
        <w:rPr>
          <w:sz w:val="24"/>
        </w:rPr>
      </w:pPr>
    </w:p>
    <w:p>
      <w:pPr>
        <w:spacing w:line="360" w:lineRule="auto"/>
        <w:ind w:left="540" w:firstLine="30"/>
        <w:jc w:val="left"/>
        <w:rPr>
          <w:sz w:val="24"/>
        </w:rPr>
      </w:pPr>
      <w:r>
        <w:rPr>
          <w:rFonts w:hAnsi="宋体"/>
          <w:sz w:val="24"/>
        </w:rPr>
        <w:t>地址：</w:t>
      </w:r>
      <w:r>
        <w:rPr>
          <w:rFonts w:hint="eastAsia" w:hAnsi="宋体"/>
          <w:sz w:val="24"/>
        </w:rPr>
        <w:t xml:space="preserve">                     </w:t>
      </w:r>
      <w:r>
        <w:rPr>
          <w:rFonts w:hAnsi="宋体"/>
          <w:sz w:val="24"/>
        </w:rPr>
        <w:t>邮编：</w:t>
      </w:r>
    </w:p>
    <w:p>
      <w:pPr>
        <w:spacing w:line="360" w:lineRule="auto"/>
        <w:ind w:left="540" w:firstLine="30"/>
        <w:jc w:val="left"/>
        <w:rPr>
          <w:sz w:val="24"/>
        </w:rPr>
      </w:pPr>
      <w:r>
        <w:rPr>
          <w:rFonts w:hAnsi="宋体"/>
          <w:sz w:val="24"/>
        </w:rPr>
        <w:t>电话：</w:t>
      </w:r>
      <w:r>
        <w:rPr>
          <w:rFonts w:hint="eastAsia" w:hAnsi="宋体"/>
          <w:sz w:val="24"/>
        </w:rPr>
        <w:t xml:space="preserve">                     </w:t>
      </w:r>
      <w:r>
        <w:rPr>
          <w:rFonts w:hAnsi="宋体"/>
          <w:sz w:val="24"/>
        </w:rPr>
        <w:t>传真：</w:t>
      </w:r>
    </w:p>
    <w:p>
      <w:pPr>
        <w:spacing w:line="360" w:lineRule="auto"/>
        <w:ind w:left="540" w:firstLine="30"/>
        <w:jc w:val="left"/>
        <w:rPr>
          <w:sz w:val="24"/>
        </w:rPr>
      </w:pPr>
    </w:p>
    <w:p>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响应方名称：（公章）</w:t>
      </w:r>
    </w:p>
    <w:p>
      <w:pPr>
        <w:spacing w:line="360" w:lineRule="auto"/>
        <w:ind w:left="539" w:leftChars="257" w:firstLine="148" w:firstLineChars="62"/>
        <w:jc w:val="left"/>
        <w:rPr>
          <w:sz w:val="24"/>
        </w:rPr>
      </w:pPr>
      <w:r>
        <w:rPr>
          <w:rFonts w:hAnsi="宋体"/>
          <w:sz w:val="24"/>
        </w:rPr>
        <w:t>全权代表签字：</w:t>
      </w:r>
    </w:p>
    <w:p>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响应文件递交日期：年月日</w:t>
      </w:r>
    </w:p>
    <w:p>
      <w:pPr>
        <w:snapToGrid w:val="0"/>
        <w:spacing w:before="50" w:after="156" w:afterLines="50" w:line="360" w:lineRule="auto"/>
        <w:jc w:val="left"/>
        <w:outlineLvl w:val="2"/>
        <w:rPr>
          <w:rFonts w:ascii="宋体"/>
          <w:sz w:val="24"/>
        </w:rPr>
      </w:pPr>
      <w:r>
        <w:rPr>
          <w:rFonts w:ascii="宋体"/>
          <w:sz w:val="24"/>
        </w:rPr>
        <w:br w:type="page"/>
      </w:r>
      <w:r>
        <w:rPr>
          <w:rFonts w:hint="eastAsia" w:ascii="宋体" w:hAnsi="宋体" w:cs="宋体"/>
          <w:b/>
          <w:bCs/>
          <w:sz w:val="24"/>
        </w:rPr>
        <w:t>2.5：</w:t>
      </w:r>
      <w:r>
        <w:rPr>
          <w:rFonts w:hint="eastAsia" w:ascii="宋体" w:hAnsi="宋体"/>
          <w:b/>
          <w:sz w:val="24"/>
        </w:rPr>
        <w:t>法定代表人授权委托书格式：</w:t>
      </w:r>
    </w:p>
    <w:p>
      <w:pPr>
        <w:snapToGrid w:val="0"/>
        <w:spacing w:before="156" w:beforeLines="50" w:after="50" w:line="360" w:lineRule="auto"/>
        <w:jc w:val="center"/>
        <w:rPr>
          <w:rFonts w:ascii="宋体"/>
          <w:b/>
          <w:sz w:val="24"/>
        </w:rPr>
      </w:pPr>
      <w:r>
        <w:rPr>
          <w:rFonts w:hint="eastAsia" w:ascii="宋体" w:hAnsi="宋体"/>
          <w:b/>
          <w:sz w:val="24"/>
        </w:rPr>
        <w:t>法定代表人授权委托书</w:t>
      </w:r>
    </w:p>
    <w:p>
      <w:pPr>
        <w:snapToGrid w:val="0"/>
        <w:spacing w:before="156" w:beforeLines="50" w:after="50" w:line="360" w:lineRule="auto"/>
        <w:rPr>
          <w:rFonts w:ascii="宋体"/>
          <w:b/>
          <w:bCs/>
          <w:sz w:val="24"/>
        </w:rPr>
      </w:pPr>
      <w:r>
        <w:rPr>
          <w:rFonts w:hint="eastAsia" w:ascii="宋体" w:hAnsi="宋体"/>
          <w:bCs/>
          <w:sz w:val="24"/>
        </w:rPr>
        <w:t>致：</w:t>
      </w:r>
      <w:r>
        <w:rPr>
          <w:rFonts w:ascii="宋体" w:hAnsi="宋体"/>
          <w:sz w:val="24"/>
          <w:u w:val="single"/>
        </w:rPr>
        <w:t>_</w:t>
      </w:r>
      <w:r>
        <w:rPr>
          <w:rFonts w:hint="eastAsia" w:ascii="宋体" w:hAnsi="宋体"/>
          <w:sz w:val="24"/>
          <w:u w:val="single"/>
        </w:rPr>
        <w:t>金华市金诚招投标代理有限公司</w:t>
      </w:r>
      <w:r>
        <w:rPr>
          <w:rFonts w:ascii="宋体" w:hAnsi="宋体"/>
          <w:sz w:val="24"/>
          <w:u w:val="single"/>
        </w:rPr>
        <w:t>_</w:t>
      </w:r>
      <w:r>
        <w:rPr>
          <w:rFonts w:hint="eastAsia" w:ascii="宋体" w:hAnsi="宋体"/>
          <w:sz w:val="24"/>
        </w:rPr>
        <w:t>：</w:t>
      </w:r>
    </w:p>
    <w:p>
      <w:pPr>
        <w:spacing w:before="156" w:beforeLines="50" w:after="156" w:afterLines="50" w:line="360" w:lineRule="auto"/>
        <w:ind w:firstLine="480" w:firstLineChars="200"/>
        <w:rPr>
          <w:rFonts w:ascii="宋体"/>
          <w:sz w:val="24"/>
        </w:rPr>
      </w:pPr>
      <w:r>
        <w:rPr>
          <w:rFonts w:hint="eastAsia" w:ascii="宋体" w:hAnsi="宋体"/>
          <w:sz w:val="24"/>
        </w:rPr>
        <w:t>我</w:t>
      </w:r>
      <w:r>
        <w:rPr>
          <w:rFonts w:ascii="宋体" w:hAnsi="宋体"/>
          <w:sz w:val="24"/>
          <w:u w:val="single"/>
        </w:rPr>
        <w:t>____</w:t>
      </w:r>
      <w:r>
        <w:rPr>
          <w:rFonts w:hint="eastAsia" w:ascii="宋体" w:hAnsi="宋体"/>
          <w:sz w:val="24"/>
          <w:u w:val="single"/>
        </w:rPr>
        <w:t>（姓名）</w:t>
      </w:r>
      <w:r>
        <w:rPr>
          <w:rFonts w:hint="eastAsia" w:ascii="宋体" w:hAnsi="宋体"/>
          <w:sz w:val="24"/>
        </w:rPr>
        <w:t>系</w:t>
      </w:r>
      <w:r>
        <w:rPr>
          <w:rFonts w:ascii="宋体" w:hAnsi="宋体"/>
          <w:sz w:val="24"/>
        </w:rPr>
        <w:t>__</w:t>
      </w:r>
      <w:r>
        <w:rPr>
          <w:rFonts w:ascii="宋体" w:hAnsi="宋体"/>
          <w:sz w:val="24"/>
          <w:u w:val="single"/>
        </w:rPr>
        <w:t>______</w:t>
      </w:r>
      <w:r>
        <w:rPr>
          <w:rFonts w:hint="eastAsia" w:ascii="宋体" w:hAnsi="宋体"/>
          <w:sz w:val="24"/>
          <w:u w:val="single"/>
        </w:rPr>
        <w:t>（磋商响应方名称）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hAnsi="宋体" w:cs="Arial"/>
          <w:sz w:val="24"/>
          <w:u w:val="single"/>
        </w:rPr>
        <w:t>“新鲜水果进校园，助力学生健康成长”服务采购项目</w:t>
      </w:r>
      <w:r>
        <w:rPr>
          <w:rFonts w:hint="eastAsia" w:hAnsi="宋体" w:cs="宋体"/>
          <w:sz w:val="24"/>
        </w:rPr>
        <w:t>的</w:t>
      </w:r>
      <w:r>
        <w:rPr>
          <w:rFonts w:hint="eastAsia" w:ascii="宋体" w:hAnsi="宋体"/>
          <w:sz w:val="24"/>
        </w:rPr>
        <w:t>磋商活动，并代表我方全权办理针对上述项目的磋商、开标、评标、签约等具体事务和签署相关文件。</w:t>
      </w:r>
    </w:p>
    <w:p>
      <w:pPr>
        <w:snapToGrid w:val="0"/>
        <w:spacing w:before="156" w:beforeLines="50" w:after="50" w:line="360" w:lineRule="auto"/>
        <w:ind w:firstLine="480" w:firstLineChars="200"/>
        <w:rPr>
          <w:rFonts w:ascii="宋体"/>
          <w:sz w:val="24"/>
        </w:rPr>
      </w:pPr>
      <w:r>
        <w:rPr>
          <w:rFonts w:hint="eastAsia" w:ascii="宋体" w:hAnsi="宋体"/>
          <w:sz w:val="24"/>
        </w:rPr>
        <w:t>我方对被授权人的签名事项负全部责任。</w:t>
      </w:r>
    </w:p>
    <w:p>
      <w:pPr>
        <w:snapToGrid w:val="0"/>
        <w:spacing w:before="156" w:beforeLines="50" w:after="50" w:line="360" w:lineRule="auto"/>
        <w:ind w:firstLine="480"/>
        <w:rPr>
          <w:rFonts w:asci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360" w:lineRule="auto"/>
        <w:ind w:firstLine="480"/>
        <w:rPr>
          <w:rFonts w:ascii="宋体"/>
          <w:sz w:val="24"/>
        </w:rPr>
      </w:pPr>
      <w:r>
        <w:rPr>
          <w:rFonts w:hint="eastAsia" w:ascii="宋体" w:hAnsi="宋体"/>
          <w:sz w:val="24"/>
        </w:rPr>
        <w:t>被授权人无转委托权，特此委托。</w:t>
      </w:r>
    </w:p>
    <w:p>
      <w:pPr>
        <w:snapToGrid w:val="0"/>
        <w:spacing w:before="156" w:beforeLines="50" w:after="50" w:line="360" w:lineRule="auto"/>
        <w:rPr>
          <w:rFonts w:ascii="宋体"/>
          <w:sz w:val="24"/>
          <w:u w:val="single"/>
        </w:rPr>
      </w:pPr>
      <w:r>
        <w:rPr>
          <w:rFonts w:hint="eastAsia" w:ascii="宋体" w:hAnsi="宋体"/>
          <w:sz w:val="24"/>
        </w:rPr>
        <w:t>被授权人签名：                              法定代表人签名：</w:t>
      </w:r>
    </w:p>
    <w:p>
      <w:pPr>
        <w:snapToGrid w:val="0"/>
        <w:spacing w:before="156" w:beforeLines="50" w:after="50" w:line="360" w:lineRule="auto"/>
        <w:rPr>
          <w:rFonts w:ascii="宋体"/>
          <w:sz w:val="24"/>
        </w:rPr>
      </w:pPr>
      <w:r>
        <w:rPr>
          <w:rFonts w:hint="eastAsia" w:ascii="宋体" w:hAnsi="宋体"/>
          <w:sz w:val="24"/>
        </w:rPr>
        <w:t>职务：                                      职务：</w:t>
      </w:r>
    </w:p>
    <w:p>
      <w:pPr>
        <w:snapToGrid w:val="0"/>
        <w:spacing w:before="156" w:beforeLines="50" w:after="50" w:line="360" w:lineRule="auto"/>
        <w:rPr>
          <w:rFonts w:ascii="宋体" w:hAnsi="宋体"/>
          <w:sz w:val="24"/>
        </w:rPr>
      </w:pPr>
      <w:r>
        <w:rPr>
          <w:rFonts w:hint="eastAsia" w:ascii="宋体" w:hAnsi="宋体"/>
          <w:sz w:val="24"/>
        </w:rPr>
        <w:t>联系电话：                                  联系电话：</w:t>
      </w:r>
    </w:p>
    <w:p>
      <w:pPr>
        <w:snapToGrid w:val="0"/>
        <w:spacing w:before="156" w:beforeLines="50" w:after="50" w:line="360" w:lineRule="auto"/>
        <w:rPr>
          <w:rFonts w:ascii="宋体"/>
          <w:sz w:val="24"/>
        </w:rPr>
      </w:pPr>
      <w:r>
        <w:rPr>
          <w:rFonts w:hint="eastAsia" w:ascii="宋体" w:hAnsi="宋体"/>
          <w:sz w:val="24"/>
        </w:rPr>
        <w:t>被授权人身份证复印件：</w:t>
      </w:r>
    </w:p>
    <w:p>
      <w:pPr>
        <w:snapToGrid w:val="0"/>
        <w:spacing w:before="156" w:beforeLines="50" w:after="50" w:line="360" w:lineRule="auto"/>
        <w:rPr>
          <w:rFonts w:ascii="宋体"/>
          <w:sz w:val="24"/>
        </w:rPr>
      </w:pPr>
    </w:p>
    <w:p>
      <w:pPr>
        <w:snapToGrid w:val="0"/>
        <w:spacing w:before="156" w:beforeLines="50" w:after="50" w:line="360" w:lineRule="auto"/>
        <w:rPr>
          <w:rFonts w:ascii="宋体"/>
          <w:sz w:val="24"/>
        </w:rPr>
      </w:pPr>
    </w:p>
    <w:p>
      <w:pPr>
        <w:snapToGrid w:val="0"/>
        <w:spacing w:before="156" w:beforeLines="50" w:after="50" w:line="360" w:lineRule="auto"/>
        <w:rPr>
          <w:rFonts w:ascii="宋体"/>
          <w:sz w:val="24"/>
        </w:rPr>
      </w:pPr>
    </w:p>
    <w:p>
      <w:pPr>
        <w:snapToGrid w:val="0"/>
        <w:spacing w:before="156" w:beforeLines="50" w:after="50" w:line="360" w:lineRule="auto"/>
        <w:rPr>
          <w:rFonts w:ascii="宋体"/>
          <w:sz w:val="24"/>
        </w:rPr>
      </w:pPr>
      <w:r>
        <w:rPr>
          <w:rFonts w:hint="eastAsia"/>
          <w:sz w:val="24"/>
        </w:rPr>
        <w:t>磋商响应</w:t>
      </w:r>
      <w:r>
        <w:rPr>
          <w:sz w:val="24"/>
        </w:rPr>
        <w:t>单位</w:t>
      </w:r>
      <w:r>
        <w:rPr>
          <w:rFonts w:hint="eastAsia" w:ascii="宋体" w:hAnsi="宋体"/>
          <w:sz w:val="24"/>
        </w:rPr>
        <w:t>公章：</w:t>
      </w:r>
    </w:p>
    <w:p>
      <w:pPr>
        <w:snapToGrid w:val="0"/>
        <w:spacing w:before="156" w:beforeLines="50" w:after="50" w:line="360" w:lineRule="auto"/>
        <w:jc w:val="center"/>
        <w:rPr>
          <w:rFonts w:ascii="宋体"/>
          <w:sz w:val="24"/>
        </w:rPr>
      </w:pPr>
    </w:p>
    <w:p>
      <w:pPr>
        <w:snapToGrid w:val="0"/>
        <w:spacing w:before="156" w:beforeLines="50" w:after="50" w:line="360" w:lineRule="auto"/>
        <w:jc w:val="center"/>
        <w:rPr>
          <w:rFonts w:ascii="宋体" w:hAnsi="宋体"/>
          <w:sz w:val="24"/>
        </w:rPr>
      </w:pPr>
      <w:r>
        <w:rPr>
          <w:rFonts w:hint="eastAsia" w:ascii="宋体" w:hAnsi="宋体"/>
          <w:sz w:val="24"/>
        </w:rPr>
        <w:t>年月日</w:t>
      </w:r>
    </w:p>
    <w:p>
      <w:pPr>
        <w:snapToGrid w:val="0"/>
        <w:spacing w:before="156" w:beforeLines="50" w:after="50" w:line="360" w:lineRule="auto"/>
        <w:jc w:val="center"/>
        <w:rPr>
          <w:rFonts w:ascii="宋体" w:hAnsi="宋体"/>
          <w:sz w:val="24"/>
        </w:rPr>
      </w:pPr>
    </w:p>
    <w:p>
      <w:pPr>
        <w:snapToGrid w:val="0"/>
        <w:spacing w:before="156" w:beforeLines="50" w:after="50" w:line="360" w:lineRule="auto"/>
        <w:jc w:val="center"/>
        <w:rPr>
          <w:rFonts w:ascii="宋体" w:hAnsi="宋体"/>
          <w:sz w:val="24"/>
        </w:rPr>
      </w:pPr>
    </w:p>
    <w:p>
      <w:pPr>
        <w:rPr>
          <w:rFonts w:ascii="宋体" w:hAnsi="宋体" w:cs="宋体"/>
          <w:b/>
          <w:bCs/>
          <w:sz w:val="24"/>
        </w:rPr>
      </w:pPr>
      <w:r>
        <w:rPr>
          <w:rFonts w:hint="eastAsia" w:ascii="宋体" w:hAnsi="宋体" w:cs="宋体"/>
          <w:b/>
          <w:bCs/>
          <w:sz w:val="24"/>
        </w:rPr>
        <w:br w:type="page"/>
      </w:r>
    </w:p>
    <w:p>
      <w:pPr>
        <w:snapToGrid w:val="0"/>
        <w:spacing w:before="50" w:after="156" w:afterLines="50" w:line="360" w:lineRule="auto"/>
        <w:jc w:val="left"/>
        <w:outlineLvl w:val="2"/>
        <w:rPr>
          <w:rFonts w:ascii="宋体"/>
          <w:b/>
          <w:sz w:val="24"/>
        </w:rPr>
      </w:pPr>
      <w:r>
        <w:rPr>
          <w:rFonts w:hint="eastAsia" w:ascii="宋体" w:hAnsi="宋体" w:cs="宋体"/>
          <w:b/>
          <w:bCs/>
          <w:sz w:val="24"/>
        </w:rPr>
        <w:t>2.6：</w:t>
      </w:r>
      <w:r>
        <w:rPr>
          <w:rFonts w:hint="eastAsia" w:ascii="宋体" w:hAnsi="宋体"/>
          <w:b/>
          <w:sz w:val="24"/>
        </w:rPr>
        <w:t>磋商响应方情况表：</w:t>
      </w:r>
    </w:p>
    <w:p>
      <w:pPr>
        <w:snapToGrid w:val="0"/>
        <w:spacing w:before="156" w:beforeLines="50" w:after="50" w:line="360" w:lineRule="auto"/>
        <w:jc w:val="center"/>
        <w:rPr>
          <w:rFonts w:ascii="宋体"/>
          <w:b/>
          <w:sz w:val="24"/>
        </w:rPr>
      </w:pPr>
      <w:r>
        <w:rPr>
          <w:rFonts w:hint="eastAsia" w:ascii="宋体" w:hAnsi="宋体"/>
          <w:b/>
          <w:sz w:val="24"/>
        </w:rPr>
        <w:t>磋商响应方情况表</w:t>
      </w:r>
    </w:p>
    <w:p>
      <w:pPr>
        <w:pStyle w:val="27"/>
        <w:spacing w:before="156" w:after="156" w:line="360" w:lineRule="auto"/>
        <w:rPr>
          <w:rFonts w:ascii="Times New Roman" w:hAnsi="Times New Roman"/>
        </w:rPr>
      </w:pPr>
      <w:r>
        <w:rPr>
          <w:rFonts w:hint="eastAsia" w:ascii="Times New Roman" w:hAnsi="Times New Roman"/>
        </w:rPr>
        <w:t>磋商响应方：                                   填表日期：</w:t>
      </w:r>
    </w:p>
    <w:tbl>
      <w:tblPr>
        <w:tblStyle w:val="47"/>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单位名称</w:t>
            </w:r>
          </w:p>
        </w:tc>
        <w:tc>
          <w:tcPr>
            <w:tcW w:w="2887" w:type="dxa"/>
            <w:vAlign w:val="center"/>
          </w:tcPr>
          <w:p>
            <w:pPr>
              <w:widowControl/>
              <w:spacing w:line="360" w:lineRule="auto"/>
              <w:jc w:val="center"/>
              <w:rPr>
                <w:sz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电  话</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地   址</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传  真</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主管部门</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企业性质</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企业法人</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szCs w:val="24"/>
              </w:rPr>
              <w:t>资质等级</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授权代表</w:t>
            </w:r>
          </w:p>
        </w:tc>
        <w:tc>
          <w:tcPr>
            <w:tcW w:w="2887" w:type="dxa"/>
            <w:vAlign w:val="center"/>
          </w:tcPr>
          <w:p>
            <w:pPr>
              <w:pStyle w:val="27"/>
              <w:spacing w:before="156" w:after="156" w:line="360" w:lineRule="auto"/>
              <w:jc w:val="center"/>
              <w:rPr>
                <w:rFonts w:ascii="Times New Roman" w:hAnsi="Times New Roman"/>
                <w:szCs w:val="24"/>
              </w:rPr>
            </w:pPr>
          </w:p>
        </w:tc>
        <w:tc>
          <w:tcPr>
            <w:tcW w:w="1388" w:type="dxa"/>
            <w:gridSpan w:val="2"/>
            <w:vAlign w:val="center"/>
          </w:tcPr>
          <w:p>
            <w:pPr>
              <w:pStyle w:val="27"/>
              <w:spacing w:before="156" w:after="156" w:line="360" w:lineRule="auto"/>
              <w:rPr>
                <w:rFonts w:ascii="Times New Roman" w:hAnsi="Times New Roman"/>
                <w:szCs w:val="24"/>
              </w:rPr>
            </w:pPr>
            <w:r>
              <w:rPr>
                <w:rFonts w:hint="eastAsia" w:ascii="Times New Roman" w:hAnsi="Times New Roman"/>
                <w:szCs w:val="24"/>
              </w:rPr>
              <w:t>职务</w:t>
            </w:r>
          </w:p>
        </w:tc>
        <w:tc>
          <w:tcPr>
            <w:tcW w:w="2534" w:type="dxa"/>
            <w:vAlign w:val="center"/>
          </w:tcPr>
          <w:p>
            <w:pPr>
              <w:pStyle w:val="27"/>
              <w:spacing w:before="156" w:after="156"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jc w:val="center"/>
              <w:rPr>
                <w:rFonts w:ascii="Times New Roman" w:hAnsi="Times New Roman"/>
                <w:szCs w:val="24"/>
              </w:rPr>
            </w:pPr>
            <w:r>
              <w:rPr>
                <w:rFonts w:hint="eastAsia" w:ascii="Times New Roman" w:hAnsi="Times New Roman"/>
                <w:szCs w:val="24"/>
              </w:rPr>
              <w:t>单位概况</w:t>
            </w: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p>
            <w:pPr>
              <w:pStyle w:val="27"/>
              <w:spacing w:before="156" w:after="156" w:line="360" w:lineRule="auto"/>
              <w:ind w:firstLine="720" w:firstLineChars="300"/>
              <w:jc w:val="center"/>
              <w:rPr>
                <w:rFonts w:ascii="Times New Roman" w:hAnsi="Times New Roman"/>
                <w:szCs w:val="24"/>
              </w:rPr>
            </w:pPr>
          </w:p>
        </w:tc>
        <w:tc>
          <w:tcPr>
            <w:tcW w:w="1260" w:type="dxa"/>
            <w:vMerge w:val="restart"/>
            <w:vAlign w:val="center"/>
          </w:tcPr>
          <w:p>
            <w:pPr>
              <w:spacing w:line="360" w:lineRule="auto"/>
              <w:jc w:val="center"/>
              <w:rPr>
                <w:sz w:val="24"/>
              </w:rPr>
            </w:pPr>
            <w:r>
              <w:rPr>
                <w:rFonts w:hint="eastAsia"/>
                <w:sz w:val="24"/>
              </w:rPr>
              <w:t>职工总数</w:t>
            </w:r>
          </w:p>
        </w:tc>
        <w:tc>
          <w:tcPr>
            <w:tcW w:w="2887" w:type="dxa"/>
            <w:vAlign w:val="center"/>
          </w:tcPr>
          <w:p>
            <w:pPr>
              <w:pStyle w:val="27"/>
              <w:spacing w:before="156" w:after="156" w:line="360" w:lineRule="auto"/>
              <w:rPr>
                <w:rFonts w:ascii="Times New Roman" w:hAnsi="Times New Roman"/>
                <w:szCs w:val="24"/>
              </w:rPr>
            </w:pPr>
            <w:r>
              <w:rPr>
                <w:rFonts w:hint="eastAsia" w:ascii="Times New Roman" w:hAnsi="Times New Roman"/>
                <w:szCs w:val="24"/>
              </w:rPr>
              <w:t>员工：人</w:t>
            </w:r>
          </w:p>
        </w:tc>
        <w:tc>
          <w:tcPr>
            <w:tcW w:w="3922" w:type="dxa"/>
            <w:gridSpan w:val="3"/>
            <w:vAlign w:val="center"/>
          </w:tcPr>
          <w:p>
            <w:pPr>
              <w:pStyle w:val="27"/>
              <w:spacing w:before="156" w:after="156" w:line="360" w:lineRule="auto"/>
              <w:rPr>
                <w:rFonts w:ascii="Times New Roman" w:hAnsi="Times New Roman"/>
                <w:szCs w:val="24"/>
              </w:rPr>
            </w:pPr>
            <w:r>
              <w:rPr>
                <w:rFonts w:hint="eastAsia" w:ascii="Times New Roman" w:hAnsi="Times New Roman"/>
                <w:szCs w:val="24"/>
              </w:rPr>
              <w:t>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Merge w:val="continue"/>
            <w:vAlign w:val="center"/>
          </w:tcPr>
          <w:p>
            <w:pPr>
              <w:widowControl/>
              <w:spacing w:line="360" w:lineRule="auto"/>
              <w:jc w:val="center"/>
              <w:rPr>
                <w:sz w:val="24"/>
              </w:rPr>
            </w:pPr>
          </w:p>
        </w:tc>
        <w:tc>
          <w:tcPr>
            <w:tcW w:w="2887" w:type="dxa"/>
            <w:vAlign w:val="center"/>
          </w:tcPr>
          <w:p>
            <w:pPr>
              <w:pStyle w:val="27"/>
              <w:spacing w:before="156" w:after="156" w:line="360" w:lineRule="auto"/>
              <w:rPr>
                <w:szCs w:val="24"/>
              </w:rPr>
            </w:pPr>
            <w:r>
              <w:rPr>
                <w:rFonts w:hint="eastAsia"/>
                <w:szCs w:val="24"/>
              </w:rPr>
              <w:t>高级职称：人</w:t>
            </w:r>
          </w:p>
        </w:tc>
        <w:tc>
          <w:tcPr>
            <w:tcW w:w="3922" w:type="dxa"/>
            <w:gridSpan w:val="3"/>
            <w:vAlign w:val="center"/>
          </w:tcPr>
          <w:p>
            <w:pPr>
              <w:pStyle w:val="27"/>
              <w:spacing w:before="156" w:after="156" w:line="360" w:lineRule="auto"/>
              <w:rPr>
                <w:szCs w:val="24"/>
              </w:rPr>
            </w:pPr>
            <w:r>
              <w:rPr>
                <w:rFonts w:hint="eastAsia"/>
                <w:szCs w:val="24"/>
              </w:rPr>
              <w:t>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Align w:val="center"/>
          </w:tcPr>
          <w:p>
            <w:pPr>
              <w:pStyle w:val="27"/>
              <w:spacing w:before="156" w:after="156" w:line="360" w:lineRule="auto"/>
              <w:jc w:val="center"/>
              <w:rPr>
                <w:szCs w:val="24"/>
              </w:rPr>
            </w:pPr>
            <w:r>
              <w:rPr>
                <w:rFonts w:hint="eastAsia"/>
                <w:szCs w:val="24"/>
              </w:rPr>
              <w:t>流动资金</w:t>
            </w:r>
          </w:p>
        </w:tc>
        <w:tc>
          <w:tcPr>
            <w:tcW w:w="2887" w:type="dxa"/>
            <w:vAlign w:val="center"/>
          </w:tcPr>
          <w:p>
            <w:pPr>
              <w:pStyle w:val="27"/>
              <w:spacing w:before="156" w:after="156" w:line="360" w:lineRule="auto"/>
              <w:jc w:val="center"/>
              <w:rPr>
                <w:szCs w:val="24"/>
              </w:rPr>
            </w:pPr>
          </w:p>
        </w:tc>
        <w:tc>
          <w:tcPr>
            <w:tcW w:w="1222" w:type="dxa"/>
            <w:vAlign w:val="center"/>
          </w:tcPr>
          <w:p>
            <w:pPr>
              <w:pStyle w:val="27"/>
              <w:spacing w:before="156" w:after="156" w:line="360" w:lineRule="auto"/>
              <w:jc w:val="center"/>
              <w:rPr>
                <w:szCs w:val="24"/>
              </w:rPr>
            </w:pPr>
          </w:p>
        </w:tc>
        <w:tc>
          <w:tcPr>
            <w:tcW w:w="2700" w:type="dxa"/>
            <w:gridSpan w:val="2"/>
            <w:vAlign w:val="center"/>
          </w:tcPr>
          <w:p>
            <w:pPr>
              <w:pStyle w:val="27"/>
              <w:spacing w:before="156" w:after="156" w:line="360" w:lineRule="auto"/>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27"/>
              <w:spacing w:before="156" w:after="156" w:line="360" w:lineRule="auto"/>
              <w:ind w:firstLine="720" w:firstLineChars="300"/>
              <w:jc w:val="center"/>
              <w:rPr>
                <w:rFonts w:ascii="Times New Roman" w:hAnsi="Times New Roman"/>
                <w:szCs w:val="24"/>
              </w:rPr>
            </w:pPr>
          </w:p>
        </w:tc>
        <w:tc>
          <w:tcPr>
            <w:tcW w:w="1260" w:type="dxa"/>
            <w:vAlign w:val="center"/>
          </w:tcPr>
          <w:p>
            <w:pPr>
              <w:pStyle w:val="27"/>
              <w:spacing w:before="156" w:after="156" w:line="360" w:lineRule="auto"/>
              <w:jc w:val="center"/>
              <w:rPr>
                <w:szCs w:val="24"/>
              </w:rPr>
            </w:pPr>
            <w:r>
              <w:rPr>
                <w:rFonts w:hint="eastAsia"/>
                <w:szCs w:val="24"/>
              </w:rPr>
              <w:t>固定资金</w:t>
            </w:r>
          </w:p>
        </w:tc>
        <w:tc>
          <w:tcPr>
            <w:tcW w:w="2887" w:type="dxa"/>
            <w:vAlign w:val="center"/>
          </w:tcPr>
          <w:p>
            <w:pPr>
              <w:widowControl/>
              <w:spacing w:line="360" w:lineRule="auto"/>
              <w:jc w:val="center"/>
              <w:rPr>
                <w:sz w:val="24"/>
              </w:rPr>
            </w:pPr>
          </w:p>
        </w:tc>
        <w:tc>
          <w:tcPr>
            <w:tcW w:w="1222" w:type="dxa"/>
            <w:vAlign w:val="center"/>
          </w:tcPr>
          <w:p>
            <w:pPr>
              <w:pStyle w:val="27"/>
              <w:spacing w:before="156" w:after="156" w:line="360" w:lineRule="auto"/>
              <w:jc w:val="center"/>
              <w:rPr>
                <w:szCs w:val="24"/>
              </w:rPr>
            </w:pPr>
            <w:r>
              <w:rPr>
                <w:rFonts w:hint="eastAsia"/>
                <w:szCs w:val="24"/>
              </w:rPr>
              <w:t>服务网点</w:t>
            </w:r>
          </w:p>
        </w:tc>
        <w:tc>
          <w:tcPr>
            <w:tcW w:w="2700" w:type="dxa"/>
            <w:gridSpan w:val="2"/>
            <w:vAlign w:val="center"/>
          </w:tcPr>
          <w:p>
            <w:pPr>
              <w:widowControl/>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27"/>
              <w:spacing w:before="156" w:after="156" w:line="360" w:lineRule="auto"/>
              <w:jc w:val="center"/>
              <w:rPr>
                <w:rFonts w:ascii="Times New Roman" w:hAnsi="Times New Roman"/>
                <w:szCs w:val="24"/>
              </w:rPr>
            </w:pPr>
            <w:r>
              <w:rPr>
                <w:rFonts w:hint="eastAsia" w:ascii="Times New Roman" w:hAnsi="Times New Roman"/>
                <w:szCs w:val="24"/>
              </w:rPr>
              <w:t>单位简历</w:t>
            </w:r>
          </w:p>
        </w:tc>
        <w:tc>
          <w:tcPr>
            <w:tcW w:w="8069" w:type="dxa"/>
            <w:gridSpan w:val="5"/>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pStyle w:val="27"/>
              <w:spacing w:before="156" w:after="156" w:line="360" w:lineRule="auto"/>
              <w:jc w:val="center"/>
              <w:rPr>
                <w:rFonts w:ascii="Times New Roman" w:hAnsi="Times New Roman"/>
                <w:szCs w:val="24"/>
              </w:rPr>
            </w:pPr>
            <w:r>
              <w:rPr>
                <w:rFonts w:hint="eastAsia" w:ascii="Times New Roman" w:hAnsi="Times New Roman"/>
                <w:szCs w:val="24"/>
              </w:rPr>
              <w:t>优势及特长</w:t>
            </w:r>
          </w:p>
        </w:tc>
        <w:tc>
          <w:tcPr>
            <w:tcW w:w="8069" w:type="dxa"/>
            <w:gridSpan w:val="5"/>
          </w:tcPr>
          <w:p>
            <w:pPr>
              <w:spacing w:line="360" w:lineRule="auto"/>
              <w:jc w:val="left"/>
              <w:rPr>
                <w:sz w:val="24"/>
              </w:rPr>
            </w:pPr>
          </w:p>
        </w:tc>
      </w:tr>
    </w:tbl>
    <w:p>
      <w:pPr>
        <w:snapToGrid w:val="0"/>
        <w:spacing w:before="50" w:after="156" w:afterLines="50"/>
        <w:jc w:val="left"/>
        <w:rPr>
          <w:rFonts w:ascii="宋体"/>
          <w:b/>
          <w:sz w:val="24"/>
        </w:rPr>
      </w:pPr>
    </w:p>
    <w:p>
      <w:pPr>
        <w:rPr>
          <w:rFonts w:ascii="宋体" w:hAnsi="宋体" w:cs="宋体"/>
          <w:b/>
          <w:bCs/>
          <w:sz w:val="24"/>
        </w:rPr>
      </w:pPr>
      <w:r>
        <w:rPr>
          <w:rFonts w:hint="eastAsia" w:ascii="宋体" w:hAnsi="宋体" w:cs="宋体"/>
          <w:b/>
          <w:bCs/>
          <w:sz w:val="24"/>
        </w:rPr>
        <w:br w:type="page"/>
      </w:r>
    </w:p>
    <w:p>
      <w:pPr>
        <w:spacing w:before="50" w:after="50" w:line="500" w:lineRule="exact"/>
        <w:jc w:val="left"/>
        <w:outlineLvl w:val="2"/>
        <w:rPr>
          <w:rFonts w:ascii="宋体"/>
          <w:b/>
          <w:bCs/>
          <w:sz w:val="24"/>
        </w:rPr>
      </w:pPr>
      <w:r>
        <w:rPr>
          <w:rFonts w:hint="eastAsia" w:ascii="宋体" w:hAnsi="宋体" w:cs="宋体"/>
          <w:b/>
          <w:bCs/>
          <w:sz w:val="24"/>
        </w:rPr>
        <w:t>2.7：本项目拟派人员一览表</w:t>
      </w:r>
    </w:p>
    <w:p>
      <w:pPr>
        <w:spacing w:before="50" w:after="50" w:line="500" w:lineRule="exact"/>
        <w:ind w:firstLine="480" w:firstLineChars="200"/>
        <w:jc w:val="center"/>
        <w:rPr>
          <w:rFonts w:ascii="宋体"/>
          <w:b/>
          <w:bCs/>
          <w:sz w:val="24"/>
        </w:rPr>
      </w:pPr>
    </w:p>
    <w:tbl>
      <w:tblPr>
        <w:tblStyle w:val="47"/>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hRule="atLeast"/>
        </w:trPr>
        <w:tc>
          <w:tcPr>
            <w:tcW w:w="911" w:type="dxa"/>
            <w:vAlign w:val="center"/>
          </w:tcPr>
          <w:p>
            <w:pPr>
              <w:snapToGrid w:val="0"/>
              <w:spacing w:before="50" w:after="50" w:line="500" w:lineRule="exact"/>
              <w:jc w:val="center"/>
              <w:rPr>
                <w:rFonts w:ascii="宋体"/>
                <w:sz w:val="24"/>
              </w:rPr>
            </w:pPr>
            <w:r>
              <w:rPr>
                <w:rFonts w:hint="eastAsia" w:ascii="宋体" w:hAnsi="宋体" w:cs="宋体"/>
                <w:sz w:val="24"/>
              </w:rPr>
              <w:t>姓名</w:t>
            </w:r>
          </w:p>
        </w:tc>
        <w:tc>
          <w:tcPr>
            <w:tcW w:w="870" w:type="dxa"/>
            <w:vAlign w:val="center"/>
          </w:tcPr>
          <w:p>
            <w:pPr>
              <w:snapToGrid w:val="0"/>
              <w:spacing w:before="50" w:after="50" w:line="500" w:lineRule="exact"/>
              <w:jc w:val="center"/>
              <w:rPr>
                <w:rFonts w:ascii="宋体"/>
                <w:sz w:val="24"/>
              </w:rPr>
            </w:pPr>
            <w:r>
              <w:rPr>
                <w:rFonts w:hint="eastAsia" w:ascii="宋体" w:hAnsi="宋体" w:cs="宋体"/>
                <w:sz w:val="24"/>
              </w:rPr>
              <w:t>性别</w:t>
            </w:r>
          </w:p>
        </w:tc>
        <w:tc>
          <w:tcPr>
            <w:tcW w:w="930" w:type="dxa"/>
            <w:vAlign w:val="center"/>
          </w:tcPr>
          <w:p>
            <w:pPr>
              <w:snapToGrid w:val="0"/>
              <w:spacing w:before="50" w:after="50" w:line="500" w:lineRule="exact"/>
              <w:jc w:val="center"/>
              <w:rPr>
                <w:rFonts w:ascii="宋体"/>
                <w:sz w:val="24"/>
              </w:rPr>
            </w:pPr>
            <w:r>
              <w:rPr>
                <w:rFonts w:hint="eastAsia" w:ascii="宋体" w:hAnsi="宋体" w:cs="宋体"/>
                <w:sz w:val="24"/>
              </w:rPr>
              <w:t>年龄</w:t>
            </w:r>
          </w:p>
        </w:tc>
        <w:tc>
          <w:tcPr>
            <w:tcW w:w="1050" w:type="dxa"/>
            <w:vAlign w:val="center"/>
          </w:tcPr>
          <w:p>
            <w:pPr>
              <w:snapToGrid w:val="0"/>
              <w:spacing w:before="50" w:after="50" w:line="500" w:lineRule="exact"/>
              <w:jc w:val="center"/>
              <w:rPr>
                <w:rFonts w:ascii="宋体"/>
                <w:sz w:val="24"/>
              </w:rPr>
            </w:pPr>
            <w:r>
              <w:rPr>
                <w:rFonts w:hint="eastAsia" w:ascii="宋体" w:hAnsi="宋体" w:cs="宋体"/>
                <w:sz w:val="24"/>
              </w:rPr>
              <w:t>文化</w:t>
            </w:r>
          </w:p>
          <w:p>
            <w:pPr>
              <w:snapToGrid w:val="0"/>
              <w:spacing w:before="50" w:after="50" w:line="500" w:lineRule="exact"/>
              <w:jc w:val="center"/>
              <w:rPr>
                <w:rFonts w:ascii="宋体"/>
                <w:sz w:val="24"/>
              </w:rPr>
            </w:pPr>
            <w:r>
              <w:rPr>
                <w:rFonts w:hint="eastAsia" w:ascii="宋体" w:hAnsi="宋体" w:cs="宋体"/>
                <w:sz w:val="24"/>
              </w:rPr>
              <w:t>程度</w:t>
            </w:r>
          </w:p>
        </w:tc>
        <w:tc>
          <w:tcPr>
            <w:tcW w:w="1140" w:type="dxa"/>
            <w:vAlign w:val="center"/>
          </w:tcPr>
          <w:p>
            <w:pPr>
              <w:snapToGrid w:val="0"/>
              <w:spacing w:before="50" w:after="50" w:line="500" w:lineRule="exact"/>
              <w:jc w:val="center"/>
              <w:rPr>
                <w:rFonts w:ascii="宋体"/>
                <w:sz w:val="24"/>
              </w:rPr>
            </w:pPr>
            <w:r>
              <w:rPr>
                <w:rFonts w:hint="eastAsia" w:ascii="宋体" w:hAnsi="宋体" w:cs="宋体"/>
                <w:sz w:val="24"/>
              </w:rPr>
              <w:t>从事</w:t>
            </w:r>
          </w:p>
          <w:p>
            <w:pPr>
              <w:snapToGrid w:val="0"/>
              <w:spacing w:before="50" w:after="50" w:line="500" w:lineRule="exact"/>
              <w:jc w:val="center"/>
              <w:rPr>
                <w:rFonts w:ascii="宋体"/>
                <w:sz w:val="24"/>
              </w:rPr>
            </w:pPr>
            <w:r>
              <w:rPr>
                <w:rFonts w:hint="eastAsia" w:ascii="宋体" w:hAnsi="宋体" w:cs="宋体"/>
                <w:sz w:val="24"/>
              </w:rPr>
              <w:t>专业</w:t>
            </w:r>
          </w:p>
        </w:tc>
        <w:tc>
          <w:tcPr>
            <w:tcW w:w="1275" w:type="dxa"/>
            <w:vAlign w:val="center"/>
          </w:tcPr>
          <w:p>
            <w:pPr>
              <w:snapToGrid w:val="0"/>
              <w:spacing w:before="50" w:after="50" w:line="500" w:lineRule="exact"/>
              <w:jc w:val="center"/>
              <w:rPr>
                <w:rFonts w:ascii="宋体"/>
                <w:sz w:val="24"/>
              </w:rPr>
            </w:pPr>
            <w:r>
              <w:rPr>
                <w:rFonts w:hint="eastAsia" w:ascii="宋体" w:hAnsi="宋体" w:cs="宋体"/>
                <w:sz w:val="24"/>
              </w:rPr>
              <w:t>从事专业工作时间</w:t>
            </w:r>
          </w:p>
        </w:tc>
        <w:tc>
          <w:tcPr>
            <w:tcW w:w="1470" w:type="dxa"/>
            <w:vAlign w:val="center"/>
          </w:tcPr>
          <w:p>
            <w:pPr>
              <w:snapToGrid w:val="0"/>
              <w:spacing w:before="50" w:after="50" w:line="500" w:lineRule="exact"/>
              <w:ind w:left="-107" w:leftChars="-51" w:firstLine="91" w:firstLineChars="38"/>
              <w:jc w:val="center"/>
              <w:rPr>
                <w:rFonts w:ascii="宋体"/>
                <w:sz w:val="24"/>
              </w:rPr>
            </w:pPr>
            <w:r>
              <w:rPr>
                <w:rFonts w:hint="eastAsia" w:ascii="宋体" w:hAnsi="宋体" w:cs="宋体"/>
                <w:sz w:val="24"/>
              </w:rPr>
              <w:t>职称</w:t>
            </w:r>
          </w:p>
        </w:tc>
        <w:tc>
          <w:tcPr>
            <w:tcW w:w="1844" w:type="dxa"/>
            <w:vAlign w:val="center"/>
          </w:tcPr>
          <w:p>
            <w:pPr>
              <w:snapToGrid w:val="0"/>
              <w:spacing w:before="50" w:after="50" w:line="500" w:lineRule="exact"/>
              <w:jc w:val="center"/>
              <w:rPr>
                <w:rFonts w:ascii="宋体"/>
                <w:sz w:val="24"/>
              </w:rPr>
            </w:pPr>
            <w:r>
              <w:rPr>
                <w:rFonts w:hint="eastAsia" w:ascii="宋体" w:hAnsi="宋体" w:cs="宋体"/>
                <w:sz w:val="24"/>
              </w:rPr>
              <w:t>拟派岗位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pPr>
              <w:spacing w:before="50" w:after="50" w:line="500" w:lineRule="exact"/>
              <w:jc w:val="left"/>
              <w:rPr>
                <w:rFonts w:ascii="宋体"/>
                <w:sz w:val="24"/>
              </w:rPr>
            </w:pPr>
          </w:p>
        </w:tc>
        <w:tc>
          <w:tcPr>
            <w:tcW w:w="870" w:type="dxa"/>
          </w:tcPr>
          <w:p>
            <w:pPr>
              <w:spacing w:before="50" w:after="50" w:line="500" w:lineRule="exact"/>
              <w:jc w:val="left"/>
              <w:rPr>
                <w:rFonts w:ascii="宋体"/>
                <w:sz w:val="24"/>
              </w:rPr>
            </w:pPr>
          </w:p>
        </w:tc>
        <w:tc>
          <w:tcPr>
            <w:tcW w:w="930" w:type="dxa"/>
          </w:tcPr>
          <w:p>
            <w:pPr>
              <w:spacing w:before="50" w:after="50" w:line="500" w:lineRule="exact"/>
              <w:jc w:val="left"/>
              <w:rPr>
                <w:rFonts w:ascii="宋体"/>
                <w:sz w:val="24"/>
              </w:rPr>
            </w:pPr>
          </w:p>
        </w:tc>
        <w:tc>
          <w:tcPr>
            <w:tcW w:w="1050" w:type="dxa"/>
          </w:tcPr>
          <w:p>
            <w:pPr>
              <w:spacing w:before="50" w:after="50" w:line="500" w:lineRule="exact"/>
              <w:jc w:val="left"/>
              <w:rPr>
                <w:rFonts w:ascii="宋体"/>
                <w:sz w:val="24"/>
              </w:rPr>
            </w:pPr>
          </w:p>
        </w:tc>
        <w:tc>
          <w:tcPr>
            <w:tcW w:w="1140" w:type="dxa"/>
          </w:tcPr>
          <w:p>
            <w:pPr>
              <w:spacing w:before="50" w:after="50" w:line="500" w:lineRule="exact"/>
              <w:jc w:val="left"/>
              <w:rPr>
                <w:rFonts w:ascii="宋体"/>
                <w:sz w:val="24"/>
              </w:rPr>
            </w:pPr>
          </w:p>
        </w:tc>
        <w:tc>
          <w:tcPr>
            <w:tcW w:w="1275" w:type="dxa"/>
          </w:tcPr>
          <w:p>
            <w:pPr>
              <w:spacing w:before="50" w:after="50" w:line="500" w:lineRule="exact"/>
              <w:jc w:val="left"/>
              <w:rPr>
                <w:rFonts w:ascii="宋体"/>
                <w:sz w:val="24"/>
              </w:rPr>
            </w:pPr>
          </w:p>
        </w:tc>
        <w:tc>
          <w:tcPr>
            <w:tcW w:w="1470" w:type="dxa"/>
          </w:tcPr>
          <w:p>
            <w:pPr>
              <w:spacing w:before="50" w:after="50" w:line="500" w:lineRule="exact"/>
              <w:jc w:val="left"/>
              <w:rPr>
                <w:rFonts w:ascii="宋体"/>
                <w:sz w:val="24"/>
              </w:rPr>
            </w:pPr>
          </w:p>
        </w:tc>
        <w:tc>
          <w:tcPr>
            <w:tcW w:w="1844" w:type="dxa"/>
          </w:tcPr>
          <w:p>
            <w:pPr>
              <w:spacing w:before="50" w:after="50" w:line="500" w:lineRule="exact"/>
              <w:jc w:val="left"/>
              <w:rPr>
                <w:rFonts w:ascii="宋体"/>
                <w:sz w:val="24"/>
              </w:rPr>
            </w:pPr>
          </w:p>
        </w:tc>
      </w:tr>
    </w:tbl>
    <w:p>
      <w:pPr>
        <w:spacing w:before="50" w:after="50" w:line="500" w:lineRule="exact"/>
        <w:rPr>
          <w:rFonts w:ascii="宋体"/>
          <w:b/>
          <w:bCs/>
          <w:sz w:val="24"/>
        </w:rPr>
      </w:pPr>
    </w:p>
    <w:p>
      <w:pPr>
        <w:pStyle w:val="27"/>
        <w:tabs>
          <w:tab w:val="left" w:pos="4312"/>
        </w:tabs>
        <w:spacing w:before="156" w:after="156" w:line="360" w:lineRule="auto"/>
        <w:rPr>
          <w:rFonts w:ascii="Times New Roman" w:hAnsi="Times New Roman"/>
          <w:szCs w:val="24"/>
        </w:rPr>
      </w:pPr>
      <w:r>
        <w:rPr>
          <w:rFonts w:hint="eastAsia" w:ascii="Times New Roman" w:hAnsi="Times New Roman"/>
          <w:szCs w:val="24"/>
        </w:rPr>
        <w:t>磋商响应</w:t>
      </w:r>
      <w:r>
        <w:rPr>
          <w:rFonts w:ascii="Times New Roman" w:hAnsi="Times New Roman"/>
          <w:szCs w:val="24"/>
        </w:rPr>
        <w:t>单位（公章）：</w:t>
      </w:r>
    </w:p>
    <w:p>
      <w:pPr>
        <w:pStyle w:val="27"/>
        <w:tabs>
          <w:tab w:val="left" w:pos="4312"/>
        </w:tabs>
        <w:spacing w:before="156" w:after="156" w:line="360" w:lineRule="auto"/>
        <w:rPr>
          <w:rFonts w:ascii="Times New Roman" w:hAnsi="Times New Roman"/>
          <w:szCs w:val="24"/>
        </w:rPr>
      </w:pPr>
      <w:r>
        <w:rPr>
          <w:rFonts w:ascii="Times New Roman" w:hAnsi="Times New Roman"/>
          <w:szCs w:val="24"/>
        </w:rPr>
        <w:t>授权代表签字：</w:t>
      </w:r>
    </w:p>
    <w:p>
      <w:pPr>
        <w:pStyle w:val="27"/>
        <w:tabs>
          <w:tab w:val="left" w:pos="4312"/>
        </w:tabs>
        <w:spacing w:before="156" w:after="156" w:line="360" w:lineRule="auto"/>
        <w:rPr>
          <w:rFonts w:ascii="Times New Roman" w:hAnsi="Times New Roman"/>
          <w:szCs w:val="24"/>
        </w:rPr>
      </w:pPr>
      <w:r>
        <w:rPr>
          <w:rFonts w:ascii="Times New Roman" w:hAnsi="Times New Roman"/>
          <w:szCs w:val="24"/>
        </w:rPr>
        <w:t>日期：</w:t>
      </w:r>
    </w:p>
    <w:p>
      <w:pPr>
        <w:snapToGrid w:val="0"/>
        <w:spacing w:before="50" w:after="156" w:afterLines="50"/>
        <w:jc w:val="left"/>
        <w:rPr>
          <w:rFonts w:ascii="宋体"/>
          <w:b/>
          <w:bCs/>
          <w:sz w:val="24"/>
        </w:rPr>
      </w:pPr>
    </w:p>
    <w:p>
      <w:pPr>
        <w:snapToGrid w:val="0"/>
        <w:spacing w:before="50" w:after="156" w:afterLines="50"/>
        <w:jc w:val="left"/>
        <w:rPr>
          <w:rFonts w:ascii="宋体"/>
          <w:b/>
          <w:bCs/>
          <w:sz w:val="24"/>
        </w:rPr>
      </w:pPr>
    </w:p>
    <w:p>
      <w:pPr>
        <w:snapToGrid w:val="0"/>
        <w:spacing w:before="50" w:after="156" w:afterLines="50"/>
        <w:jc w:val="left"/>
        <w:rPr>
          <w:rFonts w:ascii="宋体"/>
          <w:b/>
          <w:bCs/>
          <w:sz w:val="24"/>
        </w:rPr>
      </w:pPr>
    </w:p>
    <w:p>
      <w:pPr>
        <w:snapToGrid w:val="0"/>
        <w:spacing w:before="50" w:after="156" w:afterLines="50"/>
        <w:jc w:val="left"/>
        <w:rPr>
          <w:rFonts w:ascii="宋体"/>
          <w:b/>
          <w:bCs/>
          <w:sz w:val="24"/>
        </w:rPr>
      </w:pPr>
    </w:p>
    <w:p>
      <w:pPr>
        <w:snapToGrid w:val="0"/>
        <w:spacing w:before="50" w:after="156" w:afterLines="50"/>
        <w:jc w:val="left"/>
        <w:rPr>
          <w:rFonts w:ascii="宋体"/>
          <w:b/>
          <w:bCs/>
          <w:sz w:val="24"/>
        </w:rPr>
      </w:pPr>
    </w:p>
    <w:p>
      <w:pPr>
        <w:rPr>
          <w:rFonts w:ascii="宋体" w:hAnsi="宋体" w:cs="宋体"/>
          <w:b/>
          <w:bCs/>
          <w:spacing w:val="-3"/>
          <w:kern w:val="0"/>
          <w:sz w:val="24"/>
        </w:rPr>
      </w:pPr>
      <w:r>
        <w:rPr>
          <w:rFonts w:hint="eastAsia" w:ascii="宋体" w:hAnsi="宋体" w:cs="宋体"/>
          <w:b/>
          <w:bCs/>
          <w:spacing w:val="-3"/>
          <w:kern w:val="0"/>
          <w:sz w:val="24"/>
        </w:rPr>
        <w:br w:type="page"/>
      </w:r>
    </w:p>
    <w:p>
      <w:pPr>
        <w:autoSpaceDE w:val="0"/>
        <w:autoSpaceDN w:val="0"/>
        <w:adjustRightInd w:val="0"/>
        <w:snapToGrid w:val="0"/>
        <w:spacing w:before="100" w:beforeAutospacing="1" w:after="100" w:afterAutospacing="1"/>
        <w:jc w:val="center"/>
        <w:rPr>
          <w:rFonts w:ascii="宋体"/>
          <w:b/>
          <w:bCs/>
          <w:spacing w:val="-3"/>
          <w:kern w:val="0"/>
          <w:sz w:val="24"/>
        </w:rPr>
      </w:pPr>
      <w:r>
        <w:rPr>
          <w:rFonts w:hint="eastAsia" w:ascii="宋体" w:hAnsi="宋体" w:cs="宋体"/>
          <w:b/>
          <w:bCs/>
          <w:spacing w:val="-3"/>
          <w:kern w:val="0"/>
          <w:sz w:val="24"/>
        </w:rPr>
        <w:t>项目负责人主要简历表</w:t>
      </w:r>
    </w:p>
    <w:tbl>
      <w:tblPr>
        <w:tblStyle w:val="47"/>
        <w:tblW w:w="9242"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tcBorders>
              <w:top w:val="single" w:color="auto" w:sz="12" w:space="0"/>
            </w:tcBorders>
            <w:vAlign w:val="center"/>
          </w:tcPr>
          <w:p>
            <w:pPr>
              <w:jc w:val="center"/>
              <w:rPr>
                <w:rFonts w:ascii="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p>
        </w:tc>
        <w:tc>
          <w:tcPr>
            <w:tcW w:w="1124" w:type="dxa"/>
            <w:tcBorders>
              <w:top w:val="single" w:color="auto" w:sz="12" w:space="0"/>
            </w:tcBorders>
            <w:vAlign w:val="center"/>
          </w:tcPr>
          <w:p>
            <w:pPr>
              <w:jc w:val="center"/>
              <w:rPr>
                <w:rFonts w:ascii="宋体"/>
                <w:sz w:val="24"/>
              </w:rPr>
            </w:pPr>
          </w:p>
        </w:tc>
        <w:tc>
          <w:tcPr>
            <w:tcW w:w="1235" w:type="dxa"/>
            <w:tcBorders>
              <w:top w:val="single" w:color="auto" w:sz="12" w:space="0"/>
            </w:tcBorders>
            <w:vAlign w:val="center"/>
          </w:tcPr>
          <w:p>
            <w:pPr>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p>
        </w:tc>
        <w:tc>
          <w:tcPr>
            <w:tcW w:w="1386" w:type="dxa"/>
            <w:tcBorders>
              <w:top w:val="single" w:color="auto" w:sz="12" w:space="0"/>
            </w:tcBorders>
            <w:vAlign w:val="center"/>
          </w:tcPr>
          <w:p>
            <w:pPr>
              <w:jc w:val="center"/>
              <w:rPr>
                <w:rFonts w:ascii="宋体"/>
                <w:sz w:val="24"/>
              </w:rPr>
            </w:pPr>
          </w:p>
        </w:tc>
        <w:tc>
          <w:tcPr>
            <w:tcW w:w="2002" w:type="dxa"/>
            <w:tcBorders>
              <w:top w:val="single" w:color="auto" w:sz="12" w:space="0"/>
            </w:tcBorders>
            <w:vAlign w:val="center"/>
          </w:tcPr>
          <w:p>
            <w:pPr>
              <w:jc w:val="center"/>
              <w:rPr>
                <w:rFonts w:ascii="宋体"/>
                <w:sz w:val="24"/>
              </w:rPr>
            </w:pPr>
            <w:r>
              <w:rPr>
                <w:rFonts w:hint="eastAsia" w:ascii="宋体" w:hAnsi="宋体" w:cs="宋体"/>
                <w:sz w:val="24"/>
              </w:rPr>
              <w:t>学历</w:t>
            </w:r>
          </w:p>
        </w:tc>
        <w:tc>
          <w:tcPr>
            <w:tcW w:w="2307" w:type="dxa"/>
            <w:tcBorders>
              <w:top w:val="single" w:color="auto" w:sz="12" w:space="0"/>
            </w:tcBorders>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称</w:t>
            </w:r>
          </w:p>
        </w:tc>
        <w:tc>
          <w:tcPr>
            <w:tcW w:w="1124" w:type="dxa"/>
            <w:vAlign w:val="center"/>
          </w:tcPr>
          <w:p>
            <w:pPr>
              <w:jc w:val="center"/>
              <w:rPr>
                <w:rFonts w:ascii="宋体"/>
                <w:sz w:val="24"/>
              </w:rPr>
            </w:pPr>
          </w:p>
        </w:tc>
        <w:tc>
          <w:tcPr>
            <w:tcW w:w="1235" w:type="dxa"/>
            <w:vAlign w:val="center"/>
          </w:tcPr>
          <w:p>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p>
        </w:tc>
        <w:tc>
          <w:tcPr>
            <w:tcW w:w="1386" w:type="dxa"/>
            <w:vAlign w:val="center"/>
          </w:tcPr>
          <w:p>
            <w:pPr>
              <w:jc w:val="center"/>
              <w:rPr>
                <w:rFonts w:ascii="宋体"/>
                <w:sz w:val="24"/>
              </w:rPr>
            </w:pPr>
          </w:p>
        </w:tc>
        <w:tc>
          <w:tcPr>
            <w:tcW w:w="2002" w:type="dxa"/>
            <w:vAlign w:val="center"/>
          </w:tcPr>
          <w:p>
            <w:pPr>
              <w:jc w:val="center"/>
              <w:rPr>
                <w:rFonts w:ascii="宋体"/>
                <w:sz w:val="24"/>
              </w:rPr>
            </w:pPr>
            <w:r>
              <w:rPr>
                <w:rFonts w:hint="eastAsia" w:ascii="宋体" w:hAnsi="宋体" w:cs="宋体"/>
                <w:sz w:val="24"/>
              </w:rPr>
              <w:t>拟在本工程</w:t>
            </w:r>
          </w:p>
          <w:p>
            <w:pPr>
              <w:jc w:val="center"/>
              <w:rPr>
                <w:rFonts w:ascii="宋体"/>
                <w:sz w:val="24"/>
              </w:rPr>
            </w:pPr>
            <w:r>
              <w:rPr>
                <w:rFonts w:hint="eastAsia" w:ascii="宋体" w:hAnsi="宋体" w:cs="宋体"/>
                <w:sz w:val="24"/>
              </w:rPr>
              <w:t>任职</w:t>
            </w:r>
          </w:p>
        </w:tc>
        <w:tc>
          <w:tcPr>
            <w:tcW w:w="2307" w:type="dxa"/>
            <w:vAlign w:val="center"/>
          </w:tcPr>
          <w:p>
            <w:pPr>
              <w:jc w:val="center"/>
              <w:rPr>
                <w:rFonts w:ascii="宋体"/>
                <w:sz w:val="24"/>
              </w:rPr>
            </w:pPr>
            <w:r>
              <w:rPr>
                <w:rFonts w:hint="eastAsia" w:ascii="宋体" w:hAnsi="宋体" w:cs="宋体"/>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sz w:val="24"/>
              </w:rPr>
            </w:pPr>
            <w:r>
              <w:rPr>
                <w:rFonts w:hint="eastAsia" w:ascii="宋体" w:hAnsi="宋体" w:cs="宋体"/>
                <w:sz w:val="24"/>
              </w:rPr>
              <w:t>毕业</w:t>
            </w:r>
          </w:p>
          <w:p>
            <w:pPr>
              <w:jc w:val="center"/>
              <w:rPr>
                <w:rFonts w:ascii="宋体"/>
                <w:sz w:val="24"/>
              </w:rPr>
            </w:pPr>
            <w:r>
              <w:rPr>
                <w:rFonts w:hint="eastAsia" w:ascii="宋体" w:hAnsi="宋体" w:cs="宋体"/>
                <w:sz w:val="24"/>
              </w:rPr>
              <w:t>学校</w:t>
            </w:r>
          </w:p>
        </w:tc>
        <w:tc>
          <w:tcPr>
            <w:tcW w:w="8054" w:type="dxa"/>
            <w:gridSpan w:val="5"/>
            <w:vAlign w:val="center"/>
          </w:tcPr>
          <w:p>
            <w:pPr>
              <w:ind w:firstLine="960" w:firstLineChars="400"/>
              <w:rPr>
                <w:rFonts w:ascii="宋体"/>
                <w:sz w:val="24"/>
              </w:rPr>
            </w:pPr>
            <w:r>
              <w:rPr>
                <w:rFonts w:hint="eastAsia" w:ascii="宋体" w:hAnsi="宋体" w:cs="宋体"/>
                <w:sz w:val="24"/>
              </w:rPr>
              <w:t>年毕业于</w:t>
            </w:r>
            <w:r>
              <w:rPr>
                <w:rFonts w:ascii="宋体" w:hAnsi="宋体" w:cs="宋体"/>
                <w:sz w:val="24"/>
              </w:rPr>
              <w:t xml:space="preserve">                  </w:t>
            </w:r>
            <w:r>
              <w:rPr>
                <w:rFonts w:hint="eastAsia" w:ascii="宋体" w:hAnsi="宋体" w:cs="宋体"/>
                <w:sz w:val="24"/>
              </w:rPr>
              <w:t>学校</w:t>
            </w:r>
            <w:r>
              <w:rPr>
                <w:rFonts w:ascii="宋体" w:hAnsi="宋体" w:cs="宋体"/>
                <w:sz w:val="24"/>
              </w:rPr>
              <w:t xml:space="preserve">            </w:t>
            </w:r>
            <w:r>
              <w:rPr>
                <w:rFonts w:hint="eastAsia" w:ascii="宋体" w:hAnsi="宋体" w:cs="宋体"/>
                <w:sz w:val="24"/>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pPr>
              <w:jc w:val="center"/>
              <w:rPr>
                <w:rFonts w:ascii="宋体"/>
                <w:sz w:val="24"/>
              </w:rPr>
            </w:pPr>
            <w:r>
              <w:rPr>
                <w:rFonts w:hint="eastAsia" w:ascii="宋体" w:hAnsi="宋体" w:cs="宋体"/>
                <w:sz w:val="24"/>
              </w:rPr>
              <w:t>担任过</w:t>
            </w:r>
            <w:r>
              <w:rPr>
                <w:rFonts w:ascii="宋体" w:hAnsi="宋体" w:cs="宋体"/>
                <w:sz w:val="24"/>
              </w:rPr>
              <w:t xml:space="preserve">         </w:t>
            </w:r>
            <w:r>
              <w:rPr>
                <w:rFonts w:hint="eastAsia" w:ascii="宋体" w:hAnsi="宋体" w:cs="宋体"/>
                <w:sz w:val="24"/>
              </w:rPr>
              <w:t>项目负责人的业绩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sz w:val="24"/>
              </w:rPr>
            </w:pPr>
            <w:r>
              <w:rPr>
                <w:rFonts w:hint="eastAsia" w:ascii="宋体" w:hAnsi="宋体" w:cs="宋体"/>
                <w:sz w:val="24"/>
              </w:rPr>
              <w:t>时</w:t>
            </w:r>
            <w:r>
              <w:rPr>
                <w:rFonts w:ascii="宋体" w:hAnsi="宋体" w:cs="宋体"/>
                <w:sz w:val="24"/>
              </w:rPr>
              <w:t xml:space="preserve">  </w:t>
            </w:r>
            <w:r>
              <w:rPr>
                <w:rFonts w:hint="eastAsia" w:ascii="宋体" w:hAnsi="宋体" w:cs="宋体"/>
                <w:sz w:val="24"/>
              </w:rPr>
              <w:t>间</w:t>
            </w:r>
          </w:p>
        </w:tc>
        <w:tc>
          <w:tcPr>
            <w:tcW w:w="3745" w:type="dxa"/>
            <w:gridSpan w:val="3"/>
            <w:vAlign w:val="center"/>
          </w:tcPr>
          <w:p>
            <w:pPr>
              <w:jc w:val="center"/>
              <w:rPr>
                <w:rFonts w:ascii="宋体"/>
                <w:sz w:val="24"/>
              </w:rPr>
            </w:pPr>
            <w:r>
              <w:rPr>
                <w:rFonts w:hint="eastAsia" w:ascii="宋体" w:hAnsi="宋体" w:cs="宋体"/>
                <w:sz w:val="24"/>
              </w:rPr>
              <w:t>项目名称</w:t>
            </w:r>
          </w:p>
        </w:tc>
        <w:tc>
          <w:tcPr>
            <w:tcW w:w="2002" w:type="dxa"/>
            <w:vAlign w:val="center"/>
          </w:tcPr>
          <w:p>
            <w:pPr>
              <w:jc w:val="center"/>
              <w:rPr>
                <w:rFonts w:ascii="宋体"/>
                <w:sz w:val="24"/>
              </w:rPr>
            </w:pPr>
            <w:r>
              <w:rPr>
                <w:rFonts w:hint="eastAsia" w:ascii="宋体" w:hAnsi="宋体" w:cs="宋体"/>
                <w:sz w:val="24"/>
              </w:rPr>
              <w:t>项目概况说明</w:t>
            </w:r>
          </w:p>
        </w:tc>
        <w:tc>
          <w:tcPr>
            <w:tcW w:w="2307" w:type="dxa"/>
            <w:vAlign w:val="center"/>
          </w:tcPr>
          <w:p>
            <w:pPr>
              <w:jc w:val="center"/>
              <w:rPr>
                <w:rFonts w:ascii="宋体"/>
                <w:sz w:val="24"/>
              </w:rPr>
            </w:pPr>
            <w:r>
              <w:rPr>
                <w:rFonts w:hint="eastAsia" w:ascii="宋体" w:hAnsi="宋体" w:cs="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sz w:val="24"/>
              </w:rPr>
            </w:pPr>
          </w:p>
        </w:tc>
        <w:tc>
          <w:tcPr>
            <w:tcW w:w="3745" w:type="dxa"/>
            <w:gridSpan w:val="3"/>
            <w:vAlign w:val="center"/>
          </w:tcPr>
          <w:p>
            <w:pPr>
              <w:jc w:val="center"/>
              <w:rPr>
                <w:rFonts w:ascii="宋体"/>
                <w:sz w:val="24"/>
              </w:rPr>
            </w:pPr>
          </w:p>
        </w:tc>
        <w:tc>
          <w:tcPr>
            <w:tcW w:w="2002" w:type="dxa"/>
            <w:vAlign w:val="center"/>
          </w:tcPr>
          <w:p>
            <w:pPr>
              <w:jc w:val="center"/>
              <w:rPr>
                <w:rFonts w:ascii="宋体"/>
                <w:sz w:val="24"/>
              </w:rPr>
            </w:pPr>
          </w:p>
        </w:tc>
        <w:tc>
          <w:tcPr>
            <w:tcW w:w="2307"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sz w:val="24"/>
              </w:rPr>
            </w:pPr>
          </w:p>
        </w:tc>
        <w:tc>
          <w:tcPr>
            <w:tcW w:w="3745" w:type="dxa"/>
            <w:gridSpan w:val="3"/>
            <w:vAlign w:val="center"/>
          </w:tcPr>
          <w:p>
            <w:pPr>
              <w:jc w:val="center"/>
              <w:rPr>
                <w:rFonts w:ascii="宋体"/>
                <w:sz w:val="24"/>
              </w:rPr>
            </w:pPr>
          </w:p>
        </w:tc>
        <w:tc>
          <w:tcPr>
            <w:tcW w:w="2002" w:type="dxa"/>
            <w:vAlign w:val="center"/>
          </w:tcPr>
          <w:p>
            <w:pPr>
              <w:jc w:val="center"/>
              <w:rPr>
                <w:rFonts w:ascii="宋体"/>
                <w:sz w:val="24"/>
              </w:rPr>
            </w:pPr>
          </w:p>
        </w:tc>
        <w:tc>
          <w:tcPr>
            <w:tcW w:w="2307"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sz w:val="24"/>
              </w:rPr>
            </w:pPr>
          </w:p>
        </w:tc>
        <w:tc>
          <w:tcPr>
            <w:tcW w:w="3745" w:type="dxa"/>
            <w:gridSpan w:val="3"/>
            <w:vAlign w:val="center"/>
          </w:tcPr>
          <w:p>
            <w:pPr>
              <w:jc w:val="center"/>
              <w:rPr>
                <w:rFonts w:ascii="宋体"/>
                <w:sz w:val="24"/>
              </w:rPr>
            </w:pPr>
          </w:p>
        </w:tc>
        <w:tc>
          <w:tcPr>
            <w:tcW w:w="2002" w:type="dxa"/>
            <w:vAlign w:val="center"/>
          </w:tcPr>
          <w:p>
            <w:pPr>
              <w:jc w:val="center"/>
              <w:rPr>
                <w:rFonts w:ascii="宋体"/>
                <w:sz w:val="24"/>
              </w:rPr>
            </w:pPr>
          </w:p>
        </w:tc>
        <w:tc>
          <w:tcPr>
            <w:tcW w:w="2307"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sz w:val="24"/>
              </w:rPr>
            </w:pPr>
          </w:p>
        </w:tc>
        <w:tc>
          <w:tcPr>
            <w:tcW w:w="3745" w:type="dxa"/>
            <w:gridSpan w:val="3"/>
            <w:vAlign w:val="center"/>
          </w:tcPr>
          <w:p>
            <w:pPr>
              <w:jc w:val="center"/>
              <w:rPr>
                <w:rFonts w:ascii="宋体"/>
                <w:sz w:val="24"/>
              </w:rPr>
            </w:pPr>
          </w:p>
        </w:tc>
        <w:tc>
          <w:tcPr>
            <w:tcW w:w="2002" w:type="dxa"/>
            <w:vAlign w:val="center"/>
          </w:tcPr>
          <w:p>
            <w:pPr>
              <w:jc w:val="center"/>
              <w:rPr>
                <w:rFonts w:ascii="宋体"/>
                <w:sz w:val="24"/>
              </w:rPr>
            </w:pPr>
          </w:p>
        </w:tc>
        <w:tc>
          <w:tcPr>
            <w:tcW w:w="2307"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sz w:val="24"/>
              </w:rPr>
            </w:pPr>
          </w:p>
        </w:tc>
        <w:tc>
          <w:tcPr>
            <w:tcW w:w="3745" w:type="dxa"/>
            <w:gridSpan w:val="3"/>
            <w:vAlign w:val="center"/>
          </w:tcPr>
          <w:p>
            <w:pPr>
              <w:jc w:val="center"/>
              <w:rPr>
                <w:rFonts w:ascii="宋体"/>
                <w:sz w:val="24"/>
              </w:rPr>
            </w:pPr>
          </w:p>
        </w:tc>
        <w:tc>
          <w:tcPr>
            <w:tcW w:w="2002" w:type="dxa"/>
            <w:vAlign w:val="center"/>
          </w:tcPr>
          <w:p>
            <w:pPr>
              <w:jc w:val="center"/>
              <w:rPr>
                <w:rFonts w:ascii="宋体"/>
                <w:sz w:val="24"/>
              </w:rPr>
            </w:pPr>
          </w:p>
        </w:tc>
        <w:tc>
          <w:tcPr>
            <w:tcW w:w="2307" w:type="dxa"/>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tcBorders>
              <w:bottom w:val="single" w:color="auto" w:sz="12" w:space="0"/>
            </w:tcBorders>
            <w:vAlign w:val="center"/>
          </w:tcPr>
          <w:p>
            <w:pPr>
              <w:jc w:val="center"/>
              <w:rPr>
                <w:rFonts w:ascii="宋体"/>
                <w:sz w:val="24"/>
              </w:rPr>
            </w:pPr>
          </w:p>
        </w:tc>
        <w:tc>
          <w:tcPr>
            <w:tcW w:w="3745" w:type="dxa"/>
            <w:gridSpan w:val="3"/>
            <w:tcBorders>
              <w:bottom w:val="single" w:color="auto" w:sz="12" w:space="0"/>
            </w:tcBorders>
            <w:vAlign w:val="center"/>
          </w:tcPr>
          <w:p>
            <w:pPr>
              <w:jc w:val="center"/>
              <w:rPr>
                <w:rFonts w:ascii="宋体"/>
                <w:sz w:val="24"/>
              </w:rPr>
            </w:pPr>
          </w:p>
        </w:tc>
        <w:tc>
          <w:tcPr>
            <w:tcW w:w="2002" w:type="dxa"/>
            <w:tcBorders>
              <w:bottom w:val="single" w:color="auto" w:sz="12" w:space="0"/>
            </w:tcBorders>
            <w:vAlign w:val="center"/>
          </w:tcPr>
          <w:p>
            <w:pPr>
              <w:jc w:val="center"/>
              <w:rPr>
                <w:rFonts w:ascii="宋体"/>
                <w:sz w:val="24"/>
              </w:rPr>
            </w:pPr>
          </w:p>
        </w:tc>
        <w:tc>
          <w:tcPr>
            <w:tcW w:w="2307" w:type="dxa"/>
            <w:tcBorders>
              <w:bottom w:val="single" w:color="auto" w:sz="12" w:space="0"/>
            </w:tcBorders>
            <w:vAlign w:val="center"/>
          </w:tcPr>
          <w:p>
            <w:pPr>
              <w:jc w:val="center"/>
              <w:rPr>
                <w:rFonts w:ascii="宋体"/>
                <w:sz w:val="24"/>
              </w:rPr>
            </w:pPr>
          </w:p>
        </w:tc>
      </w:tr>
    </w:tbl>
    <w:p>
      <w:pPr>
        <w:rPr>
          <w:rFonts w:hAnsi="宋体" w:cs="宋体"/>
          <w:b/>
          <w:bCs/>
          <w:kern w:val="58"/>
          <w:sz w:val="24"/>
        </w:rPr>
      </w:pPr>
    </w:p>
    <w:p>
      <w:pPr>
        <w:rPr>
          <w:rFonts w:hAnsi="宋体" w:cs="宋体"/>
          <w:b/>
          <w:bCs/>
          <w:kern w:val="58"/>
          <w:sz w:val="24"/>
        </w:rPr>
      </w:pPr>
    </w:p>
    <w:p>
      <w:pPr>
        <w:rPr>
          <w:rFonts w:hAnsi="宋体" w:cs="宋体"/>
          <w:b/>
          <w:bCs/>
          <w:kern w:val="58"/>
          <w:sz w:val="24"/>
        </w:rPr>
      </w:pPr>
    </w:p>
    <w:p>
      <w:pPr>
        <w:rPr>
          <w:rFonts w:hAnsi="宋体" w:cs="宋体"/>
          <w:b/>
          <w:bCs/>
          <w:kern w:val="58"/>
          <w:sz w:val="24"/>
        </w:rPr>
      </w:pPr>
    </w:p>
    <w:p>
      <w:pPr>
        <w:rPr>
          <w:rFonts w:hAnsi="宋体" w:cs="宋体"/>
          <w:b/>
          <w:bCs/>
          <w:kern w:val="58"/>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snapToGrid w:val="0"/>
        <w:spacing w:before="50" w:after="156" w:afterLines="50" w:line="360" w:lineRule="auto"/>
        <w:jc w:val="left"/>
        <w:outlineLvl w:val="2"/>
        <w:rPr>
          <w:rFonts w:ascii="宋体" w:hAnsi="宋体"/>
          <w:b/>
          <w:sz w:val="24"/>
        </w:rPr>
      </w:pPr>
    </w:p>
    <w:p>
      <w:pPr>
        <w:rPr>
          <w:rFonts w:ascii="宋体" w:hAnsi="宋体"/>
          <w:b/>
          <w:sz w:val="24"/>
        </w:rPr>
      </w:pPr>
    </w:p>
    <w:p>
      <w:pPr>
        <w:rPr>
          <w:rFonts w:ascii="宋体" w:cs="宋体"/>
          <w:b/>
          <w:bCs/>
          <w:sz w:val="24"/>
        </w:rPr>
      </w:pPr>
      <w:r>
        <w:rPr>
          <w:rFonts w:hint="eastAsia" w:ascii="宋体" w:cs="宋体"/>
          <w:b/>
          <w:bCs/>
          <w:sz w:val="24"/>
        </w:rPr>
        <w:br w:type="page"/>
      </w:r>
    </w:p>
    <w:p>
      <w:pPr>
        <w:snapToGrid w:val="0"/>
        <w:spacing w:before="50" w:after="156" w:afterLines="50"/>
        <w:jc w:val="left"/>
        <w:rPr>
          <w:rFonts w:ascii="宋体" w:cs="宋体"/>
          <w:b/>
          <w:bCs/>
          <w:sz w:val="24"/>
        </w:rPr>
      </w:pPr>
      <w:r>
        <w:rPr>
          <w:rFonts w:hint="eastAsia" w:ascii="宋体" w:cs="宋体"/>
          <w:b/>
          <w:bCs/>
          <w:sz w:val="24"/>
        </w:rPr>
        <w:t>2.8：</w:t>
      </w:r>
    </w:p>
    <w:p>
      <w:pPr>
        <w:snapToGrid w:val="0"/>
        <w:spacing w:before="50" w:after="156" w:afterLines="50"/>
        <w:ind w:firstLine="1920" w:firstLineChars="800"/>
        <w:jc w:val="left"/>
        <w:rPr>
          <w:rFonts w:ascii="宋体"/>
          <w:b/>
          <w:bCs/>
          <w:sz w:val="24"/>
        </w:rPr>
      </w:pPr>
      <w:r>
        <w:rPr>
          <w:rFonts w:hint="eastAsia" w:ascii="宋体" w:hAnsi="宋体" w:cs="宋体"/>
          <w:b/>
          <w:bCs/>
          <w:sz w:val="24"/>
        </w:rPr>
        <w:t>磋商响应方成功实施的同类项目的业绩或者案例</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5"/>
        <w:gridCol w:w="972"/>
        <w:gridCol w:w="197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103" w:type="dxa"/>
            <w:vAlign w:val="center"/>
          </w:tcPr>
          <w:p>
            <w:pPr>
              <w:snapToGrid w:val="0"/>
              <w:spacing w:before="50" w:after="50" w:line="500" w:lineRule="exact"/>
              <w:jc w:val="center"/>
              <w:rPr>
                <w:rFonts w:ascii="宋体"/>
                <w:sz w:val="24"/>
              </w:rPr>
            </w:pPr>
            <w:r>
              <w:rPr>
                <w:rFonts w:hint="eastAsia" w:ascii="宋体" w:hAnsi="宋体" w:cs="宋体"/>
                <w:sz w:val="24"/>
              </w:rPr>
              <w:t>项目名称</w:t>
            </w:r>
          </w:p>
        </w:tc>
        <w:tc>
          <w:tcPr>
            <w:tcW w:w="1045" w:type="dxa"/>
            <w:vAlign w:val="center"/>
          </w:tcPr>
          <w:p>
            <w:pPr>
              <w:snapToGrid w:val="0"/>
              <w:spacing w:before="50" w:after="50" w:line="500" w:lineRule="exact"/>
              <w:ind w:right="-113" w:rightChars="-54"/>
              <w:jc w:val="center"/>
              <w:rPr>
                <w:rFonts w:ascii="宋体"/>
                <w:sz w:val="24"/>
              </w:rPr>
            </w:pPr>
            <w:r>
              <w:rPr>
                <w:rFonts w:hint="eastAsia" w:ascii="宋体" w:hAnsi="宋体" w:cs="宋体"/>
                <w:sz w:val="24"/>
              </w:rPr>
              <w:t>类型</w:t>
            </w:r>
          </w:p>
        </w:tc>
        <w:tc>
          <w:tcPr>
            <w:tcW w:w="972" w:type="dxa"/>
            <w:vAlign w:val="center"/>
          </w:tcPr>
          <w:p>
            <w:pPr>
              <w:snapToGrid w:val="0"/>
              <w:spacing w:before="50" w:after="50" w:line="500" w:lineRule="exact"/>
              <w:jc w:val="center"/>
              <w:rPr>
                <w:rFonts w:ascii="宋体"/>
                <w:sz w:val="24"/>
              </w:rPr>
            </w:pPr>
            <w:r>
              <w:rPr>
                <w:rFonts w:hint="eastAsia" w:ascii="宋体" w:hAnsi="宋体" w:cs="宋体"/>
                <w:sz w:val="24"/>
              </w:rPr>
              <w:t>地点</w:t>
            </w:r>
          </w:p>
        </w:tc>
        <w:tc>
          <w:tcPr>
            <w:tcW w:w="1970" w:type="dxa"/>
            <w:vAlign w:val="center"/>
          </w:tcPr>
          <w:p>
            <w:pPr>
              <w:snapToGrid w:val="0"/>
              <w:spacing w:before="50" w:after="50" w:line="500" w:lineRule="exact"/>
              <w:jc w:val="center"/>
              <w:rPr>
                <w:rFonts w:ascii="宋体"/>
                <w:sz w:val="24"/>
              </w:rPr>
            </w:pPr>
            <w:r>
              <w:rPr>
                <w:rFonts w:hint="eastAsia" w:ascii="宋体" w:hAnsi="宋体" w:cs="宋体"/>
                <w:sz w:val="24"/>
              </w:rPr>
              <w:t>委托</w:t>
            </w:r>
          </w:p>
          <w:p>
            <w:pPr>
              <w:snapToGrid w:val="0"/>
              <w:spacing w:before="50" w:after="50" w:line="500" w:lineRule="exact"/>
              <w:jc w:val="center"/>
              <w:rPr>
                <w:rFonts w:ascii="宋体"/>
                <w:sz w:val="24"/>
              </w:rPr>
            </w:pPr>
            <w:r>
              <w:rPr>
                <w:rFonts w:hint="eastAsia" w:ascii="宋体" w:hAnsi="宋体" w:cs="宋体"/>
                <w:sz w:val="24"/>
              </w:rPr>
              <w:t>单位</w:t>
            </w:r>
          </w:p>
        </w:tc>
        <w:tc>
          <w:tcPr>
            <w:tcW w:w="1943" w:type="dxa"/>
            <w:vAlign w:val="center"/>
          </w:tcPr>
          <w:p>
            <w:pPr>
              <w:snapToGrid w:val="0"/>
              <w:spacing w:before="50" w:after="50" w:line="500" w:lineRule="exact"/>
              <w:jc w:val="center"/>
              <w:rPr>
                <w:rFonts w:ascii="宋体"/>
                <w:sz w:val="24"/>
              </w:rPr>
            </w:pPr>
            <w:r>
              <w:rPr>
                <w:rFonts w:hint="eastAsia" w:ascii="宋体" w:hAnsi="宋体" w:cs="宋体"/>
                <w:sz w:val="24"/>
              </w:rPr>
              <w:t>中标日期或合同签订日期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pPr>
              <w:spacing w:before="50" w:after="50" w:line="500" w:lineRule="exact"/>
              <w:jc w:val="left"/>
              <w:rPr>
                <w:rFonts w:ascii="宋体"/>
                <w:sz w:val="24"/>
              </w:rPr>
            </w:pPr>
          </w:p>
        </w:tc>
        <w:tc>
          <w:tcPr>
            <w:tcW w:w="1045" w:type="dxa"/>
          </w:tcPr>
          <w:p>
            <w:pPr>
              <w:spacing w:before="50" w:after="50" w:line="500" w:lineRule="exact"/>
              <w:jc w:val="left"/>
              <w:rPr>
                <w:rFonts w:ascii="宋体"/>
                <w:sz w:val="24"/>
              </w:rPr>
            </w:pPr>
          </w:p>
        </w:tc>
        <w:tc>
          <w:tcPr>
            <w:tcW w:w="972" w:type="dxa"/>
          </w:tcPr>
          <w:p>
            <w:pPr>
              <w:spacing w:before="50" w:after="50" w:line="500" w:lineRule="exact"/>
              <w:jc w:val="left"/>
              <w:rPr>
                <w:rFonts w:ascii="宋体"/>
                <w:sz w:val="24"/>
              </w:rPr>
            </w:pPr>
          </w:p>
        </w:tc>
        <w:tc>
          <w:tcPr>
            <w:tcW w:w="1970" w:type="dxa"/>
          </w:tcPr>
          <w:p>
            <w:pPr>
              <w:spacing w:before="50" w:after="50" w:line="500" w:lineRule="exact"/>
              <w:jc w:val="left"/>
              <w:rPr>
                <w:rFonts w:ascii="宋体"/>
                <w:sz w:val="24"/>
              </w:rPr>
            </w:pPr>
          </w:p>
        </w:tc>
        <w:tc>
          <w:tcPr>
            <w:tcW w:w="1943" w:type="dxa"/>
          </w:tcPr>
          <w:p>
            <w:pPr>
              <w:spacing w:before="50" w:after="50" w:line="500" w:lineRule="exact"/>
              <w:jc w:val="left"/>
              <w:rPr>
                <w:rFonts w:ascii="宋体"/>
                <w:sz w:val="24"/>
              </w:rPr>
            </w:pPr>
          </w:p>
        </w:tc>
      </w:tr>
    </w:tbl>
    <w:p>
      <w:pPr>
        <w:rPr>
          <w:rFonts w:ascii="宋体"/>
          <w:sz w:val="24"/>
        </w:rPr>
      </w:pPr>
    </w:p>
    <w:p>
      <w:pPr>
        <w:snapToGrid w:val="0"/>
        <w:spacing w:before="50" w:after="156" w:afterLines="50"/>
        <w:jc w:val="left"/>
        <w:rPr>
          <w:rFonts w:ascii="宋体"/>
          <w:b/>
          <w:bCs/>
          <w:sz w:val="24"/>
        </w:rPr>
      </w:pPr>
    </w:p>
    <w:p>
      <w:pPr>
        <w:pStyle w:val="27"/>
        <w:tabs>
          <w:tab w:val="left" w:pos="4312"/>
        </w:tabs>
        <w:spacing w:before="156" w:after="156" w:line="360" w:lineRule="auto"/>
        <w:rPr>
          <w:rFonts w:hAnsi="宋体"/>
          <w:szCs w:val="24"/>
        </w:rPr>
      </w:pPr>
      <w:r>
        <w:rPr>
          <w:rFonts w:hint="eastAsia" w:hAnsi="宋体"/>
          <w:szCs w:val="24"/>
        </w:rPr>
        <w:t>日期：</w:t>
      </w:r>
    </w:p>
    <w:p>
      <w:pPr>
        <w:snapToGrid w:val="0"/>
        <w:spacing w:before="50" w:after="156" w:afterLines="50"/>
        <w:jc w:val="left"/>
        <w:rPr>
          <w:rFonts w:ascii="宋体"/>
          <w:b/>
          <w:sz w:val="24"/>
        </w:rPr>
      </w:pP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r>
        <w:rPr>
          <w:rFonts w:hint="eastAsia" w:ascii="宋体" w:hAnsi="宋体"/>
          <w:b/>
          <w:sz w:val="24"/>
        </w:rPr>
        <w:t>2.9</w:t>
      </w:r>
    </w:p>
    <w:p>
      <w:pPr>
        <w:snapToGrid w:val="0"/>
        <w:spacing w:before="50" w:after="156" w:afterLines="50"/>
        <w:jc w:val="center"/>
        <w:rPr>
          <w:rFonts w:ascii="宋体"/>
          <w:b/>
          <w:sz w:val="24"/>
        </w:rPr>
      </w:pPr>
      <w:r>
        <w:rPr>
          <w:rFonts w:hint="eastAsia" w:ascii="宋体"/>
          <w:b/>
          <w:sz w:val="24"/>
        </w:rPr>
        <w:t>商务响应表</w:t>
      </w:r>
    </w:p>
    <w:tbl>
      <w:tblPr>
        <w:tblStyle w:val="47"/>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hAnsi="宋体" w:cs="宋体"/>
                <w:bCs/>
                <w:sz w:val="24"/>
              </w:rPr>
              <w:t>磋商</w:t>
            </w:r>
            <w:r>
              <w:rPr>
                <w:rFonts w:hint="eastAsia" w:ascii="宋体"/>
                <w:sz w:val="24"/>
              </w:rPr>
              <w:t>文件要求</w:t>
            </w: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hAnsi="宋体"/>
                <w:sz w:val="24"/>
              </w:rPr>
              <w:t>磋商响应</w:t>
            </w:r>
            <w:r>
              <w:rPr>
                <w:rFonts w:hint="eastAsia" w:ascii="宋体"/>
                <w:sz w:val="24"/>
              </w:rPr>
              <w:t>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一、免费质保期</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二、售后服务要求</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三、售后服务保障或维修响应时间要求</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四、交货时间及地点</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五、付款方式</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六、安装</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七、培训</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240" w:lineRule="auto"/>
              <w:outlineLvl w:val="0"/>
            </w:pPr>
            <w:r>
              <w:rPr>
                <w:rFonts w:hint="eastAsia"/>
              </w:rPr>
              <w:t>……</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bl>
    <w:p>
      <w:pPr>
        <w:snapToGrid w:val="0"/>
        <w:spacing w:before="156" w:beforeLines="50"/>
        <w:rPr>
          <w:rFonts w:ascii="宋体"/>
          <w:sz w:val="24"/>
          <w:szCs w:val="20"/>
        </w:rPr>
      </w:pPr>
    </w:p>
    <w:p>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pPr>
        <w:snapToGrid w:val="0"/>
        <w:spacing w:before="50" w:after="50"/>
        <w:rPr>
          <w:rFonts w:ascii="宋体"/>
          <w:spacing w:val="20"/>
          <w:sz w:val="24"/>
          <w:u w:val="single"/>
        </w:rPr>
      </w:pPr>
      <w:r>
        <w:rPr>
          <w:rFonts w:hint="eastAsia"/>
          <w:sz w:val="24"/>
        </w:rPr>
        <w:t>磋商响应</w:t>
      </w:r>
      <w:r>
        <w:rPr>
          <w:sz w:val="24"/>
        </w:rPr>
        <w:t>单位</w:t>
      </w:r>
      <w:r>
        <w:rPr>
          <w:rFonts w:hint="eastAsia" w:ascii="宋体"/>
          <w:spacing w:val="20"/>
          <w:sz w:val="24"/>
        </w:rPr>
        <w:t>盖章：              日 期：</w:t>
      </w:r>
    </w:p>
    <w:p>
      <w:pPr>
        <w:rPr>
          <w:rFonts w:ascii="宋体" w:hAnsi="宋体"/>
          <w:b/>
          <w:sz w:val="24"/>
        </w:rPr>
      </w:pPr>
      <w:r>
        <w:rPr>
          <w:rFonts w:hint="eastAsia" w:ascii="宋体" w:hAnsi="宋体"/>
          <w:b/>
          <w:sz w:val="24"/>
        </w:rPr>
        <w:br w:type="page"/>
      </w:r>
    </w:p>
    <w:p>
      <w:pPr>
        <w:spacing w:before="50" w:after="50" w:line="500" w:lineRule="exact"/>
        <w:outlineLvl w:val="2"/>
        <w:rPr>
          <w:rFonts w:ascii="宋体" w:hAnsi="宋体"/>
          <w:b/>
          <w:sz w:val="24"/>
        </w:rPr>
      </w:pPr>
      <w:r>
        <w:rPr>
          <w:rFonts w:hint="eastAsia" w:ascii="宋体" w:hAnsi="宋体"/>
          <w:b/>
          <w:sz w:val="24"/>
        </w:rPr>
        <w:t>2.10</w:t>
      </w:r>
    </w:p>
    <w:p>
      <w:pPr>
        <w:spacing w:before="50" w:after="50" w:line="500" w:lineRule="exact"/>
        <w:jc w:val="center"/>
        <w:outlineLvl w:val="2"/>
        <w:rPr>
          <w:rFonts w:ascii="宋体" w:hAnsi="宋体"/>
          <w:b/>
          <w:sz w:val="24"/>
        </w:rPr>
      </w:pPr>
      <w:r>
        <w:rPr>
          <w:rFonts w:hint="eastAsia" w:ascii="宋体" w:hAnsi="宋体"/>
          <w:b/>
          <w:sz w:val="24"/>
        </w:rPr>
        <w:t>技术响应表格式：</w:t>
      </w:r>
    </w:p>
    <w:tbl>
      <w:tblPr>
        <w:tblStyle w:val="4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2"/>
        <w:gridCol w:w="1922"/>
        <w:gridCol w:w="1746"/>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vAlign w:val="center"/>
          </w:tcPr>
          <w:p>
            <w:pPr>
              <w:jc w:val="center"/>
              <w:rPr>
                <w:rFonts w:ascii="宋体" w:hAnsi="宋体"/>
                <w:sz w:val="24"/>
              </w:rPr>
            </w:pPr>
            <w:r>
              <w:rPr>
                <w:rFonts w:ascii="宋体" w:hAnsi="宋体"/>
                <w:sz w:val="24"/>
              </w:rPr>
              <w:t>序号</w:t>
            </w:r>
          </w:p>
        </w:tc>
        <w:tc>
          <w:tcPr>
            <w:tcW w:w="2342" w:type="dxa"/>
            <w:tcBorders>
              <w:bottom w:val="single" w:color="auto" w:sz="4" w:space="0"/>
            </w:tcBorders>
            <w:vAlign w:val="center"/>
          </w:tcPr>
          <w:p>
            <w:pPr>
              <w:jc w:val="center"/>
              <w:rPr>
                <w:rFonts w:ascii="宋体" w:hAnsi="宋体"/>
                <w:sz w:val="24"/>
              </w:rPr>
            </w:pPr>
            <w:r>
              <w:rPr>
                <w:rFonts w:ascii="宋体" w:hAnsi="宋体"/>
                <w:sz w:val="24"/>
              </w:rPr>
              <w:t>内  容</w:t>
            </w:r>
          </w:p>
        </w:tc>
        <w:tc>
          <w:tcPr>
            <w:tcW w:w="1922" w:type="dxa"/>
            <w:tcBorders>
              <w:bottom w:val="single" w:color="auto" w:sz="4" w:space="0"/>
            </w:tcBorders>
            <w:vAlign w:val="center"/>
          </w:tcPr>
          <w:p>
            <w:pPr>
              <w:jc w:val="center"/>
              <w:rPr>
                <w:rFonts w:ascii="宋体" w:hAnsi="宋体"/>
                <w:sz w:val="24"/>
              </w:rPr>
            </w:pPr>
            <w:r>
              <w:rPr>
                <w:rFonts w:hint="eastAsia" w:ascii="宋体" w:hAnsi="宋体"/>
                <w:sz w:val="24"/>
              </w:rPr>
              <w:t>竞争性磋商文件</w:t>
            </w:r>
          </w:p>
          <w:p>
            <w:pPr>
              <w:jc w:val="center"/>
              <w:rPr>
                <w:rFonts w:ascii="宋体" w:hAnsi="宋体"/>
                <w:sz w:val="24"/>
              </w:rPr>
            </w:pPr>
            <w:r>
              <w:rPr>
                <w:rFonts w:ascii="宋体" w:hAnsi="宋体"/>
                <w:sz w:val="24"/>
              </w:rPr>
              <w:t>规范要求</w:t>
            </w:r>
          </w:p>
        </w:tc>
        <w:tc>
          <w:tcPr>
            <w:tcW w:w="1746" w:type="dxa"/>
            <w:tcBorders>
              <w:bottom w:val="single" w:color="auto" w:sz="4" w:space="0"/>
            </w:tcBorders>
            <w:vAlign w:val="center"/>
          </w:tcPr>
          <w:p>
            <w:pPr>
              <w:jc w:val="center"/>
              <w:rPr>
                <w:rFonts w:ascii="宋体" w:hAnsi="宋体"/>
                <w:sz w:val="24"/>
              </w:rPr>
            </w:pPr>
            <w:r>
              <w:rPr>
                <w:rFonts w:hint="eastAsia" w:ascii="宋体" w:hAnsi="宋体"/>
                <w:sz w:val="24"/>
              </w:rPr>
              <w:t>磋商响应文件</w:t>
            </w:r>
          </w:p>
          <w:p>
            <w:pPr>
              <w:jc w:val="center"/>
              <w:rPr>
                <w:rFonts w:ascii="宋体" w:hAnsi="宋体"/>
                <w:sz w:val="24"/>
              </w:rPr>
            </w:pPr>
            <w:r>
              <w:rPr>
                <w:rFonts w:ascii="宋体" w:hAnsi="宋体"/>
                <w:sz w:val="24"/>
              </w:rPr>
              <w:t>对应规范</w:t>
            </w:r>
          </w:p>
        </w:tc>
        <w:tc>
          <w:tcPr>
            <w:tcW w:w="2332" w:type="dxa"/>
            <w:tcBorders>
              <w:bottom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jc w:val="center"/>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pPr>
              <w:spacing w:line="360" w:lineRule="auto"/>
              <w:rPr>
                <w:rFonts w:ascii="宋体" w:hAnsi="宋体"/>
                <w:sz w:val="24"/>
              </w:rPr>
            </w:pPr>
          </w:p>
        </w:tc>
        <w:tc>
          <w:tcPr>
            <w:tcW w:w="2342" w:type="dxa"/>
          </w:tcPr>
          <w:p>
            <w:pPr>
              <w:spacing w:line="360" w:lineRule="auto"/>
              <w:rPr>
                <w:rFonts w:ascii="宋体" w:hAnsi="宋体"/>
                <w:sz w:val="24"/>
              </w:rPr>
            </w:pPr>
          </w:p>
        </w:tc>
        <w:tc>
          <w:tcPr>
            <w:tcW w:w="1922" w:type="dxa"/>
          </w:tcPr>
          <w:p>
            <w:pPr>
              <w:spacing w:line="360" w:lineRule="auto"/>
              <w:rPr>
                <w:rFonts w:ascii="宋体" w:hAnsi="宋体"/>
                <w:sz w:val="24"/>
              </w:rPr>
            </w:pPr>
          </w:p>
        </w:tc>
        <w:tc>
          <w:tcPr>
            <w:tcW w:w="1746" w:type="dxa"/>
          </w:tcPr>
          <w:p>
            <w:pPr>
              <w:spacing w:line="360" w:lineRule="auto"/>
              <w:rPr>
                <w:rFonts w:ascii="宋体" w:hAnsi="宋体"/>
                <w:sz w:val="24"/>
              </w:rPr>
            </w:pPr>
          </w:p>
        </w:tc>
        <w:tc>
          <w:tcPr>
            <w:tcW w:w="2332" w:type="dxa"/>
          </w:tcPr>
          <w:p>
            <w:pPr>
              <w:spacing w:line="360" w:lineRule="auto"/>
              <w:rPr>
                <w:rFonts w:ascii="宋体" w:hAnsi="宋体"/>
                <w:sz w:val="24"/>
              </w:rPr>
            </w:pPr>
          </w:p>
        </w:tc>
      </w:tr>
    </w:tbl>
    <w:p>
      <w:pPr>
        <w:pStyle w:val="23"/>
        <w:rPr>
          <w:rFonts w:ascii="宋体"/>
          <w:sz w:val="24"/>
        </w:rPr>
      </w:pPr>
    </w:p>
    <w:p>
      <w:pPr>
        <w:pStyle w:val="23"/>
        <w:spacing w:line="360" w:lineRule="auto"/>
        <w:rPr>
          <w:rFonts w:ascii="宋体"/>
          <w:b/>
          <w:spacing w:val="20"/>
          <w:sz w:val="24"/>
        </w:rPr>
      </w:pPr>
      <w:r>
        <w:rPr>
          <w:rFonts w:hint="eastAsia" w:ascii="宋体"/>
          <w:b/>
          <w:sz w:val="24"/>
        </w:rPr>
        <w:t>注：磋商响应方应根据磋商响应货物的性能指标、对照竞争性磋商文件要求在“偏离情况”栏注明“正偏离”、“负偏离”或“无偏离”。</w:t>
      </w:r>
    </w:p>
    <w:p>
      <w:pPr>
        <w:snapToGrid w:val="0"/>
        <w:spacing w:before="50" w:after="50" w:line="360" w:lineRule="auto"/>
        <w:rPr>
          <w:rFonts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pPr>
        <w:snapToGrid w:val="0"/>
        <w:spacing w:before="50" w:after="50" w:line="360" w:lineRule="auto"/>
        <w:rPr>
          <w:rFonts w:ascii="宋体" w:hAnsi="宋体"/>
          <w:spacing w:val="20"/>
          <w:sz w:val="24"/>
        </w:rPr>
      </w:pPr>
      <w:r>
        <w:rPr>
          <w:rFonts w:hint="eastAsia"/>
          <w:sz w:val="24"/>
        </w:rPr>
        <w:t>磋商响应</w:t>
      </w:r>
      <w:r>
        <w:rPr>
          <w:sz w:val="24"/>
        </w:rPr>
        <w:t>单位</w:t>
      </w:r>
      <w:r>
        <w:rPr>
          <w:rFonts w:hint="eastAsia" w:ascii="宋体" w:hAnsi="宋体"/>
          <w:spacing w:val="20"/>
          <w:sz w:val="24"/>
        </w:rPr>
        <w:t>盖章：</w:t>
      </w:r>
    </w:p>
    <w:p>
      <w:pPr>
        <w:snapToGrid w:val="0"/>
        <w:spacing w:before="50" w:after="50" w:line="360" w:lineRule="auto"/>
        <w:rPr>
          <w:rFonts w:ascii="宋体" w:hAnsi="宋体"/>
          <w:sz w:val="24"/>
        </w:rPr>
      </w:pPr>
      <w:r>
        <w:rPr>
          <w:rFonts w:hint="eastAsia" w:ascii="宋体" w:hAnsi="宋体"/>
          <w:spacing w:val="20"/>
          <w:sz w:val="24"/>
        </w:rPr>
        <w:t>日 期：</w:t>
      </w: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p>
    <w:p>
      <w:pPr>
        <w:spacing w:before="50" w:after="50" w:line="500" w:lineRule="exact"/>
        <w:jc w:val="left"/>
        <w:outlineLvl w:val="2"/>
        <w:rPr>
          <w:rFonts w:ascii="宋体" w:hAnsi="宋体"/>
          <w:b/>
          <w:sz w:val="24"/>
        </w:rPr>
      </w:pPr>
    </w:p>
    <w:p>
      <w:pPr>
        <w:rPr>
          <w:rFonts w:ascii="宋体" w:hAnsi="宋体"/>
          <w:b/>
          <w:sz w:val="24"/>
        </w:rPr>
      </w:pPr>
      <w:bookmarkStart w:id="27" w:name="_Toc449173150"/>
      <w:r>
        <w:rPr>
          <w:rFonts w:hint="eastAsia" w:ascii="宋体" w:hAnsi="宋体"/>
          <w:b/>
          <w:sz w:val="24"/>
        </w:rPr>
        <w:br w:type="page"/>
      </w:r>
    </w:p>
    <w:p>
      <w:pPr>
        <w:snapToGrid w:val="0"/>
        <w:spacing w:before="50" w:after="156" w:afterLines="50" w:line="360" w:lineRule="auto"/>
        <w:jc w:val="left"/>
        <w:outlineLvl w:val="2"/>
        <w:rPr>
          <w:rFonts w:ascii="宋体"/>
          <w:b/>
          <w:sz w:val="24"/>
        </w:rPr>
      </w:pPr>
      <w:r>
        <w:rPr>
          <w:rFonts w:hint="eastAsia" w:ascii="宋体" w:hAnsi="宋体"/>
          <w:b/>
          <w:sz w:val="24"/>
        </w:rPr>
        <w:t>2.11磋商响应产品服务计划表：</w:t>
      </w:r>
    </w:p>
    <w:p>
      <w:pPr>
        <w:snapToGrid w:val="0"/>
        <w:spacing w:before="156" w:beforeLines="50" w:after="50" w:line="360" w:lineRule="auto"/>
        <w:jc w:val="center"/>
        <w:rPr>
          <w:rFonts w:ascii="宋体"/>
          <w:b/>
          <w:color w:val="0D0D0D"/>
          <w:sz w:val="24"/>
        </w:rPr>
      </w:pPr>
      <w:r>
        <w:rPr>
          <w:rFonts w:hint="eastAsia" w:ascii="宋体" w:hAnsi="宋体"/>
          <w:b/>
          <w:sz w:val="24"/>
        </w:rPr>
        <w:t>磋商响应</w:t>
      </w:r>
      <w:r>
        <w:rPr>
          <w:rFonts w:hint="eastAsia" w:ascii="宋体" w:hAnsi="宋体"/>
          <w:b/>
          <w:color w:val="0D0D0D"/>
          <w:sz w:val="24"/>
        </w:rPr>
        <w:t>产品服务计划表</w:t>
      </w:r>
    </w:p>
    <w:p>
      <w:pPr>
        <w:snapToGrid w:val="0"/>
        <w:spacing w:before="156" w:beforeLines="50" w:after="50" w:line="360" w:lineRule="auto"/>
        <w:jc w:val="center"/>
        <w:rPr>
          <w:rFonts w:ascii="宋体"/>
          <w:b/>
          <w:color w:val="0D0D0D"/>
          <w:sz w:val="24"/>
        </w:rPr>
      </w:pP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699"/>
        <w:gridCol w:w="18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hint="eastAsia" w:ascii="宋体" w:hAnsi="宋体"/>
                <w:color w:val="0D0D0D"/>
                <w:sz w:val="24"/>
              </w:rPr>
              <w:t>序号</w:t>
            </w:r>
          </w:p>
        </w:tc>
        <w:tc>
          <w:tcPr>
            <w:tcW w:w="4699" w:type="dxa"/>
            <w:vAlign w:val="center"/>
          </w:tcPr>
          <w:p>
            <w:pPr>
              <w:spacing w:before="156" w:beforeLines="50" w:after="156" w:afterLines="50" w:line="360" w:lineRule="auto"/>
              <w:jc w:val="center"/>
              <w:rPr>
                <w:rFonts w:ascii="宋体"/>
                <w:color w:val="0D0D0D"/>
                <w:sz w:val="24"/>
              </w:rPr>
            </w:pPr>
            <w:r>
              <w:rPr>
                <w:rFonts w:hint="eastAsia" w:ascii="宋体" w:hAnsi="宋体"/>
                <w:color w:val="0D0D0D"/>
                <w:sz w:val="24"/>
              </w:rPr>
              <w:t>质量保障措施及服务内容</w:t>
            </w:r>
          </w:p>
        </w:tc>
        <w:tc>
          <w:tcPr>
            <w:tcW w:w="1865" w:type="dxa"/>
            <w:vAlign w:val="center"/>
          </w:tcPr>
          <w:p>
            <w:pPr>
              <w:spacing w:before="156" w:beforeLines="50" w:after="156" w:afterLines="50" w:line="360" w:lineRule="auto"/>
              <w:jc w:val="center"/>
              <w:rPr>
                <w:rFonts w:ascii="宋体"/>
                <w:color w:val="0D0D0D"/>
                <w:sz w:val="24"/>
              </w:rPr>
            </w:pPr>
            <w:r>
              <w:rPr>
                <w:rFonts w:hint="eastAsia" w:ascii="宋体" w:hAnsi="宋体"/>
                <w:color w:val="0D0D0D"/>
                <w:sz w:val="24"/>
              </w:rPr>
              <w:t>承诺</w:t>
            </w:r>
          </w:p>
        </w:tc>
        <w:tc>
          <w:tcPr>
            <w:tcW w:w="1896" w:type="dxa"/>
            <w:vAlign w:val="center"/>
          </w:tcPr>
          <w:p>
            <w:pPr>
              <w:spacing w:before="156" w:beforeLines="50" w:after="156" w:afterLines="50" w:line="360" w:lineRule="auto"/>
              <w:jc w:val="center"/>
              <w:rPr>
                <w:rFonts w:ascii="宋体"/>
                <w:color w:val="0D0D0D"/>
                <w:sz w:val="24"/>
              </w:rPr>
            </w:pPr>
            <w:r>
              <w:rPr>
                <w:rFonts w:hint="eastAsia" w:ascii="宋体" w:hAnsi="宋体"/>
                <w:color w:val="0D0D0D"/>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1</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整机保修</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2</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有关技术人员现场免费提供安装、调试服务</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3</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整机免费换货期限</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4</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免费上门服务期限</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5</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质保期内产品故障服务响应时限</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6</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服务时间响应</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7</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质保期满的保修服务费用</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spacing w:before="156" w:beforeLines="50" w:after="156" w:afterLines="50" w:line="360" w:lineRule="auto"/>
              <w:jc w:val="center"/>
              <w:rPr>
                <w:rFonts w:ascii="宋体"/>
                <w:color w:val="0D0D0D"/>
                <w:sz w:val="24"/>
              </w:rPr>
            </w:pPr>
            <w:r>
              <w:rPr>
                <w:rFonts w:ascii="宋体" w:hAnsi="宋体"/>
                <w:color w:val="0D0D0D"/>
                <w:sz w:val="24"/>
              </w:rPr>
              <w:t>8</w:t>
            </w:r>
          </w:p>
        </w:tc>
        <w:tc>
          <w:tcPr>
            <w:tcW w:w="4699" w:type="dxa"/>
            <w:vAlign w:val="center"/>
          </w:tcPr>
          <w:p>
            <w:pPr>
              <w:spacing w:before="156" w:beforeLines="50" w:after="156" w:afterLines="50" w:line="360" w:lineRule="auto"/>
              <w:rPr>
                <w:rFonts w:ascii="宋体"/>
                <w:color w:val="0D0D0D"/>
                <w:sz w:val="24"/>
              </w:rPr>
            </w:pPr>
            <w:r>
              <w:rPr>
                <w:rFonts w:hint="eastAsia" w:ascii="宋体" w:hAnsi="宋体"/>
                <w:color w:val="0D0D0D"/>
                <w:sz w:val="24"/>
              </w:rPr>
              <w:t>交货时间</w:t>
            </w:r>
          </w:p>
        </w:tc>
        <w:tc>
          <w:tcPr>
            <w:tcW w:w="1865" w:type="dxa"/>
          </w:tcPr>
          <w:p>
            <w:pPr>
              <w:spacing w:before="156" w:beforeLines="50" w:after="156" w:afterLines="50" w:line="360" w:lineRule="auto"/>
              <w:rPr>
                <w:rFonts w:ascii="宋体"/>
                <w:b/>
                <w:color w:val="0D0D0D"/>
                <w:sz w:val="24"/>
                <w:u w:val="single"/>
              </w:rPr>
            </w:pPr>
          </w:p>
        </w:tc>
        <w:tc>
          <w:tcPr>
            <w:tcW w:w="1896" w:type="dxa"/>
          </w:tcPr>
          <w:p>
            <w:pPr>
              <w:spacing w:before="156" w:beforeLines="50" w:after="156" w:afterLines="50" w:line="360" w:lineRule="auto"/>
              <w:rPr>
                <w:rFonts w:ascii="宋体"/>
                <w:b/>
                <w:color w:val="0D0D0D"/>
                <w:sz w:val="24"/>
                <w:u w:val="single"/>
              </w:rPr>
            </w:pPr>
          </w:p>
        </w:tc>
      </w:tr>
    </w:tbl>
    <w:p>
      <w:pPr>
        <w:rPr>
          <w:rFonts w:ascii="宋体" w:hAnsi="宋体" w:cs="宋体"/>
          <w:b/>
          <w:sz w:val="24"/>
        </w:rPr>
      </w:pPr>
    </w:p>
    <w:p>
      <w:pPr>
        <w:spacing w:before="156" w:beforeLines="50" w:after="156" w:afterLines="50" w:line="360" w:lineRule="auto"/>
        <w:ind w:firstLine="4800" w:firstLineChars="2000"/>
        <w:rPr>
          <w:color w:val="0D0D0D"/>
          <w:sz w:val="24"/>
        </w:rPr>
      </w:pPr>
      <w:r>
        <w:rPr>
          <w:rFonts w:hint="eastAsia"/>
          <w:sz w:val="24"/>
        </w:rPr>
        <w:t>磋商响应</w:t>
      </w:r>
      <w:r>
        <w:rPr>
          <w:sz w:val="24"/>
        </w:rPr>
        <w:t>单位</w:t>
      </w:r>
      <w:r>
        <w:rPr>
          <w:rFonts w:hint="eastAsia"/>
          <w:color w:val="0D0D0D"/>
          <w:sz w:val="24"/>
        </w:rPr>
        <w:t>（公章）：</w:t>
      </w:r>
    </w:p>
    <w:p>
      <w:pPr>
        <w:spacing w:before="156" w:beforeLines="50" w:after="156" w:afterLines="50" w:line="360" w:lineRule="auto"/>
        <w:ind w:firstLine="720" w:firstLineChars="300"/>
        <w:jc w:val="center"/>
        <w:rPr>
          <w:color w:val="0D0D0D"/>
          <w:sz w:val="24"/>
        </w:rPr>
      </w:pPr>
      <w:r>
        <w:rPr>
          <w:rFonts w:hint="eastAsia"/>
          <w:color w:val="0D0D0D"/>
          <w:sz w:val="24"/>
        </w:rPr>
        <w:t xml:space="preserve">                       </w:t>
      </w:r>
      <w:r>
        <w:rPr>
          <w:rFonts w:hint="eastAsia"/>
          <w:sz w:val="24"/>
        </w:rPr>
        <w:t>磋商响应</w:t>
      </w:r>
      <w:r>
        <w:rPr>
          <w:rFonts w:hint="eastAsia"/>
          <w:color w:val="0D0D0D"/>
          <w:sz w:val="24"/>
        </w:rPr>
        <w:t>方授权代表签字：</w:t>
      </w:r>
    </w:p>
    <w:p>
      <w:pPr>
        <w:spacing w:before="156" w:beforeLines="50" w:after="156" w:afterLines="50" w:line="360" w:lineRule="auto"/>
        <w:ind w:firstLine="6000" w:firstLineChars="2500"/>
        <w:rPr>
          <w:color w:val="0D0D0D"/>
          <w:sz w:val="24"/>
        </w:rPr>
      </w:pPr>
      <w:r>
        <w:rPr>
          <w:rFonts w:hint="eastAsia"/>
          <w:color w:val="0D0D0D"/>
          <w:sz w:val="24"/>
        </w:rPr>
        <w:t>日期：</w:t>
      </w:r>
    </w:p>
    <w:p>
      <w:pPr>
        <w:rPr>
          <w:rFonts w:ascii="宋体" w:hAnsi="宋体"/>
          <w:b/>
          <w:sz w:val="24"/>
        </w:rPr>
      </w:pPr>
      <w:r>
        <w:rPr>
          <w:rFonts w:hint="eastAsia" w:ascii="宋体" w:hAnsi="宋体"/>
          <w:b/>
          <w:sz w:val="24"/>
        </w:rPr>
        <w:br w:type="page"/>
      </w:r>
    </w:p>
    <w:p>
      <w:pPr>
        <w:autoSpaceDE w:val="0"/>
        <w:autoSpaceDN w:val="0"/>
        <w:adjustRightInd w:val="0"/>
        <w:snapToGrid w:val="0"/>
        <w:spacing w:before="100" w:beforeAutospacing="1" w:after="100" w:afterAutospacing="1"/>
        <w:rPr>
          <w:rFonts w:ascii="宋体"/>
          <w:b/>
          <w:bCs/>
          <w:spacing w:val="-3"/>
          <w:kern w:val="0"/>
          <w:sz w:val="24"/>
        </w:rPr>
      </w:pPr>
      <w:r>
        <w:rPr>
          <w:rFonts w:hint="eastAsia" w:ascii="宋体" w:hAnsi="宋体"/>
          <w:b/>
          <w:color w:val="0D0D0D"/>
          <w:sz w:val="24"/>
        </w:rPr>
        <w:t>2.12</w:t>
      </w:r>
    </w:p>
    <w:p>
      <w:pPr>
        <w:snapToGrid w:val="0"/>
        <w:spacing w:before="50" w:after="156" w:afterLines="50"/>
        <w:jc w:val="center"/>
        <w:rPr>
          <w:rFonts w:ascii="宋体"/>
          <w:b/>
          <w:sz w:val="24"/>
        </w:rPr>
      </w:pPr>
      <w:r>
        <w:rPr>
          <w:rFonts w:hint="eastAsia" w:ascii="宋体"/>
          <w:b/>
          <w:sz w:val="24"/>
        </w:rPr>
        <w:t>拟投入本项目的设备表</w:t>
      </w:r>
    </w:p>
    <w:p>
      <w:pPr>
        <w:pStyle w:val="27"/>
        <w:spacing w:before="156" w:after="156" w:line="360" w:lineRule="auto"/>
        <w:ind w:right="904"/>
        <w:rPr>
          <w:rFonts w:ascii="Times New Roman" w:hAnsi="Times New Roman"/>
        </w:rPr>
      </w:pPr>
      <w:r>
        <w:rPr>
          <w:rFonts w:hint="eastAsia" w:ascii="Times New Roman" w:hAnsi="Times New Roman"/>
        </w:rPr>
        <w:t>项目名称：</w:t>
      </w:r>
    </w:p>
    <w:p>
      <w:pPr>
        <w:pStyle w:val="27"/>
        <w:spacing w:before="156" w:after="156" w:line="360" w:lineRule="auto"/>
        <w:ind w:right="904"/>
        <w:rPr>
          <w:rFonts w:ascii="Times New Roman" w:hAnsi="Times New Roman"/>
        </w:rPr>
      </w:pPr>
      <w:r>
        <w:rPr>
          <w:rFonts w:hint="eastAsia" w:hAnsi="宋体" w:cs="宋体"/>
          <w:bCs/>
        </w:rPr>
        <w:t>磋商</w:t>
      </w:r>
      <w:r>
        <w:rPr>
          <w:rFonts w:hint="eastAsia" w:ascii="Times New Roman" w:hAnsi="Times New Roman"/>
        </w:rPr>
        <w:t>编号：</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295"/>
        <w:gridCol w:w="2396"/>
        <w:gridCol w:w="114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93" w:type="pct"/>
            <w:vAlign w:val="center"/>
          </w:tcPr>
          <w:p>
            <w:pPr>
              <w:jc w:val="center"/>
              <w:rPr>
                <w:rFonts w:ascii="宋体"/>
                <w:sz w:val="24"/>
              </w:rPr>
            </w:pPr>
            <w:r>
              <w:rPr>
                <w:rFonts w:hint="eastAsia" w:ascii="宋体"/>
                <w:sz w:val="24"/>
              </w:rPr>
              <w:t>序号</w:t>
            </w:r>
          </w:p>
        </w:tc>
        <w:tc>
          <w:tcPr>
            <w:tcW w:w="1818" w:type="pct"/>
            <w:vAlign w:val="center"/>
          </w:tcPr>
          <w:p>
            <w:pPr>
              <w:jc w:val="center"/>
              <w:rPr>
                <w:rFonts w:ascii="宋体"/>
                <w:sz w:val="24"/>
              </w:rPr>
            </w:pPr>
            <w:r>
              <w:rPr>
                <w:rFonts w:hint="eastAsia" w:ascii="宋体"/>
                <w:sz w:val="24"/>
              </w:rPr>
              <w:t>设备名称</w:t>
            </w:r>
          </w:p>
        </w:tc>
        <w:tc>
          <w:tcPr>
            <w:tcW w:w="1322" w:type="pct"/>
            <w:vAlign w:val="center"/>
          </w:tcPr>
          <w:p>
            <w:pPr>
              <w:jc w:val="center"/>
              <w:rPr>
                <w:rFonts w:ascii="宋体"/>
                <w:sz w:val="24"/>
              </w:rPr>
            </w:pPr>
            <w:r>
              <w:rPr>
                <w:rFonts w:hint="eastAsia" w:ascii="宋体"/>
                <w:sz w:val="24"/>
              </w:rPr>
              <w:t>规格型号</w:t>
            </w:r>
          </w:p>
        </w:tc>
        <w:tc>
          <w:tcPr>
            <w:tcW w:w="629" w:type="pct"/>
            <w:vAlign w:val="center"/>
          </w:tcPr>
          <w:p>
            <w:pPr>
              <w:jc w:val="center"/>
              <w:rPr>
                <w:rFonts w:ascii="宋体"/>
                <w:sz w:val="24"/>
              </w:rPr>
            </w:pPr>
            <w:r>
              <w:rPr>
                <w:rFonts w:hint="eastAsia" w:ascii="宋体"/>
                <w:sz w:val="24"/>
              </w:rPr>
              <w:t>数量</w:t>
            </w:r>
          </w:p>
        </w:tc>
        <w:tc>
          <w:tcPr>
            <w:tcW w:w="635" w:type="pct"/>
            <w:vAlign w:val="center"/>
          </w:tcPr>
          <w:p>
            <w:pPr>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jc w:val="cente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pPr>
              <w:rPr>
                <w:rFonts w:ascii="宋体"/>
                <w:sz w:val="24"/>
              </w:rPr>
            </w:pPr>
          </w:p>
        </w:tc>
        <w:tc>
          <w:tcPr>
            <w:tcW w:w="1818" w:type="pct"/>
          </w:tcPr>
          <w:p>
            <w:pPr>
              <w:rPr>
                <w:rFonts w:ascii="宋体"/>
                <w:sz w:val="24"/>
              </w:rPr>
            </w:pPr>
          </w:p>
        </w:tc>
        <w:tc>
          <w:tcPr>
            <w:tcW w:w="1322" w:type="pct"/>
          </w:tcPr>
          <w:p>
            <w:pPr>
              <w:rPr>
                <w:rFonts w:ascii="宋体"/>
                <w:sz w:val="24"/>
              </w:rPr>
            </w:pPr>
          </w:p>
        </w:tc>
        <w:tc>
          <w:tcPr>
            <w:tcW w:w="629" w:type="pct"/>
          </w:tcPr>
          <w:p>
            <w:pPr>
              <w:rPr>
                <w:rFonts w:ascii="宋体"/>
                <w:sz w:val="24"/>
              </w:rPr>
            </w:pPr>
          </w:p>
        </w:tc>
        <w:tc>
          <w:tcPr>
            <w:tcW w:w="635" w:type="pct"/>
          </w:tcPr>
          <w:p>
            <w:pPr>
              <w:rPr>
                <w:rFonts w:ascii="宋体"/>
                <w:sz w:val="24"/>
              </w:rPr>
            </w:pPr>
          </w:p>
        </w:tc>
      </w:tr>
    </w:tbl>
    <w:p>
      <w:pPr>
        <w:snapToGrid w:val="0"/>
        <w:spacing w:before="50" w:after="156" w:afterLines="50"/>
        <w:jc w:val="left"/>
        <w:rPr>
          <w:rFonts w:ascii="宋体"/>
          <w:b/>
          <w:sz w:val="24"/>
        </w:rPr>
      </w:pPr>
    </w:p>
    <w:p>
      <w:pPr>
        <w:snapToGrid w:val="0"/>
        <w:spacing w:before="50" w:after="50" w:line="360" w:lineRule="auto"/>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pPr>
        <w:snapToGrid w:val="0"/>
        <w:spacing w:before="50" w:line="360" w:lineRule="auto"/>
        <w:jc w:val="left"/>
        <w:outlineLvl w:val="1"/>
        <w:rPr>
          <w:rFonts w:ascii="宋体"/>
          <w:spacing w:val="20"/>
          <w:sz w:val="24"/>
        </w:rPr>
      </w:pPr>
      <w:r>
        <w:rPr>
          <w:rFonts w:hint="eastAsia"/>
          <w:sz w:val="24"/>
        </w:rPr>
        <w:t>磋商响应</w:t>
      </w:r>
      <w:r>
        <w:rPr>
          <w:sz w:val="24"/>
        </w:rPr>
        <w:t>单位</w:t>
      </w:r>
      <w:r>
        <w:rPr>
          <w:rFonts w:hint="eastAsia"/>
          <w:color w:val="0D0D0D"/>
          <w:sz w:val="24"/>
        </w:rPr>
        <w:t>盖章</w:t>
      </w:r>
      <w:r>
        <w:rPr>
          <w:rFonts w:hint="eastAsia" w:ascii="宋体"/>
          <w:spacing w:val="20"/>
          <w:sz w:val="24"/>
        </w:rPr>
        <w:t>：</w:t>
      </w:r>
    </w:p>
    <w:p>
      <w:pPr>
        <w:snapToGrid w:val="0"/>
        <w:spacing w:before="50" w:line="360" w:lineRule="auto"/>
        <w:jc w:val="left"/>
        <w:outlineLvl w:val="1"/>
        <w:rPr>
          <w:rFonts w:ascii="宋体"/>
          <w:spacing w:val="20"/>
          <w:sz w:val="24"/>
        </w:rPr>
      </w:pPr>
      <w:r>
        <w:rPr>
          <w:rFonts w:hint="eastAsia" w:ascii="宋体"/>
          <w:spacing w:val="20"/>
          <w:sz w:val="24"/>
        </w:rPr>
        <w:t>日期：</w:t>
      </w:r>
    </w:p>
    <w:p>
      <w:pPr>
        <w:rPr>
          <w:rFonts w:ascii="宋体"/>
          <w:spacing w:val="20"/>
          <w:sz w:val="24"/>
        </w:rPr>
      </w:pPr>
      <w:r>
        <w:rPr>
          <w:rFonts w:hint="eastAsia" w:ascii="宋体"/>
          <w:spacing w:val="20"/>
          <w:sz w:val="24"/>
        </w:rPr>
        <w:br w:type="page"/>
      </w:r>
    </w:p>
    <w:p>
      <w:pPr>
        <w:snapToGrid w:val="0"/>
        <w:spacing w:before="50" w:line="360" w:lineRule="auto"/>
        <w:jc w:val="left"/>
        <w:outlineLvl w:val="1"/>
        <w:rPr>
          <w:rFonts w:ascii="宋体"/>
          <w:b/>
          <w:sz w:val="24"/>
        </w:rPr>
      </w:pPr>
      <w:r>
        <w:rPr>
          <w:rFonts w:hint="eastAsia" w:ascii="宋体" w:hAnsi="宋体"/>
          <w:b/>
          <w:sz w:val="24"/>
        </w:rPr>
        <w:t>3</w:t>
      </w:r>
      <w:r>
        <w:rPr>
          <w:rFonts w:ascii="宋体" w:hAnsi="宋体"/>
          <w:b/>
          <w:sz w:val="24"/>
        </w:rPr>
        <w:t>.</w:t>
      </w:r>
      <w:r>
        <w:rPr>
          <w:rFonts w:hint="eastAsia" w:ascii="宋体" w:hAnsi="宋体"/>
          <w:b/>
          <w:sz w:val="24"/>
        </w:rPr>
        <w:t>报价文件目录</w:t>
      </w:r>
    </w:p>
    <w:p>
      <w:pPr>
        <w:spacing w:line="360" w:lineRule="auto"/>
        <w:ind w:left="525" w:leftChars="250"/>
        <w:rPr>
          <w:rFonts w:ascii="宋体" w:hAnsi="宋体" w:cs="宋体"/>
          <w:sz w:val="24"/>
        </w:rPr>
      </w:pPr>
      <w:r>
        <w:rPr>
          <w:rFonts w:hint="eastAsia" w:ascii="宋体" w:hAnsi="宋体" w:cs="宋体"/>
          <w:sz w:val="24"/>
        </w:rPr>
        <w:t xml:space="preserve">（1）磋商函（格式见附件3.1）； </w:t>
      </w:r>
    </w:p>
    <w:p>
      <w:pPr>
        <w:spacing w:line="450" w:lineRule="exact"/>
        <w:ind w:left="525" w:leftChars="250"/>
        <w:rPr>
          <w:rFonts w:ascii="宋体" w:hAnsi="宋体" w:cs="宋体"/>
          <w:sz w:val="24"/>
        </w:rPr>
      </w:pPr>
      <w:r>
        <w:rPr>
          <w:rFonts w:hint="eastAsia" w:ascii="宋体" w:hAnsi="宋体" w:cs="宋体"/>
          <w:sz w:val="24"/>
        </w:rPr>
        <w:t xml:space="preserve">（2）磋商初次报价表（格式见附件3.2）； </w:t>
      </w:r>
    </w:p>
    <w:p>
      <w:pPr>
        <w:spacing w:line="450" w:lineRule="exact"/>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pPr>
        <w:spacing w:line="360" w:lineRule="auto"/>
        <w:ind w:left="525" w:leftChars="250"/>
        <w:rPr>
          <w:rFonts w:ascii="宋体" w:hAnsi="宋体" w:cs="宋体"/>
          <w:b/>
          <w:bCs/>
          <w:sz w:val="24"/>
        </w:rPr>
      </w:pPr>
    </w:p>
    <w:p>
      <w:pPr>
        <w:rPr>
          <w:rFonts w:ascii="宋体" w:hAnsi="宋体"/>
          <w:sz w:val="24"/>
        </w:rPr>
      </w:pPr>
      <w:r>
        <w:rPr>
          <w:rFonts w:ascii="宋体" w:hAnsi="宋体"/>
          <w:b/>
          <w:sz w:val="24"/>
        </w:rPr>
        <w:br w:type="page"/>
      </w:r>
      <w:bookmarkEnd w:id="27"/>
    </w:p>
    <w:p>
      <w:pPr>
        <w:snapToGrid w:val="0"/>
        <w:spacing w:line="360" w:lineRule="auto"/>
        <w:jc w:val="left"/>
        <w:outlineLvl w:val="2"/>
        <w:rPr>
          <w:rFonts w:ascii="宋体"/>
          <w:b/>
          <w:sz w:val="24"/>
        </w:rPr>
      </w:pPr>
      <w:r>
        <w:rPr>
          <w:rFonts w:hint="eastAsia" w:ascii="宋体" w:hAnsi="宋体"/>
          <w:b/>
          <w:sz w:val="24"/>
        </w:rPr>
        <w:t>3.1</w:t>
      </w:r>
      <w:r>
        <w:rPr>
          <w:rFonts w:hint="eastAsia" w:ascii="宋体" w:hAnsi="宋体" w:cs="宋体"/>
          <w:b/>
          <w:sz w:val="24"/>
        </w:rPr>
        <w:t>磋商函格式</w:t>
      </w:r>
      <w:r>
        <w:rPr>
          <w:rFonts w:hint="eastAsia" w:ascii="宋体" w:hAnsi="宋体"/>
          <w:b/>
          <w:sz w:val="24"/>
        </w:rPr>
        <w:t>：</w:t>
      </w:r>
    </w:p>
    <w:p>
      <w:pPr>
        <w:pStyle w:val="27"/>
        <w:spacing w:beforeLines="0" w:afterLines="0" w:line="360" w:lineRule="auto"/>
        <w:jc w:val="center"/>
        <w:rPr>
          <w:rFonts w:hAnsi="宋体"/>
          <w:b/>
          <w:sz w:val="28"/>
          <w:szCs w:val="21"/>
        </w:rPr>
      </w:pPr>
      <w:r>
        <w:rPr>
          <w:rFonts w:hint="eastAsia" w:hAnsi="宋体"/>
          <w:b/>
          <w:sz w:val="28"/>
          <w:szCs w:val="21"/>
        </w:rPr>
        <w:t>磋商函</w:t>
      </w:r>
    </w:p>
    <w:p>
      <w:pPr>
        <w:pStyle w:val="27"/>
        <w:spacing w:beforeLines="0" w:afterLines="0" w:line="360" w:lineRule="auto"/>
        <w:rPr>
          <w:rFonts w:hAnsi="宋体" w:cs="宋体"/>
        </w:rPr>
      </w:pPr>
      <w:r>
        <w:rPr>
          <w:rFonts w:hint="eastAsia" w:hAnsi="宋体" w:cs="宋体"/>
        </w:rPr>
        <w:t>致：</w:t>
      </w:r>
      <w:r>
        <w:rPr>
          <w:rFonts w:hint="eastAsia" w:hAnsi="宋体" w:cs="宋体"/>
          <w:u w:val="single"/>
        </w:rPr>
        <w:t>金华市金诚招投标代理有限公司</w:t>
      </w:r>
      <w:r>
        <w:rPr>
          <w:rFonts w:hint="eastAsia" w:hAnsi="宋体" w:cs="宋体"/>
        </w:rPr>
        <w:t>：</w:t>
      </w:r>
    </w:p>
    <w:p>
      <w:pPr>
        <w:pStyle w:val="27"/>
        <w:spacing w:beforeLines="0" w:afterLines="0" w:line="360" w:lineRule="auto"/>
        <w:ind w:firstLine="482"/>
        <w:rPr>
          <w:rFonts w:hAnsi="宋体"/>
          <w:szCs w:val="24"/>
        </w:rPr>
      </w:pPr>
      <w:r>
        <w:rPr>
          <w:rFonts w:hint="eastAsia" w:hAnsi="宋体"/>
          <w:szCs w:val="24"/>
        </w:rPr>
        <w:t>根据贵方</w:t>
      </w:r>
      <w:r>
        <w:rPr>
          <w:rFonts w:hint="eastAsia" w:hAnsi="宋体"/>
          <w:szCs w:val="24"/>
          <w:u w:val="single"/>
        </w:rPr>
        <w:t>（磋商项目名称）</w:t>
      </w:r>
      <w:r>
        <w:rPr>
          <w:rFonts w:hint="eastAsia" w:hAnsi="宋体"/>
          <w:szCs w:val="24"/>
        </w:rPr>
        <w:t>项目磋商文件编号</w:t>
      </w:r>
      <w:r>
        <w:rPr>
          <w:rFonts w:hint="eastAsia" w:hAnsi="宋体"/>
          <w:szCs w:val="24"/>
          <w:u w:val="single"/>
        </w:rPr>
        <w:t xml:space="preserve">    （磋商编号）    </w:t>
      </w:r>
      <w:r>
        <w:rPr>
          <w:rFonts w:hint="eastAsia" w:hAnsi="宋体"/>
          <w:szCs w:val="24"/>
        </w:rPr>
        <w:t>，正式授权下述签字人</w:t>
      </w:r>
      <w:r>
        <w:rPr>
          <w:rFonts w:hint="eastAsia" w:hAnsi="宋体"/>
          <w:szCs w:val="24"/>
          <w:u w:val="single"/>
        </w:rPr>
        <w:t xml:space="preserve">   （姓名和职务） </w:t>
      </w:r>
      <w:r>
        <w:rPr>
          <w:rFonts w:hint="eastAsia" w:hAnsi="宋体"/>
          <w:szCs w:val="24"/>
        </w:rPr>
        <w:t>全权代表</w:t>
      </w:r>
      <w:r>
        <w:rPr>
          <w:rFonts w:hint="eastAsia" w:hAnsi="宋体"/>
          <w:szCs w:val="24"/>
          <w:u w:val="single"/>
        </w:rPr>
        <w:t>磋商响应</w:t>
      </w:r>
      <w:r>
        <w:rPr>
          <w:rFonts w:hint="eastAsia" w:hAnsi="宋体"/>
          <w:szCs w:val="24"/>
        </w:rPr>
        <w:t>人</w:t>
      </w:r>
      <w:r>
        <w:rPr>
          <w:rFonts w:hint="eastAsia" w:hAnsi="宋体"/>
          <w:szCs w:val="24"/>
          <w:u w:val="single"/>
        </w:rPr>
        <w:t xml:space="preserve">   （磋商响应人全称）</w:t>
      </w:r>
      <w:r>
        <w:rPr>
          <w:rFonts w:hint="eastAsia" w:hAnsi="宋体"/>
          <w:szCs w:val="24"/>
        </w:rPr>
        <w:t>参加贵方组织的有关谈判活动，并提交下述文件</w:t>
      </w:r>
      <w:r>
        <w:rPr>
          <w:rFonts w:hint="eastAsia" w:hAnsi="宋体"/>
          <w:color w:val="000000"/>
          <w:szCs w:val="24"/>
        </w:rPr>
        <w:t>：</w:t>
      </w:r>
    </w:p>
    <w:p>
      <w:pPr>
        <w:pStyle w:val="27"/>
        <w:numPr>
          <w:ilvl w:val="0"/>
          <w:numId w:val="6"/>
        </w:numPr>
        <w:spacing w:beforeLines="0" w:afterLines="0" w:line="360" w:lineRule="auto"/>
        <w:rPr>
          <w:rFonts w:hAnsi="宋体"/>
          <w:szCs w:val="24"/>
        </w:rPr>
      </w:pPr>
      <w:r>
        <w:rPr>
          <w:rFonts w:hint="eastAsia" w:hAnsi="宋体"/>
          <w:szCs w:val="24"/>
        </w:rPr>
        <w:t>磋商文件规定的技术文件正本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pPr>
        <w:pStyle w:val="27"/>
        <w:numPr>
          <w:ilvl w:val="0"/>
          <w:numId w:val="6"/>
        </w:numPr>
        <w:spacing w:beforeLines="0" w:afterLines="0" w:line="360" w:lineRule="auto"/>
        <w:rPr>
          <w:rFonts w:hAnsi="宋体"/>
          <w:szCs w:val="24"/>
        </w:rPr>
      </w:pPr>
      <w:r>
        <w:rPr>
          <w:rFonts w:hint="eastAsia" w:hAnsi="宋体"/>
          <w:szCs w:val="24"/>
        </w:rPr>
        <w:t>磋商文件规定的商务文件正本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pPr>
        <w:pStyle w:val="27"/>
        <w:spacing w:beforeLines="0" w:afterLines="0" w:line="360" w:lineRule="auto"/>
        <w:ind w:firstLine="480" w:firstLineChars="200"/>
        <w:rPr>
          <w:rFonts w:hAnsi="宋体"/>
          <w:szCs w:val="24"/>
        </w:rPr>
      </w:pPr>
      <w:r>
        <w:rPr>
          <w:rFonts w:hint="eastAsia" w:hAnsi="宋体"/>
          <w:szCs w:val="24"/>
        </w:rPr>
        <w:t>据此函，签字人兹宣布同意如下：</w:t>
      </w:r>
    </w:p>
    <w:p>
      <w:pPr>
        <w:pStyle w:val="27"/>
        <w:spacing w:beforeLines="0" w:afterLines="0" w:line="360" w:lineRule="auto"/>
        <w:ind w:firstLine="360" w:firstLineChars="150"/>
        <w:rPr>
          <w:rFonts w:hAnsi="宋体"/>
          <w:szCs w:val="24"/>
        </w:rPr>
      </w:pPr>
      <w:r>
        <w:rPr>
          <w:rFonts w:hint="eastAsia" w:hAnsi="宋体"/>
          <w:szCs w:val="24"/>
        </w:rPr>
        <w:t>（1）我们承担根据磋商文件的规定，完成合同的责任和义务。</w:t>
      </w:r>
    </w:p>
    <w:p>
      <w:pPr>
        <w:pStyle w:val="27"/>
        <w:spacing w:beforeLines="0" w:afterLines="0" w:line="360" w:lineRule="auto"/>
        <w:ind w:firstLine="360" w:firstLineChars="150"/>
        <w:rPr>
          <w:rFonts w:hAnsi="宋体"/>
          <w:szCs w:val="24"/>
        </w:rPr>
      </w:pPr>
      <w:r>
        <w:rPr>
          <w:rFonts w:hint="eastAsia" w:hAnsi="宋体"/>
          <w:szCs w:val="24"/>
        </w:rPr>
        <w:t>（2）我们已详细审核全部磋商文件、参考资料及有关附件，我们知道必须放弃提出含糊不清或误解问题的权利。</w:t>
      </w:r>
    </w:p>
    <w:p>
      <w:pPr>
        <w:pStyle w:val="27"/>
        <w:spacing w:beforeLines="0" w:afterLines="0" w:line="360" w:lineRule="auto"/>
        <w:ind w:firstLine="360" w:firstLineChars="150"/>
        <w:rPr>
          <w:rFonts w:hAnsi="宋体"/>
          <w:szCs w:val="24"/>
        </w:rPr>
      </w:pPr>
      <w:r>
        <w:rPr>
          <w:rFonts w:hint="eastAsia" w:hAnsi="宋体"/>
          <w:szCs w:val="24"/>
        </w:rPr>
        <w:t>（3）我们同意在供应商须知规定的开标日期起遵循本</w:t>
      </w:r>
      <w:r>
        <w:rPr>
          <w:rFonts w:hint="eastAsia" w:ascii="Times New Roman" w:hAnsi="Times New Roman"/>
          <w:szCs w:val="24"/>
        </w:rPr>
        <w:t>磋商</w:t>
      </w:r>
      <w:r>
        <w:rPr>
          <w:rFonts w:hint="eastAsia" w:hAnsi="宋体"/>
          <w:szCs w:val="24"/>
        </w:rPr>
        <w:t>文件，并在供应商须知规定的</w:t>
      </w:r>
      <w:r>
        <w:rPr>
          <w:rFonts w:hint="eastAsia" w:ascii="Times New Roman" w:hAnsi="Times New Roman"/>
          <w:szCs w:val="24"/>
        </w:rPr>
        <w:t>磋商响应</w:t>
      </w:r>
      <w:r>
        <w:rPr>
          <w:rFonts w:hint="eastAsia" w:hAnsi="宋体"/>
          <w:szCs w:val="24"/>
        </w:rPr>
        <w:t>有效期满之前均具有约束力，并有可能中标。</w:t>
      </w:r>
    </w:p>
    <w:p>
      <w:pPr>
        <w:pStyle w:val="27"/>
        <w:spacing w:beforeLines="0" w:afterLines="0" w:line="360" w:lineRule="auto"/>
        <w:ind w:firstLine="360" w:firstLineChars="150"/>
        <w:rPr>
          <w:rFonts w:hAnsi="宋体"/>
          <w:szCs w:val="24"/>
        </w:rPr>
      </w:pPr>
      <w:r>
        <w:rPr>
          <w:rFonts w:hint="eastAsia" w:hAnsi="宋体"/>
          <w:szCs w:val="24"/>
        </w:rPr>
        <w:t>（4）如果在开标后规定的</w:t>
      </w:r>
      <w:r>
        <w:rPr>
          <w:rFonts w:hint="eastAsia" w:ascii="Times New Roman" w:hAnsi="Times New Roman"/>
          <w:szCs w:val="24"/>
        </w:rPr>
        <w:t>磋商响应</w:t>
      </w:r>
      <w:r>
        <w:rPr>
          <w:rFonts w:hint="eastAsia" w:hAnsi="宋体"/>
          <w:szCs w:val="24"/>
        </w:rPr>
        <w:t>有效期内撤回</w:t>
      </w:r>
      <w:r>
        <w:rPr>
          <w:rFonts w:hint="eastAsia" w:ascii="Times New Roman" w:hAnsi="Times New Roman"/>
          <w:szCs w:val="24"/>
        </w:rPr>
        <w:t>磋商响应</w:t>
      </w:r>
      <w:r>
        <w:rPr>
          <w:rFonts w:hint="eastAsia" w:hAnsi="宋体"/>
          <w:szCs w:val="24"/>
        </w:rPr>
        <w:t>或者有其他违约行为，可按相关法律法规进行处罚。</w:t>
      </w:r>
    </w:p>
    <w:p>
      <w:pPr>
        <w:pStyle w:val="27"/>
        <w:spacing w:beforeLines="0" w:afterLines="0" w:line="360" w:lineRule="auto"/>
        <w:ind w:firstLine="360" w:firstLineChars="150"/>
        <w:rPr>
          <w:rFonts w:hAnsi="宋体"/>
          <w:szCs w:val="24"/>
        </w:rPr>
      </w:pPr>
      <w:r>
        <w:rPr>
          <w:rFonts w:hint="eastAsia" w:hAnsi="宋体"/>
          <w:szCs w:val="24"/>
        </w:rPr>
        <w:t>（5）同意向贵方提供贵方可能要求的与本</w:t>
      </w:r>
      <w:r>
        <w:rPr>
          <w:rFonts w:hint="eastAsia" w:ascii="Times New Roman" w:hAnsi="Times New Roman"/>
          <w:szCs w:val="24"/>
        </w:rPr>
        <w:t>磋商响应</w:t>
      </w:r>
      <w:r>
        <w:rPr>
          <w:rFonts w:hint="eastAsia" w:hAnsi="宋体"/>
          <w:szCs w:val="24"/>
        </w:rPr>
        <w:t>有关的任何数据或资料。</w:t>
      </w:r>
    </w:p>
    <w:p>
      <w:pPr>
        <w:pStyle w:val="27"/>
        <w:spacing w:beforeLines="0" w:afterLines="0" w:line="360" w:lineRule="auto"/>
        <w:ind w:firstLine="360" w:firstLineChars="150"/>
        <w:rPr>
          <w:rFonts w:hAnsi="宋体"/>
          <w:szCs w:val="24"/>
        </w:rPr>
      </w:pPr>
      <w:r>
        <w:rPr>
          <w:rFonts w:hint="eastAsia" w:hAnsi="宋体"/>
          <w:szCs w:val="24"/>
        </w:rPr>
        <w:t>（6）我们完全理解贵方不一定要接受最低报价或收到的任何</w:t>
      </w:r>
      <w:r>
        <w:rPr>
          <w:rFonts w:hint="eastAsia" w:ascii="Times New Roman" w:hAnsi="Times New Roman"/>
          <w:szCs w:val="24"/>
        </w:rPr>
        <w:t>磋商响应</w:t>
      </w:r>
      <w:r>
        <w:rPr>
          <w:rFonts w:hint="eastAsia" w:hAnsi="宋体"/>
          <w:szCs w:val="24"/>
        </w:rPr>
        <w:t>。</w:t>
      </w:r>
    </w:p>
    <w:p>
      <w:pPr>
        <w:pStyle w:val="27"/>
        <w:spacing w:beforeLines="0" w:afterLines="0" w:line="360" w:lineRule="auto"/>
        <w:ind w:firstLine="420"/>
        <w:rPr>
          <w:rFonts w:hAnsi="宋体"/>
          <w:b/>
          <w:szCs w:val="24"/>
        </w:rPr>
      </w:pPr>
      <w:r>
        <w:rPr>
          <w:rFonts w:hint="eastAsia" w:hAnsi="宋体"/>
          <w:b/>
          <w:szCs w:val="24"/>
        </w:rPr>
        <w:t>与本磋商响应有关的正式通讯地址为：</w:t>
      </w:r>
    </w:p>
    <w:p>
      <w:pPr>
        <w:pStyle w:val="27"/>
        <w:spacing w:beforeLines="0" w:afterLines="0" w:line="360" w:lineRule="auto"/>
        <w:ind w:firstLine="420"/>
        <w:rPr>
          <w:rFonts w:hAnsi="宋体"/>
          <w:szCs w:val="24"/>
        </w:rPr>
      </w:pPr>
      <w:r>
        <w:rPr>
          <w:rFonts w:hint="eastAsia" w:hAnsi="宋体"/>
          <w:szCs w:val="24"/>
        </w:rPr>
        <w:t>地址：___________邮政编码：__________</w:t>
      </w:r>
    </w:p>
    <w:p>
      <w:pPr>
        <w:pStyle w:val="27"/>
        <w:spacing w:beforeLines="0" w:afterLines="0" w:line="360" w:lineRule="auto"/>
        <w:ind w:firstLine="420"/>
        <w:rPr>
          <w:rFonts w:hAnsi="宋体"/>
          <w:szCs w:val="24"/>
        </w:rPr>
      </w:pPr>
      <w:r>
        <w:rPr>
          <w:rFonts w:hint="eastAsia" w:hAnsi="宋体"/>
          <w:szCs w:val="24"/>
        </w:rPr>
        <w:t>电话、传真：________________</w:t>
      </w:r>
    </w:p>
    <w:p>
      <w:pPr>
        <w:pStyle w:val="27"/>
        <w:spacing w:beforeLines="0" w:afterLines="0" w:line="360" w:lineRule="auto"/>
        <w:ind w:firstLine="420"/>
        <w:rPr>
          <w:rFonts w:hAnsi="宋体"/>
          <w:szCs w:val="24"/>
        </w:rPr>
      </w:pPr>
      <w:r>
        <w:rPr>
          <w:rFonts w:hint="eastAsia" w:hAnsi="宋体"/>
          <w:szCs w:val="24"/>
        </w:rPr>
        <w:t>电子邮件：___________</w:t>
      </w:r>
    </w:p>
    <w:p>
      <w:pPr>
        <w:pStyle w:val="27"/>
        <w:spacing w:beforeLines="0" w:afterLines="0" w:line="360" w:lineRule="auto"/>
        <w:ind w:firstLine="420"/>
        <w:rPr>
          <w:rFonts w:hAnsi="宋体"/>
          <w:szCs w:val="24"/>
        </w:rPr>
      </w:pPr>
      <w:r>
        <w:rPr>
          <w:rFonts w:hint="eastAsia" w:hAnsi="宋体"/>
          <w:szCs w:val="24"/>
        </w:rPr>
        <w:t>法定代表人或全权代表人签名：__________</w:t>
      </w:r>
    </w:p>
    <w:p>
      <w:pPr>
        <w:pStyle w:val="27"/>
        <w:spacing w:beforeLines="0" w:afterLines="0" w:line="360" w:lineRule="auto"/>
        <w:ind w:firstLine="420"/>
        <w:rPr>
          <w:rFonts w:hAnsi="宋体"/>
          <w:szCs w:val="24"/>
        </w:rPr>
      </w:pPr>
      <w:r>
        <w:rPr>
          <w:rFonts w:hint="eastAsia" w:hAnsi="宋体"/>
          <w:szCs w:val="24"/>
        </w:rPr>
        <w:t>磋商响应人公章：_________________</w:t>
      </w:r>
    </w:p>
    <w:p>
      <w:pPr>
        <w:pStyle w:val="27"/>
        <w:spacing w:beforeLines="0" w:afterLines="0" w:line="360" w:lineRule="auto"/>
        <w:ind w:firstLine="420"/>
        <w:rPr>
          <w:rFonts w:hAnsi="宋体"/>
          <w:szCs w:val="24"/>
        </w:rPr>
      </w:pPr>
      <w:r>
        <w:rPr>
          <w:rFonts w:hint="eastAsia" w:hAnsi="宋体"/>
          <w:szCs w:val="24"/>
        </w:rPr>
        <w:t>日   期：__________________</w:t>
      </w:r>
    </w:p>
    <w:p>
      <w:pPr>
        <w:spacing w:line="480" w:lineRule="exact"/>
        <w:rPr>
          <w:rFonts w:ascii="宋体" w:hAnsi="宋体"/>
          <w:b/>
          <w:sz w:val="24"/>
        </w:rPr>
      </w:pPr>
    </w:p>
    <w:p>
      <w:pPr>
        <w:spacing w:line="360" w:lineRule="auto"/>
        <w:ind w:left="539" w:leftChars="257" w:firstLine="148" w:firstLineChars="62"/>
        <w:jc w:val="left"/>
        <w:rPr>
          <w:rFonts w:hAnsi="宋体"/>
          <w:sz w:val="24"/>
        </w:rPr>
      </w:pPr>
    </w:p>
    <w:p>
      <w:pPr>
        <w:snapToGrid w:val="0"/>
        <w:spacing w:before="50" w:after="156" w:afterLines="50" w:line="360" w:lineRule="auto"/>
        <w:jc w:val="left"/>
        <w:outlineLvl w:val="2"/>
        <w:rPr>
          <w:b/>
          <w:bCs/>
          <w:sz w:val="24"/>
        </w:rPr>
      </w:pPr>
      <w:r>
        <w:rPr>
          <w:b/>
          <w:sz w:val="24"/>
        </w:rPr>
        <w:br w:type="page"/>
      </w:r>
      <w:bookmarkStart w:id="28" w:name="_Toc449173147"/>
      <w:r>
        <w:rPr>
          <w:rFonts w:hint="eastAsia" w:ascii="宋体" w:hAnsi="宋体" w:cs="宋体"/>
          <w:b/>
          <w:sz w:val="24"/>
        </w:rPr>
        <w:t>3.2：</w:t>
      </w:r>
    </w:p>
    <w:p>
      <w:pPr>
        <w:snapToGrid w:val="0"/>
        <w:spacing w:before="50" w:after="156" w:afterLines="50"/>
        <w:jc w:val="center"/>
        <w:rPr>
          <w:rFonts w:ascii="宋体"/>
          <w:sz w:val="28"/>
          <w:szCs w:val="28"/>
        </w:rPr>
      </w:pPr>
      <w:r>
        <w:rPr>
          <w:rFonts w:hint="eastAsia" w:ascii="宋体" w:hAnsi="宋体" w:cs="宋体"/>
          <w:b/>
          <w:bCs/>
          <w:sz w:val="28"/>
          <w:szCs w:val="28"/>
        </w:rPr>
        <w:t>磋商初次报价一览表</w:t>
      </w:r>
    </w:p>
    <w:p>
      <w:pPr>
        <w:snapToGrid w:val="0"/>
        <w:spacing w:before="50" w:after="50" w:line="360" w:lineRule="auto"/>
        <w:rPr>
          <w:rFonts w:ascii="宋体"/>
          <w:sz w:val="24"/>
        </w:rPr>
      </w:pPr>
      <w:r>
        <w:rPr>
          <w:rFonts w:hint="eastAsia" w:ascii="宋体"/>
          <w:sz w:val="24"/>
        </w:rPr>
        <w:t>磋商响应方名称：（盖章）</w:t>
      </w:r>
    </w:p>
    <w:p>
      <w:pPr>
        <w:snapToGrid w:val="0"/>
        <w:spacing w:before="50" w:after="50" w:line="360" w:lineRule="auto"/>
        <w:rPr>
          <w:rFonts w:hint="eastAsia" w:ascii="宋体" w:hAnsi="宋体" w:eastAsia="宋体"/>
          <w:bCs/>
          <w:sz w:val="24"/>
          <w:u w:val="single"/>
          <w:lang w:eastAsia="zh-CN"/>
        </w:rPr>
      </w:pPr>
      <w:r>
        <w:rPr>
          <w:rFonts w:hint="eastAsia" w:ascii="宋体" w:hAnsi="宋体" w:cs="宋体"/>
          <w:bCs/>
          <w:sz w:val="24"/>
        </w:rPr>
        <w:t>磋商</w:t>
      </w:r>
      <w:r>
        <w:rPr>
          <w:rFonts w:hint="eastAsia" w:ascii="宋体"/>
          <w:sz w:val="24"/>
        </w:rPr>
        <w:t>编号：</w:t>
      </w:r>
      <w:r>
        <w:rPr>
          <w:rFonts w:hint="eastAsia" w:ascii="宋体" w:hAnsi="宋体"/>
          <w:bCs/>
          <w:sz w:val="24"/>
          <w:u w:val="single"/>
          <w:lang w:eastAsia="zh-CN"/>
        </w:rPr>
        <w:t>JCZFCG2025-Q01-C498</w:t>
      </w:r>
    </w:p>
    <w:p>
      <w:pPr>
        <w:snapToGrid w:val="0"/>
        <w:spacing w:before="50" w:after="50" w:line="360" w:lineRule="auto"/>
        <w:rPr>
          <w:rFonts w:ascii="宋体" w:hAnsi="宋体" w:cs="Arial"/>
          <w:sz w:val="24"/>
          <w:u w:val="single"/>
        </w:rPr>
      </w:pPr>
      <w:r>
        <w:rPr>
          <w:rFonts w:hint="eastAsia" w:ascii="宋体"/>
          <w:sz w:val="24"/>
        </w:rPr>
        <w:t>项目名称：</w:t>
      </w:r>
      <w:r>
        <w:rPr>
          <w:rFonts w:hint="eastAsia" w:ascii="宋体" w:hAnsi="宋体" w:cs="Arial"/>
          <w:sz w:val="24"/>
          <w:u w:val="single"/>
        </w:rPr>
        <w:t>“新鲜水果进校园，助力学生健康成长”服务采购项目</w:t>
      </w:r>
    </w:p>
    <w:p>
      <w:pPr>
        <w:snapToGrid w:val="0"/>
        <w:spacing w:before="50" w:after="50" w:line="360" w:lineRule="auto"/>
        <w:ind w:firstLine="2400" w:firstLineChars="1000"/>
        <w:rPr>
          <w:rFonts w:ascii="宋体" w:hAnsi="宋体"/>
          <w:color w:val="0D0D0D"/>
          <w:sz w:val="24"/>
        </w:rPr>
      </w:pPr>
      <w:r>
        <w:rPr>
          <w:rFonts w:hint="eastAsia" w:ascii="宋体" w:hAnsi="宋体" w:cs="宋体"/>
          <w:color w:val="000000"/>
          <w:sz w:val="24"/>
        </w:rPr>
        <w:t xml:space="preserve">                                             单位：</w:t>
      </w:r>
      <w:r>
        <w:rPr>
          <w:rFonts w:hint="eastAsia" w:ascii="宋体" w:hAnsi="宋体" w:cs="宋体"/>
          <w:sz w:val="24"/>
        </w:rPr>
        <w:t>%</w:t>
      </w:r>
    </w:p>
    <w:bookmarkEnd w:id="28"/>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278"/>
        <w:gridCol w:w="258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23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服务项目名称</w:t>
            </w:r>
          </w:p>
        </w:tc>
        <w:tc>
          <w:tcPr>
            <w:tcW w:w="14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rPr>
              <w:t>磋商报价</w:t>
            </w:r>
            <w:r>
              <w:rPr>
                <w:rFonts w:hint="eastAsia" w:ascii="宋体" w:hAnsi="宋体" w:cs="宋体"/>
                <w:sz w:val="24"/>
              </w:rPr>
              <w:t>折扣率</w:t>
            </w:r>
            <w:r>
              <w:rPr>
                <w:rFonts w:hint="eastAsia" w:ascii="宋体" w:hAnsi="宋体"/>
                <w:sz w:val="24"/>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pPr>
            <w:r>
              <w:rPr>
                <w:rFonts w:hint="eastAsia"/>
              </w:rPr>
              <w:t>1</w:t>
            </w:r>
          </w:p>
        </w:tc>
        <w:tc>
          <w:tcPr>
            <w:tcW w:w="236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rPr>
            </w:pPr>
            <w:r>
              <w:rPr>
                <w:rFonts w:hint="eastAsia" w:ascii="宋体" w:hAnsi="宋体" w:cs="Arial"/>
                <w:sz w:val="24"/>
              </w:rPr>
              <w:t>“新鲜水果进校园，助力学生健康成长”服务采购项目</w:t>
            </w:r>
          </w:p>
        </w:tc>
        <w:tc>
          <w:tcPr>
            <w:tcW w:w="142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bl>
    <w:p>
      <w:pPr>
        <w:spacing w:before="156" w:beforeLines="50" w:line="360" w:lineRule="auto"/>
        <w:rPr>
          <w:rFonts w:ascii="宋体" w:hAnsi="宋体" w:cs="宋体"/>
          <w:b/>
          <w:bCs/>
          <w:sz w:val="24"/>
          <w:u w:val="single"/>
        </w:rPr>
      </w:pPr>
    </w:p>
    <w:p>
      <w:pPr>
        <w:spacing w:line="360" w:lineRule="auto"/>
        <w:jc w:val="left"/>
        <w:rPr>
          <w:rFonts w:ascii="宋体" w:hAnsi="宋体"/>
          <w:sz w:val="24"/>
        </w:rPr>
      </w:pPr>
      <w:r>
        <w:rPr>
          <w:rFonts w:ascii="宋体" w:hAnsi="宋体"/>
          <w:sz w:val="24"/>
        </w:rPr>
        <w:t>注：</w:t>
      </w:r>
      <w:r>
        <w:rPr>
          <w:rFonts w:hint="eastAsia" w:ascii="宋体" w:hAnsi="宋体"/>
          <w:sz w:val="24"/>
        </w:rPr>
        <w:t>1、磋商报价一栏必须填写，否则其磋商作无效标处理。</w:t>
      </w:r>
    </w:p>
    <w:p>
      <w:pPr>
        <w:spacing w:line="360" w:lineRule="auto"/>
        <w:ind w:firstLine="480" w:firstLineChars="200"/>
        <w:jc w:val="left"/>
        <w:rPr>
          <w:rFonts w:ascii="宋体" w:hAnsi="宋体"/>
          <w:sz w:val="24"/>
        </w:rPr>
      </w:pPr>
      <w:r>
        <w:rPr>
          <w:rFonts w:hint="eastAsia" w:ascii="宋体" w:hAnsi="宋体"/>
          <w:sz w:val="24"/>
        </w:rPr>
        <w:t>2、磋商报价一经涂改，应在涂改处加盖单位公章或者由法定代表人或授权委托人签字或盖章，否则其磋商作无效标处理</w:t>
      </w:r>
      <w:r>
        <w:rPr>
          <w:rFonts w:hint="eastAsia" w:ascii="宋体" w:hAnsi="宋体" w:cs="Arial"/>
          <w:bCs/>
          <w:sz w:val="24"/>
        </w:rPr>
        <w:t>；</w:t>
      </w:r>
    </w:p>
    <w:p>
      <w:pPr>
        <w:spacing w:line="360" w:lineRule="auto"/>
        <w:ind w:firstLine="480" w:firstLineChars="200"/>
        <w:rPr>
          <w:rFonts w:ascii="宋体" w:hAnsi="宋体" w:cs="宋体"/>
          <w:bCs/>
          <w:sz w:val="24"/>
        </w:rPr>
      </w:pPr>
      <w:r>
        <w:rPr>
          <w:rFonts w:hint="eastAsia" w:ascii="宋体" w:hAnsi="宋体"/>
          <w:sz w:val="24"/>
        </w:rPr>
        <w:t>3、</w:t>
      </w:r>
      <w:r>
        <w:rPr>
          <w:rFonts w:hint="eastAsia" w:ascii="宋体" w:hAnsi="宋体" w:cs="宋体"/>
          <w:sz w:val="24"/>
        </w:rPr>
        <w:t>磋商响应方的报价为整个采购项目的总报价，</w:t>
      </w:r>
      <w:r>
        <w:rPr>
          <w:rFonts w:hint="eastAsia" w:ascii="宋体" w:hAnsi="宋体" w:cs="宋体"/>
          <w:bCs/>
          <w:sz w:val="24"/>
        </w:rPr>
        <w:t>本次报价采用综合报价，应包括本次项目实施所需的设备、水果、日常经营、劳务、办公 、通信、劳保、福利、利润、税金、培训、奖罚措施、保险、管理政策性收费以及实施本项目所需的其他一切费用，供应商应列入而未列入其中的费用，均视为已包含在内，风险由供应商承担。</w:t>
      </w:r>
    </w:p>
    <w:p>
      <w:pPr>
        <w:spacing w:line="360" w:lineRule="auto"/>
        <w:ind w:firstLine="480" w:firstLineChars="200"/>
        <w:jc w:val="left"/>
        <w:rPr>
          <w:rFonts w:ascii="宋体" w:hAnsi="宋体"/>
          <w:sz w:val="24"/>
        </w:rPr>
      </w:pPr>
      <w:r>
        <w:rPr>
          <w:rFonts w:hint="eastAsia" w:ascii="宋体" w:hAnsi="宋体"/>
          <w:sz w:val="24"/>
        </w:rPr>
        <w:t>4、以上表格在不改变表式的情况下，可自行制作，项目服务时间必须填写。</w:t>
      </w:r>
    </w:p>
    <w:p>
      <w:pPr>
        <w:spacing w:line="360" w:lineRule="auto"/>
        <w:ind w:firstLine="240" w:firstLineChars="100"/>
        <w:rPr>
          <w:rFonts w:ascii="宋体" w:hAnsi="宋体" w:cs="宋体"/>
          <w:bCs/>
          <w:sz w:val="24"/>
        </w:rPr>
      </w:pPr>
    </w:p>
    <w:p>
      <w:pPr>
        <w:spacing w:line="360" w:lineRule="auto"/>
        <w:ind w:firstLine="3240" w:firstLineChars="1350"/>
        <w:rPr>
          <w:rFonts w:ascii="宋体" w:hAnsi="宋体" w:cs="宋体"/>
          <w:spacing w:val="20"/>
          <w:sz w:val="24"/>
          <w:szCs w:val="22"/>
          <w:u w:val="single"/>
        </w:rPr>
      </w:pPr>
      <w:r>
        <w:rPr>
          <w:rFonts w:hint="eastAsia" w:ascii="宋体" w:hAnsi="宋体" w:cs="宋体"/>
          <w:sz w:val="24"/>
        </w:rPr>
        <w:t>磋商响应方代表</w:t>
      </w:r>
      <w:r>
        <w:rPr>
          <w:rFonts w:hint="eastAsia" w:ascii="宋体" w:hAnsi="宋体" w:cs="宋体"/>
          <w:spacing w:val="20"/>
          <w:sz w:val="24"/>
          <w:szCs w:val="22"/>
        </w:rPr>
        <w:t>签字或盖章：</w:t>
      </w:r>
      <w:r>
        <w:rPr>
          <w:rFonts w:hint="eastAsia" w:ascii="宋体" w:hAnsi="宋体" w:cs="宋体"/>
          <w:spacing w:val="20"/>
          <w:sz w:val="24"/>
          <w:szCs w:val="22"/>
          <w:u w:val="single"/>
        </w:rPr>
        <w:t xml:space="preserve">            </w:t>
      </w:r>
    </w:p>
    <w:p>
      <w:pPr>
        <w:spacing w:line="360" w:lineRule="auto"/>
        <w:ind w:firstLine="560" w:firstLineChars="200"/>
        <w:rPr>
          <w:rFonts w:ascii="宋体" w:hAnsi="宋体" w:cs="宋体"/>
          <w:spacing w:val="20"/>
          <w:sz w:val="24"/>
          <w:szCs w:val="22"/>
          <w:u w:val="single"/>
        </w:rPr>
      </w:pPr>
      <w:r>
        <w:rPr>
          <w:rFonts w:hint="eastAsia" w:ascii="宋体" w:hAnsi="宋体" w:cs="宋体"/>
          <w:spacing w:val="20"/>
          <w:sz w:val="24"/>
          <w:szCs w:val="22"/>
        </w:rPr>
        <w:t xml:space="preserve">                           供应商盖章：</w:t>
      </w:r>
      <w:r>
        <w:rPr>
          <w:rFonts w:hint="eastAsia" w:ascii="宋体" w:hAnsi="宋体" w:cs="宋体"/>
          <w:spacing w:val="20"/>
          <w:sz w:val="24"/>
          <w:szCs w:val="22"/>
          <w:u w:val="single"/>
        </w:rPr>
        <w:t xml:space="preserve">            </w:t>
      </w:r>
    </w:p>
    <w:p>
      <w:pPr>
        <w:pStyle w:val="287"/>
        <w:spacing w:line="360" w:lineRule="auto"/>
        <w:ind w:firstLine="4760" w:firstLineChars="1700"/>
        <w:rPr>
          <w:rFonts w:ascii="宋体" w:hAnsi="宋体"/>
          <w:sz w:val="24"/>
        </w:rPr>
        <w:sectPr>
          <w:headerReference r:id="rId7" w:type="default"/>
          <w:footerReference r:id="rId8" w:type="default"/>
          <w:footerReference r:id="rId9" w:type="even"/>
          <w:pgSz w:w="11906" w:h="16838"/>
          <w:pgMar w:top="1361" w:right="1531" w:bottom="1361" w:left="1531" w:header="283" w:footer="992" w:gutter="0"/>
          <w:pgNumType w:fmt="numberInDash"/>
          <w:cols w:space="720" w:num="1"/>
          <w:docGrid w:type="linesAndChars" w:linePitch="312" w:charSpace="0"/>
        </w:sectPr>
      </w:pPr>
      <w:bookmarkStart w:id="30" w:name="_GoBack"/>
      <w:bookmarkEnd w:id="30"/>
      <w:r>
        <w:rPr>
          <w:rFonts w:hint="eastAsia" w:ascii="宋体" w:hAnsi="宋体" w:cs="宋体"/>
          <w:spacing w:val="20"/>
          <w:sz w:val="24"/>
          <w:szCs w:val="22"/>
        </w:rPr>
        <w:t>日     期：</w:t>
      </w:r>
      <w:r>
        <w:rPr>
          <w:rFonts w:hint="eastAsia" w:ascii="宋体" w:hAnsi="宋体" w:cs="宋体"/>
          <w:spacing w:val="20"/>
          <w:sz w:val="24"/>
          <w:szCs w:val="22"/>
          <w:u w:val="single"/>
        </w:rPr>
        <w:t xml:space="preserve">           </w:t>
      </w:r>
    </w:p>
    <w:p>
      <w:pPr>
        <w:keepNext w:val="0"/>
        <w:keepLines w:val="0"/>
        <w:pageBreakBefore w:val="0"/>
        <w:kinsoku/>
        <w:wordWrap/>
        <w:overflowPunct/>
        <w:topLinePunct w:val="0"/>
        <w:autoSpaceDE/>
        <w:autoSpaceDN/>
        <w:bidi w:val="0"/>
        <w:adjustRightInd/>
        <w:spacing w:line="360" w:lineRule="auto"/>
        <w:jc w:val="center"/>
        <w:textAlignment w:val="auto"/>
        <w:rPr>
          <w:rFonts w:ascii="黑体" w:eastAsia="黑体" w:cs="黑体"/>
          <w:sz w:val="36"/>
          <w:szCs w:val="36"/>
        </w:rPr>
      </w:pPr>
      <w:r>
        <w:rPr>
          <w:rFonts w:hint="eastAsia" w:ascii="宋体" w:hAnsi="宋体" w:cs="宋体"/>
          <w:b/>
          <w:bCs/>
          <w:sz w:val="36"/>
          <w:szCs w:val="36"/>
        </w:rPr>
        <w:t xml:space="preserve">第六章  </w:t>
      </w:r>
      <w:r>
        <w:rPr>
          <w:rFonts w:hint="eastAsia" w:ascii="黑体" w:eastAsia="黑体" w:cs="黑体"/>
          <w:sz w:val="36"/>
          <w:szCs w:val="36"/>
        </w:rPr>
        <w:t>政府采购合同主要条款</w:t>
      </w:r>
      <w:bookmarkStart w:id="29" w:name="_Toc414870806"/>
    </w:p>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sz w:val="36"/>
          <w:szCs w:val="36"/>
        </w:rPr>
      </w:pPr>
      <w:r>
        <w:rPr>
          <w:rFonts w:hint="eastAsia" w:ascii="宋体" w:cs="宋体"/>
          <w:b/>
          <w:bCs/>
          <w:sz w:val="30"/>
          <w:szCs w:val="30"/>
        </w:rPr>
        <w:t>东阳市政府采购合同（样本）</w:t>
      </w:r>
      <w:bookmarkEnd w:id="29"/>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ascii="宋体" w:hAnsi="宋体" w:cs="Arial"/>
          <w:sz w:val="24"/>
          <w:u w:val="single"/>
        </w:rPr>
      </w:pPr>
      <w:r>
        <w:rPr>
          <w:rFonts w:hint="eastAsia" w:ascii="宋体" w:hAnsi="宋体"/>
          <w:sz w:val="24"/>
        </w:rPr>
        <w:t>项目名称：</w:t>
      </w:r>
      <w:r>
        <w:rPr>
          <w:rFonts w:hint="eastAsia" w:ascii="宋体" w:hAnsi="宋体" w:cs="Arial"/>
          <w:sz w:val="24"/>
          <w:u w:val="single"/>
        </w:rPr>
        <w:t>“新鲜水果进校园，助力学生健康成长”服务采购项目</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JCZFCG2025-Q01-C498</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hAnsi="宋体"/>
          <w:sz w:val="24"/>
        </w:rPr>
      </w:pPr>
      <w:r>
        <w:rPr>
          <w:rFonts w:hint="eastAsia" w:hAnsi="宋体"/>
          <w:sz w:val="24"/>
        </w:rPr>
        <w:t>甲方（采购方）：</w:t>
      </w:r>
    </w:p>
    <w:p>
      <w:pPr>
        <w:keepNext w:val="0"/>
        <w:keepLines w:val="0"/>
        <w:pageBreakBefore w:val="0"/>
        <w:kinsoku/>
        <w:wordWrap/>
        <w:overflowPunct/>
        <w:topLinePunct w:val="0"/>
        <w:autoSpaceDE/>
        <w:autoSpaceDN/>
        <w:bidi w:val="0"/>
        <w:adjustRightInd/>
        <w:snapToGrid w:val="0"/>
        <w:spacing w:line="360" w:lineRule="auto"/>
        <w:textAlignment w:val="auto"/>
        <w:outlineLvl w:val="0"/>
        <w:rPr>
          <w:rFonts w:hAnsi="宋体"/>
          <w:sz w:val="24"/>
        </w:rPr>
      </w:pPr>
      <w:r>
        <w:rPr>
          <w:rFonts w:hint="eastAsia" w:hAnsi="宋体"/>
          <w:sz w:val="24"/>
        </w:rPr>
        <w:t>乙方（中标单位）：</w:t>
      </w:r>
    </w:p>
    <w:p>
      <w:pPr>
        <w:pStyle w:val="27"/>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szCs w:val="24"/>
        </w:rPr>
      </w:pPr>
      <w:r>
        <w:rPr>
          <w:rFonts w:hint="eastAsia" w:hAnsi="宋体" w:cs="宋体"/>
        </w:rPr>
        <w:t>根据</w:t>
      </w:r>
      <w:r>
        <w:rPr>
          <w:rFonts w:hint="eastAsia" w:hAnsi="宋体" w:cs="宋体"/>
          <w:u w:val="single"/>
          <w:lang w:eastAsia="zh-CN"/>
        </w:rPr>
        <w:t>2025年01月</w:t>
      </w:r>
      <w:r>
        <w:rPr>
          <w:rFonts w:hint="eastAsia" w:hAnsi="宋体" w:cs="宋体"/>
          <w:u w:val="single"/>
          <w:lang w:val="en-US" w:eastAsia="zh-CN"/>
        </w:rPr>
        <w:t>13</w:t>
      </w:r>
      <w:r>
        <w:rPr>
          <w:rFonts w:hint="eastAsia" w:hAnsi="宋体" w:cs="宋体"/>
          <w:u w:val="single"/>
        </w:rPr>
        <w:t>日</w:t>
      </w:r>
      <w:r>
        <w:rPr>
          <w:rFonts w:hint="eastAsia" w:hAnsi="宋体" w:cs="宋体"/>
        </w:rPr>
        <w:t>金华市金诚招投标代理有限公司关于</w:t>
      </w:r>
      <w:r>
        <w:rPr>
          <w:rFonts w:hint="eastAsia" w:hAnsi="宋体" w:cs="Arial"/>
          <w:szCs w:val="24"/>
          <w:u w:val="single"/>
        </w:rPr>
        <w:t>“新鲜水果进校园，助力学生健康成长”服务采购项目</w:t>
      </w:r>
      <w:r>
        <w:rPr>
          <w:rFonts w:hint="eastAsia" w:hAnsi="宋体" w:cs="宋体"/>
        </w:rPr>
        <w:t>项目</w:t>
      </w:r>
      <w:r>
        <w:rPr>
          <w:rFonts w:hint="eastAsia" w:hAnsi="宋体"/>
          <w:szCs w:val="24"/>
        </w:rPr>
        <w:t>竞争性磋商的结果</w:t>
      </w:r>
      <w:r>
        <w:rPr>
          <w:rFonts w:hint="eastAsia" w:hAnsi="宋体" w:cs="宋体"/>
        </w:rPr>
        <w:t>，确定</w:t>
      </w:r>
      <w:r>
        <w:rPr>
          <w:rFonts w:hint="eastAsia" w:hAnsi="宋体" w:cs="宋体"/>
          <w:u w:val="single"/>
        </w:rPr>
        <w:t xml:space="preserve">       </w:t>
      </w:r>
      <w:r>
        <w:rPr>
          <w:rFonts w:hint="eastAsia" w:hAnsi="宋体"/>
          <w:color w:val="0D0D0D"/>
        </w:rPr>
        <w:t>为本项目的</w:t>
      </w:r>
      <w:r>
        <w:rPr>
          <w:rFonts w:hint="eastAsia" w:hAnsi="宋体"/>
        </w:rPr>
        <w:t>中标单位</w:t>
      </w:r>
      <w:r>
        <w:rPr>
          <w:rFonts w:hint="eastAsia" w:hAnsi="宋体" w:cs="宋体"/>
        </w:rPr>
        <w:t>。并经甲、乙双方进一步协商一致，签订本合同共同执行</w:t>
      </w:r>
      <w:r>
        <w:rPr>
          <w:rFonts w:hint="eastAsia" w:hAnsi="宋体" w:cs="宋体"/>
          <w:color w:val="000000"/>
        </w:rPr>
        <w:t>。</w:t>
      </w:r>
    </w:p>
    <w:p>
      <w:pPr>
        <w:pStyle w:val="27"/>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s="宋体"/>
          <w:b/>
          <w:bCs/>
          <w:szCs w:val="24"/>
        </w:rPr>
      </w:pPr>
      <w:r>
        <w:rPr>
          <w:rFonts w:hint="eastAsia" w:hAnsi="宋体" w:cs="宋体"/>
          <w:b/>
          <w:bCs/>
          <w:szCs w:val="24"/>
        </w:rPr>
        <w:t>一、合同文件：</w:t>
      </w:r>
      <w:r>
        <w:rPr>
          <w:rFonts w:hint="eastAsia" w:hAnsi="宋体" w:cs="宋体"/>
          <w:b/>
          <w:bCs/>
        </w:rPr>
        <w:t>磋商文件、磋商响应文件及磋商形成经双方确认的所有磋商资料都是构成本合同不可分割的一部分，与本合同具有同等法律效力</w:t>
      </w:r>
      <w:r>
        <w:rPr>
          <w:rFonts w:hint="eastAsia" w:hAnsi="宋体" w:cs="宋体"/>
          <w:b/>
          <w:bCs/>
          <w:szCs w:val="24"/>
        </w:rPr>
        <w:t>，如文件之间、文件与本合同之间有相互矛盾之处，以有利于甲方之解释为准。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sz w:val="24"/>
        </w:rPr>
      </w:pPr>
      <w:r>
        <w:rPr>
          <w:rFonts w:hint="eastAsia" w:ascii="宋体" w:hAnsi="宋体" w:eastAsia="宋体" w:cs="宋体"/>
          <w:b/>
          <w:bCs/>
          <w:sz w:val="24"/>
        </w:rPr>
        <w:t>二、</w:t>
      </w:r>
      <w:r>
        <w:rPr>
          <w:rFonts w:hint="eastAsia" w:ascii="宋体" w:hAnsi="宋体" w:eastAsia="宋体" w:cs="宋体"/>
          <w:b/>
          <w:color w:val="0D0D0D"/>
          <w:sz w:val="24"/>
        </w:rPr>
        <w:t>采购</w:t>
      </w:r>
      <w:r>
        <w:rPr>
          <w:rFonts w:hint="eastAsia" w:ascii="宋体" w:hAnsi="宋体" w:eastAsia="宋体" w:cs="宋体"/>
          <w:b/>
          <w:sz w:val="24"/>
        </w:rPr>
        <w:t>内容及要求：</w:t>
      </w:r>
    </w:p>
    <w:p>
      <w:pPr>
        <w:keepNext w:val="0"/>
        <w:keepLines w:val="0"/>
        <w:pageBreakBefore w:val="0"/>
        <w:kinsoku/>
        <w:wordWrap/>
        <w:overflowPunct/>
        <w:topLinePunct w:val="0"/>
        <w:autoSpaceDE/>
        <w:autoSpaceDN/>
        <w:bidi w:val="0"/>
        <w:adjustRightInd/>
        <w:spacing w:line="360" w:lineRule="auto"/>
        <w:ind w:firstLine="240" w:firstLineChars="100"/>
        <w:jc w:val="left"/>
        <w:textAlignment w:val="auto"/>
        <w:rPr>
          <w:rFonts w:ascii="宋体" w:hAnsi="宋体" w:eastAsia="宋体" w:cs="宋体"/>
          <w:bCs/>
          <w:sz w:val="24"/>
        </w:rPr>
      </w:pPr>
      <w:r>
        <w:rPr>
          <w:rFonts w:hint="eastAsia" w:ascii="宋体" w:hAnsi="宋体" w:eastAsia="宋体" w:cs="宋体"/>
          <w:b/>
          <w:kern w:val="0"/>
          <w:sz w:val="24"/>
        </w:rPr>
        <w:t>（一）项目主要服务内容及服务基本要求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kern w:val="0"/>
          <w:sz w:val="24"/>
        </w:rPr>
      </w:pPr>
      <w:r>
        <w:rPr>
          <w:rFonts w:hint="eastAsia" w:ascii="宋体" w:hAnsi="宋体" w:eastAsia="宋体" w:cs="宋体"/>
          <w:kern w:val="0"/>
          <w:sz w:val="24"/>
        </w:rPr>
        <w:t>1.乙方在</w:t>
      </w:r>
      <w:r>
        <w:rPr>
          <w:rFonts w:hint="eastAsia" w:ascii="宋体" w:hAnsi="宋体" w:eastAsia="宋体" w:cs="宋体"/>
          <w:bCs/>
          <w:color w:val="0D0D0D"/>
          <w:sz w:val="24"/>
          <w:u w:val="single"/>
        </w:rPr>
        <w:t xml:space="preserve">               </w:t>
      </w:r>
      <w:r>
        <w:rPr>
          <w:rFonts w:hint="eastAsia" w:ascii="宋体" w:hAnsi="宋体" w:eastAsia="宋体" w:cs="宋体"/>
          <w:sz w:val="24"/>
        </w:rPr>
        <w:t>摆放</w:t>
      </w:r>
      <w:r>
        <w:rPr>
          <w:rFonts w:hint="eastAsia" w:ascii="宋体" w:hAnsi="宋体" w:eastAsia="宋体" w:cs="宋体"/>
          <w:kern w:val="0"/>
          <w:sz w:val="24"/>
        </w:rPr>
        <w:t>水果自助售卖机</w:t>
      </w:r>
      <w:r>
        <w:rPr>
          <w:rFonts w:hint="eastAsia" w:ascii="宋体" w:hAnsi="宋体" w:eastAsia="宋体" w:cs="宋体"/>
          <w:sz w:val="24"/>
        </w:rPr>
        <w:t>，</w:t>
      </w:r>
      <w:r>
        <w:rPr>
          <w:rFonts w:hint="eastAsia" w:ascii="宋体" w:hAnsi="宋体" w:eastAsia="宋体" w:cs="宋体"/>
          <w:kern w:val="0"/>
          <w:sz w:val="24"/>
        </w:rPr>
        <w:t>具体点位和数量按甲方要求</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bCs/>
          <w:sz w:val="24"/>
        </w:rPr>
        <w:t>2.乙方按照甲方指定</w:t>
      </w:r>
      <w:r>
        <w:rPr>
          <w:rFonts w:hint="eastAsia" w:ascii="宋体" w:hAnsi="宋体" w:eastAsia="宋体" w:cs="宋体"/>
          <w:sz w:val="24"/>
        </w:rPr>
        <w:t>水果品种</w:t>
      </w:r>
      <w:r>
        <w:rPr>
          <w:rFonts w:hint="eastAsia" w:ascii="宋体" w:hAnsi="宋体" w:eastAsia="宋体" w:cs="宋体"/>
          <w:bCs/>
          <w:sz w:val="24"/>
        </w:rPr>
        <w:t>进行</w:t>
      </w:r>
      <w:r>
        <w:rPr>
          <w:rFonts w:hint="eastAsia" w:ascii="宋体" w:hAnsi="宋体" w:eastAsia="宋体" w:cs="宋体"/>
          <w:kern w:val="0"/>
          <w:sz w:val="24"/>
        </w:rPr>
        <w:t>售卖，并且有150平方以上的水果操作间（包括仓库、清洗、去皮、切配、包装等操作间），运营公司与设备提供商须为同一家公司，并拥有技术专利证书等，配备一辆冷链运输车。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shd w:val="clear" w:color="auto" w:fill="FFFFFF"/>
        </w:rPr>
      </w:pPr>
      <w:r>
        <w:rPr>
          <w:rFonts w:hint="eastAsia" w:ascii="宋体" w:hAnsi="宋体" w:eastAsia="宋体" w:cs="宋体"/>
          <w:bCs/>
          <w:sz w:val="24"/>
        </w:rPr>
        <w:t>3.</w:t>
      </w:r>
      <w:r>
        <w:rPr>
          <w:rFonts w:hint="eastAsia" w:ascii="宋体" w:hAnsi="宋体" w:eastAsia="宋体" w:cs="宋体"/>
          <w:sz w:val="24"/>
          <w:shd w:val="clear" w:color="auto" w:fill="FFFFFF"/>
        </w:rPr>
        <w:t>乙方提供的水果自助售卖机各项技术符合国家质量及使用安全标准，水果自助售卖机外观风格须与学校环境一致，保证外形美观协调。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Cs/>
          <w:sz w:val="24"/>
        </w:rPr>
      </w:pPr>
      <w:r>
        <w:rPr>
          <w:rFonts w:hint="eastAsia" w:ascii="宋体" w:hAnsi="宋体" w:eastAsia="宋体" w:cs="宋体"/>
          <w:sz w:val="24"/>
          <w:shd w:val="clear" w:color="auto" w:fill="FFFFFF"/>
        </w:rPr>
        <w:t>4.乙方提供的水果自助售卖机，产权归乙方所有，自行承担设备维修维护，并保证设施24小时正常运行，</w:t>
      </w:r>
      <w:r>
        <w:rPr>
          <w:rFonts w:hint="eastAsia" w:ascii="宋体" w:hAnsi="宋体" w:eastAsia="宋体" w:cs="宋体"/>
          <w:bCs/>
          <w:sz w:val="24"/>
        </w:rPr>
        <w:t>负责日常经营、服务、管理，自负盈亏，</w:t>
      </w:r>
      <w:r>
        <w:rPr>
          <w:rFonts w:hint="eastAsia" w:ascii="宋体" w:hAnsi="宋体" w:eastAsia="宋体" w:cs="宋体"/>
          <w:sz w:val="24"/>
          <w:shd w:val="clear" w:color="auto" w:fill="FFFFFF"/>
        </w:rPr>
        <w:t>不允许转包他人经营</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shd w:val="clear" w:color="auto" w:fill="FFFFFF"/>
        </w:rPr>
      </w:pPr>
      <w:r>
        <w:rPr>
          <w:rFonts w:hint="eastAsia" w:ascii="宋体" w:hAnsi="宋体" w:eastAsia="宋体" w:cs="宋体"/>
          <w:sz w:val="24"/>
        </w:rPr>
        <w:t>5.甲方为乙方提供</w:t>
      </w:r>
      <w:r>
        <w:rPr>
          <w:rFonts w:hint="eastAsia" w:ascii="宋体" w:hAnsi="宋体" w:eastAsia="宋体" w:cs="宋体"/>
          <w:sz w:val="24"/>
          <w:shd w:val="clear" w:color="auto" w:fill="FFFFFF"/>
        </w:rPr>
        <w:t>场地和固定电源</w:t>
      </w:r>
      <w:r>
        <w:rPr>
          <w:rFonts w:hint="eastAsia" w:ascii="宋体" w:hAnsi="宋体" w:eastAsia="宋体" w:cs="宋体"/>
          <w:sz w:val="24"/>
        </w:rPr>
        <w:t>。乙方在服务期间，所有网络费、营业税、工商、环保、卫生、城管、治安等费用，均由乙方自负。水、电费用由乙方每季按表（乙方必须在每个</w:t>
      </w:r>
      <w:r>
        <w:rPr>
          <w:rFonts w:hint="eastAsia" w:ascii="宋体" w:hAnsi="宋体" w:eastAsia="宋体" w:cs="宋体"/>
          <w:kern w:val="0"/>
          <w:sz w:val="24"/>
        </w:rPr>
        <w:t>点位的</w:t>
      </w:r>
      <w:r>
        <w:rPr>
          <w:rFonts w:hint="eastAsia" w:ascii="宋体" w:hAnsi="宋体" w:eastAsia="宋体" w:cs="宋体"/>
          <w:sz w:val="24"/>
        </w:rPr>
        <w:t>水果自助售卖机旁安装电表）及时缴纳。逾期将停电停水处理。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6.乙方必须遵守国家的法律、法规，遵守甲方的规章制度，做到优质服务，文明经营。乙方必须服从甲方的管理、监督以及有关部门的检查。在服务期间，如发生食物中毒、治安、环卫、消防等重大责任事故，乙方独立承担相应法律责任，并承担与事故相关的其它所有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7.乙方必须严格遵守《中华人民共和国食品安全法》、《中华人民</w:t>
      </w:r>
      <w:r>
        <w:rPr>
          <w:rFonts w:hint="eastAsia" w:ascii="宋体" w:hAnsi="宋体" w:eastAsia="宋体" w:cs="宋体"/>
          <w:kern w:val="0"/>
          <w:sz w:val="24"/>
        </w:rPr>
        <w:t>共和国产品质量法》等相关规定</w:t>
      </w:r>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8.</w:t>
      </w:r>
      <w:r>
        <w:rPr>
          <w:rFonts w:hint="eastAsia" w:ascii="宋体" w:hAnsi="宋体" w:eastAsia="宋体" w:cs="宋体"/>
          <w:bCs/>
          <w:sz w:val="24"/>
        </w:rPr>
        <w:t>服务期</w:t>
      </w:r>
      <w:r>
        <w:rPr>
          <w:rFonts w:hint="eastAsia" w:ascii="宋体" w:hAnsi="宋体" w:eastAsia="宋体" w:cs="宋体"/>
          <w:sz w:val="24"/>
        </w:rPr>
        <w:t>内乙方劳动用工必须符合相关法律法规，如有违法违规用工行为，责任由乙方自行承担。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9.</w:t>
      </w:r>
      <w:r>
        <w:rPr>
          <w:rFonts w:hint="eastAsia" w:ascii="宋体" w:hAnsi="宋体" w:eastAsia="宋体" w:cs="宋体"/>
          <w:bCs/>
          <w:sz w:val="24"/>
        </w:rPr>
        <w:t>乙方应</w:t>
      </w:r>
      <w:r>
        <w:rPr>
          <w:rFonts w:hint="eastAsia" w:ascii="宋体" w:hAnsi="宋体" w:eastAsia="宋体" w:cs="宋体"/>
          <w:sz w:val="24"/>
        </w:rPr>
        <w:t>依法申办工商、税务、公安、卫生等证件，取得合法经营资格，费用自负。乙方及其从业人员须具有身份证、健康证、暂住证以及从业人员资格证。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10.服务期间乙方必须服从甲方的现场管理。</w:t>
      </w:r>
    </w:p>
    <w:p>
      <w:pPr>
        <w:keepNext w:val="0"/>
        <w:keepLines w:val="0"/>
        <w:pageBreakBefore w:val="0"/>
        <w:kinsoku/>
        <w:wordWrap/>
        <w:overflowPunct/>
        <w:topLinePunct w:val="0"/>
        <w:autoSpaceDE/>
        <w:autoSpaceDN/>
        <w:bidi w:val="0"/>
        <w:adjustRightInd/>
        <w:spacing w:line="360" w:lineRule="auto"/>
        <w:ind w:firstLine="240" w:firstLineChars="100"/>
        <w:jc w:val="left"/>
        <w:textAlignment w:val="auto"/>
        <w:rPr>
          <w:rFonts w:ascii="宋体" w:hAnsi="宋体" w:eastAsia="宋体" w:cs="宋体"/>
          <w:sz w:val="24"/>
          <w:shd w:val="clear" w:color="auto" w:fill="FFFFFF"/>
        </w:rPr>
      </w:pPr>
      <w:r>
        <w:rPr>
          <w:rFonts w:hint="eastAsia" w:ascii="宋体" w:hAnsi="宋体" w:eastAsia="宋体" w:cs="宋体"/>
          <w:b/>
          <w:bCs/>
          <w:sz w:val="24"/>
          <w:shd w:val="clear" w:color="auto" w:fill="FFFFFF"/>
        </w:rPr>
        <w:t>（二）服务要求</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shd w:val="clear" w:color="auto" w:fill="FFFFFF"/>
        </w:rPr>
      </w:pPr>
      <w:r>
        <w:rPr>
          <w:rFonts w:hint="eastAsia" w:ascii="宋体" w:hAnsi="宋体" w:eastAsia="宋体" w:cs="宋体"/>
          <w:sz w:val="24"/>
          <w:shd w:val="clear" w:color="auto" w:fill="FFFFFF"/>
        </w:rPr>
        <w:t>1.乙方承诺售卖水果的种类、数量、满足学校要求。</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2.每天保障2次 (上午11时之前、下午16时之前) 更新盒装水果 (盒装水果注明上架日期，采用密封、充氮保鲜包装) ，整果48小时必须全部下架更新。</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3.新鲜水果全程冷藏车配送到学校，温控在0-10°C。</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4.每天同步提供新鲜水果农残检测报告，及第三方检测机构报告 (菌落总数、大肠菌群.沙门氏菌、金黄色葡萄球菌、单核细胞增生李斯特氏菌等检测报告)。</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5.提供智慧反馈终端设备，高效受理、解决师生售后问题。</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6.兼容校园一卡通、刷脸、手机扫码等多种支付方式。</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7.水果保证新鲜，当季水果，外形正常，成熟度良好，口感好，色泽鲜明，无发霉发黄，无变质，无虫害、无虫咬，且大小均匀，农药残留不超标。</w:t>
      </w:r>
      <w:r>
        <w:rPr>
          <w:rFonts w:hint="eastAsia" w:ascii="宋体" w:hAnsi="宋体" w:eastAsia="宋体" w:cs="宋体"/>
          <w:sz w:val="24"/>
        </w:rPr>
        <w:tab/>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bCs/>
          <w:sz w:val="24"/>
        </w:rPr>
      </w:pPr>
      <w:r>
        <w:rPr>
          <w:rFonts w:hint="eastAsia" w:ascii="宋体" w:hAnsi="宋体" w:eastAsia="宋体" w:cs="宋体"/>
          <w:bCs/>
          <w:sz w:val="24"/>
        </w:rPr>
        <w:t>8.乙方所提供的水果符合国家有关食品卫生、安全质量等方面的要求。所提供的水果质量，必须经甲方验收，验收合格后才能进行售卖。如验收达不到甲方要求，则应立刻退回，若乙方不听劝告，一再坚持错误继续售卖，甲方有权终止与乙方的采购合同，由此造成的一切损失由乙方承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shd w:val="clear" w:color="auto" w:fill="FFFFFF"/>
        </w:rPr>
      </w:pPr>
      <w:r>
        <w:rPr>
          <w:rFonts w:hint="eastAsia" w:ascii="宋体" w:hAnsi="宋体" w:eastAsia="宋体" w:cs="宋体"/>
          <w:sz w:val="24"/>
        </w:rPr>
        <w:t>9.运输和装卸食品的容器、工具和设备应当安全、无害，保持清洁，防止食品污染，并符合保证食品安全所需的温度、湿度等特殊要求，不得将食品与有毒、有害物品一同贮存、运输。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shd w:val="clear" w:color="auto" w:fill="FFFFFF"/>
        </w:rPr>
      </w:pPr>
      <w:r>
        <w:rPr>
          <w:rFonts w:hint="eastAsia" w:ascii="宋体" w:hAnsi="宋体" w:eastAsia="宋体" w:cs="宋体"/>
          <w:sz w:val="24"/>
          <w:shd w:val="clear" w:color="auto" w:fill="FFFFFF"/>
        </w:rPr>
        <w:t>10.水果自助售卖机发生故障后乙方承诺在24小时内修理完毕。</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sz w:val="24"/>
          <w:shd w:val="clear" w:color="auto" w:fill="FFFFFF"/>
        </w:rPr>
      </w:pPr>
      <w:r>
        <w:rPr>
          <w:rFonts w:hint="eastAsia" w:ascii="宋体" w:hAnsi="宋体" w:eastAsia="宋体" w:cs="宋体"/>
          <w:sz w:val="24"/>
          <w:shd w:val="clear" w:color="auto" w:fill="FFFFFF"/>
        </w:rPr>
        <w:t>11.水果自助售卖机售卖造成的安全事故或纠纷由乙方自行处理并要圆满解决，甲方可提供协助。如果发生有效投诉的，甲方将对乙方进行处罚。</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eastAsia="宋体" w:cs="宋体"/>
          <w:b/>
          <w:sz w:val="24"/>
        </w:rPr>
      </w:pPr>
      <w:r>
        <w:rPr>
          <w:rFonts w:hint="eastAsia" w:ascii="宋体" w:hAnsi="宋体" w:eastAsia="宋体" w:cs="宋体"/>
          <w:sz w:val="24"/>
          <w:shd w:val="clear" w:color="auto" w:fill="FFFFFF"/>
        </w:rPr>
        <w:t>12.乙方承诺在合同签订后30天内将设备投入使用。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三、服务期限：3年。</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四、水果售卖约定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shd w:val="clear" w:color="auto" w:fill="FFFFFF"/>
        </w:rPr>
      </w:pPr>
      <w:r>
        <w:rPr>
          <w:rFonts w:hint="eastAsia" w:ascii="宋体" w:hAnsi="宋体" w:eastAsia="宋体" w:cs="宋体"/>
          <w:sz w:val="24"/>
          <w:shd w:val="clear" w:color="auto" w:fill="FFFFFF"/>
        </w:rPr>
        <w:t>1、</w:t>
      </w:r>
      <w:r>
        <w:rPr>
          <w:rFonts w:hint="eastAsia" w:ascii="宋体" w:hAnsi="宋体" w:eastAsia="宋体" w:cs="宋体"/>
          <w:sz w:val="24"/>
          <w:u w:val="single"/>
          <w:shd w:val="clear" w:color="auto" w:fill="FFFFFF"/>
        </w:rPr>
        <w:t>“新鲜水果进校园，助力学生健康成长”服务采购项目</w:t>
      </w:r>
      <w:r>
        <w:rPr>
          <w:rFonts w:hint="eastAsia" w:ascii="宋体" w:hAnsi="宋体" w:eastAsia="宋体" w:cs="宋体"/>
          <w:sz w:val="24"/>
          <w:shd w:val="clear" w:color="auto" w:fill="FFFFFF"/>
        </w:rPr>
        <w:t>中标折扣率：</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u w:val="single"/>
          <w:shd w:val="clear" w:color="auto" w:fill="FFFFFF"/>
        </w:rPr>
      </w:pPr>
      <w:r>
        <w:rPr>
          <w:rFonts w:hint="eastAsia" w:ascii="宋体" w:hAnsi="宋体" w:eastAsia="宋体" w:cs="宋体"/>
          <w:sz w:val="24"/>
          <w:shd w:val="clear" w:color="auto" w:fill="FFFFFF"/>
        </w:rPr>
        <w:t>2、水果售价:按</w:t>
      </w:r>
      <w:r>
        <w:rPr>
          <w:rFonts w:hint="eastAsia" w:ascii="宋体" w:hAnsi="宋体" w:eastAsia="宋体" w:cs="宋体"/>
          <w:sz w:val="24"/>
        </w:rPr>
        <w:t>东阳市区世纪联华超市实体店的实时售卖价格为“基准价”下浮，</w:t>
      </w:r>
      <w:r>
        <w:rPr>
          <w:rFonts w:hint="eastAsia" w:ascii="宋体" w:hAnsi="宋体" w:eastAsia="宋体" w:cs="宋体"/>
          <w:sz w:val="24"/>
          <w:shd w:val="clear" w:color="auto" w:fill="FFFFFF"/>
        </w:rPr>
        <w:t>折扣率</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五、付款方式：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sz w:val="24"/>
        </w:rPr>
      </w:pPr>
      <w:r>
        <w:rPr>
          <w:rFonts w:hint="eastAsia" w:ascii="宋体" w:hAnsi="宋体" w:eastAsia="宋体" w:cs="宋体"/>
          <w:b/>
          <w:sz w:val="24"/>
        </w:rPr>
        <w:t>六、技术资料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1、乙方应按</w:t>
      </w:r>
      <w:r>
        <w:rPr>
          <w:rFonts w:hint="eastAsia" w:ascii="宋体" w:hAnsi="宋体" w:eastAsia="宋体" w:cs="宋体"/>
          <w:bCs/>
          <w:sz w:val="24"/>
        </w:rPr>
        <w:t>磋商</w:t>
      </w:r>
      <w:r>
        <w:rPr>
          <w:rFonts w:hint="eastAsia" w:ascii="宋体" w:hAnsi="宋体" w:eastAsia="宋体" w:cs="宋体"/>
          <w:sz w:val="24"/>
        </w:rPr>
        <w:t>文件规定的时间向甲方提供有关技术资料。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七、知识产权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sz w:val="24"/>
        </w:rPr>
        <w:t>乙方应保证所提供的服务及任何部分均不会侵犯任何第三方的知识产权。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color w:val="auto"/>
          <w:sz w:val="24"/>
        </w:rPr>
      </w:pPr>
      <w:r>
        <w:rPr>
          <w:rFonts w:hint="eastAsia" w:ascii="宋体" w:hAnsi="宋体" w:eastAsia="宋体" w:cs="宋体"/>
          <w:b/>
          <w:bCs/>
          <w:color w:val="auto"/>
          <w:sz w:val="24"/>
        </w:rPr>
        <w:t>八、新鲜水果质量保障约定</w:t>
      </w:r>
    </w:p>
    <w:p>
      <w:pPr>
        <w:keepNext w:val="0"/>
        <w:keepLines w:val="0"/>
        <w:pageBreakBefore w:val="0"/>
        <w:kinsoku/>
        <w:wordWrap/>
        <w:overflowPunct/>
        <w:topLinePunct w:val="0"/>
        <w:autoSpaceDE/>
        <w:autoSpaceDN/>
        <w:bidi w:val="0"/>
        <w:adjustRightInd/>
        <w:spacing w:line="500" w:lineRule="exact"/>
        <w:ind w:firstLine="480"/>
        <w:textAlignment w:val="auto"/>
        <w:rPr>
          <w:sz w:val="24"/>
        </w:rPr>
      </w:pPr>
      <w:r>
        <w:rPr>
          <w:rFonts w:hint="eastAsia"/>
          <w:sz w:val="24"/>
        </w:rPr>
        <w:t>因所售新鲜水果对安全性、及时性要求很高，为加强配送质量，提高配送效益，强化双方责任意识，现明确有关违约责任如下：</w:t>
      </w:r>
    </w:p>
    <w:p>
      <w:pPr>
        <w:keepNext w:val="0"/>
        <w:keepLines w:val="0"/>
        <w:pageBreakBefore w:val="0"/>
        <w:kinsoku/>
        <w:wordWrap/>
        <w:overflowPunct/>
        <w:topLinePunct w:val="0"/>
        <w:autoSpaceDE/>
        <w:autoSpaceDN/>
        <w:bidi w:val="0"/>
        <w:adjustRightInd/>
        <w:spacing w:line="500" w:lineRule="exact"/>
        <w:ind w:firstLine="480"/>
        <w:textAlignment w:val="auto"/>
        <w:rPr>
          <w:sz w:val="24"/>
        </w:rPr>
      </w:pPr>
      <w:r>
        <w:rPr>
          <w:rFonts w:hint="eastAsia"/>
          <w:sz w:val="24"/>
        </w:rPr>
        <w:t>（一）履约保证金数额</w:t>
      </w:r>
    </w:p>
    <w:p>
      <w:pPr>
        <w:keepNext w:val="0"/>
        <w:keepLines w:val="0"/>
        <w:pageBreakBefore w:val="0"/>
        <w:kinsoku/>
        <w:wordWrap/>
        <w:overflowPunct/>
        <w:topLinePunct w:val="0"/>
        <w:autoSpaceDE/>
        <w:autoSpaceDN/>
        <w:bidi w:val="0"/>
        <w:adjustRightInd/>
        <w:spacing w:line="500" w:lineRule="exact"/>
        <w:ind w:firstLine="480"/>
        <w:textAlignment w:val="auto"/>
        <w:rPr>
          <w:sz w:val="24"/>
        </w:rPr>
      </w:pPr>
      <w:r>
        <w:rPr>
          <w:rFonts w:hint="eastAsia"/>
          <w:sz w:val="24"/>
        </w:rPr>
        <w:t>为规范经营工作，提高质量，确保食品安全，保持良好的服务水平，乙方自愿缴纳给甲方履约保证贰仟元。对出现违约问题扣款后，乙方应及时补足差额款项。</w:t>
      </w:r>
    </w:p>
    <w:p>
      <w:pPr>
        <w:keepNext w:val="0"/>
        <w:keepLines w:val="0"/>
        <w:pageBreakBefore w:val="0"/>
        <w:kinsoku/>
        <w:wordWrap/>
        <w:overflowPunct/>
        <w:topLinePunct w:val="0"/>
        <w:autoSpaceDE/>
        <w:autoSpaceDN/>
        <w:bidi w:val="0"/>
        <w:adjustRightInd/>
        <w:spacing w:line="500" w:lineRule="exact"/>
        <w:ind w:firstLine="480"/>
        <w:textAlignment w:val="auto"/>
        <w:rPr>
          <w:sz w:val="24"/>
        </w:rPr>
      </w:pPr>
      <w:r>
        <w:rPr>
          <w:rFonts w:hint="eastAsia"/>
          <w:sz w:val="24"/>
        </w:rPr>
        <w:t>（二）乙方违约责任区分及处罚</w:t>
      </w:r>
    </w:p>
    <w:p>
      <w:pPr>
        <w:keepNext w:val="0"/>
        <w:keepLines w:val="0"/>
        <w:pageBreakBefore w:val="0"/>
        <w:kinsoku/>
        <w:wordWrap/>
        <w:overflowPunct/>
        <w:topLinePunct w:val="0"/>
        <w:autoSpaceDE/>
        <w:autoSpaceDN/>
        <w:bidi w:val="0"/>
        <w:adjustRightInd/>
        <w:spacing w:line="500" w:lineRule="exact"/>
        <w:ind w:firstLine="480"/>
        <w:textAlignment w:val="auto"/>
        <w:rPr>
          <w:rFonts w:hint="eastAsia"/>
          <w:sz w:val="24"/>
        </w:rPr>
      </w:pPr>
      <w:r>
        <w:rPr>
          <w:rFonts w:hint="eastAsia"/>
          <w:sz w:val="24"/>
        </w:rPr>
        <w:t>当乙方出现以下行为时，视为违约，并处以相应的经济处罚：</w:t>
      </w:r>
    </w:p>
    <w:p>
      <w:pPr>
        <w:pStyle w:val="255"/>
        <w:keepNext w:val="0"/>
        <w:keepLines w:val="0"/>
        <w:pageBreakBefore w:val="0"/>
        <w:numPr>
          <w:numId w:val="0"/>
        </w:numPr>
        <w:kinsoku/>
        <w:wordWrap/>
        <w:overflowPunct/>
        <w:topLinePunct w:val="0"/>
        <w:autoSpaceDE/>
        <w:autoSpaceDN/>
        <w:bidi w:val="0"/>
        <w:adjustRightInd/>
        <w:spacing w:line="500" w:lineRule="exact"/>
        <w:ind w:firstLine="480" w:firstLineChars="200"/>
        <w:textAlignment w:val="auto"/>
        <w:rPr>
          <w:sz w:val="24"/>
        </w:rPr>
      </w:pPr>
      <w:r>
        <w:rPr>
          <w:rFonts w:hint="eastAsia"/>
          <w:sz w:val="24"/>
          <w:lang w:val="en-US" w:eastAsia="zh-CN"/>
        </w:rPr>
        <w:t>1、</w:t>
      </w:r>
      <w:r>
        <w:rPr>
          <w:rFonts w:hint="eastAsia"/>
          <w:sz w:val="24"/>
        </w:rPr>
        <w:t>乙方经营的商品达不到国家食品卫生安全标准，遇有质保过期、品牌“三无”、假冒伪劣等情况，经甲方检查发现，第一次扣除乙方履约保证金500元；第二次扣除乙方履约保证金1000元；第三次扣除乙方履约保证金2000元，并取消乙方的经营资格，乙方投资的硬件设备归还乙方。</w:t>
      </w:r>
    </w:p>
    <w:p>
      <w:pPr>
        <w:pStyle w:val="255"/>
        <w:keepNext w:val="0"/>
        <w:keepLines w:val="0"/>
        <w:pageBreakBefore w:val="0"/>
        <w:numPr>
          <w:numId w:val="0"/>
        </w:numPr>
        <w:kinsoku/>
        <w:wordWrap/>
        <w:overflowPunct/>
        <w:topLinePunct w:val="0"/>
        <w:autoSpaceDE/>
        <w:autoSpaceDN/>
        <w:bidi w:val="0"/>
        <w:adjustRightInd/>
        <w:spacing w:line="500" w:lineRule="exact"/>
        <w:ind w:firstLine="480" w:firstLineChars="200"/>
        <w:textAlignment w:val="auto"/>
        <w:rPr>
          <w:rFonts w:hint="eastAsia"/>
          <w:sz w:val="24"/>
        </w:rPr>
      </w:pPr>
      <w:r>
        <w:rPr>
          <w:rFonts w:hint="eastAsia"/>
          <w:sz w:val="24"/>
          <w:lang w:val="en-US" w:eastAsia="zh-CN"/>
        </w:rPr>
        <w:t>2、</w:t>
      </w:r>
      <w:r>
        <w:rPr>
          <w:rFonts w:hint="eastAsia"/>
          <w:sz w:val="24"/>
        </w:rPr>
        <w:t>乙方配送的商品存在卫生安全问题，导致甲方发生群体性食物中毒事故，由乙方承担所有事故责任及费用，没收履约保证金，取消经营资格。造成严重后果的，甲方将依法提起诉讼，追究乙方法律责任，乙方投资的硬件设备归还乙方。</w:t>
      </w:r>
    </w:p>
    <w:p>
      <w:pPr>
        <w:pStyle w:val="255"/>
        <w:keepNext w:val="0"/>
        <w:keepLines w:val="0"/>
        <w:pageBreakBefore w:val="0"/>
        <w:numPr>
          <w:numId w:val="0"/>
        </w:numPr>
        <w:kinsoku/>
        <w:wordWrap/>
        <w:overflowPunct/>
        <w:topLinePunct w:val="0"/>
        <w:autoSpaceDE/>
        <w:autoSpaceDN/>
        <w:bidi w:val="0"/>
        <w:adjustRightInd/>
        <w:spacing w:line="500" w:lineRule="exact"/>
        <w:ind w:firstLine="480" w:firstLineChars="200"/>
        <w:textAlignment w:val="auto"/>
        <w:rPr>
          <w:sz w:val="24"/>
        </w:rPr>
      </w:pPr>
      <w:r>
        <w:rPr>
          <w:rFonts w:hint="eastAsia"/>
          <w:sz w:val="24"/>
          <w:lang w:val="en-US" w:eastAsia="zh-CN"/>
        </w:rPr>
        <w:t>3、</w:t>
      </w:r>
      <w:r>
        <w:rPr>
          <w:rFonts w:hint="eastAsia"/>
          <w:sz w:val="24"/>
        </w:rPr>
        <w:t>乙方在经营过程中商品价格明显高于市场零售价格（商超市场里商品活动促销除外），第一次扣除乙方履约保证金500元；第二次扣除乙方履约保证金1000元；第三次后每次扣除乙方履约保证金2000元并甲方有权取消乙方的经营资格，乙方投资的硬件设备归还乙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九、税费</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本合同执行中相关的一切税费均由乙方负担。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b/>
          <w:bCs/>
          <w:sz w:val="24"/>
        </w:rPr>
        <w:t>十、</w:t>
      </w:r>
      <w:r>
        <w:rPr>
          <w:rFonts w:hint="eastAsia" w:ascii="宋体" w:hAnsi="宋体" w:eastAsia="宋体" w:cs="宋体"/>
          <w:b/>
          <w:sz w:val="24"/>
        </w:rPr>
        <w:t>质量保证及后续服务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1、乙方应按</w:t>
      </w:r>
      <w:r>
        <w:rPr>
          <w:rFonts w:hint="eastAsia" w:ascii="宋体" w:hAnsi="宋体" w:eastAsia="宋体" w:cs="宋体"/>
          <w:bCs/>
          <w:sz w:val="24"/>
        </w:rPr>
        <w:t>磋商</w:t>
      </w:r>
      <w:r>
        <w:rPr>
          <w:rFonts w:hint="eastAsia" w:ascii="宋体" w:hAnsi="宋体" w:eastAsia="宋体" w:cs="宋体"/>
          <w:sz w:val="24"/>
        </w:rPr>
        <w:t>文件规定向甲方提供服务。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2、乙方提供的服务成果在服务质量保证期内发生故障，乙方应负责免费提供后续服务。对达不到要求者，根据实际情况，经双方协商，可按以下办法处理：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（1）重做：由乙方承担所发生的全部费用。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（2）解除合同。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3、在服务过程中乙方在接到甲方通知后</w:t>
      </w:r>
      <w:r>
        <w:rPr>
          <w:rFonts w:hint="eastAsia" w:ascii="宋体" w:hAnsi="宋体" w:eastAsia="宋体" w:cs="宋体"/>
          <w:sz w:val="24"/>
          <w:u w:val="single"/>
        </w:rPr>
        <w:t xml:space="preserve"> 1 </w:t>
      </w:r>
      <w:r>
        <w:rPr>
          <w:rFonts w:hint="eastAsia" w:ascii="宋体" w:hAnsi="宋体" w:eastAsia="宋体" w:cs="宋体"/>
          <w:sz w:val="24"/>
        </w:rPr>
        <w:t>小时内到达甲方现场。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sz w:val="24"/>
        </w:rPr>
        <w:t>4、</w:t>
      </w:r>
      <w:r>
        <w:rPr>
          <w:rFonts w:hint="eastAsia" w:ascii="宋体" w:hAnsi="宋体" w:eastAsia="宋体" w:cs="宋体"/>
          <w:bCs/>
          <w:sz w:val="24"/>
        </w:rPr>
        <w:t>服务期内，乙方</w:t>
      </w:r>
      <w:r>
        <w:rPr>
          <w:rFonts w:hint="eastAsia" w:ascii="宋体" w:hAnsi="宋体" w:eastAsia="宋体" w:cs="宋体"/>
          <w:sz w:val="24"/>
        </w:rPr>
        <w:t>应对出现的质量及安全问题负责处理并承担一切费用。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十一、违约责任：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1、甲方无正当理由拒绝接受服务的，</w:t>
      </w:r>
      <w:r>
        <w:rPr>
          <w:rFonts w:hint="eastAsia"/>
          <w:sz w:val="24"/>
        </w:rPr>
        <w:t>扣除乙方履约保证金2000元并甲方有权取消乙方的经营资格</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2、甲方无故逾期验收和办理款项支付手续的,甲方应按逾期付款总额每日万分之五向乙方支付违约金。</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乙方未能如期提供服务的，每日向甲方支付合同款项的千分之六作为违约金。乙方超过约定日期10个工作日仍不能提供服务，甲方可解除本合同。乙方因未能如期提供服务或因其他违约行为导致甲方解除合同的，乙方应向甲方支付合同总值5%的违约金，如造成甲方损失超过违约金的，超出部分由乙方继续承担赔偿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sz w:val="24"/>
        </w:rPr>
      </w:pPr>
      <w:r>
        <w:rPr>
          <w:rFonts w:hint="eastAsia" w:ascii="宋体" w:hAnsi="宋体" w:eastAsia="宋体" w:cs="宋体"/>
          <w:b/>
          <w:bCs/>
          <w:sz w:val="24"/>
        </w:rPr>
        <w:t>十二、</w:t>
      </w:r>
      <w:r>
        <w:rPr>
          <w:rFonts w:hint="eastAsia" w:ascii="宋体" w:hAnsi="宋体" w:eastAsia="宋体" w:cs="宋体"/>
          <w:b/>
          <w:sz w:val="24"/>
        </w:rPr>
        <w:t>不可抗力事件处理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sz w:val="24"/>
        </w:rPr>
      </w:pPr>
      <w:r>
        <w:rPr>
          <w:rFonts w:hint="eastAsia" w:ascii="宋体" w:hAnsi="宋体" w:eastAsia="宋体" w:cs="宋体"/>
          <w:b/>
          <w:bCs/>
          <w:sz w:val="24"/>
        </w:rPr>
        <w:t>十三、</w:t>
      </w:r>
      <w:r>
        <w:rPr>
          <w:rFonts w:hint="eastAsia" w:ascii="宋体" w:hAnsi="宋体" w:eastAsia="宋体" w:cs="宋体"/>
          <w:b/>
          <w:sz w:val="24"/>
        </w:rPr>
        <w:t>诉讼</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sz w:val="24"/>
        </w:rPr>
      </w:pPr>
      <w:r>
        <w:rPr>
          <w:rFonts w:hint="eastAsia" w:ascii="宋体" w:hAnsi="宋体" w:eastAsia="宋体" w:cs="宋体"/>
          <w:b/>
          <w:bCs/>
          <w:sz w:val="24"/>
        </w:rPr>
        <w:t>本合同发生争议，双方协商解决，协商不成由东阳市人民法院受理。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color w:val="000000"/>
          <w:sz w:val="24"/>
        </w:rPr>
      </w:pPr>
      <w:r>
        <w:rPr>
          <w:rFonts w:hint="eastAsia" w:ascii="宋体" w:hAnsi="宋体" w:eastAsia="宋体" w:cs="宋体"/>
          <w:b/>
          <w:bCs/>
          <w:color w:val="000000"/>
          <w:sz w:val="24"/>
        </w:rPr>
        <w:t>十四、合同生效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1.合同经双方法定代表人或授权代表签字并加盖单位公章</w:t>
      </w:r>
      <w:r>
        <w:rPr>
          <w:rFonts w:hint="eastAsia" w:ascii="宋体" w:hAnsi="宋体" w:eastAsia="宋体" w:cs="宋体"/>
          <w:sz w:val="24"/>
        </w:rPr>
        <w:t>后生效</w:t>
      </w:r>
      <w:r>
        <w:rPr>
          <w:rFonts w:hint="eastAsia" w:ascii="宋体" w:hAnsi="宋体" w:eastAsia="宋体" w:cs="宋体"/>
          <w:color w:val="000000"/>
          <w:sz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2.合同执行中涉及采购资金和采购内容修改或补充的，须经审批，并签书面补充协议备案，方可作为主合同不可分割的一部分。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sz w:val="24"/>
        </w:rPr>
      </w:pPr>
      <w:r>
        <w:rPr>
          <w:rFonts w:hint="eastAsia" w:ascii="宋体" w:hAnsi="宋体" w:eastAsia="宋体" w:cs="宋体"/>
          <w:color w:val="000000"/>
          <w:sz w:val="24"/>
        </w:rPr>
        <w:t>3.本合同未尽事宜，遵照《中华人民共和国民法典》有关条文执行。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b/>
          <w:sz w:val="24"/>
        </w:rPr>
      </w:pPr>
      <w:r>
        <w:rPr>
          <w:rFonts w:hint="eastAsia" w:ascii="宋体" w:hAnsi="宋体" w:eastAsia="宋体" w:cs="宋体"/>
          <w:color w:val="000000"/>
          <w:sz w:val="24"/>
        </w:rPr>
        <w:t>4.本合同正本一式五份，具有同等法律效力，甲乙双方各执二份；采购代理机构存档一份。</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甲方（公章）：                      乙方（公章）：</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法定代表人或委托人                  法定代表人或委托人</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（签字）                            （签字）</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电话：                              电话：</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bCs/>
          <w:sz w:val="24"/>
        </w:rPr>
      </w:pPr>
      <w:r>
        <w:rPr>
          <w:rFonts w:hint="eastAsia" w:ascii="宋体" w:hAnsi="宋体" w:eastAsia="宋体" w:cs="宋体"/>
          <w:bCs/>
          <w:sz w:val="24"/>
        </w:rPr>
        <w:t>磋商代理机构（公章）：金华市金诚招投标代理有限公司</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bCs/>
          <w:sz w:val="24"/>
        </w:rPr>
      </w:pPr>
      <w:r>
        <w:rPr>
          <w:rFonts w:hint="eastAsia" w:ascii="宋体" w:hAnsi="宋体" w:eastAsia="宋体" w:cs="宋体"/>
          <w:bCs/>
          <w:sz w:val="24"/>
        </w:rPr>
        <w:t xml:space="preserve">法定代表人或委托人         </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 xml:space="preserve">（签字）                            </w:t>
      </w:r>
    </w:p>
    <w:p>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rPr>
        <w:t>签约时间：    年   月   日              签约地点：</w:t>
      </w:r>
    </w:p>
    <w:p>
      <w:pPr>
        <w:pStyle w:val="27"/>
        <w:snapToGrid w:val="0"/>
        <w:spacing w:beforeLines="0" w:afterLines="0" w:line="360" w:lineRule="auto"/>
        <w:rPr>
          <w:rFonts w:hAnsi="宋体" w:cs="宋体"/>
        </w:rPr>
      </w:pPr>
    </w:p>
    <w:sectPr>
      <w:headerReference r:id="rId10" w:type="default"/>
      <w:footerReference r:id="rId11" w:type="default"/>
      <w:pgSz w:w="11906" w:h="16838"/>
      <w:pgMar w:top="1327" w:right="1531" w:bottom="1327"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1"/>
      </w:rPr>
    </w:pPr>
    <w:r>
      <w:rPr>
        <w:rStyle w:val="51"/>
      </w:rPr>
      <w:fldChar w:fldCharType="begin"/>
    </w:r>
    <w:r>
      <w:rPr>
        <w:rStyle w:val="51"/>
      </w:rPr>
      <w:instrText xml:space="preserve">PAGE  </w:instrText>
    </w:r>
    <w:r>
      <w:rPr>
        <w:rStyle w:val="51"/>
      </w:rPr>
      <w:fldChar w:fldCharType="separate"/>
    </w:r>
    <w:r>
      <w:rPr>
        <w:rStyle w:val="51"/>
      </w:rPr>
      <w:t>32</w:t>
    </w:r>
    <w:r>
      <w:rPr>
        <w:rStyle w:val="51"/>
      </w:rP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1"/>
        <w:rFonts w:ascii="宋体" w:hAnsi="宋体" w:eastAsia="宋体"/>
        <w:sz w:val="28"/>
        <w:szCs w:val="28"/>
      </w:rPr>
    </w:pPr>
  </w:p>
  <w:p>
    <w:pPr>
      <w:pStyle w:val="32"/>
      <w:ind w:right="720" w:firstLine="180" w:firstLineChars="100"/>
      <w:jc w:val="both"/>
    </w:pPr>
    <w:r>
      <w:t xml:space="preserv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- 21 -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- 45 -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9E76A"/>
    <w:multiLevelType w:val="singleLevel"/>
    <w:tmpl w:val="BC39E76A"/>
    <w:lvl w:ilvl="0" w:tentative="0">
      <w:start w:val="1"/>
      <w:numFmt w:val="decimal"/>
      <w:suff w:val="nothing"/>
      <w:lvlText w:val="%1、"/>
      <w:lvlJc w:val="left"/>
    </w:lvl>
  </w:abstractNum>
  <w:abstractNum w:abstractNumId="1">
    <w:nsid w:val="FF1124C9"/>
    <w:multiLevelType w:val="singleLevel"/>
    <w:tmpl w:val="FF1124C9"/>
    <w:lvl w:ilvl="0" w:tentative="0">
      <w:start w:val="3"/>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08931F"/>
    <w:multiLevelType w:val="singleLevel"/>
    <w:tmpl w:val="4408931F"/>
    <w:lvl w:ilvl="0" w:tentative="0">
      <w:start w:val="3"/>
      <w:numFmt w:val="chineseCounting"/>
      <w:suff w:val="space"/>
      <w:lvlText w:val="第%1章"/>
      <w:lvlJc w:val="left"/>
      <w:rPr>
        <w:rFonts w:hint="eastAsia"/>
      </w:rPr>
    </w:lvl>
  </w:abstractNum>
  <w:abstractNum w:abstractNumId="4">
    <w:nsid w:val="762A79E0"/>
    <w:multiLevelType w:val="multilevel"/>
    <w:tmpl w:val="762A79E0"/>
    <w:lvl w:ilvl="0" w:tentative="0">
      <w:start w:val="1"/>
      <w:numFmt w:val="chineseCountingThousand"/>
      <w:pStyle w:val="261"/>
      <w:suff w:val="space"/>
      <w:lvlText w:val="第%1章"/>
      <w:lvlJc w:val="left"/>
      <w:pPr>
        <w:ind w:left="0" w:firstLine="0"/>
      </w:pPr>
      <w:rPr>
        <w:rFonts w:hint="eastAsia"/>
      </w:rPr>
    </w:lvl>
    <w:lvl w:ilvl="1" w:tentative="0">
      <w:start w:val="1"/>
      <w:numFmt w:val="decimal"/>
      <w:pStyle w:val="263"/>
      <w:isLgl/>
      <w:suff w:val="space"/>
      <w:lvlText w:val="%1.%2."/>
      <w:lvlJc w:val="left"/>
      <w:pPr>
        <w:ind w:left="0" w:firstLine="0"/>
      </w:pPr>
      <w:rPr>
        <w:rFonts w:hint="eastAsia"/>
      </w:rPr>
    </w:lvl>
    <w:lvl w:ilvl="2" w:tentative="0">
      <w:start w:val="1"/>
      <w:numFmt w:val="decimal"/>
      <w:pStyle w:val="265"/>
      <w:isLgl/>
      <w:lvlText w:val="%1.%2.%3."/>
      <w:lvlJc w:val="left"/>
      <w:pPr>
        <w:ind w:left="0" w:firstLine="0"/>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266"/>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A80438C"/>
    <w:multiLevelType w:val="multilevel"/>
    <w:tmpl w:val="7A80438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s>
  <w:rsids>
    <w:rsidRoot w:val="007706A5"/>
    <w:rsid w:val="000000D1"/>
    <w:rsid w:val="000002A2"/>
    <w:rsid w:val="00000340"/>
    <w:rsid w:val="000006C3"/>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70D"/>
    <w:rsid w:val="00017B58"/>
    <w:rsid w:val="00020546"/>
    <w:rsid w:val="00020694"/>
    <w:rsid w:val="000209DD"/>
    <w:rsid w:val="000209DF"/>
    <w:rsid w:val="00020AD1"/>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6F9E"/>
    <w:rsid w:val="00027140"/>
    <w:rsid w:val="00027465"/>
    <w:rsid w:val="00027623"/>
    <w:rsid w:val="000277B1"/>
    <w:rsid w:val="00027E31"/>
    <w:rsid w:val="00030010"/>
    <w:rsid w:val="00030029"/>
    <w:rsid w:val="0003004A"/>
    <w:rsid w:val="00030527"/>
    <w:rsid w:val="00031018"/>
    <w:rsid w:val="00031987"/>
    <w:rsid w:val="00031997"/>
    <w:rsid w:val="000319DA"/>
    <w:rsid w:val="00031C2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40139"/>
    <w:rsid w:val="000401F4"/>
    <w:rsid w:val="00040A37"/>
    <w:rsid w:val="0004122D"/>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2FE3"/>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0B65"/>
    <w:rsid w:val="00071901"/>
    <w:rsid w:val="00071A99"/>
    <w:rsid w:val="00071F17"/>
    <w:rsid w:val="00072BA1"/>
    <w:rsid w:val="00072D2C"/>
    <w:rsid w:val="00072D2E"/>
    <w:rsid w:val="00073031"/>
    <w:rsid w:val="00073BC5"/>
    <w:rsid w:val="00074094"/>
    <w:rsid w:val="000744EA"/>
    <w:rsid w:val="00074586"/>
    <w:rsid w:val="00074682"/>
    <w:rsid w:val="00074B32"/>
    <w:rsid w:val="00075DD1"/>
    <w:rsid w:val="00076B4A"/>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D1A"/>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0DC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AE5"/>
    <w:rsid w:val="000D6EB9"/>
    <w:rsid w:val="000D6F4F"/>
    <w:rsid w:val="000D7988"/>
    <w:rsid w:val="000D7DF4"/>
    <w:rsid w:val="000E080F"/>
    <w:rsid w:val="000E10BD"/>
    <w:rsid w:val="000E13A3"/>
    <w:rsid w:val="000E1919"/>
    <w:rsid w:val="000E19A7"/>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0A7"/>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3F3F"/>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087B"/>
    <w:rsid w:val="0012113F"/>
    <w:rsid w:val="001213E2"/>
    <w:rsid w:val="0012191D"/>
    <w:rsid w:val="00122889"/>
    <w:rsid w:val="00122934"/>
    <w:rsid w:val="0012341D"/>
    <w:rsid w:val="00123770"/>
    <w:rsid w:val="00123FE5"/>
    <w:rsid w:val="0012436B"/>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ED0"/>
    <w:rsid w:val="001310CD"/>
    <w:rsid w:val="001311BB"/>
    <w:rsid w:val="00131901"/>
    <w:rsid w:val="00131A38"/>
    <w:rsid w:val="00131BCA"/>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995"/>
    <w:rsid w:val="00155A78"/>
    <w:rsid w:val="00155DA2"/>
    <w:rsid w:val="00155E9F"/>
    <w:rsid w:val="00156279"/>
    <w:rsid w:val="00157EA4"/>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065"/>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7E06"/>
    <w:rsid w:val="0018010F"/>
    <w:rsid w:val="00180226"/>
    <w:rsid w:val="001804BC"/>
    <w:rsid w:val="001806FF"/>
    <w:rsid w:val="001809AD"/>
    <w:rsid w:val="00181066"/>
    <w:rsid w:val="00181308"/>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2711"/>
    <w:rsid w:val="00193292"/>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3A2"/>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9AA"/>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6E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A37"/>
    <w:rsid w:val="001E6B2D"/>
    <w:rsid w:val="001E6CC0"/>
    <w:rsid w:val="001E6E6B"/>
    <w:rsid w:val="001E7932"/>
    <w:rsid w:val="001F0E08"/>
    <w:rsid w:val="001F1721"/>
    <w:rsid w:val="001F1AFC"/>
    <w:rsid w:val="001F1B90"/>
    <w:rsid w:val="001F2D97"/>
    <w:rsid w:val="001F2FF8"/>
    <w:rsid w:val="001F374E"/>
    <w:rsid w:val="001F3A4D"/>
    <w:rsid w:val="001F3DEB"/>
    <w:rsid w:val="001F487D"/>
    <w:rsid w:val="001F4A9F"/>
    <w:rsid w:val="001F4C7C"/>
    <w:rsid w:val="001F4F5B"/>
    <w:rsid w:val="001F5035"/>
    <w:rsid w:val="001F555E"/>
    <w:rsid w:val="001F556B"/>
    <w:rsid w:val="001F5D1A"/>
    <w:rsid w:val="001F5D57"/>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402D"/>
    <w:rsid w:val="002146E8"/>
    <w:rsid w:val="00215052"/>
    <w:rsid w:val="002151DA"/>
    <w:rsid w:val="002155B3"/>
    <w:rsid w:val="0021587D"/>
    <w:rsid w:val="00215A10"/>
    <w:rsid w:val="0021630C"/>
    <w:rsid w:val="002163F2"/>
    <w:rsid w:val="00216D65"/>
    <w:rsid w:val="00217380"/>
    <w:rsid w:val="00217933"/>
    <w:rsid w:val="00217E03"/>
    <w:rsid w:val="00220732"/>
    <w:rsid w:val="00220AA4"/>
    <w:rsid w:val="00221237"/>
    <w:rsid w:val="00221F48"/>
    <w:rsid w:val="0022223C"/>
    <w:rsid w:val="00222835"/>
    <w:rsid w:val="002228C3"/>
    <w:rsid w:val="0022296F"/>
    <w:rsid w:val="002230A4"/>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776"/>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628"/>
    <w:rsid w:val="00245F1F"/>
    <w:rsid w:val="002475DE"/>
    <w:rsid w:val="002476AD"/>
    <w:rsid w:val="0024780E"/>
    <w:rsid w:val="002506F7"/>
    <w:rsid w:val="002511AF"/>
    <w:rsid w:val="0025123A"/>
    <w:rsid w:val="002514D1"/>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0D0"/>
    <w:rsid w:val="002852C6"/>
    <w:rsid w:val="002853AE"/>
    <w:rsid w:val="0028557E"/>
    <w:rsid w:val="0028593A"/>
    <w:rsid w:val="00285BD9"/>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60DF"/>
    <w:rsid w:val="002964E0"/>
    <w:rsid w:val="00296B32"/>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404"/>
    <w:rsid w:val="002B4CFC"/>
    <w:rsid w:val="002B4F49"/>
    <w:rsid w:val="002B5AE7"/>
    <w:rsid w:val="002B5B0B"/>
    <w:rsid w:val="002B5F80"/>
    <w:rsid w:val="002B6313"/>
    <w:rsid w:val="002B6DBD"/>
    <w:rsid w:val="002B6DE3"/>
    <w:rsid w:val="002B720E"/>
    <w:rsid w:val="002B7739"/>
    <w:rsid w:val="002C0720"/>
    <w:rsid w:val="002C1B43"/>
    <w:rsid w:val="002C2134"/>
    <w:rsid w:val="002C279F"/>
    <w:rsid w:val="002C2980"/>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621"/>
    <w:rsid w:val="002F2B0C"/>
    <w:rsid w:val="002F2D0D"/>
    <w:rsid w:val="002F3716"/>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3FCB"/>
    <w:rsid w:val="003041CB"/>
    <w:rsid w:val="003041D6"/>
    <w:rsid w:val="0030493C"/>
    <w:rsid w:val="0030495C"/>
    <w:rsid w:val="00304C52"/>
    <w:rsid w:val="00304F98"/>
    <w:rsid w:val="003051A9"/>
    <w:rsid w:val="003059D1"/>
    <w:rsid w:val="00305BE6"/>
    <w:rsid w:val="00305FD7"/>
    <w:rsid w:val="00306093"/>
    <w:rsid w:val="0030656F"/>
    <w:rsid w:val="003069D6"/>
    <w:rsid w:val="00307C93"/>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58C"/>
    <w:rsid w:val="00315755"/>
    <w:rsid w:val="00315D8E"/>
    <w:rsid w:val="00315DCF"/>
    <w:rsid w:val="003169C4"/>
    <w:rsid w:val="00316B2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98C"/>
    <w:rsid w:val="00330A97"/>
    <w:rsid w:val="00331CB7"/>
    <w:rsid w:val="00331E70"/>
    <w:rsid w:val="00332910"/>
    <w:rsid w:val="00332D4E"/>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2F"/>
    <w:rsid w:val="0034084B"/>
    <w:rsid w:val="00340A5A"/>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5E5D"/>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12E"/>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CD9"/>
    <w:rsid w:val="003814C2"/>
    <w:rsid w:val="00381DF6"/>
    <w:rsid w:val="003821DE"/>
    <w:rsid w:val="00382203"/>
    <w:rsid w:val="0038333E"/>
    <w:rsid w:val="00383720"/>
    <w:rsid w:val="003840F8"/>
    <w:rsid w:val="00384121"/>
    <w:rsid w:val="00384D88"/>
    <w:rsid w:val="0038555C"/>
    <w:rsid w:val="003859D4"/>
    <w:rsid w:val="00385C88"/>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98"/>
    <w:rsid w:val="00394AD2"/>
    <w:rsid w:val="00395342"/>
    <w:rsid w:val="003954DF"/>
    <w:rsid w:val="0039551E"/>
    <w:rsid w:val="0039562B"/>
    <w:rsid w:val="00395B04"/>
    <w:rsid w:val="00395DF3"/>
    <w:rsid w:val="0039638F"/>
    <w:rsid w:val="00396F2B"/>
    <w:rsid w:val="00397786"/>
    <w:rsid w:val="00397A8F"/>
    <w:rsid w:val="003A0456"/>
    <w:rsid w:val="003A0689"/>
    <w:rsid w:val="003A0D5B"/>
    <w:rsid w:val="003A10C4"/>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495"/>
    <w:rsid w:val="003D4549"/>
    <w:rsid w:val="003D4A84"/>
    <w:rsid w:val="003D4B3A"/>
    <w:rsid w:val="003D4B6A"/>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464A"/>
    <w:rsid w:val="003F4897"/>
    <w:rsid w:val="003F5483"/>
    <w:rsid w:val="003F569F"/>
    <w:rsid w:val="003F5801"/>
    <w:rsid w:val="003F5D48"/>
    <w:rsid w:val="003F5DAA"/>
    <w:rsid w:val="003F5E01"/>
    <w:rsid w:val="003F5F7B"/>
    <w:rsid w:val="003F6358"/>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3CE3"/>
    <w:rsid w:val="0040403A"/>
    <w:rsid w:val="00404609"/>
    <w:rsid w:val="004046D8"/>
    <w:rsid w:val="0040492F"/>
    <w:rsid w:val="00404F1D"/>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F6A"/>
    <w:rsid w:val="00427A24"/>
    <w:rsid w:val="00427F6B"/>
    <w:rsid w:val="0043073D"/>
    <w:rsid w:val="0043139F"/>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4FB"/>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676"/>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361"/>
    <w:rsid w:val="00473B88"/>
    <w:rsid w:val="00473CDA"/>
    <w:rsid w:val="0047483B"/>
    <w:rsid w:val="00474BBA"/>
    <w:rsid w:val="00474C8F"/>
    <w:rsid w:val="00474FAC"/>
    <w:rsid w:val="00474FDA"/>
    <w:rsid w:val="00475118"/>
    <w:rsid w:val="004751F8"/>
    <w:rsid w:val="004752C3"/>
    <w:rsid w:val="00475531"/>
    <w:rsid w:val="00475CDC"/>
    <w:rsid w:val="00475D82"/>
    <w:rsid w:val="00475F1D"/>
    <w:rsid w:val="0047619E"/>
    <w:rsid w:val="00476B39"/>
    <w:rsid w:val="00476BEC"/>
    <w:rsid w:val="00476D30"/>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105"/>
    <w:rsid w:val="004A52CA"/>
    <w:rsid w:val="004A53A1"/>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2C2F"/>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21"/>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5C33"/>
    <w:rsid w:val="004E6BEE"/>
    <w:rsid w:val="004E6E7D"/>
    <w:rsid w:val="004E6EAC"/>
    <w:rsid w:val="004E76C4"/>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5A8D"/>
    <w:rsid w:val="004F602C"/>
    <w:rsid w:val="004F707F"/>
    <w:rsid w:val="004F7223"/>
    <w:rsid w:val="004F7468"/>
    <w:rsid w:val="004F75F3"/>
    <w:rsid w:val="00500B92"/>
    <w:rsid w:val="005011E3"/>
    <w:rsid w:val="005012A4"/>
    <w:rsid w:val="00501837"/>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88B"/>
    <w:rsid w:val="0052092B"/>
    <w:rsid w:val="00520A22"/>
    <w:rsid w:val="00520FF4"/>
    <w:rsid w:val="0052102A"/>
    <w:rsid w:val="00521076"/>
    <w:rsid w:val="005215E4"/>
    <w:rsid w:val="00521842"/>
    <w:rsid w:val="00521A30"/>
    <w:rsid w:val="00521B1B"/>
    <w:rsid w:val="00521E64"/>
    <w:rsid w:val="00522267"/>
    <w:rsid w:val="005222D7"/>
    <w:rsid w:val="0052248E"/>
    <w:rsid w:val="00522504"/>
    <w:rsid w:val="00522DAB"/>
    <w:rsid w:val="00522FC8"/>
    <w:rsid w:val="00523127"/>
    <w:rsid w:val="00523157"/>
    <w:rsid w:val="00523976"/>
    <w:rsid w:val="00523CF3"/>
    <w:rsid w:val="00525139"/>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0EF"/>
    <w:rsid w:val="00532260"/>
    <w:rsid w:val="00533464"/>
    <w:rsid w:val="00533918"/>
    <w:rsid w:val="00533AD4"/>
    <w:rsid w:val="00533FAD"/>
    <w:rsid w:val="00534906"/>
    <w:rsid w:val="005349E2"/>
    <w:rsid w:val="00534AE7"/>
    <w:rsid w:val="00534F77"/>
    <w:rsid w:val="0053517B"/>
    <w:rsid w:val="005352F3"/>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3D80"/>
    <w:rsid w:val="0055456C"/>
    <w:rsid w:val="00554F99"/>
    <w:rsid w:val="005559B0"/>
    <w:rsid w:val="00555E55"/>
    <w:rsid w:val="00555EBF"/>
    <w:rsid w:val="005565E4"/>
    <w:rsid w:val="0055689F"/>
    <w:rsid w:val="00556977"/>
    <w:rsid w:val="00556BF6"/>
    <w:rsid w:val="005570B4"/>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67DDD"/>
    <w:rsid w:val="0057055C"/>
    <w:rsid w:val="005712CA"/>
    <w:rsid w:val="005717E1"/>
    <w:rsid w:val="005719C8"/>
    <w:rsid w:val="00571F48"/>
    <w:rsid w:val="005722A6"/>
    <w:rsid w:val="005726A9"/>
    <w:rsid w:val="00572C9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0E8"/>
    <w:rsid w:val="0058313E"/>
    <w:rsid w:val="00584402"/>
    <w:rsid w:val="00584E55"/>
    <w:rsid w:val="00584F0C"/>
    <w:rsid w:val="00584FBD"/>
    <w:rsid w:val="00585425"/>
    <w:rsid w:val="0058565E"/>
    <w:rsid w:val="005857AA"/>
    <w:rsid w:val="00585CDC"/>
    <w:rsid w:val="00585E1E"/>
    <w:rsid w:val="00585E2A"/>
    <w:rsid w:val="0058634D"/>
    <w:rsid w:val="005864B1"/>
    <w:rsid w:val="00586859"/>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827"/>
    <w:rsid w:val="00597C24"/>
    <w:rsid w:val="00597F3D"/>
    <w:rsid w:val="005A0064"/>
    <w:rsid w:val="005A0301"/>
    <w:rsid w:val="005A0A7B"/>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1CD"/>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75E"/>
    <w:rsid w:val="005D2D3B"/>
    <w:rsid w:val="005D3592"/>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9E6"/>
    <w:rsid w:val="005E2B11"/>
    <w:rsid w:val="005E2B35"/>
    <w:rsid w:val="005E30A1"/>
    <w:rsid w:val="005E3340"/>
    <w:rsid w:val="005E34B8"/>
    <w:rsid w:val="005E36C1"/>
    <w:rsid w:val="005E3997"/>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EB4"/>
    <w:rsid w:val="005F1F61"/>
    <w:rsid w:val="005F1F95"/>
    <w:rsid w:val="005F20A6"/>
    <w:rsid w:val="005F2A9C"/>
    <w:rsid w:val="005F3036"/>
    <w:rsid w:val="005F37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07C0D"/>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3DFA"/>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3CF8"/>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5A6"/>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0DBE"/>
    <w:rsid w:val="00650E77"/>
    <w:rsid w:val="0065116A"/>
    <w:rsid w:val="00651A5E"/>
    <w:rsid w:val="00651EF4"/>
    <w:rsid w:val="0065240B"/>
    <w:rsid w:val="00652763"/>
    <w:rsid w:val="006527E4"/>
    <w:rsid w:val="00653B15"/>
    <w:rsid w:val="00653C58"/>
    <w:rsid w:val="00654C2B"/>
    <w:rsid w:val="00654F5A"/>
    <w:rsid w:val="00655300"/>
    <w:rsid w:val="00656644"/>
    <w:rsid w:val="00656718"/>
    <w:rsid w:val="00657254"/>
    <w:rsid w:val="00657291"/>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FC1"/>
    <w:rsid w:val="00662327"/>
    <w:rsid w:val="00662795"/>
    <w:rsid w:val="006629EC"/>
    <w:rsid w:val="00662A36"/>
    <w:rsid w:val="006631CB"/>
    <w:rsid w:val="0066369F"/>
    <w:rsid w:val="00663802"/>
    <w:rsid w:val="00663DA3"/>
    <w:rsid w:val="00664132"/>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1A36"/>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F6F"/>
    <w:rsid w:val="00676247"/>
    <w:rsid w:val="0067650C"/>
    <w:rsid w:val="00676599"/>
    <w:rsid w:val="006766C0"/>
    <w:rsid w:val="00676BA1"/>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3CC0"/>
    <w:rsid w:val="00694BCB"/>
    <w:rsid w:val="00695364"/>
    <w:rsid w:val="006956C2"/>
    <w:rsid w:val="006959F0"/>
    <w:rsid w:val="00695A7A"/>
    <w:rsid w:val="00695DA8"/>
    <w:rsid w:val="00695F26"/>
    <w:rsid w:val="006965CB"/>
    <w:rsid w:val="00696A35"/>
    <w:rsid w:val="00696A4F"/>
    <w:rsid w:val="006977C9"/>
    <w:rsid w:val="0069796C"/>
    <w:rsid w:val="00697F11"/>
    <w:rsid w:val="006A031E"/>
    <w:rsid w:val="006A0F3B"/>
    <w:rsid w:val="006A1091"/>
    <w:rsid w:val="006A177C"/>
    <w:rsid w:val="006A29B5"/>
    <w:rsid w:val="006A2FF3"/>
    <w:rsid w:val="006A3464"/>
    <w:rsid w:val="006A374E"/>
    <w:rsid w:val="006A3D3C"/>
    <w:rsid w:val="006A4059"/>
    <w:rsid w:val="006A44E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366B"/>
    <w:rsid w:val="006C3676"/>
    <w:rsid w:val="006C39BF"/>
    <w:rsid w:val="006C39C3"/>
    <w:rsid w:val="006C4600"/>
    <w:rsid w:val="006C4B17"/>
    <w:rsid w:val="006C503B"/>
    <w:rsid w:val="006C5660"/>
    <w:rsid w:val="006C5D15"/>
    <w:rsid w:val="006C5E1E"/>
    <w:rsid w:val="006C63AC"/>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4C0B"/>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495"/>
    <w:rsid w:val="00702635"/>
    <w:rsid w:val="0070323D"/>
    <w:rsid w:val="00703465"/>
    <w:rsid w:val="0070385E"/>
    <w:rsid w:val="0070388F"/>
    <w:rsid w:val="00703F47"/>
    <w:rsid w:val="00704383"/>
    <w:rsid w:val="0070561F"/>
    <w:rsid w:val="0070605D"/>
    <w:rsid w:val="0070679C"/>
    <w:rsid w:val="00706B99"/>
    <w:rsid w:val="007070E0"/>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0A1"/>
    <w:rsid w:val="00717E72"/>
    <w:rsid w:val="00720704"/>
    <w:rsid w:val="00720F38"/>
    <w:rsid w:val="00721216"/>
    <w:rsid w:val="0072128E"/>
    <w:rsid w:val="00721326"/>
    <w:rsid w:val="00721874"/>
    <w:rsid w:val="007218D9"/>
    <w:rsid w:val="00721A25"/>
    <w:rsid w:val="0072283D"/>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344"/>
    <w:rsid w:val="00732743"/>
    <w:rsid w:val="00732C53"/>
    <w:rsid w:val="007333C0"/>
    <w:rsid w:val="0073361E"/>
    <w:rsid w:val="00734A7D"/>
    <w:rsid w:val="00734AB7"/>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67D"/>
    <w:rsid w:val="007468F5"/>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339B"/>
    <w:rsid w:val="00763665"/>
    <w:rsid w:val="00763A7C"/>
    <w:rsid w:val="00763CBD"/>
    <w:rsid w:val="00764F78"/>
    <w:rsid w:val="007651AF"/>
    <w:rsid w:val="007661F5"/>
    <w:rsid w:val="007670E9"/>
    <w:rsid w:val="00767457"/>
    <w:rsid w:val="00767EBD"/>
    <w:rsid w:val="00770055"/>
    <w:rsid w:val="00770089"/>
    <w:rsid w:val="007700A3"/>
    <w:rsid w:val="007705FD"/>
    <w:rsid w:val="007706A5"/>
    <w:rsid w:val="00770765"/>
    <w:rsid w:val="00770FA6"/>
    <w:rsid w:val="00771197"/>
    <w:rsid w:val="00771373"/>
    <w:rsid w:val="00771417"/>
    <w:rsid w:val="0077163B"/>
    <w:rsid w:val="0077188E"/>
    <w:rsid w:val="00771DD7"/>
    <w:rsid w:val="00771ECE"/>
    <w:rsid w:val="0077276E"/>
    <w:rsid w:val="00772AC0"/>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1DDF"/>
    <w:rsid w:val="007825A9"/>
    <w:rsid w:val="007826F1"/>
    <w:rsid w:val="00782710"/>
    <w:rsid w:val="00782BDF"/>
    <w:rsid w:val="00782DE8"/>
    <w:rsid w:val="00782FBF"/>
    <w:rsid w:val="007830AF"/>
    <w:rsid w:val="0078334F"/>
    <w:rsid w:val="007837B5"/>
    <w:rsid w:val="007838C4"/>
    <w:rsid w:val="00783F2B"/>
    <w:rsid w:val="00784108"/>
    <w:rsid w:val="00784604"/>
    <w:rsid w:val="007847CE"/>
    <w:rsid w:val="0078481A"/>
    <w:rsid w:val="00784DAE"/>
    <w:rsid w:val="00785176"/>
    <w:rsid w:val="00785460"/>
    <w:rsid w:val="00785ADC"/>
    <w:rsid w:val="00785B9B"/>
    <w:rsid w:val="00787107"/>
    <w:rsid w:val="0078729D"/>
    <w:rsid w:val="00787318"/>
    <w:rsid w:val="007875F6"/>
    <w:rsid w:val="007879D4"/>
    <w:rsid w:val="007903A9"/>
    <w:rsid w:val="00790580"/>
    <w:rsid w:val="0079129D"/>
    <w:rsid w:val="0079130C"/>
    <w:rsid w:val="007913C9"/>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6A5"/>
    <w:rsid w:val="007A1DE4"/>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A90"/>
    <w:rsid w:val="007A5B25"/>
    <w:rsid w:val="007A5BC0"/>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D3D"/>
    <w:rsid w:val="007C3069"/>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6F09"/>
    <w:rsid w:val="007C6FC4"/>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FA8"/>
    <w:rsid w:val="007F40A6"/>
    <w:rsid w:val="007F42FD"/>
    <w:rsid w:val="007F4694"/>
    <w:rsid w:val="007F4AD9"/>
    <w:rsid w:val="007F5625"/>
    <w:rsid w:val="007F58A5"/>
    <w:rsid w:val="007F6124"/>
    <w:rsid w:val="007F65C3"/>
    <w:rsid w:val="007F683C"/>
    <w:rsid w:val="007F7AF2"/>
    <w:rsid w:val="007F7DCC"/>
    <w:rsid w:val="00800AA6"/>
    <w:rsid w:val="0080124D"/>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117"/>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6B9"/>
    <w:rsid w:val="00861B3C"/>
    <w:rsid w:val="00861BB9"/>
    <w:rsid w:val="00861C2F"/>
    <w:rsid w:val="0086218E"/>
    <w:rsid w:val="0086255C"/>
    <w:rsid w:val="00863008"/>
    <w:rsid w:val="008630C8"/>
    <w:rsid w:val="008632F0"/>
    <w:rsid w:val="008633E5"/>
    <w:rsid w:val="008637BA"/>
    <w:rsid w:val="00863A36"/>
    <w:rsid w:val="00863C2F"/>
    <w:rsid w:val="008641A3"/>
    <w:rsid w:val="00864952"/>
    <w:rsid w:val="00865355"/>
    <w:rsid w:val="00866887"/>
    <w:rsid w:val="00866A4E"/>
    <w:rsid w:val="008672A0"/>
    <w:rsid w:val="00870651"/>
    <w:rsid w:val="008707D8"/>
    <w:rsid w:val="00870B91"/>
    <w:rsid w:val="00871394"/>
    <w:rsid w:val="00871497"/>
    <w:rsid w:val="00871849"/>
    <w:rsid w:val="0087198C"/>
    <w:rsid w:val="00871E08"/>
    <w:rsid w:val="008722B3"/>
    <w:rsid w:val="00872BE4"/>
    <w:rsid w:val="00873D85"/>
    <w:rsid w:val="008742B2"/>
    <w:rsid w:val="0087446D"/>
    <w:rsid w:val="00874708"/>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1916"/>
    <w:rsid w:val="008B2416"/>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00E"/>
    <w:rsid w:val="008C04B5"/>
    <w:rsid w:val="008C090F"/>
    <w:rsid w:val="008C0911"/>
    <w:rsid w:val="008C0A1D"/>
    <w:rsid w:val="008C1260"/>
    <w:rsid w:val="008C1881"/>
    <w:rsid w:val="008C1AD5"/>
    <w:rsid w:val="008C2069"/>
    <w:rsid w:val="008C2F60"/>
    <w:rsid w:val="008C3636"/>
    <w:rsid w:val="008C3C47"/>
    <w:rsid w:val="008C46B6"/>
    <w:rsid w:val="008C4BDC"/>
    <w:rsid w:val="008C56D0"/>
    <w:rsid w:val="008C5C50"/>
    <w:rsid w:val="008C6CCD"/>
    <w:rsid w:val="008C71A7"/>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503"/>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5F7F"/>
    <w:rsid w:val="008F6009"/>
    <w:rsid w:val="008F649D"/>
    <w:rsid w:val="008F6CB5"/>
    <w:rsid w:val="008F6FE3"/>
    <w:rsid w:val="008F7AAC"/>
    <w:rsid w:val="0090009A"/>
    <w:rsid w:val="009006CB"/>
    <w:rsid w:val="00900CAD"/>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8D5"/>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39B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6E12"/>
    <w:rsid w:val="009274C2"/>
    <w:rsid w:val="0092784B"/>
    <w:rsid w:val="00927934"/>
    <w:rsid w:val="00927F6C"/>
    <w:rsid w:val="00930133"/>
    <w:rsid w:val="00930A02"/>
    <w:rsid w:val="009313F7"/>
    <w:rsid w:val="00931404"/>
    <w:rsid w:val="009317E9"/>
    <w:rsid w:val="0093229C"/>
    <w:rsid w:val="0093277D"/>
    <w:rsid w:val="00932803"/>
    <w:rsid w:val="00932D0C"/>
    <w:rsid w:val="00933016"/>
    <w:rsid w:val="00934104"/>
    <w:rsid w:val="009348F2"/>
    <w:rsid w:val="00934971"/>
    <w:rsid w:val="009353C1"/>
    <w:rsid w:val="00936212"/>
    <w:rsid w:val="00936342"/>
    <w:rsid w:val="009367B7"/>
    <w:rsid w:val="00936CE7"/>
    <w:rsid w:val="009371DC"/>
    <w:rsid w:val="00937965"/>
    <w:rsid w:val="00937EB2"/>
    <w:rsid w:val="009401AB"/>
    <w:rsid w:val="00940255"/>
    <w:rsid w:val="0094048F"/>
    <w:rsid w:val="00940668"/>
    <w:rsid w:val="00940FF0"/>
    <w:rsid w:val="00941223"/>
    <w:rsid w:val="00941A75"/>
    <w:rsid w:val="00941F98"/>
    <w:rsid w:val="009431F3"/>
    <w:rsid w:val="0094367E"/>
    <w:rsid w:val="009436BF"/>
    <w:rsid w:val="00943DD3"/>
    <w:rsid w:val="00944298"/>
    <w:rsid w:val="0094496F"/>
    <w:rsid w:val="00944E46"/>
    <w:rsid w:val="00945464"/>
    <w:rsid w:val="009456A0"/>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65"/>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551"/>
    <w:rsid w:val="00972849"/>
    <w:rsid w:val="0097297E"/>
    <w:rsid w:val="00972F47"/>
    <w:rsid w:val="00973502"/>
    <w:rsid w:val="00973D62"/>
    <w:rsid w:val="00974357"/>
    <w:rsid w:val="0097484A"/>
    <w:rsid w:val="00974AC6"/>
    <w:rsid w:val="00974FB9"/>
    <w:rsid w:val="0097515D"/>
    <w:rsid w:val="00975399"/>
    <w:rsid w:val="009754B6"/>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AEA"/>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5A71"/>
    <w:rsid w:val="009A60B3"/>
    <w:rsid w:val="009A6F9B"/>
    <w:rsid w:val="009A7534"/>
    <w:rsid w:val="009B0037"/>
    <w:rsid w:val="009B0450"/>
    <w:rsid w:val="009B04AB"/>
    <w:rsid w:val="009B1600"/>
    <w:rsid w:val="009B1630"/>
    <w:rsid w:val="009B1A3C"/>
    <w:rsid w:val="009B1A4C"/>
    <w:rsid w:val="009B2757"/>
    <w:rsid w:val="009B29E9"/>
    <w:rsid w:val="009B2B0D"/>
    <w:rsid w:val="009B2F38"/>
    <w:rsid w:val="009B3212"/>
    <w:rsid w:val="009B3390"/>
    <w:rsid w:val="009B4335"/>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692"/>
    <w:rsid w:val="009C192E"/>
    <w:rsid w:val="009C34C9"/>
    <w:rsid w:val="009C4C0F"/>
    <w:rsid w:val="009C552B"/>
    <w:rsid w:val="009C560C"/>
    <w:rsid w:val="009C6CA8"/>
    <w:rsid w:val="009C6D7E"/>
    <w:rsid w:val="009C6DA9"/>
    <w:rsid w:val="009C7A18"/>
    <w:rsid w:val="009C7D16"/>
    <w:rsid w:val="009C7D2E"/>
    <w:rsid w:val="009C7F8C"/>
    <w:rsid w:val="009D0AFD"/>
    <w:rsid w:val="009D2987"/>
    <w:rsid w:val="009D29A5"/>
    <w:rsid w:val="009D2C34"/>
    <w:rsid w:val="009D3F0F"/>
    <w:rsid w:val="009D434D"/>
    <w:rsid w:val="009D43E3"/>
    <w:rsid w:val="009D4B4D"/>
    <w:rsid w:val="009D500C"/>
    <w:rsid w:val="009D59B0"/>
    <w:rsid w:val="009D5CB5"/>
    <w:rsid w:val="009D5D63"/>
    <w:rsid w:val="009D670A"/>
    <w:rsid w:val="009D70C9"/>
    <w:rsid w:val="009D743B"/>
    <w:rsid w:val="009D76E7"/>
    <w:rsid w:val="009D7D89"/>
    <w:rsid w:val="009E0A1C"/>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767"/>
    <w:rsid w:val="00A127EC"/>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37C4D"/>
    <w:rsid w:val="00A40C61"/>
    <w:rsid w:val="00A4136E"/>
    <w:rsid w:val="00A429E5"/>
    <w:rsid w:val="00A43009"/>
    <w:rsid w:val="00A4328E"/>
    <w:rsid w:val="00A435BA"/>
    <w:rsid w:val="00A43731"/>
    <w:rsid w:val="00A437B2"/>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1BE"/>
    <w:rsid w:val="00A56F89"/>
    <w:rsid w:val="00A601F4"/>
    <w:rsid w:val="00A604CF"/>
    <w:rsid w:val="00A60EF3"/>
    <w:rsid w:val="00A61752"/>
    <w:rsid w:val="00A61948"/>
    <w:rsid w:val="00A622EA"/>
    <w:rsid w:val="00A62A0A"/>
    <w:rsid w:val="00A630A6"/>
    <w:rsid w:val="00A63763"/>
    <w:rsid w:val="00A63826"/>
    <w:rsid w:val="00A63B1D"/>
    <w:rsid w:val="00A6448C"/>
    <w:rsid w:val="00A64578"/>
    <w:rsid w:val="00A649D4"/>
    <w:rsid w:val="00A64BE8"/>
    <w:rsid w:val="00A64D33"/>
    <w:rsid w:val="00A65292"/>
    <w:rsid w:val="00A662B6"/>
    <w:rsid w:val="00A66447"/>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2FD8"/>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4F3D"/>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0FC2"/>
    <w:rsid w:val="00AA12EC"/>
    <w:rsid w:val="00AA160D"/>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FBE"/>
    <w:rsid w:val="00AB024A"/>
    <w:rsid w:val="00AB0EB5"/>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8AA"/>
    <w:rsid w:val="00AD2143"/>
    <w:rsid w:val="00AD28FB"/>
    <w:rsid w:val="00AD2BDA"/>
    <w:rsid w:val="00AD2E6D"/>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33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5EFC"/>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71D"/>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947"/>
    <w:rsid w:val="00B40F0B"/>
    <w:rsid w:val="00B40F3E"/>
    <w:rsid w:val="00B4153C"/>
    <w:rsid w:val="00B4285C"/>
    <w:rsid w:val="00B42AF3"/>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47D"/>
    <w:rsid w:val="00B645F8"/>
    <w:rsid w:val="00B64909"/>
    <w:rsid w:val="00B64A5A"/>
    <w:rsid w:val="00B64D5E"/>
    <w:rsid w:val="00B6687D"/>
    <w:rsid w:val="00B670DF"/>
    <w:rsid w:val="00B672DC"/>
    <w:rsid w:val="00B674D4"/>
    <w:rsid w:val="00B67B3B"/>
    <w:rsid w:val="00B701A1"/>
    <w:rsid w:val="00B70270"/>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968"/>
    <w:rsid w:val="00B97BA8"/>
    <w:rsid w:val="00BA015C"/>
    <w:rsid w:val="00BA03C2"/>
    <w:rsid w:val="00BA0673"/>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3CF"/>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6F4C"/>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EA"/>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797"/>
    <w:rsid w:val="00BD6B63"/>
    <w:rsid w:val="00BD6D5E"/>
    <w:rsid w:val="00BD6DAF"/>
    <w:rsid w:val="00BD6E40"/>
    <w:rsid w:val="00BD73C1"/>
    <w:rsid w:val="00BD76E3"/>
    <w:rsid w:val="00BE022E"/>
    <w:rsid w:val="00BE0D1C"/>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AA"/>
    <w:rsid w:val="00BE7307"/>
    <w:rsid w:val="00BE74F0"/>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0763A"/>
    <w:rsid w:val="00C10368"/>
    <w:rsid w:val="00C1087D"/>
    <w:rsid w:val="00C1096E"/>
    <w:rsid w:val="00C10D01"/>
    <w:rsid w:val="00C10F22"/>
    <w:rsid w:val="00C1135F"/>
    <w:rsid w:val="00C1146A"/>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305"/>
    <w:rsid w:val="00C15B8A"/>
    <w:rsid w:val="00C16247"/>
    <w:rsid w:val="00C16900"/>
    <w:rsid w:val="00C1702C"/>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7F5"/>
    <w:rsid w:val="00C36903"/>
    <w:rsid w:val="00C36B4E"/>
    <w:rsid w:val="00C36B9C"/>
    <w:rsid w:val="00C36D3F"/>
    <w:rsid w:val="00C37333"/>
    <w:rsid w:val="00C373C8"/>
    <w:rsid w:val="00C374A7"/>
    <w:rsid w:val="00C37A75"/>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565"/>
    <w:rsid w:val="00C8392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419"/>
    <w:rsid w:val="00CA0171"/>
    <w:rsid w:val="00CA072E"/>
    <w:rsid w:val="00CA0BBF"/>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46"/>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3A94"/>
    <w:rsid w:val="00CC4704"/>
    <w:rsid w:val="00CC513B"/>
    <w:rsid w:val="00CC52A5"/>
    <w:rsid w:val="00CC5AAA"/>
    <w:rsid w:val="00CC5CAA"/>
    <w:rsid w:val="00CC6EB0"/>
    <w:rsid w:val="00CC713F"/>
    <w:rsid w:val="00CC7818"/>
    <w:rsid w:val="00CC785D"/>
    <w:rsid w:val="00CD0482"/>
    <w:rsid w:val="00CD0845"/>
    <w:rsid w:val="00CD0A6E"/>
    <w:rsid w:val="00CD0FBD"/>
    <w:rsid w:val="00CD16C6"/>
    <w:rsid w:val="00CD1CD7"/>
    <w:rsid w:val="00CD1D09"/>
    <w:rsid w:val="00CD232D"/>
    <w:rsid w:val="00CD264E"/>
    <w:rsid w:val="00CD29A2"/>
    <w:rsid w:val="00CD3515"/>
    <w:rsid w:val="00CD3B2C"/>
    <w:rsid w:val="00CD4179"/>
    <w:rsid w:val="00CD41E5"/>
    <w:rsid w:val="00CD440B"/>
    <w:rsid w:val="00CD441E"/>
    <w:rsid w:val="00CD4598"/>
    <w:rsid w:val="00CD4B79"/>
    <w:rsid w:val="00CD52FB"/>
    <w:rsid w:val="00CD53A8"/>
    <w:rsid w:val="00CD53DD"/>
    <w:rsid w:val="00CD55D4"/>
    <w:rsid w:val="00CD573B"/>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8A"/>
    <w:rsid w:val="00D22ED7"/>
    <w:rsid w:val="00D236A3"/>
    <w:rsid w:val="00D23729"/>
    <w:rsid w:val="00D23834"/>
    <w:rsid w:val="00D24260"/>
    <w:rsid w:val="00D2456C"/>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0FFA"/>
    <w:rsid w:val="00D41D6B"/>
    <w:rsid w:val="00D41DED"/>
    <w:rsid w:val="00D42069"/>
    <w:rsid w:val="00D42084"/>
    <w:rsid w:val="00D4252C"/>
    <w:rsid w:val="00D42DD3"/>
    <w:rsid w:val="00D432BB"/>
    <w:rsid w:val="00D4360E"/>
    <w:rsid w:val="00D43851"/>
    <w:rsid w:val="00D4388D"/>
    <w:rsid w:val="00D44514"/>
    <w:rsid w:val="00D44845"/>
    <w:rsid w:val="00D4487F"/>
    <w:rsid w:val="00D44AC3"/>
    <w:rsid w:val="00D44B33"/>
    <w:rsid w:val="00D45349"/>
    <w:rsid w:val="00D454BD"/>
    <w:rsid w:val="00D458E4"/>
    <w:rsid w:val="00D45C95"/>
    <w:rsid w:val="00D45F23"/>
    <w:rsid w:val="00D47246"/>
    <w:rsid w:val="00D47A08"/>
    <w:rsid w:val="00D47C3D"/>
    <w:rsid w:val="00D47C65"/>
    <w:rsid w:val="00D500D0"/>
    <w:rsid w:val="00D50282"/>
    <w:rsid w:val="00D5078D"/>
    <w:rsid w:val="00D508A6"/>
    <w:rsid w:val="00D5144C"/>
    <w:rsid w:val="00D5175B"/>
    <w:rsid w:val="00D51903"/>
    <w:rsid w:val="00D51E21"/>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867"/>
    <w:rsid w:val="00D65A9A"/>
    <w:rsid w:val="00D65BE8"/>
    <w:rsid w:val="00D65CFA"/>
    <w:rsid w:val="00D65F68"/>
    <w:rsid w:val="00D662A0"/>
    <w:rsid w:val="00D662EF"/>
    <w:rsid w:val="00D664B4"/>
    <w:rsid w:val="00D66C7F"/>
    <w:rsid w:val="00D679D8"/>
    <w:rsid w:val="00D67A2B"/>
    <w:rsid w:val="00D7090A"/>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7E0"/>
    <w:rsid w:val="00D74E67"/>
    <w:rsid w:val="00D74FD9"/>
    <w:rsid w:val="00D75250"/>
    <w:rsid w:val="00D7561C"/>
    <w:rsid w:val="00D75DA2"/>
    <w:rsid w:val="00D761EA"/>
    <w:rsid w:val="00D763AF"/>
    <w:rsid w:val="00D765F2"/>
    <w:rsid w:val="00D76C0D"/>
    <w:rsid w:val="00D76CFA"/>
    <w:rsid w:val="00D77024"/>
    <w:rsid w:val="00D77404"/>
    <w:rsid w:val="00D7745B"/>
    <w:rsid w:val="00D776C2"/>
    <w:rsid w:val="00D779D9"/>
    <w:rsid w:val="00D77D91"/>
    <w:rsid w:val="00D8094B"/>
    <w:rsid w:val="00D80DE0"/>
    <w:rsid w:val="00D818FC"/>
    <w:rsid w:val="00D81BA7"/>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05"/>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F5A"/>
    <w:rsid w:val="00DA55C0"/>
    <w:rsid w:val="00DA57D6"/>
    <w:rsid w:val="00DA5EF1"/>
    <w:rsid w:val="00DA62F5"/>
    <w:rsid w:val="00DA62F7"/>
    <w:rsid w:val="00DA6B12"/>
    <w:rsid w:val="00DA6FD0"/>
    <w:rsid w:val="00DA7370"/>
    <w:rsid w:val="00DA7CF6"/>
    <w:rsid w:val="00DB0235"/>
    <w:rsid w:val="00DB02EE"/>
    <w:rsid w:val="00DB06EB"/>
    <w:rsid w:val="00DB0902"/>
    <w:rsid w:val="00DB1538"/>
    <w:rsid w:val="00DB1C5E"/>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5429"/>
    <w:rsid w:val="00DC5F94"/>
    <w:rsid w:val="00DC620C"/>
    <w:rsid w:val="00DC662C"/>
    <w:rsid w:val="00DC68E6"/>
    <w:rsid w:val="00DC6925"/>
    <w:rsid w:val="00DC6E3F"/>
    <w:rsid w:val="00DC73A9"/>
    <w:rsid w:val="00DC7582"/>
    <w:rsid w:val="00DC7586"/>
    <w:rsid w:val="00DC7AC8"/>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4192"/>
    <w:rsid w:val="00DD57CD"/>
    <w:rsid w:val="00DD5978"/>
    <w:rsid w:val="00DD6790"/>
    <w:rsid w:val="00DD6A1C"/>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E7F61"/>
    <w:rsid w:val="00DF0ED3"/>
    <w:rsid w:val="00DF0F3A"/>
    <w:rsid w:val="00DF1275"/>
    <w:rsid w:val="00DF1521"/>
    <w:rsid w:val="00DF15F9"/>
    <w:rsid w:val="00DF187E"/>
    <w:rsid w:val="00DF2032"/>
    <w:rsid w:val="00DF27B1"/>
    <w:rsid w:val="00DF28EF"/>
    <w:rsid w:val="00DF2ED3"/>
    <w:rsid w:val="00DF363D"/>
    <w:rsid w:val="00DF397E"/>
    <w:rsid w:val="00DF4745"/>
    <w:rsid w:val="00DF491A"/>
    <w:rsid w:val="00DF5070"/>
    <w:rsid w:val="00DF549A"/>
    <w:rsid w:val="00DF54EA"/>
    <w:rsid w:val="00DF5A2E"/>
    <w:rsid w:val="00DF673E"/>
    <w:rsid w:val="00DF69E7"/>
    <w:rsid w:val="00DF6A1D"/>
    <w:rsid w:val="00DF6DD1"/>
    <w:rsid w:val="00DF6E39"/>
    <w:rsid w:val="00DF758E"/>
    <w:rsid w:val="00DF7623"/>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2E0C"/>
    <w:rsid w:val="00E23B90"/>
    <w:rsid w:val="00E23C14"/>
    <w:rsid w:val="00E23E24"/>
    <w:rsid w:val="00E242FC"/>
    <w:rsid w:val="00E246E5"/>
    <w:rsid w:val="00E24B2C"/>
    <w:rsid w:val="00E24D04"/>
    <w:rsid w:val="00E258EA"/>
    <w:rsid w:val="00E26186"/>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3DB6"/>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3C85"/>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93F"/>
    <w:rsid w:val="00E61CC7"/>
    <w:rsid w:val="00E61DE5"/>
    <w:rsid w:val="00E622F2"/>
    <w:rsid w:val="00E624FE"/>
    <w:rsid w:val="00E628D6"/>
    <w:rsid w:val="00E62941"/>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601"/>
    <w:rsid w:val="00E717E0"/>
    <w:rsid w:val="00E71878"/>
    <w:rsid w:val="00E71ED3"/>
    <w:rsid w:val="00E7272E"/>
    <w:rsid w:val="00E7298E"/>
    <w:rsid w:val="00E72EFC"/>
    <w:rsid w:val="00E736A3"/>
    <w:rsid w:val="00E73F21"/>
    <w:rsid w:val="00E74757"/>
    <w:rsid w:val="00E74C63"/>
    <w:rsid w:val="00E75567"/>
    <w:rsid w:val="00E75847"/>
    <w:rsid w:val="00E75973"/>
    <w:rsid w:val="00E759EB"/>
    <w:rsid w:val="00E75B93"/>
    <w:rsid w:val="00E75DFD"/>
    <w:rsid w:val="00E75F70"/>
    <w:rsid w:val="00E760A6"/>
    <w:rsid w:val="00E76595"/>
    <w:rsid w:val="00E76DEA"/>
    <w:rsid w:val="00E76EFA"/>
    <w:rsid w:val="00E77049"/>
    <w:rsid w:val="00E77883"/>
    <w:rsid w:val="00E804EA"/>
    <w:rsid w:val="00E80ACB"/>
    <w:rsid w:val="00E80F3A"/>
    <w:rsid w:val="00E810B0"/>
    <w:rsid w:val="00E813C0"/>
    <w:rsid w:val="00E81424"/>
    <w:rsid w:val="00E81B2E"/>
    <w:rsid w:val="00E81F3A"/>
    <w:rsid w:val="00E827FC"/>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751"/>
    <w:rsid w:val="00EA2964"/>
    <w:rsid w:val="00EA2F4B"/>
    <w:rsid w:val="00EA310C"/>
    <w:rsid w:val="00EA32E4"/>
    <w:rsid w:val="00EA34E8"/>
    <w:rsid w:val="00EA3822"/>
    <w:rsid w:val="00EA3EA5"/>
    <w:rsid w:val="00EA3EB0"/>
    <w:rsid w:val="00EA4E2E"/>
    <w:rsid w:val="00EA5192"/>
    <w:rsid w:val="00EA5375"/>
    <w:rsid w:val="00EA5702"/>
    <w:rsid w:val="00EA608C"/>
    <w:rsid w:val="00EA6A66"/>
    <w:rsid w:val="00EA6DA4"/>
    <w:rsid w:val="00EA71AC"/>
    <w:rsid w:val="00EA79B4"/>
    <w:rsid w:val="00EA7ACE"/>
    <w:rsid w:val="00EA7CAB"/>
    <w:rsid w:val="00EB00B3"/>
    <w:rsid w:val="00EB026F"/>
    <w:rsid w:val="00EB058C"/>
    <w:rsid w:val="00EB0EC4"/>
    <w:rsid w:val="00EB145F"/>
    <w:rsid w:val="00EB16FE"/>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F40"/>
    <w:rsid w:val="00EC652D"/>
    <w:rsid w:val="00EC723E"/>
    <w:rsid w:val="00EC73B6"/>
    <w:rsid w:val="00EC74D0"/>
    <w:rsid w:val="00EC77CD"/>
    <w:rsid w:val="00EC77FE"/>
    <w:rsid w:val="00ED042B"/>
    <w:rsid w:val="00ED1708"/>
    <w:rsid w:val="00ED2073"/>
    <w:rsid w:val="00ED2B8A"/>
    <w:rsid w:val="00ED30B9"/>
    <w:rsid w:val="00ED3397"/>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EE4"/>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2FC6"/>
    <w:rsid w:val="00F1304A"/>
    <w:rsid w:val="00F134D3"/>
    <w:rsid w:val="00F1350D"/>
    <w:rsid w:val="00F1369F"/>
    <w:rsid w:val="00F13A5C"/>
    <w:rsid w:val="00F13F84"/>
    <w:rsid w:val="00F146D6"/>
    <w:rsid w:val="00F14B40"/>
    <w:rsid w:val="00F14BC3"/>
    <w:rsid w:val="00F1523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2E47"/>
    <w:rsid w:val="00F2442B"/>
    <w:rsid w:val="00F249E5"/>
    <w:rsid w:val="00F25146"/>
    <w:rsid w:val="00F25D10"/>
    <w:rsid w:val="00F2690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2043"/>
    <w:rsid w:val="00F42294"/>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4E5"/>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60555"/>
    <w:rsid w:val="00F605D3"/>
    <w:rsid w:val="00F607DC"/>
    <w:rsid w:val="00F60871"/>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8CF"/>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507"/>
    <w:rsid w:val="00F87C75"/>
    <w:rsid w:val="00F87FC9"/>
    <w:rsid w:val="00F90954"/>
    <w:rsid w:val="00F90DDA"/>
    <w:rsid w:val="00F91066"/>
    <w:rsid w:val="00F919B1"/>
    <w:rsid w:val="00F92200"/>
    <w:rsid w:val="00F92A0F"/>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6F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20A"/>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444"/>
    <w:rsid w:val="00FD153D"/>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581"/>
    <w:rsid w:val="00FE5A5B"/>
    <w:rsid w:val="00FE5D2D"/>
    <w:rsid w:val="00FE616A"/>
    <w:rsid w:val="00FE6447"/>
    <w:rsid w:val="00FE66AE"/>
    <w:rsid w:val="00FE69E3"/>
    <w:rsid w:val="00FE6E4B"/>
    <w:rsid w:val="00FE7DE7"/>
    <w:rsid w:val="00FF0077"/>
    <w:rsid w:val="00FF02CD"/>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50EE"/>
    <w:rsid w:val="00FF51F9"/>
    <w:rsid w:val="00FF5421"/>
    <w:rsid w:val="00FF5783"/>
    <w:rsid w:val="00FF585E"/>
    <w:rsid w:val="00FF5998"/>
    <w:rsid w:val="00FF64B4"/>
    <w:rsid w:val="00FF6B61"/>
    <w:rsid w:val="00FF6BCE"/>
    <w:rsid w:val="00FF6CB6"/>
    <w:rsid w:val="00FF6FCD"/>
    <w:rsid w:val="00FF71B8"/>
    <w:rsid w:val="00FF734A"/>
    <w:rsid w:val="00FF73FD"/>
    <w:rsid w:val="00FF7C73"/>
    <w:rsid w:val="01230FF8"/>
    <w:rsid w:val="012C41AE"/>
    <w:rsid w:val="01370251"/>
    <w:rsid w:val="01546C03"/>
    <w:rsid w:val="01840D23"/>
    <w:rsid w:val="01C523EB"/>
    <w:rsid w:val="0240483A"/>
    <w:rsid w:val="02443EBF"/>
    <w:rsid w:val="028F7835"/>
    <w:rsid w:val="02D849EC"/>
    <w:rsid w:val="02F01FC8"/>
    <w:rsid w:val="030B0588"/>
    <w:rsid w:val="03125C24"/>
    <w:rsid w:val="032D0C4E"/>
    <w:rsid w:val="03622BC3"/>
    <w:rsid w:val="03884282"/>
    <w:rsid w:val="03AE680D"/>
    <w:rsid w:val="03EA585B"/>
    <w:rsid w:val="042335BA"/>
    <w:rsid w:val="04325E85"/>
    <w:rsid w:val="04674129"/>
    <w:rsid w:val="046E20F9"/>
    <w:rsid w:val="04873719"/>
    <w:rsid w:val="04CF4903"/>
    <w:rsid w:val="04CF61CD"/>
    <w:rsid w:val="04DC7CED"/>
    <w:rsid w:val="04F06240"/>
    <w:rsid w:val="050F7033"/>
    <w:rsid w:val="052949F8"/>
    <w:rsid w:val="05352FCE"/>
    <w:rsid w:val="0579428C"/>
    <w:rsid w:val="059A5838"/>
    <w:rsid w:val="05A61685"/>
    <w:rsid w:val="05EB13F2"/>
    <w:rsid w:val="060B5B68"/>
    <w:rsid w:val="06196A46"/>
    <w:rsid w:val="062D66EE"/>
    <w:rsid w:val="06452A65"/>
    <w:rsid w:val="06493026"/>
    <w:rsid w:val="064B16EB"/>
    <w:rsid w:val="0689668C"/>
    <w:rsid w:val="069A2CD1"/>
    <w:rsid w:val="06B26E55"/>
    <w:rsid w:val="06C11103"/>
    <w:rsid w:val="06E958A4"/>
    <w:rsid w:val="06FB5E9D"/>
    <w:rsid w:val="073A1421"/>
    <w:rsid w:val="07851D6E"/>
    <w:rsid w:val="07AF1279"/>
    <w:rsid w:val="07F563F7"/>
    <w:rsid w:val="08221539"/>
    <w:rsid w:val="086361B9"/>
    <w:rsid w:val="08664BF1"/>
    <w:rsid w:val="087628FD"/>
    <w:rsid w:val="08B052CB"/>
    <w:rsid w:val="08EE2A4A"/>
    <w:rsid w:val="094A1567"/>
    <w:rsid w:val="094B6021"/>
    <w:rsid w:val="09562F75"/>
    <w:rsid w:val="09651F9A"/>
    <w:rsid w:val="09690880"/>
    <w:rsid w:val="09E46783"/>
    <w:rsid w:val="09E50F66"/>
    <w:rsid w:val="09FB296B"/>
    <w:rsid w:val="0A405FB0"/>
    <w:rsid w:val="0A451405"/>
    <w:rsid w:val="0AAE3D3C"/>
    <w:rsid w:val="0AEF4DA2"/>
    <w:rsid w:val="0B0C74E3"/>
    <w:rsid w:val="0B686A05"/>
    <w:rsid w:val="0B867A90"/>
    <w:rsid w:val="0B9755B2"/>
    <w:rsid w:val="0C0E1075"/>
    <w:rsid w:val="0C295E89"/>
    <w:rsid w:val="0C4F3346"/>
    <w:rsid w:val="0C5646FE"/>
    <w:rsid w:val="0C591FE7"/>
    <w:rsid w:val="0C651FF1"/>
    <w:rsid w:val="0C8A2C23"/>
    <w:rsid w:val="0D005082"/>
    <w:rsid w:val="0D0608D6"/>
    <w:rsid w:val="0D1A3721"/>
    <w:rsid w:val="0D341A8F"/>
    <w:rsid w:val="0D5225D9"/>
    <w:rsid w:val="0D5A1BC5"/>
    <w:rsid w:val="0D6E62AF"/>
    <w:rsid w:val="0DB97A81"/>
    <w:rsid w:val="0DE76237"/>
    <w:rsid w:val="0E337610"/>
    <w:rsid w:val="0E540B6A"/>
    <w:rsid w:val="0EB22FED"/>
    <w:rsid w:val="0EC14BA3"/>
    <w:rsid w:val="0EC73999"/>
    <w:rsid w:val="0ECC63D3"/>
    <w:rsid w:val="0ED66184"/>
    <w:rsid w:val="0ED960F2"/>
    <w:rsid w:val="0F3167E5"/>
    <w:rsid w:val="0F3A28E2"/>
    <w:rsid w:val="0F4E1281"/>
    <w:rsid w:val="0F9A09BE"/>
    <w:rsid w:val="0FA46131"/>
    <w:rsid w:val="0FC601FA"/>
    <w:rsid w:val="0FE52441"/>
    <w:rsid w:val="0FF652DD"/>
    <w:rsid w:val="0FF759BE"/>
    <w:rsid w:val="101D20C8"/>
    <w:rsid w:val="10263719"/>
    <w:rsid w:val="10995400"/>
    <w:rsid w:val="11036706"/>
    <w:rsid w:val="1105338F"/>
    <w:rsid w:val="11114239"/>
    <w:rsid w:val="11586E4C"/>
    <w:rsid w:val="11644EED"/>
    <w:rsid w:val="11875C36"/>
    <w:rsid w:val="11B132B7"/>
    <w:rsid w:val="11E61964"/>
    <w:rsid w:val="11F51383"/>
    <w:rsid w:val="11FE7D5F"/>
    <w:rsid w:val="120B0F45"/>
    <w:rsid w:val="120F3ACD"/>
    <w:rsid w:val="121557F7"/>
    <w:rsid w:val="121B6F0E"/>
    <w:rsid w:val="12A27113"/>
    <w:rsid w:val="13546205"/>
    <w:rsid w:val="13573F3B"/>
    <w:rsid w:val="136B6742"/>
    <w:rsid w:val="1373244D"/>
    <w:rsid w:val="138D1341"/>
    <w:rsid w:val="13CB2F56"/>
    <w:rsid w:val="13F4131F"/>
    <w:rsid w:val="14092411"/>
    <w:rsid w:val="142148D7"/>
    <w:rsid w:val="14395983"/>
    <w:rsid w:val="14D233B9"/>
    <w:rsid w:val="14F55732"/>
    <w:rsid w:val="15061D4E"/>
    <w:rsid w:val="150A2791"/>
    <w:rsid w:val="151F6752"/>
    <w:rsid w:val="156D6108"/>
    <w:rsid w:val="15755DD1"/>
    <w:rsid w:val="15AA0CAD"/>
    <w:rsid w:val="15EE5CA7"/>
    <w:rsid w:val="161D2B42"/>
    <w:rsid w:val="166213BA"/>
    <w:rsid w:val="16844462"/>
    <w:rsid w:val="168E61D7"/>
    <w:rsid w:val="16954E6F"/>
    <w:rsid w:val="16A0034D"/>
    <w:rsid w:val="16B83DCF"/>
    <w:rsid w:val="16C73561"/>
    <w:rsid w:val="16E313B3"/>
    <w:rsid w:val="17101991"/>
    <w:rsid w:val="176C3394"/>
    <w:rsid w:val="17732419"/>
    <w:rsid w:val="1791369D"/>
    <w:rsid w:val="17A00BB3"/>
    <w:rsid w:val="17D33B8E"/>
    <w:rsid w:val="17FE3EE4"/>
    <w:rsid w:val="180E08E1"/>
    <w:rsid w:val="18196D26"/>
    <w:rsid w:val="181C3A9D"/>
    <w:rsid w:val="18296E49"/>
    <w:rsid w:val="183B3D84"/>
    <w:rsid w:val="187D5677"/>
    <w:rsid w:val="1889197C"/>
    <w:rsid w:val="18B96600"/>
    <w:rsid w:val="18D65DFE"/>
    <w:rsid w:val="18DD1CDA"/>
    <w:rsid w:val="19016C45"/>
    <w:rsid w:val="19076499"/>
    <w:rsid w:val="19387C7B"/>
    <w:rsid w:val="19642B5C"/>
    <w:rsid w:val="19815690"/>
    <w:rsid w:val="19BF2896"/>
    <w:rsid w:val="19CB52FA"/>
    <w:rsid w:val="19FD6728"/>
    <w:rsid w:val="1A0D3A6C"/>
    <w:rsid w:val="1A7F5B53"/>
    <w:rsid w:val="1A82510B"/>
    <w:rsid w:val="1AA1711E"/>
    <w:rsid w:val="1AE033C7"/>
    <w:rsid w:val="1AF24ADA"/>
    <w:rsid w:val="1AF41766"/>
    <w:rsid w:val="1B181367"/>
    <w:rsid w:val="1B620B6E"/>
    <w:rsid w:val="1B696E99"/>
    <w:rsid w:val="1B7F1E83"/>
    <w:rsid w:val="1B9333D7"/>
    <w:rsid w:val="1BBE3C53"/>
    <w:rsid w:val="1BCC3D5C"/>
    <w:rsid w:val="1BFF0BBB"/>
    <w:rsid w:val="1C2D18F0"/>
    <w:rsid w:val="1C38073B"/>
    <w:rsid w:val="1C380F8C"/>
    <w:rsid w:val="1C4C0EAB"/>
    <w:rsid w:val="1C612E14"/>
    <w:rsid w:val="1CEF7BC8"/>
    <w:rsid w:val="1D1076FB"/>
    <w:rsid w:val="1D133281"/>
    <w:rsid w:val="1D56710C"/>
    <w:rsid w:val="1D7513D6"/>
    <w:rsid w:val="1D7F3E07"/>
    <w:rsid w:val="1D856966"/>
    <w:rsid w:val="1DA93D26"/>
    <w:rsid w:val="1DB22B6B"/>
    <w:rsid w:val="1DDC4D1A"/>
    <w:rsid w:val="1DF30DBE"/>
    <w:rsid w:val="1DF3266B"/>
    <w:rsid w:val="1E651F9D"/>
    <w:rsid w:val="1E8C3F85"/>
    <w:rsid w:val="1F851168"/>
    <w:rsid w:val="1F8E57BA"/>
    <w:rsid w:val="1FAE69B8"/>
    <w:rsid w:val="1FC3740D"/>
    <w:rsid w:val="20166D26"/>
    <w:rsid w:val="203355D2"/>
    <w:rsid w:val="20442961"/>
    <w:rsid w:val="205A17CB"/>
    <w:rsid w:val="208057D2"/>
    <w:rsid w:val="20887FB8"/>
    <w:rsid w:val="20EC4110"/>
    <w:rsid w:val="20F60F11"/>
    <w:rsid w:val="20FB48FC"/>
    <w:rsid w:val="210E7201"/>
    <w:rsid w:val="21142C6D"/>
    <w:rsid w:val="212E56A3"/>
    <w:rsid w:val="21385634"/>
    <w:rsid w:val="214A3E4F"/>
    <w:rsid w:val="21681417"/>
    <w:rsid w:val="2199384F"/>
    <w:rsid w:val="21DB34DC"/>
    <w:rsid w:val="225472B9"/>
    <w:rsid w:val="225D6794"/>
    <w:rsid w:val="22726F52"/>
    <w:rsid w:val="22902DE7"/>
    <w:rsid w:val="229A2306"/>
    <w:rsid w:val="22B11AE5"/>
    <w:rsid w:val="22EA0977"/>
    <w:rsid w:val="23004C72"/>
    <w:rsid w:val="23466651"/>
    <w:rsid w:val="23473951"/>
    <w:rsid w:val="23950110"/>
    <w:rsid w:val="23BF6ADE"/>
    <w:rsid w:val="23F8694E"/>
    <w:rsid w:val="241D4C3B"/>
    <w:rsid w:val="24470277"/>
    <w:rsid w:val="24811A31"/>
    <w:rsid w:val="248779A4"/>
    <w:rsid w:val="248B6F0F"/>
    <w:rsid w:val="24C87BBA"/>
    <w:rsid w:val="24D861DA"/>
    <w:rsid w:val="24E63334"/>
    <w:rsid w:val="24F9002D"/>
    <w:rsid w:val="250214D6"/>
    <w:rsid w:val="2520284B"/>
    <w:rsid w:val="255634CE"/>
    <w:rsid w:val="255F2871"/>
    <w:rsid w:val="257B402C"/>
    <w:rsid w:val="25815FD3"/>
    <w:rsid w:val="258646B2"/>
    <w:rsid w:val="258D467E"/>
    <w:rsid w:val="25AC2CC4"/>
    <w:rsid w:val="26363656"/>
    <w:rsid w:val="26457852"/>
    <w:rsid w:val="264D7D28"/>
    <w:rsid w:val="264D7E55"/>
    <w:rsid w:val="26955AC7"/>
    <w:rsid w:val="26B776C7"/>
    <w:rsid w:val="277D0DD7"/>
    <w:rsid w:val="27F0280E"/>
    <w:rsid w:val="27FE1015"/>
    <w:rsid w:val="28916895"/>
    <w:rsid w:val="28E223C0"/>
    <w:rsid w:val="2960459B"/>
    <w:rsid w:val="29DA1326"/>
    <w:rsid w:val="2A2C69CF"/>
    <w:rsid w:val="2A3763F1"/>
    <w:rsid w:val="2A6B6ACA"/>
    <w:rsid w:val="2A7F614D"/>
    <w:rsid w:val="2A8F181C"/>
    <w:rsid w:val="2A9E1C4B"/>
    <w:rsid w:val="2ABA4BDA"/>
    <w:rsid w:val="2AE35562"/>
    <w:rsid w:val="2B3148C7"/>
    <w:rsid w:val="2B6F3C13"/>
    <w:rsid w:val="2B7E1521"/>
    <w:rsid w:val="2B867E70"/>
    <w:rsid w:val="2BC519A0"/>
    <w:rsid w:val="2BF34A45"/>
    <w:rsid w:val="2C1139E6"/>
    <w:rsid w:val="2C2E4FDD"/>
    <w:rsid w:val="2C392E8C"/>
    <w:rsid w:val="2C755A5C"/>
    <w:rsid w:val="2CD00446"/>
    <w:rsid w:val="2CD21EC3"/>
    <w:rsid w:val="2CEC54F3"/>
    <w:rsid w:val="2CFB3C06"/>
    <w:rsid w:val="2D092DC9"/>
    <w:rsid w:val="2D1037FC"/>
    <w:rsid w:val="2D294F8C"/>
    <w:rsid w:val="2D2F463D"/>
    <w:rsid w:val="2E216CF2"/>
    <w:rsid w:val="2E4610B2"/>
    <w:rsid w:val="2E4C0935"/>
    <w:rsid w:val="2E817FC1"/>
    <w:rsid w:val="2E870E83"/>
    <w:rsid w:val="2EAE4880"/>
    <w:rsid w:val="2EB521F5"/>
    <w:rsid w:val="2F1A7290"/>
    <w:rsid w:val="2F7B2870"/>
    <w:rsid w:val="2FE765A3"/>
    <w:rsid w:val="30172FA4"/>
    <w:rsid w:val="304B7F8C"/>
    <w:rsid w:val="30506C49"/>
    <w:rsid w:val="30896680"/>
    <w:rsid w:val="30B254A1"/>
    <w:rsid w:val="30C260EB"/>
    <w:rsid w:val="30E047C3"/>
    <w:rsid w:val="31214DF7"/>
    <w:rsid w:val="3121700E"/>
    <w:rsid w:val="31301F0B"/>
    <w:rsid w:val="317371BD"/>
    <w:rsid w:val="31C0321A"/>
    <w:rsid w:val="31DE5DBF"/>
    <w:rsid w:val="320F140E"/>
    <w:rsid w:val="321020A6"/>
    <w:rsid w:val="323A6A37"/>
    <w:rsid w:val="32512E65"/>
    <w:rsid w:val="329847A9"/>
    <w:rsid w:val="32CC6D9C"/>
    <w:rsid w:val="330E6D0C"/>
    <w:rsid w:val="3314488D"/>
    <w:rsid w:val="33781B16"/>
    <w:rsid w:val="33A4365B"/>
    <w:rsid w:val="33B404DC"/>
    <w:rsid w:val="33C72A66"/>
    <w:rsid w:val="33D22550"/>
    <w:rsid w:val="33EC0EEE"/>
    <w:rsid w:val="34054F2C"/>
    <w:rsid w:val="341425B6"/>
    <w:rsid w:val="34394601"/>
    <w:rsid w:val="34477D1D"/>
    <w:rsid w:val="3461127D"/>
    <w:rsid w:val="34DC1DF1"/>
    <w:rsid w:val="350A7096"/>
    <w:rsid w:val="351D0AA8"/>
    <w:rsid w:val="352B373E"/>
    <w:rsid w:val="35471098"/>
    <w:rsid w:val="355E3D20"/>
    <w:rsid w:val="35837334"/>
    <w:rsid w:val="358A1460"/>
    <w:rsid w:val="35BB2335"/>
    <w:rsid w:val="36240D01"/>
    <w:rsid w:val="36266DB4"/>
    <w:rsid w:val="363C1FA9"/>
    <w:rsid w:val="36A26B19"/>
    <w:rsid w:val="36A50B59"/>
    <w:rsid w:val="36B35EB4"/>
    <w:rsid w:val="36ED6539"/>
    <w:rsid w:val="372616F3"/>
    <w:rsid w:val="37636B1B"/>
    <w:rsid w:val="37DB047C"/>
    <w:rsid w:val="37EB2C74"/>
    <w:rsid w:val="37F67806"/>
    <w:rsid w:val="3802202F"/>
    <w:rsid w:val="38183F76"/>
    <w:rsid w:val="382D4319"/>
    <w:rsid w:val="383C75F5"/>
    <w:rsid w:val="38CE0445"/>
    <w:rsid w:val="38FA1728"/>
    <w:rsid w:val="39097E2F"/>
    <w:rsid w:val="397E3D99"/>
    <w:rsid w:val="399B4E0F"/>
    <w:rsid w:val="399E5C78"/>
    <w:rsid w:val="39CC1A7F"/>
    <w:rsid w:val="3A011836"/>
    <w:rsid w:val="3A050D77"/>
    <w:rsid w:val="3A0E3F33"/>
    <w:rsid w:val="3A2B7F68"/>
    <w:rsid w:val="3A664DE2"/>
    <w:rsid w:val="3A6D2229"/>
    <w:rsid w:val="3A774FF1"/>
    <w:rsid w:val="3A7B2F4D"/>
    <w:rsid w:val="3AD81F71"/>
    <w:rsid w:val="3ADA1B74"/>
    <w:rsid w:val="3B0F76D9"/>
    <w:rsid w:val="3B446D0A"/>
    <w:rsid w:val="3B697D24"/>
    <w:rsid w:val="3B92551B"/>
    <w:rsid w:val="3B9308AE"/>
    <w:rsid w:val="3BCF56B7"/>
    <w:rsid w:val="3BDF11E2"/>
    <w:rsid w:val="3BFD010D"/>
    <w:rsid w:val="3C143C61"/>
    <w:rsid w:val="3C39735A"/>
    <w:rsid w:val="3C3C11E2"/>
    <w:rsid w:val="3C6445D1"/>
    <w:rsid w:val="3C793F4A"/>
    <w:rsid w:val="3CB43F1F"/>
    <w:rsid w:val="3CD348D6"/>
    <w:rsid w:val="3D366FB4"/>
    <w:rsid w:val="3D8141C6"/>
    <w:rsid w:val="3DBE0D0D"/>
    <w:rsid w:val="3DC1613E"/>
    <w:rsid w:val="3E016E42"/>
    <w:rsid w:val="3E3135A0"/>
    <w:rsid w:val="3E3F2CB9"/>
    <w:rsid w:val="3E5709F7"/>
    <w:rsid w:val="3E6337A6"/>
    <w:rsid w:val="3E872C04"/>
    <w:rsid w:val="3E907498"/>
    <w:rsid w:val="3EDB2C44"/>
    <w:rsid w:val="3EDD63BF"/>
    <w:rsid w:val="3F1F53E4"/>
    <w:rsid w:val="3F233941"/>
    <w:rsid w:val="3F4B5C64"/>
    <w:rsid w:val="3F4E1F09"/>
    <w:rsid w:val="3F991D2C"/>
    <w:rsid w:val="3FB07D68"/>
    <w:rsid w:val="3FC252CB"/>
    <w:rsid w:val="3FD6645B"/>
    <w:rsid w:val="404A60CA"/>
    <w:rsid w:val="405532C4"/>
    <w:rsid w:val="4062520D"/>
    <w:rsid w:val="40C0157E"/>
    <w:rsid w:val="40D53788"/>
    <w:rsid w:val="413565D1"/>
    <w:rsid w:val="41510F6D"/>
    <w:rsid w:val="41826890"/>
    <w:rsid w:val="4184148D"/>
    <w:rsid w:val="41AB115D"/>
    <w:rsid w:val="41C85D2B"/>
    <w:rsid w:val="41FF0A9A"/>
    <w:rsid w:val="423A3A5D"/>
    <w:rsid w:val="424A2D2E"/>
    <w:rsid w:val="425C5FB5"/>
    <w:rsid w:val="42A517C6"/>
    <w:rsid w:val="42AD45EC"/>
    <w:rsid w:val="42EF721E"/>
    <w:rsid w:val="43023801"/>
    <w:rsid w:val="43025BA5"/>
    <w:rsid w:val="432428E8"/>
    <w:rsid w:val="43433C4B"/>
    <w:rsid w:val="43496E5B"/>
    <w:rsid w:val="43540F3D"/>
    <w:rsid w:val="4367724B"/>
    <w:rsid w:val="437A09FB"/>
    <w:rsid w:val="43921F89"/>
    <w:rsid w:val="4393617C"/>
    <w:rsid w:val="43972662"/>
    <w:rsid w:val="43A56A1E"/>
    <w:rsid w:val="444D3E58"/>
    <w:rsid w:val="44751191"/>
    <w:rsid w:val="44767F39"/>
    <w:rsid w:val="449E04D5"/>
    <w:rsid w:val="44D5040C"/>
    <w:rsid w:val="44EA3E4B"/>
    <w:rsid w:val="44F2377A"/>
    <w:rsid w:val="44F52628"/>
    <w:rsid w:val="45C042E6"/>
    <w:rsid w:val="45DC2839"/>
    <w:rsid w:val="45E604F1"/>
    <w:rsid w:val="45E93B98"/>
    <w:rsid w:val="45F2528E"/>
    <w:rsid w:val="46107F64"/>
    <w:rsid w:val="46170F6D"/>
    <w:rsid w:val="46200F21"/>
    <w:rsid w:val="4657470B"/>
    <w:rsid w:val="469F700F"/>
    <w:rsid w:val="46B93951"/>
    <w:rsid w:val="4728571D"/>
    <w:rsid w:val="473E5A4C"/>
    <w:rsid w:val="47817E02"/>
    <w:rsid w:val="47DB0659"/>
    <w:rsid w:val="47E0168C"/>
    <w:rsid w:val="47EB17E0"/>
    <w:rsid w:val="47FB1CDD"/>
    <w:rsid w:val="481754A6"/>
    <w:rsid w:val="48223316"/>
    <w:rsid w:val="484271F0"/>
    <w:rsid w:val="48AC5848"/>
    <w:rsid w:val="48B80F82"/>
    <w:rsid w:val="48F15C28"/>
    <w:rsid w:val="48FA5C20"/>
    <w:rsid w:val="493039B9"/>
    <w:rsid w:val="4938597C"/>
    <w:rsid w:val="49532EE1"/>
    <w:rsid w:val="49AF560C"/>
    <w:rsid w:val="49E8252C"/>
    <w:rsid w:val="49F67854"/>
    <w:rsid w:val="4A1D4AD4"/>
    <w:rsid w:val="4A2D2F27"/>
    <w:rsid w:val="4A5C0BC6"/>
    <w:rsid w:val="4AF2653C"/>
    <w:rsid w:val="4B2447D7"/>
    <w:rsid w:val="4B63508A"/>
    <w:rsid w:val="4B706B6C"/>
    <w:rsid w:val="4B822EF8"/>
    <w:rsid w:val="4B82511D"/>
    <w:rsid w:val="4BA82AAC"/>
    <w:rsid w:val="4BBD0443"/>
    <w:rsid w:val="4BC35A11"/>
    <w:rsid w:val="4C2A3794"/>
    <w:rsid w:val="4C571A48"/>
    <w:rsid w:val="4CAD015B"/>
    <w:rsid w:val="4CBE6FA8"/>
    <w:rsid w:val="4D0B27DB"/>
    <w:rsid w:val="4D46631A"/>
    <w:rsid w:val="4D532397"/>
    <w:rsid w:val="4D5E3AB5"/>
    <w:rsid w:val="4D7367CD"/>
    <w:rsid w:val="4D941BCF"/>
    <w:rsid w:val="4D9E7DCC"/>
    <w:rsid w:val="4DAC5DCB"/>
    <w:rsid w:val="4DCD2E97"/>
    <w:rsid w:val="4DD93727"/>
    <w:rsid w:val="4E21750C"/>
    <w:rsid w:val="4E3F0252"/>
    <w:rsid w:val="4E6936E6"/>
    <w:rsid w:val="4EFD3A3D"/>
    <w:rsid w:val="4F034DFF"/>
    <w:rsid w:val="4F535630"/>
    <w:rsid w:val="4F844CD5"/>
    <w:rsid w:val="4FBD0783"/>
    <w:rsid w:val="4FDF5361"/>
    <w:rsid w:val="4FE04607"/>
    <w:rsid w:val="4FF8181C"/>
    <w:rsid w:val="50555226"/>
    <w:rsid w:val="5081423E"/>
    <w:rsid w:val="50B93A6A"/>
    <w:rsid w:val="51A72EFC"/>
    <w:rsid w:val="52377171"/>
    <w:rsid w:val="5257222D"/>
    <w:rsid w:val="52B576B7"/>
    <w:rsid w:val="52D85120"/>
    <w:rsid w:val="52FF168C"/>
    <w:rsid w:val="53023F53"/>
    <w:rsid w:val="530E7FF6"/>
    <w:rsid w:val="534331DB"/>
    <w:rsid w:val="539A29F7"/>
    <w:rsid w:val="53B815CC"/>
    <w:rsid w:val="53BB47C5"/>
    <w:rsid w:val="53C20905"/>
    <w:rsid w:val="53CB2C45"/>
    <w:rsid w:val="53FD74FB"/>
    <w:rsid w:val="54033AB1"/>
    <w:rsid w:val="540D4A91"/>
    <w:rsid w:val="54283C97"/>
    <w:rsid w:val="54614F2D"/>
    <w:rsid w:val="54702C1E"/>
    <w:rsid w:val="550E2DBE"/>
    <w:rsid w:val="552A39B0"/>
    <w:rsid w:val="556F3F7A"/>
    <w:rsid w:val="558F33EB"/>
    <w:rsid w:val="562048FF"/>
    <w:rsid w:val="568B4FC6"/>
    <w:rsid w:val="56B54986"/>
    <w:rsid w:val="56DB7422"/>
    <w:rsid w:val="56E12D98"/>
    <w:rsid w:val="56EF5B8A"/>
    <w:rsid w:val="56FE23F5"/>
    <w:rsid w:val="57074E66"/>
    <w:rsid w:val="57344A1C"/>
    <w:rsid w:val="573C7890"/>
    <w:rsid w:val="574B2302"/>
    <w:rsid w:val="57554435"/>
    <w:rsid w:val="575C2B2B"/>
    <w:rsid w:val="57796F63"/>
    <w:rsid w:val="57BE085A"/>
    <w:rsid w:val="57CA04C3"/>
    <w:rsid w:val="57CB766E"/>
    <w:rsid w:val="57D67482"/>
    <w:rsid w:val="57E020A2"/>
    <w:rsid w:val="580E1729"/>
    <w:rsid w:val="584D4288"/>
    <w:rsid w:val="58896936"/>
    <w:rsid w:val="5899652F"/>
    <w:rsid w:val="589A3721"/>
    <w:rsid w:val="58A720A2"/>
    <w:rsid w:val="58DF7AEE"/>
    <w:rsid w:val="58FB64F2"/>
    <w:rsid w:val="590630EC"/>
    <w:rsid w:val="590E2B9C"/>
    <w:rsid w:val="59167026"/>
    <w:rsid w:val="595742EA"/>
    <w:rsid w:val="596B4479"/>
    <w:rsid w:val="597A47EB"/>
    <w:rsid w:val="59B52DF3"/>
    <w:rsid w:val="59DB1E23"/>
    <w:rsid w:val="5A0B3F27"/>
    <w:rsid w:val="5A1D79F1"/>
    <w:rsid w:val="5A235BD4"/>
    <w:rsid w:val="5A290EEB"/>
    <w:rsid w:val="5A7A0E21"/>
    <w:rsid w:val="5A870496"/>
    <w:rsid w:val="5AA036F3"/>
    <w:rsid w:val="5AA5407F"/>
    <w:rsid w:val="5AD30723"/>
    <w:rsid w:val="5AF012E9"/>
    <w:rsid w:val="5B381A52"/>
    <w:rsid w:val="5B4D58FA"/>
    <w:rsid w:val="5B554377"/>
    <w:rsid w:val="5B641B31"/>
    <w:rsid w:val="5B6E7D92"/>
    <w:rsid w:val="5B6F170C"/>
    <w:rsid w:val="5B932C33"/>
    <w:rsid w:val="5BC60F66"/>
    <w:rsid w:val="5C2359ED"/>
    <w:rsid w:val="5C2A0400"/>
    <w:rsid w:val="5C73122C"/>
    <w:rsid w:val="5C9B7FB0"/>
    <w:rsid w:val="5CB65CCC"/>
    <w:rsid w:val="5D351D8F"/>
    <w:rsid w:val="5D5A76F0"/>
    <w:rsid w:val="5D782D01"/>
    <w:rsid w:val="5D85388A"/>
    <w:rsid w:val="5DC867D9"/>
    <w:rsid w:val="5DE11406"/>
    <w:rsid w:val="5E061C3D"/>
    <w:rsid w:val="5E0D1E80"/>
    <w:rsid w:val="5E39435C"/>
    <w:rsid w:val="5E3E038A"/>
    <w:rsid w:val="5E8557EF"/>
    <w:rsid w:val="5EAD5062"/>
    <w:rsid w:val="5EB065FA"/>
    <w:rsid w:val="5EBE607C"/>
    <w:rsid w:val="5EC843DC"/>
    <w:rsid w:val="5ECE5C2F"/>
    <w:rsid w:val="5ED1242A"/>
    <w:rsid w:val="5EDC2437"/>
    <w:rsid w:val="5F2D3077"/>
    <w:rsid w:val="5F4C2137"/>
    <w:rsid w:val="5F610928"/>
    <w:rsid w:val="5F7D7B6B"/>
    <w:rsid w:val="5F8B6B54"/>
    <w:rsid w:val="5FAC3391"/>
    <w:rsid w:val="60221C37"/>
    <w:rsid w:val="60531E6E"/>
    <w:rsid w:val="60664F57"/>
    <w:rsid w:val="606F5F56"/>
    <w:rsid w:val="60C0446E"/>
    <w:rsid w:val="60E93AA7"/>
    <w:rsid w:val="60EC748E"/>
    <w:rsid w:val="61021356"/>
    <w:rsid w:val="610824BF"/>
    <w:rsid w:val="613A20AC"/>
    <w:rsid w:val="613C334A"/>
    <w:rsid w:val="613E5C1D"/>
    <w:rsid w:val="61662BDC"/>
    <w:rsid w:val="617F105B"/>
    <w:rsid w:val="619743F4"/>
    <w:rsid w:val="61CB4CD1"/>
    <w:rsid w:val="61DF0CF1"/>
    <w:rsid w:val="61E0148A"/>
    <w:rsid w:val="6210469A"/>
    <w:rsid w:val="62326256"/>
    <w:rsid w:val="624C5183"/>
    <w:rsid w:val="62741ED8"/>
    <w:rsid w:val="6277675C"/>
    <w:rsid w:val="627E3634"/>
    <w:rsid w:val="6298395E"/>
    <w:rsid w:val="63287DD9"/>
    <w:rsid w:val="639F52E6"/>
    <w:rsid w:val="63CA3E90"/>
    <w:rsid w:val="63E257C7"/>
    <w:rsid w:val="640302A1"/>
    <w:rsid w:val="644466C4"/>
    <w:rsid w:val="646334F7"/>
    <w:rsid w:val="646D554A"/>
    <w:rsid w:val="64AD3F25"/>
    <w:rsid w:val="651008F6"/>
    <w:rsid w:val="65165B9C"/>
    <w:rsid w:val="65554306"/>
    <w:rsid w:val="65BB733F"/>
    <w:rsid w:val="65C34F12"/>
    <w:rsid w:val="65D37571"/>
    <w:rsid w:val="661C6EC1"/>
    <w:rsid w:val="661E2D6B"/>
    <w:rsid w:val="663C287A"/>
    <w:rsid w:val="663E4475"/>
    <w:rsid w:val="66657908"/>
    <w:rsid w:val="6673441B"/>
    <w:rsid w:val="66924937"/>
    <w:rsid w:val="66B20069"/>
    <w:rsid w:val="66E35713"/>
    <w:rsid w:val="66E35E61"/>
    <w:rsid w:val="671E7502"/>
    <w:rsid w:val="67A245F8"/>
    <w:rsid w:val="67E91DFE"/>
    <w:rsid w:val="67F31CCF"/>
    <w:rsid w:val="683668BD"/>
    <w:rsid w:val="684A3D7A"/>
    <w:rsid w:val="686F3E8C"/>
    <w:rsid w:val="68767E73"/>
    <w:rsid w:val="68BB59D8"/>
    <w:rsid w:val="68CF7538"/>
    <w:rsid w:val="6909000C"/>
    <w:rsid w:val="6911482C"/>
    <w:rsid w:val="69207100"/>
    <w:rsid w:val="69321091"/>
    <w:rsid w:val="695600A2"/>
    <w:rsid w:val="697A4977"/>
    <w:rsid w:val="697D0C37"/>
    <w:rsid w:val="69C272B4"/>
    <w:rsid w:val="6A481515"/>
    <w:rsid w:val="6A61786F"/>
    <w:rsid w:val="6A655104"/>
    <w:rsid w:val="6A67588C"/>
    <w:rsid w:val="6A803445"/>
    <w:rsid w:val="6ACC099E"/>
    <w:rsid w:val="6AE54697"/>
    <w:rsid w:val="6AF04A32"/>
    <w:rsid w:val="6AFC3365"/>
    <w:rsid w:val="6B2E6F54"/>
    <w:rsid w:val="6B5E0794"/>
    <w:rsid w:val="6B9A389A"/>
    <w:rsid w:val="6B9E3E0B"/>
    <w:rsid w:val="6BAB1D99"/>
    <w:rsid w:val="6BAC2023"/>
    <w:rsid w:val="6BD776AA"/>
    <w:rsid w:val="6C2875C5"/>
    <w:rsid w:val="6C326222"/>
    <w:rsid w:val="6C3E22BA"/>
    <w:rsid w:val="6C5A3443"/>
    <w:rsid w:val="6C6C4531"/>
    <w:rsid w:val="6C7C556D"/>
    <w:rsid w:val="6CAD7057"/>
    <w:rsid w:val="6CC73E5D"/>
    <w:rsid w:val="6D2F4FFF"/>
    <w:rsid w:val="6D3B7A0F"/>
    <w:rsid w:val="6D4C405A"/>
    <w:rsid w:val="6D6802AC"/>
    <w:rsid w:val="6DCC4DBA"/>
    <w:rsid w:val="6DE83137"/>
    <w:rsid w:val="6DF4428A"/>
    <w:rsid w:val="6E47278A"/>
    <w:rsid w:val="6E4D72D5"/>
    <w:rsid w:val="6E7972A6"/>
    <w:rsid w:val="6E86457C"/>
    <w:rsid w:val="6E9B2ED2"/>
    <w:rsid w:val="6EA44233"/>
    <w:rsid w:val="6EBD4278"/>
    <w:rsid w:val="6F1428B1"/>
    <w:rsid w:val="6F42340E"/>
    <w:rsid w:val="6F5467A0"/>
    <w:rsid w:val="6F5F2B18"/>
    <w:rsid w:val="6FB31558"/>
    <w:rsid w:val="6FE7157F"/>
    <w:rsid w:val="6FEB138A"/>
    <w:rsid w:val="70254122"/>
    <w:rsid w:val="70441C0F"/>
    <w:rsid w:val="70524C09"/>
    <w:rsid w:val="706D083E"/>
    <w:rsid w:val="7094628A"/>
    <w:rsid w:val="70994C18"/>
    <w:rsid w:val="70AB7874"/>
    <w:rsid w:val="70B8322B"/>
    <w:rsid w:val="70EE7819"/>
    <w:rsid w:val="70F848E4"/>
    <w:rsid w:val="70FD7F62"/>
    <w:rsid w:val="71061D22"/>
    <w:rsid w:val="711F1E07"/>
    <w:rsid w:val="71346E86"/>
    <w:rsid w:val="7150119D"/>
    <w:rsid w:val="718538F0"/>
    <w:rsid w:val="718A14F4"/>
    <w:rsid w:val="71912563"/>
    <w:rsid w:val="71A766D2"/>
    <w:rsid w:val="71AE4E0C"/>
    <w:rsid w:val="71DC6050"/>
    <w:rsid w:val="71EB5C11"/>
    <w:rsid w:val="720930EC"/>
    <w:rsid w:val="720A65F0"/>
    <w:rsid w:val="7224199D"/>
    <w:rsid w:val="723825FF"/>
    <w:rsid w:val="724C103C"/>
    <w:rsid w:val="7278144F"/>
    <w:rsid w:val="727F3F0B"/>
    <w:rsid w:val="72AD4A44"/>
    <w:rsid w:val="72C13499"/>
    <w:rsid w:val="72C93C85"/>
    <w:rsid w:val="736162BE"/>
    <w:rsid w:val="73816CB2"/>
    <w:rsid w:val="73843DE0"/>
    <w:rsid w:val="739934A7"/>
    <w:rsid w:val="73B947DD"/>
    <w:rsid w:val="73E564F0"/>
    <w:rsid w:val="73FF748F"/>
    <w:rsid w:val="742348AB"/>
    <w:rsid w:val="744B2F44"/>
    <w:rsid w:val="748B11F3"/>
    <w:rsid w:val="74946A41"/>
    <w:rsid w:val="74AF1364"/>
    <w:rsid w:val="75477563"/>
    <w:rsid w:val="757851B9"/>
    <w:rsid w:val="75A409DC"/>
    <w:rsid w:val="75BA507F"/>
    <w:rsid w:val="75C53BE7"/>
    <w:rsid w:val="75D90367"/>
    <w:rsid w:val="75FE2B32"/>
    <w:rsid w:val="7607033B"/>
    <w:rsid w:val="760B1DD2"/>
    <w:rsid w:val="76276FE0"/>
    <w:rsid w:val="769C5DA0"/>
    <w:rsid w:val="76E546A4"/>
    <w:rsid w:val="76EF3789"/>
    <w:rsid w:val="76F94484"/>
    <w:rsid w:val="770355BD"/>
    <w:rsid w:val="77261677"/>
    <w:rsid w:val="7739793B"/>
    <w:rsid w:val="77501515"/>
    <w:rsid w:val="7771315E"/>
    <w:rsid w:val="778610E0"/>
    <w:rsid w:val="7880143C"/>
    <w:rsid w:val="78933F53"/>
    <w:rsid w:val="789A36A2"/>
    <w:rsid w:val="78B005C9"/>
    <w:rsid w:val="78D015CC"/>
    <w:rsid w:val="78E41666"/>
    <w:rsid w:val="79015D88"/>
    <w:rsid w:val="7927688B"/>
    <w:rsid w:val="79603860"/>
    <w:rsid w:val="79995536"/>
    <w:rsid w:val="79EE103D"/>
    <w:rsid w:val="79F241F3"/>
    <w:rsid w:val="7A0D2B67"/>
    <w:rsid w:val="7A7B0E2A"/>
    <w:rsid w:val="7AC2149B"/>
    <w:rsid w:val="7ADE6FD5"/>
    <w:rsid w:val="7AF54306"/>
    <w:rsid w:val="7AF911F9"/>
    <w:rsid w:val="7B0B1C4E"/>
    <w:rsid w:val="7B375F65"/>
    <w:rsid w:val="7B503344"/>
    <w:rsid w:val="7B5E11F8"/>
    <w:rsid w:val="7B8C5D86"/>
    <w:rsid w:val="7BAD3157"/>
    <w:rsid w:val="7C207756"/>
    <w:rsid w:val="7C23083F"/>
    <w:rsid w:val="7C4F6725"/>
    <w:rsid w:val="7C567566"/>
    <w:rsid w:val="7C714DA0"/>
    <w:rsid w:val="7C8520A8"/>
    <w:rsid w:val="7CC04988"/>
    <w:rsid w:val="7CC51DFC"/>
    <w:rsid w:val="7CD975F7"/>
    <w:rsid w:val="7CE008BA"/>
    <w:rsid w:val="7CF759FD"/>
    <w:rsid w:val="7D43500E"/>
    <w:rsid w:val="7D6F5B00"/>
    <w:rsid w:val="7D7322AC"/>
    <w:rsid w:val="7D767EE1"/>
    <w:rsid w:val="7D7D4268"/>
    <w:rsid w:val="7D8D35C0"/>
    <w:rsid w:val="7DA06C6B"/>
    <w:rsid w:val="7DA108D5"/>
    <w:rsid w:val="7DA1385F"/>
    <w:rsid w:val="7DA52E0C"/>
    <w:rsid w:val="7DED6275"/>
    <w:rsid w:val="7E0F214F"/>
    <w:rsid w:val="7E262E46"/>
    <w:rsid w:val="7E4852D4"/>
    <w:rsid w:val="7E485E1D"/>
    <w:rsid w:val="7E7C19BE"/>
    <w:rsid w:val="7ED62C84"/>
    <w:rsid w:val="7EF001BF"/>
    <w:rsid w:val="7EF663D7"/>
    <w:rsid w:val="7EF956C5"/>
    <w:rsid w:val="7F113539"/>
    <w:rsid w:val="7F210855"/>
    <w:rsid w:val="7F445CBA"/>
    <w:rsid w:val="7F774D4F"/>
    <w:rsid w:val="7F8270E2"/>
    <w:rsid w:val="7FB8743A"/>
    <w:rsid w:val="7FDE4A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iPriority="99" w:name="toc 2" w:locked="1"/>
    <w:lsdException w:uiPriority="39" w:name="toc 3" w:locked="1"/>
    <w:lsdException w:qFormat="1" w:unhideWhenUsed="0" w:uiPriority="0" w:semiHidden="0"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6"/>
    <w:qFormat/>
    <w:uiPriority w:val="99"/>
    <w:pPr>
      <w:keepNext/>
      <w:keepLines/>
      <w:spacing w:before="340" w:after="330" w:line="578" w:lineRule="auto"/>
      <w:outlineLvl w:val="0"/>
    </w:pPr>
    <w:rPr>
      <w:b/>
      <w:kern w:val="44"/>
      <w:sz w:val="44"/>
      <w:szCs w:val="20"/>
    </w:rPr>
  </w:style>
  <w:style w:type="paragraph" w:styleId="4">
    <w:name w:val="heading 2"/>
    <w:basedOn w:val="1"/>
    <w:next w:val="1"/>
    <w:link w:val="282"/>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61"/>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7"/>
    <w:link w:val="62"/>
    <w:qFormat/>
    <w:uiPriority w:val="99"/>
    <w:pPr>
      <w:keepNext/>
      <w:keepLines/>
      <w:spacing w:before="280" w:after="290" w:line="376" w:lineRule="auto"/>
      <w:outlineLvl w:val="3"/>
    </w:pPr>
    <w:rPr>
      <w:rFonts w:ascii="Arial" w:hAnsi="Arial" w:eastAsia="黑体"/>
      <w:b/>
      <w:sz w:val="28"/>
      <w:szCs w:val="20"/>
    </w:rPr>
  </w:style>
  <w:style w:type="paragraph" w:styleId="9">
    <w:name w:val="heading 5"/>
    <w:basedOn w:val="1"/>
    <w:next w:val="1"/>
    <w:link w:val="63"/>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64"/>
    <w:qFormat/>
    <w:uiPriority w:val="99"/>
    <w:pPr>
      <w:keepNext/>
      <w:keepLines/>
      <w:spacing w:before="240" w:after="64" w:line="320" w:lineRule="auto"/>
      <w:outlineLvl w:val="5"/>
    </w:pPr>
    <w:rPr>
      <w:rFonts w:ascii="Cambria" w:hAnsi="Cambria"/>
      <w:b/>
      <w:bCs/>
      <w:kern w:val="0"/>
      <w:sz w:val="24"/>
    </w:rPr>
  </w:style>
  <w:style w:type="paragraph" w:styleId="11">
    <w:name w:val="heading 7"/>
    <w:basedOn w:val="1"/>
    <w:next w:val="1"/>
    <w:link w:val="65"/>
    <w:qFormat/>
    <w:uiPriority w:val="99"/>
    <w:pPr>
      <w:keepNext/>
      <w:keepLines/>
      <w:adjustRightInd w:val="0"/>
      <w:spacing w:before="240" w:after="64" w:line="320" w:lineRule="atLeast"/>
      <w:textAlignment w:val="baseline"/>
      <w:outlineLvl w:val="6"/>
    </w:pPr>
    <w:rPr>
      <w:b/>
      <w:bCs/>
      <w:kern w:val="0"/>
      <w:sz w:val="24"/>
    </w:rPr>
  </w:style>
  <w:style w:type="paragraph" w:styleId="12">
    <w:name w:val="heading 8"/>
    <w:basedOn w:val="1"/>
    <w:next w:val="1"/>
    <w:link w:val="66"/>
    <w:qFormat/>
    <w:uiPriority w:val="99"/>
    <w:pPr>
      <w:keepNext/>
      <w:keepLines/>
      <w:adjustRightInd w:val="0"/>
      <w:spacing w:before="240" w:after="64" w:line="320" w:lineRule="atLeast"/>
      <w:textAlignment w:val="baseline"/>
      <w:outlineLvl w:val="7"/>
    </w:pPr>
    <w:rPr>
      <w:rFonts w:ascii="Cambria" w:hAnsi="Cambria"/>
      <w:kern w:val="0"/>
      <w:sz w:val="24"/>
    </w:rPr>
  </w:style>
  <w:style w:type="paragraph" w:styleId="13">
    <w:name w:val="heading 9"/>
    <w:basedOn w:val="1"/>
    <w:next w:val="1"/>
    <w:link w:val="67"/>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locked/>
    <w:uiPriority w:val="0"/>
    <w:pPr>
      <w:spacing w:before="120"/>
    </w:pPr>
    <w:rPr>
      <w:rFonts w:ascii="Arial" w:hAnsi="Arial"/>
      <w:sz w:val="24"/>
    </w:rPr>
  </w:style>
  <w:style w:type="paragraph" w:styleId="7">
    <w:name w:val="Normal Indent"/>
    <w:basedOn w:val="1"/>
    <w:next w:val="8"/>
    <w:link w:val="100"/>
    <w:qFormat/>
    <w:uiPriority w:val="99"/>
    <w:pPr>
      <w:ind w:firstLine="420"/>
    </w:pPr>
    <w:rPr>
      <w:szCs w:val="20"/>
    </w:rPr>
  </w:style>
  <w:style w:type="paragraph" w:styleId="8">
    <w:name w:val="Body Text Indent"/>
    <w:basedOn w:val="1"/>
    <w:next w:val="7"/>
    <w:link w:val="68"/>
    <w:qFormat/>
    <w:uiPriority w:val="99"/>
    <w:pPr>
      <w:spacing w:line="200" w:lineRule="exact"/>
      <w:ind w:firstLine="301"/>
    </w:pPr>
    <w:rPr>
      <w:rFonts w:ascii="宋体" w:hAnsi="Courier New"/>
      <w:spacing w:val="-4"/>
      <w:sz w:val="18"/>
      <w:szCs w:val="20"/>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0"/>
    </w:rPr>
  </w:style>
  <w:style w:type="paragraph" w:styleId="15">
    <w:name w:val="Body Text"/>
    <w:basedOn w:val="1"/>
    <w:next w:val="16"/>
    <w:link w:val="71"/>
    <w:qFormat/>
    <w:uiPriority w:val="0"/>
    <w:pPr>
      <w:spacing w:after="120"/>
    </w:pPr>
    <w:rPr>
      <w:sz w:val="24"/>
      <w:szCs w:val="20"/>
    </w:rPr>
  </w:style>
  <w:style w:type="paragraph" w:styleId="16">
    <w:name w:val="Body Text First Indent"/>
    <w:basedOn w:val="15"/>
    <w:next w:val="17"/>
    <w:link w:val="72"/>
    <w:qFormat/>
    <w:uiPriority w:val="99"/>
    <w:pPr>
      <w:spacing w:line="360" w:lineRule="auto"/>
      <w:ind w:firstLine="200" w:firstLineChars="200"/>
      <w:jc w:val="left"/>
    </w:pPr>
  </w:style>
  <w:style w:type="paragraph" w:styleId="17">
    <w:name w:val="toc 6"/>
    <w:basedOn w:val="1"/>
    <w:next w:val="1"/>
    <w:unhideWhenUsed/>
    <w:qFormat/>
    <w:locked/>
    <w:uiPriority w:val="39"/>
    <w:pPr>
      <w:ind w:left="2100" w:leftChars="1000"/>
    </w:p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73"/>
    <w:semiHidden/>
    <w:qFormat/>
    <w:uiPriority w:val="99"/>
    <w:pPr>
      <w:shd w:val="clear" w:color="auto" w:fill="000080"/>
    </w:pPr>
    <w:rPr>
      <w:sz w:val="24"/>
    </w:rPr>
  </w:style>
  <w:style w:type="paragraph" w:styleId="21">
    <w:name w:val="annotation text"/>
    <w:basedOn w:val="1"/>
    <w:link w:val="69"/>
    <w:semiHidden/>
    <w:qFormat/>
    <w:uiPriority w:val="99"/>
    <w:pPr>
      <w:jc w:val="left"/>
    </w:pPr>
    <w:rPr>
      <w:sz w:val="24"/>
      <w:szCs w:val="20"/>
    </w:rPr>
  </w:style>
  <w:style w:type="paragraph" w:styleId="22">
    <w:name w:val="Salutation"/>
    <w:basedOn w:val="1"/>
    <w:next w:val="1"/>
    <w:link w:val="74"/>
    <w:qFormat/>
    <w:uiPriority w:val="99"/>
    <w:rPr>
      <w:kern w:val="0"/>
      <w:sz w:val="24"/>
    </w:rPr>
  </w:style>
  <w:style w:type="paragraph" w:styleId="23">
    <w:name w:val="Body Text 3"/>
    <w:basedOn w:val="1"/>
    <w:link w:val="75"/>
    <w:qFormat/>
    <w:uiPriority w:val="99"/>
    <w:pPr>
      <w:snapToGrid w:val="0"/>
      <w:spacing w:before="50" w:after="50"/>
    </w:pPr>
    <w:rPr>
      <w:kern w:val="0"/>
      <w:sz w:val="16"/>
      <w:szCs w:val="16"/>
    </w:rPr>
  </w:style>
  <w:style w:type="paragraph" w:styleId="24">
    <w:name w:val="List Number 3"/>
    <w:basedOn w:val="1"/>
    <w:qFormat/>
    <w:uiPriority w:val="99"/>
    <w:pPr>
      <w:tabs>
        <w:tab w:val="left" w:pos="1200"/>
      </w:tabs>
      <w:ind w:left="1200" w:leftChars="400" w:hanging="360" w:hangingChars="200"/>
    </w:pPr>
  </w:style>
  <w:style w:type="paragraph" w:styleId="25">
    <w:name w:val="List 2"/>
    <w:basedOn w:val="1"/>
    <w:qFormat/>
    <w:uiPriority w:val="99"/>
    <w:pPr>
      <w:ind w:left="100" w:leftChars="200" w:hanging="200" w:hangingChars="200"/>
    </w:pPr>
    <w:rPr>
      <w:sz w:val="28"/>
    </w:rPr>
  </w:style>
  <w:style w:type="paragraph" w:styleId="26">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7">
    <w:name w:val="Plain Text"/>
    <w:basedOn w:val="1"/>
    <w:next w:val="1"/>
    <w:link w:val="76"/>
    <w:qFormat/>
    <w:uiPriority w:val="0"/>
    <w:pPr>
      <w:spacing w:beforeLines="50" w:afterLines="50" w:line="400" w:lineRule="exact"/>
    </w:pPr>
    <w:rPr>
      <w:rFonts w:ascii="宋体" w:hAnsi="Courier New"/>
      <w:sz w:val="24"/>
      <w:szCs w:val="20"/>
    </w:rPr>
  </w:style>
  <w:style w:type="paragraph" w:styleId="28">
    <w:name w:val="Date"/>
    <w:basedOn w:val="1"/>
    <w:next w:val="1"/>
    <w:link w:val="77"/>
    <w:qFormat/>
    <w:uiPriority w:val="99"/>
    <w:pPr>
      <w:ind w:left="2500" w:leftChars="2500"/>
    </w:pPr>
    <w:rPr>
      <w:kern w:val="0"/>
      <w:sz w:val="24"/>
    </w:rPr>
  </w:style>
  <w:style w:type="paragraph" w:styleId="29">
    <w:name w:val="Body Text Indent 2"/>
    <w:basedOn w:val="1"/>
    <w:link w:val="78"/>
    <w:qFormat/>
    <w:uiPriority w:val="0"/>
    <w:pPr>
      <w:snapToGrid w:val="0"/>
      <w:ind w:firstLine="542" w:firstLineChars="225"/>
    </w:pPr>
    <w:rPr>
      <w:rFonts w:ascii="仿宋_GB2312" w:hAnsi="宋体"/>
      <w:b/>
      <w:color w:val="000000"/>
      <w:sz w:val="24"/>
      <w:szCs w:val="20"/>
    </w:rPr>
  </w:style>
  <w:style w:type="paragraph" w:styleId="30">
    <w:name w:val="endnote text"/>
    <w:basedOn w:val="1"/>
    <w:link w:val="79"/>
    <w:semiHidden/>
    <w:qFormat/>
    <w:uiPriority w:val="99"/>
    <w:pPr>
      <w:snapToGrid w:val="0"/>
      <w:spacing w:afterLines="50"/>
      <w:jc w:val="left"/>
    </w:pPr>
    <w:rPr>
      <w:kern w:val="0"/>
      <w:sz w:val="24"/>
    </w:rPr>
  </w:style>
  <w:style w:type="paragraph" w:styleId="31">
    <w:name w:val="Balloon Text"/>
    <w:basedOn w:val="1"/>
    <w:link w:val="80"/>
    <w:semiHidden/>
    <w:qFormat/>
    <w:uiPriority w:val="99"/>
    <w:rPr>
      <w:sz w:val="18"/>
      <w:szCs w:val="18"/>
    </w:rPr>
  </w:style>
  <w:style w:type="paragraph" w:styleId="32">
    <w:name w:val="footer"/>
    <w:basedOn w:val="1"/>
    <w:link w:val="81"/>
    <w:qFormat/>
    <w:uiPriority w:val="99"/>
    <w:pPr>
      <w:tabs>
        <w:tab w:val="center" w:pos="4153"/>
        <w:tab w:val="right" w:pos="8306"/>
      </w:tabs>
      <w:snapToGrid w:val="0"/>
      <w:jc w:val="left"/>
    </w:pPr>
    <w:rPr>
      <w:rFonts w:eastAsia="黑体"/>
      <w:snapToGrid w:val="0"/>
      <w:kern w:val="0"/>
      <w:sz w:val="18"/>
      <w:szCs w:val="20"/>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semiHidden/>
    <w:qFormat/>
    <w:uiPriority w:val="99"/>
  </w:style>
  <w:style w:type="paragraph" w:styleId="35">
    <w:name w:val="toc 4"/>
    <w:basedOn w:val="1"/>
    <w:next w:val="1"/>
    <w:qFormat/>
    <w:locked/>
    <w:uiPriority w:val="0"/>
    <w:pPr>
      <w:ind w:left="630"/>
      <w:jc w:val="left"/>
    </w:pPr>
    <w:rPr>
      <w:sz w:val="18"/>
      <w:szCs w:val="18"/>
    </w:rPr>
  </w:style>
  <w:style w:type="paragraph" w:styleId="36">
    <w:name w:val="Subtitle"/>
    <w:basedOn w:val="1"/>
    <w:link w:val="83"/>
    <w:qFormat/>
    <w:uiPriority w:val="99"/>
    <w:pPr>
      <w:spacing w:afterLines="50"/>
      <w:jc w:val="center"/>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Body Text Indent 3"/>
    <w:basedOn w:val="1"/>
    <w:next w:val="1"/>
    <w:link w:val="84"/>
    <w:qFormat/>
    <w:uiPriority w:val="99"/>
    <w:pPr>
      <w:snapToGrid w:val="0"/>
      <w:ind w:firstLine="480" w:firstLineChars="200"/>
      <w:jc w:val="left"/>
    </w:pPr>
    <w:rPr>
      <w:rFonts w:ascii="仿宋_GB2312" w:hAnsi="宋体" w:eastAsia="仿宋_GB2312"/>
      <w:color w:val="000000"/>
      <w:sz w:val="24"/>
      <w:szCs w:val="20"/>
    </w:rPr>
  </w:style>
  <w:style w:type="paragraph" w:styleId="39">
    <w:name w:val="toc 2"/>
    <w:basedOn w:val="1"/>
    <w:next w:val="1"/>
    <w:semiHidden/>
    <w:unhideWhenUsed/>
    <w:qFormat/>
    <w:locked/>
    <w:uiPriority w:val="99"/>
    <w:pPr>
      <w:ind w:left="200" w:leftChars="200"/>
    </w:pPr>
    <w:rPr>
      <w:szCs w:val="20"/>
    </w:rPr>
  </w:style>
  <w:style w:type="paragraph" w:styleId="40">
    <w:name w:val="Body Text 2"/>
    <w:basedOn w:val="1"/>
    <w:link w:val="85"/>
    <w:qFormat/>
    <w:uiPriority w:val="99"/>
    <w:pPr>
      <w:widowControl/>
      <w:snapToGrid w:val="0"/>
      <w:spacing w:before="50" w:afterLines="50" w:line="400" w:lineRule="exact"/>
      <w:jc w:val="left"/>
    </w:pPr>
    <w:rPr>
      <w:kern w:val="0"/>
      <w:sz w:val="24"/>
    </w:rPr>
  </w:style>
  <w:style w:type="paragraph" w:styleId="41">
    <w:name w:val="HTML Preformatted"/>
    <w:basedOn w:val="1"/>
    <w:link w:val="86"/>
    <w:qFormat/>
    <w:uiPriority w:val="99"/>
    <w:rPr>
      <w:rFonts w:ascii="Courier New" w:hAnsi="Courier New"/>
      <w:kern w:val="0"/>
      <w:sz w:val="20"/>
      <w:szCs w:val="20"/>
    </w:rPr>
  </w:style>
  <w:style w:type="paragraph" w:styleId="42">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3">
    <w:name w:val="Title"/>
    <w:basedOn w:val="1"/>
    <w:link w:val="87"/>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4">
    <w:name w:val="annotation subject"/>
    <w:basedOn w:val="21"/>
    <w:next w:val="21"/>
    <w:link w:val="70"/>
    <w:semiHidden/>
    <w:qFormat/>
    <w:uiPriority w:val="99"/>
    <w:rPr>
      <w:b/>
      <w:bCs/>
    </w:rPr>
  </w:style>
  <w:style w:type="paragraph" w:styleId="45">
    <w:name w:val="Body Text First Indent 2"/>
    <w:basedOn w:val="8"/>
    <w:next w:val="46"/>
    <w:qFormat/>
    <w:locked/>
    <w:uiPriority w:val="0"/>
    <w:pPr>
      <w:ind w:firstLine="420" w:firstLineChars="200"/>
    </w:pPr>
  </w:style>
  <w:style w:type="paragraph" w:customStyle="1" w:styleId="4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rFonts w:cs="Times New Roman"/>
      <w:b/>
    </w:rPr>
  </w:style>
  <w:style w:type="character" w:styleId="51">
    <w:name w:val="page number"/>
    <w:basedOn w:val="49"/>
    <w:qFormat/>
    <w:uiPriority w:val="0"/>
    <w:rPr>
      <w:rFonts w:cs="Times New Roman"/>
    </w:rPr>
  </w:style>
  <w:style w:type="character" w:styleId="52">
    <w:name w:val="FollowedHyperlink"/>
    <w:qFormat/>
    <w:uiPriority w:val="99"/>
    <w:rPr>
      <w:rFonts w:cs="Times New Roman"/>
      <w:color w:val="800080"/>
      <w:u w:val="single"/>
    </w:rPr>
  </w:style>
  <w:style w:type="character" w:styleId="53">
    <w:name w:val="Emphasis"/>
    <w:basedOn w:val="49"/>
    <w:qFormat/>
    <w:locked/>
    <w:uiPriority w:val="99"/>
    <w:rPr>
      <w:i/>
      <w:iCs/>
    </w:rPr>
  </w:style>
  <w:style w:type="character" w:styleId="54">
    <w:name w:val="Hyperlink"/>
    <w:basedOn w:val="49"/>
    <w:qFormat/>
    <w:uiPriority w:val="99"/>
    <w:rPr>
      <w:rFonts w:cs="Times New Roman"/>
      <w:color w:val="0000FF"/>
      <w:u w:val="single"/>
    </w:rPr>
  </w:style>
  <w:style w:type="character" w:styleId="55">
    <w:name w:val="annotation reference"/>
    <w:qFormat/>
    <w:uiPriority w:val="99"/>
    <w:rPr>
      <w:rFonts w:cs="Times New Roman"/>
      <w:sz w:val="21"/>
    </w:rPr>
  </w:style>
  <w:style w:type="character" w:styleId="56">
    <w:name w:val="HTML Sample"/>
    <w:basedOn w:val="49"/>
    <w:semiHidden/>
    <w:unhideWhenUsed/>
    <w:qFormat/>
    <w:locked/>
    <w:uiPriority w:val="99"/>
    <w:rPr>
      <w:rFonts w:ascii="Courier New" w:hAnsi="Courier New"/>
    </w:rPr>
  </w:style>
  <w:style w:type="paragraph" w:customStyle="1" w:styleId="57">
    <w:name w:val="章正文"/>
    <w:basedOn w:val="1"/>
    <w:qFormat/>
    <w:uiPriority w:val="99"/>
    <w:pPr>
      <w:spacing w:beforeLines="50" w:after="120" w:line="300" w:lineRule="auto"/>
      <w:ind w:firstLine="480"/>
    </w:pPr>
    <w:rPr>
      <w:rFonts w:ascii="Helvetica" w:hAnsi="Helvetica"/>
      <w:kern w:val="0"/>
      <w:sz w:val="24"/>
    </w:rPr>
  </w:style>
  <w:style w:type="paragraph" w:customStyle="1" w:styleId="5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9">
    <w:name w:val="Heading 1 Char"/>
    <w:qFormat/>
    <w:locked/>
    <w:uiPriority w:val="99"/>
    <w:rPr>
      <w:rFonts w:cs="Times New Roman"/>
      <w:b/>
      <w:kern w:val="44"/>
      <w:sz w:val="44"/>
    </w:rPr>
  </w:style>
  <w:style w:type="character" w:customStyle="1" w:styleId="60">
    <w:name w:val="标题 2 Char"/>
    <w:qFormat/>
    <w:locked/>
    <w:uiPriority w:val="99"/>
    <w:rPr>
      <w:rFonts w:ascii="Arial" w:hAnsi="Arial" w:eastAsia="黑体" w:cs="Times New Roman"/>
      <w:b/>
      <w:kern w:val="2"/>
      <w:sz w:val="32"/>
      <w:lang w:val="en-US" w:eastAsia="zh-CN"/>
    </w:rPr>
  </w:style>
  <w:style w:type="character" w:customStyle="1" w:styleId="61">
    <w:name w:val="标题 3 Char1"/>
    <w:link w:val="5"/>
    <w:qFormat/>
    <w:locked/>
    <w:uiPriority w:val="99"/>
    <w:rPr>
      <w:rFonts w:ascii="宋体" w:eastAsia="宋体" w:cs="Times New Roman"/>
      <w:b/>
      <w:sz w:val="24"/>
      <w:u w:val="single"/>
      <w:lang w:val="en-US" w:eastAsia="zh-CN"/>
    </w:rPr>
  </w:style>
  <w:style w:type="character" w:customStyle="1" w:styleId="62">
    <w:name w:val="标题 4 Char"/>
    <w:link w:val="6"/>
    <w:qFormat/>
    <w:locked/>
    <w:uiPriority w:val="99"/>
    <w:rPr>
      <w:rFonts w:ascii="Arial" w:hAnsi="Arial" w:eastAsia="黑体" w:cs="Times New Roman"/>
      <w:b/>
      <w:kern w:val="2"/>
      <w:sz w:val="28"/>
      <w:lang w:val="en-US" w:eastAsia="zh-CN"/>
    </w:rPr>
  </w:style>
  <w:style w:type="character" w:customStyle="1" w:styleId="63">
    <w:name w:val="标题 5 Char"/>
    <w:link w:val="9"/>
    <w:semiHidden/>
    <w:qFormat/>
    <w:locked/>
    <w:uiPriority w:val="99"/>
    <w:rPr>
      <w:rFonts w:cs="Times New Roman"/>
      <w:b/>
      <w:bCs/>
      <w:sz w:val="28"/>
      <w:szCs w:val="28"/>
    </w:rPr>
  </w:style>
  <w:style w:type="character" w:customStyle="1" w:styleId="64">
    <w:name w:val="标题 6 Char"/>
    <w:link w:val="10"/>
    <w:semiHidden/>
    <w:qFormat/>
    <w:locked/>
    <w:uiPriority w:val="99"/>
    <w:rPr>
      <w:rFonts w:ascii="Cambria" w:hAnsi="Cambria" w:eastAsia="宋体" w:cs="Times New Roman"/>
      <w:b/>
      <w:bCs/>
      <w:sz w:val="24"/>
      <w:szCs w:val="24"/>
    </w:rPr>
  </w:style>
  <w:style w:type="character" w:customStyle="1" w:styleId="65">
    <w:name w:val="标题 7 Char"/>
    <w:link w:val="11"/>
    <w:semiHidden/>
    <w:qFormat/>
    <w:locked/>
    <w:uiPriority w:val="99"/>
    <w:rPr>
      <w:rFonts w:cs="Times New Roman"/>
      <w:b/>
      <w:bCs/>
      <w:sz w:val="24"/>
      <w:szCs w:val="24"/>
    </w:rPr>
  </w:style>
  <w:style w:type="character" w:customStyle="1" w:styleId="66">
    <w:name w:val="标题 8 Char"/>
    <w:link w:val="12"/>
    <w:semiHidden/>
    <w:qFormat/>
    <w:locked/>
    <w:uiPriority w:val="99"/>
    <w:rPr>
      <w:rFonts w:ascii="Cambria" w:hAnsi="Cambria" w:eastAsia="宋体" w:cs="Times New Roman"/>
      <w:sz w:val="24"/>
      <w:szCs w:val="24"/>
    </w:rPr>
  </w:style>
  <w:style w:type="character" w:customStyle="1" w:styleId="67">
    <w:name w:val="标题 9 Char"/>
    <w:link w:val="13"/>
    <w:semiHidden/>
    <w:qFormat/>
    <w:locked/>
    <w:uiPriority w:val="99"/>
    <w:rPr>
      <w:rFonts w:ascii="Cambria" w:hAnsi="Cambria" w:eastAsia="宋体" w:cs="Times New Roman"/>
      <w:sz w:val="21"/>
      <w:szCs w:val="21"/>
    </w:rPr>
  </w:style>
  <w:style w:type="character" w:customStyle="1" w:styleId="68">
    <w:name w:val="正文文本缩进 Char"/>
    <w:link w:val="8"/>
    <w:qFormat/>
    <w:locked/>
    <w:uiPriority w:val="99"/>
    <w:rPr>
      <w:rFonts w:ascii="宋体" w:hAnsi="Courier New" w:cs="Times New Roman"/>
      <w:spacing w:val="-4"/>
      <w:kern w:val="2"/>
      <w:sz w:val="18"/>
    </w:rPr>
  </w:style>
  <w:style w:type="character" w:customStyle="1" w:styleId="69">
    <w:name w:val="批注文字 Char"/>
    <w:link w:val="21"/>
    <w:qFormat/>
    <w:locked/>
    <w:uiPriority w:val="99"/>
    <w:rPr>
      <w:rFonts w:eastAsia="宋体" w:cs="Times New Roman"/>
      <w:kern w:val="2"/>
      <w:sz w:val="24"/>
      <w:lang w:val="en-US" w:eastAsia="zh-CN"/>
    </w:rPr>
  </w:style>
  <w:style w:type="character" w:customStyle="1" w:styleId="70">
    <w:name w:val="批注主题 Char"/>
    <w:link w:val="44"/>
    <w:semiHidden/>
    <w:qFormat/>
    <w:locked/>
    <w:uiPriority w:val="99"/>
    <w:rPr>
      <w:rFonts w:eastAsia="宋体" w:cs="Times New Roman"/>
      <w:b/>
      <w:bCs/>
      <w:kern w:val="2"/>
      <w:sz w:val="24"/>
      <w:szCs w:val="24"/>
      <w:lang w:val="en-US" w:eastAsia="zh-CN"/>
    </w:rPr>
  </w:style>
  <w:style w:type="character" w:customStyle="1" w:styleId="71">
    <w:name w:val="正文文本 Char"/>
    <w:link w:val="15"/>
    <w:qFormat/>
    <w:locked/>
    <w:uiPriority w:val="0"/>
    <w:rPr>
      <w:rFonts w:eastAsia="宋体" w:cs="Times New Roman"/>
      <w:kern w:val="2"/>
      <w:sz w:val="24"/>
      <w:lang w:val="en-US" w:eastAsia="zh-CN"/>
    </w:rPr>
  </w:style>
  <w:style w:type="character" w:customStyle="1" w:styleId="72">
    <w:name w:val="正文首行缩进 Char"/>
    <w:link w:val="16"/>
    <w:semiHidden/>
    <w:qFormat/>
    <w:locked/>
    <w:uiPriority w:val="99"/>
    <w:rPr>
      <w:rFonts w:eastAsia="宋体" w:cs="Times New Roman"/>
      <w:kern w:val="2"/>
      <w:sz w:val="24"/>
      <w:szCs w:val="24"/>
      <w:lang w:val="en-US" w:eastAsia="zh-CN"/>
    </w:rPr>
  </w:style>
  <w:style w:type="character" w:customStyle="1" w:styleId="73">
    <w:name w:val="文档结构图 Char"/>
    <w:link w:val="20"/>
    <w:qFormat/>
    <w:locked/>
    <w:uiPriority w:val="99"/>
    <w:rPr>
      <w:rFonts w:eastAsia="宋体" w:cs="Times New Roman"/>
      <w:kern w:val="2"/>
      <w:sz w:val="24"/>
      <w:szCs w:val="24"/>
      <w:lang w:val="en-US" w:eastAsia="zh-CN" w:bidi="ar-SA"/>
    </w:rPr>
  </w:style>
  <w:style w:type="character" w:customStyle="1" w:styleId="74">
    <w:name w:val="称呼 Char"/>
    <w:link w:val="22"/>
    <w:semiHidden/>
    <w:qFormat/>
    <w:locked/>
    <w:uiPriority w:val="99"/>
    <w:rPr>
      <w:rFonts w:cs="Times New Roman"/>
      <w:sz w:val="24"/>
      <w:szCs w:val="24"/>
    </w:rPr>
  </w:style>
  <w:style w:type="character" w:customStyle="1" w:styleId="75">
    <w:name w:val="正文文本 3 Char"/>
    <w:link w:val="23"/>
    <w:semiHidden/>
    <w:qFormat/>
    <w:locked/>
    <w:uiPriority w:val="99"/>
    <w:rPr>
      <w:rFonts w:cs="Times New Roman"/>
      <w:sz w:val="16"/>
      <w:szCs w:val="16"/>
    </w:rPr>
  </w:style>
  <w:style w:type="character" w:customStyle="1" w:styleId="76">
    <w:name w:val="纯文本 Char"/>
    <w:link w:val="27"/>
    <w:qFormat/>
    <w:locked/>
    <w:uiPriority w:val="0"/>
    <w:rPr>
      <w:rFonts w:ascii="宋体" w:hAnsi="Courier New" w:eastAsia="宋体" w:cs="Times New Roman"/>
      <w:kern w:val="2"/>
      <w:sz w:val="24"/>
      <w:lang w:val="en-US" w:eastAsia="zh-CN"/>
    </w:rPr>
  </w:style>
  <w:style w:type="character" w:customStyle="1" w:styleId="77">
    <w:name w:val="日期 Char"/>
    <w:link w:val="28"/>
    <w:semiHidden/>
    <w:qFormat/>
    <w:locked/>
    <w:uiPriority w:val="99"/>
    <w:rPr>
      <w:rFonts w:cs="Times New Roman"/>
      <w:sz w:val="24"/>
      <w:szCs w:val="24"/>
    </w:rPr>
  </w:style>
  <w:style w:type="character" w:customStyle="1" w:styleId="78">
    <w:name w:val="正文文本缩进 2 Char"/>
    <w:link w:val="29"/>
    <w:qFormat/>
    <w:locked/>
    <w:uiPriority w:val="0"/>
    <w:rPr>
      <w:rFonts w:ascii="仿宋_GB2312" w:hAnsi="宋体" w:eastAsia="宋体" w:cs="Times New Roman"/>
      <w:b/>
      <w:color w:val="000000"/>
      <w:kern w:val="2"/>
      <w:sz w:val="24"/>
      <w:lang w:val="en-US" w:eastAsia="zh-CN"/>
    </w:rPr>
  </w:style>
  <w:style w:type="character" w:customStyle="1" w:styleId="79">
    <w:name w:val="尾注文本 Char"/>
    <w:link w:val="30"/>
    <w:semiHidden/>
    <w:qFormat/>
    <w:locked/>
    <w:uiPriority w:val="99"/>
    <w:rPr>
      <w:rFonts w:cs="Times New Roman"/>
      <w:sz w:val="24"/>
      <w:szCs w:val="24"/>
    </w:rPr>
  </w:style>
  <w:style w:type="character" w:customStyle="1" w:styleId="80">
    <w:name w:val="批注框文本 Char"/>
    <w:link w:val="31"/>
    <w:qFormat/>
    <w:locked/>
    <w:uiPriority w:val="99"/>
    <w:rPr>
      <w:rFonts w:eastAsia="宋体" w:cs="Times New Roman"/>
      <w:kern w:val="2"/>
      <w:sz w:val="18"/>
      <w:szCs w:val="18"/>
      <w:lang w:val="en-US" w:eastAsia="zh-CN" w:bidi="ar-SA"/>
    </w:rPr>
  </w:style>
  <w:style w:type="character" w:customStyle="1" w:styleId="81">
    <w:name w:val="页脚 Char"/>
    <w:link w:val="32"/>
    <w:qFormat/>
    <w:locked/>
    <w:uiPriority w:val="99"/>
    <w:rPr>
      <w:rFonts w:eastAsia="黑体" w:cs="Times New Roman"/>
      <w:snapToGrid w:val="0"/>
      <w:sz w:val="18"/>
      <w:lang w:val="en-US" w:eastAsia="zh-CN"/>
    </w:rPr>
  </w:style>
  <w:style w:type="character" w:customStyle="1" w:styleId="82">
    <w:name w:val="页眉 Char"/>
    <w:link w:val="33"/>
    <w:qFormat/>
    <w:locked/>
    <w:uiPriority w:val="99"/>
    <w:rPr>
      <w:rFonts w:eastAsia="仿宋_GB2312" w:cs="Times New Roman"/>
      <w:kern w:val="2"/>
      <w:sz w:val="18"/>
      <w:lang w:val="en-US" w:eastAsia="zh-CN"/>
    </w:rPr>
  </w:style>
  <w:style w:type="character" w:customStyle="1" w:styleId="83">
    <w:name w:val="副标题 Char"/>
    <w:link w:val="36"/>
    <w:qFormat/>
    <w:locked/>
    <w:uiPriority w:val="99"/>
    <w:rPr>
      <w:rFonts w:ascii="Cambria" w:hAnsi="Cambria" w:cs="Times New Roman"/>
      <w:b/>
      <w:bCs/>
      <w:kern w:val="28"/>
      <w:sz w:val="32"/>
      <w:szCs w:val="32"/>
    </w:rPr>
  </w:style>
  <w:style w:type="character" w:customStyle="1" w:styleId="84">
    <w:name w:val="正文文本缩进 3 Char"/>
    <w:link w:val="38"/>
    <w:qFormat/>
    <w:locked/>
    <w:uiPriority w:val="99"/>
    <w:rPr>
      <w:rFonts w:ascii="仿宋_GB2312" w:hAnsi="宋体" w:eastAsia="仿宋_GB2312" w:cs="Times New Roman"/>
      <w:color w:val="000000"/>
      <w:kern w:val="2"/>
      <w:sz w:val="24"/>
      <w:lang w:val="en-US" w:eastAsia="zh-CN"/>
    </w:rPr>
  </w:style>
  <w:style w:type="character" w:customStyle="1" w:styleId="85">
    <w:name w:val="正文文本 2 Char"/>
    <w:link w:val="40"/>
    <w:semiHidden/>
    <w:qFormat/>
    <w:locked/>
    <w:uiPriority w:val="99"/>
    <w:rPr>
      <w:rFonts w:cs="Times New Roman"/>
      <w:sz w:val="24"/>
      <w:szCs w:val="24"/>
    </w:rPr>
  </w:style>
  <w:style w:type="character" w:customStyle="1" w:styleId="86">
    <w:name w:val="HTML 预设格式 Char"/>
    <w:link w:val="41"/>
    <w:semiHidden/>
    <w:qFormat/>
    <w:locked/>
    <w:uiPriority w:val="99"/>
    <w:rPr>
      <w:rFonts w:ascii="Courier New" w:hAnsi="Courier New" w:cs="Courier New"/>
      <w:sz w:val="20"/>
      <w:szCs w:val="20"/>
    </w:rPr>
  </w:style>
  <w:style w:type="character" w:customStyle="1" w:styleId="87">
    <w:name w:val="标题 Char"/>
    <w:link w:val="43"/>
    <w:qFormat/>
    <w:locked/>
    <w:uiPriority w:val="99"/>
    <w:rPr>
      <w:rFonts w:ascii="Cambria" w:hAnsi="Cambria" w:cs="Times New Roman"/>
      <w:b/>
      <w:bCs/>
      <w:sz w:val="32"/>
      <w:szCs w:val="32"/>
    </w:rPr>
  </w:style>
  <w:style w:type="character" w:customStyle="1" w:styleId="88">
    <w:name w:val="tw4winInternal"/>
    <w:qFormat/>
    <w:uiPriority w:val="99"/>
    <w:rPr>
      <w:rFonts w:ascii="Courier New" w:hAnsi="Courier New"/>
      <w:color w:val="FF0000"/>
    </w:rPr>
  </w:style>
  <w:style w:type="character" w:customStyle="1" w:styleId="89">
    <w:name w:val="Char Char3"/>
    <w:qFormat/>
    <w:uiPriority w:val="99"/>
    <w:rPr>
      <w:rFonts w:ascii="仿宋_GB2312" w:hAnsi="宋体" w:eastAsia="仿宋_GB2312"/>
      <w:color w:val="000000"/>
      <w:sz w:val="24"/>
    </w:rPr>
  </w:style>
  <w:style w:type="character" w:customStyle="1" w:styleId="90">
    <w:name w:val="标题 1 Char Char"/>
    <w:qFormat/>
    <w:uiPriority w:val="99"/>
    <w:rPr>
      <w:rFonts w:eastAsia="宋体"/>
      <w:b/>
      <w:spacing w:val="-2"/>
      <w:sz w:val="24"/>
      <w:lang w:val="en-US" w:eastAsia="zh-CN"/>
    </w:rPr>
  </w:style>
  <w:style w:type="character" w:customStyle="1" w:styleId="91">
    <w:name w:val="tw4winMark"/>
    <w:qFormat/>
    <w:uiPriority w:val="99"/>
    <w:rPr>
      <w:rFonts w:ascii="Courier New" w:hAnsi="Courier New"/>
      <w:vanish/>
      <w:color w:val="800080"/>
      <w:vertAlign w:val="subscript"/>
    </w:rPr>
  </w:style>
  <w:style w:type="character" w:customStyle="1" w:styleId="92">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93">
    <w:name w:val="style11"/>
    <w:qFormat/>
    <w:uiPriority w:val="99"/>
    <w:rPr>
      <w:rFonts w:eastAsia="宋体"/>
      <w:kern w:val="2"/>
      <w:sz w:val="21"/>
      <w:lang w:val="en-US" w:eastAsia="zh-CN"/>
    </w:rPr>
  </w:style>
  <w:style w:type="character" w:customStyle="1" w:styleId="94">
    <w:name w:val="font2"/>
    <w:qFormat/>
    <w:uiPriority w:val="99"/>
    <w:rPr>
      <w:rFonts w:ascii="Arial" w:hAnsi="Arial"/>
      <w:color w:val="333333"/>
      <w:spacing w:val="0"/>
      <w:sz w:val="18"/>
    </w:rPr>
  </w:style>
  <w:style w:type="character" w:customStyle="1" w:styleId="95">
    <w:name w:val="b titlename wangputoptitle"/>
    <w:qFormat/>
    <w:uiPriority w:val="99"/>
    <w:rPr>
      <w:rFonts w:cs="Times New Roman"/>
    </w:rPr>
  </w:style>
  <w:style w:type="character" w:customStyle="1" w:styleId="96">
    <w:name w:val="tw4winTerm"/>
    <w:qFormat/>
    <w:uiPriority w:val="99"/>
    <w:rPr>
      <w:color w:val="0000FF"/>
    </w:rPr>
  </w:style>
  <w:style w:type="character" w:customStyle="1" w:styleId="97">
    <w:name w:val="样式 小四"/>
    <w:qFormat/>
    <w:uiPriority w:val="99"/>
    <w:rPr>
      <w:sz w:val="21"/>
    </w:rPr>
  </w:style>
  <w:style w:type="character" w:customStyle="1" w:styleId="98">
    <w:name w:val="para"/>
    <w:qFormat/>
    <w:uiPriority w:val="99"/>
    <w:rPr>
      <w:rFonts w:cs="Times New Roman"/>
    </w:rPr>
  </w:style>
  <w:style w:type="character" w:customStyle="1" w:styleId="99">
    <w:name w:val="tw4winError"/>
    <w:qFormat/>
    <w:uiPriority w:val="99"/>
    <w:rPr>
      <w:rFonts w:ascii="Courier New" w:hAnsi="Courier New"/>
      <w:color w:val="00FF00"/>
      <w:sz w:val="40"/>
    </w:rPr>
  </w:style>
  <w:style w:type="character" w:customStyle="1" w:styleId="100">
    <w:name w:val="正文缩进 Char"/>
    <w:link w:val="7"/>
    <w:qFormat/>
    <w:locked/>
    <w:uiPriority w:val="99"/>
    <w:rPr>
      <w:rFonts w:eastAsia="宋体"/>
      <w:kern w:val="2"/>
      <w:sz w:val="21"/>
      <w:lang w:val="en-US" w:eastAsia="zh-CN"/>
    </w:rPr>
  </w:style>
  <w:style w:type="character" w:customStyle="1" w:styleId="101">
    <w:name w:val="style31"/>
    <w:qFormat/>
    <w:uiPriority w:val="99"/>
    <w:rPr>
      <w:color w:val="4B4B4B"/>
    </w:rPr>
  </w:style>
  <w:style w:type="character" w:customStyle="1" w:styleId="102">
    <w:name w:val="!我的正文 Ctr+Q Char"/>
    <w:link w:val="103"/>
    <w:qFormat/>
    <w:locked/>
    <w:uiPriority w:val="99"/>
    <w:rPr>
      <w:rFonts w:ascii="Arial" w:hAnsi="Arial" w:eastAsia="宋体"/>
      <w:kern w:val="2"/>
      <w:sz w:val="21"/>
      <w:lang w:val="en-US" w:eastAsia="zh-CN"/>
    </w:rPr>
  </w:style>
  <w:style w:type="paragraph" w:customStyle="1" w:styleId="103">
    <w:name w:val="!我的正文 Ctr+Q"/>
    <w:basedOn w:val="1"/>
    <w:link w:val="102"/>
    <w:qFormat/>
    <w:uiPriority w:val="99"/>
    <w:pPr>
      <w:adjustRightInd w:val="0"/>
      <w:snapToGrid w:val="0"/>
      <w:spacing w:line="360" w:lineRule="auto"/>
      <w:ind w:firstLine="480" w:firstLineChars="200"/>
    </w:pPr>
    <w:rPr>
      <w:rFonts w:ascii="Arial" w:hAnsi="Arial"/>
      <w:szCs w:val="20"/>
    </w:rPr>
  </w:style>
  <w:style w:type="character" w:customStyle="1" w:styleId="104">
    <w:name w:val="font3"/>
    <w:qFormat/>
    <w:uiPriority w:val="99"/>
    <w:rPr>
      <w:rFonts w:cs="Times New Roman"/>
    </w:rPr>
  </w:style>
  <w:style w:type="character" w:customStyle="1" w:styleId="105">
    <w:name w:val="tw4winExternal"/>
    <w:qFormat/>
    <w:uiPriority w:val="99"/>
    <w:rPr>
      <w:rFonts w:ascii="Courier New" w:hAnsi="Courier New"/>
      <w:color w:val="808080"/>
    </w:rPr>
  </w:style>
  <w:style w:type="character" w:customStyle="1" w:styleId="106">
    <w:name w:val="标题 1 Char"/>
    <w:link w:val="3"/>
    <w:qFormat/>
    <w:locked/>
    <w:uiPriority w:val="99"/>
    <w:rPr>
      <w:rFonts w:eastAsia="宋体"/>
      <w:b/>
      <w:kern w:val="44"/>
      <w:sz w:val="44"/>
      <w:lang w:val="en-US" w:eastAsia="zh-CN"/>
    </w:rPr>
  </w:style>
  <w:style w:type="character" w:customStyle="1" w:styleId="107">
    <w:name w:val="point_normal1"/>
    <w:qFormat/>
    <w:uiPriority w:val="99"/>
    <w:rPr>
      <w:rFonts w:ascii="Arial" w:hAnsi="Arial"/>
      <w:sz w:val="18"/>
    </w:rPr>
  </w:style>
  <w:style w:type="character" w:customStyle="1" w:styleId="108">
    <w:name w:val="fontblank12"/>
    <w:qFormat/>
    <w:uiPriority w:val="99"/>
    <w:rPr>
      <w:rFonts w:cs="Times New Roman"/>
    </w:rPr>
  </w:style>
  <w:style w:type="character" w:customStyle="1" w:styleId="109">
    <w:name w:val="huide001"/>
    <w:qFormat/>
    <w:uiPriority w:val="99"/>
    <w:rPr>
      <w:rFonts w:ascii="Arial" w:hAnsi="Arial"/>
      <w:color w:val="666666"/>
      <w:sz w:val="18"/>
    </w:rPr>
  </w:style>
  <w:style w:type="character" w:customStyle="1" w:styleId="110">
    <w:name w:val="tw4winPopup"/>
    <w:qFormat/>
    <w:uiPriority w:val="99"/>
    <w:rPr>
      <w:rFonts w:ascii="Courier New" w:hAnsi="Courier New"/>
      <w:color w:val="008000"/>
    </w:rPr>
  </w:style>
  <w:style w:type="character" w:customStyle="1" w:styleId="111">
    <w:name w:val="标题 3 Char"/>
    <w:qFormat/>
    <w:uiPriority w:val="99"/>
    <w:rPr>
      <w:rFonts w:eastAsia="宋体"/>
      <w:b/>
      <w:kern w:val="2"/>
      <w:sz w:val="32"/>
      <w:lang w:val="en-US" w:eastAsia="zh-CN"/>
    </w:rPr>
  </w:style>
  <w:style w:type="character" w:customStyle="1" w:styleId="112">
    <w:name w:val="unnamed11"/>
    <w:qFormat/>
    <w:uiPriority w:val="99"/>
    <w:rPr>
      <w:sz w:val="20"/>
    </w:rPr>
  </w:style>
  <w:style w:type="character" w:customStyle="1" w:styleId="113">
    <w:name w:val="pagetitle"/>
    <w:qFormat/>
    <w:uiPriority w:val="99"/>
    <w:rPr>
      <w:rFonts w:cs="Times New Roman"/>
    </w:rPr>
  </w:style>
  <w:style w:type="character" w:customStyle="1" w:styleId="114">
    <w:name w:val="line1"/>
    <w:qFormat/>
    <w:uiPriority w:val="99"/>
    <w:rPr>
      <w:u w:val="none"/>
    </w:rPr>
  </w:style>
  <w:style w:type="character" w:customStyle="1" w:styleId="115">
    <w:name w:val="text11"/>
    <w:qFormat/>
    <w:uiPriority w:val="99"/>
    <w:rPr>
      <w:rFonts w:ascii="Verdana" w:hAnsi="Verdana"/>
      <w:color w:val="4E4E4E"/>
      <w:sz w:val="18"/>
    </w:rPr>
  </w:style>
  <w:style w:type="character" w:customStyle="1" w:styleId="116">
    <w:name w:val="样式 样式3 + 宋体 五号 Char Char Char Char"/>
    <w:qFormat/>
    <w:uiPriority w:val="99"/>
    <w:rPr>
      <w:rFonts w:ascii="宋体" w:hAnsi="宋体" w:eastAsia="宋体"/>
      <w:b/>
      <w:kern w:val="2"/>
      <w:sz w:val="24"/>
      <w:lang w:val="en-US" w:eastAsia="zh-CN"/>
    </w:rPr>
  </w:style>
  <w:style w:type="character" w:customStyle="1" w:styleId="117">
    <w:name w:val="A C"/>
    <w:qFormat/>
    <w:uiPriority w:val="99"/>
    <w:rPr>
      <w:rFonts w:ascii="仿宋_GB2312"/>
      <w:sz w:val="24"/>
    </w:rPr>
  </w:style>
  <w:style w:type="character" w:customStyle="1" w:styleId="118">
    <w:name w:val="tw4winJump"/>
    <w:qFormat/>
    <w:uiPriority w:val="99"/>
    <w:rPr>
      <w:rFonts w:ascii="Courier New" w:hAnsi="Courier New"/>
      <w:color w:val="008080"/>
    </w:rPr>
  </w:style>
  <w:style w:type="character" w:customStyle="1" w:styleId="119">
    <w:name w:val="Char Char7"/>
    <w:qFormat/>
    <w:uiPriority w:val="99"/>
    <w:rPr>
      <w:rFonts w:ascii="Cambria" w:hAnsi="Cambria" w:eastAsia="宋体"/>
      <w:b/>
      <w:sz w:val="32"/>
    </w:rPr>
  </w:style>
  <w:style w:type="character" w:customStyle="1" w:styleId="120">
    <w:name w:val="style101"/>
    <w:qFormat/>
    <w:uiPriority w:val="99"/>
    <w:rPr>
      <w:color w:val="FFFFFF"/>
    </w:rPr>
  </w:style>
  <w:style w:type="paragraph" w:customStyle="1" w:styleId="121">
    <w:name w:val="样式2"/>
    <w:basedOn w:val="4"/>
    <w:qFormat/>
    <w:uiPriority w:val="99"/>
    <w:pPr>
      <w:tabs>
        <w:tab w:val="left" w:pos="600"/>
      </w:tabs>
      <w:ind w:left="600" w:hanging="600"/>
    </w:pPr>
    <w:rPr>
      <w:rFonts w:eastAsia="宋体"/>
    </w:rPr>
  </w:style>
  <w:style w:type="paragraph" w:customStyle="1" w:styleId="122">
    <w:name w:val="p0"/>
    <w:basedOn w:val="1"/>
    <w:qFormat/>
    <w:uiPriority w:val="0"/>
    <w:pPr>
      <w:widowControl/>
      <w:spacing w:after="50"/>
    </w:pPr>
    <w:rPr>
      <w:kern w:val="0"/>
      <w:szCs w:val="21"/>
    </w:rPr>
  </w:style>
  <w:style w:type="paragraph" w:customStyle="1" w:styleId="123">
    <w:name w:val="样式 正文文本缩进 + 仿宋_GB2312 小四 首行缩进:  0 厘米 行距: 1.5 倍行距"/>
    <w:basedOn w:val="8"/>
    <w:qFormat/>
    <w:uiPriority w:val="99"/>
    <w:pPr>
      <w:spacing w:line="360" w:lineRule="auto"/>
      <w:ind w:firstLine="0"/>
    </w:pPr>
    <w:rPr>
      <w:rFonts w:ascii="仿宋_GB2312" w:hAnsi="Times New Roman" w:eastAsia="新宋体"/>
      <w:spacing w:val="0"/>
      <w:sz w:val="24"/>
    </w:rPr>
  </w:style>
  <w:style w:type="paragraph" w:customStyle="1" w:styleId="12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25">
    <w:name w:val="Paragraph2"/>
    <w:basedOn w:val="1"/>
    <w:qFormat/>
    <w:uiPriority w:val="99"/>
    <w:pPr>
      <w:spacing w:before="80" w:afterLines="50"/>
      <w:ind w:left="720"/>
    </w:pPr>
    <w:rPr>
      <w:rFonts w:ascii="宋体"/>
      <w:color w:val="000000"/>
      <w:kern w:val="0"/>
      <w:szCs w:val="20"/>
      <w:lang w:val="en-AU"/>
    </w:rPr>
  </w:style>
  <w:style w:type="paragraph" w:customStyle="1" w:styleId="126">
    <w:name w:val="Char Char Char Char Char Char Char Char Char Char"/>
    <w:basedOn w:val="20"/>
    <w:qFormat/>
    <w:uiPriority w:val="99"/>
    <w:rPr>
      <w:rFonts w:ascii="Tahoma" w:hAnsi="Tahoma"/>
    </w:rPr>
  </w:style>
  <w:style w:type="paragraph" w:customStyle="1" w:styleId="127">
    <w:name w:val="P3"/>
    <w:basedOn w:val="1"/>
    <w:qFormat/>
    <w:uiPriority w:val="99"/>
    <w:pPr>
      <w:widowControl/>
      <w:spacing w:before="240" w:line="240" w:lineRule="atLeast"/>
      <w:ind w:left="1152"/>
      <w:jc w:val="left"/>
    </w:pPr>
    <w:rPr>
      <w:b/>
      <w:kern w:val="0"/>
      <w:szCs w:val="21"/>
      <w:lang w:val="en-AU" w:eastAsia="en-US"/>
    </w:rPr>
  </w:style>
  <w:style w:type="paragraph" w:customStyle="1" w:styleId="128">
    <w:name w:val="Char1 Char Char Char Char Char Char"/>
    <w:basedOn w:val="1"/>
    <w:qFormat/>
    <w:uiPriority w:val="99"/>
    <w:rPr>
      <w:rFonts w:ascii="Tahoma" w:hAnsi="Tahoma"/>
      <w:sz w:val="24"/>
      <w:szCs w:val="20"/>
    </w:rPr>
  </w:style>
  <w:style w:type="paragraph" w:customStyle="1" w:styleId="129">
    <w:name w:val="Paragraph4"/>
    <w:basedOn w:val="1"/>
    <w:qFormat/>
    <w:uiPriority w:val="99"/>
    <w:pPr>
      <w:spacing w:before="80" w:afterLines="50"/>
      <w:ind w:left="2250"/>
    </w:pPr>
    <w:rPr>
      <w:rFonts w:ascii="宋体"/>
      <w:kern w:val="0"/>
      <w:szCs w:val="20"/>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样式 标题 3Chapter X.X.X. + 五号 段后: 0.5 行"/>
    <w:basedOn w:val="5"/>
    <w:qFormat/>
    <w:uiPriority w:val="99"/>
    <w:pPr>
      <w:keepLines w:val="0"/>
      <w:autoSpaceDE/>
      <w:autoSpaceDN/>
      <w:adjustRightInd/>
      <w:spacing w:before="120" w:afterLines="50"/>
    </w:pPr>
    <w:rPr>
      <w:rFonts w:cs="宋体"/>
      <w:bCs/>
      <w:sz w:val="21"/>
      <w:u w:val="none"/>
    </w:rPr>
  </w:style>
  <w:style w:type="paragraph" w:customStyle="1" w:styleId="13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3">
    <w:name w:val="TableTextLeft"/>
    <w:qFormat/>
    <w:uiPriority w:val="99"/>
    <w:rPr>
      <w:rFonts w:ascii="Century Gothic" w:hAnsi="Century Gothic" w:eastAsia="宋体" w:cs="Times New Roman"/>
      <w:szCs w:val="18"/>
      <w:lang w:val="en-US" w:eastAsia="en-US" w:bidi="ar-SA"/>
    </w:rPr>
  </w:style>
  <w:style w:type="paragraph" w:customStyle="1" w:styleId="134">
    <w:name w:val="Body"/>
    <w:basedOn w:val="1"/>
    <w:qFormat/>
    <w:uiPriority w:val="99"/>
    <w:pPr>
      <w:widowControl/>
      <w:spacing w:before="120" w:afterLines="50"/>
    </w:pPr>
    <w:rPr>
      <w:rFonts w:ascii="宋体"/>
      <w:kern w:val="0"/>
      <w:szCs w:val="20"/>
    </w:rPr>
  </w:style>
  <w:style w:type="paragraph" w:customStyle="1" w:styleId="135">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6">
    <w:name w:val="标准标题2"/>
    <w:basedOn w:val="4"/>
    <w:qFormat/>
    <w:uiPriority w:val="99"/>
    <w:pPr>
      <w:spacing w:line="360" w:lineRule="auto"/>
    </w:pPr>
    <w:rPr>
      <w:rFonts w:eastAsia="仿宋_GB2312"/>
      <w:sz w:val="28"/>
    </w:rPr>
  </w:style>
  <w:style w:type="paragraph" w:customStyle="1" w:styleId="137">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3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39">
    <w:name w:val="Char Char Char Char Char Char Char Char Char Char Char Char Char Char Char Char"/>
    <w:basedOn w:val="1"/>
    <w:qFormat/>
    <w:uiPriority w:val="99"/>
    <w:pPr>
      <w:tabs>
        <w:tab w:val="left" w:pos="360"/>
      </w:tabs>
    </w:pPr>
    <w:rPr>
      <w:sz w:val="24"/>
    </w:rPr>
  </w:style>
  <w:style w:type="paragraph" w:customStyle="1" w:styleId="140">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41">
    <w:name w:val="Char3 Char Char Char"/>
    <w:basedOn w:val="1"/>
    <w:qFormat/>
    <w:uiPriority w:val="99"/>
    <w:pPr>
      <w:tabs>
        <w:tab w:val="left" w:pos="1455"/>
      </w:tabs>
      <w:ind w:left="1455" w:hanging="1275"/>
    </w:pPr>
    <w:rPr>
      <w:sz w:val="24"/>
    </w:rPr>
  </w:style>
  <w:style w:type="paragraph" w:customStyle="1" w:styleId="142">
    <w:name w:val="样式　标题4"/>
    <w:basedOn w:val="143"/>
    <w:next w:val="1"/>
    <w:qFormat/>
    <w:uiPriority w:val="99"/>
  </w:style>
  <w:style w:type="paragraph" w:customStyle="1" w:styleId="143">
    <w:name w:val="样式 标题 4Chapter X.X.X. + 段后: 0.5 行1"/>
    <w:basedOn w:val="6"/>
    <w:next w:val="6"/>
    <w:qFormat/>
    <w:uiPriority w:val="99"/>
    <w:pPr>
      <w:keepLines w:val="0"/>
      <w:spacing w:before="120" w:afterLines="50" w:line="240" w:lineRule="auto"/>
      <w:ind w:left="425" w:hanging="425"/>
      <w:jc w:val="left"/>
    </w:pPr>
    <w:rPr>
      <w:rFonts w:ascii="宋体" w:hAnsi="Times New Roman" w:eastAsia="宋体" w:cs="宋体"/>
      <w:kern w:val="0"/>
      <w:sz w:val="21"/>
    </w:rPr>
  </w:style>
  <w:style w:type="paragraph" w:customStyle="1" w:styleId="144">
    <w:name w:val="样式 标题 2 + 五号"/>
    <w:basedOn w:val="4"/>
    <w:qFormat/>
    <w:uiPriority w:val="99"/>
    <w:pPr>
      <w:spacing w:before="0" w:after="0" w:line="240" w:lineRule="auto"/>
    </w:pPr>
    <w:rPr>
      <w:rFonts w:ascii="宋体" w:hAnsi="宋体" w:eastAsia="宋体"/>
      <w:sz w:val="21"/>
    </w:rPr>
  </w:style>
  <w:style w:type="paragraph" w:customStyle="1" w:styleId="145">
    <w:name w:val="Main Title"/>
    <w:basedOn w:val="1"/>
    <w:qFormat/>
    <w:uiPriority w:val="99"/>
    <w:pPr>
      <w:spacing w:before="480" w:afterLines="50"/>
      <w:jc w:val="center"/>
    </w:pPr>
    <w:rPr>
      <w:rFonts w:ascii="宋体"/>
      <w:b/>
      <w:kern w:val="28"/>
      <w:sz w:val="32"/>
      <w:szCs w:val="20"/>
    </w:rPr>
  </w:style>
  <w:style w:type="paragraph" w:customStyle="1" w:styleId="146">
    <w:name w:val="表格内容"/>
    <w:basedOn w:val="15"/>
    <w:qFormat/>
    <w:uiPriority w:val="99"/>
    <w:pPr>
      <w:suppressLineNumbers/>
      <w:suppressAutoHyphens/>
    </w:pPr>
    <w:rPr>
      <w:kern w:val="1"/>
      <w:sz w:val="21"/>
      <w:lang w:eastAsia="ar-SA"/>
    </w:rPr>
  </w:style>
  <w:style w:type="paragraph" w:customStyle="1" w:styleId="14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S4-L15-C"/>
    <w:basedOn w:val="1"/>
    <w:qFormat/>
    <w:uiPriority w:val="99"/>
    <w:pPr>
      <w:spacing w:after="120" w:line="360" w:lineRule="auto"/>
      <w:jc w:val="center"/>
    </w:pPr>
    <w:rPr>
      <w:szCs w:val="21"/>
    </w:rPr>
  </w:style>
  <w:style w:type="paragraph" w:customStyle="1" w:styleId="149">
    <w:name w:val="样式 标题 4 + 段后: 0.5 行"/>
    <w:basedOn w:val="6"/>
    <w:qFormat/>
    <w:uiPriority w:val="99"/>
    <w:pPr>
      <w:keepLines w:val="0"/>
      <w:spacing w:before="120" w:afterLines="50" w:line="240" w:lineRule="auto"/>
      <w:jc w:val="left"/>
    </w:pPr>
    <w:rPr>
      <w:rFonts w:ascii="宋体" w:hAnsi="Times New Roman" w:eastAsia="宋体" w:cs="宋体"/>
      <w:kern w:val="0"/>
      <w:sz w:val="21"/>
    </w:rPr>
  </w:style>
  <w:style w:type="paragraph" w:customStyle="1" w:styleId="150">
    <w:name w:val="样式 标题 4"/>
    <w:basedOn w:val="151"/>
    <w:next w:val="152"/>
    <w:qFormat/>
    <w:uiPriority w:val="99"/>
    <w:pPr>
      <w:tabs>
        <w:tab w:val="left" w:pos="2100"/>
      </w:tabs>
      <w:spacing w:after="50"/>
      <w:ind w:left="2100" w:hanging="420"/>
    </w:pPr>
  </w:style>
  <w:style w:type="paragraph" w:customStyle="1" w:styleId="151">
    <w:name w:val="样式 标题 4Chapter X.X.X.X. + 段后: 0.5 行1"/>
    <w:basedOn w:val="149"/>
    <w:qFormat/>
    <w:uiPriority w:val="99"/>
    <w:pPr>
      <w:spacing w:after="120"/>
    </w:pPr>
  </w:style>
  <w:style w:type="paragraph" w:customStyle="1" w:styleId="152">
    <w:name w:val="样式 正文"/>
    <w:basedOn w:val="1"/>
    <w:next w:val="1"/>
    <w:qFormat/>
    <w:uiPriority w:val="99"/>
    <w:pPr>
      <w:spacing w:afterLines="50"/>
      <w:jc w:val="left"/>
    </w:pPr>
    <w:rPr>
      <w:rFonts w:ascii="宋体" w:cs="宋体"/>
      <w:kern w:val="0"/>
      <w:szCs w:val="20"/>
    </w:rPr>
  </w:style>
  <w:style w:type="paragraph" w:customStyle="1" w:styleId="153">
    <w:name w:val="Char Char"/>
    <w:basedOn w:val="1"/>
    <w:qFormat/>
    <w:uiPriority w:val="99"/>
    <w:pPr>
      <w:spacing w:line="240" w:lineRule="atLeast"/>
      <w:ind w:left="420" w:firstLine="420"/>
    </w:pPr>
    <w:rPr>
      <w:kern w:val="0"/>
      <w:szCs w:val="21"/>
    </w:rPr>
  </w:style>
  <w:style w:type="paragraph" w:customStyle="1" w:styleId="154">
    <w:name w:val="表格标题"/>
    <w:basedOn w:val="146"/>
    <w:qFormat/>
    <w:uiPriority w:val="99"/>
    <w:pPr>
      <w:jc w:val="center"/>
    </w:pPr>
    <w:rPr>
      <w:b/>
      <w:bCs/>
      <w:i/>
      <w:iCs/>
    </w:rPr>
  </w:style>
  <w:style w:type="paragraph" w:customStyle="1" w:styleId="155">
    <w:name w:val="样式 标题 1 + 段后: 0.5 行"/>
    <w:basedOn w:val="3"/>
    <w:qFormat/>
    <w:uiPriority w:val="99"/>
    <w:pPr>
      <w:keepLines w:val="0"/>
      <w:spacing w:before="120" w:afterLines="50" w:line="240" w:lineRule="auto"/>
      <w:jc w:val="left"/>
    </w:pPr>
    <w:rPr>
      <w:rFonts w:ascii="宋体" w:cs="宋体"/>
      <w:kern w:val="0"/>
      <w:sz w:val="28"/>
    </w:rPr>
  </w:style>
  <w:style w:type="paragraph" w:customStyle="1" w:styleId="156">
    <w:name w:val="最新标题3"/>
    <w:basedOn w:val="157"/>
    <w:next w:val="158"/>
    <w:qFormat/>
    <w:uiPriority w:val="99"/>
  </w:style>
  <w:style w:type="paragraph" w:customStyle="1" w:styleId="157">
    <w:name w:val="样式 标题 3"/>
    <w:basedOn w:val="5"/>
    <w:next w:val="158"/>
    <w:qFormat/>
    <w:uiPriority w:val="99"/>
    <w:pPr>
      <w:keepLines w:val="0"/>
      <w:autoSpaceDE/>
      <w:autoSpaceDN/>
      <w:adjustRightInd/>
      <w:spacing w:before="120" w:afterLines="50"/>
    </w:pPr>
    <w:rPr>
      <w:rFonts w:cs="宋体"/>
      <w:bCs/>
      <w:u w:val="none"/>
    </w:rPr>
  </w:style>
  <w:style w:type="paragraph" w:customStyle="1" w:styleId="158">
    <w:name w:val="最新标题4"/>
    <w:basedOn w:val="150"/>
    <w:next w:val="1"/>
    <w:qFormat/>
    <w:uiPriority w:val="99"/>
    <w:pPr>
      <w:tabs>
        <w:tab w:val="clear" w:pos="2100"/>
      </w:tabs>
      <w:spacing w:after="120"/>
      <w:ind w:left="0" w:firstLine="0"/>
    </w:pPr>
  </w:style>
  <w:style w:type="paragraph" w:customStyle="1" w:styleId="159">
    <w:name w:val="Char Char Char1 Char Char Char Char"/>
    <w:basedOn w:val="1"/>
    <w:qFormat/>
    <w:uiPriority w:val="99"/>
    <w:rPr>
      <w:rFonts w:ascii="仿宋_GB2312" w:eastAsia="仿宋_GB2312"/>
      <w:b/>
      <w:sz w:val="32"/>
      <w:szCs w:val="32"/>
    </w:rPr>
  </w:style>
  <w:style w:type="paragraph" w:customStyle="1" w:styleId="160">
    <w:name w:val="样式 标题 3Chapter X.X.X. + 段后: 0.5 行"/>
    <w:basedOn w:val="5"/>
    <w:qFormat/>
    <w:uiPriority w:val="99"/>
    <w:pPr>
      <w:keepLines w:val="0"/>
      <w:autoSpaceDE/>
      <w:autoSpaceDN/>
      <w:adjustRightInd/>
      <w:spacing w:before="120" w:afterLines="50"/>
    </w:pPr>
    <w:rPr>
      <w:rFonts w:cs="宋体"/>
      <w:bCs/>
      <w:u w:val="none"/>
    </w:rPr>
  </w:style>
  <w:style w:type="paragraph" w:customStyle="1" w:styleId="16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2">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4">
    <w:name w:val="样式 样式 正文文本缩进 + 仿宋_GB2312 小四 首行缩进:  0 厘米 行距: 1.5 倍行距 + (中文) 仿宋_GB... Char Char"/>
    <w:basedOn w:val="123"/>
    <w:qFormat/>
    <w:uiPriority w:val="99"/>
    <w:pPr>
      <w:ind w:firstLine="480" w:firstLineChars="200"/>
    </w:pPr>
  </w:style>
  <w:style w:type="paragraph" w:customStyle="1" w:styleId="165">
    <w:name w:val="样式 标题 3Chapter X.X.X. + 段后: 0.5 行1"/>
    <w:basedOn w:val="5"/>
    <w:next w:val="1"/>
    <w:qFormat/>
    <w:uiPriority w:val="99"/>
    <w:pPr>
      <w:keepLines w:val="0"/>
      <w:autoSpaceDE/>
      <w:autoSpaceDN/>
      <w:adjustRightInd/>
      <w:spacing w:before="120" w:afterLines="50"/>
    </w:pPr>
    <w:rPr>
      <w:rFonts w:cs="宋体"/>
      <w:bCs/>
      <w:u w:val="none"/>
    </w:rPr>
  </w:style>
  <w:style w:type="paragraph" w:customStyle="1" w:styleId="166">
    <w:name w:val="最新标题1"/>
    <w:basedOn w:val="167"/>
    <w:next w:val="168"/>
    <w:qFormat/>
    <w:uiPriority w:val="99"/>
    <w:pPr>
      <w:tabs>
        <w:tab w:val="left" w:pos="1140"/>
      </w:tabs>
      <w:spacing w:after="120"/>
    </w:pPr>
    <w:rPr>
      <w:bCs/>
    </w:rPr>
  </w:style>
  <w:style w:type="paragraph" w:customStyle="1" w:styleId="167">
    <w:name w:val="样式 标题1"/>
    <w:basedOn w:val="155"/>
    <w:next w:val="168"/>
    <w:qFormat/>
    <w:uiPriority w:val="99"/>
    <w:pPr>
      <w:tabs>
        <w:tab w:val="left" w:pos="1140"/>
      </w:tabs>
      <w:spacing w:after="50"/>
      <w:ind w:left="1140" w:hanging="720"/>
    </w:pPr>
    <w:rPr>
      <w:sz w:val="32"/>
    </w:rPr>
  </w:style>
  <w:style w:type="paragraph" w:customStyle="1" w:styleId="168">
    <w:name w:val="最新标题2"/>
    <w:basedOn w:val="169"/>
    <w:next w:val="156"/>
    <w:qFormat/>
    <w:uiPriority w:val="99"/>
    <w:pPr>
      <w:spacing w:after="120"/>
    </w:pPr>
  </w:style>
  <w:style w:type="paragraph" w:customStyle="1" w:styleId="169">
    <w:name w:val="样式 标题 2"/>
    <w:basedOn w:val="4"/>
    <w:next w:val="156"/>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170">
    <w:name w:val="样式 样式 标题 3Chapter X.X.X. + 段后: 0.5 行 + 段后: 0.5 行"/>
    <w:basedOn w:val="160"/>
    <w:qFormat/>
    <w:uiPriority w:val="99"/>
  </w:style>
  <w:style w:type="paragraph" w:customStyle="1" w:styleId="171">
    <w:name w:val="正文1"/>
    <w:basedOn w:val="20"/>
    <w:next w:val="1"/>
    <w:qFormat/>
    <w:uiPriority w:val="99"/>
    <w:pPr>
      <w:adjustRightInd w:val="0"/>
      <w:spacing w:line="360" w:lineRule="atLeast"/>
      <w:jc w:val="left"/>
      <w:textAlignment w:val="baseline"/>
    </w:pPr>
    <w:rPr>
      <w:kern w:val="0"/>
      <w:szCs w:val="20"/>
    </w:rPr>
  </w:style>
  <w:style w:type="paragraph" w:customStyle="1" w:styleId="172">
    <w:name w:val="样式 样式 样式 标题 3Chapter X.X.X. + 段后: 0.5 行 + 段后: 0.5 行 + 段后: 0.5 行"/>
    <w:basedOn w:val="170"/>
    <w:qFormat/>
    <w:uiPriority w:val="99"/>
  </w:style>
  <w:style w:type="paragraph" w:customStyle="1" w:styleId="173">
    <w:name w:val="Char Char Char"/>
    <w:basedOn w:val="1"/>
    <w:qFormat/>
    <w:uiPriority w:val="99"/>
    <w:rPr>
      <w:rFonts w:ascii="Tahoma" w:hAnsi="Tahoma"/>
      <w:sz w:val="24"/>
      <w:szCs w:val="20"/>
    </w:rPr>
  </w:style>
  <w:style w:type="paragraph" w:customStyle="1" w:styleId="174">
    <w:name w:val="IBM 正文"/>
    <w:basedOn w:val="1"/>
    <w:qFormat/>
    <w:uiPriority w:val="99"/>
    <w:pPr>
      <w:spacing w:line="360" w:lineRule="atLeast"/>
    </w:pPr>
    <w:rPr>
      <w:sz w:val="24"/>
      <w:szCs w:val="20"/>
    </w:rPr>
  </w:style>
  <w:style w:type="paragraph" w:customStyle="1" w:styleId="175">
    <w:name w:val="第1.3标题"/>
    <w:basedOn w:val="5"/>
    <w:next w:val="1"/>
    <w:qFormat/>
    <w:uiPriority w:val="99"/>
    <w:pPr>
      <w:keepNext w:val="0"/>
      <w:widowControl/>
      <w:spacing w:beforeLines="50" w:afterLines="50" w:line="360" w:lineRule="auto"/>
      <w:textAlignment w:val="baseline"/>
    </w:pPr>
    <w:rPr>
      <w:rFonts w:ascii="Times New Roman"/>
      <w:sz w:val="30"/>
      <w:u w:val="none"/>
    </w:rPr>
  </w:style>
  <w:style w:type="paragraph" w:customStyle="1" w:styleId="176">
    <w:name w:val="Paragraph1"/>
    <w:basedOn w:val="1"/>
    <w:qFormat/>
    <w:uiPriority w:val="99"/>
    <w:pPr>
      <w:spacing w:before="80" w:afterLines="50"/>
    </w:pPr>
    <w:rPr>
      <w:rFonts w:ascii="宋体"/>
      <w:kern w:val="0"/>
      <w:szCs w:val="20"/>
    </w:rPr>
  </w:style>
  <w:style w:type="paragraph" w:customStyle="1" w:styleId="177">
    <w:name w:val="Tabletext"/>
    <w:basedOn w:val="1"/>
    <w:qFormat/>
    <w:uiPriority w:val="99"/>
    <w:pPr>
      <w:keepLines/>
      <w:spacing w:afterLines="50"/>
      <w:jc w:val="left"/>
    </w:pPr>
    <w:rPr>
      <w:rFonts w:ascii="宋体"/>
      <w:kern w:val="0"/>
      <w:szCs w:val="20"/>
    </w:rPr>
  </w:style>
  <w:style w:type="paragraph" w:customStyle="1" w:styleId="178">
    <w:name w:val="Char"/>
    <w:basedOn w:val="1"/>
    <w:qFormat/>
    <w:uiPriority w:val="99"/>
    <w:rPr>
      <w:szCs w:val="20"/>
    </w:rPr>
  </w:style>
  <w:style w:type="paragraph" w:customStyle="1" w:styleId="179">
    <w:name w:val="Char Char7 Char"/>
    <w:basedOn w:val="1"/>
    <w:qFormat/>
    <w:uiPriority w:val="99"/>
    <w:pPr>
      <w:tabs>
        <w:tab w:val="left" w:pos="425"/>
      </w:tabs>
      <w:ind w:left="420" w:leftChars="200" w:firstLine="270" w:firstLineChars="150"/>
    </w:pPr>
    <w:rPr>
      <w:szCs w:val="20"/>
    </w:rPr>
  </w:style>
  <w:style w:type="paragraph" w:customStyle="1" w:styleId="18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此正文"/>
    <w:basedOn w:val="1"/>
    <w:qFormat/>
    <w:uiPriority w:val="99"/>
    <w:pPr>
      <w:spacing w:line="360" w:lineRule="auto"/>
      <w:ind w:firstLine="200" w:firstLineChars="200"/>
    </w:pPr>
    <w:rPr>
      <w:sz w:val="24"/>
      <w:szCs w:val="20"/>
    </w:rPr>
  </w:style>
  <w:style w:type="paragraph" w:customStyle="1" w:styleId="183">
    <w:name w:val="InfoBlue"/>
    <w:basedOn w:val="1"/>
    <w:next w:val="15"/>
    <w:qFormat/>
    <w:uiPriority w:val="99"/>
    <w:pPr>
      <w:spacing w:afterLines="50"/>
      <w:ind w:left="720"/>
      <w:jc w:val="left"/>
    </w:pPr>
    <w:rPr>
      <w:rFonts w:ascii="宋体"/>
      <w:i/>
      <w:color w:val="0000FF"/>
      <w:kern w:val="0"/>
      <w:szCs w:val="20"/>
    </w:rPr>
  </w:style>
  <w:style w:type="paragraph" w:customStyle="1" w:styleId="184">
    <w:name w:val="S4-B-L15"/>
    <w:basedOn w:val="1"/>
    <w:qFormat/>
    <w:uiPriority w:val="99"/>
    <w:pPr>
      <w:spacing w:line="360" w:lineRule="auto"/>
    </w:pPr>
    <w:rPr>
      <w:b/>
      <w:bCs/>
      <w:sz w:val="24"/>
    </w:rPr>
  </w:style>
  <w:style w:type="paragraph" w:customStyle="1" w:styleId="185">
    <w:name w:val="表格(五号)"/>
    <w:basedOn w:val="1"/>
    <w:qFormat/>
    <w:uiPriority w:val="99"/>
    <w:pPr>
      <w:adjustRightInd w:val="0"/>
      <w:snapToGrid w:val="0"/>
      <w:spacing w:line="300" w:lineRule="auto"/>
      <w:jc w:val="center"/>
    </w:pPr>
    <w:rPr>
      <w:kern w:val="0"/>
      <w:sz w:val="18"/>
      <w:szCs w:val="20"/>
    </w:rPr>
  </w:style>
  <w:style w:type="paragraph" w:customStyle="1" w:styleId="18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87">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89">
    <w:name w:val="Char1"/>
    <w:basedOn w:val="1"/>
    <w:qFormat/>
    <w:uiPriority w:val="99"/>
    <w:pPr>
      <w:tabs>
        <w:tab w:val="left" w:pos="432"/>
      </w:tabs>
      <w:spacing w:beforeLines="50" w:afterLines="50"/>
      <w:ind w:left="432" w:hanging="432"/>
    </w:pPr>
    <w:rPr>
      <w:sz w:val="24"/>
    </w:rPr>
  </w:style>
  <w:style w:type="paragraph" w:customStyle="1" w:styleId="190">
    <w:name w:val="样式 标题 2Chapter X.X. Statementh22Header 2l2Level 2 Headhea...1"/>
    <w:basedOn w:val="5"/>
    <w:qFormat/>
    <w:uiPriority w:val="99"/>
    <w:pPr>
      <w:keepLines w:val="0"/>
      <w:autoSpaceDE/>
      <w:autoSpaceDN/>
      <w:adjustRightInd/>
      <w:spacing w:before="120" w:afterLines="50"/>
    </w:pPr>
    <w:rPr>
      <w:rFonts w:cs="宋体"/>
      <w:bCs/>
      <w:u w:val="none"/>
    </w:rPr>
  </w:style>
  <w:style w:type="paragraph" w:customStyle="1" w:styleId="191">
    <w:name w:val="S4-L15"/>
    <w:basedOn w:val="1"/>
    <w:qFormat/>
    <w:uiPriority w:val="99"/>
    <w:pPr>
      <w:spacing w:after="120" w:line="360" w:lineRule="auto"/>
      <w:ind w:left="720" w:firstLine="392"/>
    </w:pPr>
    <w:rPr>
      <w:szCs w:val="21"/>
      <w:lang w:val="fr-FR"/>
    </w:rPr>
  </w:style>
  <w:style w:type="paragraph" w:customStyle="1" w:styleId="192">
    <w:name w:val="标准有序列表（L1）"/>
    <w:basedOn w:val="7"/>
    <w:qFormat/>
    <w:uiPriority w:val="99"/>
    <w:pPr>
      <w:tabs>
        <w:tab w:val="left" w:pos="0"/>
      </w:tabs>
      <w:spacing w:line="360" w:lineRule="auto"/>
      <w:ind w:firstLine="0"/>
    </w:pPr>
    <w:rPr>
      <w:rFonts w:ascii="黑体" w:eastAsia="黑体"/>
      <w:color w:val="000000"/>
      <w:sz w:val="24"/>
    </w:rPr>
  </w:style>
  <w:style w:type="paragraph" w:customStyle="1" w:styleId="193">
    <w:name w:val="Char Char Char Char Char"/>
    <w:basedOn w:val="1"/>
    <w:qFormat/>
    <w:uiPriority w:val="99"/>
    <w:pPr>
      <w:widowControl/>
      <w:adjustRightInd w:val="0"/>
      <w:ind w:firstLine="200" w:firstLineChars="200"/>
      <w:jc w:val="left"/>
      <w:textAlignment w:val="baseline"/>
    </w:pPr>
  </w:style>
  <w:style w:type="paragraph" w:customStyle="1" w:styleId="194">
    <w:name w:val="标题1"/>
    <w:basedOn w:val="27"/>
    <w:qFormat/>
    <w:uiPriority w:val="99"/>
    <w:pPr>
      <w:spacing w:beforeLines="0" w:afterLines="0" w:line="360" w:lineRule="auto"/>
    </w:pPr>
    <w:rPr>
      <w:b/>
      <w:sz w:val="30"/>
    </w:rPr>
  </w:style>
  <w:style w:type="paragraph" w:customStyle="1" w:styleId="195">
    <w:name w:val="沈标题四"/>
    <w:basedOn w:val="6"/>
    <w:next w:val="1"/>
    <w:qFormat/>
    <w:uiPriority w:val="99"/>
    <w:pPr>
      <w:keepNext w:val="0"/>
      <w:keepLines w:val="0"/>
      <w:spacing w:line="377" w:lineRule="auto"/>
    </w:pPr>
    <w:rPr>
      <w:rFonts w:ascii="Arial Narrow" w:hAnsi="Arial Narrow" w:eastAsia="方正姚体"/>
      <w:b w:val="0"/>
      <w:sz w:val="24"/>
      <w:szCs w:val="24"/>
    </w:rPr>
  </w:style>
  <w:style w:type="paragraph" w:customStyle="1" w:styleId="196">
    <w:name w:val="样式 标题 1 + 五号"/>
    <w:basedOn w:val="3"/>
    <w:qFormat/>
    <w:uiPriority w:val="99"/>
    <w:pPr>
      <w:spacing w:before="0" w:after="0"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kern w:val="0"/>
      <w:szCs w:val="21"/>
    </w:rPr>
  </w:style>
  <w:style w:type="paragraph" w:customStyle="1" w:styleId="198">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99">
    <w:name w:val="样式 三号 加粗 段后: 0.5 行"/>
    <w:basedOn w:val="1"/>
    <w:qFormat/>
    <w:uiPriority w:val="99"/>
    <w:pPr>
      <w:spacing w:afterLines="50"/>
      <w:jc w:val="left"/>
    </w:pPr>
    <w:rPr>
      <w:rFonts w:ascii="宋体" w:cs="宋体"/>
      <w:b/>
      <w:bCs/>
      <w:kern w:val="0"/>
      <w:sz w:val="32"/>
      <w:szCs w:val="20"/>
    </w:rPr>
  </w:style>
  <w:style w:type="paragraph" w:customStyle="1" w:styleId="200">
    <w:name w:val="Char21"/>
    <w:basedOn w:val="1"/>
    <w:qFormat/>
    <w:uiPriority w:val="99"/>
  </w:style>
  <w:style w:type="paragraph" w:customStyle="1" w:styleId="201">
    <w:name w:val="标题 3Chapter X.X.X. + 段后: 0.5 行 + 段后: 0.5 行 + 段后: 0.5 行1"/>
    <w:basedOn w:val="170"/>
    <w:qFormat/>
    <w:uiPriority w:val="99"/>
  </w:style>
  <w:style w:type="paragraph" w:customStyle="1" w:styleId="202">
    <w:name w:val="S4-I-L15-U"/>
    <w:basedOn w:val="1"/>
    <w:qFormat/>
    <w:uiPriority w:val="99"/>
    <w:pPr>
      <w:spacing w:line="360" w:lineRule="auto"/>
    </w:pPr>
    <w:rPr>
      <w:b/>
      <w:i/>
      <w:sz w:val="24"/>
      <w:u w:val="single"/>
    </w:rPr>
  </w:style>
  <w:style w:type="paragraph" w:customStyle="1" w:styleId="203">
    <w:name w:val="Paragraph3"/>
    <w:basedOn w:val="1"/>
    <w:qFormat/>
    <w:uiPriority w:val="99"/>
    <w:pPr>
      <w:spacing w:before="80" w:afterLines="50"/>
      <w:ind w:left="1530"/>
    </w:pPr>
    <w:rPr>
      <w:rFonts w:ascii="宋体"/>
      <w:kern w:val="0"/>
      <w:szCs w:val="20"/>
    </w:rPr>
  </w:style>
  <w:style w:type="paragraph" w:customStyle="1" w:styleId="204">
    <w:name w:val="样式 样式 正文文本缩进 + 仿宋_GB2312 小四 首行缩进:  0 厘米 行距: 1.5 倍行距 + (中文) 仿宋_GB..."/>
    <w:basedOn w:val="123"/>
    <w:qFormat/>
    <w:uiPriority w:val="99"/>
    <w:pPr>
      <w:ind w:firstLine="480" w:firstLineChars="200"/>
    </w:pPr>
  </w:style>
  <w:style w:type="paragraph" w:customStyle="1" w:styleId="205">
    <w:name w:val="样式 标题 1 + 五号1 Char Char Char Char Char Char Char Char Char Char Char Char Char Char Char Char Char"/>
    <w:basedOn w:val="3"/>
    <w:qFormat/>
    <w:uiPriority w:val="99"/>
    <w:pPr>
      <w:spacing w:before="0" w:after="0" w:line="480" w:lineRule="auto"/>
    </w:pPr>
    <w:rPr>
      <w:sz w:val="21"/>
    </w:rPr>
  </w:style>
  <w:style w:type="paragraph" w:customStyle="1" w:styleId="206">
    <w:name w:val="纯文本1"/>
    <w:basedOn w:val="1"/>
    <w:qFormat/>
    <w:uiPriority w:val="0"/>
    <w:pPr>
      <w:adjustRightInd w:val="0"/>
    </w:pPr>
    <w:rPr>
      <w:rFonts w:ascii="宋体" w:hAnsi="Courier New" w:eastAsia="楷体_GB2312"/>
      <w:sz w:val="28"/>
      <w:szCs w:val="20"/>
    </w:rPr>
  </w:style>
  <w:style w:type="paragraph" w:customStyle="1" w:styleId="207">
    <w:name w:val="Table - Text"/>
    <w:basedOn w:val="1"/>
    <w:qFormat/>
    <w:uiPriority w:val="99"/>
    <w:pPr>
      <w:widowControl/>
      <w:spacing w:before="60" w:afterLines="50"/>
      <w:jc w:val="left"/>
    </w:pPr>
    <w:rPr>
      <w:kern w:val="0"/>
      <w:szCs w:val="20"/>
      <w:lang w:eastAsia="en-US"/>
    </w:rPr>
  </w:style>
  <w:style w:type="paragraph" w:customStyle="1" w:styleId="208">
    <w:name w:val="样式 标题 3(A-3)sect1.2.3h3H3level_3PIM 3Level 3 HeadHeading..."/>
    <w:basedOn w:val="5"/>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209">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10">
    <w:name w:val="Char Char Char Char Char Char Char Char Char"/>
    <w:basedOn w:val="1"/>
    <w:qFormat/>
    <w:uiPriority w:val="99"/>
    <w:rPr>
      <w:rFonts w:ascii="Tahoma" w:hAnsi="Tahoma" w:eastAsia="仿宋_GB2312"/>
      <w:sz w:val="24"/>
      <w:szCs w:val="20"/>
    </w:rPr>
  </w:style>
  <w:style w:type="paragraph" w:customStyle="1" w:styleId="211">
    <w:name w:val="列出段落1"/>
    <w:basedOn w:val="1"/>
    <w:qFormat/>
    <w:uiPriority w:val="99"/>
    <w:pPr>
      <w:ind w:firstLine="420" w:firstLineChars="200"/>
    </w:pPr>
    <w:rPr>
      <w:rFonts w:ascii="Calibri" w:hAnsi="Calibri"/>
      <w:szCs w:val="22"/>
    </w:rPr>
  </w:style>
  <w:style w:type="paragraph" w:customStyle="1" w:styleId="212">
    <w:name w:val="标准标题1"/>
    <w:basedOn w:val="3"/>
    <w:qFormat/>
    <w:uiPriority w:val="99"/>
    <w:pPr>
      <w:pageBreakBefore/>
      <w:tabs>
        <w:tab w:val="left" w:pos="1080"/>
      </w:tabs>
      <w:ind w:left="425" w:hanging="425"/>
    </w:pPr>
    <w:rPr>
      <w:rFonts w:eastAsia="仿宋_GB2312"/>
      <w:sz w:val="32"/>
    </w:rPr>
  </w:style>
  <w:style w:type="paragraph" w:customStyle="1" w:styleId="213">
    <w:name w:val="Char Char Char Char"/>
    <w:basedOn w:val="1"/>
    <w:qFormat/>
    <w:uiPriority w:val="99"/>
  </w:style>
  <w:style w:type="paragraph" w:customStyle="1" w:styleId="214">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21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6">
    <w:name w:val="Bullet1"/>
    <w:basedOn w:val="1"/>
    <w:qFormat/>
    <w:uiPriority w:val="99"/>
    <w:pPr>
      <w:spacing w:afterLines="50"/>
      <w:ind w:left="720" w:hanging="432"/>
      <w:jc w:val="left"/>
    </w:pPr>
    <w:rPr>
      <w:rFonts w:ascii="宋体"/>
      <w:kern w:val="0"/>
      <w:szCs w:val="20"/>
    </w:rPr>
  </w:style>
  <w:style w:type="paragraph" w:customStyle="1" w:styleId="2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218">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19">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220">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21">
    <w:name w:val="列表内容"/>
    <w:basedOn w:val="1"/>
    <w:next w:val="1"/>
    <w:qFormat/>
    <w:uiPriority w:val="99"/>
    <w:pPr>
      <w:widowControl/>
      <w:tabs>
        <w:tab w:val="left" w:pos="840"/>
      </w:tabs>
      <w:ind w:left="840" w:hanging="420"/>
      <w:jc w:val="left"/>
    </w:pPr>
    <w:rPr>
      <w:kern w:val="0"/>
      <w:sz w:val="18"/>
      <w:szCs w:val="20"/>
    </w:rPr>
  </w:style>
  <w:style w:type="paragraph" w:customStyle="1" w:styleId="222">
    <w:name w:val="P2"/>
    <w:basedOn w:val="1"/>
    <w:qFormat/>
    <w:uiPriority w:val="99"/>
    <w:pPr>
      <w:widowControl/>
      <w:spacing w:before="240" w:line="240" w:lineRule="atLeast"/>
      <w:ind w:left="578"/>
      <w:jc w:val="left"/>
    </w:pPr>
    <w:rPr>
      <w:b/>
      <w:kern w:val="0"/>
      <w:szCs w:val="21"/>
      <w:lang w:val="en-AU" w:eastAsia="en-US"/>
    </w:rPr>
  </w:style>
  <w:style w:type="paragraph" w:customStyle="1" w:styleId="223">
    <w:name w:val="样式 标题 3Chapter X.X.X"/>
    <w:basedOn w:val="201"/>
    <w:qFormat/>
    <w:uiPriority w:val="99"/>
  </w:style>
  <w:style w:type="paragraph" w:customStyle="1" w:styleId="224">
    <w:name w:val="样式 左侧:  1 厘米 段后: 0.5 行"/>
    <w:basedOn w:val="1"/>
    <w:qFormat/>
    <w:uiPriority w:val="99"/>
    <w:pPr>
      <w:spacing w:afterLines="50"/>
      <w:ind w:firstLine="425"/>
      <w:jc w:val="left"/>
    </w:pPr>
    <w:rPr>
      <w:rFonts w:ascii="宋体" w:cs="宋体"/>
      <w:kern w:val="0"/>
      <w:szCs w:val="20"/>
    </w:rPr>
  </w:style>
  <w:style w:type="paragraph" w:customStyle="1" w:styleId="225">
    <w:name w:val="Style-正文"/>
    <w:basedOn w:val="1"/>
    <w:qFormat/>
    <w:uiPriority w:val="99"/>
    <w:pPr>
      <w:spacing w:line="360" w:lineRule="auto"/>
      <w:ind w:firstLine="420"/>
    </w:pPr>
    <w:rPr>
      <w:rFonts w:ascii="宋体" w:hAnsi="宋体"/>
      <w:sz w:val="24"/>
    </w:rPr>
  </w:style>
  <w:style w:type="paragraph" w:customStyle="1" w:styleId="226">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27">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228">
    <w:name w:val="样式 模板描述"/>
    <w:basedOn w:val="1"/>
    <w:next w:val="152"/>
    <w:qFormat/>
    <w:uiPriority w:val="99"/>
    <w:pPr>
      <w:spacing w:afterLines="50"/>
      <w:jc w:val="left"/>
    </w:pPr>
    <w:rPr>
      <w:rFonts w:ascii="宋体" w:cs="宋体"/>
      <w:i/>
      <w:iCs/>
      <w:color w:val="0000FF"/>
      <w:kern w:val="0"/>
      <w:szCs w:val="21"/>
    </w:rPr>
  </w:style>
  <w:style w:type="paragraph" w:customStyle="1" w:styleId="229">
    <w:name w:val="Char2"/>
    <w:basedOn w:val="1"/>
    <w:qFormat/>
    <w:uiPriority w:val="99"/>
    <w:pPr>
      <w:tabs>
        <w:tab w:val="left" w:pos="432"/>
      </w:tabs>
      <w:spacing w:beforeLines="50" w:afterLines="50"/>
      <w:ind w:left="432" w:hanging="432"/>
    </w:pPr>
    <w:rPr>
      <w:sz w:val="24"/>
    </w:rPr>
  </w:style>
  <w:style w:type="paragraph" w:customStyle="1" w:styleId="230">
    <w:name w:val="Bullet2"/>
    <w:basedOn w:val="1"/>
    <w:qFormat/>
    <w:uiPriority w:val="99"/>
    <w:pPr>
      <w:spacing w:afterLines="50"/>
      <w:ind w:left="1440" w:hanging="360"/>
      <w:jc w:val="left"/>
    </w:pPr>
    <w:rPr>
      <w:rFonts w:ascii="宋体"/>
      <w:color w:val="000080"/>
      <w:kern w:val="0"/>
      <w:szCs w:val="20"/>
    </w:rPr>
  </w:style>
  <w:style w:type="paragraph" w:customStyle="1" w:styleId="231">
    <w:name w:val="S4-I-U-L15-No-dot"/>
    <w:basedOn w:val="1"/>
    <w:qFormat/>
    <w:uiPriority w:val="99"/>
    <w:pPr>
      <w:tabs>
        <w:tab w:val="left" w:pos="1112"/>
      </w:tabs>
      <w:spacing w:after="120" w:line="360" w:lineRule="auto"/>
      <w:ind w:left="1112" w:hanging="420"/>
    </w:pPr>
    <w:rPr>
      <w:i/>
      <w:sz w:val="24"/>
      <w:u w:val="single"/>
    </w:rPr>
  </w:style>
  <w:style w:type="paragraph" w:customStyle="1" w:styleId="232">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样式 样式 标题 4 + 段后: 0.5 行1"/>
    <w:basedOn w:val="149"/>
    <w:next w:val="30"/>
    <w:qFormat/>
    <w:uiPriority w:val="99"/>
    <w:pPr>
      <w:spacing w:after="120"/>
    </w:pPr>
  </w:style>
  <w:style w:type="paragraph" w:customStyle="1" w:styleId="234">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235">
    <w:name w:val="文本框内文字"/>
    <w:basedOn w:val="1"/>
    <w:qFormat/>
    <w:uiPriority w:val="99"/>
    <w:pPr>
      <w:spacing w:line="240" w:lineRule="atLeast"/>
    </w:pPr>
    <w:rPr>
      <w:rFonts w:eastAsia="仿宋_GB2312"/>
      <w:sz w:val="22"/>
    </w:rPr>
  </w:style>
  <w:style w:type="paragraph" w:customStyle="1" w:styleId="236">
    <w:name w:val="样式 样式 标题 4 + 段后: 0.5 行 + 段后: 0.5 行"/>
    <w:basedOn w:val="149"/>
    <w:qFormat/>
    <w:uiPriority w:val="99"/>
  </w:style>
  <w:style w:type="paragraph" w:customStyle="1" w:styleId="237">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38">
    <w:name w:val="paragraph1"/>
    <w:basedOn w:val="1"/>
    <w:qFormat/>
    <w:uiPriority w:val="99"/>
    <w:pPr>
      <w:spacing w:afterLines="30" w:line="360" w:lineRule="auto"/>
      <w:ind w:firstLine="420" w:firstLineChars="200"/>
    </w:pPr>
    <w:rPr>
      <w:rFonts w:eastAsia="楷体_GB2312"/>
      <w:sz w:val="24"/>
      <w:szCs w:val="20"/>
    </w:rPr>
  </w:style>
  <w:style w:type="paragraph" w:customStyle="1" w:styleId="239">
    <w:name w:val="S4-L15-No"/>
    <w:basedOn w:val="191"/>
    <w:qFormat/>
    <w:uiPriority w:val="99"/>
    <w:pPr>
      <w:tabs>
        <w:tab w:val="left" w:pos="720"/>
      </w:tabs>
      <w:ind w:hanging="720"/>
    </w:pPr>
  </w:style>
  <w:style w:type="paragraph" w:customStyle="1" w:styleId="240">
    <w:name w:val="广咨正文"/>
    <w:basedOn w:val="1"/>
    <w:qFormat/>
    <w:uiPriority w:val="99"/>
    <w:pPr>
      <w:snapToGrid w:val="0"/>
      <w:spacing w:line="360" w:lineRule="auto"/>
      <w:ind w:firstLine="480" w:firstLineChars="200"/>
    </w:pPr>
    <w:rPr>
      <w:szCs w:val="20"/>
    </w:rPr>
  </w:style>
  <w:style w:type="paragraph" w:customStyle="1" w:styleId="241">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4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4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44">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4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46">
    <w:name w:val="正文段"/>
    <w:basedOn w:val="1"/>
    <w:qFormat/>
    <w:uiPriority w:val="99"/>
    <w:pPr>
      <w:widowControl/>
      <w:snapToGrid w:val="0"/>
      <w:spacing w:afterLines="50"/>
      <w:ind w:firstLine="200" w:firstLineChars="200"/>
    </w:pPr>
    <w:rPr>
      <w:kern w:val="0"/>
      <w:sz w:val="24"/>
      <w:szCs w:val="20"/>
    </w:rPr>
  </w:style>
  <w:style w:type="paragraph" w:customStyle="1" w:styleId="247">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0"/>
    </w:rPr>
  </w:style>
  <w:style w:type="paragraph" w:customStyle="1" w:styleId="248">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249">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0">
    <w:name w:val="样式 标题 4Chapter X.X.X. + 段后: 0.5 行1 + 段后: 0.5 行"/>
    <w:basedOn w:val="143"/>
    <w:qFormat/>
    <w:uiPriority w:val="99"/>
    <w:rPr>
      <w:szCs w:val="21"/>
    </w:rPr>
  </w:style>
  <w:style w:type="paragraph" w:customStyle="1" w:styleId="251">
    <w:name w:val="P1"/>
    <w:basedOn w:val="1"/>
    <w:qFormat/>
    <w:uiPriority w:val="99"/>
    <w:pPr>
      <w:widowControl/>
      <w:spacing w:before="240" w:line="240" w:lineRule="atLeast"/>
      <w:jc w:val="left"/>
    </w:pPr>
    <w:rPr>
      <w:b/>
      <w:kern w:val="0"/>
      <w:szCs w:val="21"/>
      <w:lang w:val="en-AU" w:eastAsia="en-US"/>
    </w:rPr>
  </w:style>
  <w:style w:type="paragraph" w:customStyle="1" w:styleId="252">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53">
    <w:name w:val="Char3 Char Char Char1"/>
    <w:basedOn w:val="1"/>
    <w:qFormat/>
    <w:uiPriority w:val="99"/>
    <w:pPr>
      <w:widowControl/>
      <w:spacing w:after="160" w:line="240" w:lineRule="exact"/>
      <w:jc w:val="left"/>
    </w:pPr>
  </w:style>
  <w:style w:type="paragraph" w:customStyle="1" w:styleId="254">
    <w:name w:val="默认段落字体 Para Char Char Char Char Char Char Char Char Char1 Char Char Char Char"/>
    <w:basedOn w:val="1"/>
    <w:qFormat/>
    <w:uiPriority w:val="99"/>
    <w:rPr>
      <w:rFonts w:ascii="Tahoma" w:hAnsi="Tahoma"/>
      <w:sz w:val="24"/>
      <w:szCs w:val="20"/>
    </w:rPr>
  </w:style>
  <w:style w:type="paragraph" w:styleId="255">
    <w:name w:val="List Paragraph"/>
    <w:basedOn w:val="1"/>
    <w:link w:val="256"/>
    <w:qFormat/>
    <w:uiPriority w:val="34"/>
    <w:pPr>
      <w:ind w:firstLine="420" w:firstLineChars="200"/>
    </w:pPr>
  </w:style>
  <w:style w:type="character" w:customStyle="1" w:styleId="256">
    <w:name w:val="列出段落 Char"/>
    <w:link w:val="255"/>
    <w:qFormat/>
    <w:uiPriority w:val="34"/>
    <w:rPr>
      <w:kern w:val="2"/>
      <w:sz w:val="21"/>
      <w:szCs w:val="24"/>
    </w:rPr>
  </w:style>
  <w:style w:type="character" w:customStyle="1" w:styleId="257">
    <w:name w:val="apple-converted-space"/>
    <w:basedOn w:val="49"/>
    <w:qFormat/>
    <w:uiPriority w:val="99"/>
  </w:style>
  <w:style w:type="character" w:customStyle="1" w:styleId="258">
    <w:name w:val="标题 2 Char1"/>
    <w:qFormat/>
    <w:uiPriority w:val="0"/>
    <w:rPr>
      <w:rFonts w:ascii="Arial" w:hAnsi="Arial" w:eastAsia="宋体"/>
      <w:b/>
      <w:bCs/>
      <w:kern w:val="2"/>
      <w:sz w:val="28"/>
      <w:szCs w:val="32"/>
      <w:lang w:val="en-US" w:eastAsia="zh-CN" w:bidi="ar-SA"/>
    </w:rPr>
  </w:style>
  <w:style w:type="paragraph" w:customStyle="1" w:styleId="259">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0">
    <w:name w:val="msoplaintext msoplain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1">
    <w:name w:val="壹"/>
    <w:basedOn w:val="262"/>
    <w:qFormat/>
    <w:uiPriority w:val="0"/>
    <w:pPr>
      <w:numPr>
        <w:ilvl w:val="0"/>
        <w:numId w:val="1"/>
      </w:numPr>
    </w:pPr>
  </w:style>
  <w:style w:type="paragraph" w:customStyle="1" w:styleId="262">
    <w:name w:val="一级标题"/>
    <w:basedOn w:val="1"/>
    <w:qFormat/>
    <w:uiPriority w:val="0"/>
    <w:pPr>
      <w:spacing w:line="360" w:lineRule="auto"/>
      <w:jc w:val="center"/>
      <w:outlineLvl w:val="0"/>
    </w:pPr>
    <w:rPr>
      <w:rFonts w:eastAsia="黑体"/>
      <w:b/>
      <w:sz w:val="36"/>
    </w:rPr>
  </w:style>
  <w:style w:type="paragraph" w:customStyle="1" w:styleId="263">
    <w:name w:val="贰"/>
    <w:basedOn w:val="264"/>
    <w:qFormat/>
    <w:uiPriority w:val="0"/>
    <w:pPr>
      <w:numPr>
        <w:ilvl w:val="1"/>
        <w:numId w:val="1"/>
      </w:numPr>
    </w:pPr>
    <w:rPr>
      <w:sz w:val="32"/>
    </w:rPr>
  </w:style>
  <w:style w:type="paragraph" w:customStyle="1" w:styleId="264">
    <w:name w:val="二级标题"/>
    <w:basedOn w:val="1"/>
    <w:qFormat/>
    <w:uiPriority w:val="0"/>
    <w:pPr>
      <w:widowControl/>
      <w:autoSpaceDE w:val="0"/>
      <w:autoSpaceDN w:val="0"/>
      <w:adjustRightInd w:val="0"/>
      <w:spacing w:line="360" w:lineRule="auto"/>
      <w:jc w:val="left"/>
      <w:outlineLvl w:val="1"/>
    </w:pPr>
    <w:rPr>
      <w:rFonts w:ascii="宋体" w:hAnsi="宋体" w:eastAsia="黑体"/>
      <w:b/>
      <w:kern w:val="0"/>
      <w:sz w:val="30"/>
      <w:szCs w:val="28"/>
    </w:rPr>
  </w:style>
  <w:style w:type="paragraph" w:customStyle="1" w:styleId="265">
    <w:name w:val="叁"/>
    <w:basedOn w:val="1"/>
    <w:qFormat/>
    <w:uiPriority w:val="0"/>
    <w:pPr>
      <w:numPr>
        <w:ilvl w:val="2"/>
        <w:numId w:val="1"/>
      </w:numPr>
      <w:spacing w:line="360" w:lineRule="auto"/>
      <w:outlineLvl w:val="2"/>
    </w:pPr>
    <w:rPr>
      <w:rFonts w:eastAsia="黑体"/>
      <w:b/>
      <w:sz w:val="30"/>
    </w:rPr>
  </w:style>
  <w:style w:type="paragraph" w:customStyle="1" w:styleId="266">
    <w:name w:val="肆"/>
    <w:basedOn w:val="265"/>
    <w:qFormat/>
    <w:uiPriority w:val="0"/>
    <w:pPr>
      <w:numPr>
        <w:ilvl w:val="3"/>
      </w:numPr>
      <w:outlineLvl w:val="3"/>
    </w:pPr>
    <w:rPr>
      <w:sz w:val="28"/>
    </w:rPr>
  </w:style>
  <w:style w:type="character" w:customStyle="1" w:styleId="267">
    <w:name w:val="font01"/>
    <w:basedOn w:val="49"/>
    <w:qFormat/>
    <w:uiPriority w:val="0"/>
    <w:rPr>
      <w:rFonts w:hint="eastAsia" w:ascii="宋体" w:hAnsi="宋体" w:eastAsia="宋体" w:cs="宋体"/>
      <w:color w:val="000000"/>
      <w:sz w:val="21"/>
      <w:szCs w:val="21"/>
      <w:u w:val="none"/>
    </w:rPr>
  </w:style>
  <w:style w:type="paragraph" w:customStyle="1" w:styleId="268">
    <w:name w:val="表格文字"/>
    <w:basedOn w:val="1"/>
    <w:next w:val="15"/>
    <w:qFormat/>
    <w:uiPriority w:val="0"/>
    <w:pPr>
      <w:jc w:val="center"/>
    </w:pPr>
    <w:rPr>
      <w:sz w:val="24"/>
      <w:szCs w:val="22"/>
    </w:rPr>
  </w:style>
  <w:style w:type="paragraph" w:customStyle="1" w:styleId="269">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paragraph" w:customStyle="1" w:styleId="270">
    <w:name w:val="Normal Indent1"/>
    <w:basedOn w:val="1"/>
    <w:qFormat/>
    <w:uiPriority w:val="0"/>
    <w:pPr>
      <w:ind w:firstLine="420" w:firstLineChars="200"/>
    </w:pPr>
  </w:style>
  <w:style w:type="paragraph" w:customStyle="1" w:styleId="271">
    <w:name w:val="Table Paragraph"/>
    <w:basedOn w:val="1"/>
    <w:qFormat/>
    <w:uiPriority w:val="1"/>
    <w:rPr>
      <w:rFonts w:ascii="微软雅黑" w:hAnsi="微软雅黑" w:eastAsia="微软雅黑" w:cs="微软雅黑"/>
      <w:lang w:val="zh-CN" w:bidi="zh-CN"/>
    </w:rPr>
  </w:style>
  <w:style w:type="paragraph" w:customStyle="1" w:styleId="272">
    <w:name w:val="样式 表格正文 + 两端对齐"/>
    <w:basedOn w:val="1"/>
    <w:next w:val="171"/>
    <w:qFormat/>
    <w:uiPriority w:val="0"/>
    <w:pPr>
      <w:spacing w:line="300" w:lineRule="auto"/>
    </w:pPr>
  </w:style>
  <w:style w:type="paragraph" w:customStyle="1" w:styleId="27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4">
    <w:name w:val="PlainText"/>
    <w:basedOn w:val="1"/>
    <w:next w:val="1"/>
    <w:qFormat/>
    <w:uiPriority w:val="0"/>
    <w:pPr>
      <w:spacing w:before="156" w:after="156" w:line="400" w:lineRule="exact"/>
      <w:textAlignment w:val="baseline"/>
    </w:pPr>
    <w:rPr>
      <w:rFonts w:ascii="宋体" w:hAnsi="Courier New"/>
      <w:sz w:val="24"/>
    </w:rPr>
  </w:style>
  <w:style w:type="character" w:customStyle="1" w:styleId="275">
    <w:name w:val="font31"/>
    <w:basedOn w:val="49"/>
    <w:qFormat/>
    <w:uiPriority w:val="0"/>
    <w:rPr>
      <w:rFonts w:hint="default" w:ascii="Times New Roman" w:hAnsi="Times New Roman" w:cs="Times New Roman"/>
      <w:color w:val="000000"/>
      <w:sz w:val="22"/>
      <w:szCs w:val="22"/>
      <w:u w:val="none"/>
    </w:rPr>
  </w:style>
  <w:style w:type="paragraph" w:customStyle="1" w:styleId="276">
    <w:name w:val="纯文本2"/>
    <w:basedOn w:val="1"/>
    <w:next w:val="1"/>
    <w:qFormat/>
    <w:uiPriority w:val="0"/>
    <w:pPr>
      <w:spacing w:before="156" w:beforeLines="50" w:after="156" w:afterLines="50" w:line="400" w:lineRule="exact"/>
    </w:pPr>
    <w:rPr>
      <w:rFonts w:ascii="宋体" w:hAnsi="Courier New"/>
      <w:sz w:val="24"/>
    </w:rPr>
  </w:style>
  <w:style w:type="character" w:customStyle="1" w:styleId="277">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78">
    <w:name w:val="标题 5（有编号）（绿盟科技）"/>
    <w:basedOn w:val="1"/>
    <w:next w:val="279"/>
    <w:qFormat/>
    <w:uiPriority w:val="99"/>
    <w:pPr>
      <w:keepNext/>
      <w:keepLines/>
      <w:numPr>
        <w:ilvl w:val="4"/>
        <w:numId w:val="2"/>
      </w:numPr>
      <w:spacing w:before="280" w:after="156" w:line="377" w:lineRule="auto"/>
      <w:outlineLvl w:val="4"/>
    </w:pPr>
    <w:rPr>
      <w:rFonts w:ascii="Arial" w:hAnsi="Arial" w:eastAsia="黑体" w:cs="Arial"/>
      <w:b/>
      <w:bCs/>
      <w:sz w:val="24"/>
    </w:rPr>
  </w:style>
  <w:style w:type="paragraph" w:customStyle="1" w:styleId="27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80">
    <w:name w:val="large1"/>
    <w:qFormat/>
    <w:uiPriority w:val="0"/>
    <w:rPr>
      <w:rFonts w:hint="eastAsia" w:ascii="宋体" w:hAnsi="宋体" w:eastAsia="宋体"/>
      <w:sz w:val="21"/>
      <w:szCs w:val="21"/>
    </w:rPr>
  </w:style>
  <w:style w:type="paragraph" w:customStyle="1" w:styleId="281">
    <w:name w:val="无间隔1"/>
    <w:qFormat/>
    <w:uiPriority w:val="0"/>
    <w:rPr>
      <w:rFonts w:ascii="Calibri" w:hAnsi="Calibri" w:eastAsia="Times New Roman" w:cs="Times New Roman"/>
      <w:kern w:val="2"/>
      <w:sz w:val="22"/>
      <w:szCs w:val="22"/>
      <w:lang w:val="en-US" w:eastAsia="zh-CN" w:bidi="ar-SA"/>
    </w:rPr>
  </w:style>
  <w:style w:type="character" w:customStyle="1" w:styleId="282">
    <w:name w:val="标题 2 Char2"/>
    <w:link w:val="4"/>
    <w:qFormat/>
    <w:uiPriority w:val="0"/>
    <w:rPr>
      <w:rFonts w:ascii="Arial" w:hAnsi="Arial" w:eastAsia="宋体"/>
      <w:b/>
      <w:bCs/>
      <w:kern w:val="2"/>
      <w:sz w:val="28"/>
      <w:szCs w:val="32"/>
      <w:lang w:val="en-US" w:eastAsia="zh-CN" w:bidi="ar-SA"/>
    </w:rPr>
  </w:style>
  <w:style w:type="paragraph" w:customStyle="1" w:styleId="283">
    <w:name w:val="UserStyle_41"/>
    <w:basedOn w:val="1"/>
    <w:qFormat/>
    <w:uiPriority w:val="0"/>
    <w:pPr>
      <w:spacing w:line="425" w:lineRule="auto"/>
      <w:ind w:firstLine="400"/>
    </w:pPr>
    <w:rPr>
      <w:rFonts w:ascii="宋体" w:hAnsi="宋体"/>
      <w:szCs w:val="28"/>
      <w:lang w:val="zh-TW" w:eastAsia="zh-TW" w:bidi="zh-TW"/>
    </w:rPr>
  </w:style>
  <w:style w:type="paragraph" w:customStyle="1" w:styleId="284">
    <w:name w:val="BodyText"/>
    <w:basedOn w:val="1"/>
    <w:next w:val="285"/>
    <w:qFormat/>
    <w:uiPriority w:val="0"/>
    <w:pPr>
      <w:tabs>
        <w:tab w:val="left" w:pos="208"/>
      </w:tabs>
      <w:spacing w:line="432" w:lineRule="auto"/>
      <w:textAlignment w:val="baseline"/>
    </w:pPr>
    <w:rPr>
      <w:rFonts w:ascii="仿宋_GB2312" w:eastAsia="仿宋_GB2312"/>
      <w:sz w:val="28"/>
      <w:szCs w:val="22"/>
    </w:rPr>
  </w:style>
  <w:style w:type="paragraph" w:customStyle="1" w:styleId="285">
    <w:name w:val="BodyText1I"/>
    <w:basedOn w:val="284"/>
    <w:qFormat/>
    <w:uiPriority w:val="0"/>
    <w:pPr>
      <w:spacing w:after="120" w:line="240" w:lineRule="auto"/>
      <w:ind w:firstLine="420" w:firstLineChars="100"/>
    </w:pPr>
    <w:rPr>
      <w:rFonts w:ascii="Times New Roman" w:eastAsia="宋体"/>
      <w:sz w:val="21"/>
    </w:rPr>
  </w:style>
  <w:style w:type="paragraph" w:customStyle="1" w:styleId="286">
    <w:name w:val="表格"/>
    <w:basedOn w:val="1"/>
    <w:qFormat/>
    <w:uiPriority w:val="0"/>
    <w:pPr>
      <w:snapToGrid w:val="0"/>
      <w:ind w:firstLine="21" w:firstLineChars="21"/>
    </w:pPr>
    <w:rPr>
      <w:rFonts w:ascii="宋体"/>
      <w:kern w:val="0"/>
      <w:sz w:val="20"/>
      <w:szCs w:val="20"/>
    </w:rPr>
  </w:style>
  <w:style w:type="paragraph" w:customStyle="1" w:styleId="287">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3604</Words>
  <Characters>4026</Characters>
  <Lines>170</Lines>
  <Paragraphs>47</Paragraphs>
  <TotalTime>4</TotalTime>
  <ScaleCrop>false</ScaleCrop>
  <LinksUpToDate>false</LinksUpToDate>
  <CharactersWithSpaces>4253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2024-10-07T07:38:00Z</dcterms:created>
  <dc:creator>Administrator</dc:creator>
  <cp:lastModifiedBy>54398</cp:lastModifiedBy>
  <cp:lastPrinted>2024-03-26T05:46:00Z</cp:lastPrinted>
  <dcterms:modified xsi:type="dcterms:W3CDTF">2024-12-31T04:18:16Z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1E94510DDEA24A47B60D2EDA4A93688D_13</vt:lpwstr>
  </property>
  <property fmtid="{D5CDD505-2E9C-101B-9397-08002B2CF9AE}" pid="4" name="KSOTemplateDocerSaveRecord">
    <vt:lpwstr>eyJoZGlkIjoiODFmMmEyMzBhMTNjZTZlNTM1Y2I3MmI3Nzk3Yzk0MzUifQ==</vt:lpwstr>
  </property>
</Properties>
</file>