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C23B5">
      <w:pPr>
        <w:spacing w:before="120" w:beforeLines="50" w:line="700" w:lineRule="exact"/>
        <w:jc w:val="center"/>
        <w:rPr>
          <w:rFonts w:ascii="宋体" w:hAnsi="宋体" w:cs="宋体"/>
          <w:b/>
          <w:bCs/>
          <w:sz w:val="36"/>
          <w:szCs w:val="36"/>
        </w:rPr>
      </w:pPr>
      <w:bookmarkStart w:id="0" w:name="_Toc7681"/>
    </w:p>
    <w:bookmarkEnd w:id="0"/>
    <w:p w14:paraId="3922F0D1">
      <w:pPr>
        <w:spacing w:before="120" w:beforeLines="50" w:line="700" w:lineRule="exact"/>
        <w:jc w:val="center"/>
        <w:outlineLvl w:val="0"/>
        <w:rPr>
          <w:rFonts w:ascii="宋体" w:hAnsi="宋体" w:cs="宋体"/>
          <w:b/>
          <w:bCs/>
          <w:sz w:val="36"/>
          <w:szCs w:val="36"/>
        </w:rPr>
      </w:pPr>
      <w:r>
        <w:rPr>
          <w:rFonts w:hint="eastAsia" w:ascii="宋体" w:hAnsi="宋体" w:cs="宋体"/>
          <w:b/>
          <w:bCs/>
          <w:sz w:val="36"/>
          <w:szCs w:val="36"/>
          <w:lang w:eastAsia="zh-CN"/>
        </w:rPr>
        <w:t>沉浸式演艺项目《幻境红楼梦》（暂名）配套设备及系统集成服务采购项目</w:t>
      </w:r>
      <w:r>
        <w:rPr>
          <w:rFonts w:hint="eastAsia" w:ascii="宋体" w:hAnsi="宋体" w:cs="宋体"/>
          <w:b/>
          <w:bCs/>
          <w:sz w:val="36"/>
          <w:szCs w:val="36"/>
        </w:rPr>
        <w:t xml:space="preserve"> </w:t>
      </w:r>
    </w:p>
    <w:p w14:paraId="4291D725">
      <w:pPr>
        <w:spacing w:before="120" w:beforeLines="50" w:line="360" w:lineRule="auto"/>
        <w:jc w:val="center"/>
        <w:outlineLvl w:val="0"/>
        <w:rPr>
          <w:rFonts w:ascii="宋体" w:hAnsi="宋体" w:cs="宋体"/>
          <w:b/>
          <w:bCs/>
          <w:sz w:val="28"/>
          <w:szCs w:val="28"/>
        </w:rPr>
      </w:pPr>
      <w:bookmarkStart w:id="1" w:name="_Toc9354"/>
      <w:bookmarkStart w:id="2" w:name="_Toc28453"/>
      <w:bookmarkStart w:id="3" w:name="_Toc11933"/>
      <w:r>
        <w:rPr>
          <w:rFonts w:hint="eastAsia" w:ascii="宋体" w:hAnsi="宋体" w:cs="宋体"/>
          <w:b/>
          <w:bCs/>
          <w:sz w:val="28"/>
          <w:szCs w:val="28"/>
        </w:rPr>
        <w:t>（项目编号：</w:t>
      </w:r>
      <w:r>
        <w:rPr>
          <w:rFonts w:hint="eastAsia" w:ascii="宋体" w:hAnsi="宋体" w:eastAsia="宋体" w:cs="宋体"/>
          <w:b/>
          <w:bCs/>
          <w:sz w:val="28"/>
          <w:szCs w:val="28"/>
        </w:rPr>
        <w:t>ZJSY-SZ2024N21</w:t>
      </w:r>
      <w:r>
        <w:rPr>
          <w:rFonts w:hint="eastAsia" w:ascii="宋体" w:hAnsi="宋体" w:cs="宋体"/>
          <w:b/>
          <w:bCs/>
          <w:sz w:val="28"/>
          <w:szCs w:val="28"/>
        </w:rPr>
        <w:t>）</w:t>
      </w:r>
      <w:bookmarkEnd w:id="1"/>
      <w:bookmarkEnd w:id="2"/>
      <w:bookmarkEnd w:id="3"/>
    </w:p>
    <w:p w14:paraId="098F2A2A">
      <w:pPr>
        <w:pStyle w:val="28"/>
        <w:rPr>
          <w:rFonts w:hAnsi="宋体"/>
          <w:b/>
          <w:bCs/>
        </w:rPr>
      </w:pPr>
    </w:p>
    <w:p w14:paraId="3342F9EB">
      <w:pPr>
        <w:pStyle w:val="19"/>
        <w:rPr>
          <w:rFonts w:ascii="宋体" w:hAnsi="宋体" w:cs="宋体"/>
        </w:rPr>
      </w:pPr>
    </w:p>
    <w:p w14:paraId="5C93864B">
      <w:pPr>
        <w:pStyle w:val="19"/>
        <w:rPr>
          <w:rFonts w:ascii="宋体" w:hAnsi="宋体" w:cs="宋体"/>
        </w:rPr>
      </w:pPr>
    </w:p>
    <w:p w14:paraId="7FA013EF">
      <w:pPr>
        <w:spacing w:before="120" w:beforeLines="50" w:line="360" w:lineRule="auto"/>
        <w:jc w:val="center"/>
        <w:outlineLvl w:val="0"/>
        <w:rPr>
          <w:rFonts w:ascii="宋体" w:hAnsi="宋体" w:cs="宋体"/>
          <w:sz w:val="56"/>
          <w:szCs w:val="56"/>
        </w:rPr>
      </w:pPr>
      <w:bookmarkStart w:id="4" w:name="_Toc32674"/>
      <w:bookmarkStart w:id="5" w:name="_Toc17047"/>
      <w:bookmarkStart w:id="6" w:name="_Toc29376"/>
      <w:r>
        <w:rPr>
          <w:rFonts w:hint="eastAsia" w:ascii="宋体" w:hAnsi="宋体" w:cs="宋体"/>
          <w:sz w:val="56"/>
          <w:szCs w:val="56"/>
        </w:rPr>
        <w:t>公开招标文件</w:t>
      </w:r>
      <w:bookmarkEnd w:id="4"/>
      <w:bookmarkEnd w:id="5"/>
      <w:bookmarkEnd w:id="6"/>
    </w:p>
    <w:p w14:paraId="521E3D13">
      <w:pPr>
        <w:snapToGrid w:val="0"/>
        <w:spacing w:before="120" w:beforeLines="50" w:line="360" w:lineRule="auto"/>
        <w:rPr>
          <w:rFonts w:ascii="宋体" w:hAnsi="宋体" w:cs="宋体"/>
          <w:sz w:val="30"/>
          <w:szCs w:val="30"/>
        </w:rPr>
      </w:pPr>
      <w:r>
        <w:rPr>
          <w:rFonts w:hint="eastAsia" w:ascii="宋体" w:hAnsi="宋体" w:cs="宋体"/>
          <w:sz w:val="30"/>
          <w:szCs w:val="30"/>
        </w:rPr>
        <w:t xml:space="preserve"> </w:t>
      </w:r>
    </w:p>
    <w:p w14:paraId="01E28029">
      <w:pPr>
        <w:pStyle w:val="17"/>
        <w:snapToGrid w:val="0"/>
        <w:spacing w:before="120" w:after="120" w:line="360" w:lineRule="auto"/>
        <w:jc w:val="center"/>
        <w:outlineLvl w:val="0"/>
        <w:rPr>
          <w:rFonts w:hAnsi="宋体"/>
          <w:b/>
          <w:bCs/>
          <w:sz w:val="36"/>
          <w:szCs w:val="36"/>
        </w:rPr>
      </w:pPr>
      <w:bookmarkStart w:id="7" w:name="_Toc22245"/>
      <w:bookmarkStart w:id="8" w:name="_Toc25846"/>
      <w:bookmarkStart w:id="9" w:name="_Toc4021"/>
      <w:r>
        <w:rPr>
          <w:rFonts w:hint="eastAsia" w:hAnsi="宋体"/>
          <w:b/>
          <w:bCs/>
          <w:sz w:val="36"/>
          <w:szCs w:val="36"/>
        </w:rPr>
        <w:t>（国企采购项目电子标）</w:t>
      </w:r>
      <w:bookmarkEnd w:id="7"/>
      <w:bookmarkEnd w:id="8"/>
      <w:bookmarkEnd w:id="9"/>
    </w:p>
    <w:p w14:paraId="57C1A172">
      <w:pPr>
        <w:pStyle w:val="17"/>
        <w:snapToGrid w:val="0"/>
        <w:spacing w:before="120" w:after="120" w:line="360" w:lineRule="auto"/>
        <w:ind w:firstLine="1343" w:firstLineChars="446"/>
        <w:rPr>
          <w:rFonts w:hAnsi="宋体"/>
          <w:b/>
          <w:bCs/>
          <w:sz w:val="30"/>
          <w:szCs w:val="30"/>
        </w:rPr>
      </w:pPr>
      <w:r>
        <w:rPr>
          <w:rFonts w:hint="eastAsia" w:hAnsi="宋体"/>
          <w:b/>
          <w:bCs/>
          <w:sz w:val="30"/>
          <w:szCs w:val="30"/>
        </w:rPr>
        <w:t xml:space="preserve"> </w:t>
      </w:r>
    </w:p>
    <w:p w14:paraId="5D07E2F8">
      <w:pPr>
        <w:adjustRightInd/>
        <w:spacing w:before="120" w:beforeLines="50" w:line="600" w:lineRule="exact"/>
        <w:ind w:firstLine="1506" w:firstLineChars="500"/>
        <w:rPr>
          <w:rFonts w:ascii="宋体" w:hAnsi="宋体" w:cs="宋体"/>
          <w:b/>
          <w:bCs/>
          <w:sz w:val="30"/>
          <w:szCs w:val="30"/>
        </w:rPr>
      </w:pPr>
    </w:p>
    <w:p w14:paraId="638C5C3E">
      <w:pPr>
        <w:adjustRightInd/>
        <w:spacing w:before="120" w:beforeLines="50" w:line="700" w:lineRule="exact"/>
        <w:rPr>
          <w:rFonts w:ascii="宋体" w:hAnsi="宋体" w:cs="宋体"/>
          <w:b/>
          <w:bCs/>
          <w:sz w:val="30"/>
          <w:szCs w:val="30"/>
        </w:rPr>
      </w:pPr>
    </w:p>
    <w:p w14:paraId="197DF87B">
      <w:pPr>
        <w:pStyle w:val="2"/>
        <w:jc w:val="both"/>
        <w:rPr>
          <w:rFonts w:ascii="宋体" w:hAnsi="宋体" w:cs="宋体"/>
        </w:rPr>
      </w:pPr>
    </w:p>
    <w:p w14:paraId="5599757B">
      <w:pPr>
        <w:adjustRightInd/>
        <w:spacing w:before="120" w:beforeLines="50" w:line="600" w:lineRule="exact"/>
        <w:ind w:firstLine="643" w:firstLineChars="200"/>
        <w:rPr>
          <w:rFonts w:ascii="宋体" w:hAnsi="宋体" w:cs="宋体"/>
          <w:b/>
          <w:bCs/>
          <w:sz w:val="32"/>
          <w:szCs w:val="32"/>
        </w:rPr>
      </w:pPr>
      <w:bookmarkStart w:id="10" w:name="_Toc18705"/>
    </w:p>
    <w:p w14:paraId="6E7AEB6C">
      <w:pPr>
        <w:adjustRightInd/>
        <w:spacing w:before="120" w:beforeLines="50" w:line="700" w:lineRule="exact"/>
        <w:ind w:firstLine="1285" w:firstLineChars="400"/>
        <w:outlineLvl w:val="0"/>
        <w:rPr>
          <w:rFonts w:ascii="宋体" w:hAnsi="宋体" w:cs="宋体"/>
          <w:b/>
          <w:bCs/>
          <w:sz w:val="32"/>
          <w:szCs w:val="32"/>
        </w:rPr>
      </w:pPr>
      <w:bookmarkStart w:id="11" w:name="_Toc6700"/>
      <w:bookmarkStart w:id="12" w:name="_Toc21368"/>
      <w:r>
        <w:rPr>
          <w:rFonts w:hint="eastAsia" w:ascii="宋体" w:hAnsi="宋体" w:cs="宋体"/>
          <w:b/>
          <w:bCs/>
          <w:sz w:val="32"/>
          <w:szCs w:val="32"/>
        </w:rPr>
        <w:t>采  购 单 位：</w:t>
      </w:r>
      <w:bookmarkEnd w:id="10"/>
      <w:bookmarkEnd w:id="11"/>
      <w:r>
        <w:rPr>
          <w:rFonts w:hint="eastAsia" w:ascii="宋体" w:hAnsi="宋体" w:cs="宋体"/>
          <w:b/>
          <w:bCs/>
          <w:sz w:val="32"/>
          <w:szCs w:val="32"/>
        </w:rPr>
        <w:t>嵊州市越风蕴秀影视传媒有限公司</w:t>
      </w:r>
      <w:bookmarkEnd w:id="12"/>
    </w:p>
    <w:p w14:paraId="0BE7D9D9">
      <w:pPr>
        <w:adjustRightInd/>
        <w:spacing w:before="120" w:beforeLines="50" w:line="700" w:lineRule="exact"/>
        <w:ind w:firstLine="1285" w:firstLineChars="400"/>
        <w:rPr>
          <w:rFonts w:ascii="宋体" w:hAnsi="宋体" w:cs="宋体"/>
          <w:b/>
          <w:bCs/>
          <w:sz w:val="32"/>
          <w:szCs w:val="32"/>
        </w:rPr>
      </w:pPr>
      <w:r>
        <w:rPr>
          <w:rFonts w:hint="eastAsia" w:ascii="宋体" w:hAnsi="宋体" w:cs="宋体"/>
          <w:b/>
          <w:bCs/>
          <w:sz w:val="32"/>
          <w:szCs w:val="32"/>
        </w:rPr>
        <w:t xml:space="preserve">采购代理机构：浙江商易项目管理有限公司 </w:t>
      </w:r>
    </w:p>
    <w:p w14:paraId="1918C5F2">
      <w:pPr>
        <w:autoSpaceDE w:val="0"/>
        <w:adjustRightInd/>
        <w:snapToGrid w:val="0"/>
        <w:spacing w:line="700" w:lineRule="exact"/>
        <w:ind w:firstLine="1285" w:firstLineChars="400"/>
        <w:outlineLvl w:val="0"/>
        <w:rPr>
          <w:rFonts w:ascii="宋体" w:hAnsi="宋体" w:cs="宋体"/>
          <w:b/>
          <w:bCs/>
          <w:sz w:val="32"/>
          <w:szCs w:val="32"/>
        </w:rPr>
      </w:pPr>
      <w:bookmarkStart w:id="13" w:name="_Toc3262"/>
      <w:bookmarkStart w:id="14" w:name="_Toc14505"/>
      <w:bookmarkStart w:id="15" w:name="_Toc29351"/>
      <w:r>
        <w:rPr>
          <w:rFonts w:hint="eastAsia" w:ascii="宋体" w:hAnsi="宋体" w:cs="宋体"/>
          <w:b/>
          <w:bCs/>
          <w:sz w:val="32"/>
          <w:szCs w:val="32"/>
        </w:rPr>
        <w:t>日        期：</w:t>
      </w:r>
      <w:bookmarkEnd w:id="13"/>
      <w:bookmarkEnd w:id="14"/>
      <w:r>
        <w:rPr>
          <w:rFonts w:hint="eastAsia" w:ascii="宋体" w:hAnsi="宋体" w:cs="宋体"/>
          <w:b/>
          <w:bCs/>
          <w:sz w:val="32"/>
          <w:szCs w:val="32"/>
        </w:rPr>
        <w:t>2024年1</w:t>
      </w:r>
      <w:r>
        <w:rPr>
          <w:rFonts w:hint="eastAsia" w:ascii="宋体" w:hAnsi="宋体" w:cs="宋体"/>
          <w:b/>
          <w:bCs/>
          <w:sz w:val="32"/>
          <w:szCs w:val="32"/>
          <w:lang w:val="en-US" w:eastAsia="zh-CN"/>
        </w:rPr>
        <w:t>1</w:t>
      </w:r>
      <w:r>
        <w:rPr>
          <w:rFonts w:hint="eastAsia" w:ascii="宋体" w:hAnsi="宋体" w:cs="宋体"/>
          <w:b/>
          <w:bCs/>
          <w:sz w:val="32"/>
          <w:szCs w:val="32"/>
        </w:rPr>
        <w:t>月</w:t>
      </w:r>
      <w:bookmarkEnd w:id="15"/>
      <w:r>
        <w:rPr>
          <w:rFonts w:hint="eastAsia" w:ascii="宋体" w:hAnsi="宋体" w:cs="宋体"/>
          <w:b/>
          <w:bCs/>
          <w:sz w:val="32"/>
          <w:szCs w:val="32"/>
        </w:rPr>
        <w:t xml:space="preserve"> </w:t>
      </w:r>
    </w:p>
    <w:p w14:paraId="767F38CF"/>
    <w:p w14:paraId="10F83AC1">
      <w:pPr>
        <w:pStyle w:val="2"/>
      </w:pPr>
    </w:p>
    <w:p w14:paraId="7F48E02E">
      <w:pPr>
        <w:adjustRightInd/>
        <w:spacing w:line="360" w:lineRule="auto"/>
        <w:jc w:val="center"/>
        <w:rPr>
          <w:rFonts w:ascii="宋体" w:hAnsi="宋体" w:cs="宋体"/>
          <w:b/>
          <w:sz w:val="32"/>
          <w:szCs w:val="32"/>
        </w:rPr>
      </w:pPr>
    </w:p>
    <w:p w14:paraId="340AE786">
      <w:pPr>
        <w:jc w:val="center"/>
        <w:rPr>
          <w:rFonts w:ascii="宋体" w:hAnsi="宋体"/>
          <w:sz w:val="32"/>
          <w:szCs w:val="32"/>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p>
    <w:p w14:paraId="3F2CBCA5">
      <w:pPr>
        <w:jc w:val="center"/>
        <w:rPr>
          <w:rFonts w:ascii="宋体" w:hAnsi="宋体"/>
          <w:b/>
          <w:bCs/>
          <w:sz w:val="32"/>
          <w:szCs w:val="32"/>
        </w:rPr>
      </w:pPr>
    </w:p>
    <w:p w14:paraId="2891A715">
      <w:pPr>
        <w:jc w:val="center"/>
        <w:rPr>
          <w:b/>
          <w:bCs/>
          <w:sz w:val="36"/>
          <w:szCs w:val="36"/>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p>
    <w:p w14:paraId="3165BA35">
      <w:pPr>
        <w:adjustRightInd/>
        <w:spacing w:line="360" w:lineRule="auto"/>
        <w:jc w:val="left"/>
        <w:rPr>
          <w:rFonts w:ascii="宋体" w:hAnsi="宋体" w:cs="宋体"/>
          <w:sz w:val="30"/>
          <w:szCs w:val="30"/>
        </w:rPr>
      </w:pPr>
    </w:p>
    <w:p w14:paraId="518B971A">
      <w:pPr>
        <w:adjustRightInd/>
        <w:spacing w:line="480" w:lineRule="auto"/>
        <w:jc w:val="left"/>
        <w:rPr>
          <w:rFonts w:ascii="宋体" w:hAnsi="宋体" w:cs="宋体"/>
          <w:sz w:val="30"/>
          <w:szCs w:val="30"/>
        </w:rPr>
      </w:pPr>
    </w:p>
    <w:p w14:paraId="2816B0CC">
      <w:pPr>
        <w:adjustRightInd/>
        <w:spacing w:line="480" w:lineRule="auto"/>
        <w:jc w:val="left"/>
        <w:rPr>
          <w:rFonts w:ascii="宋体" w:hAnsi="宋体" w:cs="宋体"/>
          <w:sz w:val="30"/>
          <w:szCs w:val="30"/>
        </w:rPr>
      </w:pPr>
      <w:r>
        <w:rPr>
          <w:rFonts w:hint="eastAsia" w:ascii="宋体" w:hAnsi="宋体" w:cs="宋体"/>
          <w:sz w:val="30"/>
          <w:szCs w:val="30"/>
        </w:rPr>
        <w:t>第一章 采购公告</w:t>
      </w:r>
      <w:r>
        <w:rPr>
          <w:rFonts w:hint="eastAsia" w:ascii="仿宋" w:eastAsia="仿宋" w:cs="仿宋"/>
        </w:rPr>
        <w:t xml:space="preserve">………………………………………………………………………………… </w:t>
      </w:r>
      <w:r>
        <w:rPr>
          <w:rFonts w:hint="eastAsia" w:ascii="宋体" w:hAnsi="宋体" w:cs="宋体"/>
          <w:sz w:val="30"/>
          <w:szCs w:val="30"/>
        </w:rPr>
        <w:t>1</w:t>
      </w:r>
    </w:p>
    <w:p w14:paraId="66BF322A">
      <w:pPr>
        <w:adjustRightInd/>
        <w:spacing w:line="480" w:lineRule="auto"/>
        <w:jc w:val="left"/>
        <w:rPr>
          <w:rFonts w:hint="eastAsia" w:ascii="宋体" w:hAnsi="宋体" w:eastAsia="仿宋" w:cs="宋体"/>
          <w:sz w:val="30"/>
          <w:szCs w:val="30"/>
          <w:lang w:eastAsia="zh-CN"/>
        </w:rPr>
      </w:pPr>
      <w:r>
        <w:rPr>
          <w:rFonts w:hint="eastAsia" w:ascii="宋体" w:hAnsi="宋体" w:cs="宋体"/>
          <w:sz w:val="30"/>
          <w:szCs w:val="30"/>
        </w:rPr>
        <w:t>第二章 投标人须知</w:t>
      </w:r>
      <w:r>
        <w:rPr>
          <w:rFonts w:hint="eastAsia" w:ascii="仿宋" w:eastAsia="仿宋" w:cs="仿宋"/>
        </w:rPr>
        <w:t>………………………………………………………………………………</w:t>
      </w:r>
      <w:r>
        <w:rPr>
          <w:rFonts w:hint="eastAsia" w:ascii="宋体" w:hAnsi="宋体" w:eastAsia="仿宋" w:cs="宋体"/>
          <w:sz w:val="30"/>
          <w:szCs w:val="30"/>
          <w:lang w:val="en-US" w:eastAsia="zh-CN"/>
        </w:rPr>
        <w:t>5</w:t>
      </w:r>
    </w:p>
    <w:p w14:paraId="39AD5687">
      <w:pPr>
        <w:adjustRightInd/>
        <w:spacing w:line="480" w:lineRule="auto"/>
        <w:jc w:val="left"/>
        <w:rPr>
          <w:rFonts w:hint="eastAsia" w:ascii="宋体" w:hAnsi="宋体" w:eastAsia="宋体" w:cs="宋体"/>
          <w:sz w:val="30"/>
          <w:szCs w:val="30"/>
          <w:lang w:eastAsia="zh-CN"/>
        </w:rPr>
      </w:pPr>
      <w:r>
        <w:rPr>
          <w:rFonts w:hint="eastAsia" w:ascii="宋体" w:hAnsi="宋体" w:cs="宋体"/>
          <w:sz w:val="30"/>
          <w:szCs w:val="30"/>
        </w:rPr>
        <w:t>第三章 采购需求</w:t>
      </w:r>
      <w:r>
        <w:rPr>
          <w:rFonts w:hint="eastAsia" w:ascii="仿宋" w:eastAsia="仿宋" w:cs="仿宋"/>
        </w:rPr>
        <w:t>…………………………………………………………………………………</w:t>
      </w:r>
      <w:r>
        <w:rPr>
          <w:rFonts w:hint="eastAsia" w:ascii="宋体" w:hAnsi="宋体" w:cs="宋体"/>
          <w:color w:val="auto"/>
          <w:sz w:val="30"/>
          <w:szCs w:val="30"/>
        </w:rPr>
        <w:t>2</w:t>
      </w:r>
      <w:r>
        <w:rPr>
          <w:rFonts w:hint="eastAsia" w:ascii="宋体" w:hAnsi="宋体" w:cs="宋体"/>
          <w:color w:val="auto"/>
          <w:sz w:val="30"/>
          <w:szCs w:val="30"/>
          <w:lang w:val="en-US" w:eastAsia="zh-CN"/>
        </w:rPr>
        <w:t>4</w:t>
      </w:r>
    </w:p>
    <w:p w14:paraId="6450E80A">
      <w:pPr>
        <w:adjustRightInd/>
        <w:spacing w:line="480" w:lineRule="auto"/>
        <w:jc w:val="left"/>
        <w:rPr>
          <w:rFonts w:hint="default" w:ascii="宋体" w:hAnsi="宋体" w:eastAsia="仿宋" w:cs="宋体"/>
          <w:sz w:val="30"/>
          <w:szCs w:val="30"/>
          <w:lang w:val="en-US" w:eastAsia="zh-CN"/>
        </w:rPr>
      </w:pPr>
      <w:r>
        <w:rPr>
          <w:rFonts w:hint="eastAsia" w:ascii="宋体" w:hAnsi="宋体" w:cs="宋体"/>
          <w:sz w:val="30"/>
          <w:szCs w:val="30"/>
        </w:rPr>
        <w:t>第四章 评标办法</w:t>
      </w:r>
      <w:r>
        <w:rPr>
          <w:rFonts w:hint="eastAsia" w:ascii="仿宋" w:eastAsia="仿宋" w:cs="仿宋"/>
        </w:rPr>
        <w:t>…………………………………………………………………………………</w:t>
      </w:r>
      <w:r>
        <w:rPr>
          <w:rFonts w:hint="eastAsia" w:ascii="宋体" w:hAnsi="宋体" w:eastAsia="仿宋" w:cs="宋体"/>
          <w:sz w:val="30"/>
          <w:szCs w:val="30"/>
          <w:lang w:val="en-US" w:eastAsia="zh-CN"/>
        </w:rPr>
        <w:t>41</w:t>
      </w:r>
    </w:p>
    <w:p w14:paraId="6F610969">
      <w:pPr>
        <w:adjustRightInd/>
        <w:spacing w:line="480" w:lineRule="auto"/>
        <w:jc w:val="left"/>
        <w:rPr>
          <w:rFonts w:hint="default" w:ascii="宋体" w:hAnsi="宋体" w:eastAsia="仿宋" w:cs="宋体"/>
          <w:sz w:val="30"/>
          <w:szCs w:val="30"/>
          <w:lang w:val="en-US" w:eastAsia="zh-CN"/>
        </w:rPr>
      </w:pPr>
      <w:r>
        <w:rPr>
          <w:rFonts w:hint="eastAsia" w:ascii="宋体" w:hAnsi="宋体" w:cs="宋体"/>
          <w:sz w:val="30"/>
          <w:szCs w:val="30"/>
        </w:rPr>
        <w:t>第五章 合同主要条款</w:t>
      </w:r>
      <w:r>
        <w:rPr>
          <w:rFonts w:hint="eastAsia" w:ascii="仿宋" w:eastAsia="仿宋" w:cs="仿宋"/>
        </w:rPr>
        <w:t>…………………………………………………………………………</w:t>
      </w:r>
      <w:r>
        <w:rPr>
          <w:rFonts w:hint="eastAsia" w:ascii="宋体" w:hAnsi="宋体" w:eastAsia="仿宋" w:cs="宋体"/>
          <w:sz w:val="30"/>
          <w:szCs w:val="30"/>
          <w:lang w:val="en-US" w:eastAsia="zh-CN"/>
        </w:rPr>
        <w:t>44</w:t>
      </w:r>
    </w:p>
    <w:p w14:paraId="6740F2A5">
      <w:pPr>
        <w:adjustRightInd/>
        <w:spacing w:line="480" w:lineRule="auto"/>
        <w:jc w:val="left"/>
        <w:rPr>
          <w:rFonts w:hint="default" w:ascii="宋体" w:hAnsi="宋体" w:eastAsia="仿宋" w:cs="宋体"/>
          <w:b/>
          <w:sz w:val="30"/>
          <w:szCs w:val="30"/>
          <w:lang w:val="en-US" w:eastAsia="zh-CN"/>
        </w:rPr>
      </w:pPr>
      <w:r>
        <w:rPr>
          <w:rFonts w:hint="eastAsia" w:ascii="宋体" w:hAnsi="宋体" w:cs="宋体"/>
          <w:sz w:val="30"/>
          <w:szCs w:val="30"/>
        </w:rPr>
        <w:t>第六章 投标文件格式</w:t>
      </w:r>
      <w:r>
        <w:rPr>
          <w:rFonts w:hint="eastAsia" w:ascii="仿宋" w:eastAsia="仿宋" w:cs="仿宋"/>
        </w:rPr>
        <w:t>…………………………………………………………………………</w:t>
      </w:r>
      <w:r>
        <w:rPr>
          <w:rFonts w:hint="eastAsia" w:ascii="宋体" w:hAnsi="宋体" w:eastAsia="仿宋" w:cs="宋体"/>
          <w:sz w:val="30"/>
          <w:szCs w:val="30"/>
          <w:lang w:val="en-US" w:eastAsia="zh-CN"/>
        </w:rPr>
        <w:t>48</w:t>
      </w:r>
    </w:p>
    <w:p w14:paraId="5DF6E4FB">
      <w:pPr>
        <w:adjustRightInd/>
        <w:spacing w:line="360" w:lineRule="auto"/>
        <w:jc w:val="center"/>
        <w:rPr>
          <w:rFonts w:ascii="宋体" w:hAnsi="宋体" w:cs="宋体"/>
          <w:b/>
          <w:sz w:val="32"/>
          <w:szCs w:val="32"/>
        </w:rPr>
      </w:pPr>
    </w:p>
    <w:p w14:paraId="736E6A59">
      <w:pPr>
        <w:adjustRightInd/>
        <w:spacing w:line="360" w:lineRule="auto"/>
        <w:jc w:val="center"/>
        <w:rPr>
          <w:rFonts w:ascii="宋体" w:hAnsi="宋体" w:cs="宋体"/>
          <w:b/>
          <w:sz w:val="32"/>
          <w:szCs w:val="32"/>
        </w:rPr>
      </w:pPr>
    </w:p>
    <w:p w14:paraId="5AB65517">
      <w:pPr>
        <w:adjustRightInd/>
        <w:spacing w:line="360" w:lineRule="auto"/>
        <w:jc w:val="center"/>
        <w:rPr>
          <w:rFonts w:ascii="宋体" w:hAnsi="宋体" w:cs="宋体"/>
          <w:b/>
          <w:sz w:val="32"/>
          <w:szCs w:val="32"/>
        </w:rPr>
      </w:pPr>
    </w:p>
    <w:p w14:paraId="4C829693">
      <w:pPr>
        <w:adjustRightInd/>
        <w:spacing w:line="360" w:lineRule="auto"/>
        <w:jc w:val="center"/>
        <w:rPr>
          <w:rFonts w:ascii="宋体" w:hAnsi="宋体" w:cs="宋体"/>
          <w:b/>
          <w:sz w:val="32"/>
          <w:szCs w:val="32"/>
        </w:rPr>
      </w:pPr>
    </w:p>
    <w:p w14:paraId="681FBAF6">
      <w:pPr>
        <w:adjustRightInd/>
        <w:spacing w:line="360" w:lineRule="auto"/>
        <w:jc w:val="center"/>
        <w:rPr>
          <w:rFonts w:ascii="宋体" w:hAnsi="宋体" w:cs="宋体"/>
          <w:b/>
          <w:sz w:val="32"/>
          <w:szCs w:val="32"/>
        </w:rPr>
      </w:pPr>
    </w:p>
    <w:p w14:paraId="5CEAEB4A">
      <w:pPr>
        <w:adjustRightInd/>
        <w:spacing w:line="360" w:lineRule="auto"/>
        <w:jc w:val="center"/>
        <w:rPr>
          <w:rFonts w:ascii="宋体" w:hAnsi="宋体" w:cs="宋体"/>
          <w:b/>
          <w:sz w:val="32"/>
          <w:szCs w:val="32"/>
        </w:rPr>
      </w:pPr>
    </w:p>
    <w:p w14:paraId="0FC28F47">
      <w:pPr>
        <w:adjustRightInd/>
        <w:spacing w:line="360" w:lineRule="auto"/>
        <w:jc w:val="center"/>
        <w:rPr>
          <w:rFonts w:ascii="宋体" w:hAnsi="宋体" w:cs="宋体"/>
          <w:b/>
          <w:sz w:val="32"/>
          <w:szCs w:val="32"/>
        </w:rPr>
      </w:pPr>
    </w:p>
    <w:p w14:paraId="6504AD22">
      <w:pPr>
        <w:adjustRightInd/>
        <w:spacing w:line="360" w:lineRule="auto"/>
        <w:jc w:val="center"/>
        <w:rPr>
          <w:rFonts w:ascii="宋体" w:hAnsi="宋体" w:cs="宋体"/>
          <w:b/>
          <w:sz w:val="32"/>
          <w:szCs w:val="32"/>
        </w:rPr>
      </w:pPr>
    </w:p>
    <w:p w14:paraId="5F3E2AEB">
      <w:pPr>
        <w:adjustRightInd/>
        <w:spacing w:line="360" w:lineRule="auto"/>
        <w:jc w:val="center"/>
        <w:rPr>
          <w:rFonts w:ascii="宋体" w:hAnsi="宋体" w:cs="宋体"/>
          <w:b/>
          <w:sz w:val="32"/>
          <w:szCs w:val="32"/>
        </w:rPr>
      </w:pPr>
    </w:p>
    <w:p w14:paraId="1AAF8310">
      <w:pPr>
        <w:adjustRightInd/>
        <w:spacing w:line="360" w:lineRule="auto"/>
        <w:jc w:val="center"/>
        <w:outlineLvl w:val="0"/>
        <w:rPr>
          <w:rFonts w:ascii="宋体" w:hAnsi="宋体" w:cs="宋体"/>
          <w:b/>
          <w:sz w:val="32"/>
          <w:szCs w:val="32"/>
        </w:rPr>
        <w:sectPr>
          <w:footerReference r:id="rId7" w:type="first"/>
          <w:footerReference r:id="rId6" w:type="default"/>
          <w:pgSz w:w="11906" w:h="16838"/>
          <w:pgMar w:top="1134" w:right="1417" w:bottom="1134" w:left="1417" w:header="851" w:footer="992" w:gutter="0"/>
          <w:pgNumType w:start="1"/>
          <w:cols w:space="720" w:num="1"/>
          <w:docGrid w:linePitch="312" w:charSpace="0"/>
        </w:sectPr>
      </w:pPr>
      <w:bookmarkStart w:id="16" w:name="_Toc2260"/>
    </w:p>
    <w:p w14:paraId="1B4DDB8D">
      <w:pPr>
        <w:pageBreakBefore w:val="0"/>
        <w:kinsoku/>
        <w:wordWrap/>
        <w:overflowPunct/>
        <w:topLinePunct w:val="0"/>
        <w:autoSpaceDE/>
        <w:autoSpaceDN/>
        <w:bidi w:val="0"/>
        <w:adjustRightInd/>
        <w:spacing w:line="440" w:lineRule="exact"/>
        <w:jc w:val="center"/>
        <w:outlineLvl w:val="0"/>
        <w:rPr>
          <w:rFonts w:ascii="宋体" w:hAnsi="宋体" w:cs="宋体"/>
          <w:b/>
          <w:sz w:val="32"/>
          <w:szCs w:val="32"/>
        </w:rPr>
      </w:pPr>
      <w:bookmarkStart w:id="17" w:name="_Toc26264"/>
      <w:r>
        <w:rPr>
          <w:rFonts w:hint="eastAsia" w:ascii="宋体" w:hAnsi="宋体" w:cs="宋体"/>
          <w:b/>
          <w:sz w:val="32"/>
          <w:szCs w:val="32"/>
        </w:rPr>
        <w:t>第一章 采购公告</w:t>
      </w:r>
      <w:bookmarkEnd w:id="16"/>
      <w:bookmarkEnd w:id="17"/>
    </w:p>
    <w:p w14:paraId="1DF55A65">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40" w:lineRule="exact"/>
        <w:ind w:firstLine="480" w:firstLineChars="200"/>
        <w:rPr>
          <w:rFonts w:ascii="宋体" w:hAnsi="宋体" w:cs="宋体"/>
          <w:sz w:val="24"/>
        </w:rPr>
      </w:pPr>
      <w:r>
        <w:rPr>
          <w:rFonts w:hint="eastAsia" w:ascii="宋体" w:hAnsi="宋体" w:cs="宋体"/>
          <w:sz w:val="24"/>
        </w:rPr>
        <w:t>项目概况</w:t>
      </w:r>
    </w:p>
    <w:p w14:paraId="530E8401">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40" w:lineRule="exact"/>
        <w:ind w:firstLine="480" w:firstLineChars="200"/>
        <w:rPr>
          <w:rFonts w:ascii="宋体" w:hAnsi="宋体" w:cs="宋体"/>
          <w:sz w:val="24"/>
          <w:u w:val="single"/>
        </w:rPr>
      </w:pPr>
      <w:r>
        <w:rPr>
          <w:rFonts w:hint="eastAsia" w:ascii="宋体" w:hAnsi="宋体" w:cs="宋体"/>
          <w:sz w:val="24"/>
          <w:u w:val="single"/>
          <w:lang w:eastAsia="zh-CN"/>
        </w:rPr>
        <w:t>沉浸式演艺项目《幻境红楼梦》（暂名）配套设备及系统集成服务采购项目</w:t>
      </w:r>
      <w:r>
        <w:rPr>
          <w:rFonts w:hint="eastAsia" w:ascii="宋体" w:hAnsi="宋体" w:cs="宋体"/>
          <w:sz w:val="24"/>
        </w:rPr>
        <w:t>的潜在投标人应在乐采云平台（</w:t>
      </w:r>
      <w:r>
        <w:fldChar w:fldCharType="begin"/>
      </w:r>
      <w:r>
        <w:instrText xml:space="preserve"> HYPERLINK "https://www.lecaiyun.com/）获取（下载）采购文件，并于2024年12月Y日09点00分00秒" </w:instrText>
      </w:r>
      <w:r>
        <w:fldChar w:fldCharType="separate"/>
      </w:r>
      <w:r>
        <w:rPr>
          <w:rStyle w:val="33"/>
          <w:rFonts w:hint="eastAsia" w:ascii="宋体" w:hAnsi="宋体" w:eastAsia="宋体" w:cs="宋体"/>
          <w:snapToGrid/>
          <w:kern w:val="2"/>
          <w:sz w:val="24"/>
          <w:szCs w:val="24"/>
        </w:rPr>
        <w:t>https://www.lecaiyun.com/）获取（下载）采购文件，并于</w:t>
      </w:r>
      <w:r>
        <w:rPr>
          <w:rStyle w:val="33"/>
          <w:rFonts w:hint="eastAsia" w:ascii="宋体" w:hAnsi="宋体" w:eastAsia="宋体" w:cs="宋体"/>
          <w:snapToGrid/>
          <w:kern w:val="2"/>
          <w:sz w:val="24"/>
          <w:szCs w:val="24"/>
          <w:lang w:eastAsia="zh-CN"/>
        </w:rPr>
        <w:t>2024年12月20日</w:t>
      </w:r>
      <w:r>
        <w:rPr>
          <w:rStyle w:val="33"/>
          <w:rFonts w:hint="eastAsia" w:ascii="宋体" w:hAnsi="宋体" w:eastAsia="宋体" w:cs="宋体"/>
          <w:snapToGrid/>
          <w:kern w:val="2"/>
          <w:sz w:val="24"/>
          <w:szCs w:val="24"/>
        </w:rPr>
        <w:t>09</w:t>
      </w:r>
      <w:r>
        <w:rPr>
          <w:rStyle w:val="33"/>
          <w:rFonts w:hint="eastAsia" w:ascii="宋体" w:hAnsi="宋体" w:eastAsia="宋体" w:cs="宋体"/>
          <w:snapToGrid/>
          <w:kern w:val="2"/>
          <w:sz w:val="24"/>
          <w:szCs w:val="24"/>
        </w:rPr>
        <w:t>点00分00秒</w:t>
      </w:r>
      <w:r>
        <w:rPr>
          <w:rStyle w:val="33"/>
          <w:rFonts w:hint="eastAsia" w:ascii="宋体" w:hAnsi="宋体" w:eastAsia="宋体" w:cs="宋体"/>
          <w:snapToGrid/>
          <w:kern w:val="2"/>
          <w:sz w:val="24"/>
          <w:szCs w:val="24"/>
        </w:rPr>
        <w:fldChar w:fldCharType="end"/>
      </w:r>
      <w:r>
        <w:rPr>
          <w:rFonts w:hint="eastAsia" w:ascii="宋体" w:hAnsi="宋体" w:cs="宋体"/>
          <w:sz w:val="24"/>
        </w:rPr>
        <w:t>（北京时间）前递交（上传）投标文件。</w:t>
      </w:r>
    </w:p>
    <w:p w14:paraId="7A538507">
      <w:pPr>
        <w:pageBreakBefore w:val="0"/>
        <w:kinsoku/>
        <w:wordWrap/>
        <w:overflowPunct/>
        <w:topLinePunct w:val="0"/>
        <w:autoSpaceDE/>
        <w:autoSpaceDN/>
        <w:bidi w:val="0"/>
        <w:spacing w:line="440" w:lineRule="exact"/>
        <w:rPr>
          <w:rFonts w:ascii="宋体" w:hAnsi="宋体" w:cs="宋体"/>
          <w:b/>
          <w:sz w:val="24"/>
        </w:rPr>
      </w:pPr>
      <w:r>
        <w:rPr>
          <w:rFonts w:hint="eastAsia" w:ascii="宋体" w:hAnsi="宋体" w:cs="宋体"/>
          <w:b/>
          <w:sz w:val="24"/>
        </w:rPr>
        <w:t xml:space="preserve">一、项目基本情况                                            </w:t>
      </w:r>
    </w:p>
    <w:p w14:paraId="706B1365">
      <w:pPr>
        <w:pageBreakBefore w:val="0"/>
        <w:kinsoku/>
        <w:wordWrap/>
        <w:overflowPunct/>
        <w:topLinePunct w:val="0"/>
        <w:autoSpaceDE/>
        <w:autoSpaceDN/>
        <w:bidi w:val="0"/>
        <w:spacing w:line="440" w:lineRule="exact"/>
        <w:rPr>
          <w:rFonts w:ascii="宋体" w:hAnsi="宋体" w:cs="宋体"/>
          <w:sz w:val="24"/>
        </w:rPr>
      </w:pPr>
      <w:r>
        <w:rPr>
          <w:rFonts w:hint="eastAsia" w:ascii="宋体" w:hAnsi="宋体" w:cs="宋体"/>
          <w:sz w:val="24"/>
        </w:rPr>
        <w:t xml:space="preserve">    </w:t>
      </w:r>
      <w:r>
        <w:rPr>
          <w:rFonts w:hint="eastAsia" w:ascii="宋体" w:hAnsi="宋体" w:cs="宋体"/>
          <w:b/>
          <w:bCs/>
          <w:sz w:val="24"/>
        </w:rPr>
        <w:t>1.</w:t>
      </w:r>
      <w:r>
        <w:rPr>
          <w:rFonts w:hint="eastAsia" w:ascii="宋体" w:hAnsi="宋体" w:cs="宋体"/>
          <w:b/>
          <w:sz w:val="24"/>
        </w:rPr>
        <w:t>项目编号：</w:t>
      </w:r>
      <w:r>
        <w:rPr>
          <w:rFonts w:hint="eastAsia" w:ascii="宋体" w:hAnsi="宋体" w:cs="宋体"/>
          <w:sz w:val="24"/>
        </w:rPr>
        <w:t>ZJSY-SZ2024N21</w:t>
      </w:r>
    </w:p>
    <w:p w14:paraId="5737042F">
      <w:pPr>
        <w:pageBreakBefore w:val="0"/>
        <w:kinsoku/>
        <w:wordWrap/>
        <w:overflowPunct/>
        <w:topLinePunct w:val="0"/>
        <w:autoSpaceDE/>
        <w:autoSpaceDN/>
        <w:bidi w:val="0"/>
        <w:spacing w:line="440" w:lineRule="exact"/>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2.项目名称：</w:t>
      </w:r>
      <w:r>
        <w:rPr>
          <w:rFonts w:hint="eastAsia" w:ascii="宋体" w:hAnsi="宋体" w:cs="宋体"/>
          <w:sz w:val="24"/>
          <w:lang w:eastAsia="zh-CN"/>
        </w:rPr>
        <w:t>沉浸式演艺项目《幻境红楼梦》（暂名）配套设备及系统集成服务采购项目</w:t>
      </w:r>
    </w:p>
    <w:p w14:paraId="7C1D55C2">
      <w:pPr>
        <w:pageBreakBefore w:val="0"/>
        <w:kinsoku/>
        <w:wordWrap/>
        <w:overflowPunct/>
        <w:topLinePunct w:val="0"/>
        <w:autoSpaceDE/>
        <w:autoSpaceDN/>
        <w:bidi w:val="0"/>
        <w:spacing w:line="440" w:lineRule="exact"/>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3.预算金额（元）：</w:t>
      </w:r>
      <w:r>
        <w:rPr>
          <w:rFonts w:hint="eastAsia" w:ascii="宋体" w:hAnsi="宋体" w:cs="宋体"/>
          <w:sz w:val="24"/>
          <w:lang w:eastAsia="zh-CN"/>
        </w:rPr>
        <w:t>2200000</w:t>
      </w:r>
      <w:r>
        <w:rPr>
          <w:rFonts w:hint="eastAsia" w:ascii="宋体" w:hAnsi="宋体" w:cs="宋体"/>
          <w:sz w:val="24"/>
        </w:rPr>
        <w:t>元</w:t>
      </w:r>
    </w:p>
    <w:p w14:paraId="6B2C9E43">
      <w:pPr>
        <w:pStyle w:val="7"/>
        <w:pageBreakBefore w:val="0"/>
        <w:kinsoku/>
        <w:wordWrap/>
        <w:overflowPunct/>
        <w:topLinePunct w:val="0"/>
        <w:autoSpaceDE/>
        <w:autoSpaceDN/>
        <w:bidi w:val="0"/>
        <w:spacing w:line="440" w:lineRule="exact"/>
        <w:ind w:firstLine="480"/>
        <w:rPr>
          <w:rFonts w:hAnsi="宋体" w:cs="宋体"/>
          <w:b/>
          <w:color w:val="auto"/>
          <w:sz w:val="24"/>
          <w:szCs w:val="24"/>
        </w:rPr>
      </w:pPr>
      <w:r>
        <w:rPr>
          <w:rFonts w:hint="eastAsia" w:hAnsi="宋体" w:cs="宋体"/>
          <w:b/>
          <w:color w:val="auto"/>
          <w:sz w:val="24"/>
          <w:szCs w:val="24"/>
        </w:rPr>
        <w:t>4.采购需求：</w:t>
      </w:r>
    </w:p>
    <w:tbl>
      <w:tblPr>
        <w:tblStyle w:val="29"/>
        <w:tblW w:w="8925" w:type="dxa"/>
        <w:tblInd w:w="-9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687"/>
        <w:gridCol w:w="2463"/>
        <w:gridCol w:w="850"/>
        <w:gridCol w:w="816"/>
        <w:gridCol w:w="1646"/>
        <w:gridCol w:w="1814"/>
        <w:gridCol w:w="649"/>
      </w:tblGrid>
      <w:tr w14:paraId="2AC5043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25" w:hRule="atLeast"/>
        </w:trPr>
        <w:tc>
          <w:tcPr>
            <w:tcW w:w="687" w:type="dxa"/>
            <w:tcBorders>
              <w:top w:val="single" w:color="000000" w:sz="4" w:space="0"/>
              <w:left w:val="single" w:color="000000" w:sz="4" w:space="0"/>
              <w:bottom w:val="single" w:color="000000" w:sz="4" w:space="0"/>
              <w:right w:val="single" w:color="000000" w:sz="4" w:space="0"/>
            </w:tcBorders>
            <w:vAlign w:val="center"/>
          </w:tcPr>
          <w:p w14:paraId="60351236">
            <w:pPr>
              <w:pageBreakBefore w:val="0"/>
              <w:kinsoku/>
              <w:wordWrap/>
              <w:overflowPunct/>
              <w:topLinePunct w:val="0"/>
              <w:autoSpaceDE/>
              <w:autoSpaceDN/>
              <w:bidi w:val="0"/>
              <w:snapToGrid w:val="0"/>
              <w:spacing w:line="440" w:lineRule="exact"/>
              <w:jc w:val="center"/>
              <w:rPr>
                <w:rStyle w:val="38"/>
                <w:rFonts w:ascii="宋体" w:cs="宋体"/>
                <w:bCs/>
                <w:sz w:val="24"/>
              </w:rPr>
            </w:pPr>
            <w:r>
              <w:rPr>
                <w:rStyle w:val="38"/>
                <w:rFonts w:ascii="宋体" w:cs="宋体"/>
                <w:bCs/>
                <w:sz w:val="24"/>
              </w:rPr>
              <w:t>序号</w:t>
            </w:r>
          </w:p>
        </w:tc>
        <w:tc>
          <w:tcPr>
            <w:tcW w:w="2463" w:type="dxa"/>
            <w:tcBorders>
              <w:top w:val="single" w:color="000000" w:sz="4" w:space="0"/>
              <w:left w:val="single" w:color="000000" w:sz="4" w:space="0"/>
              <w:bottom w:val="single" w:color="000000" w:sz="4" w:space="0"/>
              <w:right w:val="single" w:color="000000" w:sz="4" w:space="0"/>
            </w:tcBorders>
            <w:vAlign w:val="center"/>
          </w:tcPr>
          <w:p w14:paraId="4D1234D6">
            <w:pPr>
              <w:pageBreakBefore w:val="0"/>
              <w:kinsoku/>
              <w:wordWrap/>
              <w:overflowPunct/>
              <w:topLinePunct w:val="0"/>
              <w:autoSpaceDE/>
              <w:autoSpaceDN/>
              <w:bidi w:val="0"/>
              <w:snapToGrid w:val="0"/>
              <w:spacing w:line="440" w:lineRule="exact"/>
              <w:jc w:val="center"/>
              <w:rPr>
                <w:rStyle w:val="38"/>
                <w:rFonts w:ascii="宋体" w:cs="宋体"/>
                <w:bCs/>
                <w:sz w:val="24"/>
              </w:rPr>
            </w:pPr>
            <w:r>
              <w:rPr>
                <w:rStyle w:val="38"/>
                <w:rFonts w:ascii="宋体" w:cs="宋体"/>
                <w:bCs/>
                <w:sz w:val="24"/>
              </w:rPr>
              <w:t>采购内容</w:t>
            </w:r>
          </w:p>
        </w:tc>
        <w:tc>
          <w:tcPr>
            <w:tcW w:w="850" w:type="dxa"/>
            <w:tcBorders>
              <w:top w:val="single" w:color="000000" w:sz="4" w:space="0"/>
              <w:left w:val="single" w:color="000000" w:sz="4" w:space="0"/>
              <w:bottom w:val="single" w:color="000000" w:sz="4" w:space="0"/>
              <w:right w:val="single" w:color="000000" w:sz="4" w:space="0"/>
            </w:tcBorders>
            <w:vAlign w:val="center"/>
          </w:tcPr>
          <w:p w14:paraId="57820F48">
            <w:pPr>
              <w:pageBreakBefore w:val="0"/>
              <w:kinsoku/>
              <w:wordWrap/>
              <w:overflowPunct/>
              <w:topLinePunct w:val="0"/>
              <w:autoSpaceDE/>
              <w:autoSpaceDN/>
              <w:bidi w:val="0"/>
              <w:snapToGrid w:val="0"/>
              <w:spacing w:line="440" w:lineRule="exact"/>
              <w:jc w:val="center"/>
              <w:rPr>
                <w:rFonts w:ascii="宋体" w:cs="宋体"/>
                <w:bCs/>
                <w:sz w:val="24"/>
              </w:rPr>
            </w:pPr>
            <w:r>
              <w:rPr>
                <w:rStyle w:val="38"/>
                <w:rFonts w:ascii="宋体" w:cs="宋体"/>
                <w:bCs/>
                <w:sz w:val="24"/>
              </w:rPr>
              <w:t>数量</w:t>
            </w:r>
          </w:p>
        </w:tc>
        <w:tc>
          <w:tcPr>
            <w:tcW w:w="816" w:type="dxa"/>
            <w:tcBorders>
              <w:top w:val="single" w:color="000000" w:sz="4" w:space="0"/>
              <w:left w:val="single" w:color="000000" w:sz="4" w:space="0"/>
              <w:bottom w:val="single" w:color="000000" w:sz="4" w:space="0"/>
              <w:right w:val="single" w:color="000000" w:sz="4" w:space="0"/>
            </w:tcBorders>
            <w:vAlign w:val="center"/>
          </w:tcPr>
          <w:p w14:paraId="56AE0D05">
            <w:pPr>
              <w:pageBreakBefore w:val="0"/>
              <w:kinsoku/>
              <w:wordWrap/>
              <w:overflowPunct/>
              <w:topLinePunct w:val="0"/>
              <w:autoSpaceDE/>
              <w:autoSpaceDN/>
              <w:bidi w:val="0"/>
              <w:snapToGrid w:val="0"/>
              <w:spacing w:line="440" w:lineRule="exact"/>
              <w:jc w:val="center"/>
              <w:rPr>
                <w:rStyle w:val="38"/>
                <w:rFonts w:ascii="宋体" w:cs="宋体"/>
                <w:bCs/>
                <w:sz w:val="24"/>
              </w:rPr>
            </w:pPr>
            <w:r>
              <w:rPr>
                <w:rStyle w:val="38"/>
                <w:rFonts w:hint="eastAsia" w:ascii="宋体" w:cs="宋体"/>
                <w:bCs/>
                <w:sz w:val="24"/>
              </w:rPr>
              <w:t>单位</w:t>
            </w:r>
          </w:p>
        </w:tc>
        <w:tc>
          <w:tcPr>
            <w:tcW w:w="1646" w:type="dxa"/>
            <w:tcBorders>
              <w:top w:val="single" w:color="000000" w:sz="4" w:space="0"/>
              <w:left w:val="single" w:color="000000" w:sz="4" w:space="0"/>
              <w:bottom w:val="single" w:color="000000" w:sz="4" w:space="0"/>
              <w:right w:val="single" w:color="000000" w:sz="4" w:space="0"/>
            </w:tcBorders>
            <w:vAlign w:val="center"/>
          </w:tcPr>
          <w:p w14:paraId="2D0C33EC">
            <w:pPr>
              <w:pageBreakBefore w:val="0"/>
              <w:kinsoku/>
              <w:wordWrap/>
              <w:overflowPunct/>
              <w:topLinePunct w:val="0"/>
              <w:autoSpaceDE/>
              <w:autoSpaceDN/>
              <w:bidi w:val="0"/>
              <w:snapToGrid w:val="0"/>
              <w:spacing w:line="440" w:lineRule="exact"/>
              <w:jc w:val="center"/>
              <w:rPr>
                <w:rStyle w:val="38"/>
                <w:rFonts w:ascii="宋体" w:cs="宋体"/>
                <w:bCs/>
                <w:sz w:val="24"/>
              </w:rPr>
            </w:pPr>
            <w:r>
              <w:rPr>
                <w:rStyle w:val="38"/>
                <w:rFonts w:ascii="宋体" w:cs="宋体"/>
                <w:bCs/>
                <w:sz w:val="24"/>
              </w:rPr>
              <w:t>预算价</w:t>
            </w:r>
          </w:p>
          <w:p w14:paraId="5780B3EB">
            <w:pPr>
              <w:pageBreakBefore w:val="0"/>
              <w:kinsoku/>
              <w:wordWrap/>
              <w:overflowPunct/>
              <w:topLinePunct w:val="0"/>
              <w:autoSpaceDE/>
              <w:autoSpaceDN/>
              <w:bidi w:val="0"/>
              <w:snapToGrid w:val="0"/>
              <w:spacing w:line="440" w:lineRule="exact"/>
              <w:jc w:val="center"/>
              <w:rPr>
                <w:rStyle w:val="38"/>
                <w:rFonts w:ascii="宋体" w:cs="宋体"/>
                <w:bCs/>
                <w:sz w:val="24"/>
              </w:rPr>
            </w:pPr>
            <w:r>
              <w:rPr>
                <w:rStyle w:val="38"/>
                <w:rFonts w:ascii="宋体" w:cs="宋体"/>
                <w:bCs/>
                <w:sz w:val="24"/>
              </w:rPr>
              <w:t>(元）</w:t>
            </w:r>
          </w:p>
        </w:tc>
        <w:tc>
          <w:tcPr>
            <w:tcW w:w="1814" w:type="dxa"/>
            <w:tcBorders>
              <w:top w:val="single" w:color="000000" w:sz="4" w:space="0"/>
              <w:left w:val="single" w:color="000000" w:sz="4" w:space="0"/>
              <w:bottom w:val="single" w:color="000000" w:sz="4" w:space="0"/>
              <w:right w:val="single" w:color="000000" w:sz="4" w:space="0"/>
            </w:tcBorders>
            <w:vAlign w:val="center"/>
          </w:tcPr>
          <w:p w14:paraId="70DF12B7">
            <w:pPr>
              <w:pageBreakBefore w:val="0"/>
              <w:kinsoku/>
              <w:wordWrap/>
              <w:overflowPunct/>
              <w:topLinePunct w:val="0"/>
              <w:autoSpaceDE/>
              <w:autoSpaceDN/>
              <w:bidi w:val="0"/>
              <w:snapToGrid w:val="0"/>
              <w:spacing w:line="440" w:lineRule="exact"/>
              <w:jc w:val="center"/>
              <w:rPr>
                <w:rFonts w:ascii="宋体" w:cs="宋体"/>
                <w:bCs/>
                <w:sz w:val="24"/>
              </w:rPr>
            </w:pPr>
            <w:r>
              <w:rPr>
                <w:rStyle w:val="38"/>
                <w:rFonts w:ascii="宋体" w:cs="宋体"/>
                <w:bCs/>
                <w:sz w:val="24"/>
              </w:rPr>
              <w:t>简要技术要求、用途</w:t>
            </w:r>
          </w:p>
        </w:tc>
        <w:tc>
          <w:tcPr>
            <w:tcW w:w="649" w:type="dxa"/>
            <w:tcBorders>
              <w:top w:val="single" w:color="000000" w:sz="4" w:space="0"/>
              <w:left w:val="single" w:color="000000" w:sz="4" w:space="0"/>
              <w:bottom w:val="single" w:color="000000" w:sz="4" w:space="0"/>
              <w:right w:val="single" w:color="000000" w:sz="4" w:space="0"/>
            </w:tcBorders>
            <w:vAlign w:val="center"/>
          </w:tcPr>
          <w:p w14:paraId="7DA1BF01">
            <w:pPr>
              <w:pageBreakBefore w:val="0"/>
              <w:kinsoku/>
              <w:wordWrap/>
              <w:overflowPunct/>
              <w:topLinePunct w:val="0"/>
              <w:autoSpaceDE/>
              <w:autoSpaceDN/>
              <w:bidi w:val="0"/>
              <w:snapToGrid w:val="0"/>
              <w:spacing w:line="440" w:lineRule="exact"/>
              <w:jc w:val="center"/>
              <w:rPr>
                <w:rStyle w:val="38"/>
                <w:rFonts w:ascii="宋体" w:cs="宋体"/>
                <w:bCs/>
                <w:sz w:val="24"/>
              </w:rPr>
            </w:pPr>
            <w:r>
              <w:rPr>
                <w:rStyle w:val="38"/>
                <w:rFonts w:ascii="宋体" w:cs="宋体"/>
                <w:bCs/>
                <w:sz w:val="24"/>
              </w:rPr>
              <w:t>备注</w:t>
            </w:r>
          </w:p>
        </w:tc>
      </w:tr>
      <w:tr w14:paraId="5375648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92" w:hRule="atLeast"/>
        </w:trPr>
        <w:tc>
          <w:tcPr>
            <w:tcW w:w="687" w:type="dxa"/>
            <w:tcBorders>
              <w:top w:val="single" w:color="000000" w:sz="4" w:space="0"/>
              <w:left w:val="single" w:color="000000" w:sz="4" w:space="0"/>
              <w:bottom w:val="single" w:color="000000" w:sz="4" w:space="0"/>
              <w:right w:val="single" w:color="000000" w:sz="4" w:space="0"/>
            </w:tcBorders>
            <w:vAlign w:val="center"/>
          </w:tcPr>
          <w:p w14:paraId="18883A9B">
            <w:pPr>
              <w:pageBreakBefore w:val="0"/>
              <w:kinsoku/>
              <w:wordWrap/>
              <w:overflowPunct/>
              <w:topLinePunct w:val="0"/>
              <w:autoSpaceDE/>
              <w:autoSpaceDN/>
              <w:bidi w:val="0"/>
              <w:snapToGrid w:val="0"/>
              <w:spacing w:line="440" w:lineRule="exact"/>
              <w:jc w:val="center"/>
              <w:rPr>
                <w:rStyle w:val="38"/>
                <w:rFonts w:ascii="宋体"/>
                <w:sz w:val="24"/>
              </w:rPr>
            </w:pPr>
            <w:r>
              <w:rPr>
                <w:rStyle w:val="38"/>
                <w:rFonts w:ascii="宋体" w:hAnsi="宋体"/>
                <w:color w:val="000000"/>
                <w:sz w:val="24"/>
              </w:rPr>
              <w:t>1</w:t>
            </w:r>
          </w:p>
        </w:tc>
        <w:tc>
          <w:tcPr>
            <w:tcW w:w="2463" w:type="dxa"/>
            <w:tcBorders>
              <w:top w:val="single" w:color="000000" w:sz="4" w:space="0"/>
              <w:left w:val="single" w:color="000000" w:sz="4" w:space="0"/>
              <w:bottom w:val="single" w:color="000000" w:sz="4" w:space="0"/>
              <w:right w:val="single" w:color="000000" w:sz="4" w:space="0"/>
            </w:tcBorders>
            <w:vAlign w:val="center"/>
          </w:tcPr>
          <w:p w14:paraId="36FF538F">
            <w:pPr>
              <w:pStyle w:val="58"/>
              <w:pageBreakBefore w:val="0"/>
              <w:kinsoku/>
              <w:wordWrap/>
              <w:overflowPunct/>
              <w:topLinePunct w:val="0"/>
              <w:autoSpaceDE/>
              <w:autoSpaceDN/>
              <w:bidi w:val="0"/>
              <w:snapToGrid w:val="0"/>
              <w:spacing w:line="440" w:lineRule="exact"/>
              <w:jc w:val="center"/>
              <w:rPr>
                <w:rStyle w:val="38"/>
                <w:rFonts w:ascii="宋体"/>
                <w:szCs w:val="24"/>
              </w:rPr>
            </w:pPr>
            <w:r>
              <w:rPr>
                <w:rFonts w:hint="eastAsia" w:ascii="宋体" w:hAnsi="宋体" w:cs="宋体"/>
                <w:sz w:val="24"/>
                <w:lang w:eastAsia="zh-CN"/>
              </w:rPr>
              <w:t>沉浸式演艺项目《幻境红楼梦》（暂名）配套设备及系统集成服务</w:t>
            </w:r>
          </w:p>
        </w:tc>
        <w:tc>
          <w:tcPr>
            <w:tcW w:w="850" w:type="dxa"/>
            <w:tcBorders>
              <w:top w:val="single" w:color="000000" w:sz="4" w:space="0"/>
              <w:left w:val="single" w:color="000000" w:sz="4" w:space="0"/>
              <w:bottom w:val="single" w:color="000000" w:sz="4" w:space="0"/>
              <w:right w:val="single" w:color="000000" w:sz="4" w:space="0"/>
            </w:tcBorders>
            <w:vAlign w:val="center"/>
          </w:tcPr>
          <w:p w14:paraId="02E50399">
            <w:pPr>
              <w:pageBreakBefore w:val="0"/>
              <w:kinsoku/>
              <w:wordWrap/>
              <w:overflowPunct/>
              <w:topLinePunct w:val="0"/>
              <w:autoSpaceDE/>
              <w:autoSpaceDN/>
              <w:bidi w:val="0"/>
              <w:snapToGrid w:val="0"/>
              <w:spacing w:line="440" w:lineRule="exact"/>
              <w:jc w:val="center"/>
              <w:rPr>
                <w:rFonts w:ascii="宋体"/>
                <w:sz w:val="24"/>
              </w:rPr>
            </w:pPr>
            <w:r>
              <w:rPr>
                <w:rStyle w:val="38"/>
                <w:rFonts w:hint="eastAsia" w:ascii="宋体" w:hAnsi="宋体"/>
                <w:color w:val="000000"/>
                <w:sz w:val="24"/>
              </w:rPr>
              <w:t>1</w:t>
            </w:r>
          </w:p>
        </w:tc>
        <w:tc>
          <w:tcPr>
            <w:tcW w:w="816" w:type="dxa"/>
            <w:tcBorders>
              <w:top w:val="single" w:color="000000" w:sz="4" w:space="0"/>
              <w:left w:val="single" w:color="000000" w:sz="4" w:space="0"/>
              <w:bottom w:val="single" w:color="000000" w:sz="4" w:space="0"/>
              <w:right w:val="single" w:color="000000" w:sz="4" w:space="0"/>
            </w:tcBorders>
            <w:vAlign w:val="center"/>
          </w:tcPr>
          <w:p w14:paraId="7929B416">
            <w:pPr>
              <w:pageBreakBefore w:val="0"/>
              <w:kinsoku/>
              <w:wordWrap/>
              <w:overflowPunct/>
              <w:topLinePunct w:val="0"/>
              <w:autoSpaceDE/>
              <w:autoSpaceDN/>
              <w:bidi w:val="0"/>
              <w:snapToGrid w:val="0"/>
              <w:spacing w:line="440" w:lineRule="exact"/>
              <w:jc w:val="center"/>
              <w:rPr>
                <w:rStyle w:val="38"/>
                <w:rFonts w:ascii="宋体"/>
                <w:sz w:val="24"/>
              </w:rPr>
            </w:pPr>
            <w:r>
              <w:rPr>
                <w:rStyle w:val="38"/>
                <w:rFonts w:hint="eastAsia" w:ascii="宋体"/>
                <w:sz w:val="24"/>
              </w:rPr>
              <w:t>批</w:t>
            </w:r>
          </w:p>
        </w:tc>
        <w:tc>
          <w:tcPr>
            <w:tcW w:w="1646" w:type="dxa"/>
            <w:tcBorders>
              <w:top w:val="single" w:color="000000" w:sz="4" w:space="0"/>
              <w:left w:val="single" w:color="000000" w:sz="4" w:space="0"/>
              <w:bottom w:val="single" w:color="000000" w:sz="4" w:space="0"/>
              <w:right w:val="single" w:color="000000" w:sz="4" w:space="0"/>
            </w:tcBorders>
            <w:vAlign w:val="center"/>
          </w:tcPr>
          <w:p w14:paraId="1BD4A69A">
            <w:pPr>
              <w:pageBreakBefore w:val="0"/>
              <w:kinsoku/>
              <w:wordWrap/>
              <w:overflowPunct/>
              <w:topLinePunct w:val="0"/>
              <w:autoSpaceDE/>
              <w:autoSpaceDN/>
              <w:bidi w:val="0"/>
              <w:snapToGrid w:val="0"/>
              <w:spacing w:line="440" w:lineRule="exact"/>
              <w:jc w:val="center"/>
              <w:rPr>
                <w:rStyle w:val="38"/>
                <w:rFonts w:hint="eastAsia" w:ascii="宋体" w:eastAsia="宋体"/>
                <w:lang w:eastAsia="zh-CN"/>
              </w:rPr>
            </w:pPr>
            <w:r>
              <w:rPr>
                <w:rFonts w:hint="eastAsia" w:ascii="宋体" w:hAnsi="宋体" w:cs="宋体"/>
                <w:sz w:val="24"/>
                <w:lang w:eastAsia="zh-CN"/>
              </w:rPr>
              <w:t>2200000</w:t>
            </w:r>
          </w:p>
        </w:tc>
        <w:tc>
          <w:tcPr>
            <w:tcW w:w="1814" w:type="dxa"/>
            <w:tcBorders>
              <w:top w:val="single" w:color="000000" w:sz="4" w:space="0"/>
              <w:left w:val="single" w:color="000000" w:sz="4" w:space="0"/>
              <w:bottom w:val="single" w:color="000000" w:sz="4" w:space="0"/>
              <w:right w:val="single" w:color="000000" w:sz="4" w:space="0"/>
            </w:tcBorders>
            <w:vAlign w:val="center"/>
          </w:tcPr>
          <w:p w14:paraId="6FA9182F">
            <w:pPr>
              <w:pageBreakBefore w:val="0"/>
              <w:kinsoku/>
              <w:wordWrap/>
              <w:overflowPunct/>
              <w:topLinePunct w:val="0"/>
              <w:autoSpaceDE/>
              <w:autoSpaceDN/>
              <w:bidi w:val="0"/>
              <w:snapToGrid w:val="0"/>
              <w:spacing w:line="440" w:lineRule="exact"/>
              <w:jc w:val="center"/>
              <w:rPr>
                <w:rFonts w:ascii="宋体" w:hAnsi="宋体"/>
                <w:color w:val="000000"/>
                <w:sz w:val="24"/>
              </w:rPr>
            </w:pPr>
            <w:r>
              <w:rPr>
                <w:rStyle w:val="38"/>
                <w:rFonts w:ascii="宋体" w:hAnsi="宋体"/>
                <w:color w:val="000000"/>
                <w:sz w:val="24"/>
              </w:rPr>
              <w:t>详见采购需求</w:t>
            </w:r>
          </w:p>
        </w:tc>
        <w:tc>
          <w:tcPr>
            <w:tcW w:w="649" w:type="dxa"/>
            <w:tcBorders>
              <w:top w:val="single" w:color="000000" w:sz="4" w:space="0"/>
              <w:left w:val="single" w:color="000000" w:sz="4" w:space="0"/>
              <w:bottom w:val="single" w:color="000000" w:sz="4" w:space="0"/>
              <w:right w:val="single" w:color="000000" w:sz="4" w:space="0"/>
            </w:tcBorders>
            <w:vAlign w:val="center"/>
          </w:tcPr>
          <w:p w14:paraId="7412D93D">
            <w:pPr>
              <w:pageBreakBefore w:val="0"/>
              <w:kinsoku/>
              <w:wordWrap/>
              <w:overflowPunct/>
              <w:topLinePunct w:val="0"/>
              <w:autoSpaceDE/>
              <w:autoSpaceDN/>
              <w:bidi w:val="0"/>
              <w:snapToGrid w:val="0"/>
              <w:spacing w:line="440" w:lineRule="exact"/>
              <w:jc w:val="center"/>
              <w:rPr>
                <w:rStyle w:val="38"/>
                <w:rFonts w:ascii="宋体"/>
              </w:rPr>
            </w:pPr>
          </w:p>
        </w:tc>
      </w:tr>
    </w:tbl>
    <w:p w14:paraId="3F81B836">
      <w:pPr>
        <w:pStyle w:val="37"/>
        <w:pageBreakBefore w:val="0"/>
        <w:kinsoku/>
        <w:wordWrap/>
        <w:overflowPunct/>
        <w:topLinePunct w:val="0"/>
        <w:autoSpaceDE/>
        <w:autoSpaceDN/>
        <w:bidi w:val="0"/>
        <w:spacing w:line="440" w:lineRule="exact"/>
        <w:ind w:firstLine="482"/>
        <w:outlineLvl w:val="2"/>
        <w:rPr>
          <w:rFonts w:ascii="宋体" w:hAnsi="宋体" w:cs="宋体"/>
        </w:rPr>
      </w:pPr>
      <w:r>
        <w:rPr>
          <w:rFonts w:hint="eastAsia" w:ascii="宋体" w:hAnsi="宋体" w:cs="宋体"/>
          <w:b/>
        </w:rPr>
        <w:t>5.合同履约期限：</w:t>
      </w:r>
      <w:r>
        <w:rPr>
          <w:rFonts w:hint="eastAsia" w:ascii="宋体" w:hAnsi="宋体" w:cs="宋体"/>
        </w:rPr>
        <w:t>详见采购文件。</w:t>
      </w:r>
    </w:p>
    <w:p w14:paraId="13EDAE19">
      <w:pPr>
        <w:pStyle w:val="7"/>
        <w:pageBreakBefore w:val="0"/>
        <w:kinsoku/>
        <w:wordWrap/>
        <w:overflowPunct/>
        <w:topLinePunct w:val="0"/>
        <w:autoSpaceDE/>
        <w:autoSpaceDN/>
        <w:bidi w:val="0"/>
        <w:spacing w:line="440" w:lineRule="exact"/>
        <w:ind w:firstLine="480"/>
        <w:rPr>
          <w:rFonts w:hAnsi="宋体" w:cs="宋体"/>
          <w:b/>
          <w:color w:val="auto"/>
          <w:sz w:val="24"/>
        </w:rPr>
      </w:pPr>
      <w:r>
        <w:rPr>
          <w:rFonts w:hint="eastAsia" w:hAnsi="宋体" w:cs="宋体"/>
          <w:b/>
          <w:color w:val="auto"/>
          <w:sz w:val="24"/>
        </w:rPr>
        <w:t>6.本项目不接受联合体投标</w:t>
      </w:r>
      <w:r>
        <w:rPr>
          <w:rFonts w:hint="eastAsia" w:hAnsi="宋体" w:cs="宋体"/>
          <w:color w:val="auto"/>
          <w:kern w:val="0"/>
          <w:sz w:val="24"/>
        </w:rPr>
        <w:t>。</w:t>
      </w:r>
    </w:p>
    <w:p w14:paraId="149E9FA5">
      <w:pPr>
        <w:pageBreakBefore w:val="0"/>
        <w:kinsoku/>
        <w:wordWrap/>
        <w:overflowPunct/>
        <w:topLinePunct w:val="0"/>
        <w:autoSpaceDE/>
        <w:autoSpaceDN/>
        <w:bidi w:val="0"/>
        <w:spacing w:line="440" w:lineRule="exact"/>
        <w:rPr>
          <w:rFonts w:ascii="宋体" w:hAnsi="宋体" w:cs="宋体"/>
          <w:b/>
          <w:sz w:val="24"/>
        </w:rPr>
      </w:pPr>
      <w:r>
        <w:rPr>
          <w:rFonts w:hint="eastAsia" w:ascii="宋体" w:hAnsi="宋体" w:cs="宋体"/>
          <w:b/>
          <w:sz w:val="24"/>
        </w:rPr>
        <w:t>二、申请人的资格要求</w:t>
      </w:r>
    </w:p>
    <w:p w14:paraId="2AB78597">
      <w:pPr>
        <w:pageBreakBefore w:val="0"/>
        <w:kinsoku/>
        <w:wordWrap/>
        <w:overflowPunct/>
        <w:topLinePunct w:val="0"/>
        <w:autoSpaceDE/>
        <w:autoSpaceDN/>
        <w:bidi w:val="0"/>
        <w:adjustRightInd/>
        <w:spacing w:line="440" w:lineRule="exact"/>
        <w:ind w:firstLine="480" w:firstLineChars="200"/>
        <w:rPr>
          <w:rFonts w:ascii="宋体" w:hAnsi="宋体" w:cs="宋体"/>
          <w:kern w:val="0"/>
          <w:sz w:val="24"/>
        </w:rPr>
      </w:pPr>
      <w:r>
        <w:rPr>
          <w:rFonts w:hint="eastAsia" w:ascii="宋体" w:hAnsi="宋体" w:cs="宋体"/>
          <w:kern w:val="0"/>
          <w:sz w:val="24"/>
        </w:rPr>
        <w:t>1.具有独立承担民事责任的能力。</w:t>
      </w:r>
    </w:p>
    <w:p w14:paraId="39326F6E">
      <w:pPr>
        <w:pageBreakBefore w:val="0"/>
        <w:kinsoku/>
        <w:wordWrap/>
        <w:overflowPunct/>
        <w:topLinePunct w:val="0"/>
        <w:autoSpaceDE/>
        <w:autoSpaceDN/>
        <w:bidi w:val="0"/>
        <w:adjustRightInd/>
        <w:spacing w:line="440" w:lineRule="exact"/>
        <w:ind w:firstLine="480" w:firstLineChars="200"/>
        <w:rPr>
          <w:rFonts w:ascii="宋体" w:hAnsi="宋体" w:cs="宋体"/>
        </w:rPr>
      </w:pPr>
      <w:r>
        <w:rPr>
          <w:rFonts w:hint="eastAsia" w:ascii="宋体" w:hAnsi="宋体" w:cs="宋体"/>
          <w:kern w:val="0"/>
          <w:sz w:val="24"/>
        </w:rPr>
        <w:t>2.具有良好的商业信誉。</w:t>
      </w:r>
    </w:p>
    <w:p w14:paraId="231D3E2D">
      <w:pPr>
        <w:pageBreakBefore w:val="0"/>
        <w:kinsoku/>
        <w:wordWrap/>
        <w:overflowPunct/>
        <w:topLinePunct w:val="0"/>
        <w:autoSpaceDE/>
        <w:autoSpaceDN/>
        <w:bidi w:val="0"/>
        <w:adjustRightInd/>
        <w:spacing w:line="440" w:lineRule="exact"/>
        <w:ind w:firstLine="480" w:firstLineChars="200"/>
        <w:rPr>
          <w:rFonts w:ascii="宋体" w:hAnsi="宋体" w:cs="宋体"/>
          <w:kern w:val="0"/>
          <w:sz w:val="24"/>
        </w:rPr>
      </w:pPr>
      <w:r>
        <w:rPr>
          <w:rFonts w:hint="eastAsia" w:ascii="宋体" w:hAnsi="宋体" w:cs="宋体"/>
          <w:kern w:val="0"/>
          <w:sz w:val="24"/>
        </w:rPr>
        <w:t>3.具有履行合同所必需的设备和专业技术、售后保障等能力。</w:t>
      </w:r>
    </w:p>
    <w:p w14:paraId="681FB37B">
      <w:pPr>
        <w:pageBreakBefore w:val="0"/>
        <w:kinsoku/>
        <w:wordWrap/>
        <w:overflowPunct/>
        <w:topLinePunct w:val="0"/>
        <w:autoSpaceDE/>
        <w:autoSpaceDN/>
        <w:bidi w:val="0"/>
        <w:adjustRightInd/>
        <w:spacing w:line="440" w:lineRule="exact"/>
        <w:ind w:firstLine="480" w:firstLineChars="200"/>
        <w:rPr>
          <w:rFonts w:ascii="宋体" w:hAnsi="宋体" w:cs="宋体"/>
          <w:kern w:val="0"/>
          <w:sz w:val="24"/>
        </w:rPr>
      </w:pPr>
      <w:r>
        <w:rPr>
          <w:rFonts w:hint="eastAsia" w:ascii="宋体" w:hAnsi="宋体" w:cs="宋体"/>
          <w:kern w:val="0"/>
          <w:sz w:val="24"/>
        </w:rPr>
        <w:t>4.有依法缴纳税收和社会保障资金的良好记录。</w:t>
      </w:r>
    </w:p>
    <w:p w14:paraId="2116F376">
      <w:pPr>
        <w:pageBreakBefore w:val="0"/>
        <w:kinsoku/>
        <w:wordWrap/>
        <w:overflowPunct/>
        <w:topLinePunct w:val="0"/>
        <w:autoSpaceDE/>
        <w:autoSpaceDN/>
        <w:bidi w:val="0"/>
        <w:adjustRightInd/>
        <w:spacing w:line="440" w:lineRule="exact"/>
        <w:ind w:firstLine="480" w:firstLineChars="200"/>
        <w:rPr>
          <w:rFonts w:ascii="宋体" w:hAnsi="宋体" w:cs="宋体"/>
          <w:kern w:val="0"/>
          <w:sz w:val="24"/>
        </w:rPr>
      </w:pPr>
      <w:r>
        <w:rPr>
          <w:rFonts w:hint="eastAsia" w:ascii="宋体" w:hAnsi="宋体" w:cs="宋体"/>
          <w:kern w:val="0"/>
          <w:sz w:val="24"/>
        </w:rPr>
        <w:t>5.参加采购活动前三年内，没有重大违法记录、严重失信行为和行贿记录。</w:t>
      </w:r>
    </w:p>
    <w:p w14:paraId="5D88D61F">
      <w:pPr>
        <w:pageBreakBefore w:val="0"/>
        <w:kinsoku/>
        <w:wordWrap/>
        <w:overflowPunct/>
        <w:topLinePunct w:val="0"/>
        <w:autoSpaceDE/>
        <w:autoSpaceDN/>
        <w:bidi w:val="0"/>
        <w:adjustRightInd/>
        <w:spacing w:line="440" w:lineRule="exact"/>
        <w:ind w:firstLine="480" w:firstLineChars="200"/>
        <w:rPr>
          <w:rFonts w:ascii="宋体" w:hAnsi="宋体" w:cs="宋体"/>
          <w:kern w:val="0"/>
          <w:sz w:val="24"/>
        </w:rPr>
      </w:pPr>
      <w:r>
        <w:rPr>
          <w:rFonts w:hint="eastAsia" w:ascii="宋体" w:hAnsi="宋体" w:cs="宋体"/>
          <w:kern w:val="0"/>
          <w:sz w:val="24"/>
        </w:rPr>
        <w:t>6.法律、行政法规规定的其他条件。</w:t>
      </w:r>
    </w:p>
    <w:p w14:paraId="3C0BA796">
      <w:pPr>
        <w:pageBreakBefore w:val="0"/>
        <w:kinsoku/>
        <w:wordWrap/>
        <w:overflowPunct/>
        <w:topLinePunct w:val="0"/>
        <w:autoSpaceDE/>
        <w:autoSpaceDN/>
        <w:bidi w:val="0"/>
        <w:adjustRightInd/>
        <w:spacing w:line="440" w:lineRule="exact"/>
        <w:ind w:firstLine="480" w:firstLineChars="200"/>
        <w:rPr>
          <w:rFonts w:ascii="宋体" w:hAnsi="宋体" w:cs="宋体"/>
          <w:spacing w:val="-6"/>
          <w:kern w:val="0"/>
        </w:rPr>
      </w:pPr>
      <w:r>
        <w:rPr>
          <w:rFonts w:hint="eastAsia" w:ascii="宋体" w:hAnsi="宋体" w:cs="宋体"/>
          <w:sz w:val="24"/>
        </w:rPr>
        <w:t>7.本项目的特定资格要求：无。</w:t>
      </w:r>
    </w:p>
    <w:p w14:paraId="4AB92FF0">
      <w:pPr>
        <w:pageBreakBefore w:val="0"/>
        <w:kinsoku/>
        <w:wordWrap/>
        <w:overflowPunct/>
        <w:topLinePunct w:val="0"/>
        <w:autoSpaceDE/>
        <w:autoSpaceDN/>
        <w:bidi w:val="0"/>
        <w:spacing w:line="440" w:lineRule="exact"/>
        <w:ind w:firstLine="480" w:firstLineChars="200"/>
        <w:rPr>
          <w:rFonts w:ascii="宋体" w:hAnsi="宋体" w:cs="宋体"/>
          <w:sz w:val="24"/>
        </w:rPr>
      </w:pPr>
      <w:r>
        <w:rPr>
          <w:rFonts w:hint="eastAsia" w:ascii="宋体" w:hAnsi="宋体" w:cs="宋体"/>
          <w:sz w:val="24"/>
        </w:rPr>
        <w:t>8.</w:t>
      </w:r>
      <w:r>
        <w:rPr>
          <w:rFonts w:hint="eastAsia" w:ascii="宋体" w:hAnsi="宋体" w:cs="宋体"/>
          <w:sz w:val="24"/>
          <w:shd w:val="clear" w:color="auto" w:fill="FFFFFF"/>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38523F70">
      <w:pPr>
        <w:pageBreakBefore w:val="0"/>
        <w:kinsoku/>
        <w:wordWrap/>
        <w:overflowPunct/>
        <w:topLinePunct w:val="0"/>
        <w:autoSpaceDE/>
        <w:autoSpaceDN/>
        <w:bidi w:val="0"/>
        <w:spacing w:line="440" w:lineRule="exact"/>
        <w:rPr>
          <w:rFonts w:ascii="宋体" w:hAnsi="宋体" w:cs="宋体"/>
          <w:b/>
          <w:sz w:val="24"/>
        </w:rPr>
      </w:pPr>
      <w:r>
        <w:rPr>
          <w:rFonts w:hint="eastAsia" w:ascii="宋体" w:hAnsi="宋体" w:cs="宋体"/>
          <w:b/>
          <w:sz w:val="24"/>
        </w:rPr>
        <w:t xml:space="preserve">三、获取采购文件 </w:t>
      </w:r>
    </w:p>
    <w:p w14:paraId="3F8959AC">
      <w:pPr>
        <w:pageBreakBefore w:val="0"/>
        <w:kinsoku/>
        <w:wordWrap/>
        <w:overflowPunct/>
        <w:topLinePunct w:val="0"/>
        <w:autoSpaceDE/>
        <w:autoSpaceDN/>
        <w:bidi w:val="0"/>
        <w:spacing w:line="440" w:lineRule="exact"/>
        <w:ind w:firstLine="482" w:firstLineChars="200"/>
        <w:rPr>
          <w:rFonts w:ascii="宋体" w:hAnsi="宋体" w:cs="宋体"/>
          <w:sz w:val="24"/>
        </w:rPr>
      </w:pPr>
      <w:r>
        <w:rPr>
          <w:rFonts w:hint="eastAsia" w:ascii="宋体" w:hAnsi="宋体" w:cs="宋体"/>
          <w:b/>
          <w:sz w:val="24"/>
        </w:rPr>
        <w:t>1.时间：</w:t>
      </w:r>
      <w:r>
        <w:rPr>
          <w:rFonts w:hint="eastAsia" w:ascii="宋体" w:hAnsi="宋体" w:cs="宋体"/>
          <w:sz w:val="24"/>
          <w:u w:val="single"/>
          <w:lang w:eastAsia="zh-CN"/>
        </w:rPr>
        <w:t>2024年11月27日</w:t>
      </w:r>
      <w:r>
        <w:rPr>
          <w:rFonts w:hint="eastAsia" w:ascii="宋体" w:hAnsi="宋体" w:cs="宋体"/>
          <w:sz w:val="24"/>
        </w:rPr>
        <w:t>至</w:t>
      </w:r>
      <w:r>
        <w:rPr>
          <w:rFonts w:hint="eastAsia" w:ascii="宋体" w:hAnsi="宋体" w:cs="宋体"/>
          <w:sz w:val="24"/>
          <w:u w:val="single"/>
          <w:lang w:eastAsia="zh-CN"/>
        </w:rPr>
        <w:t>2024年12月20日</w:t>
      </w:r>
      <w:r>
        <w:rPr>
          <w:rFonts w:hint="eastAsia" w:ascii="宋体" w:hAnsi="宋体" w:cs="宋体"/>
          <w:sz w:val="24"/>
        </w:rPr>
        <w:t>，每天上午00:00至12:00 ，下午12:00至23:59（北京时间，线上获取法定节假日均可）。</w:t>
      </w:r>
    </w:p>
    <w:p w14:paraId="3EB88521">
      <w:pPr>
        <w:pageBreakBefore w:val="0"/>
        <w:kinsoku/>
        <w:wordWrap/>
        <w:overflowPunct/>
        <w:topLinePunct w:val="0"/>
        <w:autoSpaceDE/>
        <w:autoSpaceDN/>
        <w:bidi w:val="0"/>
        <w:spacing w:line="440" w:lineRule="exact"/>
        <w:ind w:firstLine="482" w:firstLineChars="200"/>
        <w:rPr>
          <w:rFonts w:ascii="宋体" w:hAnsi="宋体" w:cs="宋体"/>
          <w:sz w:val="24"/>
        </w:rPr>
      </w:pPr>
      <w:r>
        <w:rPr>
          <w:rFonts w:hint="eastAsia" w:ascii="宋体" w:hAnsi="宋体" w:cs="宋体"/>
          <w:b/>
          <w:sz w:val="24"/>
        </w:rPr>
        <w:t>2.地点（网址）：</w:t>
      </w:r>
      <w:r>
        <w:rPr>
          <w:rFonts w:hint="eastAsia" w:ascii="宋体" w:hAnsi="宋体" w:cs="宋体"/>
          <w:sz w:val="24"/>
        </w:rPr>
        <w:t xml:space="preserve">乐采云平台（https://www.lecaiyun.com/）。 </w:t>
      </w:r>
    </w:p>
    <w:p w14:paraId="5A92D1AB">
      <w:pPr>
        <w:pageBreakBefore w:val="0"/>
        <w:kinsoku/>
        <w:wordWrap/>
        <w:overflowPunct/>
        <w:topLinePunct w:val="0"/>
        <w:autoSpaceDE/>
        <w:autoSpaceDN/>
        <w:bidi w:val="0"/>
        <w:spacing w:line="440" w:lineRule="exact"/>
        <w:ind w:firstLine="482" w:firstLineChars="200"/>
        <w:rPr>
          <w:rFonts w:ascii="宋体" w:hAnsi="宋体" w:cs="宋体"/>
          <w:sz w:val="24"/>
        </w:rPr>
      </w:pPr>
      <w:r>
        <w:rPr>
          <w:rFonts w:hint="eastAsia" w:ascii="宋体" w:hAnsi="宋体" w:cs="宋体"/>
          <w:b/>
          <w:sz w:val="24"/>
        </w:rPr>
        <w:t>3.方式：</w:t>
      </w:r>
      <w:r>
        <w:rPr>
          <w:rFonts w:hint="eastAsia" w:ascii="宋体" w:hAnsi="宋体" w:cs="宋体"/>
          <w:sz w:val="24"/>
        </w:rPr>
        <w:t xml:space="preserve">供应商登录乐采云平台https://www.lecaiyun.com/在线申请获取采购文件（进入“项目采购”应用，在获取采购文件菜单中选择项目，申请获取采购文件）。 </w:t>
      </w:r>
    </w:p>
    <w:p w14:paraId="059C023B">
      <w:pPr>
        <w:pageBreakBefore w:val="0"/>
        <w:kinsoku/>
        <w:wordWrap/>
        <w:overflowPunct/>
        <w:topLinePunct w:val="0"/>
        <w:autoSpaceDE/>
        <w:autoSpaceDN/>
        <w:bidi w:val="0"/>
        <w:spacing w:line="440" w:lineRule="exact"/>
        <w:ind w:firstLine="482" w:firstLineChars="200"/>
        <w:rPr>
          <w:rFonts w:ascii="宋体" w:hAnsi="宋体" w:cs="宋体"/>
          <w:sz w:val="24"/>
        </w:rPr>
      </w:pPr>
      <w:r>
        <w:rPr>
          <w:rFonts w:hint="eastAsia" w:ascii="宋体" w:hAnsi="宋体" w:cs="宋体"/>
          <w:b/>
          <w:sz w:val="24"/>
        </w:rPr>
        <w:t>4.售价（元）：</w:t>
      </w:r>
      <w:r>
        <w:rPr>
          <w:rFonts w:hint="eastAsia" w:ascii="宋体" w:hAnsi="宋体" w:cs="宋体"/>
          <w:sz w:val="24"/>
        </w:rPr>
        <w:t xml:space="preserve">0 </w:t>
      </w:r>
      <w:r>
        <w:rPr>
          <w:rFonts w:hint="eastAsia" w:ascii="宋体" w:hAnsi="宋体" w:cs="宋体"/>
          <w:sz w:val="24"/>
        </w:rPr>
        <w:tab/>
      </w:r>
    </w:p>
    <w:p w14:paraId="6428B14E">
      <w:pPr>
        <w:pageBreakBefore w:val="0"/>
        <w:kinsoku/>
        <w:wordWrap/>
        <w:overflowPunct/>
        <w:topLinePunct w:val="0"/>
        <w:autoSpaceDE/>
        <w:autoSpaceDN/>
        <w:bidi w:val="0"/>
        <w:spacing w:line="440" w:lineRule="exact"/>
        <w:rPr>
          <w:rFonts w:ascii="宋体" w:hAnsi="宋体" w:cs="宋体"/>
          <w:b/>
          <w:sz w:val="24"/>
        </w:rPr>
      </w:pPr>
      <w:r>
        <w:rPr>
          <w:rFonts w:hint="eastAsia" w:ascii="宋体" w:hAnsi="宋体" w:cs="宋体"/>
          <w:b/>
          <w:sz w:val="24"/>
        </w:rPr>
        <w:t>四、提交投标文件截止时间、开标时间和地点</w:t>
      </w:r>
    </w:p>
    <w:p w14:paraId="31F292FE">
      <w:pPr>
        <w:pageBreakBefore w:val="0"/>
        <w:kinsoku/>
        <w:wordWrap/>
        <w:overflowPunct/>
        <w:topLinePunct w:val="0"/>
        <w:autoSpaceDE/>
        <w:autoSpaceDN/>
        <w:bidi w:val="0"/>
        <w:spacing w:line="440" w:lineRule="exact"/>
        <w:ind w:firstLine="482" w:firstLineChars="200"/>
        <w:rPr>
          <w:rFonts w:ascii="宋体" w:hAnsi="宋体" w:cs="宋体"/>
          <w:sz w:val="24"/>
        </w:rPr>
      </w:pPr>
      <w:r>
        <w:rPr>
          <w:rFonts w:hint="eastAsia" w:ascii="宋体" w:hAnsi="宋体" w:cs="宋体"/>
          <w:b/>
          <w:sz w:val="24"/>
        </w:rPr>
        <w:t>1.提交投标文件截止时间：</w:t>
      </w:r>
      <w:r>
        <w:rPr>
          <w:rFonts w:hint="eastAsia" w:ascii="宋体" w:hAnsi="宋体" w:cs="宋体"/>
          <w:sz w:val="24"/>
          <w:u w:val="single"/>
          <w:lang w:eastAsia="zh-CN"/>
        </w:rPr>
        <w:t>2024年12月20日</w:t>
      </w:r>
      <w:r>
        <w:rPr>
          <w:rFonts w:hint="eastAsia" w:ascii="宋体" w:hAnsi="宋体" w:cs="宋体"/>
          <w:sz w:val="24"/>
          <w:u w:val="single"/>
        </w:rPr>
        <w:t>09点00分</w:t>
      </w:r>
      <w:r>
        <w:rPr>
          <w:rFonts w:hint="eastAsia" w:ascii="宋体" w:hAnsi="宋体" w:cs="宋体"/>
          <w:bCs/>
          <w:sz w:val="24"/>
          <w:u w:val="single"/>
        </w:rPr>
        <w:t xml:space="preserve"> </w:t>
      </w:r>
      <w:r>
        <w:rPr>
          <w:rFonts w:hint="eastAsia" w:ascii="宋体" w:hAnsi="宋体" w:cs="宋体"/>
          <w:sz w:val="24"/>
        </w:rPr>
        <w:t>（北京时间）</w:t>
      </w:r>
    </w:p>
    <w:p w14:paraId="7F6B4E8B">
      <w:pPr>
        <w:pageBreakBefore w:val="0"/>
        <w:kinsoku/>
        <w:wordWrap/>
        <w:overflowPunct/>
        <w:topLinePunct w:val="0"/>
        <w:autoSpaceDE/>
        <w:autoSpaceDN/>
        <w:bidi w:val="0"/>
        <w:spacing w:line="440" w:lineRule="exact"/>
        <w:ind w:firstLine="482" w:firstLineChars="200"/>
        <w:rPr>
          <w:rFonts w:ascii="宋体" w:hAnsi="宋体" w:cs="宋体"/>
          <w:b/>
          <w:sz w:val="24"/>
        </w:rPr>
      </w:pPr>
      <w:r>
        <w:rPr>
          <w:rFonts w:hint="eastAsia" w:ascii="宋体" w:hAnsi="宋体" w:cs="宋体"/>
          <w:b/>
          <w:sz w:val="24"/>
        </w:rPr>
        <w:t>2.投标地点（网址）：</w:t>
      </w:r>
      <w:r>
        <w:rPr>
          <w:rFonts w:hint="eastAsia" w:ascii="宋体" w:hAnsi="宋体" w:cs="宋体"/>
          <w:sz w:val="24"/>
        </w:rPr>
        <w:t xml:space="preserve">乐采云平台（https://www.lecaiyun.com/） </w:t>
      </w:r>
    </w:p>
    <w:p w14:paraId="7EBBA259">
      <w:pPr>
        <w:pageBreakBefore w:val="0"/>
        <w:kinsoku/>
        <w:wordWrap/>
        <w:overflowPunct/>
        <w:topLinePunct w:val="0"/>
        <w:autoSpaceDE/>
        <w:autoSpaceDN/>
        <w:bidi w:val="0"/>
        <w:spacing w:line="440" w:lineRule="exact"/>
        <w:ind w:firstLine="482" w:firstLineChars="200"/>
        <w:rPr>
          <w:rFonts w:ascii="宋体" w:hAnsi="宋体" w:cs="宋体"/>
          <w:bCs/>
          <w:sz w:val="24"/>
          <w:u w:val="single"/>
        </w:rPr>
      </w:pPr>
      <w:r>
        <w:rPr>
          <w:rFonts w:hint="eastAsia" w:ascii="宋体" w:hAnsi="宋体" w:cs="宋体"/>
          <w:b/>
          <w:sz w:val="24"/>
        </w:rPr>
        <w:t>3.开标时间：</w:t>
      </w:r>
      <w:r>
        <w:rPr>
          <w:rFonts w:hint="eastAsia" w:ascii="宋体" w:hAnsi="宋体" w:cs="宋体"/>
          <w:sz w:val="24"/>
          <w:u w:val="single"/>
          <w:lang w:eastAsia="zh-CN"/>
        </w:rPr>
        <w:t>2024年12月20日</w:t>
      </w:r>
      <w:r>
        <w:rPr>
          <w:rFonts w:hint="eastAsia" w:ascii="宋体" w:hAnsi="宋体" w:cs="宋体"/>
          <w:sz w:val="24"/>
          <w:u w:val="single"/>
        </w:rPr>
        <w:t>09点00分</w:t>
      </w:r>
      <w:r>
        <w:rPr>
          <w:rFonts w:hint="eastAsia" w:ascii="宋体" w:hAnsi="宋体" w:cs="宋体"/>
          <w:bCs/>
          <w:sz w:val="24"/>
          <w:u w:val="single"/>
        </w:rPr>
        <w:t xml:space="preserve"> </w:t>
      </w:r>
    </w:p>
    <w:p w14:paraId="23417F11">
      <w:pPr>
        <w:pageBreakBefore w:val="0"/>
        <w:kinsoku/>
        <w:wordWrap/>
        <w:overflowPunct/>
        <w:topLinePunct w:val="0"/>
        <w:autoSpaceDE/>
        <w:autoSpaceDN/>
        <w:bidi w:val="0"/>
        <w:spacing w:line="440" w:lineRule="exact"/>
        <w:ind w:firstLine="482" w:firstLineChars="200"/>
        <w:rPr>
          <w:rFonts w:ascii="宋体" w:hAnsi="宋体" w:cs="宋体"/>
          <w:sz w:val="24"/>
        </w:rPr>
      </w:pPr>
      <w:r>
        <w:rPr>
          <w:rFonts w:hint="eastAsia" w:ascii="宋体" w:hAnsi="宋体" w:cs="宋体"/>
          <w:b/>
          <w:sz w:val="24"/>
        </w:rPr>
        <w:t>4.开标地点（网址）：</w:t>
      </w:r>
      <w:r>
        <w:rPr>
          <w:rFonts w:hint="eastAsia" w:ascii="宋体" w:hAnsi="宋体" w:cs="宋体"/>
          <w:sz w:val="24"/>
        </w:rPr>
        <w:t>乐采云平台（https://www.lecaiyun.com/）</w:t>
      </w:r>
    </w:p>
    <w:p w14:paraId="44D2BDA5">
      <w:pPr>
        <w:pStyle w:val="3"/>
        <w:pageBreakBefore w:val="0"/>
        <w:numPr>
          <w:ilvl w:val="255"/>
          <w:numId w:val="0"/>
        </w:numPr>
        <w:kinsoku/>
        <w:wordWrap/>
        <w:overflowPunct/>
        <w:topLinePunct w:val="0"/>
        <w:autoSpaceDE/>
        <w:autoSpaceDN/>
        <w:bidi w:val="0"/>
        <w:spacing w:line="44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五、投标保证金</w:t>
      </w:r>
    </w:p>
    <w:p w14:paraId="22DB057A">
      <w:pPr>
        <w:pStyle w:val="3"/>
        <w:pageBreakBefore w:val="0"/>
        <w:numPr>
          <w:ilvl w:val="255"/>
          <w:numId w:val="0"/>
        </w:numPr>
        <w:kinsoku/>
        <w:wordWrap/>
        <w:overflowPunct/>
        <w:topLinePunct w:val="0"/>
        <w:autoSpaceDE/>
        <w:autoSpaceDN/>
        <w:bidi w:val="0"/>
        <w:spacing w:line="440" w:lineRule="exact"/>
        <w:ind w:firstLine="480" w:firstLineChars="200"/>
        <w:rPr>
          <w:rFonts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 xml:space="preserve">投标保证金：人民币40000.00元（肆万元整）；  </w:t>
      </w:r>
    </w:p>
    <w:p w14:paraId="17184185">
      <w:pPr>
        <w:pStyle w:val="3"/>
        <w:pageBreakBefore w:val="0"/>
        <w:numPr>
          <w:ilvl w:val="255"/>
          <w:numId w:val="0"/>
        </w:numPr>
        <w:kinsoku/>
        <w:wordWrap/>
        <w:overflowPunct/>
        <w:topLinePunct w:val="0"/>
        <w:autoSpaceDE/>
        <w:autoSpaceDN/>
        <w:bidi w:val="0"/>
        <w:spacing w:line="440" w:lineRule="exact"/>
        <w:ind w:firstLine="480" w:firstLineChars="200"/>
        <w:rPr>
          <w:rFonts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投标人应于</w:t>
      </w:r>
      <w:r>
        <w:rPr>
          <w:rFonts w:hint="eastAsia" w:asciiTheme="majorEastAsia" w:hAnsiTheme="majorEastAsia" w:eastAsiaTheme="majorEastAsia" w:cstheme="majorEastAsia"/>
          <w:b w:val="0"/>
          <w:bCs w:val="0"/>
          <w:sz w:val="24"/>
          <w:szCs w:val="24"/>
          <w:lang w:eastAsia="zh-CN"/>
        </w:rPr>
        <w:t>2024年12月19日16：00时</w:t>
      </w:r>
      <w:r>
        <w:rPr>
          <w:rFonts w:hint="eastAsia" w:asciiTheme="majorEastAsia" w:hAnsiTheme="majorEastAsia" w:eastAsiaTheme="majorEastAsia" w:cstheme="majorEastAsia"/>
          <w:b w:val="0"/>
          <w:bCs w:val="0"/>
          <w:sz w:val="24"/>
          <w:szCs w:val="24"/>
        </w:rPr>
        <w:t>前将投标保证金以电汇、转账、网上银行交至</w:t>
      </w:r>
      <w:r>
        <w:rPr>
          <w:rFonts w:hint="eastAsia" w:asciiTheme="majorEastAsia" w:hAnsiTheme="majorEastAsia" w:eastAsiaTheme="majorEastAsia" w:cstheme="majorEastAsia"/>
          <w:b w:val="0"/>
          <w:bCs w:val="0"/>
          <w:sz w:val="24"/>
        </w:rPr>
        <w:t>浙江商易项目管理有限公司</w:t>
      </w:r>
      <w:r>
        <w:rPr>
          <w:rFonts w:hint="eastAsia" w:asciiTheme="majorEastAsia" w:hAnsiTheme="majorEastAsia" w:eastAsiaTheme="majorEastAsia" w:cstheme="majorEastAsia"/>
          <w:b w:val="0"/>
          <w:bCs w:val="0"/>
          <w:sz w:val="24"/>
          <w:szCs w:val="24"/>
        </w:rPr>
        <w:t>，投标保证金以到账时间为准。</w:t>
      </w:r>
      <w:r>
        <w:rPr>
          <w:rFonts w:hint="eastAsia" w:asciiTheme="majorEastAsia" w:hAnsiTheme="majorEastAsia" w:eastAsiaTheme="majorEastAsia" w:cstheme="majorEastAsia"/>
          <w:sz w:val="24"/>
          <w:szCs w:val="24"/>
        </w:rPr>
        <w:t>如因投标人自身原因，造成投标单位保证金未及时到账的，一律视为不响应招标文件，投标无效。投标人的投标保证金必须从其基本账户转出。</w:t>
      </w:r>
      <w:bookmarkStart w:id="89" w:name="_GoBack"/>
      <w:bookmarkEnd w:id="89"/>
    </w:p>
    <w:p w14:paraId="19FAB8C5">
      <w:pPr>
        <w:pStyle w:val="3"/>
        <w:pageBreakBefore w:val="0"/>
        <w:numPr>
          <w:ilvl w:val="255"/>
          <w:numId w:val="0"/>
        </w:numPr>
        <w:kinsoku/>
        <w:wordWrap/>
        <w:overflowPunct/>
        <w:topLinePunct w:val="0"/>
        <w:autoSpaceDE/>
        <w:autoSpaceDN/>
        <w:bidi w:val="0"/>
        <w:spacing w:line="440" w:lineRule="exact"/>
        <w:ind w:firstLine="480" w:firstLineChars="200"/>
        <w:rPr>
          <w:rFonts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户</w:t>
      </w:r>
      <w:r>
        <w:rPr>
          <w:rFonts w:hint="eastAsia" w:asciiTheme="majorEastAsia" w:hAnsiTheme="majorEastAsia" w:eastAsiaTheme="majorEastAsia" w:cstheme="majorEastAsia"/>
          <w:b w:val="0"/>
          <w:bCs w:val="0"/>
          <w:sz w:val="24"/>
          <w:szCs w:val="24"/>
          <w:lang w:val="en-US"/>
        </w:rPr>
        <w:t xml:space="preserve">  </w:t>
      </w:r>
      <w:r>
        <w:rPr>
          <w:rFonts w:hint="eastAsia" w:asciiTheme="majorEastAsia" w:hAnsiTheme="majorEastAsia" w:eastAsiaTheme="majorEastAsia" w:cstheme="majorEastAsia"/>
          <w:b w:val="0"/>
          <w:bCs w:val="0"/>
          <w:sz w:val="24"/>
          <w:szCs w:val="24"/>
        </w:rPr>
        <w:t>名：</w:t>
      </w:r>
      <w:r>
        <w:rPr>
          <w:rFonts w:hint="eastAsia" w:asciiTheme="majorEastAsia" w:hAnsiTheme="majorEastAsia" w:eastAsiaTheme="majorEastAsia" w:cstheme="majorEastAsia"/>
          <w:b w:val="0"/>
          <w:bCs w:val="0"/>
          <w:sz w:val="24"/>
        </w:rPr>
        <w:t>浙江商易项目管理有限公司</w:t>
      </w:r>
    </w:p>
    <w:p w14:paraId="7CFFCA17">
      <w:pPr>
        <w:pStyle w:val="3"/>
        <w:pageBreakBefore w:val="0"/>
        <w:numPr>
          <w:ilvl w:val="255"/>
          <w:numId w:val="0"/>
        </w:numPr>
        <w:kinsoku/>
        <w:wordWrap/>
        <w:overflowPunct/>
        <w:topLinePunct w:val="0"/>
        <w:autoSpaceDE/>
        <w:autoSpaceDN/>
        <w:bidi w:val="0"/>
        <w:spacing w:line="440" w:lineRule="exact"/>
        <w:ind w:firstLine="480" w:firstLineChars="200"/>
        <w:rPr>
          <w:rFonts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开户行：</w:t>
      </w:r>
      <w:r>
        <w:rPr>
          <w:rFonts w:hint="eastAsia" w:asciiTheme="majorEastAsia" w:hAnsiTheme="majorEastAsia" w:eastAsiaTheme="majorEastAsia" w:cstheme="majorEastAsia"/>
          <w:b w:val="0"/>
          <w:bCs w:val="0"/>
          <w:sz w:val="24"/>
        </w:rPr>
        <w:t>中国工商银行嵊州市东城支行</w:t>
      </w:r>
    </w:p>
    <w:p w14:paraId="7575774B">
      <w:pPr>
        <w:pStyle w:val="3"/>
        <w:pageBreakBefore w:val="0"/>
        <w:numPr>
          <w:ilvl w:val="255"/>
          <w:numId w:val="0"/>
        </w:numPr>
        <w:kinsoku/>
        <w:wordWrap/>
        <w:overflowPunct/>
        <w:topLinePunct w:val="0"/>
        <w:autoSpaceDE/>
        <w:autoSpaceDN/>
        <w:bidi w:val="0"/>
        <w:spacing w:line="440" w:lineRule="exact"/>
        <w:ind w:firstLine="480" w:firstLineChars="200"/>
        <w:rPr>
          <w:rFonts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账</w:t>
      </w:r>
      <w:r>
        <w:rPr>
          <w:rFonts w:hint="eastAsia" w:asciiTheme="majorEastAsia" w:hAnsiTheme="majorEastAsia" w:eastAsiaTheme="majorEastAsia" w:cstheme="majorEastAsia"/>
          <w:b w:val="0"/>
          <w:bCs w:val="0"/>
          <w:sz w:val="24"/>
          <w:szCs w:val="24"/>
          <w:lang w:val="en-US"/>
        </w:rPr>
        <w:t xml:space="preserve">  </w:t>
      </w:r>
      <w:r>
        <w:rPr>
          <w:rFonts w:hint="eastAsia" w:asciiTheme="majorEastAsia" w:hAnsiTheme="majorEastAsia" w:eastAsiaTheme="majorEastAsia" w:cstheme="majorEastAsia"/>
          <w:b w:val="0"/>
          <w:bCs w:val="0"/>
          <w:sz w:val="24"/>
          <w:szCs w:val="24"/>
        </w:rPr>
        <w:t>号：1211026109200141824</w:t>
      </w:r>
    </w:p>
    <w:p w14:paraId="3E8EB738">
      <w:pPr>
        <w:pStyle w:val="3"/>
        <w:pageBreakBefore w:val="0"/>
        <w:numPr>
          <w:ilvl w:val="255"/>
          <w:numId w:val="0"/>
        </w:numPr>
        <w:kinsoku/>
        <w:wordWrap/>
        <w:overflowPunct/>
        <w:topLinePunct w:val="0"/>
        <w:autoSpaceDE/>
        <w:autoSpaceDN/>
        <w:bidi w:val="0"/>
        <w:spacing w:line="440" w:lineRule="exact"/>
        <w:ind w:firstLine="480" w:firstLineChars="200"/>
        <w:rPr>
          <w:rFonts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投标保证金的退还：未中标的投标人的投标保证金将在中标通知书发出之日起</w:t>
      </w:r>
      <w:r>
        <w:rPr>
          <w:rFonts w:hint="eastAsia" w:asciiTheme="majorEastAsia" w:hAnsiTheme="majorEastAsia" w:eastAsiaTheme="majorEastAsia" w:cstheme="majorEastAsia"/>
          <w:b w:val="0"/>
          <w:bCs w:val="0"/>
          <w:sz w:val="24"/>
          <w:szCs w:val="24"/>
          <w:lang w:val="en-US" w:eastAsia="zh-CN"/>
        </w:rPr>
        <w:t>5</w:t>
      </w:r>
      <w:r>
        <w:rPr>
          <w:rFonts w:hint="eastAsia" w:asciiTheme="majorEastAsia" w:hAnsiTheme="majorEastAsia" w:eastAsiaTheme="majorEastAsia" w:cstheme="majorEastAsia"/>
          <w:b w:val="0"/>
          <w:bCs w:val="0"/>
          <w:sz w:val="24"/>
          <w:szCs w:val="24"/>
        </w:rPr>
        <w:t>个工作日内退还，中标供应商的投标保证金在中标供应商与招标人签订采购合同后5个工作日内退还。</w:t>
      </w:r>
    </w:p>
    <w:p w14:paraId="5382ADBC">
      <w:pPr>
        <w:pageBreakBefore w:val="0"/>
        <w:kinsoku/>
        <w:wordWrap/>
        <w:overflowPunct/>
        <w:topLinePunct w:val="0"/>
        <w:autoSpaceDE/>
        <w:autoSpaceDN/>
        <w:bidi w:val="0"/>
        <w:spacing w:line="440" w:lineRule="exact"/>
        <w:rPr>
          <w:rFonts w:ascii="宋体" w:hAnsi="宋体" w:cs="宋体"/>
          <w:sz w:val="24"/>
        </w:rPr>
      </w:pPr>
      <w:r>
        <w:rPr>
          <w:rFonts w:hint="eastAsia" w:ascii="宋体" w:hAnsi="宋体" w:cs="宋体"/>
          <w:b/>
          <w:sz w:val="24"/>
        </w:rPr>
        <w:t xml:space="preserve">六、公告期限 </w:t>
      </w:r>
    </w:p>
    <w:p w14:paraId="190E92E7">
      <w:pPr>
        <w:pageBreakBefore w:val="0"/>
        <w:kinsoku/>
        <w:wordWrap/>
        <w:overflowPunct/>
        <w:topLinePunct w:val="0"/>
        <w:autoSpaceDE/>
        <w:autoSpaceDN/>
        <w:bidi w:val="0"/>
        <w:spacing w:line="440" w:lineRule="exact"/>
        <w:ind w:firstLine="480" w:firstLineChars="200"/>
        <w:rPr>
          <w:rFonts w:ascii="宋体" w:hAnsi="宋体" w:cs="宋体"/>
          <w:sz w:val="24"/>
        </w:rPr>
      </w:pPr>
      <w:r>
        <w:rPr>
          <w:rFonts w:hint="eastAsia" w:ascii="宋体" w:hAnsi="宋体" w:cs="宋体"/>
          <w:sz w:val="24"/>
        </w:rPr>
        <w:t>自本公告发布之日起5个工作日。</w:t>
      </w:r>
    </w:p>
    <w:p w14:paraId="32EC196F">
      <w:pPr>
        <w:pageBreakBefore w:val="0"/>
        <w:kinsoku/>
        <w:wordWrap/>
        <w:overflowPunct/>
        <w:topLinePunct w:val="0"/>
        <w:autoSpaceDE/>
        <w:autoSpaceDN/>
        <w:bidi w:val="0"/>
        <w:spacing w:line="440" w:lineRule="exact"/>
        <w:rPr>
          <w:rFonts w:ascii="宋体" w:hAnsi="宋体" w:cs="宋体"/>
          <w:b/>
          <w:sz w:val="24"/>
        </w:rPr>
      </w:pPr>
      <w:r>
        <w:rPr>
          <w:rFonts w:hint="eastAsia" w:ascii="宋体" w:hAnsi="宋体" w:cs="宋体"/>
          <w:b/>
          <w:sz w:val="24"/>
        </w:rPr>
        <w:t>七、其他补充事宜</w:t>
      </w:r>
    </w:p>
    <w:p w14:paraId="622A14A0">
      <w:pPr>
        <w:pageBreakBefore w:val="0"/>
        <w:kinsoku/>
        <w:wordWrap/>
        <w:overflowPunct/>
        <w:topLinePunct w:val="0"/>
        <w:autoSpaceDE/>
        <w:autoSpaceDN/>
        <w:bidi w:val="0"/>
        <w:spacing w:line="440" w:lineRule="exact"/>
        <w:ind w:firstLine="480" w:firstLineChars="200"/>
        <w:rPr>
          <w:rFonts w:ascii="宋体" w:hAnsi="宋体" w:cs="宋体"/>
          <w:sz w:val="24"/>
        </w:rPr>
      </w:pPr>
      <w:r>
        <w:rPr>
          <w:rFonts w:hint="eastAsia" w:ascii="宋体" w:hAnsi="宋体" w:cs="宋体"/>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收到答复之日或答复期满后15个工作日内向依法向采购人主管部门投诉。</w:t>
      </w:r>
    </w:p>
    <w:p w14:paraId="717A1BE5">
      <w:pPr>
        <w:pageBreakBefore w:val="0"/>
        <w:kinsoku/>
        <w:wordWrap/>
        <w:overflowPunct/>
        <w:topLinePunct w:val="0"/>
        <w:autoSpaceDE/>
        <w:autoSpaceDN/>
        <w:bidi w:val="0"/>
        <w:spacing w:line="440" w:lineRule="exact"/>
        <w:ind w:firstLine="480" w:firstLineChars="200"/>
        <w:rPr>
          <w:rFonts w:ascii="宋体" w:hAnsi="宋体" w:cs="宋体"/>
          <w:sz w:val="24"/>
        </w:rPr>
      </w:pPr>
      <w:r>
        <w:rPr>
          <w:rFonts w:hint="eastAsia" w:ascii="宋体" w:hAnsi="宋体" w:cs="宋体"/>
          <w:sz w:val="24"/>
        </w:rPr>
        <w:t>2.其他事项：供应商首次使用乐采云平台需要注册账号（注册的账号为政采云账号）。（1）电子招投标的说明：①电子招投标：本项目以数据电文形式，依托“乐采云平台（www.lecaiyun.com）”进行招投标活动，不接受纸质投标文件；②投标准备：注册账号--点击“商家入驻”，进行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乐采云平台（www.lecaiyun.com）；进入“项目采购”应用，在获取采购文件菜单中选择项目，获取采购文件；④投标文件的制作：在“政采云电子交易客户端”中完成“填写基本信息”、“导入投标文件”、“标书关联”、“标书检查”、“电子签名”、“生成电子标书”等操作；⑤采购人、采购机构将依托乐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投标文件的传输递交：投标人在投标截止时间前将加密的投标文件上传至乐采云平台，还可以在投标截止时间前直接提交或者以顺丰快递（建议）方式递交备份投标文件1份。⑨投标文件的解密：投标人按照平台提示和采购文件的规定在半小时内完成在线解密。通过乐采云平台（www.lecaiyun.com）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没有在乐采云电子交易平台传输递交投标文件的，投标无效；⑩具体操作指南：详见政采云平台“服务中心-帮助文档-项目采购-操作流程-电子招投标-政府采购项目电子交易管理操作指南-供应商”。</w:t>
      </w:r>
    </w:p>
    <w:p w14:paraId="0AEEA9F9">
      <w:pPr>
        <w:pageBreakBefore w:val="0"/>
        <w:kinsoku/>
        <w:wordWrap/>
        <w:overflowPunct/>
        <w:topLinePunct w:val="0"/>
        <w:autoSpaceDE/>
        <w:autoSpaceDN/>
        <w:bidi w:val="0"/>
        <w:spacing w:line="440" w:lineRule="exact"/>
        <w:rPr>
          <w:rFonts w:ascii="宋体" w:hAnsi="宋体" w:cs="宋体"/>
          <w:b/>
          <w:sz w:val="24"/>
        </w:rPr>
      </w:pPr>
      <w:r>
        <w:rPr>
          <w:rFonts w:hint="eastAsia" w:ascii="宋体" w:hAnsi="宋体" w:cs="宋体"/>
          <w:b/>
          <w:sz w:val="24"/>
        </w:rPr>
        <w:t>八、对本次采购提出询问、质疑、投诉，请按以下方式联系</w:t>
      </w:r>
    </w:p>
    <w:p w14:paraId="38A936FE">
      <w:pPr>
        <w:pageBreakBefore w:val="0"/>
        <w:kinsoku/>
        <w:wordWrap/>
        <w:overflowPunct/>
        <w:topLinePunct w:val="0"/>
        <w:autoSpaceDE/>
        <w:autoSpaceDN/>
        <w:bidi w:val="0"/>
        <w:spacing w:line="440" w:lineRule="exact"/>
        <w:rPr>
          <w:rFonts w:ascii="宋体" w:hAnsi="宋体" w:cs="宋体"/>
          <w:sz w:val="24"/>
        </w:rPr>
      </w:pPr>
      <w:r>
        <w:rPr>
          <w:rFonts w:hint="eastAsia" w:ascii="宋体" w:hAnsi="宋体" w:cs="宋体"/>
          <w:sz w:val="24"/>
        </w:rPr>
        <w:t xml:space="preserve">    1.采购人信息</w:t>
      </w:r>
    </w:p>
    <w:p w14:paraId="51FBDA3A">
      <w:pPr>
        <w:pageBreakBefore w:val="0"/>
        <w:kinsoku/>
        <w:wordWrap/>
        <w:overflowPunct/>
        <w:topLinePunct w:val="0"/>
        <w:autoSpaceDE/>
        <w:autoSpaceDN/>
        <w:bidi w:val="0"/>
        <w:spacing w:line="440" w:lineRule="exact"/>
        <w:rPr>
          <w:rFonts w:ascii="宋体" w:hAnsi="宋体" w:cs="宋体"/>
          <w:sz w:val="24"/>
        </w:rPr>
      </w:pPr>
      <w:r>
        <w:rPr>
          <w:rFonts w:hint="eastAsia" w:ascii="宋体" w:hAnsi="宋体" w:cs="宋体"/>
          <w:sz w:val="24"/>
        </w:rPr>
        <w:t xml:space="preserve">    名    称：嵊州市越风蕴秀影视传媒有限公司</w:t>
      </w:r>
    </w:p>
    <w:p w14:paraId="7222BD8D">
      <w:pPr>
        <w:pageBreakBefore w:val="0"/>
        <w:kinsoku/>
        <w:wordWrap/>
        <w:overflowPunct/>
        <w:topLinePunct w:val="0"/>
        <w:autoSpaceDE/>
        <w:autoSpaceDN/>
        <w:bidi w:val="0"/>
        <w:spacing w:line="440" w:lineRule="exact"/>
        <w:rPr>
          <w:rFonts w:ascii="宋体" w:hAnsi="宋体" w:cs="宋体"/>
          <w:sz w:val="24"/>
        </w:rPr>
      </w:pPr>
      <w:r>
        <w:rPr>
          <w:rFonts w:hint="eastAsia" w:ascii="宋体" w:hAnsi="宋体" w:cs="宋体"/>
          <w:sz w:val="24"/>
        </w:rPr>
        <w:t xml:space="preserve">    地    址：嵊州市官河南路575号华汇大厦北楼8楼       </w:t>
      </w:r>
    </w:p>
    <w:p w14:paraId="10AE3504">
      <w:pPr>
        <w:pageBreakBefore w:val="0"/>
        <w:kinsoku/>
        <w:wordWrap/>
        <w:overflowPunct/>
        <w:topLinePunct w:val="0"/>
        <w:autoSpaceDE/>
        <w:autoSpaceDN/>
        <w:bidi w:val="0"/>
        <w:spacing w:line="440" w:lineRule="exact"/>
        <w:ind w:firstLine="480"/>
        <w:rPr>
          <w:rFonts w:ascii="宋体" w:hAnsi="宋体" w:cs="宋体"/>
          <w:sz w:val="24"/>
        </w:rPr>
      </w:pPr>
      <w:r>
        <w:rPr>
          <w:rFonts w:hint="eastAsia" w:ascii="宋体" w:hAnsi="宋体" w:cs="宋体"/>
          <w:sz w:val="24"/>
        </w:rPr>
        <w:t>项目联系人（询问）：</w:t>
      </w:r>
      <w:r>
        <w:rPr>
          <w:rFonts w:hint="eastAsia" w:ascii="宋体" w:hAnsi="宋体" w:cs="宋体"/>
          <w:sz w:val="24"/>
          <w:lang w:val="en-US" w:eastAsia="zh-CN"/>
        </w:rPr>
        <w:t>俞</w:t>
      </w:r>
      <w:r>
        <w:rPr>
          <w:rFonts w:hint="eastAsia" w:ascii="宋体" w:hAnsi="宋体" w:cs="宋体"/>
          <w:sz w:val="24"/>
        </w:rPr>
        <w:t xml:space="preserve">女士  </w:t>
      </w:r>
    </w:p>
    <w:p w14:paraId="77FB7A9F">
      <w:pPr>
        <w:pStyle w:val="26"/>
        <w:pageBreakBefore w:val="0"/>
        <w:widowControl/>
        <w:kinsoku/>
        <w:wordWrap/>
        <w:overflowPunct/>
        <w:topLinePunct w:val="0"/>
        <w:autoSpaceDE/>
        <w:autoSpaceDN/>
        <w:bidi w:val="0"/>
        <w:adjustRightInd/>
        <w:spacing w:before="0" w:beforeAutospacing="0" w:after="0" w:afterAutospacing="0" w:line="440" w:lineRule="exact"/>
        <w:ind w:firstLine="480" w:firstLineChars="200"/>
        <w:rPr>
          <w:rFonts w:ascii="宋体" w:hAnsi="宋体" w:cs="宋体"/>
        </w:rPr>
      </w:pPr>
      <w:r>
        <w:rPr>
          <w:rFonts w:hint="eastAsia" w:ascii="宋体" w:hAnsi="宋体" w:cs="宋体"/>
        </w:rPr>
        <w:t>项目联系方式（询问）：0575-83013965</w:t>
      </w:r>
    </w:p>
    <w:p w14:paraId="1C8054AA">
      <w:pPr>
        <w:pageBreakBefore w:val="0"/>
        <w:kinsoku/>
        <w:wordWrap/>
        <w:overflowPunct/>
        <w:topLinePunct w:val="0"/>
        <w:autoSpaceDE/>
        <w:autoSpaceDN/>
        <w:bidi w:val="0"/>
        <w:spacing w:line="440" w:lineRule="exact"/>
        <w:rPr>
          <w:rFonts w:ascii="宋体" w:hAnsi="宋体" w:cs="宋体"/>
          <w:sz w:val="24"/>
        </w:rPr>
      </w:pPr>
      <w:r>
        <w:rPr>
          <w:rFonts w:hint="eastAsia" w:ascii="宋体" w:hAnsi="宋体" w:cs="宋体"/>
          <w:sz w:val="24"/>
        </w:rPr>
        <w:t xml:space="preserve">    2.采购代理机构信息            </w:t>
      </w:r>
    </w:p>
    <w:p w14:paraId="6C7CEA6C">
      <w:pPr>
        <w:pageBreakBefore w:val="0"/>
        <w:kinsoku/>
        <w:wordWrap/>
        <w:overflowPunct/>
        <w:topLinePunct w:val="0"/>
        <w:autoSpaceDE/>
        <w:autoSpaceDN/>
        <w:bidi w:val="0"/>
        <w:spacing w:line="440" w:lineRule="exact"/>
        <w:ind w:firstLine="480"/>
        <w:rPr>
          <w:rFonts w:ascii="宋体" w:hAnsi="宋体" w:cs="宋体"/>
          <w:sz w:val="24"/>
        </w:rPr>
      </w:pPr>
      <w:r>
        <w:rPr>
          <w:rFonts w:hint="eastAsia" w:ascii="宋体" w:hAnsi="宋体" w:cs="宋体"/>
          <w:sz w:val="24"/>
        </w:rPr>
        <w:t xml:space="preserve">名    称：浙江商易项目管理有限公司 </w:t>
      </w:r>
    </w:p>
    <w:p w14:paraId="39A1B180">
      <w:pPr>
        <w:pageBreakBefore w:val="0"/>
        <w:kinsoku/>
        <w:wordWrap/>
        <w:overflowPunct/>
        <w:topLinePunct w:val="0"/>
        <w:autoSpaceDE/>
        <w:autoSpaceDN/>
        <w:bidi w:val="0"/>
        <w:spacing w:line="440" w:lineRule="exact"/>
        <w:ind w:firstLine="480"/>
        <w:rPr>
          <w:rFonts w:ascii="宋体" w:hAnsi="宋体" w:cs="宋体"/>
          <w:sz w:val="24"/>
        </w:rPr>
      </w:pPr>
      <w:r>
        <w:rPr>
          <w:rFonts w:hint="eastAsia" w:ascii="宋体" w:hAnsi="宋体" w:cs="宋体"/>
          <w:sz w:val="24"/>
        </w:rPr>
        <w:t xml:space="preserve">地    址：嵊州市官河南路555号天佳总部大楼2楼         </w:t>
      </w:r>
    </w:p>
    <w:p w14:paraId="66E43203">
      <w:pPr>
        <w:pageBreakBefore w:val="0"/>
        <w:kinsoku/>
        <w:wordWrap/>
        <w:overflowPunct/>
        <w:topLinePunct w:val="0"/>
        <w:autoSpaceDE/>
        <w:autoSpaceDN/>
        <w:bidi w:val="0"/>
        <w:spacing w:line="440" w:lineRule="exact"/>
        <w:rPr>
          <w:rFonts w:ascii="宋体" w:hAnsi="宋体" w:cs="宋体"/>
          <w:sz w:val="24"/>
        </w:rPr>
      </w:pPr>
      <w:r>
        <w:rPr>
          <w:rFonts w:hint="eastAsia" w:ascii="宋体" w:hAnsi="宋体" w:cs="宋体"/>
          <w:sz w:val="24"/>
        </w:rPr>
        <w:t xml:space="preserve">    项目联系人（询问）：张工      </w:t>
      </w:r>
    </w:p>
    <w:p w14:paraId="7F5100C3">
      <w:pPr>
        <w:pageBreakBefore w:val="0"/>
        <w:kinsoku/>
        <w:wordWrap/>
        <w:overflowPunct/>
        <w:topLinePunct w:val="0"/>
        <w:autoSpaceDE/>
        <w:autoSpaceDN/>
        <w:bidi w:val="0"/>
        <w:spacing w:line="440" w:lineRule="exact"/>
        <w:rPr>
          <w:rFonts w:ascii="宋体" w:hAnsi="宋体" w:cs="宋体"/>
          <w:sz w:val="24"/>
        </w:rPr>
      </w:pPr>
      <w:r>
        <w:rPr>
          <w:rFonts w:hint="eastAsia" w:ascii="宋体" w:hAnsi="宋体" w:cs="宋体"/>
          <w:sz w:val="24"/>
        </w:rPr>
        <w:t xml:space="preserve">    项目联系方式（询问）：19857507955  </w:t>
      </w:r>
    </w:p>
    <w:p w14:paraId="5F31CE45">
      <w:pPr>
        <w:pageBreakBefore w:val="0"/>
        <w:kinsoku/>
        <w:wordWrap/>
        <w:overflowPunct/>
        <w:topLinePunct w:val="0"/>
        <w:autoSpaceDE/>
        <w:autoSpaceDN/>
        <w:bidi w:val="0"/>
        <w:spacing w:line="440" w:lineRule="exact"/>
        <w:ind w:firstLine="420" w:firstLineChars="200"/>
        <w:rPr>
          <w:rFonts w:hint="eastAsia" w:ascii="宋体" w:hAnsi="宋体" w:cs="宋体"/>
          <w:szCs w:val="21"/>
        </w:rPr>
      </w:pPr>
    </w:p>
    <w:p w14:paraId="6B760B23">
      <w:pPr>
        <w:pageBreakBefore w:val="0"/>
        <w:kinsoku/>
        <w:wordWrap/>
        <w:overflowPunct/>
        <w:topLinePunct w:val="0"/>
        <w:autoSpaceDE/>
        <w:autoSpaceDN/>
        <w:bidi w:val="0"/>
        <w:spacing w:line="440" w:lineRule="exact"/>
        <w:ind w:firstLine="420" w:firstLineChars="200"/>
        <w:rPr>
          <w:rFonts w:ascii="宋体" w:hAnsi="宋体" w:cs="宋体"/>
          <w:szCs w:val="21"/>
        </w:rPr>
      </w:pPr>
      <w:r>
        <w:rPr>
          <w:rFonts w:hint="eastAsia" w:ascii="宋体" w:hAnsi="宋体" w:cs="宋体"/>
          <w:szCs w:val="21"/>
        </w:rPr>
        <w:t>若对项目采购电子交易系统操作有疑问，可登录乐采云（https://www.lecaiyun.com/），点击右侧咨询小采，获取采小蜜智能服务管家帮助，或拨打乐采云服务热线95763获取热线服务帮助。</w:t>
      </w:r>
    </w:p>
    <w:p w14:paraId="3E34A6CB">
      <w:pPr>
        <w:pageBreakBefore w:val="0"/>
        <w:kinsoku/>
        <w:wordWrap/>
        <w:overflowPunct/>
        <w:topLinePunct w:val="0"/>
        <w:autoSpaceDE/>
        <w:autoSpaceDN/>
        <w:bidi w:val="0"/>
        <w:spacing w:line="440" w:lineRule="exact"/>
        <w:ind w:firstLine="420" w:firstLineChars="200"/>
        <w:rPr>
          <w:rFonts w:ascii="宋体" w:hAnsi="宋体" w:cs="宋体"/>
          <w:sz w:val="28"/>
          <w:szCs w:val="28"/>
        </w:rPr>
      </w:pPr>
      <w:r>
        <w:rPr>
          <w:rFonts w:hint="eastAsia" w:ascii="宋体" w:hAnsi="宋体" w:cs="宋体"/>
          <w:szCs w:val="21"/>
        </w:rPr>
        <w:t>CA问题联系电话（人工）：汇信CA 400-888-4636；天谷CA 400-087-8198。</w:t>
      </w:r>
    </w:p>
    <w:p w14:paraId="4D978151">
      <w:pPr>
        <w:rPr>
          <w:rFonts w:ascii="宋体" w:hAnsi="宋体" w:cs="宋体"/>
          <w:b/>
          <w:sz w:val="32"/>
          <w:szCs w:val="32"/>
        </w:rPr>
      </w:pPr>
      <w:bookmarkStart w:id="18" w:name="_Toc15391"/>
      <w:bookmarkStart w:id="19" w:name="_Toc32071"/>
      <w:r>
        <w:rPr>
          <w:rFonts w:hint="eastAsia" w:ascii="宋体" w:hAnsi="宋体" w:cs="宋体"/>
          <w:b/>
          <w:sz w:val="32"/>
          <w:szCs w:val="32"/>
        </w:rPr>
        <w:br w:type="page"/>
      </w:r>
    </w:p>
    <w:p w14:paraId="0529A00C">
      <w:pPr>
        <w:adjustRightInd/>
        <w:spacing w:line="360" w:lineRule="auto"/>
        <w:jc w:val="center"/>
        <w:outlineLvl w:val="0"/>
        <w:rPr>
          <w:rFonts w:ascii="宋体" w:hAnsi="宋体" w:cs="宋体"/>
          <w:b/>
          <w:sz w:val="32"/>
          <w:szCs w:val="32"/>
        </w:rPr>
      </w:pPr>
      <w:bookmarkStart w:id="20" w:name="_Toc9661"/>
      <w:r>
        <w:rPr>
          <w:rFonts w:hint="eastAsia" w:ascii="宋体" w:hAnsi="宋体" w:cs="宋体"/>
          <w:b/>
          <w:sz w:val="32"/>
          <w:szCs w:val="32"/>
        </w:rPr>
        <w:t>第二章 投标人须知</w:t>
      </w:r>
      <w:bookmarkEnd w:id="18"/>
      <w:bookmarkEnd w:id="19"/>
      <w:bookmarkEnd w:id="20"/>
    </w:p>
    <w:p w14:paraId="5AA8A087">
      <w:pPr>
        <w:snapToGrid w:val="0"/>
        <w:spacing w:line="360" w:lineRule="auto"/>
        <w:jc w:val="center"/>
        <w:rPr>
          <w:rFonts w:ascii="宋体" w:hAnsi="宋体" w:cs="宋体"/>
          <w:b/>
          <w:sz w:val="32"/>
          <w:szCs w:val="20"/>
        </w:rPr>
      </w:pPr>
      <w:r>
        <w:rPr>
          <w:rFonts w:hint="eastAsia" w:ascii="宋体" w:hAnsi="宋体" w:cs="宋体"/>
          <w:b/>
          <w:sz w:val="32"/>
          <w:szCs w:val="20"/>
        </w:rPr>
        <w:t>一、前附表</w:t>
      </w:r>
    </w:p>
    <w:tbl>
      <w:tblPr>
        <w:tblStyle w:val="29"/>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8519"/>
      </w:tblGrid>
      <w:tr w14:paraId="0E484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61" w:type="dxa"/>
            <w:vAlign w:val="center"/>
          </w:tcPr>
          <w:p w14:paraId="041D654F">
            <w:pPr>
              <w:adjustRightInd/>
              <w:spacing w:before="120" w:beforeLines="50" w:after="72" w:afterLines="30" w:line="460" w:lineRule="exact"/>
              <w:jc w:val="center"/>
              <w:rPr>
                <w:rFonts w:ascii="宋体" w:hAnsi="宋体" w:cs="宋体"/>
                <w:sz w:val="24"/>
              </w:rPr>
            </w:pPr>
            <w:r>
              <w:rPr>
                <w:rFonts w:hint="eastAsia" w:ascii="宋体" w:hAnsi="宋体" w:cs="宋体"/>
                <w:sz w:val="24"/>
              </w:rPr>
              <w:t>序号</w:t>
            </w:r>
          </w:p>
        </w:tc>
        <w:tc>
          <w:tcPr>
            <w:tcW w:w="8519" w:type="dxa"/>
            <w:vAlign w:val="center"/>
          </w:tcPr>
          <w:p w14:paraId="3B163A4F">
            <w:pPr>
              <w:adjustRightInd/>
              <w:spacing w:before="120" w:beforeLines="50" w:after="72" w:afterLines="30" w:line="460" w:lineRule="exact"/>
              <w:jc w:val="center"/>
              <w:rPr>
                <w:rFonts w:ascii="宋体" w:hAnsi="宋体" w:cs="宋体"/>
                <w:sz w:val="24"/>
              </w:rPr>
            </w:pPr>
            <w:r>
              <w:rPr>
                <w:rFonts w:hint="eastAsia" w:ascii="宋体" w:hAnsi="宋体" w:cs="宋体"/>
                <w:sz w:val="24"/>
              </w:rPr>
              <w:t>内　　　　容</w:t>
            </w:r>
          </w:p>
        </w:tc>
      </w:tr>
      <w:tr w14:paraId="0FAB9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861" w:type="dxa"/>
            <w:vAlign w:val="center"/>
          </w:tcPr>
          <w:p w14:paraId="495AB591">
            <w:pPr>
              <w:adjustRightInd/>
              <w:spacing w:line="460" w:lineRule="exact"/>
              <w:jc w:val="center"/>
              <w:rPr>
                <w:rFonts w:ascii="宋体" w:hAnsi="宋体" w:cs="宋体"/>
                <w:sz w:val="24"/>
              </w:rPr>
            </w:pPr>
            <w:r>
              <w:rPr>
                <w:rFonts w:hint="eastAsia" w:ascii="宋体" w:hAnsi="宋体" w:cs="宋体"/>
                <w:sz w:val="24"/>
              </w:rPr>
              <w:t>1</w:t>
            </w:r>
          </w:p>
        </w:tc>
        <w:tc>
          <w:tcPr>
            <w:tcW w:w="8519" w:type="dxa"/>
            <w:vAlign w:val="center"/>
          </w:tcPr>
          <w:p w14:paraId="29523172">
            <w:pPr>
              <w:snapToGrid w:val="0"/>
              <w:spacing w:line="460" w:lineRule="exact"/>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投标保证金：</w:t>
            </w:r>
          </w:p>
          <w:p w14:paraId="4469FC97">
            <w:pPr>
              <w:spacing w:line="46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人民币40000元，投标人应于</w:t>
            </w:r>
            <w:r>
              <w:rPr>
                <w:rFonts w:hint="eastAsia" w:asciiTheme="majorEastAsia" w:hAnsiTheme="majorEastAsia" w:eastAsiaTheme="majorEastAsia" w:cstheme="majorEastAsia"/>
                <w:sz w:val="24"/>
                <w:lang w:eastAsia="zh-CN"/>
              </w:rPr>
              <w:t>2024年12月19日16：00时</w:t>
            </w:r>
            <w:r>
              <w:rPr>
                <w:rFonts w:hint="eastAsia" w:asciiTheme="majorEastAsia" w:hAnsiTheme="majorEastAsia" w:eastAsiaTheme="majorEastAsia" w:cstheme="majorEastAsia"/>
                <w:sz w:val="24"/>
              </w:rPr>
              <w:t>前将投标保证金以电汇、转账、网上银行交至浙江商易项目管理有限公司，投标保证金以到账时间为准。如因投标人自身原因，造成投标单位保证金未及时到账的，一律视为不响应招标文件，投标无效。投标人的投标保证金必须从其基本账户转出。</w:t>
            </w:r>
          </w:p>
          <w:p w14:paraId="2DA49329">
            <w:pPr>
              <w:pStyle w:val="3"/>
              <w:numPr>
                <w:ilvl w:val="255"/>
                <w:numId w:val="0"/>
              </w:numPr>
              <w:spacing w:line="460" w:lineRule="exact"/>
              <w:ind w:firstLine="480" w:firstLineChars="200"/>
              <w:rPr>
                <w:rFonts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户</w:t>
            </w:r>
            <w:r>
              <w:rPr>
                <w:rFonts w:hint="eastAsia" w:asciiTheme="majorEastAsia" w:hAnsiTheme="majorEastAsia" w:eastAsiaTheme="majorEastAsia" w:cstheme="majorEastAsia"/>
                <w:b w:val="0"/>
                <w:bCs w:val="0"/>
                <w:sz w:val="24"/>
                <w:szCs w:val="24"/>
                <w:lang w:val="en-US"/>
              </w:rPr>
              <w:t xml:space="preserve">  </w:t>
            </w:r>
            <w:r>
              <w:rPr>
                <w:rFonts w:hint="eastAsia" w:asciiTheme="majorEastAsia" w:hAnsiTheme="majorEastAsia" w:eastAsiaTheme="majorEastAsia" w:cstheme="majorEastAsia"/>
                <w:b w:val="0"/>
                <w:bCs w:val="0"/>
                <w:sz w:val="24"/>
                <w:szCs w:val="24"/>
              </w:rPr>
              <w:t>名：</w:t>
            </w:r>
            <w:r>
              <w:rPr>
                <w:rFonts w:hint="eastAsia" w:asciiTheme="majorEastAsia" w:hAnsiTheme="majorEastAsia" w:eastAsiaTheme="majorEastAsia" w:cstheme="majorEastAsia"/>
                <w:b w:val="0"/>
                <w:bCs w:val="0"/>
                <w:sz w:val="24"/>
              </w:rPr>
              <w:t>浙江商易项目管理有限公司</w:t>
            </w:r>
          </w:p>
          <w:p w14:paraId="12FF37F6">
            <w:pPr>
              <w:pStyle w:val="3"/>
              <w:numPr>
                <w:ilvl w:val="255"/>
                <w:numId w:val="0"/>
              </w:numPr>
              <w:spacing w:line="460" w:lineRule="exact"/>
              <w:ind w:firstLine="480" w:firstLineChars="200"/>
              <w:rPr>
                <w:rFonts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开户行：</w:t>
            </w:r>
            <w:r>
              <w:rPr>
                <w:rFonts w:hint="eastAsia" w:asciiTheme="majorEastAsia" w:hAnsiTheme="majorEastAsia" w:eastAsiaTheme="majorEastAsia" w:cstheme="majorEastAsia"/>
                <w:b w:val="0"/>
                <w:bCs w:val="0"/>
                <w:sz w:val="24"/>
              </w:rPr>
              <w:t>中国工商银行嵊州市东城支行</w:t>
            </w:r>
          </w:p>
          <w:p w14:paraId="65FA3995">
            <w:pPr>
              <w:spacing w:line="46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账  号：1211026109200141824</w:t>
            </w:r>
          </w:p>
          <w:p w14:paraId="1AD875CA">
            <w:pPr>
              <w:adjustRightInd/>
              <w:spacing w:line="460" w:lineRule="exact"/>
              <w:rPr>
                <w:rFonts w:ascii="宋体" w:hAnsi="宋体" w:cs="宋体"/>
                <w:sz w:val="24"/>
              </w:rPr>
            </w:pPr>
            <w:r>
              <w:rPr>
                <w:rFonts w:hint="eastAsia" w:asciiTheme="majorEastAsia" w:hAnsiTheme="majorEastAsia" w:eastAsiaTheme="majorEastAsia" w:cstheme="majorEastAsia"/>
                <w:sz w:val="24"/>
              </w:rPr>
              <w:t>投标保证金的退还：未中标的投标人的投标保证金将在中标通知书发出之日起</w:t>
            </w:r>
            <w:r>
              <w:rPr>
                <w:rFonts w:hint="eastAsia" w:asciiTheme="majorEastAsia" w:hAnsiTheme="majorEastAsia" w:eastAsiaTheme="majorEastAsia" w:cstheme="majorEastAsia"/>
                <w:sz w:val="24"/>
                <w:lang w:val="en-US" w:eastAsia="zh-CN"/>
              </w:rPr>
              <w:t>5</w:t>
            </w:r>
            <w:r>
              <w:rPr>
                <w:rFonts w:hint="eastAsia" w:asciiTheme="majorEastAsia" w:hAnsiTheme="majorEastAsia" w:eastAsiaTheme="majorEastAsia" w:cstheme="majorEastAsia"/>
                <w:sz w:val="24"/>
              </w:rPr>
              <w:t>个工作日内退还，中标供应商的投标保证金在中标供应商与招标人签订采购合同后5个工作日内退还。</w:t>
            </w:r>
          </w:p>
        </w:tc>
      </w:tr>
      <w:tr w14:paraId="07E2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4" w:hRule="atLeast"/>
        </w:trPr>
        <w:tc>
          <w:tcPr>
            <w:tcW w:w="861" w:type="dxa"/>
            <w:vAlign w:val="center"/>
          </w:tcPr>
          <w:p w14:paraId="61292577">
            <w:pPr>
              <w:adjustRightInd/>
              <w:spacing w:line="460" w:lineRule="exact"/>
              <w:jc w:val="center"/>
              <w:rPr>
                <w:rFonts w:hint="eastAsia" w:ascii="宋体" w:hAnsi="宋体" w:cs="宋体"/>
                <w:sz w:val="24"/>
              </w:rPr>
            </w:pPr>
            <w:r>
              <w:rPr>
                <w:rFonts w:hint="eastAsia" w:ascii="宋体" w:hAnsi="宋体" w:cs="宋体"/>
                <w:sz w:val="24"/>
              </w:rPr>
              <w:t>2</w:t>
            </w:r>
          </w:p>
        </w:tc>
        <w:tc>
          <w:tcPr>
            <w:tcW w:w="8519" w:type="dxa"/>
            <w:vAlign w:val="center"/>
          </w:tcPr>
          <w:p w14:paraId="40C361C3">
            <w:pPr>
              <w:keepNext w:val="0"/>
              <w:keepLines w:val="0"/>
              <w:suppressLineNumbers w:val="0"/>
              <w:snapToGrid w:val="0"/>
              <w:spacing w:before="0" w:beforeAutospacing="0" w:after="0" w:afterAutospacing="0" w:line="360" w:lineRule="auto"/>
              <w:ind w:left="0" w:right="0"/>
              <w:contextualSpacing/>
              <w:rPr>
                <w:rFonts w:hint="eastAsia" w:ascii="宋体" w:hAnsi="宋体" w:cs="宋体"/>
                <w:b/>
                <w:bCs/>
                <w:sz w:val="24"/>
                <w:lang w:val="en-US" w:eastAsia="zh-CN"/>
              </w:rPr>
            </w:pPr>
            <w:r>
              <w:rPr>
                <w:rFonts w:hint="eastAsia" w:ascii="宋体" w:hAnsi="宋体" w:cs="宋体"/>
                <w:b/>
                <w:bCs/>
                <w:sz w:val="24"/>
                <w:lang w:val="en-US" w:eastAsia="zh-CN"/>
              </w:rPr>
              <w:t>样品提供：</w:t>
            </w:r>
          </w:p>
          <w:p w14:paraId="04D0B7A5">
            <w:pPr>
              <w:keepNext w:val="0"/>
              <w:keepLines w:val="0"/>
              <w:suppressLineNumbers w:val="0"/>
              <w:snapToGrid w:val="0"/>
              <w:spacing w:before="0" w:beforeAutospacing="0" w:after="0" w:afterAutospacing="0" w:line="360" w:lineRule="auto"/>
              <w:ind w:left="0" w:right="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snapToGrid w:val="0"/>
                <w:color w:val="auto"/>
                <w:kern w:val="28"/>
                <w:sz w:val="24"/>
                <w:szCs w:val="24"/>
              </w:rPr>
              <w:t>样品：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详见采购需求</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w:t>
            </w:r>
          </w:p>
          <w:p w14:paraId="47B58CC8">
            <w:pPr>
              <w:keepNext w:val="0"/>
              <w:keepLines w:val="0"/>
              <w:suppressLineNumbers w:val="0"/>
              <w:snapToGrid w:val="0"/>
              <w:spacing w:before="0" w:beforeAutospacing="0" w:after="0" w:afterAutospacing="0" w:line="360" w:lineRule="auto"/>
              <w:ind w:left="0" w:right="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snapToGrid w:val="0"/>
                <w:color w:val="auto"/>
                <w:kern w:val="28"/>
                <w:sz w:val="24"/>
                <w:szCs w:val="24"/>
              </w:rPr>
              <w:t>样品制作的标准和要求：</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详见采购需求</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w:t>
            </w:r>
          </w:p>
          <w:p w14:paraId="74C39E6A">
            <w:pPr>
              <w:keepNext w:val="0"/>
              <w:keepLines w:val="0"/>
              <w:suppressLineNumbers w:val="0"/>
              <w:snapToGrid w:val="0"/>
              <w:spacing w:before="0" w:beforeAutospacing="0" w:after="0" w:afterAutospacing="0" w:line="360" w:lineRule="auto"/>
              <w:ind w:left="0" w:right="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（3）样品的评审方法以及评审标准</w:t>
            </w:r>
            <w:r>
              <w:rPr>
                <w:rFonts w:hint="eastAsia" w:ascii="宋体" w:hAnsi="宋体" w:eastAsia="宋体" w:cs="宋体"/>
                <w:snapToGrid w:val="0"/>
                <w:color w:val="auto"/>
                <w:kern w:val="28"/>
                <w:sz w:val="24"/>
                <w:szCs w:val="24"/>
              </w:rPr>
              <w:t>：详见</w:t>
            </w:r>
            <w:r>
              <w:rPr>
                <w:rFonts w:hint="eastAsia" w:ascii="宋体" w:hAnsi="宋体" w:eastAsia="宋体" w:cs="宋体"/>
                <w:color w:val="auto"/>
                <w:sz w:val="24"/>
                <w:szCs w:val="24"/>
                <w:u w:val="single"/>
              </w:rPr>
              <w:t>评标办法</w:t>
            </w:r>
            <w:r>
              <w:rPr>
                <w:rFonts w:hint="eastAsia" w:ascii="宋体" w:hAnsi="宋体" w:eastAsia="宋体" w:cs="宋体"/>
                <w:color w:val="auto"/>
                <w:kern w:val="0"/>
                <w:sz w:val="24"/>
                <w:szCs w:val="24"/>
              </w:rPr>
              <w:t>；</w:t>
            </w:r>
          </w:p>
          <w:p w14:paraId="5A94D452">
            <w:pPr>
              <w:keepNext w:val="0"/>
              <w:keepLines w:val="0"/>
              <w:suppressLineNumbers w:val="0"/>
              <w:snapToGrid w:val="0"/>
              <w:spacing w:before="0" w:beforeAutospacing="0" w:after="0" w:afterAutospacing="0" w:line="360" w:lineRule="auto"/>
              <w:ind w:left="0" w:right="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（4）是否需要随样品提交检测报告：</w:t>
            </w:r>
            <w:r>
              <w:rPr>
                <w:rFonts w:hint="eastAsia" w:ascii="宋体" w:hAnsi="宋体" w:eastAsia="宋体" w:cs="宋体"/>
                <w:color w:val="auto"/>
                <w:kern w:val="0"/>
                <w:sz w:val="24"/>
                <w:szCs w:val="24"/>
              </w:rPr>
              <w:sym w:font="Wingdings" w:char="00FE"/>
            </w:r>
            <w:r>
              <w:rPr>
                <w:rFonts w:hint="eastAsia" w:ascii="宋体" w:hAnsi="宋体" w:eastAsia="宋体" w:cs="宋体"/>
                <w:color w:val="auto"/>
                <w:kern w:val="0"/>
                <w:sz w:val="24"/>
                <w:szCs w:val="24"/>
              </w:rPr>
              <w:t>否；☐是，检测机构的要求</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；检测内容</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w:t>
            </w:r>
          </w:p>
          <w:p w14:paraId="3C145A37">
            <w:pPr>
              <w:keepNext w:val="0"/>
              <w:keepLines w:val="0"/>
              <w:suppressLineNumbers w:val="0"/>
              <w:snapToGrid w:val="0"/>
              <w:spacing w:before="0" w:beforeAutospacing="0" w:after="0" w:afterAutospacing="0" w:line="360" w:lineRule="auto"/>
              <w:ind w:left="0" w:right="0"/>
              <w:contextualSpacing/>
              <w:rPr>
                <w:rFonts w:hint="eastAsia" w:ascii="宋体" w:hAnsi="宋体" w:eastAsia="宋体" w:cs="宋体"/>
                <w:color w:val="auto"/>
                <w:sz w:val="24"/>
                <w:szCs w:val="24"/>
              </w:rPr>
            </w:pPr>
            <w:r>
              <w:rPr>
                <w:rFonts w:hint="eastAsia" w:ascii="宋体" w:hAnsi="宋体" w:eastAsia="宋体" w:cs="宋体"/>
                <w:color w:val="auto"/>
                <w:sz w:val="24"/>
                <w:szCs w:val="24"/>
              </w:rPr>
              <w:t>（5）提供样品的时间：</w:t>
            </w:r>
            <w:r>
              <w:rPr>
                <w:rFonts w:hint="eastAsia" w:ascii="宋体" w:hAnsi="宋体" w:cs="宋体"/>
                <w:color w:val="auto"/>
                <w:sz w:val="24"/>
                <w:szCs w:val="24"/>
                <w:u w:val="single"/>
                <w:lang w:val="en-US" w:eastAsia="zh-CN"/>
              </w:rPr>
              <w:t>2024年12月20日</w:t>
            </w:r>
            <w:r>
              <w:rPr>
                <w:rFonts w:hint="eastAsia" w:ascii="宋体" w:hAnsi="宋体" w:eastAsia="宋体" w:cs="宋体"/>
                <w:color w:val="auto"/>
                <w:sz w:val="24"/>
                <w:szCs w:val="24"/>
                <w:u w:val="single"/>
                <w:lang w:val="en-US" w:eastAsia="zh-CN"/>
              </w:rPr>
              <w:t>09:00</w:t>
            </w:r>
            <w:r>
              <w:rPr>
                <w:rFonts w:hint="eastAsia" w:ascii="宋体" w:hAnsi="宋体" w:cs="宋体"/>
                <w:color w:val="auto"/>
                <w:sz w:val="24"/>
                <w:szCs w:val="24"/>
                <w:u w:val="single"/>
                <w:lang w:val="en-US" w:eastAsia="zh-CN"/>
              </w:rPr>
              <w:t>分</w:t>
            </w:r>
            <w:r>
              <w:rPr>
                <w:rFonts w:hint="eastAsia" w:ascii="宋体" w:hAnsi="宋体" w:eastAsia="宋体" w:cs="宋体"/>
                <w:color w:val="auto"/>
                <w:sz w:val="24"/>
                <w:szCs w:val="24"/>
                <w:u w:val="single"/>
                <w:lang w:val="en-US" w:eastAsia="zh-CN"/>
              </w:rPr>
              <w:t>前</w:t>
            </w:r>
            <w:r>
              <w:rPr>
                <w:rFonts w:hint="eastAsia" w:ascii="宋体" w:hAnsi="宋体" w:eastAsia="宋体" w:cs="宋体"/>
                <w:color w:val="auto"/>
                <w:sz w:val="24"/>
                <w:szCs w:val="24"/>
              </w:rPr>
              <w:t>；地点：</w:t>
            </w:r>
            <w:r>
              <w:rPr>
                <w:rFonts w:hint="eastAsia" w:ascii="宋体" w:hAnsi="宋体" w:eastAsia="宋体" w:cs="宋体"/>
                <w:color w:val="auto"/>
                <w:sz w:val="24"/>
                <w:szCs w:val="24"/>
                <w:u w:val="single"/>
                <w:lang w:val="en-US" w:eastAsia="zh-CN"/>
              </w:rPr>
              <w:t>嵊州市官河南路555号天佳总部大楼2楼</w:t>
            </w:r>
            <w:r>
              <w:rPr>
                <w:rFonts w:hint="eastAsia" w:ascii="宋体" w:hAnsi="宋体" w:eastAsia="宋体" w:cs="宋体"/>
                <w:color w:val="auto"/>
                <w:sz w:val="24"/>
                <w:szCs w:val="24"/>
              </w:rPr>
              <w:t>；联系人：</w:t>
            </w:r>
            <w:r>
              <w:rPr>
                <w:rFonts w:hint="eastAsia" w:ascii="宋体" w:hAnsi="宋体" w:eastAsia="宋体" w:cs="宋体"/>
                <w:strike w:val="0"/>
                <w:dstrike w:val="0"/>
                <w:color w:val="auto"/>
                <w:sz w:val="24"/>
                <w:szCs w:val="24"/>
                <w:u w:val="single"/>
                <w:lang w:val="en-US" w:eastAsia="zh-CN"/>
              </w:rPr>
              <w:t>小张</w:t>
            </w: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lang w:val="en-US" w:eastAsia="zh-CN"/>
              </w:rPr>
              <w:t>13515850606</w:t>
            </w:r>
            <w:r>
              <w:rPr>
                <w:rFonts w:hint="eastAsia" w:ascii="宋体" w:hAnsi="宋体" w:eastAsia="宋体" w:cs="宋体"/>
                <w:color w:val="auto"/>
                <w:sz w:val="24"/>
                <w:szCs w:val="24"/>
              </w:rPr>
              <w:t>。请投标人在上述时间内提供样品并按规定位置安装完毕。超过截止时间的，采购人或采购代理机构将不予接收，并将清场并封闭样品现场。</w:t>
            </w:r>
          </w:p>
          <w:p w14:paraId="7B576F7E">
            <w:pPr>
              <w:keepNext w:val="0"/>
              <w:keepLines w:val="0"/>
              <w:suppressLineNumbers w:val="0"/>
              <w:snapToGrid w:val="0"/>
              <w:spacing w:before="0" w:beforeAutospacing="0" w:after="0" w:afterAutospacing="0" w:line="360" w:lineRule="auto"/>
              <w:ind w:left="0" w:right="0"/>
              <w:contextualSpacing/>
              <w:rPr>
                <w:rFonts w:hint="eastAsia" w:ascii="宋体" w:hAnsi="宋体" w:eastAsia="宋体" w:cs="宋体"/>
                <w:color w:val="auto"/>
                <w:sz w:val="24"/>
                <w:szCs w:val="24"/>
              </w:rPr>
            </w:pPr>
            <w:r>
              <w:rPr>
                <w:rFonts w:hint="eastAsia" w:ascii="宋体" w:hAnsi="宋体" w:eastAsia="宋体" w:cs="宋体"/>
                <w:color w:val="auto"/>
                <w:sz w:val="24"/>
                <w:szCs w:val="24"/>
              </w:rPr>
              <w:t>（6）采购活动结束后，对于未</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提供的样品，采购人、采购机构将通知未</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在规定的时间内取回，逾期未取回的，采购人、采购机构不负保管义务；对于</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提供的样品，采购人将进行保管、封存，并作为履约验收的参考。</w:t>
            </w:r>
          </w:p>
          <w:p w14:paraId="1F941CBC">
            <w:pPr>
              <w:autoSpaceDE w:val="0"/>
              <w:autoSpaceDN w:val="0"/>
              <w:adjustRightInd/>
              <w:spacing w:line="460" w:lineRule="exact"/>
              <w:textAlignment w:val="bottom"/>
              <w:rPr>
                <w:rFonts w:hint="default" w:ascii="宋体" w:hAnsi="宋体" w:eastAsia="宋体" w:cs="宋体"/>
                <w:b/>
                <w:bCs/>
                <w:sz w:val="24"/>
                <w:lang w:val="en-US" w:eastAsia="zh-CN"/>
              </w:rPr>
            </w:pPr>
            <w:r>
              <w:rPr>
                <w:rFonts w:hint="eastAsia" w:ascii="宋体" w:hAnsi="宋体" w:eastAsia="宋体" w:cs="宋体"/>
                <w:color w:val="auto"/>
                <w:sz w:val="24"/>
                <w:szCs w:val="24"/>
              </w:rPr>
              <w:t>（7）制作、运输、安装和保管样品所发生的一切费用由投标人自理。</w:t>
            </w:r>
          </w:p>
        </w:tc>
      </w:tr>
      <w:tr w14:paraId="0EA96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61" w:type="dxa"/>
            <w:vAlign w:val="center"/>
          </w:tcPr>
          <w:p w14:paraId="7014ABD6">
            <w:pPr>
              <w:adjustRightInd/>
              <w:spacing w:line="460" w:lineRule="exact"/>
              <w:jc w:val="center"/>
              <w:rPr>
                <w:rFonts w:ascii="宋体" w:hAnsi="宋体" w:cs="宋体"/>
                <w:sz w:val="24"/>
              </w:rPr>
            </w:pPr>
            <w:r>
              <w:rPr>
                <w:rFonts w:hint="eastAsia" w:ascii="宋体" w:hAnsi="宋体" w:cs="宋体"/>
                <w:sz w:val="24"/>
              </w:rPr>
              <w:t>3</w:t>
            </w:r>
          </w:p>
        </w:tc>
        <w:tc>
          <w:tcPr>
            <w:tcW w:w="8519" w:type="dxa"/>
            <w:vAlign w:val="center"/>
          </w:tcPr>
          <w:p w14:paraId="43F4D8D2">
            <w:pPr>
              <w:autoSpaceDE w:val="0"/>
              <w:autoSpaceDN w:val="0"/>
              <w:adjustRightInd/>
              <w:spacing w:line="460" w:lineRule="exact"/>
              <w:textAlignment w:val="bottom"/>
              <w:rPr>
                <w:rFonts w:ascii="宋体" w:hAnsi="宋体" w:cs="宋体"/>
                <w:sz w:val="24"/>
              </w:rPr>
            </w:pPr>
            <w:r>
              <w:rPr>
                <w:rFonts w:hint="eastAsia" w:ascii="宋体" w:hAnsi="宋体" w:cs="宋体"/>
                <w:b/>
                <w:bCs/>
                <w:sz w:val="24"/>
              </w:rPr>
              <w:t>投标有效期：</w:t>
            </w:r>
            <w:r>
              <w:rPr>
                <w:rFonts w:hint="eastAsia" w:ascii="宋体" w:hAnsi="宋体" w:cs="宋体"/>
                <w:sz w:val="24"/>
              </w:rPr>
              <w:t>自投标截止之日起90天。</w:t>
            </w:r>
          </w:p>
        </w:tc>
      </w:tr>
      <w:tr w14:paraId="0D874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61" w:type="dxa"/>
            <w:vAlign w:val="center"/>
          </w:tcPr>
          <w:p w14:paraId="4ED7C0BF">
            <w:pPr>
              <w:adjustRightInd/>
              <w:spacing w:line="460" w:lineRule="exact"/>
              <w:jc w:val="center"/>
              <w:rPr>
                <w:rFonts w:ascii="宋体" w:hAnsi="宋体" w:cs="宋体"/>
                <w:sz w:val="24"/>
              </w:rPr>
            </w:pPr>
            <w:r>
              <w:rPr>
                <w:rFonts w:hint="eastAsia" w:ascii="宋体" w:hAnsi="宋体" w:cs="宋体"/>
                <w:sz w:val="24"/>
              </w:rPr>
              <w:t>4</w:t>
            </w:r>
          </w:p>
        </w:tc>
        <w:tc>
          <w:tcPr>
            <w:tcW w:w="8519" w:type="dxa"/>
            <w:vAlign w:val="center"/>
          </w:tcPr>
          <w:p w14:paraId="7A0E79E4">
            <w:pPr>
              <w:autoSpaceDE w:val="0"/>
              <w:autoSpaceDN w:val="0"/>
              <w:adjustRightInd/>
              <w:spacing w:line="460" w:lineRule="exact"/>
              <w:textAlignment w:val="bottom"/>
              <w:rPr>
                <w:rFonts w:ascii="宋体" w:hAnsi="宋体" w:cs="宋体"/>
                <w:b/>
                <w:sz w:val="24"/>
              </w:rPr>
            </w:pPr>
            <w:r>
              <w:rPr>
                <w:rFonts w:ascii="宋体" w:hAnsi="宋体" w:cs="宋体"/>
                <w:b/>
                <w:sz w:val="24"/>
              </w:rPr>
              <w:t>转包与分包：</w:t>
            </w:r>
            <w:r>
              <w:rPr>
                <w:rFonts w:ascii="宋体" w:hAnsi="宋体" w:cs="宋体"/>
                <w:sz w:val="24"/>
              </w:rPr>
              <w:t>不允许转包分包。</w:t>
            </w:r>
          </w:p>
        </w:tc>
      </w:tr>
      <w:tr w14:paraId="04480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61" w:type="dxa"/>
            <w:vAlign w:val="center"/>
          </w:tcPr>
          <w:p w14:paraId="3302D29A">
            <w:pPr>
              <w:adjustRightInd/>
              <w:spacing w:line="460" w:lineRule="exact"/>
              <w:jc w:val="center"/>
              <w:rPr>
                <w:rFonts w:ascii="宋体" w:hAnsi="宋体" w:cs="宋体"/>
                <w:sz w:val="24"/>
              </w:rPr>
            </w:pPr>
            <w:r>
              <w:rPr>
                <w:rFonts w:hint="eastAsia" w:ascii="宋体" w:hAnsi="宋体" w:cs="宋体"/>
                <w:sz w:val="24"/>
              </w:rPr>
              <w:t>5</w:t>
            </w:r>
          </w:p>
        </w:tc>
        <w:tc>
          <w:tcPr>
            <w:tcW w:w="8519" w:type="dxa"/>
            <w:vAlign w:val="center"/>
          </w:tcPr>
          <w:p w14:paraId="59C12C8F">
            <w:pPr>
              <w:adjustRightInd/>
              <w:spacing w:line="460" w:lineRule="exact"/>
              <w:rPr>
                <w:rFonts w:ascii="宋体" w:hAnsi="宋体" w:cs="宋体"/>
                <w:sz w:val="24"/>
              </w:rPr>
            </w:pPr>
            <w:r>
              <w:rPr>
                <w:rFonts w:hint="eastAsia" w:ascii="宋体" w:hAnsi="宋体" w:cs="宋体"/>
                <w:b/>
                <w:sz w:val="24"/>
              </w:rPr>
              <w:t>现场踏勘：</w:t>
            </w:r>
            <w:r>
              <w:rPr>
                <w:rFonts w:hint="eastAsia" w:ascii="宋体" w:hAnsi="宋体" w:cs="宋体"/>
                <w:sz w:val="24"/>
              </w:rPr>
              <w:t>本项目不组织统一现场踏勘，投标人自行联系采购人进行现场踏勘。</w:t>
            </w:r>
          </w:p>
        </w:tc>
      </w:tr>
      <w:tr w14:paraId="33128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61" w:type="dxa"/>
            <w:vAlign w:val="center"/>
          </w:tcPr>
          <w:p w14:paraId="06EB7BBC">
            <w:pPr>
              <w:adjustRightInd/>
              <w:spacing w:line="460" w:lineRule="exact"/>
              <w:jc w:val="center"/>
              <w:rPr>
                <w:rFonts w:ascii="宋体" w:hAnsi="宋体" w:cs="宋体"/>
                <w:sz w:val="24"/>
              </w:rPr>
            </w:pPr>
            <w:r>
              <w:rPr>
                <w:rFonts w:hint="eastAsia" w:ascii="宋体" w:hAnsi="宋体" w:cs="宋体"/>
                <w:sz w:val="24"/>
              </w:rPr>
              <w:t>6</w:t>
            </w:r>
          </w:p>
        </w:tc>
        <w:tc>
          <w:tcPr>
            <w:tcW w:w="8519" w:type="dxa"/>
            <w:vAlign w:val="center"/>
          </w:tcPr>
          <w:p w14:paraId="2FA964B5">
            <w:pPr>
              <w:adjustRightInd/>
              <w:spacing w:line="460" w:lineRule="exact"/>
              <w:rPr>
                <w:rFonts w:ascii="宋体" w:hAnsi="宋体" w:cs="宋体"/>
                <w:sz w:val="24"/>
              </w:rPr>
            </w:pPr>
            <w:r>
              <w:rPr>
                <w:rFonts w:hint="eastAsia" w:ascii="宋体" w:hAnsi="宋体" w:cs="宋体"/>
                <w:b/>
                <w:bCs/>
                <w:sz w:val="24"/>
              </w:rPr>
              <w:t>投标文件组成：</w:t>
            </w:r>
            <w:r>
              <w:rPr>
                <w:rFonts w:hint="eastAsia" w:ascii="宋体" w:hAnsi="宋体" w:cs="宋体"/>
                <w:sz w:val="24"/>
              </w:rPr>
              <w:t>“资格证明文件”、“商务技术文件”、“报价文件”三部分组成。</w:t>
            </w:r>
          </w:p>
        </w:tc>
      </w:tr>
      <w:tr w14:paraId="59C56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861" w:type="dxa"/>
            <w:vAlign w:val="center"/>
          </w:tcPr>
          <w:p w14:paraId="4192CB1A">
            <w:pPr>
              <w:adjustRightInd/>
              <w:spacing w:line="460" w:lineRule="exact"/>
              <w:jc w:val="center"/>
              <w:rPr>
                <w:rFonts w:ascii="宋体" w:hAnsi="宋体" w:cs="宋体"/>
                <w:sz w:val="24"/>
              </w:rPr>
            </w:pPr>
            <w:r>
              <w:rPr>
                <w:rFonts w:hint="eastAsia" w:ascii="宋体" w:hAnsi="宋体" w:cs="宋体"/>
                <w:sz w:val="24"/>
              </w:rPr>
              <w:t>7</w:t>
            </w:r>
          </w:p>
        </w:tc>
        <w:tc>
          <w:tcPr>
            <w:tcW w:w="8519" w:type="dxa"/>
            <w:vAlign w:val="center"/>
          </w:tcPr>
          <w:p w14:paraId="7D7736CA">
            <w:pPr>
              <w:autoSpaceDE w:val="0"/>
              <w:autoSpaceDN w:val="0"/>
              <w:adjustRightInd/>
              <w:spacing w:line="460" w:lineRule="exact"/>
              <w:textAlignment w:val="bottom"/>
              <w:rPr>
                <w:rFonts w:ascii="宋体" w:hAnsi="宋体" w:cs="宋体"/>
                <w:sz w:val="24"/>
              </w:rPr>
            </w:pPr>
            <w:r>
              <w:rPr>
                <w:rFonts w:hint="eastAsia" w:ascii="宋体" w:hAnsi="宋体" w:cs="宋体"/>
                <w:kern w:val="28"/>
                <w:sz w:val="24"/>
              </w:rPr>
              <w:t>备份投标文件送达地点：</w:t>
            </w:r>
            <w:r>
              <w:rPr>
                <w:rFonts w:hint="eastAsia" w:ascii="宋体" w:hAnsi="宋体" w:cs="宋体"/>
                <w:sz w:val="24"/>
              </w:rPr>
              <w:t>嵊州市三江街道官河南路555号天佳总部大楼2楼浙江商易项目管理有限公司。</w:t>
            </w:r>
          </w:p>
          <w:p w14:paraId="267F41A3">
            <w:pPr>
              <w:autoSpaceDE w:val="0"/>
              <w:autoSpaceDN w:val="0"/>
              <w:adjustRightInd/>
              <w:spacing w:line="460" w:lineRule="exact"/>
              <w:textAlignment w:val="bottom"/>
              <w:rPr>
                <w:rFonts w:ascii="宋体" w:hAnsi="宋体" w:cs="宋体"/>
                <w:b/>
                <w:sz w:val="24"/>
              </w:rPr>
            </w:pPr>
            <w:r>
              <w:rPr>
                <w:rFonts w:hint="eastAsia" w:ascii="宋体" w:hAnsi="宋体" w:cs="宋体"/>
                <w:b/>
                <w:sz w:val="24"/>
              </w:rPr>
              <w:t>采购人、采购机构不强制或变相强制投标人提交备份投标文件。</w:t>
            </w:r>
          </w:p>
        </w:tc>
      </w:tr>
      <w:tr w14:paraId="3DCCA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61" w:type="dxa"/>
            <w:vAlign w:val="center"/>
          </w:tcPr>
          <w:p w14:paraId="14B6BD3F">
            <w:pPr>
              <w:adjustRightInd/>
              <w:spacing w:line="460" w:lineRule="exact"/>
              <w:jc w:val="center"/>
              <w:rPr>
                <w:rFonts w:ascii="宋体" w:hAnsi="宋体" w:cs="宋体"/>
                <w:sz w:val="24"/>
              </w:rPr>
            </w:pPr>
            <w:r>
              <w:rPr>
                <w:rFonts w:hint="eastAsia" w:ascii="宋体" w:hAnsi="宋体" w:cs="宋体"/>
                <w:sz w:val="24"/>
              </w:rPr>
              <w:t>8</w:t>
            </w:r>
          </w:p>
        </w:tc>
        <w:tc>
          <w:tcPr>
            <w:tcW w:w="8519" w:type="dxa"/>
            <w:vAlign w:val="center"/>
          </w:tcPr>
          <w:p w14:paraId="020F3EB7">
            <w:pPr>
              <w:autoSpaceDE w:val="0"/>
              <w:autoSpaceDN w:val="0"/>
              <w:adjustRightInd/>
              <w:spacing w:line="460" w:lineRule="exact"/>
              <w:textAlignment w:val="bottom"/>
              <w:rPr>
                <w:rFonts w:ascii="宋体" w:hAnsi="宋体" w:cs="宋体"/>
                <w:b/>
                <w:sz w:val="24"/>
              </w:rPr>
            </w:pPr>
            <w:r>
              <w:rPr>
                <w:rFonts w:hint="eastAsia" w:ascii="宋体" w:hAnsi="宋体" w:cs="宋体"/>
                <w:b/>
                <w:sz w:val="24"/>
              </w:rPr>
              <w:t>开标截止时间：</w:t>
            </w:r>
            <w:r>
              <w:rPr>
                <w:rFonts w:hint="eastAsia" w:ascii="宋体" w:hAnsi="宋体" w:cs="宋体"/>
                <w:color w:val="auto"/>
                <w:sz w:val="24"/>
                <w:lang w:eastAsia="zh-CN"/>
              </w:rPr>
              <w:t>2024年12月20日</w:t>
            </w:r>
            <w:r>
              <w:rPr>
                <w:rFonts w:hint="eastAsia" w:ascii="宋体" w:hAnsi="宋体" w:cs="宋体"/>
                <w:color w:val="auto"/>
                <w:sz w:val="24"/>
              </w:rPr>
              <w:t>09:00</w:t>
            </w:r>
            <w:r>
              <w:rPr>
                <w:rFonts w:hint="eastAsia" w:ascii="宋体" w:hAnsi="宋体" w:cs="宋体"/>
                <w:sz w:val="24"/>
              </w:rPr>
              <w:t>时整。</w:t>
            </w:r>
          </w:p>
        </w:tc>
      </w:tr>
      <w:tr w14:paraId="3DAF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61" w:type="dxa"/>
            <w:vAlign w:val="center"/>
          </w:tcPr>
          <w:p w14:paraId="7A875E87">
            <w:pPr>
              <w:adjustRightInd/>
              <w:spacing w:line="460" w:lineRule="exact"/>
              <w:jc w:val="center"/>
              <w:rPr>
                <w:rFonts w:ascii="宋体" w:hAnsi="宋体" w:cs="宋体"/>
                <w:sz w:val="24"/>
              </w:rPr>
            </w:pPr>
            <w:r>
              <w:rPr>
                <w:rFonts w:hint="eastAsia" w:ascii="宋体" w:hAnsi="宋体" w:cs="宋体"/>
                <w:sz w:val="24"/>
              </w:rPr>
              <w:t>9</w:t>
            </w:r>
          </w:p>
        </w:tc>
        <w:tc>
          <w:tcPr>
            <w:tcW w:w="8519" w:type="dxa"/>
            <w:vAlign w:val="center"/>
          </w:tcPr>
          <w:p w14:paraId="10F1F482">
            <w:pPr>
              <w:autoSpaceDE w:val="0"/>
              <w:autoSpaceDN w:val="0"/>
              <w:adjustRightInd/>
              <w:spacing w:line="460" w:lineRule="exact"/>
              <w:textAlignment w:val="bottom"/>
              <w:rPr>
                <w:rFonts w:ascii="宋体" w:hAnsi="宋体" w:cs="宋体"/>
                <w:sz w:val="24"/>
              </w:rPr>
            </w:pPr>
            <w:r>
              <w:rPr>
                <w:rFonts w:hint="eastAsia" w:ascii="宋体" w:hAnsi="宋体" w:cs="宋体"/>
                <w:b/>
                <w:sz w:val="24"/>
              </w:rPr>
              <w:t>采购结果公示：</w:t>
            </w:r>
            <w:r>
              <w:rPr>
                <w:rFonts w:hint="eastAsia" w:ascii="宋体" w:hAnsi="宋体" w:cs="宋体"/>
                <w:sz w:val="24"/>
              </w:rPr>
              <w:t xml:space="preserve">采购结果经采购人确认后2个工作日内发出成交通知书，并在浙江省政府采购网(http://www.zjzfcg.gov.cn)发布成交结果公告。 </w:t>
            </w:r>
          </w:p>
        </w:tc>
      </w:tr>
      <w:tr w14:paraId="586DB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61" w:type="dxa"/>
            <w:vAlign w:val="center"/>
          </w:tcPr>
          <w:p w14:paraId="5F611D67">
            <w:pPr>
              <w:tabs>
                <w:tab w:val="left" w:pos="573"/>
              </w:tabs>
              <w:autoSpaceDE w:val="0"/>
              <w:autoSpaceDN w:val="0"/>
              <w:adjustRightInd/>
              <w:spacing w:line="460" w:lineRule="exact"/>
              <w:jc w:val="center"/>
              <w:textAlignment w:val="bottom"/>
              <w:rPr>
                <w:rFonts w:ascii="宋体" w:hAnsi="宋体" w:cs="宋体"/>
                <w:sz w:val="24"/>
              </w:rPr>
            </w:pPr>
            <w:r>
              <w:rPr>
                <w:rFonts w:hint="eastAsia" w:ascii="宋体" w:hAnsi="宋体" w:cs="宋体"/>
                <w:bCs/>
                <w:sz w:val="24"/>
              </w:rPr>
              <w:t>10</w:t>
            </w:r>
          </w:p>
        </w:tc>
        <w:tc>
          <w:tcPr>
            <w:tcW w:w="8519" w:type="dxa"/>
            <w:vAlign w:val="center"/>
          </w:tcPr>
          <w:p w14:paraId="476B28FF">
            <w:pPr>
              <w:autoSpaceDE w:val="0"/>
              <w:autoSpaceDN w:val="0"/>
              <w:adjustRightInd/>
              <w:spacing w:line="460" w:lineRule="exact"/>
              <w:textAlignment w:val="bottom"/>
              <w:rPr>
                <w:rFonts w:ascii="宋体" w:hAnsi="宋体" w:cs="宋体"/>
                <w:b/>
                <w:sz w:val="24"/>
              </w:rPr>
            </w:pPr>
            <w:r>
              <w:rPr>
                <w:rFonts w:hint="eastAsia" w:ascii="宋体" w:hAnsi="宋体" w:cs="宋体"/>
                <w:b/>
                <w:sz w:val="24"/>
              </w:rPr>
              <w:t>签订合同时间：</w:t>
            </w:r>
            <w:r>
              <w:rPr>
                <w:rFonts w:hint="eastAsia" w:ascii="宋体" w:hAnsi="宋体" w:cs="宋体"/>
                <w:sz w:val="24"/>
              </w:rPr>
              <w:t>成交通知书发出后30日内。</w:t>
            </w:r>
          </w:p>
        </w:tc>
      </w:tr>
      <w:tr w14:paraId="6BE5F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61" w:type="dxa"/>
            <w:vAlign w:val="center"/>
          </w:tcPr>
          <w:p w14:paraId="5806118E">
            <w:pPr>
              <w:tabs>
                <w:tab w:val="left" w:pos="573"/>
              </w:tabs>
              <w:autoSpaceDE w:val="0"/>
              <w:autoSpaceDN w:val="0"/>
              <w:adjustRightInd/>
              <w:spacing w:line="460" w:lineRule="exact"/>
              <w:jc w:val="center"/>
              <w:textAlignment w:val="bottom"/>
              <w:rPr>
                <w:rFonts w:ascii="宋体" w:hAnsi="宋体" w:cs="宋体"/>
                <w:b/>
                <w:sz w:val="24"/>
              </w:rPr>
            </w:pPr>
            <w:r>
              <w:rPr>
                <w:rFonts w:hint="eastAsia" w:ascii="宋体" w:hAnsi="宋体" w:cs="宋体"/>
                <w:bCs/>
                <w:sz w:val="24"/>
              </w:rPr>
              <w:t>11</w:t>
            </w:r>
          </w:p>
        </w:tc>
        <w:tc>
          <w:tcPr>
            <w:tcW w:w="8519" w:type="dxa"/>
            <w:vAlign w:val="center"/>
          </w:tcPr>
          <w:p w14:paraId="0F010F52">
            <w:pPr>
              <w:autoSpaceDE w:val="0"/>
              <w:autoSpaceDN w:val="0"/>
              <w:adjustRightInd/>
              <w:spacing w:line="460" w:lineRule="exact"/>
              <w:textAlignment w:val="bottom"/>
              <w:rPr>
                <w:rFonts w:ascii="宋体" w:hAnsi="宋体" w:cs="宋体"/>
                <w:sz w:val="24"/>
              </w:rPr>
            </w:pPr>
            <w:r>
              <w:rPr>
                <w:rFonts w:hint="eastAsia" w:ascii="宋体" w:hAnsi="宋体" w:cs="宋体"/>
                <w:b/>
                <w:sz w:val="24"/>
              </w:rPr>
              <w:t>履约</w:t>
            </w:r>
            <w:r>
              <w:rPr>
                <w:rFonts w:ascii="宋体" w:hAnsi="宋体" w:cs="宋体"/>
                <w:b/>
                <w:sz w:val="24"/>
              </w:rPr>
              <w:t>保证金</w:t>
            </w:r>
            <w:r>
              <w:rPr>
                <w:rFonts w:hint="eastAsia" w:ascii="宋体" w:hAnsi="宋体" w:cs="宋体"/>
                <w:b/>
                <w:sz w:val="24"/>
              </w:rPr>
              <w:t>：</w:t>
            </w:r>
            <w:r>
              <w:rPr>
                <w:rFonts w:hint="eastAsia" w:ascii="宋体" w:hAnsi="宋体" w:cs="宋体"/>
                <w:sz w:val="24"/>
              </w:rPr>
              <w:t>详见“采购需求”商务条款。</w:t>
            </w:r>
          </w:p>
        </w:tc>
      </w:tr>
      <w:tr w14:paraId="52294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61" w:type="dxa"/>
            <w:vAlign w:val="center"/>
          </w:tcPr>
          <w:p w14:paraId="61AE7933">
            <w:pPr>
              <w:adjustRightInd/>
              <w:spacing w:line="460" w:lineRule="exact"/>
              <w:jc w:val="center"/>
              <w:rPr>
                <w:rFonts w:ascii="宋体" w:hAnsi="宋体" w:cs="宋体"/>
                <w:bCs/>
                <w:sz w:val="24"/>
              </w:rPr>
            </w:pPr>
            <w:r>
              <w:rPr>
                <w:rFonts w:hint="eastAsia" w:ascii="宋体" w:hAnsi="宋体" w:cs="宋体"/>
                <w:sz w:val="24"/>
              </w:rPr>
              <w:t>12</w:t>
            </w:r>
          </w:p>
        </w:tc>
        <w:tc>
          <w:tcPr>
            <w:tcW w:w="8519" w:type="dxa"/>
            <w:vAlign w:val="center"/>
          </w:tcPr>
          <w:p w14:paraId="7939C4AC">
            <w:pPr>
              <w:autoSpaceDE w:val="0"/>
              <w:autoSpaceDN w:val="0"/>
              <w:adjustRightInd/>
              <w:spacing w:line="460" w:lineRule="exact"/>
              <w:textAlignment w:val="bottom"/>
              <w:rPr>
                <w:rFonts w:ascii="宋体" w:hAnsi="宋体" w:cs="宋体"/>
                <w:b/>
                <w:sz w:val="24"/>
              </w:rPr>
            </w:pPr>
            <w:r>
              <w:rPr>
                <w:rFonts w:ascii="宋体" w:hAnsi="宋体" w:cs="宋体"/>
                <w:b/>
                <w:sz w:val="24"/>
              </w:rPr>
              <w:t>付款方式</w:t>
            </w:r>
            <w:r>
              <w:rPr>
                <w:rFonts w:hint="eastAsia" w:ascii="宋体" w:hAnsi="宋体" w:cs="宋体"/>
                <w:b/>
                <w:sz w:val="24"/>
              </w:rPr>
              <w:t>：</w:t>
            </w:r>
            <w:r>
              <w:rPr>
                <w:rFonts w:hint="eastAsia" w:ascii="宋体" w:hAnsi="宋体" w:cs="宋体"/>
                <w:sz w:val="24"/>
              </w:rPr>
              <w:t>详见“采购需求”商务条款。</w:t>
            </w:r>
          </w:p>
        </w:tc>
      </w:tr>
      <w:tr w14:paraId="3A491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61" w:type="dxa"/>
            <w:vAlign w:val="center"/>
          </w:tcPr>
          <w:p w14:paraId="5DC3692E">
            <w:pPr>
              <w:adjustRightInd/>
              <w:spacing w:line="460" w:lineRule="exact"/>
              <w:jc w:val="center"/>
              <w:rPr>
                <w:rFonts w:ascii="宋体" w:hAnsi="宋体" w:cs="宋体"/>
                <w:sz w:val="24"/>
              </w:rPr>
            </w:pPr>
            <w:r>
              <w:rPr>
                <w:rFonts w:hint="eastAsia" w:ascii="宋体" w:hAnsi="宋体" w:cs="宋体"/>
                <w:sz w:val="24"/>
              </w:rPr>
              <w:t>13</w:t>
            </w:r>
          </w:p>
        </w:tc>
        <w:tc>
          <w:tcPr>
            <w:tcW w:w="8519" w:type="dxa"/>
            <w:vAlign w:val="center"/>
          </w:tcPr>
          <w:p w14:paraId="63E9DBEB">
            <w:pPr>
              <w:spacing w:line="460" w:lineRule="exact"/>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中标人须向招标代理机构按如下标准和规定交纳中标服务费，请在投标报价中自行考虑：</w:t>
            </w:r>
          </w:p>
          <w:p w14:paraId="3700005A">
            <w:pPr>
              <w:spacing w:line="460" w:lineRule="exact"/>
              <w:rPr>
                <w:rFonts w:asciiTheme="majorEastAsia" w:hAnsiTheme="majorEastAsia" w:eastAsiaTheme="majorEastAsia" w:cstheme="majorEastAsia"/>
                <w:bCs/>
                <w:sz w:val="24"/>
              </w:rPr>
            </w:pPr>
            <w:r>
              <w:rPr>
                <w:rFonts w:hint="eastAsia" w:ascii="宋体" w:hAnsi="宋体" w:cs="宋体"/>
                <w:bCs/>
                <w:sz w:val="24"/>
              </w:rPr>
              <w:t>①</w:t>
            </w:r>
            <w:r>
              <w:rPr>
                <w:rFonts w:hint="eastAsia" w:asciiTheme="majorEastAsia" w:hAnsiTheme="majorEastAsia" w:eastAsiaTheme="majorEastAsia" w:cstheme="majorEastAsia"/>
                <w:bCs/>
                <w:sz w:val="24"/>
              </w:rPr>
              <w:t>以中标金额为计费基准，具体比例参照以下标准计取，按照差额定率累进计费方式计算。其他费用按实收取。</w:t>
            </w:r>
          </w:p>
          <w:tbl>
            <w:tblPr>
              <w:tblStyle w:val="29"/>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1535"/>
              <w:gridCol w:w="1535"/>
            </w:tblGrid>
            <w:tr w14:paraId="5A89CF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4B165609">
                  <w:pPr>
                    <w:snapToGrid w:val="0"/>
                    <w:spacing w:line="460" w:lineRule="exact"/>
                    <w:jc w:val="center"/>
                    <w:rPr>
                      <w:rFonts w:ascii="宋体" w:hAnsi="宋体" w:cs="宋体"/>
                      <w:sz w:val="24"/>
                    </w:rPr>
                  </w:pPr>
                  <w:r>
                    <w:rPr>
                      <w:rFonts w:hint="eastAsia" w:ascii="宋体" w:hAnsi="宋体" w:cs="宋体"/>
                      <w:sz w:val="24"/>
                    </w:rPr>
                    <w:t>中标金额（万元）</w:t>
                  </w:r>
                </w:p>
              </w:tc>
              <w:tc>
                <w:tcPr>
                  <w:tcW w:w="1535" w:type="dxa"/>
                  <w:tcMar>
                    <w:top w:w="0" w:type="dxa"/>
                    <w:left w:w="108" w:type="dxa"/>
                    <w:bottom w:w="0" w:type="dxa"/>
                    <w:right w:w="108" w:type="dxa"/>
                  </w:tcMar>
                  <w:vAlign w:val="center"/>
                </w:tcPr>
                <w:p w14:paraId="5183F37C">
                  <w:pPr>
                    <w:snapToGrid w:val="0"/>
                    <w:spacing w:line="460" w:lineRule="exact"/>
                    <w:jc w:val="center"/>
                    <w:rPr>
                      <w:rFonts w:ascii="宋体" w:hAnsi="宋体" w:cs="宋体"/>
                      <w:sz w:val="24"/>
                    </w:rPr>
                  </w:pPr>
                  <w:r>
                    <w:rPr>
                      <w:rFonts w:hint="eastAsia" w:ascii="宋体" w:hAnsi="宋体" w:cs="宋体"/>
                      <w:sz w:val="24"/>
                    </w:rPr>
                    <w:t>货物</w:t>
                  </w:r>
                </w:p>
              </w:tc>
              <w:tc>
                <w:tcPr>
                  <w:tcW w:w="1535" w:type="dxa"/>
                  <w:tcMar>
                    <w:top w:w="0" w:type="dxa"/>
                    <w:left w:w="108" w:type="dxa"/>
                    <w:bottom w:w="0" w:type="dxa"/>
                    <w:right w:w="108" w:type="dxa"/>
                  </w:tcMar>
                  <w:vAlign w:val="center"/>
                </w:tcPr>
                <w:p w14:paraId="5275BF0C">
                  <w:pPr>
                    <w:snapToGrid w:val="0"/>
                    <w:spacing w:line="460" w:lineRule="exact"/>
                    <w:jc w:val="center"/>
                    <w:rPr>
                      <w:rFonts w:ascii="宋体" w:hAnsi="宋体" w:cs="宋体"/>
                      <w:sz w:val="24"/>
                    </w:rPr>
                  </w:pPr>
                  <w:r>
                    <w:rPr>
                      <w:rFonts w:hint="eastAsia" w:ascii="宋体" w:hAnsi="宋体" w:cs="宋体"/>
                      <w:sz w:val="24"/>
                    </w:rPr>
                    <w:t>服务</w:t>
                  </w:r>
                </w:p>
              </w:tc>
            </w:tr>
            <w:tr w14:paraId="0D885F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05BEE8BB">
                  <w:pPr>
                    <w:snapToGrid w:val="0"/>
                    <w:spacing w:line="460" w:lineRule="exact"/>
                    <w:jc w:val="center"/>
                    <w:rPr>
                      <w:rFonts w:ascii="宋体" w:hAnsi="宋体" w:cs="宋体"/>
                      <w:sz w:val="24"/>
                    </w:rPr>
                  </w:pPr>
                  <w:r>
                    <w:rPr>
                      <w:rFonts w:hint="eastAsia" w:ascii="宋体" w:hAnsi="宋体" w:cs="宋体"/>
                      <w:sz w:val="24"/>
                    </w:rPr>
                    <w:t>100以下</w:t>
                  </w:r>
                </w:p>
              </w:tc>
              <w:tc>
                <w:tcPr>
                  <w:tcW w:w="1535" w:type="dxa"/>
                  <w:tcMar>
                    <w:top w:w="0" w:type="dxa"/>
                    <w:left w:w="108" w:type="dxa"/>
                    <w:bottom w:w="0" w:type="dxa"/>
                    <w:right w:w="108" w:type="dxa"/>
                  </w:tcMar>
                  <w:vAlign w:val="center"/>
                </w:tcPr>
                <w:p w14:paraId="7F62FCB9">
                  <w:pPr>
                    <w:snapToGrid w:val="0"/>
                    <w:spacing w:line="460" w:lineRule="exact"/>
                    <w:jc w:val="center"/>
                    <w:rPr>
                      <w:rFonts w:ascii="宋体" w:hAnsi="宋体" w:cs="宋体"/>
                      <w:sz w:val="24"/>
                    </w:rPr>
                  </w:pPr>
                  <w:r>
                    <w:rPr>
                      <w:rFonts w:hint="eastAsia" w:ascii="宋体" w:hAnsi="宋体" w:cs="宋体"/>
                      <w:sz w:val="24"/>
                    </w:rPr>
                    <w:t>1.5%</w:t>
                  </w:r>
                </w:p>
              </w:tc>
              <w:tc>
                <w:tcPr>
                  <w:tcW w:w="1535" w:type="dxa"/>
                  <w:tcMar>
                    <w:top w:w="0" w:type="dxa"/>
                    <w:left w:w="108" w:type="dxa"/>
                    <w:bottom w:w="0" w:type="dxa"/>
                    <w:right w:w="108" w:type="dxa"/>
                  </w:tcMar>
                  <w:vAlign w:val="center"/>
                </w:tcPr>
                <w:p w14:paraId="25676CF4">
                  <w:pPr>
                    <w:snapToGrid w:val="0"/>
                    <w:spacing w:line="460" w:lineRule="exact"/>
                    <w:jc w:val="center"/>
                    <w:rPr>
                      <w:rFonts w:ascii="宋体" w:hAnsi="宋体" w:cs="宋体"/>
                      <w:sz w:val="24"/>
                    </w:rPr>
                  </w:pPr>
                  <w:r>
                    <w:rPr>
                      <w:rFonts w:hint="eastAsia" w:ascii="宋体" w:hAnsi="宋体" w:cs="宋体"/>
                      <w:sz w:val="24"/>
                    </w:rPr>
                    <w:t>1.5%</w:t>
                  </w:r>
                </w:p>
              </w:tc>
            </w:tr>
            <w:tr w14:paraId="0C7D4C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D649573">
                  <w:pPr>
                    <w:snapToGrid w:val="0"/>
                    <w:spacing w:line="460" w:lineRule="exact"/>
                    <w:jc w:val="center"/>
                    <w:rPr>
                      <w:rFonts w:ascii="宋体" w:hAnsi="宋体" w:cs="宋体"/>
                      <w:sz w:val="24"/>
                    </w:rPr>
                  </w:pPr>
                  <w:r>
                    <w:rPr>
                      <w:rFonts w:hint="eastAsia" w:ascii="宋体" w:hAnsi="宋体" w:cs="宋体"/>
                      <w:sz w:val="24"/>
                    </w:rPr>
                    <w:t>100-500</w:t>
                  </w:r>
                </w:p>
              </w:tc>
              <w:tc>
                <w:tcPr>
                  <w:tcW w:w="1535" w:type="dxa"/>
                  <w:tcMar>
                    <w:top w:w="0" w:type="dxa"/>
                    <w:left w:w="108" w:type="dxa"/>
                    <w:bottom w:w="0" w:type="dxa"/>
                    <w:right w:w="108" w:type="dxa"/>
                  </w:tcMar>
                  <w:vAlign w:val="center"/>
                </w:tcPr>
                <w:p w14:paraId="151D2274">
                  <w:pPr>
                    <w:snapToGrid w:val="0"/>
                    <w:spacing w:line="460" w:lineRule="exact"/>
                    <w:jc w:val="center"/>
                    <w:rPr>
                      <w:rFonts w:ascii="宋体" w:hAnsi="宋体" w:cs="宋体"/>
                      <w:sz w:val="24"/>
                    </w:rPr>
                  </w:pPr>
                  <w:r>
                    <w:rPr>
                      <w:rFonts w:hint="eastAsia" w:ascii="宋体" w:hAnsi="宋体" w:cs="宋体"/>
                      <w:sz w:val="24"/>
                    </w:rPr>
                    <w:t>1.1%</w:t>
                  </w:r>
                </w:p>
              </w:tc>
              <w:tc>
                <w:tcPr>
                  <w:tcW w:w="1535" w:type="dxa"/>
                  <w:tcMar>
                    <w:top w:w="0" w:type="dxa"/>
                    <w:left w:w="108" w:type="dxa"/>
                    <w:bottom w:w="0" w:type="dxa"/>
                    <w:right w:w="108" w:type="dxa"/>
                  </w:tcMar>
                  <w:vAlign w:val="center"/>
                </w:tcPr>
                <w:p w14:paraId="143CF7E1">
                  <w:pPr>
                    <w:snapToGrid w:val="0"/>
                    <w:spacing w:line="460" w:lineRule="exact"/>
                    <w:jc w:val="center"/>
                    <w:rPr>
                      <w:rFonts w:ascii="宋体" w:hAnsi="宋体" w:cs="宋体"/>
                      <w:sz w:val="24"/>
                    </w:rPr>
                  </w:pPr>
                  <w:r>
                    <w:rPr>
                      <w:rFonts w:hint="eastAsia" w:ascii="宋体" w:hAnsi="宋体" w:cs="宋体"/>
                      <w:sz w:val="24"/>
                    </w:rPr>
                    <w:t>0.8%</w:t>
                  </w:r>
                </w:p>
              </w:tc>
            </w:tr>
            <w:tr w14:paraId="6C3AFB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4BB2161A">
                  <w:pPr>
                    <w:snapToGrid w:val="0"/>
                    <w:spacing w:line="460" w:lineRule="exact"/>
                    <w:jc w:val="center"/>
                    <w:rPr>
                      <w:rFonts w:ascii="宋体" w:hAnsi="宋体" w:cs="宋体"/>
                      <w:sz w:val="24"/>
                    </w:rPr>
                  </w:pPr>
                  <w:r>
                    <w:rPr>
                      <w:rFonts w:hint="eastAsia" w:ascii="宋体" w:hAnsi="宋体" w:cs="宋体"/>
                      <w:sz w:val="24"/>
                    </w:rPr>
                    <w:t>500-1000</w:t>
                  </w:r>
                </w:p>
              </w:tc>
              <w:tc>
                <w:tcPr>
                  <w:tcW w:w="1535" w:type="dxa"/>
                  <w:tcMar>
                    <w:top w:w="0" w:type="dxa"/>
                    <w:left w:w="108" w:type="dxa"/>
                    <w:bottom w:w="0" w:type="dxa"/>
                    <w:right w:w="108" w:type="dxa"/>
                  </w:tcMar>
                  <w:vAlign w:val="center"/>
                </w:tcPr>
                <w:p w14:paraId="5064745C">
                  <w:pPr>
                    <w:snapToGrid w:val="0"/>
                    <w:spacing w:line="460" w:lineRule="exact"/>
                    <w:jc w:val="center"/>
                    <w:rPr>
                      <w:rFonts w:ascii="宋体" w:hAnsi="宋体" w:cs="宋体"/>
                      <w:sz w:val="24"/>
                    </w:rPr>
                  </w:pPr>
                  <w:r>
                    <w:rPr>
                      <w:rFonts w:hint="eastAsia" w:ascii="宋体" w:hAnsi="宋体" w:cs="宋体"/>
                      <w:sz w:val="24"/>
                    </w:rPr>
                    <w:t>0.8%</w:t>
                  </w:r>
                </w:p>
              </w:tc>
              <w:tc>
                <w:tcPr>
                  <w:tcW w:w="1535" w:type="dxa"/>
                  <w:tcMar>
                    <w:top w:w="0" w:type="dxa"/>
                    <w:left w:w="108" w:type="dxa"/>
                    <w:bottom w:w="0" w:type="dxa"/>
                    <w:right w:w="108" w:type="dxa"/>
                  </w:tcMar>
                  <w:vAlign w:val="center"/>
                </w:tcPr>
                <w:p w14:paraId="6320CE83">
                  <w:pPr>
                    <w:snapToGrid w:val="0"/>
                    <w:spacing w:line="460" w:lineRule="exact"/>
                    <w:jc w:val="center"/>
                    <w:rPr>
                      <w:rFonts w:ascii="宋体" w:hAnsi="宋体" w:cs="宋体"/>
                      <w:sz w:val="24"/>
                    </w:rPr>
                  </w:pPr>
                  <w:r>
                    <w:rPr>
                      <w:rFonts w:hint="eastAsia" w:ascii="宋体" w:hAnsi="宋体" w:cs="宋体"/>
                      <w:sz w:val="24"/>
                    </w:rPr>
                    <w:t>0.45%</w:t>
                  </w:r>
                </w:p>
              </w:tc>
            </w:tr>
          </w:tbl>
          <w:p w14:paraId="5EAAD1E1">
            <w:pPr>
              <w:spacing w:line="460" w:lineRule="exact"/>
              <w:rPr>
                <w:rFonts w:asciiTheme="majorEastAsia" w:hAnsiTheme="majorEastAsia" w:eastAsiaTheme="majorEastAsia" w:cstheme="majorEastAsia"/>
                <w:bCs/>
                <w:sz w:val="24"/>
              </w:rPr>
            </w:pPr>
            <w:r>
              <w:rPr>
                <w:rFonts w:hint="eastAsia" w:ascii="宋体" w:hAnsi="宋体" w:cs="宋体"/>
                <w:bCs/>
                <w:sz w:val="24"/>
              </w:rPr>
              <w:t>②</w:t>
            </w:r>
            <w:r>
              <w:rPr>
                <w:rFonts w:hint="eastAsia" w:asciiTheme="majorEastAsia" w:hAnsiTheme="majorEastAsia" w:eastAsiaTheme="majorEastAsia" w:cstheme="majorEastAsia"/>
                <w:bCs/>
                <w:sz w:val="24"/>
              </w:rPr>
              <w:t>中标服务费的交纳方式：</w:t>
            </w:r>
          </w:p>
          <w:p w14:paraId="4F488D04">
            <w:pPr>
              <w:spacing w:line="460" w:lineRule="exact"/>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用银行支票、汇票、电汇、现金等付款方式直接交纳。</w:t>
            </w:r>
          </w:p>
          <w:p w14:paraId="0DDC9D92">
            <w:pPr>
              <w:spacing w:line="460" w:lineRule="exact"/>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收款单位（户名）：浙江商易项目管理有限公司</w:t>
            </w:r>
          </w:p>
          <w:p w14:paraId="5DA1ED19">
            <w:pPr>
              <w:spacing w:line="460" w:lineRule="exact"/>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开  户：中国工商银行嵊州市东城支行</w:t>
            </w:r>
          </w:p>
          <w:p w14:paraId="20A13CEE">
            <w:pPr>
              <w:spacing w:line="460" w:lineRule="exact"/>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账  号：1211026109200141824</w:t>
            </w:r>
          </w:p>
          <w:p w14:paraId="77B99412">
            <w:pPr>
              <w:autoSpaceDE w:val="0"/>
              <w:autoSpaceDN w:val="0"/>
              <w:adjustRightInd/>
              <w:spacing w:line="460" w:lineRule="exact"/>
              <w:textAlignment w:val="bottom"/>
              <w:rPr>
                <w:rFonts w:ascii="宋体" w:hAnsi="宋体" w:cs="宋体"/>
                <w:sz w:val="24"/>
              </w:rPr>
            </w:pPr>
            <w:r>
              <w:rPr>
                <w:rFonts w:hint="eastAsia" w:ascii="宋体" w:hAnsi="宋体" w:cs="宋体"/>
                <w:bCs/>
                <w:sz w:val="24"/>
              </w:rPr>
              <w:t>③</w:t>
            </w:r>
            <w:r>
              <w:rPr>
                <w:rFonts w:hint="eastAsia" w:asciiTheme="majorEastAsia" w:hAnsiTheme="majorEastAsia" w:eastAsiaTheme="majorEastAsia" w:cstheme="majorEastAsia"/>
                <w:bCs/>
                <w:sz w:val="24"/>
              </w:rPr>
              <w:t>中标服务费的交纳时间：领取中标通知书前一次性交纳。</w:t>
            </w:r>
          </w:p>
        </w:tc>
      </w:tr>
      <w:tr w14:paraId="6C72D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61" w:type="dxa"/>
            <w:vAlign w:val="center"/>
          </w:tcPr>
          <w:p w14:paraId="7EE89146">
            <w:pPr>
              <w:adjustRightInd/>
              <w:spacing w:line="460" w:lineRule="exact"/>
              <w:jc w:val="center"/>
              <w:rPr>
                <w:rFonts w:ascii="宋体" w:hAnsi="宋体" w:cs="宋体"/>
                <w:sz w:val="24"/>
              </w:rPr>
            </w:pPr>
            <w:r>
              <w:rPr>
                <w:rFonts w:hint="eastAsia" w:ascii="宋体" w:hAnsi="宋体" w:cs="宋体"/>
                <w:sz w:val="24"/>
              </w:rPr>
              <w:t>14</w:t>
            </w:r>
          </w:p>
        </w:tc>
        <w:tc>
          <w:tcPr>
            <w:tcW w:w="8519" w:type="dxa"/>
            <w:vAlign w:val="center"/>
          </w:tcPr>
          <w:p w14:paraId="31E39584">
            <w:pPr>
              <w:autoSpaceDE w:val="0"/>
              <w:autoSpaceDN w:val="0"/>
              <w:adjustRightInd/>
              <w:spacing w:line="460" w:lineRule="exact"/>
              <w:textAlignment w:val="bottom"/>
              <w:rPr>
                <w:rFonts w:ascii="宋体" w:hAnsi="宋体" w:cs="宋体"/>
                <w:sz w:val="24"/>
              </w:rPr>
            </w:pPr>
            <w:r>
              <w:rPr>
                <w:rFonts w:hint="eastAsia" w:ascii="宋体" w:hAnsi="宋体" w:cs="宋体"/>
                <w:sz w:val="24"/>
              </w:rPr>
              <w:t>在领取中标通知书时中标供应商需根据采购人要求提供纸质投标文件（与电子投标文件一致）至少三份，递交至代理机构，如与电子投标文件不符将影响中标供应商领取中标通知书。</w:t>
            </w:r>
          </w:p>
        </w:tc>
      </w:tr>
      <w:tr w14:paraId="148F1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61" w:type="dxa"/>
            <w:vAlign w:val="center"/>
          </w:tcPr>
          <w:p w14:paraId="0C1C1B0E">
            <w:pPr>
              <w:adjustRightInd/>
              <w:spacing w:line="460" w:lineRule="exact"/>
              <w:jc w:val="center"/>
              <w:rPr>
                <w:rFonts w:hint="eastAsia" w:ascii="宋体" w:hAnsi="宋体" w:eastAsia="宋体" w:cs="宋体"/>
                <w:sz w:val="24"/>
                <w:lang w:val="en-US" w:eastAsia="zh-CN"/>
              </w:rPr>
            </w:pPr>
            <w:r>
              <w:rPr>
                <w:rFonts w:hint="eastAsia" w:ascii="宋体" w:hAnsi="宋体" w:cs="宋体"/>
                <w:sz w:val="24"/>
              </w:rPr>
              <w:t>1</w:t>
            </w:r>
            <w:r>
              <w:rPr>
                <w:rFonts w:hint="eastAsia" w:ascii="宋体" w:hAnsi="宋体" w:cs="宋体"/>
                <w:sz w:val="24"/>
                <w:lang w:val="en-US" w:eastAsia="zh-CN"/>
              </w:rPr>
              <w:t>5</w:t>
            </w:r>
          </w:p>
        </w:tc>
        <w:tc>
          <w:tcPr>
            <w:tcW w:w="8519" w:type="dxa"/>
            <w:vAlign w:val="center"/>
          </w:tcPr>
          <w:p w14:paraId="13238EB6">
            <w:pPr>
              <w:adjustRightInd/>
              <w:spacing w:line="460" w:lineRule="exact"/>
              <w:rPr>
                <w:rFonts w:ascii="宋体" w:hAnsi="宋体" w:cs="宋体"/>
                <w:sz w:val="24"/>
              </w:rPr>
            </w:pPr>
            <w:r>
              <w:rPr>
                <w:rFonts w:hint="eastAsia" w:ascii="宋体" w:hAnsi="宋体" w:cs="宋体"/>
                <w:sz w:val="24"/>
              </w:rPr>
              <w:t>解释：凡涉及本采购文件的解释权属于采购单位及采购代理机构。</w:t>
            </w:r>
          </w:p>
        </w:tc>
      </w:tr>
      <w:tr w14:paraId="18BC3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9380" w:type="dxa"/>
            <w:gridSpan w:val="2"/>
            <w:vAlign w:val="center"/>
          </w:tcPr>
          <w:p w14:paraId="17248B65">
            <w:pPr>
              <w:adjustRightInd/>
              <w:spacing w:line="460" w:lineRule="exact"/>
              <w:rPr>
                <w:rFonts w:ascii="宋体" w:hAnsi="宋体" w:cs="宋体"/>
                <w:sz w:val="24"/>
              </w:rPr>
            </w:pPr>
            <w:r>
              <w:rPr>
                <w:rFonts w:hint="eastAsia" w:ascii="宋体" w:hAnsi="宋体" w:cs="宋体"/>
                <w:sz w:val="24"/>
              </w:rPr>
              <w:t>注：排名第一的预中标候选人放弃中标资格或因质疑、投诉被取消预中标资格或不能履行合同的，采购人应当重新招标。</w:t>
            </w:r>
          </w:p>
        </w:tc>
      </w:tr>
    </w:tbl>
    <w:p w14:paraId="26EC8DE7">
      <w:pPr>
        <w:pStyle w:val="3"/>
        <w:tabs>
          <w:tab w:val="left" w:pos="358"/>
          <w:tab w:val="clear" w:pos="432"/>
        </w:tabs>
        <w:spacing w:line="460" w:lineRule="exact"/>
        <w:jc w:val="center"/>
        <w:rPr>
          <w:rFonts w:ascii="仿宋" w:eastAsia="仿宋" w:cs="仿宋"/>
        </w:rPr>
      </w:pPr>
      <w:bookmarkStart w:id="21" w:name="_Toc54978890"/>
      <w:bookmarkStart w:id="22" w:name="_Toc10076"/>
      <w:bookmarkStart w:id="23" w:name="_Toc872"/>
      <w:bookmarkStart w:id="24" w:name="_Toc12075"/>
      <w:bookmarkStart w:id="25" w:name="_Toc31687"/>
      <w:r>
        <w:rPr>
          <w:rFonts w:hint="eastAsia" w:ascii="仿宋" w:eastAsia="仿宋" w:cs="仿宋"/>
        </w:rPr>
        <w:t>二、总则</w:t>
      </w:r>
      <w:bookmarkEnd w:id="21"/>
    </w:p>
    <w:p w14:paraId="60243D42">
      <w:pPr>
        <w:adjustRightInd/>
        <w:spacing w:line="460" w:lineRule="exact"/>
        <w:ind w:firstLine="420"/>
        <w:rPr>
          <w:rFonts w:ascii="宋体" w:hAnsi="宋体" w:cs="宋体"/>
          <w:sz w:val="24"/>
        </w:rPr>
      </w:pPr>
      <w:bookmarkStart w:id="26" w:name="_Toc82873323"/>
      <w:bookmarkStart w:id="27" w:name="_Toc82338240"/>
      <w:r>
        <w:rPr>
          <w:rFonts w:hint="eastAsia" w:ascii="宋体" w:hAnsi="宋体" w:cs="宋体"/>
          <w:b/>
          <w:bCs/>
          <w:sz w:val="24"/>
        </w:rPr>
        <w:t>2.1实施依据</w:t>
      </w:r>
    </w:p>
    <w:p w14:paraId="7F005F9F">
      <w:pPr>
        <w:adjustRightInd/>
        <w:spacing w:line="460" w:lineRule="exact"/>
        <w:ind w:firstLine="420"/>
        <w:rPr>
          <w:rFonts w:ascii="宋体" w:hAnsi="宋体" w:cs="宋体"/>
          <w:sz w:val="24"/>
        </w:rPr>
      </w:pPr>
      <w:r>
        <w:rPr>
          <w:rFonts w:hint="eastAsia" w:ascii="宋体" w:hAnsi="宋体" w:cs="宋体"/>
          <w:sz w:val="24"/>
        </w:rPr>
        <w:t>本次招标工作是参照</w:t>
      </w:r>
      <w:r>
        <w:rPr>
          <w:rFonts w:hint="eastAsia" w:ascii="宋体" w:hAnsi="宋体" w:cs="宋体"/>
          <w:kern w:val="0"/>
          <w:sz w:val="24"/>
        </w:rPr>
        <w:t>《中华人民共和国政府采购法》、《中华人民共和国政府采购法实施条例》</w:t>
      </w:r>
      <w:r>
        <w:rPr>
          <w:rFonts w:hint="eastAsia" w:ascii="宋体" w:hAnsi="宋体" w:cs="宋体"/>
          <w:sz w:val="24"/>
        </w:rPr>
        <w:t>等招标投标有关法律、法规、规章、文件的规定组织和实施。</w:t>
      </w:r>
    </w:p>
    <w:p w14:paraId="6271498B">
      <w:pPr>
        <w:adjustRightInd/>
        <w:spacing w:line="460" w:lineRule="exact"/>
        <w:ind w:firstLine="420"/>
        <w:rPr>
          <w:rFonts w:ascii="宋体" w:hAnsi="宋体" w:cs="宋体"/>
          <w:b/>
          <w:bCs/>
          <w:sz w:val="24"/>
        </w:rPr>
      </w:pPr>
      <w:r>
        <w:rPr>
          <w:rFonts w:hint="eastAsia" w:ascii="宋体" w:hAnsi="宋体" w:cs="宋体"/>
          <w:b/>
          <w:bCs/>
          <w:sz w:val="24"/>
        </w:rPr>
        <w:t>2.2定义</w:t>
      </w:r>
    </w:p>
    <w:p w14:paraId="287062C2">
      <w:pPr>
        <w:adjustRightInd/>
        <w:spacing w:line="460" w:lineRule="exact"/>
        <w:ind w:firstLine="480" w:firstLineChars="200"/>
        <w:rPr>
          <w:rFonts w:ascii="宋体" w:hAnsi="宋体" w:cs="宋体"/>
          <w:sz w:val="24"/>
        </w:rPr>
      </w:pPr>
      <w:r>
        <w:rPr>
          <w:rFonts w:hint="eastAsia" w:ascii="宋体" w:hAnsi="宋体" w:cs="宋体"/>
          <w:sz w:val="24"/>
        </w:rPr>
        <w:t>2.2.1 “采购人”系指采购公告中载明的本项目的采购人。</w:t>
      </w:r>
    </w:p>
    <w:p w14:paraId="7C4D9708">
      <w:pPr>
        <w:adjustRightInd/>
        <w:spacing w:line="460" w:lineRule="exact"/>
        <w:ind w:firstLine="480" w:firstLineChars="200"/>
        <w:rPr>
          <w:rFonts w:ascii="宋体" w:hAnsi="宋体" w:cs="宋体"/>
          <w:sz w:val="24"/>
        </w:rPr>
      </w:pPr>
      <w:r>
        <w:rPr>
          <w:rFonts w:hint="eastAsia" w:ascii="宋体" w:hAnsi="宋体" w:cs="宋体"/>
          <w:sz w:val="24"/>
        </w:rPr>
        <w:t>2.2.2 “采购机构”系指采购公告中载明的本项目的采购代理机构。</w:t>
      </w:r>
    </w:p>
    <w:p w14:paraId="68A695D9">
      <w:pPr>
        <w:adjustRightInd/>
        <w:spacing w:line="460" w:lineRule="exact"/>
        <w:ind w:firstLine="480" w:firstLineChars="200"/>
        <w:rPr>
          <w:rFonts w:ascii="宋体" w:hAnsi="宋体" w:cs="宋体"/>
          <w:sz w:val="24"/>
        </w:rPr>
      </w:pPr>
      <w:r>
        <w:rPr>
          <w:rFonts w:hint="eastAsia" w:ascii="宋体" w:hAnsi="宋体" w:cs="宋体"/>
          <w:sz w:val="24"/>
        </w:rPr>
        <w:t>2.2.3 “投标人”系指是指响应招标、参加投标竞争的法人、其他组织或者自然人。</w:t>
      </w:r>
    </w:p>
    <w:p w14:paraId="1B73665F">
      <w:pPr>
        <w:adjustRightInd/>
        <w:spacing w:line="460" w:lineRule="exact"/>
        <w:ind w:firstLine="480" w:firstLineChars="200"/>
        <w:rPr>
          <w:rFonts w:ascii="宋体" w:hAnsi="宋体" w:cs="宋体"/>
          <w:sz w:val="24"/>
        </w:rPr>
      </w:pPr>
      <w:r>
        <w:rPr>
          <w:rFonts w:hint="eastAsia" w:ascii="宋体" w:hAnsi="宋体" w:cs="宋体"/>
          <w:sz w:val="24"/>
        </w:rPr>
        <w:t>2.2.4 “负责人”系指法人企业的法定负责人，或其他组织为法律、行政法规规定代表单位行使职权的主要负责人，或自然人本人。</w:t>
      </w:r>
    </w:p>
    <w:p w14:paraId="1282A49E">
      <w:pPr>
        <w:adjustRightInd/>
        <w:spacing w:line="460" w:lineRule="exact"/>
        <w:ind w:firstLine="480" w:firstLineChars="200"/>
        <w:rPr>
          <w:rFonts w:ascii="宋体" w:hAnsi="宋体" w:cs="宋体"/>
          <w:sz w:val="24"/>
        </w:rPr>
      </w:pPr>
      <w:r>
        <w:rPr>
          <w:rFonts w:hint="eastAsia" w:ascii="宋体" w:hAnsi="宋体" w:cs="宋体"/>
          <w:sz w:val="24"/>
        </w:rPr>
        <w:t>2.2.5“电子签名”系指数据电文中以电子形式所含、所附用于识别签名人身份并表明签名人认可其中内容的数据；“公章”系指单位法定名称章。</w:t>
      </w:r>
    </w:p>
    <w:p w14:paraId="64FA710B">
      <w:pPr>
        <w:adjustRightInd/>
        <w:spacing w:line="460" w:lineRule="exact"/>
        <w:ind w:firstLine="480" w:firstLineChars="200"/>
        <w:rPr>
          <w:rFonts w:ascii="宋体" w:hAnsi="宋体" w:cs="宋体"/>
          <w:sz w:val="24"/>
        </w:rPr>
      </w:pPr>
      <w:r>
        <w:rPr>
          <w:rFonts w:hint="eastAsia" w:ascii="宋体" w:hAnsi="宋体" w:cs="宋体"/>
          <w:sz w:val="24"/>
        </w:rPr>
        <w:t>2.2.6“电子交易平台”是指本项目采购活动所依托的采购云平台（https://www.lecaiyun.com/）。</w:t>
      </w:r>
    </w:p>
    <w:p w14:paraId="0B0252CA">
      <w:pPr>
        <w:adjustRightInd/>
        <w:spacing w:line="460" w:lineRule="exact"/>
        <w:ind w:firstLine="420"/>
        <w:rPr>
          <w:rFonts w:ascii="宋体" w:hAnsi="宋体" w:cs="宋体"/>
          <w:sz w:val="24"/>
        </w:rPr>
      </w:pPr>
      <w:r>
        <w:rPr>
          <w:rFonts w:hint="eastAsia" w:ascii="宋体" w:hAnsi="宋体" w:cs="宋体"/>
          <w:sz w:val="24"/>
        </w:rPr>
        <w:t>2.2.7 “★”系指实质性指标要求条款，“▲”系指主要性能指标要求条款。如任意一条打“★”的指标出现负偏离视为实质性不响应招标文件要求，作无效投标处理；如任意一条打“▲”的指标出现负偏离按评分标准规定处理。“</w:t>
      </w:r>
      <w:r>
        <w:rPr>
          <w:rFonts w:hint="eastAsia" w:ascii="宋体" w:hAnsi="宋体" w:cs="宋体"/>
          <w:sz w:val="24"/>
        </w:rPr>
        <w:sym w:font="Wingdings" w:char="F0FE"/>
      </w:r>
      <w:r>
        <w:rPr>
          <w:rFonts w:hint="eastAsia" w:ascii="宋体" w:hAnsi="宋体" w:cs="宋体"/>
          <w:sz w:val="24"/>
        </w:rPr>
        <w:t>” 系指适用本项目的要求，“☐” 系指不适用本项目的要求。</w:t>
      </w:r>
    </w:p>
    <w:p w14:paraId="4C507382">
      <w:pPr>
        <w:adjustRightInd/>
        <w:spacing w:line="460" w:lineRule="exact"/>
        <w:ind w:firstLine="420"/>
        <w:rPr>
          <w:rFonts w:hint="eastAsia" w:ascii="宋体" w:hAnsi="宋体" w:eastAsia="宋体" w:cs="宋体"/>
          <w:sz w:val="24"/>
          <w:lang w:eastAsia="zh-CN"/>
        </w:rPr>
      </w:pPr>
      <w:r>
        <w:rPr>
          <w:rFonts w:hint="eastAsia" w:ascii="宋体" w:hAnsi="宋体" w:cs="宋体"/>
          <w:sz w:val="24"/>
        </w:rPr>
        <w:t>2.2.8投标联合体：是指两个以上供应商组成联合体，以一个投标人的身份参加投标</w:t>
      </w:r>
      <w:r>
        <w:rPr>
          <w:rFonts w:hint="eastAsia" w:ascii="宋体" w:hAnsi="宋体" w:cs="宋体"/>
          <w:sz w:val="24"/>
          <w:lang w:eastAsia="zh-CN"/>
        </w:rPr>
        <w:t>。</w:t>
      </w:r>
    </w:p>
    <w:p w14:paraId="76C43049">
      <w:pPr>
        <w:adjustRightInd/>
        <w:spacing w:line="460" w:lineRule="exact"/>
        <w:ind w:firstLine="420"/>
        <w:rPr>
          <w:rFonts w:hint="eastAsia" w:ascii="宋体" w:hAnsi="宋体" w:eastAsia="宋体" w:cs="宋体"/>
          <w:sz w:val="24"/>
          <w:lang w:eastAsia="zh-CN"/>
        </w:rPr>
      </w:pPr>
      <w:r>
        <w:rPr>
          <w:rFonts w:hint="eastAsia" w:ascii="宋体" w:hAnsi="宋体" w:cs="宋体"/>
          <w:sz w:val="24"/>
        </w:rPr>
        <w:t>2.2.9货物和服务：是指按采购文件要求的货物和服务</w:t>
      </w:r>
      <w:r>
        <w:rPr>
          <w:rFonts w:hint="eastAsia" w:ascii="宋体" w:hAnsi="宋体" w:cs="宋体"/>
          <w:sz w:val="24"/>
          <w:lang w:eastAsia="zh-CN"/>
        </w:rPr>
        <w:t>。</w:t>
      </w:r>
    </w:p>
    <w:p w14:paraId="56C818A2">
      <w:pPr>
        <w:adjustRightInd/>
        <w:spacing w:line="460" w:lineRule="exact"/>
        <w:ind w:firstLine="420"/>
        <w:rPr>
          <w:rFonts w:ascii="宋体" w:hAnsi="宋体" w:cs="宋体"/>
          <w:bCs/>
          <w:sz w:val="24"/>
        </w:rPr>
      </w:pPr>
      <w:r>
        <w:rPr>
          <w:rFonts w:hint="eastAsia" w:ascii="宋体" w:hAnsi="宋体" w:cs="宋体"/>
          <w:b/>
          <w:sz w:val="24"/>
        </w:rPr>
        <w:t>2.3费用</w:t>
      </w:r>
    </w:p>
    <w:p w14:paraId="2D49B91D">
      <w:pPr>
        <w:adjustRightInd/>
        <w:spacing w:line="460" w:lineRule="exact"/>
        <w:ind w:firstLine="420"/>
        <w:rPr>
          <w:rFonts w:ascii="宋体" w:hAnsi="宋体" w:cs="宋体"/>
          <w:b/>
          <w:bCs/>
          <w:sz w:val="24"/>
        </w:rPr>
      </w:pPr>
      <w:r>
        <w:rPr>
          <w:rFonts w:hint="eastAsia" w:ascii="宋体" w:hAnsi="宋体" w:cs="宋体"/>
          <w:sz w:val="24"/>
        </w:rPr>
        <w:t>无论招投标过程中的做法和结果如何，投标人自行承担招投标活动中所发生的全部费用。</w:t>
      </w:r>
    </w:p>
    <w:p w14:paraId="7F829228">
      <w:pPr>
        <w:adjustRightInd/>
        <w:spacing w:line="460" w:lineRule="exact"/>
        <w:ind w:firstLine="420"/>
        <w:rPr>
          <w:rFonts w:ascii="宋体" w:hAnsi="宋体" w:cs="宋体"/>
          <w:sz w:val="24"/>
        </w:rPr>
      </w:pPr>
      <w:r>
        <w:rPr>
          <w:rFonts w:hint="eastAsia" w:ascii="宋体" w:hAnsi="宋体" w:cs="宋体"/>
          <w:b/>
          <w:bCs/>
          <w:sz w:val="24"/>
        </w:rPr>
        <w:t>2.4保密</w:t>
      </w:r>
    </w:p>
    <w:p w14:paraId="263B8506">
      <w:pPr>
        <w:adjustRightInd/>
        <w:spacing w:line="460" w:lineRule="exact"/>
        <w:ind w:firstLine="420"/>
        <w:rPr>
          <w:rFonts w:ascii="宋体" w:hAnsi="宋体" w:cs="宋体"/>
          <w:sz w:val="24"/>
        </w:rPr>
      </w:pPr>
      <w:r>
        <w:rPr>
          <w:rFonts w:hint="eastAsia" w:ascii="宋体" w:hAnsi="宋体" w:cs="宋体"/>
          <w:sz w:val="24"/>
        </w:rPr>
        <w:t>参与招标投标活动的各方应对采购文件和投标文件中的商业和技术等秘密保密，违者应对此造成的后果承担法律责任。</w:t>
      </w:r>
    </w:p>
    <w:p w14:paraId="15574D77">
      <w:pPr>
        <w:adjustRightInd/>
        <w:spacing w:line="460" w:lineRule="exact"/>
        <w:ind w:firstLine="420"/>
        <w:rPr>
          <w:rFonts w:ascii="宋体" w:hAnsi="宋体" w:cs="宋体"/>
          <w:b/>
          <w:bCs/>
          <w:sz w:val="24"/>
        </w:rPr>
      </w:pPr>
      <w:r>
        <w:rPr>
          <w:rFonts w:hint="eastAsia" w:ascii="宋体" w:hAnsi="宋体" w:cs="宋体"/>
          <w:b/>
          <w:bCs/>
          <w:sz w:val="24"/>
        </w:rPr>
        <w:t>2.5语言文字</w:t>
      </w:r>
    </w:p>
    <w:p w14:paraId="7756712A">
      <w:pPr>
        <w:adjustRightInd/>
        <w:spacing w:line="460" w:lineRule="exact"/>
        <w:ind w:firstLine="420"/>
        <w:rPr>
          <w:rFonts w:ascii="宋体" w:hAnsi="宋体" w:cs="宋体"/>
          <w:sz w:val="24"/>
        </w:rPr>
      </w:pPr>
      <w:r>
        <w:rPr>
          <w:rFonts w:hint="eastAsia" w:ascii="宋体" w:hAnsi="宋体" w:cs="宋体"/>
          <w:sz w:val="24"/>
        </w:rPr>
        <w:t>除专用术语外，与招标投标有关的语言使用中文。专用术语应附有中文注释。</w:t>
      </w:r>
    </w:p>
    <w:p w14:paraId="20C50A69">
      <w:pPr>
        <w:adjustRightInd/>
        <w:spacing w:line="460" w:lineRule="exact"/>
        <w:ind w:firstLine="420"/>
        <w:rPr>
          <w:rFonts w:ascii="宋体" w:hAnsi="宋体" w:cs="宋体"/>
          <w:sz w:val="24"/>
        </w:rPr>
      </w:pPr>
      <w:r>
        <w:rPr>
          <w:rFonts w:hint="eastAsia" w:ascii="宋体" w:hAnsi="宋体" w:cs="宋体"/>
          <w:b/>
          <w:bCs/>
          <w:sz w:val="24"/>
        </w:rPr>
        <w:t>2.6计量单位</w:t>
      </w:r>
    </w:p>
    <w:p w14:paraId="6253C429">
      <w:pPr>
        <w:adjustRightInd/>
        <w:spacing w:line="460" w:lineRule="exact"/>
        <w:ind w:firstLine="420"/>
        <w:rPr>
          <w:rFonts w:ascii="宋体" w:hAnsi="宋体" w:cs="宋体"/>
          <w:sz w:val="24"/>
        </w:rPr>
      </w:pPr>
      <w:r>
        <w:rPr>
          <w:rFonts w:hint="eastAsia" w:ascii="宋体" w:hAnsi="宋体" w:cs="宋体"/>
          <w:sz w:val="24"/>
        </w:rPr>
        <w:t>所有计量均采用中华人民共和国法定计量单位。</w:t>
      </w:r>
    </w:p>
    <w:p w14:paraId="05F0EC83">
      <w:pPr>
        <w:adjustRightInd/>
        <w:spacing w:line="460" w:lineRule="exact"/>
        <w:ind w:firstLine="420"/>
        <w:rPr>
          <w:rFonts w:ascii="宋体" w:hAnsi="宋体" w:cs="宋体"/>
          <w:b/>
          <w:bCs/>
          <w:sz w:val="24"/>
        </w:rPr>
      </w:pPr>
      <w:r>
        <w:rPr>
          <w:rFonts w:hint="eastAsia" w:ascii="宋体" w:hAnsi="宋体" w:cs="宋体"/>
          <w:b/>
          <w:bCs/>
          <w:sz w:val="24"/>
        </w:rPr>
        <w:t>2.7踏勘现场</w:t>
      </w:r>
    </w:p>
    <w:p w14:paraId="7B6CD8B9">
      <w:pPr>
        <w:adjustRightInd/>
        <w:spacing w:line="460" w:lineRule="exact"/>
        <w:ind w:firstLine="480" w:firstLineChars="200"/>
        <w:rPr>
          <w:rFonts w:ascii="宋体" w:hAnsi="宋体" w:cs="宋体"/>
          <w:sz w:val="24"/>
        </w:rPr>
      </w:pPr>
      <w:r>
        <w:rPr>
          <w:rFonts w:hint="eastAsia" w:ascii="宋体" w:hAnsi="宋体" w:cs="宋体"/>
          <w:sz w:val="24"/>
        </w:rPr>
        <w:t>2.7.1投标人须知前附表规定组织踏勘现场的，采购人按投标人须知前附表规定的时间、地点组织投标人踏勘项目现场。</w:t>
      </w:r>
    </w:p>
    <w:p w14:paraId="373F6140">
      <w:pPr>
        <w:adjustRightInd/>
        <w:spacing w:line="460" w:lineRule="exact"/>
        <w:ind w:firstLine="420"/>
        <w:rPr>
          <w:rFonts w:ascii="宋体" w:hAnsi="宋体" w:cs="宋体"/>
          <w:sz w:val="24"/>
        </w:rPr>
      </w:pPr>
      <w:r>
        <w:rPr>
          <w:rFonts w:hint="eastAsia" w:ascii="宋体" w:hAnsi="宋体" w:cs="宋体"/>
          <w:sz w:val="24"/>
        </w:rPr>
        <w:t>2.7.2投标人踏勘现场发生的费用自理。</w:t>
      </w:r>
    </w:p>
    <w:p w14:paraId="7422B982">
      <w:pPr>
        <w:adjustRightInd/>
        <w:spacing w:line="460" w:lineRule="exact"/>
        <w:ind w:firstLine="420"/>
        <w:rPr>
          <w:rFonts w:ascii="宋体" w:hAnsi="宋体" w:cs="宋体"/>
          <w:sz w:val="24"/>
        </w:rPr>
      </w:pPr>
      <w:r>
        <w:rPr>
          <w:rFonts w:hint="eastAsia" w:ascii="宋体" w:hAnsi="宋体" w:cs="宋体"/>
          <w:sz w:val="24"/>
        </w:rPr>
        <w:t>2.7.3除采购人的原因外，投标人自行负责在踏勘现场中所发生的人员伤亡和财产损失。</w:t>
      </w:r>
    </w:p>
    <w:p w14:paraId="172C8997">
      <w:pPr>
        <w:adjustRightInd/>
        <w:spacing w:line="460" w:lineRule="exact"/>
        <w:ind w:firstLine="420"/>
        <w:rPr>
          <w:rFonts w:ascii="宋体" w:hAnsi="宋体" w:cs="宋体"/>
          <w:sz w:val="24"/>
        </w:rPr>
      </w:pPr>
      <w:r>
        <w:rPr>
          <w:rFonts w:hint="eastAsia" w:ascii="宋体" w:hAnsi="宋体" w:cs="宋体"/>
          <w:sz w:val="24"/>
        </w:rPr>
        <w:t>2.7.4采购人在踏勘现场中介绍的场地和相关的周边环境情况，供投标人在编制投标文件时参考，采购人不对投标人据此作出的判断和决策负责。</w:t>
      </w:r>
    </w:p>
    <w:p w14:paraId="5619A17C">
      <w:pPr>
        <w:adjustRightInd/>
        <w:spacing w:line="460" w:lineRule="exact"/>
        <w:ind w:firstLine="420"/>
        <w:rPr>
          <w:rFonts w:ascii="宋体" w:hAnsi="宋体" w:cs="宋体"/>
          <w:sz w:val="24"/>
        </w:rPr>
      </w:pPr>
      <w:r>
        <w:rPr>
          <w:rFonts w:hint="eastAsia" w:ascii="宋体" w:hAnsi="宋体" w:cs="宋体"/>
          <w:b/>
          <w:bCs/>
          <w:sz w:val="24"/>
        </w:rPr>
        <w:t>2.8答疑会</w:t>
      </w:r>
    </w:p>
    <w:p w14:paraId="666EE5C1">
      <w:pPr>
        <w:adjustRightInd/>
        <w:spacing w:line="460" w:lineRule="exact"/>
        <w:ind w:firstLine="420"/>
        <w:rPr>
          <w:rFonts w:ascii="宋体" w:hAnsi="宋体" w:cs="宋体"/>
          <w:sz w:val="24"/>
        </w:rPr>
      </w:pPr>
      <w:r>
        <w:rPr>
          <w:rFonts w:hint="eastAsia" w:ascii="宋体" w:hAnsi="宋体" w:cs="宋体"/>
          <w:sz w:val="24"/>
        </w:rPr>
        <w:t>2.8.1投标人须知前附表规定召开答疑会的，采购人按投标人须知前附表规定的时间和地点召开答疑会，澄清投标人提出的问题。</w:t>
      </w:r>
    </w:p>
    <w:p w14:paraId="114EFD19">
      <w:pPr>
        <w:adjustRightInd/>
        <w:spacing w:line="460" w:lineRule="exact"/>
        <w:ind w:firstLine="420"/>
        <w:rPr>
          <w:rFonts w:ascii="宋体" w:hAnsi="宋体" w:cs="宋体"/>
          <w:sz w:val="24"/>
        </w:rPr>
      </w:pPr>
      <w:r>
        <w:rPr>
          <w:rFonts w:hint="eastAsia" w:ascii="宋体" w:hAnsi="宋体" w:cs="宋体"/>
          <w:sz w:val="24"/>
        </w:rPr>
        <w:t>2.8.2投标人应在答疑会时间的前一天，以书面形式将提出的问题送达采购人，以便采购人在会议期间澄清。</w:t>
      </w:r>
    </w:p>
    <w:p w14:paraId="7F29FFC8">
      <w:pPr>
        <w:adjustRightInd/>
        <w:spacing w:line="460" w:lineRule="exact"/>
        <w:ind w:firstLine="420"/>
        <w:rPr>
          <w:rFonts w:ascii="宋体" w:hAnsi="宋体" w:cs="宋体"/>
          <w:sz w:val="24"/>
        </w:rPr>
      </w:pPr>
      <w:r>
        <w:rPr>
          <w:rFonts w:hint="eastAsia" w:ascii="宋体" w:hAnsi="宋体" w:cs="宋体"/>
          <w:sz w:val="24"/>
        </w:rPr>
        <w:t>2.8.3答疑会后，采购人按本章3.2款规定对投标人所提问题进行澄清答复。</w:t>
      </w:r>
    </w:p>
    <w:p w14:paraId="3F6F5DDB">
      <w:pPr>
        <w:adjustRightInd/>
        <w:spacing w:line="460" w:lineRule="exact"/>
        <w:ind w:firstLine="420"/>
        <w:rPr>
          <w:rFonts w:ascii="宋体" w:hAnsi="宋体" w:cs="宋体"/>
          <w:sz w:val="24"/>
        </w:rPr>
      </w:pPr>
      <w:r>
        <w:rPr>
          <w:rFonts w:hint="eastAsia" w:ascii="宋体" w:hAnsi="宋体" w:cs="宋体"/>
          <w:b/>
          <w:bCs/>
          <w:sz w:val="24"/>
        </w:rPr>
        <w:t>2.9转包与分包</w:t>
      </w:r>
    </w:p>
    <w:p w14:paraId="4A2B8707">
      <w:pPr>
        <w:adjustRightInd/>
        <w:spacing w:line="460" w:lineRule="exact"/>
        <w:ind w:firstLine="420"/>
        <w:rPr>
          <w:rFonts w:ascii="宋体" w:hAnsi="宋体" w:cs="宋体"/>
          <w:sz w:val="24"/>
        </w:rPr>
      </w:pPr>
      <w:r>
        <w:rPr>
          <w:rFonts w:hint="eastAsia" w:ascii="宋体" w:hAnsi="宋体" w:cs="宋体"/>
          <w:sz w:val="24"/>
        </w:rPr>
        <w:t>本项目不允许转包及分包。</w:t>
      </w:r>
    </w:p>
    <w:p w14:paraId="46B3B4D1">
      <w:pPr>
        <w:adjustRightInd/>
        <w:spacing w:line="460" w:lineRule="exact"/>
        <w:ind w:firstLine="420"/>
        <w:rPr>
          <w:rFonts w:ascii="宋体" w:hAnsi="宋体" w:cs="宋体"/>
          <w:sz w:val="24"/>
        </w:rPr>
      </w:pPr>
      <w:r>
        <w:rPr>
          <w:rFonts w:hint="eastAsia" w:ascii="宋体" w:hAnsi="宋体" w:cs="宋体"/>
          <w:b/>
          <w:bCs/>
          <w:sz w:val="24"/>
        </w:rPr>
        <w:t>2.10偏离</w:t>
      </w:r>
    </w:p>
    <w:p w14:paraId="651FBD46">
      <w:pPr>
        <w:adjustRightInd/>
        <w:spacing w:line="460" w:lineRule="exact"/>
        <w:ind w:firstLine="420"/>
        <w:rPr>
          <w:rFonts w:ascii="宋体" w:hAnsi="宋体" w:cs="宋体"/>
          <w:sz w:val="24"/>
        </w:rPr>
      </w:pPr>
      <w:r>
        <w:rPr>
          <w:rFonts w:hint="eastAsia" w:ascii="宋体" w:hAnsi="宋体" w:cs="宋体"/>
          <w:sz w:val="24"/>
        </w:rPr>
        <w:t>投标文件应完全响应采购文件规定的实质性内容和条件。</w:t>
      </w:r>
    </w:p>
    <w:p w14:paraId="74344B07">
      <w:pPr>
        <w:adjustRightInd/>
        <w:spacing w:line="460" w:lineRule="exact"/>
        <w:ind w:firstLine="420"/>
        <w:rPr>
          <w:rFonts w:ascii="宋体" w:hAnsi="宋体" w:cs="宋体"/>
          <w:sz w:val="24"/>
        </w:rPr>
      </w:pPr>
      <w:r>
        <w:rPr>
          <w:rFonts w:hint="eastAsia" w:ascii="宋体" w:hAnsi="宋体" w:cs="宋体"/>
          <w:b/>
          <w:bCs/>
          <w:sz w:val="24"/>
        </w:rPr>
        <w:t>2.11其他</w:t>
      </w:r>
    </w:p>
    <w:p w14:paraId="617023AA">
      <w:pPr>
        <w:adjustRightInd/>
        <w:spacing w:line="460" w:lineRule="exact"/>
        <w:ind w:firstLine="420"/>
        <w:rPr>
          <w:rFonts w:ascii="宋体" w:hAnsi="宋体" w:cs="宋体"/>
          <w:b/>
          <w:bCs/>
          <w:sz w:val="24"/>
          <w:u w:val="single"/>
        </w:rPr>
      </w:pPr>
      <w:r>
        <w:rPr>
          <w:rFonts w:hint="eastAsia" w:ascii="宋体" w:hAnsi="宋体" w:cs="宋体"/>
          <w:sz w:val="24"/>
        </w:rPr>
        <w:t>2.11.1★</w:t>
      </w:r>
      <w:r>
        <w:rPr>
          <w:rFonts w:hint="eastAsia" w:ascii="宋体" w:hAnsi="宋体" w:cs="宋体"/>
          <w:b/>
          <w:bCs/>
          <w:sz w:val="24"/>
          <w:u w:val="single"/>
        </w:rPr>
        <w:t>投标人对所投标项内的产品或服务必须按采购数量全部进行报价。</w:t>
      </w:r>
    </w:p>
    <w:p w14:paraId="23FA339B">
      <w:pPr>
        <w:adjustRightInd/>
        <w:spacing w:line="460" w:lineRule="exact"/>
        <w:ind w:firstLine="420"/>
        <w:rPr>
          <w:rFonts w:ascii="宋体" w:hAnsi="宋体" w:cs="宋体"/>
          <w:b/>
          <w:sz w:val="24"/>
          <w:u w:val="single"/>
        </w:rPr>
      </w:pPr>
      <w:r>
        <w:rPr>
          <w:rFonts w:hint="eastAsia" w:ascii="宋体" w:hAnsi="宋体" w:cs="宋体"/>
          <w:sz w:val="24"/>
        </w:rPr>
        <w:t>2.11.2</w:t>
      </w:r>
      <w:r>
        <w:rPr>
          <w:rFonts w:hint="eastAsia" w:ascii="宋体" w:hAnsi="宋体" w:cs="宋体"/>
          <w:b/>
          <w:sz w:val="24"/>
        </w:rPr>
        <w:t>投标人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16EF20D4">
      <w:pPr>
        <w:pStyle w:val="3"/>
        <w:tabs>
          <w:tab w:val="left" w:pos="358"/>
          <w:tab w:val="clear" w:pos="432"/>
        </w:tabs>
        <w:spacing w:line="460" w:lineRule="exact"/>
        <w:ind w:firstLine="420"/>
        <w:jc w:val="center"/>
        <w:rPr>
          <w:rFonts w:ascii="宋体" w:hAnsi="宋体" w:eastAsia="宋体" w:cs="宋体"/>
        </w:rPr>
      </w:pPr>
      <w:bookmarkStart w:id="28" w:name="_Toc54978891"/>
      <w:bookmarkStart w:id="29" w:name="_Toc35261572"/>
      <w:r>
        <w:rPr>
          <w:rFonts w:hint="eastAsia" w:ascii="宋体" w:hAnsi="宋体" w:eastAsia="宋体" w:cs="宋体"/>
        </w:rPr>
        <w:t>三、采购文件</w:t>
      </w:r>
      <w:bookmarkEnd w:id="26"/>
      <w:bookmarkEnd w:id="27"/>
      <w:bookmarkEnd w:id="28"/>
      <w:bookmarkEnd w:id="29"/>
      <w:r>
        <w:rPr>
          <w:rFonts w:hint="eastAsia" w:ascii="宋体" w:hAnsi="宋体" w:eastAsia="宋体" w:cs="宋体"/>
        </w:rPr>
        <w:t>的构成、澄清、修改</w:t>
      </w:r>
    </w:p>
    <w:p w14:paraId="1F302DF8">
      <w:pPr>
        <w:adjustRightInd/>
        <w:spacing w:line="460" w:lineRule="exact"/>
        <w:ind w:firstLine="420"/>
        <w:rPr>
          <w:rFonts w:ascii="宋体" w:hAnsi="宋体" w:cs="宋体"/>
          <w:b/>
          <w:bCs/>
          <w:sz w:val="24"/>
        </w:rPr>
      </w:pPr>
      <w:bookmarkStart w:id="30" w:name="_Toc82338241"/>
      <w:bookmarkStart w:id="31" w:name="_Toc82873324"/>
      <w:r>
        <w:rPr>
          <w:rFonts w:hint="eastAsia" w:ascii="宋体" w:hAnsi="宋体" w:cs="宋体"/>
          <w:b/>
          <w:bCs/>
          <w:sz w:val="24"/>
        </w:rPr>
        <w:t>3.1采购文件组成</w:t>
      </w:r>
    </w:p>
    <w:p w14:paraId="5C84D812">
      <w:pPr>
        <w:adjustRightInd/>
        <w:spacing w:line="460" w:lineRule="exact"/>
        <w:ind w:firstLine="420"/>
        <w:rPr>
          <w:rFonts w:ascii="宋体" w:hAnsi="宋体" w:cs="宋体"/>
          <w:sz w:val="24"/>
        </w:rPr>
      </w:pPr>
      <w:r>
        <w:rPr>
          <w:rFonts w:hint="eastAsia" w:ascii="宋体" w:hAnsi="宋体" w:cs="宋体"/>
          <w:sz w:val="24"/>
        </w:rPr>
        <w:t>3.1.1第一章 采购公告</w:t>
      </w:r>
    </w:p>
    <w:p w14:paraId="582FC4C3">
      <w:pPr>
        <w:adjustRightInd/>
        <w:spacing w:line="460" w:lineRule="exact"/>
        <w:ind w:firstLine="420"/>
        <w:rPr>
          <w:rFonts w:ascii="宋体" w:hAnsi="宋体" w:cs="宋体"/>
          <w:sz w:val="24"/>
        </w:rPr>
      </w:pPr>
      <w:r>
        <w:rPr>
          <w:rFonts w:hint="eastAsia" w:ascii="宋体" w:hAnsi="宋体" w:cs="宋体"/>
          <w:sz w:val="24"/>
        </w:rPr>
        <w:t>3.1.2第二章 投标人须知</w:t>
      </w:r>
    </w:p>
    <w:p w14:paraId="0C459803">
      <w:pPr>
        <w:adjustRightInd/>
        <w:spacing w:line="460" w:lineRule="exact"/>
        <w:ind w:firstLine="420"/>
        <w:rPr>
          <w:rFonts w:ascii="宋体" w:hAnsi="宋体" w:cs="宋体"/>
          <w:sz w:val="24"/>
        </w:rPr>
      </w:pPr>
      <w:r>
        <w:rPr>
          <w:rFonts w:hint="eastAsia" w:ascii="宋体" w:hAnsi="宋体" w:cs="宋体"/>
          <w:sz w:val="24"/>
        </w:rPr>
        <w:t>3.1.3第三章 采购需求</w:t>
      </w:r>
    </w:p>
    <w:p w14:paraId="5CB5CEF9">
      <w:pPr>
        <w:adjustRightInd/>
        <w:spacing w:line="460" w:lineRule="exact"/>
        <w:ind w:firstLine="420"/>
        <w:rPr>
          <w:rFonts w:ascii="宋体" w:hAnsi="宋体" w:cs="宋体"/>
          <w:sz w:val="24"/>
        </w:rPr>
      </w:pPr>
      <w:r>
        <w:rPr>
          <w:rFonts w:hint="eastAsia" w:ascii="宋体" w:hAnsi="宋体" w:cs="宋体"/>
          <w:sz w:val="24"/>
        </w:rPr>
        <w:t>3.1.4第四章 评标办法</w:t>
      </w:r>
    </w:p>
    <w:p w14:paraId="2A1E72E1">
      <w:pPr>
        <w:adjustRightInd/>
        <w:spacing w:line="460" w:lineRule="exact"/>
        <w:ind w:firstLine="420"/>
        <w:rPr>
          <w:rFonts w:ascii="宋体" w:hAnsi="宋体" w:cs="宋体"/>
          <w:sz w:val="24"/>
        </w:rPr>
      </w:pPr>
      <w:r>
        <w:rPr>
          <w:rFonts w:hint="eastAsia" w:ascii="宋体" w:hAnsi="宋体" w:cs="宋体"/>
          <w:sz w:val="24"/>
        </w:rPr>
        <w:t>3.1.5第五章 合同主要条款</w:t>
      </w:r>
    </w:p>
    <w:p w14:paraId="77462F16">
      <w:pPr>
        <w:adjustRightInd/>
        <w:spacing w:line="460" w:lineRule="exact"/>
        <w:ind w:firstLine="420"/>
        <w:rPr>
          <w:rFonts w:ascii="宋体" w:hAnsi="宋体" w:cs="宋体"/>
          <w:sz w:val="24"/>
        </w:rPr>
      </w:pPr>
      <w:r>
        <w:rPr>
          <w:rFonts w:hint="eastAsia" w:ascii="宋体" w:hAnsi="宋体" w:cs="宋体"/>
          <w:sz w:val="24"/>
        </w:rPr>
        <w:t>3.1.6第六章 投标文件格式</w:t>
      </w:r>
    </w:p>
    <w:p w14:paraId="464EF2A1">
      <w:pPr>
        <w:adjustRightInd/>
        <w:spacing w:line="460" w:lineRule="exact"/>
        <w:ind w:firstLine="420"/>
        <w:rPr>
          <w:rFonts w:ascii="宋体" w:hAnsi="宋体" w:cs="宋体"/>
          <w:sz w:val="24"/>
        </w:rPr>
      </w:pPr>
      <w:r>
        <w:rPr>
          <w:rFonts w:hint="eastAsia" w:ascii="宋体" w:hAnsi="宋体" w:cs="宋体"/>
          <w:sz w:val="24"/>
        </w:rPr>
        <w:t>3.1.7补充文件（如有）</w:t>
      </w:r>
    </w:p>
    <w:p w14:paraId="3274D69C">
      <w:pPr>
        <w:adjustRightInd/>
        <w:spacing w:line="460" w:lineRule="exact"/>
        <w:ind w:firstLine="420"/>
        <w:rPr>
          <w:rFonts w:ascii="宋体" w:hAnsi="宋体" w:cs="宋体"/>
          <w:sz w:val="24"/>
        </w:rPr>
      </w:pPr>
      <w:r>
        <w:rPr>
          <w:rFonts w:hint="eastAsia" w:ascii="宋体" w:hAnsi="宋体" w:cs="宋体"/>
          <w:sz w:val="24"/>
        </w:rPr>
        <w:t>3.1.8与本项目有关的</w:t>
      </w:r>
      <w:r>
        <w:rPr>
          <w:rFonts w:hint="eastAsia" w:ascii="宋体" w:hAnsi="宋体" w:cs="宋体"/>
          <w:bCs/>
          <w:sz w:val="24"/>
        </w:rPr>
        <w:t>澄清或者修改的内容为采购文件的组成部分</w:t>
      </w:r>
      <w:r>
        <w:rPr>
          <w:rFonts w:hint="eastAsia" w:ascii="宋体" w:hAnsi="宋体" w:cs="宋体"/>
          <w:sz w:val="24"/>
        </w:rPr>
        <w:t>。</w:t>
      </w:r>
    </w:p>
    <w:p w14:paraId="7B791B61">
      <w:pPr>
        <w:adjustRightInd/>
        <w:spacing w:line="460" w:lineRule="exact"/>
        <w:ind w:firstLine="420"/>
        <w:rPr>
          <w:rFonts w:ascii="宋体" w:hAnsi="宋体" w:cs="宋体"/>
          <w:sz w:val="24"/>
        </w:rPr>
      </w:pPr>
      <w:r>
        <w:rPr>
          <w:rFonts w:hint="eastAsia" w:ascii="宋体" w:hAnsi="宋体" w:cs="宋体"/>
          <w:sz w:val="24"/>
        </w:rPr>
        <w:t>采购文件的解释权归采购组织机构所有。</w:t>
      </w:r>
    </w:p>
    <w:p w14:paraId="21DEF8F7">
      <w:pPr>
        <w:adjustRightInd/>
        <w:spacing w:line="460" w:lineRule="exact"/>
        <w:ind w:firstLine="420"/>
        <w:rPr>
          <w:rFonts w:ascii="宋体" w:hAnsi="宋体" w:cs="宋体"/>
          <w:b/>
          <w:bCs/>
          <w:sz w:val="24"/>
        </w:rPr>
      </w:pPr>
      <w:r>
        <w:rPr>
          <w:rFonts w:hint="eastAsia" w:ascii="宋体" w:hAnsi="宋体" w:cs="宋体"/>
          <w:b/>
          <w:bCs/>
          <w:sz w:val="24"/>
        </w:rPr>
        <w:t>3.2采购文件的澄清、修改</w:t>
      </w:r>
    </w:p>
    <w:p w14:paraId="0CE23A54">
      <w:pPr>
        <w:adjustRightInd/>
        <w:spacing w:line="460" w:lineRule="exact"/>
        <w:ind w:firstLine="420"/>
        <w:rPr>
          <w:rFonts w:ascii="宋体" w:hAnsi="宋体" w:cs="宋体"/>
          <w:sz w:val="24"/>
        </w:rPr>
      </w:pPr>
      <w:r>
        <w:rPr>
          <w:rFonts w:hint="eastAsia" w:ascii="宋体" w:hAnsi="宋体" w:cs="宋体"/>
          <w:sz w:val="24"/>
        </w:rPr>
        <w:t>3.2.1已获取招标文件的潜在投标人，若有问题需要澄清，应于投标截止时间前，以书面形式向采购代理机构提出。</w:t>
      </w:r>
    </w:p>
    <w:p w14:paraId="1D5FFE86">
      <w:pPr>
        <w:adjustRightInd/>
        <w:spacing w:line="460" w:lineRule="exact"/>
        <w:ind w:firstLine="420"/>
        <w:rPr>
          <w:rFonts w:ascii="宋体" w:hAnsi="宋体" w:cs="宋体"/>
          <w:sz w:val="24"/>
        </w:rPr>
      </w:pPr>
      <w:r>
        <w:rPr>
          <w:rFonts w:hint="eastAsia" w:ascii="宋体" w:hAnsi="宋体" w:cs="宋体"/>
          <w:sz w:val="24"/>
        </w:rPr>
        <w:t>3.2.2采购人对招标文件进行必要的澄清或者修改的，在采购信息发布网站上（浙江政府采购网）发布更正公告。同时视情况延长投标截止时间和开标时间。</w:t>
      </w:r>
    </w:p>
    <w:p w14:paraId="77655D9A">
      <w:pPr>
        <w:adjustRightInd/>
        <w:spacing w:line="460" w:lineRule="exact"/>
        <w:ind w:firstLine="420"/>
        <w:rPr>
          <w:rFonts w:ascii="宋体" w:hAnsi="宋体" w:cs="宋体"/>
          <w:sz w:val="24"/>
        </w:rPr>
      </w:pPr>
      <w:r>
        <w:rPr>
          <w:rFonts w:hint="eastAsia" w:ascii="宋体" w:hAnsi="宋体" w:cs="宋体"/>
          <w:sz w:val="24"/>
        </w:rPr>
        <w:t>3.2.3该澄清或者修改的内容为招标文件的组成部分。一经在网站发布，视同已通知所有招标文件的收受人，不再采用其它方式传达相关信息, 若因未能及时了解到上述网站上发布的相关信息而导致的一切后果自行承担。</w:t>
      </w:r>
    </w:p>
    <w:p w14:paraId="47CF51DE">
      <w:pPr>
        <w:adjustRightInd/>
        <w:spacing w:line="460" w:lineRule="exact"/>
        <w:ind w:firstLine="420"/>
        <w:rPr>
          <w:rFonts w:ascii="宋体" w:hAnsi="宋体" w:cs="宋体"/>
          <w:sz w:val="24"/>
        </w:rPr>
      </w:pPr>
      <w:r>
        <w:rPr>
          <w:rFonts w:hint="eastAsia" w:ascii="宋体" w:hAnsi="宋体" w:cs="宋体"/>
          <w:sz w:val="24"/>
        </w:rPr>
        <w:t>3.2.4当采购文件与采购文件的答复、澄清、修改、补充通知就同一内容的表述不一致时，以最后发出的更正（澄清）公告为准。</w:t>
      </w:r>
    </w:p>
    <w:bookmarkEnd w:id="30"/>
    <w:bookmarkEnd w:id="31"/>
    <w:p w14:paraId="44ED552B">
      <w:pPr>
        <w:pStyle w:val="3"/>
        <w:tabs>
          <w:tab w:val="left" w:pos="358"/>
          <w:tab w:val="clear" w:pos="432"/>
        </w:tabs>
        <w:spacing w:line="460" w:lineRule="exact"/>
        <w:ind w:firstLine="420"/>
        <w:jc w:val="center"/>
        <w:rPr>
          <w:rFonts w:ascii="宋体" w:hAnsi="宋体" w:eastAsia="宋体" w:cs="宋体"/>
        </w:rPr>
      </w:pPr>
      <w:bookmarkStart w:id="32" w:name="_Toc54978892"/>
      <w:bookmarkStart w:id="33" w:name="_Toc450482498"/>
      <w:bookmarkStart w:id="34" w:name="_Toc35261573"/>
      <w:bookmarkStart w:id="35" w:name="_Toc82338242"/>
      <w:bookmarkStart w:id="36" w:name="_Toc82873325"/>
      <w:r>
        <w:rPr>
          <w:rFonts w:hint="eastAsia" w:ascii="宋体" w:hAnsi="宋体" w:eastAsia="宋体" w:cs="宋体"/>
        </w:rPr>
        <w:t>四、投标文件</w:t>
      </w:r>
      <w:bookmarkEnd w:id="32"/>
      <w:bookmarkEnd w:id="33"/>
      <w:bookmarkEnd w:id="34"/>
    </w:p>
    <w:p w14:paraId="6A5386F5">
      <w:pPr>
        <w:adjustRightInd/>
        <w:spacing w:line="460" w:lineRule="exact"/>
        <w:ind w:firstLine="420"/>
        <w:rPr>
          <w:rFonts w:ascii="宋体" w:hAnsi="宋体" w:cs="宋体"/>
          <w:sz w:val="24"/>
        </w:rPr>
      </w:pPr>
      <w:r>
        <w:rPr>
          <w:rFonts w:hint="eastAsia" w:ascii="宋体" w:hAnsi="宋体" w:cs="宋体"/>
          <w:sz w:val="24"/>
        </w:rPr>
        <w:t>4.1投标文件</w:t>
      </w:r>
    </w:p>
    <w:p w14:paraId="52EC8EB6">
      <w:pPr>
        <w:adjustRightInd/>
        <w:spacing w:line="460" w:lineRule="exact"/>
        <w:ind w:firstLine="420"/>
        <w:rPr>
          <w:rFonts w:ascii="宋体" w:hAnsi="宋体" w:cs="宋体"/>
          <w:sz w:val="24"/>
        </w:rPr>
      </w:pPr>
      <w:r>
        <w:rPr>
          <w:rFonts w:hint="eastAsia" w:ascii="宋体" w:hAnsi="宋体" w:cs="宋体"/>
          <w:sz w:val="24"/>
        </w:rPr>
        <w:t>4.1.1 投标人应仔细阅读采购文件规定的所有内容，以保证能全面准确理解采购文件，并按照采购文件要求，详细编制投标文件，投标文件内容必须针对本次招标响应。</w:t>
      </w:r>
    </w:p>
    <w:p w14:paraId="53F4799A">
      <w:pPr>
        <w:adjustRightInd/>
        <w:spacing w:line="460" w:lineRule="exact"/>
        <w:ind w:firstLine="420"/>
        <w:rPr>
          <w:rFonts w:ascii="宋体" w:hAnsi="宋体" w:cs="宋体"/>
          <w:bCs/>
          <w:sz w:val="24"/>
        </w:rPr>
      </w:pPr>
      <w:r>
        <w:rPr>
          <w:rFonts w:hint="eastAsia" w:ascii="宋体" w:hAnsi="宋体" w:cs="宋体"/>
          <w:sz w:val="24"/>
        </w:rPr>
        <w:t>4.1.2投标人必须按采购文件的要求提供相关资料，并对采购文件中提出的所有内容要求给予实质性响应，须保证投标文件的准确、真实、明确</w:t>
      </w:r>
      <w:r>
        <w:rPr>
          <w:rFonts w:hint="eastAsia" w:ascii="宋体" w:hAnsi="宋体" w:cs="宋体"/>
          <w:bCs/>
          <w:sz w:val="24"/>
        </w:rPr>
        <w:t>。投标文件响应内容对采购文件要求如有偏离均应填写偏离表，如不填写，采购人有权视作投标文件完全响应采购文件要求。</w:t>
      </w:r>
    </w:p>
    <w:p w14:paraId="04F7ED77">
      <w:pPr>
        <w:adjustRightInd/>
        <w:spacing w:line="460" w:lineRule="exact"/>
        <w:ind w:firstLine="420"/>
        <w:rPr>
          <w:rFonts w:ascii="宋体" w:hAnsi="宋体" w:cs="宋体"/>
          <w:sz w:val="24"/>
        </w:rPr>
      </w:pPr>
      <w:r>
        <w:rPr>
          <w:rFonts w:hint="eastAsia" w:ascii="宋体" w:hAnsi="宋体" w:cs="宋体"/>
          <w:sz w:val="24"/>
        </w:rPr>
        <w:t>4.2投标文件组成</w:t>
      </w:r>
    </w:p>
    <w:p w14:paraId="29DF36AB">
      <w:pPr>
        <w:adjustRightInd/>
        <w:spacing w:line="460" w:lineRule="exact"/>
        <w:ind w:firstLine="420"/>
        <w:rPr>
          <w:rFonts w:ascii="宋体" w:hAnsi="宋体" w:cs="宋体"/>
          <w:b/>
          <w:bCs/>
          <w:sz w:val="24"/>
        </w:rPr>
      </w:pPr>
      <w:r>
        <w:rPr>
          <w:rFonts w:hint="eastAsia" w:ascii="宋体" w:hAnsi="宋体" w:cs="宋体"/>
          <w:b/>
          <w:bCs/>
          <w:sz w:val="24"/>
        </w:rPr>
        <w:t>4.2.1资格证明文件</w:t>
      </w:r>
    </w:p>
    <w:p w14:paraId="3F7FA7B3">
      <w:pPr>
        <w:widowControl/>
        <w:adjustRightInd/>
        <w:spacing w:line="460" w:lineRule="exact"/>
        <w:ind w:firstLine="420"/>
        <w:rPr>
          <w:rFonts w:ascii="宋体" w:hAnsi="宋体" w:cs="宋体"/>
          <w:sz w:val="24"/>
        </w:rPr>
      </w:pPr>
      <w:r>
        <w:rPr>
          <w:rFonts w:hint="eastAsia" w:ascii="宋体" w:hAnsi="宋体" w:cs="宋体"/>
          <w:sz w:val="24"/>
        </w:rPr>
        <w:t>1）</w:t>
      </w:r>
      <w:r>
        <w:rPr>
          <w:rFonts w:hint="eastAsia" w:ascii="宋体" w:hAnsi="宋体" w:cs="宋体"/>
          <w:sz w:val="24"/>
          <w:lang w:val="zh-CN"/>
        </w:rPr>
        <w:t>提供</w:t>
      </w:r>
      <w:r>
        <w:rPr>
          <w:rFonts w:hint="eastAsia" w:ascii="宋体" w:hAnsi="宋体" w:cs="宋体"/>
          <w:sz w:val="24"/>
        </w:rPr>
        <w:t>投标人</w:t>
      </w:r>
      <w:r>
        <w:rPr>
          <w:rFonts w:hint="eastAsia" w:ascii="宋体" w:hAnsi="宋体" w:cs="宋体"/>
          <w:sz w:val="24"/>
          <w:lang w:val="zh-CN"/>
        </w:rPr>
        <w:t>营业执照</w:t>
      </w:r>
      <w:r>
        <w:rPr>
          <w:rFonts w:hint="eastAsia" w:ascii="宋体" w:hAnsi="宋体" w:cs="宋体"/>
          <w:sz w:val="24"/>
        </w:rPr>
        <w:t>扫描</w:t>
      </w:r>
      <w:r>
        <w:rPr>
          <w:rFonts w:hint="eastAsia" w:ascii="宋体" w:hAnsi="宋体" w:cs="宋体"/>
          <w:sz w:val="24"/>
          <w:lang w:val="zh-CN"/>
        </w:rPr>
        <w:t>件；</w:t>
      </w:r>
    </w:p>
    <w:p w14:paraId="4BA01FB2">
      <w:pPr>
        <w:adjustRightInd/>
        <w:spacing w:line="460" w:lineRule="exact"/>
        <w:ind w:firstLine="420"/>
        <w:rPr>
          <w:rFonts w:ascii="宋体" w:hAnsi="宋体" w:cs="宋体"/>
          <w:spacing w:val="6"/>
          <w:sz w:val="24"/>
        </w:rPr>
      </w:pPr>
      <w:r>
        <w:rPr>
          <w:rFonts w:hint="eastAsia" w:ascii="宋体" w:hAnsi="宋体" w:cs="宋体"/>
          <w:sz w:val="24"/>
        </w:rPr>
        <w:t>2</w:t>
      </w:r>
      <w:r>
        <w:rPr>
          <w:rFonts w:hint="eastAsia" w:ascii="宋体" w:hAnsi="宋体" w:cs="宋体"/>
          <w:sz w:val="24"/>
          <w:lang w:val="zh-CN"/>
        </w:rPr>
        <w:t>）符合参加采购活动应当具备的一般条件的承诺函；</w:t>
      </w:r>
    </w:p>
    <w:p w14:paraId="3561FD11">
      <w:pPr>
        <w:adjustRightInd/>
        <w:spacing w:line="460" w:lineRule="exact"/>
        <w:ind w:firstLine="420"/>
        <w:rPr>
          <w:rFonts w:ascii="宋体" w:hAnsi="宋体" w:eastAsia="新宋体" w:cs="宋体"/>
          <w:bCs/>
          <w:sz w:val="24"/>
        </w:rPr>
      </w:pPr>
      <w:r>
        <w:rPr>
          <w:rFonts w:hint="eastAsia" w:ascii="宋体" w:hAnsi="宋体" w:cs="宋体"/>
          <w:bCs/>
          <w:sz w:val="24"/>
        </w:rPr>
        <w:t>3）</w:t>
      </w:r>
      <w:r>
        <w:rPr>
          <w:rFonts w:hint="eastAsia" w:ascii="新宋体" w:hAnsi="新宋体" w:eastAsia="新宋体" w:cs="新宋体"/>
          <w:sz w:val="24"/>
        </w:rPr>
        <w:t>具有履行合同所必需的设备和专业技术能力的承诺函</w:t>
      </w:r>
      <w:r>
        <w:rPr>
          <w:rFonts w:hint="eastAsia" w:ascii="宋体" w:hAnsi="宋体" w:cs="宋体"/>
          <w:bCs/>
          <w:sz w:val="24"/>
        </w:rPr>
        <w:t>；</w:t>
      </w:r>
    </w:p>
    <w:p w14:paraId="27C60017">
      <w:pPr>
        <w:adjustRightInd/>
        <w:spacing w:line="460" w:lineRule="exact"/>
        <w:ind w:firstLine="420"/>
        <w:rPr>
          <w:rFonts w:ascii="宋体" w:hAnsi="宋体" w:cs="宋体"/>
          <w:bCs/>
          <w:sz w:val="24"/>
        </w:rPr>
      </w:pPr>
      <w:r>
        <w:rPr>
          <w:rFonts w:hint="eastAsia" w:ascii="宋体" w:hAnsi="宋体" w:cs="宋体"/>
          <w:bCs/>
          <w:sz w:val="24"/>
        </w:rPr>
        <w:t>4）开标时提供《采购活动现场确认声明书》，发送至邮箱1793526080@qq.com。</w:t>
      </w:r>
    </w:p>
    <w:p w14:paraId="0942B4A8">
      <w:pPr>
        <w:adjustRightInd/>
        <w:spacing w:line="460" w:lineRule="exact"/>
        <w:ind w:firstLine="420"/>
        <w:rPr>
          <w:rFonts w:ascii="宋体" w:hAnsi="宋体" w:cs="宋体"/>
          <w:bCs/>
          <w:sz w:val="24"/>
        </w:rPr>
      </w:pPr>
      <w:r>
        <w:rPr>
          <w:rFonts w:hint="eastAsia" w:ascii="宋体" w:hAnsi="宋体" w:cs="宋体"/>
          <w:b/>
          <w:sz w:val="24"/>
        </w:rPr>
        <w:t>4.2.2商务技术文件</w:t>
      </w:r>
    </w:p>
    <w:p w14:paraId="2F403921">
      <w:pPr>
        <w:adjustRightInd/>
        <w:spacing w:line="460" w:lineRule="exact"/>
        <w:ind w:firstLine="420"/>
        <w:rPr>
          <w:rFonts w:ascii="宋体" w:hAnsi="宋体" w:cs="宋体"/>
          <w:sz w:val="24"/>
          <w:lang w:val="zh-CN"/>
        </w:rPr>
      </w:pPr>
      <w:r>
        <w:rPr>
          <w:rFonts w:hint="eastAsia" w:ascii="宋体" w:hAnsi="宋体" w:cs="宋体"/>
          <w:sz w:val="24"/>
          <w:lang w:val="zh-CN"/>
        </w:rPr>
        <w:t>1）评分索引表；</w:t>
      </w:r>
    </w:p>
    <w:p w14:paraId="4330B2AA">
      <w:pPr>
        <w:adjustRightInd/>
        <w:spacing w:line="460" w:lineRule="exact"/>
        <w:ind w:firstLine="420"/>
        <w:rPr>
          <w:rFonts w:ascii="宋体" w:hAnsi="宋体" w:cs="宋体"/>
          <w:sz w:val="24"/>
          <w:lang w:val="zh-CN"/>
        </w:rPr>
      </w:pPr>
      <w:r>
        <w:rPr>
          <w:rFonts w:hint="eastAsia" w:ascii="宋体" w:hAnsi="宋体" w:cs="宋体"/>
          <w:sz w:val="24"/>
          <w:lang w:val="zh-CN"/>
        </w:rPr>
        <w:t>2）投标函；</w:t>
      </w:r>
    </w:p>
    <w:p w14:paraId="1146E2D8">
      <w:pPr>
        <w:adjustRightInd/>
        <w:spacing w:line="460" w:lineRule="exact"/>
        <w:ind w:firstLine="420"/>
        <w:rPr>
          <w:rFonts w:ascii="宋体" w:hAnsi="宋体" w:cs="宋体"/>
          <w:sz w:val="24"/>
          <w:lang w:val="zh-CN"/>
        </w:rPr>
      </w:pPr>
      <w:r>
        <w:rPr>
          <w:rFonts w:hint="eastAsia" w:ascii="宋体" w:hAnsi="宋体" w:cs="宋体"/>
          <w:sz w:val="24"/>
          <w:lang w:val="zh-CN"/>
        </w:rPr>
        <w:t>3）营业执照扫描件及投标人基本情况表；</w:t>
      </w:r>
    </w:p>
    <w:p w14:paraId="736DF5BF">
      <w:pPr>
        <w:adjustRightInd/>
        <w:spacing w:line="460" w:lineRule="exact"/>
        <w:ind w:firstLine="420"/>
        <w:rPr>
          <w:rFonts w:ascii="宋体" w:hAnsi="宋体" w:cs="宋体"/>
          <w:sz w:val="24"/>
          <w:lang w:val="zh-CN"/>
        </w:rPr>
      </w:pPr>
      <w:r>
        <w:rPr>
          <w:rFonts w:hint="eastAsia" w:ascii="宋体" w:hAnsi="宋体" w:cs="宋体"/>
          <w:sz w:val="24"/>
          <w:lang w:val="zh-CN"/>
        </w:rPr>
        <w:t>4）</w:t>
      </w:r>
      <w:r>
        <w:rPr>
          <w:rFonts w:hint="eastAsia" w:ascii="宋体" w:hAnsi="宋体" w:cs="宋体"/>
          <w:sz w:val="24"/>
        </w:rPr>
        <w:t>法定代表人授权委托书或法定代表人身份证明</w:t>
      </w:r>
      <w:r>
        <w:rPr>
          <w:rFonts w:hint="eastAsia" w:ascii="宋体" w:hAnsi="宋体" w:cs="宋体"/>
          <w:sz w:val="24"/>
          <w:lang w:val="zh-CN"/>
        </w:rPr>
        <w:t>；</w:t>
      </w:r>
    </w:p>
    <w:p w14:paraId="48080ACA">
      <w:pPr>
        <w:adjustRightInd/>
        <w:spacing w:line="460" w:lineRule="exact"/>
        <w:ind w:firstLine="420"/>
        <w:rPr>
          <w:rFonts w:ascii="宋体" w:hAnsi="宋体" w:cs="宋体"/>
          <w:sz w:val="24"/>
        </w:rPr>
      </w:pPr>
      <w:r>
        <w:rPr>
          <w:rFonts w:hint="eastAsia" w:ascii="宋体" w:hAnsi="宋体" w:cs="宋体"/>
          <w:sz w:val="24"/>
        </w:rPr>
        <w:t>5</w:t>
      </w:r>
      <w:r>
        <w:rPr>
          <w:rFonts w:hint="eastAsia" w:ascii="宋体" w:hAnsi="宋体" w:cs="宋体"/>
          <w:sz w:val="24"/>
          <w:lang w:val="zh-CN"/>
        </w:rPr>
        <w:t>）</w:t>
      </w:r>
      <w:r>
        <w:rPr>
          <w:rFonts w:hint="eastAsia" w:ascii="宋体" w:hAnsi="宋体" w:cs="宋体"/>
          <w:sz w:val="24"/>
        </w:rPr>
        <w:t>评标标准相应的商务技术</w:t>
      </w:r>
      <w:r>
        <w:rPr>
          <w:rFonts w:hint="eastAsia" w:ascii="宋体" w:hAnsi="宋体" w:cs="宋体"/>
          <w:sz w:val="24"/>
          <w:lang w:val="zh-CN"/>
        </w:rPr>
        <w:t>资料</w:t>
      </w:r>
      <w:r>
        <w:rPr>
          <w:rFonts w:hint="eastAsia" w:ascii="宋体" w:hAnsi="宋体" w:cs="宋体"/>
          <w:sz w:val="24"/>
        </w:rPr>
        <w:t>（格式自拟）</w:t>
      </w:r>
      <w:r>
        <w:rPr>
          <w:rFonts w:hint="eastAsia" w:ascii="宋体" w:hAnsi="宋体" w:cs="宋体"/>
          <w:sz w:val="24"/>
          <w:lang w:val="zh-CN"/>
        </w:rPr>
        <w:t>；</w:t>
      </w:r>
    </w:p>
    <w:p w14:paraId="3D30451A">
      <w:pPr>
        <w:adjustRightInd/>
        <w:spacing w:line="460" w:lineRule="exact"/>
        <w:ind w:firstLine="420"/>
        <w:rPr>
          <w:rFonts w:ascii="宋体" w:hAnsi="宋体" w:cs="宋体"/>
          <w:sz w:val="24"/>
        </w:rPr>
      </w:pPr>
      <w:r>
        <w:rPr>
          <w:rFonts w:hint="eastAsia" w:ascii="宋体" w:hAnsi="宋体" w:cs="宋体"/>
          <w:sz w:val="24"/>
        </w:rPr>
        <w:t>6）投标标的清单；</w:t>
      </w:r>
    </w:p>
    <w:p w14:paraId="13566E7E">
      <w:pPr>
        <w:adjustRightInd/>
        <w:spacing w:line="460" w:lineRule="exact"/>
        <w:ind w:firstLine="420"/>
        <w:rPr>
          <w:rFonts w:ascii="宋体" w:hAnsi="宋体" w:cs="宋体"/>
          <w:sz w:val="24"/>
          <w:lang w:val="zh-CN"/>
        </w:rPr>
      </w:pPr>
      <w:r>
        <w:rPr>
          <w:rFonts w:hint="eastAsia" w:ascii="宋体" w:hAnsi="宋体" w:cs="宋体"/>
          <w:sz w:val="24"/>
          <w:lang w:val="zh-CN"/>
        </w:rPr>
        <w:t>7）商务</w:t>
      </w:r>
      <w:r>
        <w:rPr>
          <w:rFonts w:hint="eastAsia" w:ascii="宋体" w:hAnsi="宋体" w:cs="宋体"/>
          <w:sz w:val="24"/>
        </w:rPr>
        <w:t>技术</w:t>
      </w:r>
      <w:r>
        <w:rPr>
          <w:rFonts w:hint="eastAsia" w:ascii="宋体" w:hAnsi="宋体" w:cs="宋体"/>
          <w:sz w:val="24"/>
          <w:lang w:val="zh-CN"/>
        </w:rPr>
        <w:t>偏离表；</w:t>
      </w:r>
    </w:p>
    <w:p w14:paraId="24AA974B">
      <w:pPr>
        <w:adjustRightInd/>
        <w:spacing w:line="460" w:lineRule="exact"/>
        <w:ind w:firstLine="420"/>
        <w:rPr>
          <w:rFonts w:ascii="宋体" w:hAnsi="宋体" w:cs="宋体"/>
          <w:sz w:val="24"/>
          <w:lang w:val="zh-CN"/>
        </w:rPr>
      </w:pPr>
      <w:r>
        <w:rPr>
          <w:rFonts w:hint="eastAsia" w:ascii="宋体" w:hAnsi="宋体" w:cs="宋体"/>
          <w:sz w:val="24"/>
        </w:rPr>
        <w:t>8</w:t>
      </w:r>
      <w:r>
        <w:rPr>
          <w:rFonts w:hint="eastAsia" w:ascii="宋体" w:hAnsi="宋体" w:cs="宋体"/>
          <w:sz w:val="24"/>
          <w:lang w:val="zh-CN"/>
        </w:rPr>
        <w:t>）廉政承诺书；</w:t>
      </w:r>
    </w:p>
    <w:p w14:paraId="236EE931">
      <w:pPr>
        <w:adjustRightInd/>
        <w:spacing w:line="460" w:lineRule="exact"/>
        <w:ind w:firstLine="420"/>
        <w:rPr>
          <w:rFonts w:ascii="宋体" w:hAnsi="宋体" w:cs="宋体"/>
          <w:sz w:val="24"/>
          <w:lang w:val="zh-CN"/>
        </w:rPr>
      </w:pPr>
      <w:r>
        <w:rPr>
          <w:rFonts w:hint="eastAsia" w:ascii="宋体" w:hAnsi="宋体" w:cs="宋体"/>
          <w:sz w:val="24"/>
        </w:rPr>
        <w:t>9</w:t>
      </w:r>
      <w:r>
        <w:rPr>
          <w:rFonts w:hint="eastAsia" w:ascii="宋体" w:hAnsi="宋体" w:cs="宋体"/>
          <w:sz w:val="24"/>
          <w:lang w:val="zh-CN"/>
        </w:rPr>
        <w:t>）投标人认为需要提供的与投标评标有关的其他资料。</w:t>
      </w:r>
    </w:p>
    <w:p w14:paraId="578C439C">
      <w:pPr>
        <w:adjustRightInd/>
        <w:spacing w:line="460" w:lineRule="exact"/>
        <w:ind w:firstLine="420"/>
        <w:rPr>
          <w:rFonts w:ascii="宋体" w:hAnsi="宋体" w:cs="宋体"/>
          <w:b/>
          <w:bCs/>
          <w:sz w:val="24"/>
        </w:rPr>
      </w:pPr>
      <w:r>
        <w:rPr>
          <w:rFonts w:hint="eastAsia" w:ascii="宋体" w:hAnsi="宋体" w:cs="宋体"/>
          <w:b/>
          <w:bCs/>
          <w:sz w:val="24"/>
        </w:rPr>
        <w:t>4.2.3报价文件</w:t>
      </w:r>
    </w:p>
    <w:p w14:paraId="0F4E6B13">
      <w:pPr>
        <w:tabs>
          <w:tab w:val="left" w:pos="399"/>
        </w:tabs>
        <w:adjustRightInd/>
        <w:spacing w:line="460" w:lineRule="exact"/>
        <w:ind w:firstLine="420"/>
        <w:rPr>
          <w:rFonts w:ascii="宋体" w:hAnsi="宋体" w:cs="宋体"/>
          <w:sz w:val="24"/>
          <w:lang w:val="zh-CN"/>
        </w:rPr>
      </w:pPr>
      <w:r>
        <w:rPr>
          <w:rFonts w:hint="eastAsia" w:ascii="宋体" w:hAnsi="宋体" w:cs="宋体"/>
          <w:sz w:val="24"/>
        </w:rPr>
        <w:t>1）</w:t>
      </w:r>
      <w:r>
        <w:rPr>
          <w:rFonts w:hint="eastAsia" w:ascii="宋体" w:hAnsi="宋体" w:cs="宋体"/>
          <w:sz w:val="24"/>
          <w:lang w:val="zh-CN"/>
        </w:rPr>
        <w:t>开标一览表；</w:t>
      </w:r>
    </w:p>
    <w:p w14:paraId="1B567E22">
      <w:pPr>
        <w:tabs>
          <w:tab w:val="left" w:pos="399"/>
        </w:tabs>
        <w:adjustRightInd/>
        <w:spacing w:line="460" w:lineRule="exact"/>
        <w:ind w:firstLine="420"/>
        <w:rPr>
          <w:rFonts w:ascii="宋体" w:hAnsi="宋体" w:cs="宋体"/>
          <w:sz w:val="24"/>
        </w:rPr>
      </w:pPr>
      <w:r>
        <w:rPr>
          <w:rFonts w:hint="eastAsia" w:ascii="宋体" w:hAnsi="宋体" w:cs="宋体"/>
          <w:sz w:val="24"/>
        </w:rPr>
        <w:t>2）投标报价明细表</w:t>
      </w:r>
      <w:r>
        <w:rPr>
          <w:rFonts w:hint="eastAsia" w:ascii="宋体" w:hAnsi="宋体" w:cs="宋体"/>
          <w:sz w:val="24"/>
          <w:lang w:val="zh-CN"/>
        </w:rPr>
        <w:t>；</w:t>
      </w:r>
    </w:p>
    <w:p w14:paraId="32B2CDD3">
      <w:pPr>
        <w:tabs>
          <w:tab w:val="left" w:pos="399"/>
        </w:tabs>
        <w:adjustRightInd/>
        <w:spacing w:line="460" w:lineRule="exact"/>
        <w:ind w:firstLine="420"/>
        <w:rPr>
          <w:rFonts w:ascii="宋体" w:hAnsi="宋体" w:cs="宋体"/>
          <w:b/>
          <w:bCs/>
          <w:sz w:val="24"/>
        </w:rPr>
      </w:pPr>
      <w:r>
        <w:rPr>
          <w:rFonts w:hint="eastAsia" w:ascii="宋体" w:hAnsi="宋体" w:cs="宋体"/>
          <w:sz w:val="24"/>
        </w:rPr>
        <w:t>3）投标人针对报价需要说明的其他文件和说明（格式自拟）。</w:t>
      </w:r>
    </w:p>
    <w:p w14:paraId="25A41AF9">
      <w:pPr>
        <w:tabs>
          <w:tab w:val="left" w:pos="399"/>
        </w:tabs>
        <w:adjustRightInd/>
        <w:spacing w:line="460" w:lineRule="exact"/>
        <w:ind w:firstLine="420"/>
        <w:rPr>
          <w:rFonts w:ascii="宋体" w:hAnsi="宋体" w:cs="宋体"/>
          <w:sz w:val="24"/>
        </w:rPr>
      </w:pPr>
      <w:r>
        <w:rPr>
          <w:rFonts w:hint="eastAsia" w:ascii="宋体" w:hAnsi="宋体" w:cs="宋体"/>
          <w:b/>
          <w:bCs/>
          <w:sz w:val="24"/>
        </w:rPr>
        <w:t>4.2.4投标时提供的人员、业绩、荣誉、资质、项目案例等，必须为投标人本身所具有。</w:t>
      </w:r>
    </w:p>
    <w:p w14:paraId="7E394C1A">
      <w:pPr>
        <w:adjustRightInd/>
        <w:spacing w:line="460" w:lineRule="exact"/>
        <w:ind w:firstLine="482" w:firstLineChars="200"/>
        <w:rPr>
          <w:rFonts w:ascii="宋体" w:hAnsi="宋体" w:cs="宋体"/>
          <w:b/>
          <w:sz w:val="24"/>
        </w:rPr>
      </w:pPr>
      <w:r>
        <w:rPr>
          <w:rFonts w:hint="eastAsia" w:ascii="宋体" w:hAnsi="宋体" w:cs="宋体"/>
          <w:b/>
          <w:bCs/>
          <w:sz w:val="24"/>
        </w:rPr>
        <w:t>4.2.5注意事项：</w:t>
      </w:r>
      <w:r>
        <w:rPr>
          <w:rFonts w:hint="eastAsia" w:ascii="宋体" w:hAnsi="宋体" w:cs="宋体"/>
          <w:b/>
          <w:sz w:val="24"/>
        </w:rPr>
        <w:t>投标文件含有采购人不能接受的附加条件的，投标无效。</w:t>
      </w:r>
    </w:p>
    <w:p w14:paraId="55D470E3">
      <w:pPr>
        <w:adjustRightInd/>
        <w:spacing w:line="460" w:lineRule="exact"/>
        <w:ind w:firstLine="482" w:firstLineChars="200"/>
        <w:rPr>
          <w:rFonts w:ascii="宋体" w:hAnsi="宋体" w:cs="宋体"/>
          <w:b/>
          <w:bCs/>
          <w:sz w:val="24"/>
        </w:rPr>
      </w:pPr>
      <w:r>
        <w:rPr>
          <w:rFonts w:hint="eastAsia" w:ascii="宋体" w:hAnsi="宋体" w:cs="宋体"/>
          <w:b/>
          <w:sz w:val="24"/>
        </w:rPr>
        <w:t>4.2.6投标人提供虚假材料投标的，投标无效。</w:t>
      </w:r>
    </w:p>
    <w:p w14:paraId="27F7E2D7">
      <w:pPr>
        <w:adjustRightInd/>
        <w:spacing w:line="460" w:lineRule="exact"/>
        <w:ind w:firstLine="482" w:firstLineChars="200"/>
        <w:rPr>
          <w:rFonts w:ascii="宋体" w:hAnsi="宋体" w:cs="宋体"/>
          <w:b/>
          <w:bCs/>
          <w:sz w:val="24"/>
        </w:rPr>
      </w:pPr>
      <w:r>
        <w:rPr>
          <w:rFonts w:hint="eastAsia" w:ascii="宋体" w:hAnsi="宋体" w:cs="宋体"/>
          <w:b/>
          <w:bCs/>
          <w:sz w:val="24"/>
        </w:rPr>
        <w:t>4.3、投标文件的编制</w:t>
      </w:r>
    </w:p>
    <w:p w14:paraId="221FD799">
      <w:pPr>
        <w:adjustRightInd/>
        <w:spacing w:line="460" w:lineRule="exact"/>
        <w:ind w:firstLine="482" w:firstLineChars="200"/>
        <w:rPr>
          <w:rFonts w:ascii="宋体" w:hAnsi="宋体" w:cs="宋体"/>
          <w:sz w:val="24"/>
        </w:rPr>
      </w:pPr>
      <w:r>
        <w:rPr>
          <w:rFonts w:hint="eastAsia" w:ascii="宋体" w:hAnsi="宋体" w:cs="宋体"/>
          <w:b/>
          <w:bCs/>
          <w:kern w:val="0"/>
          <w:sz w:val="24"/>
        </w:rPr>
        <w:t>4.3.1</w:t>
      </w:r>
      <w:r>
        <w:rPr>
          <w:rFonts w:hint="eastAsia" w:ascii="宋体" w:hAnsi="宋体" w:cs="宋体"/>
          <w:b/>
          <w:bCs/>
          <w:kern w:val="0"/>
          <w:sz w:val="24"/>
          <w:lang w:val="zh-CN"/>
        </w:rPr>
        <w:t>投标文件分为资格</w:t>
      </w:r>
      <w:r>
        <w:rPr>
          <w:rFonts w:hint="eastAsia" w:ascii="宋体" w:hAnsi="宋体" w:cs="宋体"/>
          <w:b/>
          <w:bCs/>
          <w:kern w:val="0"/>
          <w:sz w:val="24"/>
        </w:rPr>
        <w:t>证明</w:t>
      </w:r>
      <w:r>
        <w:rPr>
          <w:rFonts w:hint="eastAsia" w:ascii="宋体" w:hAnsi="宋体" w:cs="宋体"/>
          <w:b/>
          <w:bCs/>
          <w:kern w:val="0"/>
          <w:sz w:val="24"/>
          <w:lang w:val="zh-CN"/>
        </w:rPr>
        <w:t>文件、商务技术文件、报价文件三部分。各投标人在编制投标文件时请按照采购文件第六部分规定的格式进行，混乱的编排导致投标文件被误读或评标委员会查找不到有效文件是投标人的风险。</w:t>
      </w:r>
    </w:p>
    <w:p w14:paraId="3087D8B3">
      <w:pPr>
        <w:adjustRightInd/>
        <w:spacing w:line="460" w:lineRule="exact"/>
        <w:ind w:firstLine="420"/>
        <w:rPr>
          <w:rFonts w:ascii="宋体" w:hAnsi="宋体" w:cs="宋体"/>
          <w:sz w:val="24"/>
        </w:rPr>
      </w:pPr>
      <w:r>
        <w:rPr>
          <w:rFonts w:hint="eastAsia" w:ascii="宋体" w:hAnsi="宋体" w:cs="宋体"/>
          <w:sz w:val="24"/>
        </w:rPr>
        <w:t>4.3.2本项目通过“采购云平台（www.lecaiyun.com）”实行在线投标响应（电子投标）。供应商应通过“乐采云电子交易客户端”，并按照本采购文件和“采购云平台”的要求编制并加密投标文件。</w:t>
      </w:r>
    </w:p>
    <w:p w14:paraId="77B096A4">
      <w:pPr>
        <w:adjustRightInd/>
        <w:spacing w:line="460" w:lineRule="exact"/>
        <w:ind w:firstLine="420"/>
        <w:rPr>
          <w:rFonts w:ascii="宋体" w:hAnsi="宋体" w:cs="宋体"/>
          <w:sz w:val="24"/>
        </w:rPr>
      </w:pPr>
      <w:r>
        <w:rPr>
          <w:rFonts w:hint="eastAsia" w:ascii="宋体" w:hAnsi="宋体" w:cs="宋体"/>
          <w:sz w:val="24"/>
        </w:rPr>
        <w:t>4.3.3投标供应商应当按照本章4.2款中规定的内容及顺序在“乐采云电子交易客户端”编制投标文件。其中《资格证明文件》和《商务技术文件》中不得出现本项目投标报价，否则作无效投标。</w:t>
      </w:r>
    </w:p>
    <w:p w14:paraId="7B0891B8">
      <w:pPr>
        <w:adjustRightInd/>
        <w:spacing w:line="460" w:lineRule="exact"/>
        <w:ind w:firstLine="420"/>
        <w:rPr>
          <w:rFonts w:ascii="宋体" w:hAnsi="宋体" w:cs="宋体"/>
          <w:sz w:val="24"/>
        </w:rPr>
      </w:pPr>
      <w:r>
        <w:rPr>
          <w:rFonts w:hint="eastAsia" w:ascii="宋体" w:hAnsi="宋体" w:cs="宋体"/>
          <w:sz w:val="24"/>
        </w:rPr>
        <w:t>4.3.4本文件《第六章  投标文件格式》中有提供格式的，投标供应商须参照格式进行编制（格式中要求提供相关证明材料的还需后附相关证明材料），并按格式要求在指定位置根据要求进行签章，否则视为未提供；本文件《第六章  投标文件格式》未提供格式的，请各投标供应商自行拟定格式，并加盖单位公章并由法定代表人或其授权代表签署（签字或盖章），否则视为未提供。</w:t>
      </w:r>
    </w:p>
    <w:p w14:paraId="7E199028">
      <w:pPr>
        <w:adjustRightInd/>
        <w:spacing w:line="460" w:lineRule="exact"/>
        <w:ind w:firstLine="480" w:firstLineChars="200"/>
        <w:rPr>
          <w:rFonts w:ascii="宋体" w:hAnsi="宋体" w:cs="宋体"/>
          <w:sz w:val="24"/>
        </w:rPr>
      </w:pPr>
      <w:r>
        <w:rPr>
          <w:rFonts w:hint="eastAsia" w:ascii="宋体" w:hAnsi="宋体" w:cs="宋体"/>
          <w:sz w:val="24"/>
        </w:rPr>
        <w:t>4.3.5 投标文件由于字迹模糊或表达不清引起的后果由投标人负责。</w:t>
      </w:r>
    </w:p>
    <w:p w14:paraId="0373CEAC">
      <w:pPr>
        <w:adjustRightInd/>
        <w:snapToGrid w:val="0"/>
        <w:spacing w:line="460" w:lineRule="exact"/>
        <w:ind w:firstLine="480" w:firstLineChars="200"/>
        <w:jc w:val="left"/>
        <w:outlineLvl w:val="2"/>
        <w:rPr>
          <w:rFonts w:ascii="宋体" w:hAnsi="宋体" w:cs="宋体"/>
          <w:sz w:val="24"/>
        </w:rPr>
      </w:pPr>
      <w:r>
        <w:rPr>
          <w:rFonts w:hint="eastAsia" w:ascii="宋体" w:hAnsi="宋体" w:cs="宋体"/>
          <w:sz w:val="24"/>
        </w:rPr>
        <w:t>4.3.6投标供应商没有按照本章节 “4.2投标文件组成”要求提供全部资料，或者没有仔细阅读采购文件，或者没有对采购文件在各方面的要求作出实质性响应是投标供应商的风险，由此造成的一切后果由投标供应商自行承担。</w:t>
      </w:r>
    </w:p>
    <w:p w14:paraId="7B5DECB4">
      <w:pPr>
        <w:adjustRightInd/>
        <w:snapToGrid w:val="0"/>
        <w:spacing w:line="460" w:lineRule="exact"/>
        <w:ind w:firstLine="482" w:firstLineChars="200"/>
        <w:jc w:val="left"/>
        <w:outlineLvl w:val="2"/>
        <w:rPr>
          <w:rFonts w:ascii="宋体" w:hAnsi="宋体" w:cs="宋体"/>
          <w:b/>
          <w:sz w:val="24"/>
        </w:rPr>
      </w:pPr>
      <w:r>
        <w:rPr>
          <w:rFonts w:hint="eastAsia" w:ascii="宋体" w:hAnsi="宋体" w:cs="宋体"/>
          <w:b/>
          <w:bCs/>
          <w:sz w:val="24"/>
        </w:rPr>
        <w:t>4.4</w:t>
      </w:r>
      <w:r>
        <w:rPr>
          <w:rFonts w:hint="eastAsia" w:ascii="宋体" w:hAnsi="宋体" w:cs="宋体"/>
          <w:b/>
          <w:sz w:val="24"/>
        </w:rPr>
        <w:t>投标文件的签署、盖章</w:t>
      </w:r>
    </w:p>
    <w:p w14:paraId="57620DE6">
      <w:pPr>
        <w:adjustRightInd/>
        <w:snapToGrid w:val="0"/>
        <w:spacing w:line="460" w:lineRule="exact"/>
        <w:ind w:firstLine="482" w:firstLineChars="200"/>
        <w:rPr>
          <w:rFonts w:ascii="宋体" w:hAnsi="宋体" w:cs="宋体"/>
          <w:b/>
          <w:bCs/>
          <w:sz w:val="24"/>
        </w:rPr>
      </w:pPr>
      <w:r>
        <w:rPr>
          <w:rFonts w:hint="eastAsia" w:ascii="宋体" w:hAnsi="宋体" w:cs="宋体"/>
          <w:b/>
          <w:bCs/>
          <w:sz w:val="24"/>
        </w:rPr>
        <w:t>4.4.1投标文件按照采购文件第六部分格式要求进行签署、盖章。投标人的投标文件未按照采购文件要求签署、盖章的，其投标无效。</w:t>
      </w:r>
    </w:p>
    <w:p w14:paraId="6EDFCB15">
      <w:pPr>
        <w:adjustRightInd/>
        <w:snapToGrid w:val="0"/>
        <w:spacing w:line="460" w:lineRule="exact"/>
        <w:ind w:firstLine="480" w:firstLineChars="200"/>
        <w:rPr>
          <w:rFonts w:ascii="宋体" w:hAnsi="宋体" w:cs="宋体"/>
          <w:sz w:val="24"/>
        </w:rPr>
      </w:pPr>
      <w:r>
        <w:rPr>
          <w:rFonts w:hint="eastAsia" w:ascii="宋体" w:hAnsi="宋体" w:cs="宋体"/>
          <w:sz w:val="24"/>
        </w:rPr>
        <w:t>4.4.2为确保网上操作合法、有效和安全，投标人应当在投标截止时间前完成在“采购云平台”的身份认证，确保在电子投标过程中能够对相关数据电文进行加密和使用电子签名。</w:t>
      </w:r>
    </w:p>
    <w:p w14:paraId="7F8EA2E1">
      <w:pPr>
        <w:adjustRightInd/>
        <w:snapToGrid w:val="0"/>
        <w:spacing w:line="460" w:lineRule="exact"/>
        <w:ind w:firstLine="480" w:firstLineChars="200"/>
        <w:jc w:val="left"/>
        <w:outlineLvl w:val="2"/>
        <w:rPr>
          <w:rFonts w:ascii="宋体" w:hAnsi="宋体" w:cs="宋体"/>
          <w:sz w:val="24"/>
        </w:rPr>
      </w:pPr>
      <w:r>
        <w:rPr>
          <w:rFonts w:hint="eastAsia" w:ascii="宋体" w:hAnsi="宋体" w:cs="宋体"/>
          <w:sz w:val="24"/>
        </w:rPr>
        <w:t>4.4.3采购文件对投标文件签署、盖章的要求适用于电子签名。</w:t>
      </w:r>
    </w:p>
    <w:p w14:paraId="09C14552">
      <w:pPr>
        <w:adjustRightInd/>
        <w:snapToGrid w:val="0"/>
        <w:spacing w:line="460" w:lineRule="exact"/>
        <w:ind w:firstLine="482" w:firstLineChars="200"/>
        <w:jc w:val="left"/>
        <w:outlineLvl w:val="2"/>
        <w:rPr>
          <w:rFonts w:ascii="宋体" w:hAnsi="宋体" w:cs="宋体"/>
          <w:b/>
          <w:sz w:val="24"/>
        </w:rPr>
      </w:pPr>
      <w:r>
        <w:rPr>
          <w:rFonts w:hint="eastAsia" w:ascii="宋体" w:hAnsi="宋体" w:cs="宋体"/>
          <w:b/>
          <w:bCs/>
          <w:sz w:val="24"/>
        </w:rPr>
        <w:t>4.5投</w:t>
      </w:r>
      <w:r>
        <w:rPr>
          <w:rFonts w:hint="eastAsia" w:ascii="宋体" w:hAnsi="宋体" w:cs="宋体"/>
          <w:b/>
          <w:sz w:val="24"/>
        </w:rPr>
        <w:t>标文件的提交、补充、修改、撤回</w:t>
      </w:r>
    </w:p>
    <w:p w14:paraId="1CC6A9B9">
      <w:pPr>
        <w:adjustRightInd/>
        <w:spacing w:line="460" w:lineRule="exact"/>
        <w:ind w:firstLine="480" w:firstLineChars="200"/>
        <w:rPr>
          <w:rFonts w:ascii="宋体" w:hAnsi="宋体" w:cs="宋体"/>
          <w:sz w:val="24"/>
        </w:rPr>
      </w:pPr>
      <w:r>
        <w:rPr>
          <w:rFonts w:hint="eastAsia" w:ascii="宋体" w:hAnsi="宋体" w:cs="宋体"/>
          <w:sz w:val="24"/>
        </w:rPr>
        <w:t>4.5.1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1D97F59">
      <w:pPr>
        <w:adjustRightInd/>
        <w:spacing w:line="460" w:lineRule="exact"/>
        <w:ind w:firstLine="480" w:firstLineChars="200"/>
        <w:rPr>
          <w:rFonts w:ascii="宋体" w:hAnsi="宋体" w:cs="宋体"/>
          <w:sz w:val="24"/>
        </w:rPr>
      </w:pPr>
      <w:r>
        <w:rPr>
          <w:rFonts w:hint="eastAsia" w:ascii="宋体" w:hAnsi="宋体" w:cs="宋体"/>
          <w:sz w:val="24"/>
        </w:rPr>
        <w:t>4.5.2 电子交易平台收到投标文件，将妥善保存并即时向供应商发出确认回执通知。在投标截止时间前，除供应商补充、修改或者撤回投标文件外，任何单位和个人不得解密或提取投标文件。</w:t>
      </w:r>
    </w:p>
    <w:p w14:paraId="66C44798">
      <w:pPr>
        <w:adjustRightInd/>
        <w:spacing w:line="460" w:lineRule="exact"/>
        <w:ind w:firstLine="480" w:firstLineChars="200"/>
        <w:rPr>
          <w:rFonts w:ascii="宋体" w:hAnsi="宋体" w:cs="宋体"/>
          <w:sz w:val="24"/>
        </w:rPr>
      </w:pPr>
      <w:r>
        <w:rPr>
          <w:rFonts w:hint="eastAsia" w:ascii="宋体" w:hAnsi="宋体" w:cs="宋体"/>
          <w:sz w:val="24"/>
        </w:rPr>
        <w:t>4.5.3 招标人、采购代理机构可以视情况延长投标文件提交的截止时间。在上述情况下，采购代理机构与投标人以前在投标截止期方面的全部权利、责任和义务，将适用于延长至新的投标截止期。</w:t>
      </w:r>
    </w:p>
    <w:p w14:paraId="0C5F47BC">
      <w:pPr>
        <w:adjustRightInd/>
        <w:spacing w:line="460" w:lineRule="exact"/>
        <w:ind w:firstLine="420"/>
        <w:rPr>
          <w:rFonts w:ascii="宋体" w:hAnsi="宋体" w:cs="宋体"/>
          <w:sz w:val="24"/>
        </w:rPr>
      </w:pPr>
      <w:r>
        <w:rPr>
          <w:rFonts w:hint="eastAsia" w:ascii="宋体" w:hAnsi="宋体" w:cs="宋体"/>
          <w:sz w:val="24"/>
        </w:rPr>
        <w:t>4.5.4投标截止时间后，投标供应商不得撤回、修改投标文件。</w:t>
      </w:r>
    </w:p>
    <w:p w14:paraId="2934D7F9">
      <w:pPr>
        <w:adjustRightInd/>
        <w:spacing w:line="460" w:lineRule="exact"/>
        <w:ind w:firstLine="420"/>
        <w:rPr>
          <w:rFonts w:ascii="宋体" w:hAnsi="宋体" w:cs="宋体"/>
          <w:sz w:val="24"/>
        </w:rPr>
      </w:pPr>
      <w:r>
        <w:rPr>
          <w:rFonts w:hint="eastAsia" w:ascii="宋体" w:hAnsi="宋体" w:cs="宋体"/>
          <w:sz w:val="24"/>
        </w:rPr>
        <w:t>4.5.5解密和异常情况处理</w:t>
      </w:r>
    </w:p>
    <w:p w14:paraId="3FEF065C">
      <w:pPr>
        <w:adjustRightInd/>
        <w:spacing w:line="460" w:lineRule="exact"/>
        <w:ind w:firstLine="420"/>
        <w:rPr>
          <w:rFonts w:ascii="宋体" w:hAnsi="宋体" w:cs="宋体"/>
          <w:sz w:val="24"/>
        </w:rPr>
      </w:pPr>
      <w:r>
        <w:rPr>
          <w:rFonts w:hint="eastAsia" w:ascii="宋体" w:hAnsi="宋体" w:cs="宋体"/>
          <w:sz w:val="24"/>
        </w:rPr>
        <w:t>4.5.5.1开标后，采购组织机构将向各投标供应商发出“电子加密投标文件”的解密通知，各投标供应商代表应当在接到解密通知后30分钟内自行完成“电子加密投标文件”的在线解密。</w:t>
      </w:r>
    </w:p>
    <w:p w14:paraId="3607EB5B">
      <w:pPr>
        <w:adjustRightInd/>
        <w:spacing w:line="460" w:lineRule="exact"/>
        <w:ind w:firstLine="420"/>
        <w:rPr>
          <w:rFonts w:ascii="宋体" w:hAnsi="宋体" w:cs="宋体"/>
          <w:sz w:val="24"/>
        </w:rPr>
      </w:pPr>
      <w:r>
        <w:rPr>
          <w:rFonts w:hint="eastAsia" w:ascii="宋体" w:hAnsi="宋体" w:cs="宋体"/>
          <w:sz w:val="24"/>
        </w:rPr>
        <w:t>4.5.5.2通过“采购云平台”成功上传递交的“电子加密投标文件”无法按时解密，投标供应商如按规定递交了“备份投标文件”的，以“备份投标文件”为依据（由采购组织机构按“采购云平台”操作规范将“备份投标文件”上传至“采购云平台”，上传成功后，“电子加密投标文件”自动失效），否则视为投标文件撤回。</w:t>
      </w:r>
    </w:p>
    <w:p w14:paraId="1BB9CD5B">
      <w:pPr>
        <w:adjustRightInd/>
        <w:spacing w:line="460" w:lineRule="exact"/>
        <w:ind w:firstLine="420"/>
        <w:rPr>
          <w:rFonts w:ascii="宋体" w:hAnsi="宋体" w:cs="宋体"/>
          <w:sz w:val="24"/>
        </w:rPr>
      </w:pPr>
      <w:r>
        <w:rPr>
          <w:rFonts w:hint="eastAsia" w:ascii="宋体" w:hAnsi="宋体" w:cs="宋体"/>
          <w:sz w:val="24"/>
        </w:rPr>
        <w:t>4.5.5.3投标截止时间前，投标供应商仅递交了“备份投标文件”而未将电子加密投标文件上传至“采购云平台”的，投标无效。</w:t>
      </w:r>
    </w:p>
    <w:p w14:paraId="68EF718C">
      <w:pPr>
        <w:tabs>
          <w:tab w:val="left" w:pos="312"/>
        </w:tabs>
        <w:adjustRightInd/>
        <w:spacing w:line="460" w:lineRule="exact"/>
        <w:ind w:left="482"/>
        <w:rPr>
          <w:rFonts w:ascii="宋体" w:hAnsi="宋体" w:cs="宋体"/>
          <w:b/>
          <w:bCs/>
          <w:sz w:val="24"/>
        </w:rPr>
      </w:pPr>
      <w:r>
        <w:rPr>
          <w:rFonts w:hint="eastAsia" w:ascii="宋体" w:hAnsi="宋体" w:cs="宋体"/>
          <w:b/>
          <w:bCs/>
          <w:sz w:val="24"/>
        </w:rPr>
        <w:t>4.6备份投标文件</w:t>
      </w:r>
    </w:p>
    <w:p w14:paraId="2AA728E0">
      <w:pPr>
        <w:adjustRightInd/>
        <w:spacing w:line="460" w:lineRule="exact"/>
        <w:ind w:firstLine="480" w:firstLineChars="200"/>
        <w:rPr>
          <w:rFonts w:ascii="宋体" w:hAnsi="宋体" w:cs="宋体"/>
          <w:snapToGrid w:val="0"/>
          <w:sz w:val="24"/>
        </w:rPr>
      </w:pPr>
      <w:r>
        <w:rPr>
          <w:rFonts w:hint="eastAsia" w:ascii="宋体" w:hAnsi="宋体" w:cs="宋体"/>
          <w:sz w:val="24"/>
        </w:rPr>
        <w:t>4.6.1</w:t>
      </w:r>
      <w:r>
        <w:rPr>
          <w:rFonts w:hint="eastAsia" w:ascii="宋体" w:hAnsi="宋体" w:cs="宋体"/>
          <w:snapToGrid w:val="0"/>
          <w:sz w:val="24"/>
        </w:rPr>
        <w:t>投标人在电子交易平台传输递交投标文件后，还可以在投标截止时间前直接提交或者以邮政快递方式递交备份投标文件1份</w:t>
      </w:r>
      <w:r>
        <w:rPr>
          <w:rFonts w:hint="eastAsia" w:ascii="宋体" w:hAnsi="宋体" w:cs="宋体"/>
          <w:b/>
          <w:bCs/>
          <w:snapToGrid w:val="0"/>
          <w:sz w:val="24"/>
        </w:rPr>
        <w:t>，</w:t>
      </w:r>
      <w:r>
        <w:rPr>
          <w:rFonts w:hint="eastAsia" w:ascii="宋体" w:hAnsi="宋体" w:cs="宋体"/>
          <w:snapToGrid w:val="0"/>
          <w:sz w:val="24"/>
        </w:rPr>
        <w:t>但采购人、采购机构不强制或变相强制投标人提交备份投标文件。</w:t>
      </w:r>
    </w:p>
    <w:p w14:paraId="5737BFF1">
      <w:pPr>
        <w:adjustRightInd/>
        <w:spacing w:line="460" w:lineRule="exact"/>
        <w:ind w:firstLine="480" w:firstLineChars="200"/>
        <w:rPr>
          <w:rFonts w:ascii="宋体" w:hAnsi="宋体" w:cs="宋体"/>
          <w:b/>
          <w:snapToGrid w:val="0"/>
          <w:sz w:val="24"/>
        </w:rPr>
      </w:pPr>
      <w:r>
        <w:rPr>
          <w:rFonts w:hint="eastAsia" w:ascii="宋体" w:hAnsi="宋体" w:cs="宋体"/>
          <w:snapToGrid w:val="0"/>
          <w:sz w:val="24"/>
        </w:rPr>
        <w:t>4.6.2备份投标文件须在“乐采云投标客户端”制作生成，并储存在DVD光盘或U盘中。</w:t>
      </w:r>
      <w:r>
        <w:rPr>
          <w:rFonts w:hint="eastAsia" w:ascii="宋体" w:hAnsi="宋体" w:cs="宋体"/>
          <w:b/>
          <w:bCs/>
          <w:snapToGrid w:val="0"/>
          <w:sz w:val="24"/>
        </w:rPr>
        <w:t>备份投标文件应当密封包装并在包装上加盖公章并注明投标项目名称，投标人名称</w:t>
      </w:r>
      <w:r>
        <w:rPr>
          <w:rFonts w:hint="eastAsia" w:ascii="宋体" w:hAnsi="宋体" w:cs="宋体"/>
          <w:snapToGrid w:val="0"/>
          <w:sz w:val="24"/>
        </w:rPr>
        <w:t>。</w:t>
      </w:r>
      <w:r>
        <w:rPr>
          <w:rFonts w:hint="eastAsia" w:ascii="宋体" w:hAnsi="宋体" w:cs="宋体"/>
          <w:b/>
          <w:snapToGrid w:val="0"/>
          <w:sz w:val="24"/>
        </w:rPr>
        <w:t>不符合上述制作、存储、密封规定的备份投标文件将被视为无效或者被拒绝接收。</w:t>
      </w:r>
    </w:p>
    <w:p w14:paraId="1B7C35C8">
      <w:pPr>
        <w:adjustRightInd/>
        <w:spacing w:line="460" w:lineRule="exact"/>
        <w:ind w:firstLine="480" w:firstLineChars="200"/>
        <w:rPr>
          <w:rFonts w:ascii="宋体" w:hAnsi="宋体" w:cs="宋体"/>
          <w:snapToGrid w:val="0"/>
          <w:sz w:val="24"/>
        </w:rPr>
      </w:pPr>
      <w:r>
        <w:rPr>
          <w:rFonts w:hint="eastAsia" w:ascii="宋体" w:hAnsi="宋体" w:cs="宋体"/>
          <w:snapToGrid w:val="0"/>
          <w:sz w:val="24"/>
        </w:rPr>
        <w:t>4.6.3直接提交备份投标文件的，投标人应于投标截止时间前在采购公告中载明的开标地点将备份投标文件提交给采购机构，采购机构将拒绝接受逾期送达的备份投标文件。</w:t>
      </w:r>
    </w:p>
    <w:p w14:paraId="680BC99E">
      <w:pPr>
        <w:adjustRightInd/>
        <w:spacing w:line="460" w:lineRule="exact"/>
        <w:ind w:firstLine="480" w:firstLineChars="200"/>
        <w:rPr>
          <w:rFonts w:ascii="宋体" w:hAnsi="宋体" w:cs="宋体"/>
          <w:snapToGrid w:val="0"/>
          <w:sz w:val="24"/>
        </w:rPr>
      </w:pPr>
      <w:r>
        <w:rPr>
          <w:rFonts w:hint="eastAsia" w:ascii="宋体" w:hAnsi="宋体" w:cs="宋体"/>
          <w:snapToGrid w:val="0"/>
          <w:sz w:val="24"/>
        </w:rPr>
        <w:t>4.6.4以邮寄方式递交备份投标文件的，投标人应先将备份投标文件按要求密封和标记，再进行快递包装后邮寄</w:t>
      </w:r>
      <w:r>
        <w:rPr>
          <w:rFonts w:hint="eastAsia" w:ascii="宋体" w:hAnsi="宋体" w:cs="宋体"/>
          <w:sz w:val="24"/>
        </w:rPr>
        <w:t>（建议采用EMS或顺丰），采用邮寄方式的请提前一天通知代理机构</w:t>
      </w:r>
      <w:r>
        <w:rPr>
          <w:rFonts w:hint="eastAsia" w:ascii="宋体" w:hAnsi="宋体" w:cs="宋体"/>
          <w:snapToGrid w:val="0"/>
          <w:sz w:val="24"/>
        </w:rPr>
        <w:t>。</w:t>
      </w:r>
    </w:p>
    <w:p w14:paraId="4D9D2B83">
      <w:pPr>
        <w:adjustRightInd/>
        <w:spacing w:line="460" w:lineRule="exact"/>
        <w:ind w:firstLine="480" w:firstLineChars="200"/>
        <w:rPr>
          <w:rFonts w:ascii="宋体" w:hAnsi="宋体" w:cs="宋体"/>
          <w:snapToGrid w:val="0"/>
          <w:sz w:val="24"/>
        </w:rPr>
      </w:pPr>
      <w:r>
        <w:rPr>
          <w:rFonts w:hint="eastAsia" w:ascii="宋体" w:hAnsi="宋体" w:cs="宋体"/>
          <w:snapToGrid w:val="0"/>
          <w:sz w:val="24"/>
        </w:rPr>
        <w:t>4.6.5备份投标文件须在投标截止时间之前送达</w:t>
      </w:r>
      <w:r>
        <w:rPr>
          <w:rFonts w:hint="eastAsia" w:ascii="宋体" w:hAnsi="宋体" w:cs="宋体"/>
          <w:sz w:val="24"/>
        </w:rPr>
        <w:t>采购文件第二部分投标人须知前附表规定的备份投标文件送达地点；</w:t>
      </w:r>
      <w:r>
        <w:rPr>
          <w:rFonts w:hint="eastAsia" w:ascii="宋体" w:hAnsi="宋体" w:cs="宋体"/>
          <w:snapToGrid w:val="0"/>
          <w:sz w:val="24"/>
        </w:rPr>
        <w:t>送达时间以</w:t>
      </w:r>
      <w:r>
        <w:rPr>
          <w:rFonts w:hint="eastAsia" w:ascii="宋体" w:hAnsi="宋体" w:cs="宋体"/>
          <w:sz w:val="24"/>
        </w:rPr>
        <w:t>代理机构工作人员</w:t>
      </w:r>
      <w:r>
        <w:rPr>
          <w:rFonts w:hint="eastAsia" w:ascii="宋体" w:hAnsi="宋体" w:cs="宋体"/>
          <w:snapToGrid w:val="0"/>
          <w:sz w:val="24"/>
        </w:rPr>
        <w:t>签收时间为准。采购机构将拒绝接受逾期送达的备份投标文件。邮寄过程中，电子备份投标文件发生泄露、遗失、损坏或延期送达等情况的，由投标人自行负责。</w:t>
      </w:r>
    </w:p>
    <w:p w14:paraId="5018B9B0">
      <w:pPr>
        <w:adjustRightInd/>
        <w:spacing w:line="460" w:lineRule="exact"/>
        <w:ind w:firstLine="482" w:firstLineChars="200"/>
        <w:rPr>
          <w:rFonts w:ascii="宋体" w:hAnsi="宋体" w:cs="宋体"/>
          <w:b/>
          <w:snapToGrid w:val="0"/>
          <w:sz w:val="24"/>
        </w:rPr>
      </w:pPr>
      <w:r>
        <w:rPr>
          <w:rFonts w:hint="eastAsia" w:ascii="宋体" w:hAnsi="宋体" w:cs="宋体"/>
          <w:b/>
          <w:snapToGrid w:val="0"/>
          <w:sz w:val="24"/>
        </w:rPr>
        <w:t>4.6.6投标人仅提交备份投标文件，没有在电子交易平台传输递交投标文件的，投标无效。</w:t>
      </w:r>
    </w:p>
    <w:p w14:paraId="732657AE">
      <w:pPr>
        <w:adjustRightInd/>
        <w:snapToGrid w:val="0"/>
        <w:spacing w:line="460" w:lineRule="exact"/>
        <w:ind w:firstLine="482" w:firstLineChars="200"/>
        <w:jc w:val="left"/>
        <w:outlineLvl w:val="2"/>
        <w:rPr>
          <w:rFonts w:ascii="宋体" w:hAnsi="宋体" w:cs="宋体"/>
          <w:b/>
          <w:sz w:val="24"/>
        </w:rPr>
      </w:pPr>
      <w:r>
        <w:rPr>
          <w:rFonts w:hint="eastAsia" w:ascii="宋体" w:hAnsi="宋体" w:cs="宋体"/>
          <w:b/>
          <w:snapToGrid w:val="0"/>
          <w:sz w:val="24"/>
        </w:rPr>
        <w:t>4.7</w:t>
      </w:r>
      <w:r>
        <w:rPr>
          <w:rFonts w:hint="eastAsia" w:ascii="宋体" w:hAnsi="宋体" w:cs="宋体"/>
          <w:b/>
          <w:sz w:val="24"/>
        </w:rPr>
        <w:t>投标有效期</w:t>
      </w:r>
    </w:p>
    <w:p w14:paraId="0631D924">
      <w:pPr>
        <w:adjustRightInd/>
        <w:spacing w:line="460" w:lineRule="exact"/>
        <w:ind w:firstLine="480" w:firstLineChars="200"/>
        <w:rPr>
          <w:rFonts w:ascii="宋体" w:hAnsi="宋体" w:cs="宋体"/>
          <w:sz w:val="24"/>
        </w:rPr>
      </w:pPr>
      <w:r>
        <w:rPr>
          <w:rFonts w:hint="eastAsia" w:ascii="宋体" w:hAnsi="宋体" w:cs="宋体"/>
          <w:sz w:val="24"/>
        </w:rPr>
        <w:t>4.7.1投标有效期为从提交投标文件的截止之日起90天。★投标人的投标文件中承诺的投标有效期少于采购文件中载明的投标有效期的，投标无效。</w:t>
      </w:r>
    </w:p>
    <w:p w14:paraId="0DB7CE7C">
      <w:pPr>
        <w:adjustRightInd/>
        <w:spacing w:line="460" w:lineRule="exact"/>
        <w:ind w:firstLine="480" w:firstLineChars="200"/>
        <w:rPr>
          <w:rFonts w:ascii="宋体" w:hAnsi="宋体" w:cs="宋体"/>
          <w:sz w:val="24"/>
        </w:rPr>
      </w:pPr>
      <w:r>
        <w:rPr>
          <w:rFonts w:hint="eastAsia" w:ascii="宋体" w:hAnsi="宋体" w:cs="宋体"/>
          <w:sz w:val="24"/>
        </w:rPr>
        <w:t>4.7.2投标文件合格投递后，自投标截止日期起，在投标有效期内有效。</w:t>
      </w:r>
    </w:p>
    <w:p w14:paraId="2396EC15">
      <w:pPr>
        <w:adjustRightInd/>
        <w:spacing w:line="460" w:lineRule="exact"/>
        <w:ind w:firstLine="480" w:firstLineChars="200"/>
        <w:rPr>
          <w:rFonts w:ascii="宋体" w:hAnsi="宋体" w:cs="宋体"/>
          <w:kern w:val="0"/>
          <w:sz w:val="24"/>
        </w:rPr>
      </w:pPr>
      <w:r>
        <w:rPr>
          <w:rFonts w:hint="eastAsia" w:ascii="宋体" w:hAnsi="宋体" w:cs="宋体"/>
          <w:sz w:val="24"/>
        </w:rPr>
        <w:t>4.7</w:t>
      </w:r>
      <w:r>
        <w:rPr>
          <w:rFonts w:hint="eastAsia" w:ascii="宋体" w:hAnsi="宋体" w:cs="宋体"/>
          <w:kern w:val="0"/>
          <w:sz w:val="24"/>
        </w:rPr>
        <w:t>.3在原定投标有效期满之前，如果出现特殊情况，采购机构可以以书面形式通知投标人延长投标有效期。投标人同意延长的，不得要求或被允许修改其投标文件，投标人拒绝延长的，其投标无效。</w:t>
      </w:r>
    </w:p>
    <w:p w14:paraId="221E96E9">
      <w:pPr>
        <w:adjustRightInd/>
        <w:spacing w:line="460" w:lineRule="exact"/>
        <w:ind w:firstLine="420"/>
        <w:rPr>
          <w:rFonts w:ascii="宋体" w:hAnsi="宋体" w:cs="宋体"/>
          <w:sz w:val="24"/>
        </w:rPr>
      </w:pPr>
      <w:r>
        <w:rPr>
          <w:rFonts w:hint="eastAsia" w:ascii="宋体" w:hAnsi="宋体" w:cs="宋体"/>
          <w:kern w:val="0"/>
          <w:sz w:val="24"/>
        </w:rPr>
        <w:t xml:space="preserve"> </w:t>
      </w:r>
      <w:r>
        <w:rPr>
          <w:rFonts w:hint="eastAsia" w:ascii="宋体" w:hAnsi="宋体" w:cs="宋体"/>
          <w:sz w:val="24"/>
        </w:rPr>
        <w:t>4.7</w:t>
      </w:r>
      <w:r>
        <w:rPr>
          <w:rFonts w:hint="eastAsia" w:ascii="宋体" w:hAnsi="宋体" w:cs="宋体"/>
          <w:kern w:val="0"/>
          <w:sz w:val="24"/>
        </w:rPr>
        <w:t>.4</w:t>
      </w:r>
      <w:r>
        <w:rPr>
          <w:rFonts w:hint="eastAsia" w:ascii="宋体" w:hAnsi="宋体" w:cs="宋体"/>
          <w:snapToGrid w:val="0"/>
          <w:kern w:val="0"/>
          <w:sz w:val="24"/>
        </w:rPr>
        <w:t>中标人的投标文件自开标之日起至合同履行完毕止均应保持有效。</w:t>
      </w:r>
    </w:p>
    <w:p w14:paraId="30DF23F2">
      <w:pPr>
        <w:adjustRightInd/>
        <w:spacing w:line="460" w:lineRule="exact"/>
        <w:ind w:firstLine="420"/>
        <w:rPr>
          <w:rFonts w:ascii="宋体" w:hAnsi="宋体" w:cs="宋体"/>
          <w:b/>
          <w:bCs/>
          <w:sz w:val="24"/>
        </w:rPr>
      </w:pPr>
      <w:r>
        <w:rPr>
          <w:rFonts w:hint="eastAsia" w:ascii="宋体" w:hAnsi="宋体" w:cs="宋体"/>
          <w:b/>
          <w:bCs/>
          <w:sz w:val="24"/>
        </w:rPr>
        <w:t>4.8投标报价</w:t>
      </w:r>
    </w:p>
    <w:p w14:paraId="41B6D734">
      <w:pPr>
        <w:adjustRightInd/>
        <w:spacing w:line="460" w:lineRule="exact"/>
        <w:ind w:firstLine="420"/>
        <w:rPr>
          <w:rFonts w:ascii="宋体" w:hAnsi="宋体" w:cs="宋体"/>
          <w:b/>
          <w:sz w:val="24"/>
          <w:u w:val="thick"/>
        </w:rPr>
      </w:pPr>
      <w:r>
        <w:rPr>
          <w:rFonts w:hint="eastAsia" w:ascii="宋体" w:hAnsi="宋体" w:cs="宋体"/>
          <w:sz w:val="24"/>
        </w:rPr>
        <w:t>4.8.1 ★</w:t>
      </w:r>
      <w:r>
        <w:rPr>
          <w:rFonts w:hint="eastAsia" w:ascii="宋体" w:hAnsi="宋体" w:cs="宋体"/>
          <w:b/>
          <w:sz w:val="24"/>
          <w:u w:val="thick"/>
        </w:rPr>
        <w:t>本次投标报价为人民币报价</w:t>
      </w:r>
      <w:r>
        <w:rPr>
          <w:rFonts w:hint="eastAsia" w:ascii="宋体" w:hAnsi="宋体" w:cs="宋体"/>
          <w:b/>
          <w:bCs/>
          <w:sz w:val="24"/>
          <w:u w:val="thick"/>
        </w:rPr>
        <w:t>。</w:t>
      </w:r>
    </w:p>
    <w:p w14:paraId="63FCDE77">
      <w:pPr>
        <w:adjustRightInd/>
        <w:spacing w:line="460" w:lineRule="exact"/>
        <w:ind w:firstLine="420"/>
        <w:rPr>
          <w:rFonts w:ascii="宋体" w:hAnsi="宋体" w:cs="宋体"/>
          <w:sz w:val="24"/>
        </w:rPr>
      </w:pPr>
      <w:r>
        <w:rPr>
          <w:rFonts w:hint="eastAsia" w:ascii="宋体" w:hAnsi="宋体" w:cs="宋体"/>
          <w:sz w:val="24"/>
        </w:rPr>
        <w:t>4.8.2费用须包含货款、运杂费、保险费、利润、关税（若有）、税金等。投标人根据采购文件的要求，将产品供货、包装、安装、调试、检验、检测、通过验收直至交付使用单位，达到使用要求及质量标准、质保期服务所需的全部费用及招标代理服务费均包含在总价之中。投标人的报价应按采购文件要求的格式、顺序编制。</w:t>
      </w:r>
    </w:p>
    <w:p w14:paraId="74D96B62">
      <w:pPr>
        <w:adjustRightInd/>
        <w:spacing w:line="460" w:lineRule="exact"/>
        <w:ind w:firstLine="420"/>
        <w:rPr>
          <w:rFonts w:ascii="宋体" w:hAnsi="宋体" w:cs="宋体"/>
          <w:sz w:val="24"/>
        </w:rPr>
      </w:pPr>
      <w:r>
        <w:rPr>
          <w:rFonts w:hint="eastAsia" w:ascii="宋体" w:hAnsi="宋体" w:cs="宋体"/>
          <w:sz w:val="24"/>
        </w:rPr>
        <w:t>4.8</w:t>
      </w:r>
      <w:r>
        <w:rPr>
          <w:rFonts w:hint="eastAsia" w:ascii="宋体" w:hAnsi="宋体" w:cs="宋体"/>
          <w:bCs/>
          <w:sz w:val="24"/>
        </w:rPr>
        <w:t xml:space="preserve">.3 </w:t>
      </w:r>
      <w:r>
        <w:rPr>
          <w:rFonts w:hint="eastAsia" w:ascii="宋体" w:hAnsi="宋体" w:cs="宋体"/>
          <w:sz w:val="24"/>
        </w:rPr>
        <w:t>投标报价应按不同费用类别分开填写，具体详见“投标文件格式”。</w:t>
      </w:r>
    </w:p>
    <w:p w14:paraId="7CA0EF44">
      <w:pPr>
        <w:adjustRightInd/>
        <w:spacing w:line="460" w:lineRule="exact"/>
        <w:ind w:firstLine="420"/>
        <w:rPr>
          <w:rFonts w:ascii="宋体" w:hAnsi="宋体" w:cs="宋体"/>
          <w:b/>
          <w:sz w:val="24"/>
          <w:u w:val="thick"/>
        </w:rPr>
      </w:pPr>
      <w:r>
        <w:rPr>
          <w:rFonts w:hint="eastAsia" w:ascii="宋体" w:hAnsi="宋体" w:cs="宋体"/>
          <w:sz w:val="24"/>
        </w:rPr>
        <w:t>4.8.4 ★</w:t>
      </w:r>
      <w:r>
        <w:rPr>
          <w:rFonts w:hint="eastAsia" w:ascii="宋体" w:hAnsi="宋体" w:cs="宋体"/>
          <w:b/>
          <w:sz w:val="24"/>
          <w:u w:val="thick"/>
        </w:rPr>
        <w:t>所投标项只允许有一个报价，不接受有选择报价的投标文件。</w:t>
      </w:r>
    </w:p>
    <w:p w14:paraId="75801181">
      <w:pPr>
        <w:adjustRightInd/>
        <w:spacing w:line="460" w:lineRule="exact"/>
        <w:ind w:firstLine="420"/>
        <w:rPr>
          <w:rFonts w:ascii="宋体" w:hAnsi="宋体" w:cs="宋体"/>
          <w:b/>
          <w:bCs/>
          <w:sz w:val="24"/>
        </w:rPr>
      </w:pPr>
      <w:r>
        <w:rPr>
          <w:rFonts w:hint="eastAsia" w:ascii="宋体" w:hAnsi="宋体" w:cs="宋体"/>
          <w:b/>
          <w:bCs/>
          <w:sz w:val="24"/>
        </w:rPr>
        <w:t>4.9投标文件的式样</w:t>
      </w:r>
    </w:p>
    <w:p w14:paraId="38B93BED">
      <w:pPr>
        <w:adjustRightInd/>
        <w:spacing w:line="460" w:lineRule="exact"/>
        <w:ind w:firstLine="420"/>
        <w:rPr>
          <w:rFonts w:ascii="宋体" w:hAnsi="宋体" w:cs="宋体"/>
          <w:sz w:val="24"/>
        </w:rPr>
      </w:pPr>
      <w:r>
        <w:rPr>
          <w:rFonts w:hint="eastAsia" w:ascii="宋体" w:hAnsi="宋体" w:cs="宋体"/>
          <w:sz w:val="24"/>
        </w:rPr>
        <w:t>4.9.1 投标人通过“乐采云”平台制作电子投标文件，投标文件制作详见“供应商-采购项目电子交易操作指南”。</w:t>
      </w:r>
    </w:p>
    <w:p w14:paraId="4D71F278">
      <w:pPr>
        <w:adjustRightInd/>
        <w:spacing w:line="460" w:lineRule="exact"/>
        <w:ind w:firstLine="420"/>
        <w:rPr>
          <w:rFonts w:ascii="宋体" w:hAnsi="宋体" w:cs="宋体"/>
          <w:sz w:val="24"/>
        </w:rPr>
      </w:pPr>
      <w:r>
        <w:rPr>
          <w:rFonts w:hint="eastAsia" w:ascii="宋体" w:hAnsi="宋体" w:cs="宋体"/>
          <w:sz w:val="24"/>
        </w:rPr>
        <w:t>4.9.2 投标文件是电子投标文件，包括“电子加密投标文件”和“备份投标文件”，在投标文件编制完成后同时生成。</w:t>
      </w:r>
    </w:p>
    <w:p w14:paraId="783FB838">
      <w:pPr>
        <w:adjustRightInd/>
        <w:spacing w:line="460" w:lineRule="exact"/>
        <w:ind w:firstLine="420"/>
        <w:rPr>
          <w:rFonts w:ascii="宋体" w:hAnsi="宋体" w:cs="宋体"/>
          <w:sz w:val="24"/>
        </w:rPr>
      </w:pPr>
      <w:r>
        <w:rPr>
          <w:rFonts w:hint="eastAsia" w:ascii="宋体" w:hAnsi="宋体" w:cs="宋体"/>
          <w:sz w:val="24"/>
        </w:rPr>
        <w:t>4.9.2.1“电子加密投标文件”是指通过“乐采云电子交易客户端”完成投标文件编制后生成并加密的数据电文形式的投标文件。</w:t>
      </w:r>
    </w:p>
    <w:p w14:paraId="56FCF724">
      <w:pPr>
        <w:adjustRightInd/>
        <w:spacing w:line="460" w:lineRule="exact"/>
        <w:ind w:firstLine="420"/>
        <w:rPr>
          <w:rFonts w:ascii="宋体" w:hAnsi="宋体" w:cs="宋体"/>
          <w:sz w:val="24"/>
        </w:rPr>
      </w:pPr>
      <w:r>
        <w:rPr>
          <w:rFonts w:hint="eastAsia" w:ascii="宋体" w:hAnsi="宋体" w:cs="宋体"/>
          <w:sz w:val="24"/>
        </w:rPr>
        <w:t>4.9.2.2“备份投标文件”是指与“电子加密投标文件”同时生成的数据电文形式的电子文件（备份标书，用于供应商标书解密异常时应急使用），其他方式编制的备份投标文件视为无效备份投标文件。</w:t>
      </w:r>
    </w:p>
    <w:p w14:paraId="71F87E20">
      <w:pPr>
        <w:adjustRightInd/>
        <w:spacing w:line="460" w:lineRule="exact"/>
        <w:ind w:firstLine="420"/>
        <w:rPr>
          <w:rFonts w:ascii="宋体" w:hAnsi="宋体" w:cs="宋体"/>
          <w:sz w:val="24"/>
        </w:rPr>
      </w:pPr>
      <w:r>
        <w:rPr>
          <w:rFonts w:hint="eastAsia" w:ascii="宋体" w:hAnsi="宋体" w:cs="宋体"/>
          <w:sz w:val="24"/>
        </w:rPr>
        <w:t>4.9.2.3一份电子加密标书（后缀格式为.jmbs），一份备份标书文件（后缀格式为.bfbs）</w:t>
      </w:r>
    </w:p>
    <w:p w14:paraId="681C4D15">
      <w:pPr>
        <w:adjustRightInd/>
        <w:spacing w:line="460" w:lineRule="exact"/>
        <w:ind w:firstLine="420"/>
        <w:rPr>
          <w:rFonts w:ascii="宋体" w:hAnsi="宋体" w:cs="宋体"/>
          <w:sz w:val="24"/>
        </w:rPr>
      </w:pPr>
      <w:r>
        <w:rPr>
          <w:rFonts w:hint="eastAsia" w:ascii="宋体" w:hAnsi="宋体" w:cs="宋体"/>
          <w:sz w:val="24"/>
        </w:rPr>
        <w:t>4.9.2.4每份电子投标文件应包括资格证明文件、商务技术文件、报价文件三部分内容。</w:t>
      </w:r>
    </w:p>
    <w:p w14:paraId="41E46AAB">
      <w:pPr>
        <w:adjustRightInd/>
        <w:spacing w:line="460" w:lineRule="exact"/>
        <w:ind w:firstLine="420"/>
        <w:rPr>
          <w:rFonts w:ascii="宋体" w:hAnsi="宋体" w:cs="宋体"/>
          <w:sz w:val="24"/>
        </w:rPr>
      </w:pPr>
      <w:r>
        <w:rPr>
          <w:rFonts w:hint="eastAsia" w:ascii="宋体" w:hAnsi="宋体" w:cs="宋体"/>
          <w:sz w:val="24"/>
        </w:rPr>
        <w:t>4.9.3 投标文件中投标函、</w:t>
      </w:r>
      <w:r>
        <w:rPr>
          <w:rFonts w:hint="eastAsia" w:ascii="宋体" w:hAnsi="宋体" w:cs="宋体"/>
          <w:sz w:val="24"/>
          <w:lang w:val="zh-CN"/>
        </w:rPr>
        <w:t>法定代表人授权委托书</w:t>
      </w:r>
      <w:r>
        <w:rPr>
          <w:rFonts w:hint="eastAsia" w:ascii="宋体" w:hAnsi="宋体" w:cs="宋体"/>
          <w:sz w:val="24"/>
        </w:rPr>
        <w:t>的格式、签字、盖章及内容均应符合采购文件格式要求，否则投标文件无效。</w:t>
      </w:r>
    </w:p>
    <w:p w14:paraId="7922BA48">
      <w:pPr>
        <w:adjustRightInd/>
        <w:spacing w:line="460" w:lineRule="exact"/>
        <w:ind w:firstLine="420"/>
        <w:rPr>
          <w:rFonts w:ascii="宋体" w:hAnsi="宋体" w:cs="宋体"/>
          <w:sz w:val="24"/>
        </w:rPr>
      </w:pPr>
      <w:r>
        <w:rPr>
          <w:rFonts w:hint="eastAsia" w:ascii="宋体" w:hAnsi="宋体" w:cs="宋体"/>
          <w:sz w:val="24"/>
        </w:rPr>
        <w:t>4.9.4投标人应根据“乐采云供应商项目采购-电子招投标操作指南”及本采购文件规定编制电子投标文件并进行关联定位，以便评标委员会在评标时，点击评分项，可直接定位到该评分项内容。</w:t>
      </w:r>
    </w:p>
    <w:p w14:paraId="7C14EA4C">
      <w:pPr>
        <w:adjustRightInd/>
        <w:spacing w:line="460" w:lineRule="exact"/>
        <w:ind w:firstLine="420"/>
        <w:rPr>
          <w:rFonts w:ascii="宋体" w:hAnsi="宋体" w:cs="宋体"/>
          <w:sz w:val="24"/>
        </w:rPr>
      </w:pPr>
      <w:r>
        <w:rPr>
          <w:rFonts w:hint="eastAsia" w:ascii="宋体" w:hAnsi="宋体" w:cs="宋体"/>
          <w:sz w:val="24"/>
        </w:rPr>
        <w:t>如对采购文件的某项要求，投标人的投标响应文件未能提供相应的内容与其对应，则评标委员会在评审时会提示投标人未对此项招标要求提供相应内容。由此产生的评分影响由投标人自行承担。</w:t>
      </w:r>
    </w:p>
    <w:bookmarkEnd w:id="35"/>
    <w:bookmarkEnd w:id="36"/>
    <w:p w14:paraId="40627025">
      <w:pPr>
        <w:pStyle w:val="3"/>
        <w:tabs>
          <w:tab w:val="left" w:pos="358"/>
          <w:tab w:val="clear" w:pos="432"/>
        </w:tabs>
        <w:spacing w:line="460" w:lineRule="exact"/>
        <w:ind w:firstLine="420"/>
        <w:jc w:val="center"/>
        <w:rPr>
          <w:rFonts w:ascii="宋体" w:hAnsi="宋体" w:eastAsia="宋体" w:cs="宋体"/>
        </w:rPr>
      </w:pPr>
      <w:bookmarkStart w:id="37" w:name="_Toc54978894"/>
      <w:bookmarkStart w:id="38" w:name="_Toc82338243"/>
      <w:bookmarkStart w:id="39" w:name="_Toc450482500"/>
      <w:bookmarkStart w:id="40" w:name="_Toc35261575"/>
      <w:bookmarkStart w:id="41" w:name="_Toc82873326"/>
      <w:r>
        <w:rPr>
          <w:rFonts w:hint="eastAsia" w:ascii="宋体" w:hAnsi="宋体" w:eastAsia="宋体" w:cs="宋体"/>
        </w:rPr>
        <w:t>五、开标、资格审查与信用信息查询</w:t>
      </w:r>
      <w:bookmarkEnd w:id="37"/>
      <w:bookmarkEnd w:id="38"/>
      <w:bookmarkEnd w:id="39"/>
      <w:bookmarkEnd w:id="40"/>
      <w:bookmarkEnd w:id="41"/>
    </w:p>
    <w:p w14:paraId="0565EA62">
      <w:pPr>
        <w:adjustRightInd/>
        <w:spacing w:line="460" w:lineRule="exact"/>
        <w:ind w:firstLine="480" w:firstLineChars="200"/>
        <w:rPr>
          <w:rFonts w:ascii="宋体" w:hAnsi="宋体" w:cs="宋体"/>
          <w:sz w:val="24"/>
        </w:rPr>
      </w:pPr>
      <w:r>
        <w:rPr>
          <w:rFonts w:hint="eastAsia" w:ascii="宋体" w:hAnsi="宋体" w:cs="宋体"/>
          <w:sz w:val="24"/>
        </w:rPr>
        <w:t>5.1．开标</w:t>
      </w:r>
    </w:p>
    <w:p w14:paraId="5801A910">
      <w:pPr>
        <w:adjustRightInd/>
        <w:spacing w:line="460" w:lineRule="exact"/>
        <w:ind w:firstLine="480" w:firstLineChars="200"/>
        <w:rPr>
          <w:rFonts w:ascii="宋体" w:hAnsi="宋体" w:cs="宋体"/>
          <w:kern w:val="0"/>
          <w:sz w:val="24"/>
        </w:rPr>
      </w:pPr>
      <w:r>
        <w:rPr>
          <w:rFonts w:hint="eastAsia" w:ascii="宋体" w:hAnsi="宋体" w:cs="宋体"/>
          <w:sz w:val="24"/>
        </w:rPr>
        <w:t xml:space="preserve">5.1.1 </w:t>
      </w:r>
      <w:r>
        <w:rPr>
          <w:rFonts w:hint="eastAsia" w:ascii="宋体" w:hAnsi="宋体" w:cs="宋体"/>
          <w:kern w:val="0"/>
          <w:sz w:val="24"/>
        </w:rPr>
        <w:t>采购机构按照采购文件规定的时间通过电子交易平台组织开标，所有投标人均应当准时在线参加。投标人不足3家的，不得开标。</w:t>
      </w:r>
    </w:p>
    <w:p w14:paraId="56B52715">
      <w:pPr>
        <w:autoSpaceDE w:val="0"/>
        <w:autoSpaceDN w:val="0"/>
        <w:adjustRightInd/>
        <w:spacing w:line="460" w:lineRule="exact"/>
        <w:ind w:firstLine="480" w:firstLineChars="200"/>
        <w:contextualSpacing/>
        <w:rPr>
          <w:rFonts w:ascii="宋体" w:hAnsi="宋体" w:cs="宋体"/>
          <w:kern w:val="0"/>
          <w:sz w:val="24"/>
        </w:rPr>
      </w:pPr>
      <w:r>
        <w:rPr>
          <w:rFonts w:hint="eastAsia" w:ascii="宋体" w:hAnsi="宋体" w:cs="宋体"/>
          <w:sz w:val="24"/>
        </w:rPr>
        <w:t>5.1.2</w:t>
      </w:r>
      <w:r>
        <w:rPr>
          <w:rFonts w:hint="eastAsia" w:ascii="宋体" w:hAnsi="宋体" w:cs="宋体"/>
          <w:kern w:val="0"/>
          <w:sz w:val="24"/>
        </w:rPr>
        <w:t>开标时，电子交易平台按开标时间自动提取所有投标文件。采购机构依托电子交易平台发起开始解密指令，投标人按照平台提示和采购文件的规定在半小时内完成在线解密。</w:t>
      </w:r>
    </w:p>
    <w:p w14:paraId="005CDEF2">
      <w:pPr>
        <w:autoSpaceDE w:val="0"/>
        <w:autoSpaceDN w:val="0"/>
        <w:adjustRightInd/>
        <w:spacing w:line="460" w:lineRule="exact"/>
        <w:ind w:firstLine="482" w:firstLineChars="200"/>
        <w:contextualSpacing/>
        <w:rPr>
          <w:rFonts w:ascii="宋体" w:hAnsi="宋体" w:cs="宋体"/>
          <w:b/>
          <w:bCs/>
          <w:kern w:val="0"/>
          <w:sz w:val="24"/>
        </w:rPr>
      </w:pPr>
      <w:r>
        <w:rPr>
          <w:rFonts w:hint="eastAsia" w:ascii="宋体" w:hAnsi="宋体" w:cs="宋体"/>
          <w:b/>
          <w:bCs/>
          <w:kern w:val="0"/>
          <w:sz w:val="24"/>
        </w:rPr>
        <w:t>5.1.3投标文件未按时解密，投标人提供了备份投标文件的，以备份投标文件作为依据，否则视为投标文件撤回。投标文件已按时解密的，备份投标文件自动失效。</w:t>
      </w:r>
    </w:p>
    <w:p w14:paraId="443C36EB">
      <w:pPr>
        <w:adjustRightInd/>
        <w:snapToGrid w:val="0"/>
        <w:spacing w:line="460" w:lineRule="exact"/>
        <w:ind w:firstLine="480" w:firstLineChars="200"/>
        <w:jc w:val="left"/>
        <w:outlineLvl w:val="2"/>
        <w:rPr>
          <w:rFonts w:ascii="宋体" w:hAnsi="宋体" w:cs="宋体"/>
          <w:sz w:val="24"/>
        </w:rPr>
      </w:pPr>
      <w:r>
        <w:rPr>
          <w:rFonts w:hint="eastAsia" w:ascii="宋体" w:hAnsi="宋体" w:cs="宋体"/>
          <w:sz w:val="24"/>
        </w:rPr>
        <w:t>5.1.4开评标期间，投标人代表应在线操作，并关注乐采云有关信息公布、澄清等情况。投标人代表不参加开标程序的，事后不得对采购相关人员、开标过程和开标结果提出异议。</w:t>
      </w:r>
    </w:p>
    <w:p w14:paraId="7505BC2C">
      <w:pPr>
        <w:adjustRightInd/>
        <w:snapToGrid w:val="0"/>
        <w:spacing w:line="460" w:lineRule="exact"/>
        <w:ind w:firstLine="482" w:firstLineChars="200"/>
        <w:jc w:val="left"/>
        <w:outlineLvl w:val="2"/>
        <w:rPr>
          <w:rFonts w:ascii="宋体" w:hAnsi="宋体" w:cs="宋体"/>
          <w:b/>
          <w:bCs/>
          <w:sz w:val="24"/>
        </w:rPr>
      </w:pPr>
      <w:r>
        <w:rPr>
          <w:rFonts w:hint="eastAsia" w:ascii="宋体" w:hAnsi="宋体" w:cs="宋体"/>
          <w:b/>
          <w:bCs/>
          <w:sz w:val="24"/>
        </w:rPr>
        <w:t>5.2资格审查</w:t>
      </w:r>
    </w:p>
    <w:p w14:paraId="677992AE">
      <w:pPr>
        <w:adjustRightInd/>
        <w:spacing w:line="460" w:lineRule="exact"/>
        <w:ind w:firstLine="480" w:firstLineChars="200"/>
        <w:rPr>
          <w:rFonts w:ascii="宋体" w:hAnsi="宋体" w:cs="宋体"/>
          <w:sz w:val="24"/>
        </w:rPr>
      </w:pPr>
      <w:r>
        <w:rPr>
          <w:rFonts w:hint="eastAsia" w:ascii="宋体" w:hAnsi="宋体" w:cs="宋体"/>
          <w:kern w:val="0"/>
          <w:sz w:val="24"/>
        </w:rPr>
        <w:t>5.2.1开标后，</w:t>
      </w:r>
      <w:r>
        <w:rPr>
          <w:rFonts w:hint="eastAsia" w:ascii="宋体" w:hAnsi="宋体" w:cs="宋体"/>
          <w:sz w:val="24"/>
        </w:rPr>
        <w:t>采购人或采购机构依据法律法规和采购文件的规定，对投标人的资格进行审查。</w:t>
      </w:r>
    </w:p>
    <w:p w14:paraId="7E9F6EDF">
      <w:pPr>
        <w:pStyle w:val="37"/>
        <w:adjustRightInd/>
        <w:spacing w:before="0" w:line="460" w:lineRule="exact"/>
        <w:ind w:firstLine="480"/>
        <w:rPr>
          <w:rFonts w:ascii="宋体" w:hAnsi="宋体" w:cs="宋体"/>
          <w:szCs w:val="24"/>
        </w:rPr>
      </w:pPr>
      <w:r>
        <w:rPr>
          <w:rFonts w:hint="eastAsia" w:ascii="宋体" w:hAnsi="宋体" w:cs="宋体"/>
          <w:kern w:val="0"/>
          <w:szCs w:val="24"/>
        </w:rPr>
        <w:t>5.2.2投标人未按照采购文件要求提供与</w:t>
      </w:r>
      <w:r>
        <w:rPr>
          <w:rFonts w:hint="eastAsia" w:ascii="宋体" w:hAnsi="宋体" w:cs="宋体"/>
          <w:szCs w:val="24"/>
        </w:rPr>
        <w:t>资格条件相应的</w:t>
      </w:r>
      <w:r>
        <w:rPr>
          <w:rFonts w:hint="eastAsia" w:ascii="宋体" w:hAnsi="宋体" w:cs="宋体"/>
          <w:kern w:val="0"/>
          <w:szCs w:val="24"/>
        </w:rPr>
        <w:t>有效资格证明材料的，视为</w:t>
      </w:r>
      <w:r>
        <w:rPr>
          <w:rFonts w:hint="eastAsia" w:ascii="宋体" w:hAnsi="宋体" w:cs="宋体"/>
          <w:szCs w:val="24"/>
        </w:rPr>
        <w:t>投标人不具备采购文件中规定的资格要求，其投标无效。</w:t>
      </w:r>
    </w:p>
    <w:p w14:paraId="6E148298">
      <w:pPr>
        <w:adjustRightInd/>
        <w:spacing w:line="460" w:lineRule="exact"/>
        <w:ind w:firstLine="480" w:firstLineChars="200"/>
        <w:rPr>
          <w:rFonts w:ascii="宋体" w:hAnsi="宋体" w:cs="宋体"/>
          <w:sz w:val="24"/>
        </w:rPr>
      </w:pPr>
      <w:r>
        <w:rPr>
          <w:rFonts w:hint="eastAsia" w:ascii="宋体" w:hAnsi="宋体" w:cs="宋体"/>
          <w:kern w:val="0"/>
          <w:sz w:val="24"/>
        </w:rPr>
        <w:t>5.2.</w:t>
      </w:r>
      <w:r>
        <w:rPr>
          <w:rFonts w:hint="eastAsia" w:ascii="宋体" w:hAnsi="宋体" w:cs="宋体"/>
          <w:sz w:val="24"/>
        </w:rPr>
        <w:t>3对未通过资格审查的投标人，采购人或采购机构告知其未通过的原因。</w:t>
      </w:r>
    </w:p>
    <w:p w14:paraId="7645ECAF">
      <w:pPr>
        <w:adjustRightInd/>
        <w:spacing w:line="460" w:lineRule="exact"/>
        <w:ind w:firstLine="480" w:firstLineChars="200"/>
        <w:rPr>
          <w:rFonts w:ascii="宋体" w:hAnsi="宋体" w:cs="宋体"/>
          <w:sz w:val="24"/>
        </w:rPr>
      </w:pPr>
      <w:r>
        <w:rPr>
          <w:rFonts w:hint="eastAsia" w:ascii="宋体" w:hAnsi="宋体" w:cs="宋体"/>
          <w:kern w:val="0"/>
          <w:sz w:val="24"/>
        </w:rPr>
        <w:t>5.2.</w:t>
      </w:r>
      <w:r>
        <w:rPr>
          <w:rFonts w:hint="eastAsia" w:ascii="宋体" w:hAnsi="宋体" w:cs="宋体"/>
          <w:sz w:val="24"/>
        </w:rPr>
        <w:t>4合格投标人不足3家的，不再评标。</w:t>
      </w:r>
    </w:p>
    <w:p w14:paraId="2AD9C4F0">
      <w:pPr>
        <w:pStyle w:val="37"/>
        <w:adjustRightInd/>
        <w:spacing w:before="0" w:line="460" w:lineRule="exact"/>
        <w:ind w:firstLine="482"/>
        <w:rPr>
          <w:rFonts w:ascii="宋体" w:hAnsi="宋体" w:cs="宋体"/>
          <w:b/>
          <w:bCs/>
          <w:kern w:val="0"/>
          <w:szCs w:val="24"/>
        </w:rPr>
      </w:pPr>
      <w:r>
        <w:rPr>
          <w:rFonts w:hint="eastAsia" w:ascii="宋体" w:hAnsi="宋体" w:cs="宋体"/>
          <w:b/>
          <w:bCs/>
          <w:szCs w:val="24"/>
        </w:rPr>
        <w:t>5.3</w:t>
      </w:r>
      <w:r>
        <w:rPr>
          <w:rFonts w:hint="eastAsia" w:ascii="宋体" w:hAnsi="宋体" w:cs="宋体"/>
          <w:b/>
          <w:bCs/>
          <w:kern w:val="0"/>
          <w:szCs w:val="24"/>
        </w:rPr>
        <w:t>信用信息查询</w:t>
      </w:r>
    </w:p>
    <w:p w14:paraId="17A7F60D">
      <w:pPr>
        <w:pStyle w:val="37"/>
        <w:adjustRightInd/>
        <w:spacing w:before="0" w:line="460" w:lineRule="exact"/>
        <w:ind w:firstLine="480"/>
        <w:rPr>
          <w:rFonts w:ascii="宋体" w:hAnsi="宋体" w:cs="宋体"/>
          <w:kern w:val="0"/>
          <w:szCs w:val="24"/>
        </w:rPr>
      </w:pPr>
      <w:r>
        <w:rPr>
          <w:rFonts w:hint="eastAsia" w:ascii="宋体" w:hAnsi="宋体" w:cs="宋体"/>
          <w:kern w:val="0"/>
          <w:szCs w:val="24"/>
        </w:rPr>
        <w:t>5.3.1信用信息查询渠道及截止时间：采购机构将在资格审查时通过“信用中国”网站(www.creditchina.gov.cn)、中国政府采购网(www.ccgp.gov.cn)渠道查询投标人接受资格时的信用记录。</w:t>
      </w:r>
    </w:p>
    <w:p w14:paraId="40FA212C">
      <w:pPr>
        <w:pStyle w:val="37"/>
        <w:adjustRightInd/>
        <w:spacing w:before="0" w:line="460" w:lineRule="exact"/>
        <w:ind w:firstLine="480"/>
        <w:rPr>
          <w:rFonts w:ascii="宋体" w:hAnsi="宋体" w:cs="宋体"/>
          <w:kern w:val="0"/>
          <w:szCs w:val="24"/>
        </w:rPr>
      </w:pPr>
      <w:bookmarkStart w:id="42" w:name="_Hlk125840869"/>
      <w:r>
        <w:rPr>
          <w:rFonts w:hint="eastAsia" w:ascii="宋体" w:hAnsi="宋体" w:cs="宋体"/>
          <w:kern w:val="0"/>
          <w:szCs w:val="24"/>
        </w:rPr>
        <w:t>5.3.2信用信息查询记录和证据留存的具体方式：现场查询的投标人的信用记录、查询结果经确认后将与采购文件一起存档。</w:t>
      </w:r>
    </w:p>
    <w:p w14:paraId="49F74676">
      <w:pPr>
        <w:pStyle w:val="37"/>
        <w:adjustRightInd/>
        <w:spacing w:before="0" w:line="460" w:lineRule="exact"/>
        <w:ind w:firstLine="480"/>
        <w:rPr>
          <w:rFonts w:ascii="宋体" w:hAnsi="宋体" w:cs="宋体"/>
          <w:kern w:val="0"/>
          <w:szCs w:val="24"/>
        </w:rPr>
      </w:pPr>
      <w:r>
        <w:rPr>
          <w:rFonts w:hint="eastAsia" w:ascii="宋体" w:hAnsi="宋体" w:cs="宋体"/>
          <w:kern w:val="0"/>
          <w:szCs w:val="24"/>
        </w:rPr>
        <w:t>5.3.3信用信息的使用规则：经查询列入失信被执行人名单、重大税收违法案件当事人名单、政府采购严重违法失信行为记录名单的投标人将被拒绝参与采购活动。</w:t>
      </w:r>
    </w:p>
    <w:p w14:paraId="355931A0">
      <w:pPr>
        <w:pStyle w:val="37"/>
        <w:adjustRightInd/>
        <w:spacing w:before="0" w:line="460" w:lineRule="exact"/>
        <w:ind w:firstLine="480"/>
        <w:rPr>
          <w:rFonts w:ascii="宋体" w:hAnsi="宋体" w:cs="宋体"/>
          <w:szCs w:val="24"/>
          <w:lang w:val="zh-CN"/>
        </w:rPr>
      </w:pPr>
      <w:r>
        <w:rPr>
          <w:rFonts w:hint="eastAsia" w:ascii="宋体" w:hAnsi="宋体" w:cs="宋体"/>
          <w:kern w:val="0"/>
          <w:szCs w:val="24"/>
        </w:rPr>
        <w:t>5.3.4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cs="宋体"/>
          <w:szCs w:val="24"/>
        </w:rPr>
        <w:t>。</w:t>
      </w:r>
      <w:bookmarkEnd w:id="42"/>
    </w:p>
    <w:p w14:paraId="4471FDC6">
      <w:pPr>
        <w:adjustRightInd/>
        <w:spacing w:line="460" w:lineRule="exact"/>
        <w:ind w:firstLine="420"/>
        <w:rPr>
          <w:rFonts w:ascii="宋体" w:hAnsi="宋体" w:cs="宋体"/>
          <w:b/>
          <w:bCs/>
          <w:sz w:val="24"/>
        </w:rPr>
      </w:pPr>
      <w:r>
        <w:rPr>
          <w:rFonts w:hint="eastAsia" w:ascii="宋体" w:hAnsi="宋体" w:cs="宋体"/>
          <w:b/>
          <w:bCs/>
          <w:sz w:val="24"/>
        </w:rPr>
        <w:t>5.4开标程序</w:t>
      </w:r>
    </w:p>
    <w:p w14:paraId="24B80467">
      <w:pPr>
        <w:adjustRightInd/>
        <w:spacing w:line="460" w:lineRule="exact"/>
        <w:ind w:firstLine="420"/>
        <w:rPr>
          <w:rFonts w:ascii="宋体" w:hAnsi="宋体" w:cs="宋体"/>
          <w:sz w:val="24"/>
        </w:rPr>
      </w:pPr>
      <w:r>
        <w:rPr>
          <w:rFonts w:hint="eastAsia" w:ascii="宋体" w:hAnsi="宋体" w:cs="宋体"/>
          <w:sz w:val="24"/>
        </w:rPr>
        <w:t>5.4.1开标第一阶段</w:t>
      </w:r>
    </w:p>
    <w:p w14:paraId="6A4AE970">
      <w:pPr>
        <w:adjustRightInd/>
        <w:spacing w:line="460" w:lineRule="exact"/>
        <w:ind w:firstLine="420"/>
        <w:rPr>
          <w:rFonts w:ascii="宋体" w:hAnsi="宋体" w:cs="宋体"/>
          <w:sz w:val="24"/>
        </w:rPr>
      </w:pPr>
      <w:r>
        <w:rPr>
          <w:rFonts w:hint="eastAsia" w:ascii="宋体" w:hAnsi="宋体" w:cs="宋体"/>
          <w:sz w:val="24"/>
        </w:rPr>
        <w:t>5.4.1.1向各投标人发出电子加密投标文件【开始解密】通知，由投标人按采购文件规定的时间内自行进行投标文件解密。投标人在规定的时间内无法完成已递交的“电子加密投标文件”解密的，如已按规定递交了备份投标文件的，将由采购组织机构按“采购云平台”操作规范将备份投标文件上传至“采购云平台”，上传成功后，“电子加密投标文件”自动失效；</w:t>
      </w:r>
    </w:p>
    <w:p w14:paraId="1C057FC2">
      <w:pPr>
        <w:adjustRightInd/>
        <w:spacing w:line="460" w:lineRule="exact"/>
        <w:ind w:firstLine="420"/>
        <w:rPr>
          <w:rFonts w:ascii="宋体" w:hAnsi="宋体" w:cs="宋体"/>
          <w:sz w:val="24"/>
        </w:rPr>
      </w:pPr>
      <w:r>
        <w:rPr>
          <w:rFonts w:hint="eastAsia" w:ascii="宋体" w:hAnsi="宋体" w:cs="宋体"/>
          <w:sz w:val="24"/>
        </w:rPr>
        <w:t>5.4.1.2投标文件解密结束，通过邮件形式发送各投标人组织签署《采购活动现场确认声明书》；</w:t>
      </w:r>
    </w:p>
    <w:p w14:paraId="537B2D0A">
      <w:pPr>
        <w:adjustRightInd/>
        <w:spacing w:line="460" w:lineRule="exact"/>
        <w:ind w:firstLine="420"/>
        <w:rPr>
          <w:rFonts w:ascii="宋体" w:hAnsi="宋体" w:cs="宋体"/>
          <w:sz w:val="24"/>
        </w:rPr>
      </w:pPr>
      <w:r>
        <w:rPr>
          <w:rFonts w:hint="eastAsia" w:ascii="宋体" w:hAnsi="宋体" w:cs="宋体"/>
          <w:sz w:val="24"/>
        </w:rPr>
        <w:t>5.4.1.3开启投标文件，进入资格审查；</w:t>
      </w:r>
    </w:p>
    <w:p w14:paraId="20C0187A">
      <w:pPr>
        <w:adjustRightInd/>
        <w:spacing w:line="460" w:lineRule="exact"/>
        <w:ind w:firstLine="420"/>
        <w:rPr>
          <w:rFonts w:ascii="宋体" w:hAnsi="宋体" w:cs="宋体"/>
          <w:sz w:val="24"/>
        </w:rPr>
      </w:pPr>
      <w:r>
        <w:rPr>
          <w:rFonts w:hint="eastAsia" w:ascii="宋体" w:hAnsi="宋体" w:cs="宋体"/>
          <w:sz w:val="24"/>
        </w:rPr>
        <w:t>5.4.1.4开启资格审查通过的投标供应商的商务技术文件进入符合性审查、商务技术评审。</w:t>
      </w:r>
    </w:p>
    <w:p w14:paraId="2A396FEB">
      <w:pPr>
        <w:adjustRightInd/>
        <w:spacing w:line="460" w:lineRule="exact"/>
        <w:ind w:firstLine="420"/>
        <w:rPr>
          <w:rFonts w:ascii="宋体" w:hAnsi="宋体" w:cs="宋体"/>
          <w:sz w:val="24"/>
        </w:rPr>
      </w:pPr>
      <w:r>
        <w:rPr>
          <w:rFonts w:hint="eastAsia" w:ascii="宋体" w:hAnsi="宋体" w:cs="宋体"/>
          <w:sz w:val="24"/>
        </w:rPr>
        <w:t>5.4.2开标第二阶段</w:t>
      </w:r>
    </w:p>
    <w:p w14:paraId="6D69E8B0">
      <w:pPr>
        <w:adjustRightInd/>
        <w:spacing w:line="460" w:lineRule="exact"/>
        <w:ind w:firstLine="420"/>
        <w:rPr>
          <w:rFonts w:ascii="宋体" w:hAnsi="宋体" w:cs="宋体"/>
          <w:sz w:val="24"/>
        </w:rPr>
      </w:pPr>
      <w:r>
        <w:rPr>
          <w:rFonts w:hint="eastAsia" w:ascii="宋体" w:hAnsi="宋体" w:cs="宋体"/>
          <w:sz w:val="24"/>
        </w:rPr>
        <w:t>5.4.2.1符合性审查、商务技术评审结束后，举行开标程序第二阶段会议。首先通过发送邮件形式公布符合性审查、商务技术评审无效供应商名称及理由；公布经商务技术评审后有效投标人的名单，同时公布其商务技术部分得分情况。</w:t>
      </w:r>
    </w:p>
    <w:p w14:paraId="470D0FD4">
      <w:pPr>
        <w:adjustRightInd/>
        <w:spacing w:line="460" w:lineRule="exact"/>
        <w:ind w:firstLine="420"/>
        <w:rPr>
          <w:rFonts w:ascii="宋体" w:hAnsi="宋体" w:cs="宋体"/>
          <w:sz w:val="24"/>
        </w:rPr>
      </w:pPr>
      <w:r>
        <w:rPr>
          <w:rFonts w:hint="eastAsia" w:ascii="宋体" w:hAnsi="宋体" w:cs="宋体"/>
          <w:sz w:val="24"/>
        </w:rPr>
        <w:t>5.4.2.2开启符合性审查、商务技术评审有效投标人的《报价文件》，通过发送邮件形式公布开标一览表有关内容，同时当场制作开标记录表，供应商通过发送邮件形式签字确认（不予确认的应说明理由，否则视为无异议）。报价文件开标结束后，由评标委员会对报价的合理性、准确性等进行审查核实。</w:t>
      </w:r>
    </w:p>
    <w:p w14:paraId="6CF6D591">
      <w:pPr>
        <w:adjustRightInd/>
        <w:spacing w:line="460" w:lineRule="exact"/>
        <w:ind w:firstLine="420"/>
        <w:rPr>
          <w:rFonts w:ascii="宋体" w:hAnsi="宋体" w:cs="宋体"/>
          <w:sz w:val="24"/>
        </w:rPr>
      </w:pPr>
      <w:r>
        <w:rPr>
          <w:rFonts w:hint="eastAsia" w:ascii="宋体" w:hAnsi="宋体" w:cs="宋体"/>
          <w:sz w:val="24"/>
        </w:rPr>
        <w:t>5.4.2.3评审结束后，通过发送邮件形式公布中标（成交）候选供应商名单，及采购人最终确定中标或成交供应商名单的时间和公告方式等。</w:t>
      </w:r>
    </w:p>
    <w:p w14:paraId="486247B1">
      <w:pPr>
        <w:adjustRightInd/>
        <w:spacing w:line="460" w:lineRule="exact"/>
        <w:ind w:firstLine="420"/>
        <w:rPr>
          <w:rFonts w:ascii="宋体" w:hAnsi="宋体" w:cs="宋体"/>
          <w:sz w:val="24"/>
        </w:rPr>
      </w:pPr>
      <w:r>
        <w:rPr>
          <w:rFonts w:hint="eastAsia" w:ascii="宋体" w:hAnsi="宋体" w:cs="宋体"/>
          <w:sz w:val="24"/>
        </w:rPr>
        <w:t>5.4.2.4如遇“采购云平台”电子化开标或评审程序调整的，或者乐采云系统提供数据电文交互功能的，按其规定执行。</w:t>
      </w:r>
    </w:p>
    <w:p w14:paraId="22286040">
      <w:pPr>
        <w:adjustRightInd/>
        <w:spacing w:line="460" w:lineRule="exact"/>
        <w:jc w:val="center"/>
        <w:rPr>
          <w:rFonts w:ascii="宋体" w:hAnsi="宋体" w:cs="宋体"/>
          <w:b/>
          <w:bCs/>
          <w:sz w:val="32"/>
          <w:szCs w:val="32"/>
        </w:rPr>
      </w:pPr>
      <w:r>
        <w:rPr>
          <w:rFonts w:hint="eastAsia" w:ascii="宋体" w:hAnsi="宋体" w:cs="宋体"/>
          <w:b/>
          <w:bCs/>
          <w:sz w:val="32"/>
          <w:szCs w:val="32"/>
        </w:rPr>
        <w:t>六、评标</w:t>
      </w:r>
    </w:p>
    <w:p w14:paraId="7C085F98">
      <w:pPr>
        <w:adjustRightInd/>
        <w:spacing w:line="460" w:lineRule="exact"/>
        <w:ind w:firstLine="420"/>
        <w:rPr>
          <w:rFonts w:ascii="宋体" w:hAnsi="宋体" w:cs="宋体"/>
          <w:sz w:val="24"/>
        </w:rPr>
      </w:pPr>
      <w:r>
        <w:rPr>
          <w:rFonts w:hint="eastAsia" w:ascii="宋体" w:hAnsi="宋体" w:cs="宋体"/>
          <w:sz w:val="24"/>
        </w:rPr>
        <w:t>6.1 评标组织</w:t>
      </w:r>
    </w:p>
    <w:p w14:paraId="2BF50655">
      <w:pPr>
        <w:adjustRightInd/>
        <w:spacing w:line="460" w:lineRule="exact"/>
        <w:ind w:firstLine="420"/>
        <w:rPr>
          <w:rFonts w:ascii="宋体" w:hAnsi="宋体" w:cs="宋体"/>
          <w:sz w:val="24"/>
        </w:rPr>
      </w:pPr>
      <w:r>
        <w:rPr>
          <w:rFonts w:hint="eastAsia" w:ascii="宋体" w:hAnsi="宋体" w:cs="宋体"/>
          <w:sz w:val="24"/>
        </w:rPr>
        <w:t>评标工作由招标采购单位负责组织，具体评标事务由招标采购单位依法组建的评标委员会负责。评标委员会由采购人代表和有关技术、经济等方面的专家组成，成员人数应当为五人及以上单数。</w:t>
      </w:r>
    </w:p>
    <w:p w14:paraId="2951AF57">
      <w:pPr>
        <w:adjustRightInd/>
        <w:spacing w:line="460" w:lineRule="exact"/>
        <w:ind w:firstLine="420"/>
        <w:rPr>
          <w:rFonts w:ascii="宋体" w:hAnsi="宋体" w:cs="宋体"/>
          <w:sz w:val="24"/>
        </w:rPr>
      </w:pPr>
      <w:r>
        <w:rPr>
          <w:rFonts w:hint="eastAsia" w:ascii="宋体" w:hAnsi="宋体" w:cs="宋体"/>
          <w:sz w:val="24"/>
        </w:rPr>
        <w:t>6.2评标纪律</w:t>
      </w:r>
    </w:p>
    <w:p w14:paraId="1120871F">
      <w:pPr>
        <w:adjustRightInd/>
        <w:spacing w:line="460" w:lineRule="exact"/>
        <w:ind w:firstLine="420"/>
        <w:rPr>
          <w:rFonts w:ascii="宋体" w:hAnsi="宋体" w:cs="宋体"/>
          <w:sz w:val="24"/>
        </w:rPr>
      </w:pPr>
      <w:r>
        <w:rPr>
          <w:rFonts w:hint="eastAsia" w:ascii="宋体" w:hAnsi="宋体" w:cs="宋体"/>
          <w:sz w:val="24"/>
        </w:rPr>
        <w:t>本次评标工作将在严格保密的情况下进行，评标委员会成员名单在定标前将保密。</w:t>
      </w:r>
    </w:p>
    <w:p w14:paraId="3706D1D8">
      <w:pPr>
        <w:adjustRightInd/>
        <w:spacing w:line="460" w:lineRule="exact"/>
        <w:ind w:firstLine="420"/>
        <w:rPr>
          <w:rFonts w:ascii="宋体" w:hAnsi="宋体" w:cs="宋体"/>
          <w:sz w:val="24"/>
        </w:rPr>
      </w:pPr>
      <w:r>
        <w:rPr>
          <w:rFonts w:hint="eastAsia" w:ascii="宋体" w:hAnsi="宋体" w:cs="宋体"/>
          <w:sz w:val="24"/>
        </w:rPr>
        <w:t>6.3评标办法</w:t>
      </w:r>
    </w:p>
    <w:p w14:paraId="204A3E45">
      <w:pPr>
        <w:adjustRightInd/>
        <w:spacing w:line="460" w:lineRule="exact"/>
        <w:ind w:firstLine="420"/>
        <w:rPr>
          <w:rFonts w:ascii="宋体" w:hAnsi="宋体" w:cs="宋体"/>
          <w:sz w:val="24"/>
        </w:rPr>
      </w:pPr>
      <w:r>
        <w:rPr>
          <w:rFonts w:hint="eastAsia" w:ascii="宋体" w:hAnsi="宋体" w:cs="宋体"/>
          <w:sz w:val="24"/>
        </w:rPr>
        <w:t>采用综合评分法，详见采购文件第四章“评标办法”。</w:t>
      </w:r>
    </w:p>
    <w:p w14:paraId="4D904CDB">
      <w:pPr>
        <w:adjustRightInd/>
        <w:spacing w:line="460" w:lineRule="exact"/>
        <w:ind w:firstLine="420"/>
        <w:rPr>
          <w:rFonts w:ascii="宋体" w:hAnsi="宋体" w:cs="宋体"/>
          <w:sz w:val="24"/>
        </w:rPr>
      </w:pPr>
      <w:r>
        <w:rPr>
          <w:rFonts w:hint="eastAsia" w:ascii="宋体" w:hAnsi="宋体" w:cs="宋体"/>
          <w:sz w:val="24"/>
        </w:rPr>
        <w:t>6.4 评标程序</w:t>
      </w:r>
    </w:p>
    <w:p w14:paraId="596E919E">
      <w:pPr>
        <w:adjustRightInd/>
        <w:spacing w:line="460" w:lineRule="exact"/>
        <w:ind w:firstLine="420"/>
        <w:rPr>
          <w:rFonts w:ascii="宋体" w:hAnsi="宋体" w:cs="宋体"/>
          <w:sz w:val="24"/>
        </w:rPr>
      </w:pPr>
      <w:r>
        <w:rPr>
          <w:rFonts w:hint="eastAsia" w:ascii="宋体" w:hAnsi="宋体" w:cs="宋体"/>
          <w:sz w:val="24"/>
        </w:rPr>
        <w:t>6.4.1投标文件初审。初审分为资格性检查和符合性检查。</w:t>
      </w:r>
    </w:p>
    <w:p w14:paraId="109859C4">
      <w:pPr>
        <w:adjustRightInd/>
        <w:spacing w:line="460" w:lineRule="exact"/>
        <w:ind w:firstLine="420"/>
        <w:rPr>
          <w:rFonts w:ascii="宋体" w:hAnsi="宋体" w:cs="宋体"/>
          <w:sz w:val="24"/>
        </w:rPr>
      </w:pPr>
      <w:r>
        <w:rPr>
          <w:rFonts w:hint="eastAsia" w:ascii="宋体" w:hAnsi="宋体" w:cs="宋体"/>
          <w:sz w:val="24"/>
        </w:rPr>
        <w:t>6.4.1.1资格性检查。</w:t>
      </w:r>
    </w:p>
    <w:p w14:paraId="764BE5DE">
      <w:pPr>
        <w:adjustRightInd/>
        <w:spacing w:line="460" w:lineRule="exact"/>
        <w:ind w:firstLine="420"/>
        <w:rPr>
          <w:rFonts w:ascii="宋体" w:hAnsi="宋体" w:cs="宋体"/>
          <w:sz w:val="24"/>
        </w:rPr>
      </w:pPr>
      <w:r>
        <w:rPr>
          <w:rFonts w:hint="eastAsia" w:ascii="宋体" w:hAnsi="宋体" w:cs="宋体"/>
          <w:sz w:val="24"/>
        </w:rPr>
        <w:t>开标后，采购人或采购代理机构将依据法律法规和供应商资格条件对投标人的基本资格条件、特定资格条件进行审查。</w:t>
      </w:r>
    </w:p>
    <w:p w14:paraId="27FE6971">
      <w:pPr>
        <w:adjustRightInd/>
        <w:spacing w:line="460" w:lineRule="exact"/>
        <w:ind w:firstLine="420"/>
        <w:rPr>
          <w:rFonts w:ascii="宋体" w:hAnsi="宋体" w:cs="宋体"/>
          <w:sz w:val="24"/>
        </w:rPr>
      </w:pPr>
      <w:r>
        <w:rPr>
          <w:rFonts w:hint="eastAsia" w:ascii="宋体" w:hAnsi="宋体" w:cs="宋体"/>
          <w:sz w:val="24"/>
        </w:rPr>
        <w:t>投标人未按照采购文件中供应商资格条件要求提供相应的有效资格证明材料的，视为投标人不具备采购文件中规定的资格要求，其资格审查不通过。</w:t>
      </w:r>
    </w:p>
    <w:p w14:paraId="383E9AA8">
      <w:pPr>
        <w:adjustRightInd/>
        <w:spacing w:line="460" w:lineRule="exact"/>
        <w:ind w:firstLine="420"/>
        <w:rPr>
          <w:rFonts w:ascii="宋体" w:hAnsi="宋体" w:cs="宋体"/>
          <w:sz w:val="24"/>
        </w:rPr>
      </w:pPr>
      <w:r>
        <w:rPr>
          <w:rFonts w:hint="eastAsia" w:ascii="宋体" w:hAnsi="宋体" w:cs="宋体"/>
          <w:sz w:val="24"/>
        </w:rPr>
        <w:t>6.4.1.2符合性检查。依据采购文件的规定，从投标文件的有效性、完整性和对采购文件的响应程度进行审查，以确定是否对采购文件的实质性要求作出响应。具体审查内容见投标须知6.5条“无效投标的认定”。</w:t>
      </w:r>
    </w:p>
    <w:p w14:paraId="3D4C084E">
      <w:pPr>
        <w:adjustRightInd/>
        <w:spacing w:line="460" w:lineRule="exact"/>
        <w:ind w:firstLine="420"/>
        <w:rPr>
          <w:rFonts w:ascii="宋体" w:hAnsi="宋体" w:cs="宋体"/>
          <w:sz w:val="24"/>
        </w:rPr>
      </w:pPr>
      <w:r>
        <w:rPr>
          <w:rFonts w:hint="eastAsia" w:ascii="宋体" w:hAnsi="宋体" w:cs="宋体"/>
          <w:sz w:val="24"/>
        </w:rPr>
        <w:t>评标委员会决定投标文件的响应性只根据投标文件本身的内容，而不寻求外部证据。</w:t>
      </w:r>
    </w:p>
    <w:p w14:paraId="43D499B5">
      <w:pPr>
        <w:adjustRightInd/>
        <w:spacing w:line="460" w:lineRule="exact"/>
        <w:ind w:firstLine="420"/>
        <w:rPr>
          <w:rFonts w:ascii="宋体" w:hAnsi="宋体" w:cs="宋体"/>
          <w:sz w:val="24"/>
        </w:rPr>
      </w:pPr>
      <w:r>
        <w:rPr>
          <w:rFonts w:hint="eastAsia" w:ascii="宋体" w:hAnsi="宋体" w:cs="宋体"/>
          <w:sz w:val="24"/>
        </w:rPr>
        <w:t>如果投标文件没有实质上响应采购文件的要求，评标委员会将判定无效，投标人不得通过修改或撤销不合要求的偏离或保留而使其投标成为实质性响应的投标。</w:t>
      </w:r>
    </w:p>
    <w:p w14:paraId="33EE6973">
      <w:pPr>
        <w:adjustRightInd/>
        <w:spacing w:line="460" w:lineRule="exact"/>
        <w:ind w:firstLine="420"/>
        <w:rPr>
          <w:rFonts w:ascii="宋体" w:hAnsi="宋体" w:cs="宋体"/>
          <w:sz w:val="24"/>
        </w:rPr>
      </w:pPr>
      <w:r>
        <w:rPr>
          <w:rFonts w:hint="eastAsia" w:ascii="宋体" w:hAnsi="宋体" w:cs="宋体"/>
          <w:sz w:val="24"/>
        </w:rPr>
        <w:t>6.4.1.3澄清有关问题。在评标期间，对投标文件中含义不明确、同类问题表述不一致或者有明显文字和计算错误的内容，评标委员会可以书面形式（或有效电子数据电文）要求投标人作出必要的澄清、说明或者纠正。投标人的澄清、说明或者补正不得超出投标文件的范围或者改变投标文件的实质性内容。</w:t>
      </w:r>
    </w:p>
    <w:p w14:paraId="55FE7E0E">
      <w:pPr>
        <w:adjustRightInd/>
        <w:spacing w:line="460" w:lineRule="exact"/>
        <w:ind w:firstLine="420"/>
        <w:rPr>
          <w:rFonts w:ascii="宋体" w:hAnsi="宋体" w:cs="宋体"/>
          <w:sz w:val="24"/>
        </w:rPr>
      </w:pPr>
      <w:r>
        <w:rPr>
          <w:rFonts w:hint="eastAsia" w:ascii="宋体" w:hAnsi="宋体" w:cs="宋体"/>
          <w:sz w:val="24"/>
        </w:rPr>
        <w:t>投标供应商的澄清、说明或者补正应当由法定代表人或其授权的代表签字（或加盖公章）后扫描上传提交。</w:t>
      </w:r>
    </w:p>
    <w:p w14:paraId="28E1D5E6">
      <w:pPr>
        <w:adjustRightInd/>
        <w:spacing w:line="460" w:lineRule="exact"/>
        <w:ind w:firstLine="420"/>
        <w:rPr>
          <w:rFonts w:ascii="宋体" w:hAnsi="宋体" w:cs="宋体"/>
          <w:sz w:val="24"/>
        </w:rPr>
      </w:pPr>
      <w:r>
        <w:rPr>
          <w:rFonts w:hint="eastAsia" w:ascii="宋体" w:hAnsi="宋体" w:cs="宋体"/>
          <w:sz w:val="24"/>
        </w:rPr>
        <w:t>授权代表对澄清、说明或者补正内容未签字确认的，将自行承担由此可能导致的对其不利的评审结果，评标委员会按少数服从多数原则对相关内容进行评判。</w:t>
      </w:r>
    </w:p>
    <w:p w14:paraId="042770C3">
      <w:pPr>
        <w:adjustRightInd/>
        <w:spacing w:line="460" w:lineRule="exact"/>
        <w:ind w:firstLine="420"/>
        <w:rPr>
          <w:rFonts w:ascii="宋体" w:hAnsi="宋体" w:cs="宋体"/>
          <w:sz w:val="24"/>
        </w:rPr>
      </w:pPr>
      <w:r>
        <w:rPr>
          <w:rFonts w:hint="eastAsia" w:ascii="宋体" w:hAnsi="宋体" w:cs="宋体"/>
          <w:sz w:val="24"/>
        </w:rPr>
        <w:t>除邮件交互外，如乐采云平台提供信息发布、澄清说明、数据交换等操作方式的，或者乐采云系统平台有新的操作流程的，按其规定。</w:t>
      </w:r>
    </w:p>
    <w:p w14:paraId="75EC73A1">
      <w:pPr>
        <w:adjustRightInd/>
        <w:spacing w:line="460" w:lineRule="exact"/>
        <w:ind w:firstLine="420"/>
        <w:rPr>
          <w:rFonts w:ascii="宋体" w:hAnsi="宋体" w:cs="宋体"/>
          <w:sz w:val="24"/>
        </w:rPr>
      </w:pPr>
      <w:r>
        <w:rPr>
          <w:rFonts w:hint="eastAsia" w:ascii="宋体" w:hAnsi="宋体" w:cs="宋体"/>
          <w:sz w:val="24"/>
        </w:rPr>
        <w:t>6.4.1.4修正原则</w:t>
      </w:r>
    </w:p>
    <w:p w14:paraId="03D25964">
      <w:pPr>
        <w:adjustRightInd/>
        <w:spacing w:line="460" w:lineRule="exact"/>
        <w:ind w:firstLine="420"/>
        <w:rPr>
          <w:rFonts w:ascii="宋体" w:hAnsi="宋体" w:cs="宋体"/>
          <w:sz w:val="24"/>
        </w:rPr>
      </w:pPr>
      <w:r>
        <w:rPr>
          <w:rFonts w:hint="eastAsia" w:ascii="宋体" w:hAnsi="宋体" w:cs="宋体"/>
          <w:sz w:val="24"/>
        </w:rPr>
        <w:t>投标文件报价出现前后不一致的，按照下列规定修正：</w:t>
      </w:r>
    </w:p>
    <w:p w14:paraId="63E69877">
      <w:pPr>
        <w:adjustRightInd/>
        <w:spacing w:line="460" w:lineRule="exact"/>
        <w:ind w:firstLine="420"/>
        <w:rPr>
          <w:rFonts w:ascii="宋体" w:hAnsi="宋体" w:cs="宋体"/>
          <w:sz w:val="24"/>
        </w:rPr>
      </w:pPr>
      <w:r>
        <w:rPr>
          <w:rFonts w:hint="eastAsia" w:ascii="宋体" w:hAnsi="宋体" w:cs="宋体"/>
          <w:sz w:val="24"/>
        </w:rPr>
        <w:t>1)</w:t>
      </w:r>
      <w:r>
        <w:rPr>
          <w:rFonts w:hint="eastAsia" w:ascii="宋体" w:hAnsi="宋体" w:cs="宋体"/>
          <w:sz w:val="24"/>
        </w:rPr>
        <w:tab/>
      </w:r>
      <w:r>
        <w:rPr>
          <w:rFonts w:hint="eastAsia" w:ascii="宋体" w:hAnsi="宋体" w:cs="宋体"/>
          <w:sz w:val="24"/>
        </w:rPr>
        <w:t>投标文件中开标一览表(报价表)内容与投标文件中相应内容不一致的，以开标一览表(报价表)为准；</w:t>
      </w:r>
    </w:p>
    <w:p w14:paraId="5FFD5574">
      <w:pPr>
        <w:adjustRightInd/>
        <w:spacing w:line="460" w:lineRule="exact"/>
        <w:ind w:firstLine="420"/>
        <w:rPr>
          <w:rFonts w:ascii="宋体" w:hAnsi="宋体" w:cs="宋体"/>
          <w:sz w:val="24"/>
        </w:rPr>
      </w:pPr>
      <w:r>
        <w:rPr>
          <w:rFonts w:hint="eastAsia" w:ascii="宋体" w:hAnsi="宋体" w:cs="宋体"/>
          <w:sz w:val="24"/>
        </w:rPr>
        <w:t>2)</w:t>
      </w:r>
      <w:r>
        <w:rPr>
          <w:rFonts w:hint="eastAsia" w:ascii="宋体" w:hAnsi="宋体" w:cs="宋体"/>
          <w:sz w:val="24"/>
        </w:rPr>
        <w:tab/>
      </w:r>
      <w:r>
        <w:rPr>
          <w:rFonts w:hint="eastAsia" w:ascii="宋体" w:hAnsi="宋体" w:cs="宋体"/>
          <w:sz w:val="24"/>
        </w:rPr>
        <w:t>大写金额和小写金额不一致的，以大写金额为准；</w:t>
      </w:r>
    </w:p>
    <w:p w14:paraId="236CA63B">
      <w:pPr>
        <w:adjustRightInd/>
        <w:spacing w:line="460" w:lineRule="exact"/>
        <w:ind w:firstLine="420"/>
        <w:rPr>
          <w:rFonts w:ascii="宋体" w:hAnsi="宋体" w:cs="宋体"/>
          <w:sz w:val="24"/>
        </w:rPr>
      </w:pPr>
      <w:r>
        <w:rPr>
          <w:rFonts w:hint="eastAsia" w:ascii="宋体" w:hAnsi="宋体" w:cs="宋体"/>
          <w:sz w:val="24"/>
        </w:rPr>
        <w:t>3)</w:t>
      </w:r>
      <w:r>
        <w:rPr>
          <w:rFonts w:hint="eastAsia" w:ascii="宋体" w:hAnsi="宋体" w:cs="宋体"/>
          <w:sz w:val="24"/>
        </w:rPr>
        <w:tab/>
      </w:r>
      <w:r>
        <w:rPr>
          <w:rFonts w:hint="eastAsia" w:ascii="宋体" w:hAnsi="宋体" w:cs="宋体"/>
          <w:sz w:val="24"/>
        </w:rPr>
        <w:t>单价金额小数点或者百分比有明显错位的，以开标一览表的总价为准，并修改单价；</w:t>
      </w:r>
    </w:p>
    <w:p w14:paraId="7F53625B">
      <w:pPr>
        <w:adjustRightInd/>
        <w:spacing w:line="460" w:lineRule="exact"/>
        <w:ind w:firstLine="420"/>
        <w:rPr>
          <w:rFonts w:ascii="宋体" w:hAnsi="宋体" w:cs="宋体"/>
          <w:sz w:val="24"/>
        </w:rPr>
      </w:pPr>
      <w:r>
        <w:rPr>
          <w:rFonts w:hint="eastAsia" w:ascii="宋体" w:hAnsi="宋体" w:cs="宋体"/>
          <w:sz w:val="24"/>
        </w:rPr>
        <w:t>4)</w:t>
      </w:r>
      <w:r>
        <w:rPr>
          <w:rFonts w:hint="eastAsia" w:ascii="宋体" w:hAnsi="宋体" w:cs="宋体"/>
          <w:sz w:val="24"/>
        </w:rPr>
        <w:tab/>
      </w:r>
      <w:r>
        <w:rPr>
          <w:rFonts w:hint="eastAsia" w:ascii="宋体" w:hAnsi="宋体" w:cs="宋体"/>
          <w:sz w:val="24"/>
        </w:rPr>
        <w:t>总价金额与按单价汇总金额不一致的，以单价金额计算结果为准。</w:t>
      </w:r>
    </w:p>
    <w:p w14:paraId="6711C5F6">
      <w:pPr>
        <w:adjustRightInd/>
        <w:spacing w:line="460" w:lineRule="exact"/>
        <w:ind w:firstLine="420"/>
        <w:rPr>
          <w:rFonts w:ascii="宋体" w:hAnsi="宋体" w:cs="宋体"/>
          <w:sz w:val="24"/>
        </w:rPr>
      </w:pPr>
      <w:r>
        <w:rPr>
          <w:rFonts w:hint="eastAsia" w:ascii="宋体" w:hAnsi="宋体" w:cs="宋体"/>
          <w:sz w:val="24"/>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14:paraId="36E73CAE">
      <w:pPr>
        <w:adjustRightInd/>
        <w:spacing w:line="460" w:lineRule="exact"/>
        <w:ind w:firstLine="420"/>
        <w:rPr>
          <w:rFonts w:ascii="宋体" w:hAnsi="宋体" w:cs="宋体"/>
          <w:sz w:val="24"/>
        </w:rPr>
      </w:pPr>
      <w:r>
        <w:rPr>
          <w:rFonts w:hint="eastAsia" w:ascii="宋体" w:hAnsi="宋体" w:cs="宋体"/>
          <w:sz w:val="24"/>
        </w:rPr>
        <w:t>6.4.1.5比较与评价。</w:t>
      </w:r>
    </w:p>
    <w:p w14:paraId="6F5167E8">
      <w:pPr>
        <w:adjustRightInd/>
        <w:spacing w:line="460" w:lineRule="exact"/>
        <w:ind w:firstLine="420"/>
        <w:rPr>
          <w:rFonts w:ascii="宋体" w:hAnsi="宋体" w:cs="宋体"/>
          <w:sz w:val="24"/>
        </w:rPr>
      </w:pPr>
      <w:r>
        <w:rPr>
          <w:rFonts w:hint="eastAsia" w:ascii="宋体" w:hAnsi="宋体" w:cs="宋体"/>
          <w:sz w:val="24"/>
        </w:rPr>
        <w:t>按采购文件中规定的评标方法和标准，对资格性检查和符合性检查合格的投标文件进行商务和技术评估，综合比较与评价。</w:t>
      </w:r>
    </w:p>
    <w:p w14:paraId="04BAD5FB">
      <w:pPr>
        <w:adjustRightInd/>
        <w:spacing w:line="460" w:lineRule="exact"/>
        <w:ind w:firstLine="420"/>
        <w:rPr>
          <w:rFonts w:ascii="宋体" w:hAnsi="宋体" w:cs="宋体"/>
          <w:sz w:val="24"/>
        </w:rPr>
      </w:pPr>
      <w:r>
        <w:rPr>
          <w:rFonts w:hint="eastAsia" w:ascii="宋体" w:hAnsi="宋体" w:cs="宋体"/>
          <w:sz w:val="24"/>
        </w:rPr>
        <w:t>6.4.1.6按采购文件中规定的评标方法和标准，对投标人进行排序，并推荐中标候选人。</w:t>
      </w:r>
    </w:p>
    <w:p w14:paraId="725A2FB2">
      <w:pPr>
        <w:adjustRightInd/>
        <w:spacing w:line="460" w:lineRule="exact"/>
        <w:ind w:firstLine="420"/>
        <w:rPr>
          <w:rFonts w:ascii="宋体" w:hAnsi="宋体" w:cs="宋体"/>
          <w:sz w:val="24"/>
        </w:rPr>
      </w:pPr>
      <w:r>
        <w:rPr>
          <w:rFonts w:hint="eastAsia" w:ascii="宋体" w:hAnsi="宋体" w:cs="宋体"/>
          <w:sz w:val="24"/>
        </w:rPr>
        <w:t>6.4.1.7编写评标报告。</w:t>
      </w:r>
    </w:p>
    <w:p w14:paraId="2A2C7EBC">
      <w:pPr>
        <w:adjustRightInd/>
        <w:spacing w:line="460" w:lineRule="exact"/>
        <w:ind w:firstLine="420"/>
        <w:rPr>
          <w:rFonts w:ascii="宋体" w:hAnsi="宋体" w:cs="宋体"/>
          <w:b/>
          <w:bCs/>
          <w:sz w:val="24"/>
        </w:rPr>
      </w:pPr>
      <w:r>
        <w:rPr>
          <w:rFonts w:hint="eastAsia" w:ascii="宋体" w:hAnsi="宋体" w:cs="宋体"/>
          <w:b/>
          <w:bCs/>
          <w:sz w:val="24"/>
        </w:rPr>
        <w:t>6.5无效投标的认定</w:t>
      </w:r>
    </w:p>
    <w:p w14:paraId="69A7F666">
      <w:pPr>
        <w:adjustRightInd/>
        <w:spacing w:line="460" w:lineRule="exact"/>
        <w:ind w:firstLine="420"/>
        <w:rPr>
          <w:rFonts w:ascii="宋体" w:hAnsi="宋体" w:cs="宋体"/>
          <w:sz w:val="24"/>
        </w:rPr>
      </w:pPr>
      <w:r>
        <w:rPr>
          <w:rFonts w:hint="eastAsia" w:ascii="宋体" w:hAnsi="宋体" w:cs="宋体"/>
          <w:sz w:val="24"/>
        </w:rPr>
        <w:t>评审时，对投标人的商务技术文件、报价文件和其他评审要求等，评标委员会将逐项进行审查、比较，对于实质性偏离或符合无效条款的，应当询问投标人，并允许投标人进行陈述申辩，但不允许其对偏离条款进行补充、修正或撤回。但经评标委员会认定属于投标人疏忽、笔误所造成的差错，应当允许其在评标结束之前进行修改或者补正（可以是扫描件、传真件等）。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29F006C6">
      <w:pPr>
        <w:adjustRightInd/>
        <w:spacing w:line="460" w:lineRule="exact"/>
        <w:ind w:firstLine="480" w:firstLineChars="200"/>
        <w:rPr>
          <w:rFonts w:ascii="宋体" w:hAnsi="宋体" w:cs="宋体"/>
          <w:sz w:val="24"/>
        </w:rPr>
      </w:pPr>
      <w:r>
        <w:rPr>
          <w:rFonts w:hint="eastAsia" w:ascii="宋体" w:hAnsi="宋体" w:cs="宋体"/>
          <w:sz w:val="24"/>
        </w:rPr>
        <w:t>6.5.1如发现下列情形之一的，投标文件将被视为无效投标：</w:t>
      </w:r>
    </w:p>
    <w:p w14:paraId="1182F59F">
      <w:pPr>
        <w:adjustRightInd/>
        <w:spacing w:line="460" w:lineRule="exact"/>
        <w:ind w:firstLine="480" w:firstLineChars="200"/>
        <w:rPr>
          <w:rFonts w:ascii="宋体" w:hAnsi="宋体" w:cs="宋体"/>
          <w:sz w:val="24"/>
        </w:rPr>
      </w:pPr>
      <w:r>
        <w:rPr>
          <w:rFonts w:hint="eastAsia" w:ascii="宋体" w:hAnsi="宋体" w:cs="宋体"/>
          <w:kern w:val="0"/>
          <w:sz w:val="24"/>
        </w:rPr>
        <w:t>1）投标人不具备采购文件中规定的资格要求的（投标人未提供有效的资格文件的，视为投标人不具备采购文件中规定的资格要求）；</w:t>
      </w:r>
    </w:p>
    <w:p w14:paraId="6A7FD2DC">
      <w:pPr>
        <w:adjustRightInd/>
        <w:spacing w:line="460" w:lineRule="exact"/>
        <w:ind w:firstLine="480" w:firstLineChars="200"/>
        <w:rPr>
          <w:rFonts w:ascii="宋体" w:hAnsi="宋体" w:cs="宋体"/>
          <w:sz w:val="24"/>
        </w:rPr>
      </w:pPr>
      <w:r>
        <w:rPr>
          <w:rFonts w:hint="eastAsia" w:ascii="宋体" w:hAnsi="宋体" w:cs="宋体"/>
          <w:sz w:val="24"/>
        </w:rPr>
        <w:t>2）未按时上传或按时解密电子投标文件的</w:t>
      </w:r>
    </w:p>
    <w:p w14:paraId="383DB981">
      <w:pPr>
        <w:adjustRightInd/>
        <w:spacing w:line="460" w:lineRule="exact"/>
        <w:ind w:firstLine="480" w:firstLineChars="200"/>
        <w:rPr>
          <w:rFonts w:ascii="宋体" w:hAnsi="宋体" w:cs="宋体"/>
          <w:sz w:val="24"/>
        </w:rPr>
      </w:pPr>
      <w:r>
        <w:rPr>
          <w:rFonts w:hint="eastAsia" w:ascii="宋体" w:hAnsi="宋体" w:cs="宋体"/>
          <w:sz w:val="24"/>
        </w:rPr>
        <w:t>3）电子投标文件解密失败的，且未在规定时间内提交有效备份投标文件的；</w:t>
      </w:r>
    </w:p>
    <w:p w14:paraId="26EA5434">
      <w:pPr>
        <w:adjustRightInd/>
        <w:spacing w:line="460" w:lineRule="exact"/>
        <w:ind w:firstLine="480" w:firstLineChars="200"/>
        <w:rPr>
          <w:rFonts w:ascii="宋体" w:hAnsi="宋体" w:cs="宋体"/>
          <w:sz w:val="24"/>
        </w:rPr>
      </w:pPr>
      <w:r>
        <w:rPr>
          <w:rFonts w:hint="eastAsia" w:ascii="宋体" w:hAnsi="宋体" w:cs="宋体"/>
          <w:sz w:val="24"/>
        </w:rPr>
        <w:t>4）电子投标文件未按规定要求提供电子签章的；</w:t>
      </w:r>
    </w:p>
    <w:p w14:paraId="0539C87A">
      <w:pPr>
        <w:adjustRightInd/>
        <w:spacing w:line="460" w:lineRule="exact"/>
        <w:ind w:firstLine="480" w:firstLineChars="200"/>
        <w:rPr>
          <w:rFonts w:ascii="宋体" w:hAnsi="宋体" w:cs="宋体"/>
          <w:sz w:val="24"/>
        </w:rPr>
      </w:pPr>
      <w:r>
        <w:rPr>
          <w:rFonts w:hint="eastAsia" w:ascii="宋体" w:hAnsi="宋体" w:cs="宋体"/>
          <w:sz w:val="24"/>
        </w:rPr>
        <w:t>5）投标文件没有投标人的法定代表人或法定代表人授权委托人签字、投标文件应盖公章而未盖公章或盖非公司公章、未有效授权、法定代表人授权书填写不完整或有涂改的；</w:t>
      </w:r>
    </w:p>
    <w:p w14:paraId="4DF78556">
      <w:pPr>
        <w:adjustRightInd/>
        <w:spacing w:line="460" w:lineRule="exact"/>
        <w:ind w:firstLine="420"/>
        <w:rPr>
          <w:rFonts w:ascii="宋体" w:hAnsi="宋体" w:cs="宋体"/>
          <w:sz w:val="24"/>
        </w:rPr>
      </w:pPr>
      <w:r>
        <w:rPr>
          <w:rFonts w:hint="eastAsia" w:ascii="宋体" w:hAnsi="宋体" w:cs="宋体"/>
          <w:sz w:val="24"/>
        </w:rPr>
        <w:t>6）不响应采购文件标注“★”条款要求的；</w:t>
      </w:r>
    </w:p>
    <w:p w14:paraId="58BCCF23">
      <w:pPr>
        <w:adjustRightInd/>
        <w:spacing w:line="460" w:lineRule="exact"/>
        <w:ind w:firstLine="420"/>
        <w:rPr>
          <w:rFonts w:ascii="宋体" w:hAnsi="宋体" w:cs="宋体"/>
          <w:sz w:val="24"/>
        </w:rPr>
      </w:pPr>
      <w:r>
        <w:rPr>
          <w:rFonts w:hint="eastAsia" w:ascii="宋体" w:hAnsi="宋体" w:cs="宋体"/>
          <w:sz w:val="24"/>
        </w:rPr>
        <w:t>7）投标文件载明的招标项目合同期或服务期少于采购文件规定期限的；</w:t>
      </w:r>
    </w:p>
    <w:p w14:paraId="015B98D8">
      <w:pPr>
        <w:adjustRightInd/>
        <w:spacing w:line="460" w:lineRule="exact"/>
        <w:ind w:firstLine="420"/>
        <w:rPr>
          <w:rFonts w:ascii="宋体" w:hAnsi="宋体" w:cs="宋体"/>
          <w:sz w:val="24"/>
        </w:rPr>
      </w:pPr>
      <w:r>
        <w:rPr>
          <w:rFonts w:hint="eastAsia" w:ascii="宋体" w:hAnsi="宋体" w:cs="宋体"/>
          <w:sz w:val="24"/>
        </w:rPr>
        <w:t>8）投标文件未响应采购文件规定的付款方式的；</w:t>
      </w:r>
    </w:p>
    <w:p w14:paraId="092B4D64">
      <w:pPr>
        <w:adjustRightInd/>
        <w:spacing w:line="460" w:lineRule="exact"/>
        <w:ind w:firstLine="420"/>
        <w:rPr>
          <w:rFonts w:ascii="宋体" w:hAnsi="宋体" w:cs="宋体"/>
          <w:sz w:val="24"/>
        </w:rPr>
      </w:pPr>
      <w:r>
        <w:rPr>
          <w:rFonts w:hint="eastAsia" w:ascii="宋体" w:hAnsi="宋体" w:cs="宋体"/>
          <w:sz w:val="24"/>
        </w:rPr>
        <w:t>9）</w:t>
      </w:r>
      <w:r>
        <w:rPr>
          <w:rFonts w:hint="eastAsia" w:ascii="宋体" w:hAnsi="宋体" w:cs="宋体"/>
          <w:kern w:val="0"/>
          <w:sz w:val="24"/>
        </w:rPr>
        <w:t>报价明显低于其他通过符合性审查投标人的报价，有可能影响产品质量或者不能诚信履约的，未能按要求提供书面说明或者提交相关证明材料，不能证明其报价合理性的；</w:t>
      </w:r>
    </w:p>
    <w:p w14:paraId="34A68DA1">
      <w:pPr>
        <w:adjustRightInd/>
        <w:spacing w:line="460" w:lineRule="exact"/>
        <w:ind w:firstLine="420"/>
        <w:rPr>
          <w:rFonts w:ascii="宋体" w:hAnsi="宋体" w:cs="宋体"/>
          <w:sz w:val="24"/>
        </w:rPr>
      </w:pPr>
      <w:r>
        <w:rPr>
          <w:rFonts w:hint="eastAsia" w:ascii="宋体" w:hAnsi="宋体" w:cs="宋体"/>
          <w:sz w:val="24"/>
        </w:rPr>
        <w:t>10）投标货物的技术规范、技术标准明显不符合国家强制性要求的；</w:t>
      </w:r>
    </w:p>
    <w:p w14:paraId="2D2F7C65">
      <w:pPr>
        <w:adjustRightInd/>
        <w:spacing w:line="460" w:lineRule="exact"/>
        <w:ind w:firstLine="420"/>
        <w:rPr>
          <w:rFonts w:ascii="宋体" w:hAnsi="宋体" w:cs="宋体"/>
          <w:sz w:val="24"/>
        </w:rPr>
      </w:pPr>
      <w:r>
        <w:rPr>
          <w:rFonts w:hint="eastAsia" w:ascii="宋体" w:hAnsi="宋体" w:cs="宋体"/>
          <w:sz w:val="24"/>
        </w:rPr>
        <w:t>11）投标人提交两份或多份内容不同的报价响应文件，或在一份报价响应文件中对同一内容报有两个或多个报价，且未声明哪一个为最终报价的；</w:t>
      </w:r>
    </w:p>
    <w:p w14:paraId="7CFEB7B6">
      <w:pPr>
        <w:adjustRightInd/>
        <w:spacing w:line="460" w:lineRule="exact"/>
        <w:ind w:firstLine="480" w:firstLineChars="200"/>
        <w:rPr>
          <w:rFonts w:ascii="宋体" w:hAnsi="宋体" w:cs="宋体"/>
          <w:kern w:val="0"/>
          <w:sz w:val="24"/>
        </w:rPr>
      </w:pPr>
      <w:r>
        <w:rPr>
          <w:rFonts w:hint="eastAsia" w:ascii="宋体" w:hAnsi="宋体" w:cs="宋体"/>
          <w:sz w:val="24"/>
        </w:rPr>
        <w:t>12）</w:t>
      </w:r>
      <w:r>
        <w:rPr>
          <w:rFonts w:hint="eastAsia" w:ascii="宋体" w:hAnsi="宋体" w:cs="宋体"/>
          <w:kern w:val="0"/>
          <w:sz w:val="24"/>
        </w:rPr>
        <w:t>投标报价超过采购文件中规定的预算金额或者最高限价的；</w:t>
      </w:r>
    </w:p>
    <w:p w14:paraId="67823A81">
      <w:pPr>
        <w:adjustRightInd/>
        <w:spacing w:line="460" w:lineRule="exact"/>
        <w:ind w:firstLine="480" w:firstLineChars="200"/>
        <w:rPr>
          <w:rFonts w:ascii="宋体" w:hAnsi="宋体" w:cs="宋体"/>
          <w:kern w:val="0"/>
          <w:sz w:val="24"/>
        </w:rPr>
      </w:pPr>
      <w:r>
        <w:rPr>
          <w:rFonts w:hint="eastAsia" w:ascii="宋体" w:hAnsi="宋体" w:cs="宋体"/>
          <w:kern w:val="0"/>
          <w:sz w:val="24"/>
        </w:rPr>
        <w:t>13）投标人对根据修正原则修正后的报价不确认的；</w:t>
      </w:r>
    </w:p>
    <w:p w14:paraId="58668188">
      <w:pPr>
        <w:adjustRightInd/>
        <w:spacing w:line="460" w:lineRule="exact"/>
        <w:ind w:firstLine="480" w:firstLineChars="200"/>
        <w:rPr>
          <w:rFonts w:ascii="宋体" w:hAnsi="宋体" w:cs="宋体"/>
          <w:kern w:val="0"/>
          <w:sz w:val="24"/>
        </w:rPr>
      </w:pPr>
      <w:r>
        <w:rPr>
          <w:rFonts w:hint="eastAsia" w:ascii="宋体" w:hAnsi="宋体" w:cs="宋体"/>
          <w:kern w:val="0"/>
          <w:sz w:val="24"/>
        </w:rPr>
        <w:t>14）投标人提供虚假材料投标的；</w:t>
      </w:r>
    </w:p>
    <w:p w14:paraId="585C0F68">
      <w:pPr>
        <w:adjustRightInd/>
        <w:spacing w:line="460" w:lineRule="exact"/>
        <w:ind w:firstLine="480" w:firstLineChars="200"/>
        <w:rPr>
          <w:rFonts w:ascii="宋体" w:hAnsi="宋体" w:cs="宋体"/>
          <w:kern w:val="0"/>
          <w:sz w:val="24"/>
        </w:rPr>
      </w:pPr>
      <w:r>
        <w:rPr>
          <w:rFonts w:hint="eastAsia" w:ascii="宋体" w:hAnsi="宋体" w:cs="宋体"/>
          <w:kern w:val="0"/>
          <w:sz w:val="24"/>
        </w:rPr>
        <w:t>15）投标人有恶意串通、妨碍其他投标人的竞争行为、损害采购人或者其他投标人的合法权益情形的；</w:t>
      </w:r>
    </w:p>
    <w:p w14:paraId="0DE082F4">
      <w:pPr>
        <w:adjustRightInd/>
        <w:spacing w:line="460" w:lineRule="exact"/>
        <w:ind w:firstLine="480" w:firstLineChars="200"/>
        <w:rPr>
          <w:rFonts w:ascii="宋体" w:hAnsi="宋体" w:cs="宋体"/>
          <w:kern w:val="0"/>
          <w:sz w:val="24"/>
        </w:rPr>
      </w:pPr>
      <w:r>
        <w:rPr>
          <w:rFonts w:hint="eastAsia" w:ascii="宋体" w:hAnsi="宋体" w:cs="宋体"/>
          <w:kern w:val="0"/>
          <w:sz w:val="24"/>
        </w:rPr>
        <w:t>16）商务技术文件出现投标报价的；</w:t>
      </w:r>
    </w:p>
    <w:p w14:paraId="623DD9AD">
      <w:pPr>
        <w:adjustRightInd/>
        <w:spacing w:line="460" w:lineRule="exact"/>
        <w:ind w:firstLine="480" w:firstLineChars="200"/>
        <w:rPr>
          <w:rFonts w:ascii="宋体" w:hAnsi="宋体" w:cs="宋体"/>
          <w:sz w:val="24"/>
        </w:rPr>
      </w:pPr>
      <w:r>
        <w:rPr>
          <w:rFonts w:hint="eastAsia" w:ascii="宋体" w:hAnsi="宋体" w:cs="宋体"/>
          <w:sz w:val="24"/>
        </w:rPr>
        <w:t>17）投标文件附有采购人不能接受的条款；</w:t>
      </w:r>
    </w:p>
    <w:p w14:paraId="683AC19B">
      <w:pPr>
        <w:adjustRightInd/>
        <w:spacing w:line="460" w:lineRule="exact"/>
        <w:ind w:firstLine="480" w:firstLineChars="200"/>
        <w:rPr>
          <w:rFonts w:ascii="宋体" w:hAnsi="宋体" w:cs="宋体"/>
          <w:kern w:val="0"/>
          <w:sz w:val="24"/>
        </w:rPr>
      </w:pPr>
      <w:r>
        <w:rPr>
          <w:rFonts w:hint="eastAsia" w:ascii="宋体" w:hAnsi="宋体" w:cs="宋体"/>
          <w:kern w:val="0"/>
          <w:sz w:val="24"/>
        </w:rPr>
        <w:t>18）投标人仅提交备份投标文件，没有在电子交易平台传输递交投标文件的；</w:t>
      </w:r>
    </w:p>
    <w:p w14:paraId="5E902F61">
      <w:pPr>
        <w:adjustRightInd/>
        <w:spacing w:line="460" w:lineRule="exact"/>
        <w:ind w:firstLine="420"/>
        <w:rPr>
          <w:rFonts w:ascii="宋体" w:hAnsi="宋体" w:cs="宋体"/>
          <w:sz w:val="24"/>
        </w:rPr>
      </w:pPr>
      <w:r>
        <w:rPr>
          <w:rFonts w:hint="eastAsia" w:ascii="宋体" w:hAnsi="宋体" w:cs="宋体"/>
          <w:sz w:val="24"/>
        </w:rPr>
        <w:t>19）不满足采购文件规定的实质性要求的；</w:t>
      </w:r>
    </w:p>
    <w:p w14:paraId="6B880182">
      <w:pPr>
        <w:adjustRightInd/>
        <w:spacing w:line="460" w:lineRule="exact"/>
        <w:ind w:firstLine="420"/>
        <w:rPr>
          <w:rFonts w:ascii="宋体" w:hAnsi="宋体" w:cs="宋体"/>
          <w:sz w:val="24"/>
        </w:rPr>
      </w:pPr>
      <w:r>
        <w:rPr>
          <w:rFonts w:hint="eastAsia" w:ascii="宋体" w:hAnsi="宋体" w:cs="宋体"/>
          <w:sz w:val="24"/>
        </w:rPr>
        <w:t>20）国家和省另有规定属无效投标文件的。</w:t>
      </w:r>
    </w:p>
    <w:p w14:paraId="04F2FD8A">
      <w:pPr>
        <w:adjustRightInd/>
        <w:spacing w:line="460" w:lineRule="exact"/>
        <w:ind w:firstLine="420"/>
        <w:rPr>
          <w:rFonts w:ascii="宋体" w:hAnsi="宋体" w:cs="宋体"/>
          <w:sz w:val="24"/>
        </w:rPr>
      </w:pPr>
      <w:r>
        <w:rPr>
          <w:rFonts w:hint="eastAsia" w:ascii="宋体" w:hAnsi="宋体" w:cs="宋体"/>
          <w:sz w:val="24"/>
        </w:rPr>
        <w:t>6.5.2有下列情形之一的，视为投标人串通投标，其投标无效：</w:t>
      </w:r>
    </w:p>
    <w:p w14:paraId="4467CE99">
      <w:pPr>
        <w:adjustRightInd/>
        <w:spacing w:line="460" w:lineRule="exact"/>
        <w:ind w:firstLine="420"/>
        <w:rPr>
          <w:rFonts w:ascii="宋体" w:hAnsi="宋体" w:cs="宋体"/>
          <w:sz w:val="24"/>
        </w:rPr>
      </w:pPr>
      <w:r>
        <w:rPr>
          <w:rFonts w:hint="eastAsia" w:ascii="宋体" w:hAnsi="宋体" w:cs="宋体"/>
          <w:sz w:val="24"/>
        </w:rPr>
        <w:t>1）不同投标人的投标文件由同一单位或者个人编制；</w:t>
      </w:r>
    </w:p>
    <w:p w14:paraId="4BFE60DA">
      <w:pPr>
        <w:adjustRightInd/>
        <w:spacing w:line="460" w:lineRule="exact"/>
        <w:ind w:firstLine="420"/>
        <w:rPr>
          <w:rFonts w:ascii="宋体" w:hAnsi="宋体" w:cs="宋体"/>
          <w:sz w:val="24"/>
        </w:rPr>
      </w:pPr>
      <w:r>
        <w:rPr>
          <w:rFonts w:hint="eastAsia" w:ascii="宋体" w:hAnsi="宋体" w:cs="宋体"/>
          <w:sz w:val="24"/>
        </w:rPr>
        <w:t>2）不同投标人委托同一单位或者个人办理投标事宜；</w:t>
      </w:r>
    </w:p>
    <w:p w14:paraId="1FAB8871">
      <w:pPr>
        <w:adjustRightInd/>
        <w:spacing w:line="460" w:lineRule="exact"/>
        <w:ind w:firstLine="420"/>
        <w:rPr>
          <w:rFonts w:ascii="宋体" w:hAnsi="宋体" w:cs="宋体"/>
          <w:sz w:val="24"/>
        </w:rPr>
      </w:pPr>
      <w:r>
        <w:rPr>
          <w:rFonts w:hint="eastAsia" w:ascii="宋体" w:hAnsi="宋体" w:cs="宋体"/>
          <w:sz w:val="24"/>
        </w:rPr>
        <w:t>3）不同投标人的投标文件载明的项目管理成员或者联系人员为同一人；</w:t>
      </w:r>
    </w:p>
    <w:p w14:paraId="1BA9C2F7">
      <w:pPr>
        <w:adjustRightInd/>
        <w:spacing w:line="460" w:lineRule="exact"/>
        <w:ind w:firstLine="420"/>
        <w:rPr>
          <w:rFonts w:ascii="宋体" w:hAnsi="宋体" w:cs="宋体"/>
          <w:sz w:val="24"/>
        </w:rPr>
      </w:pPr>
      <w:r>
        <w:rPr>
          <w:rFonts w:hint="eastAsia" w:ascii="宋体" w:hAnsi="宋体" w:cs="宋体"/>
          <w:sz w:val="24"/>
        </w:rPr>
        <w:t>4）不同投标人的投标文件异常一致或者投标报价呈规律性差异；</w:t>
      </w:r>
    </w:p>
    <w:p w14:paraId="6E69A765">
      <w:pPr>
        <w:adjustRightInd/>
        <w:spacing w:line="460" w:lineRule="exact"/>
        <w:ind w:firstLine="420"/>
        <w:rPr>
          <w:rFonts w:ascii="宋体" w:hAnsi="宋体" w:cs="宋体"/>
          <w:sz w:val="24"/>
        </w:rPr>
      </w:pPr>
      <w:r>
        <w:rPr>
          <w:rFonts w:hint="eastAsia" w:ascii="宋体" w:hAnsi="宋体" w:cs="宋体"/>
          <w:sz w:val="24"/>
        </w:rPr>
        <w:t>5）不同投标人的投标文件相互混装。</w:t>
      </w:r>
    </w:p>
    <w:p w14:paraId="756F30DF">
      <w:pPr>
        <w:adjustRightInd/>
        <w:snapToGrid w:val="0"/>
        <w:spacing w:line="460" w:lineRule="exact"/>
        <w:jc w:val="left"/>
        <w:outlineLvl w:val="2"/>
        <w:rPr>
          <w:rFonts w:ascii="宋体" w:hAnsi="宋体" w:cs="宋体"/>
          <w:b/>
          <w:bCs/>
          <w:sz w:val="24"/>
        </w:rPr>
      </w:pPr>
      <w:r>
        <w:rPr>
          <w:rFonts w:hint="eastAsia" w:ascii="宋体" w:hAnsi="宋体" w:cs="宋体"/>
          <w:b/>
          <w:bCs/>
          <w:sz w:val="24"/>
        </w:rPr>
        <w:t xml:space="preserve">                          </w:t>
      </w:r>
    </w:p>
    <w:p w14:paraId="580AF06E">
      <w:pPr>
        <w:adjustRightInd/>
        <w:snapToGrid w:val="0"/>
        <w:spacing w:line="460" w:lineRule="exact"/>
        <w:jc w:val="center"/>
        <w:outlineLvl w:val="2"/>
        <w:rPr>
          <w:rFonts w:ascii="宋体" w:hAnsi="宋体" w:cs="宋体"/>
          <w:b/>
          <w:bCs/>
          <w:sz w:val="32"/>
          <w:szCs w:val="32"/>
        </w:rPr>
      </w:pPr>
      <w:r>
        <w:rPr>
          <w:rFonts w:hint="eastAsia" w:ascii="宋体" w:hAnsi="宋体" w:cs="宋体"/>
          <w:b/>
          <w:bCs/>
          <w:sz w:val="32"/>
          <w:szCs w:val="32"/>
        </w:rPr>
        <w:t>七、  定标</w:t>
      </w:r>
    </w:p>
    <w:p w14:paraId="1734D124">
      <w:pPr>
        <w:pStyle w:val="37"/>
        <w:adjustRightInd/>
        <w:snapToGrid w:val="0"/>
        <w:spacing w:before="0" w:line="460" w:lineRule="exact"/>
        <w:ind w:firstLine="482"/>
        <w:rPr>
          <w:rFonts w:ascii="宋体" w:hAnsi="宋体" w:cs="宋体"/>
          <w:b/>
          <w:szCs w:val="24"/>
        </w:rPr>
      </w:pPr>
      <w:r>
        <w:rPr>
          <w:rFonts w:hint="eastAsia" w:ascii="宋体" w:hAnsi="宋体" w:cs="宋体"/>
          <w:b/>
          <w:szCs w:val="24"/>
        </w:rPr>
        <w:t>7.1确定中标人</w:t>
      </w:r>
    </w:p>
    <w:p w14:paraId="4CAE1DE8">
      <w:pPr>
        <w:adjustRightInd/>
        <w:spacing w:line="460" w:lineRule="exact"/>
        <w:ind w:firstLine="480" w:firstLineChars="200"/>
        <w:rPr>
          <w:rFonts w:ascii="宋体" w:hAnsi="宋体" w:cs="宋体"/>
          <w:sz w:val="24"/>
        </w:rPr>
      </w:pPr>
      <w:r>
        <w:rPr>
          <w:rFonts w:hint="eastAsia" w:ascii="宋体" w:hAnsi="宋体" w:cs="宋体"/>
          <w:sz w:val="24"/>
        </w:rPr>
        <w:t>7.1.1采购代理机构应当自评审结束之日起2个工作日内将评审报告送交采购人。</w:t>
      </w:r>
    </w:p>
    <w:p w14:paraId="4A286D55">
      <w:pPr>
        <w:adjustRightInd/>
        <w:spacing w:line="460" w:lineRule="exact"/>
        <w:ind w:firstLine="420"/>
        <w:rPr>
          <w:rFonts w:ascii="宋体" w:hAnsi="宋体" w:cs="宋体"/>
          <w:sz w:val="24"/>
        </w:rPr>
      </w:pPr>
      <w:r>
        <w:rPr>
          <w:rFonts w:hint="eastAsia" w:ascii="宋体" w:hAnsi="宋体" w:cs="宋体"/>
          <w:sz w:val="24"/>
        </w:rPr>
        <w:t>7.1.2采购人应当自收到评标报告之日起5个工作日内，在评标报告确定的中标候选人名单中按顺序确定中标人。中标候选人并列的，由采购人或者采购人委托评标委员会按照采购文件规定的方式确定中标人；采购文件未规定的，采取随机抽取的方式确定。</w:t>
      </w:r>
    </w:p>
    <w:p w14:paraId="3CA9FAD6">
      <w:pPr>
        <w:adjustRightInd/>
        <w:spacing w:line="460" w:lineRule="exact"/>
        <w:ind w:firstLine="420"/>
        <w:rPr>
          <w:rFonts w:ascii="宋体" w:hAnsi="宋体" w:cs="宋体"/>
          <w:sz w:val="24"/>
        </w:rPr>
      </w:pPr>
      <w:r>
        <w:rPr>
          <w:rFonts w:hint="eastAsia" w:ascii="宋体" w:hAnsi="宋体" w:cs="宋体"/>
          <w:sz w:val="24"/>
        </w:rPr>
        <w:t>采购人在收到评标报告5个工作日内未按评标报告推荐的中标候选人顺序确定中标人，又不能说明合法理由的，视同按评标报告推荐的顺序确定排名第一的中标候选人为中标人。</w:t>
      </w:r>
    </w:p>
    <w:p w14:paraId="3944CFA4">
      <w:pPr>
        <w:adjustRightInd/>
        <w:spacing w:line="460" w:lineRule="exact"/>
        <w:ind w:firstLine="420"/>
        <w:rPr>
          <w:rFonts w:ascii="宋体" w:hAnsi="宋体" w:cs="宋体"/>
          <w:sz w:val="24"/>
        </w:rPr>
      </w:pPr>
      <w:r>
        <w:rPr>
          <w:rFonts w:hint="eastAsia" w:ascii="宋体" w:hAnsi="宋体" w:cs="宋体"/>
          <w:sz w:val="24"/>
        </w:rPr>
        <w:t>7.1.3采购人或者采购代理机构应当自中标人确定之日起2个工作日内，在省级以上财政部门指定的媒体上公告中标结果。</w:t>
      </w:r>
    </w:p>
    <w:p w14:paraId="2B08D17E">
      <w:pPr>
        <w:adjustRightInd/>
        <w:spacing w:line="460" w:lineRule="exact"/>
        <w:ind w:firstLine="420"/>
        <w:rPr>
          <w:rFonts w:ascii="宋体" w:hAnsi="宋体" w:cs="宋体"/>
          <w:sz w:val="24"/>
        </w:rPr>
      </w:pPr>
      <w:r>
        <w:rPr>
          <w:rFonts w:hint="eastAsia" w:ascii="宋体" w:hAnsi="宋体" w:cs="宋体"/>
          <w:sz w:val="24"/>
        </w:rPr>
        <w:t>公告期限为1个工作日。</w:t>
      </w:r>
    </w:p>
    <w:p w14:paraId="6BF87AFD">
      <w:pPr>
        <w:adjustRightInd/>
        <w:spacing w:line="460" w:lineRule="exact"/>
        <w:ind w:firstLine="420"/>
        <w:rPr>
          <w:rFonts w:ascii="宋体" w:hAnsi="宋体" w:cs="宋体"/>
          <w:sz w:val="24"/>
        </w:rPr>
      </w:pPr>
      <w:r>
        <w:rPr>
          <w:rFonts w:hint="eastAsia" w:ascii="宋体" w:hAnsi="宋体" w:cs="宋体"/>
          <w:sz w:val="24"/>
        </w:rPr>
        <w:t xml:space="preserve">7.1.4中标通知书发出后，采购人不得违法改变中标结果，中标人无正当理由不得放弃中标。 </w:t>
      </w:r>
    </w:p>
    <w:p w14:paraId="31E18CC4">
      <w:pPr>
        <w:adjustRightInd/>
        <w:spacing w:line="460" w:lineRule="exact"/>
        <w:jc w:val="center"/>
        <w:rPr>
          <w:rFonts w:ascii="宋体" w:hAnsi="宋体" w:cs="宋体"/>
          <w:b/>
          <w:bCs/>
          <w:sz w:val="32"/>
          <w:szCs w:val="32"/>
        </w:rPr>
      </w:pPr>
      <w:r>
        <w:rPr>
          <w:rFonts w:hint="eastAsia" w:ascii="宋体" w:hAnsi="宋体" w:cs="宋体"/>
          <w:b/>
          <w:bCs/>
          <w:sz w:val="32"/>
          <w:szCs w:val="32"/>
        </w:rPr>
        <w:t>八、废标</w:t>
      </w:r>
    </w:p>
    <w:p w14:paraId="0AD8C6E5">
      <w:pPr>
        <w:adjustRightInd/>
        <w:spacing w:line="460" w:lineRule="exact"/>
        <w:ind w:firstLine="480" w:firstLineChars="200"/>
        <w:rPr>
          <w:rFonts w:ascii="宋体" w:hAnsi="宋体" w:cs="宋体"/>
          <w:sz w:val="24"/>
        </w:rPr>
      </w:pPr>
      <w:r>
        <w:rPr>
          <w:rFonts w:hint="eastAsia" w:ascii="宋体" w:hAnsi="宋体" w:cs="宋体"/>
          <w:sz w:val="24"/>
        </w:rPr>
        <w:t>8.1根据《中华人民共和国政府采购法》第三十六条，出现下列情形之一的，应予以废标：</w:t>
      </w:r>
    </w:p>
    <w:p w14:paraId="77B71091">
      <w:pPr>
        <w:adjustRightInd/>
        <w:spacing w:line="460" w:lineRule="exact"/>
        <w:ind w:firstLine="480" w:firstLineChars="200"/>
        <w:rPr>
          <w:rFonts w:ascii="宋体" w:hAnsi="宋体" w:cs="宋体"/>
          <w:sz w:val="24"/>
        </w:rPr>
      </w:pPr>
      <w:r>
        <w:rPr>
          <w:rFonts w:hint="eastAsia" w:ascii="宋体" w:hAnsi="宋体" w:cs="宋体"/>
          <w:sz w:val="24"/>
        </w:rPr>
        <w:t>8.1.1符合专业条件的供应商或者对采购文件作实质响应的供应商不足三家的；</w:t>
      </w:r>
    </w:p>
    <w:p w14:paraId="3530BA0F">
      <w:pPr>
        <w:adjustRightInd/>
        <w:spacing w:line="460" w:lineRule="exact"/>
        <w:ind w:firstLine="480" w:firstLineChars="200"/>
        <w:rPr>
          <w:rFonts w:ascii="宋体" w:hAnsi="宋体" w:cs="宋体"/>
          <w:sz w:val="24"/>
        </w:rPr>
      </w:pPr>
      <w:r>
        <w:rPr>
          <w:rFonts w:hint="eastAsia" w:ascii="宋体" w:hAnsi="宋体" w:cs="宋体"/>
          <w:sz w:val="24"/>
        </w:rPr>
        <w:t>8.1.2出现影响采购公正的违法、违规行为的；</w:t>
      </w:r>
    </w:p>
    <w:p w14:paraId="24B7612B">
      <w:pPr>
        <w:adjustRightInd/>
        <w:spacing w:line="460" w:lineRule="exact"/>
        <w:ind w:firstLine="480" w:firstLineChars="200"/>
        <w:rPr>
          <w:rFonts w:ascii="宋体" w:hAnsi="宋体" w:cs="宋体"/>
          <w:sz w:val="24"/>
        </w:rPr>
      </w:pPr>
      <w:r>
        <w:rPr>
          <w:rFonts w:hint="eastAsia" w:ascii="宋体" w:hAnsi="宋体" w:cs="宋体"/>
          <w:sz w:val="24"/>
        </w:rPr>
        <w:t>8.1.3所有投标人的报价均超过了采购预算，采购人不能支付的；</w:t>
      </w:r>
    </w:p>
    <w:p w14:paraId="5CA03AA2">
      <w:pPr>
        <w:adjustRightInd/>
        <w:spacing w:line="460" w:lineRule="exact"/>
        <w:ind w:firstLine="480" w:firstLineChars="200"/>
        <w:rPr>
          <w:rFonts w:ascii="宋体" w:hAnsi="宋体" w:cs="宋体"/>
          <w:sz w:val="24"/>
        </w:rPr>
      </w:pPr>
      <w:r>
        <w:rPr>
          <w:rFonts w:hint="eastAsia" w:ascii="宋体" w:hAnsi="宋体" w:cs="宋体"/>
          <w:sz w:val="24"/>
        </w:rPr>
        <w:t>8.1.4因重大变故，采购任务取消的。</w:t>
      </w:r>
    </w:p>
    <w:p w14:paraId="16307C13">
      <w:pPr>
        <w:adjustRightInd/>
        <w:spacing w:line="460" w:lineRule="exact"/>
        <w:ind w:firstLine="480" w:firstLineChars="200"/>
        <w:rPr>
          <w:rFonts w:ascii="宋体" w:hAnsi="宋体" w:cs="宋体"/>
          <w:sz w:val="24"/>
        </w:rPr>
      </w:pPr>
      <w:r>
        <w:rPr>
          <w:rFonts w:hint="eastAsia" w:ascii="宋体" w:hAnsi="宋体" w:cs="宋体"/>
          <w:sz w:val="24"/>
        </w:rPr>
        <w:t>8.2采购过程中出现以下情形，导致电子交易平台无法正常运行，或者无法保证电子交易的公平、公正和安全时，采购组织机构可中止电子交易活动：</w:t>
      </w:r>
    </w:p>
    <w:p w14:paraId="07485FF5">
      <w:pPr>
        <w:adjustRightInd/>
        <w:spacing w:line="460" w:lineRule="exact"/>
        <w:ind w:firstLine="480" w:firstLineChars="200"/>
        <w:rPr>
          <w:rFonts w:ascii="宋体" w:hAnsi="宋体" w:cs="宋体"/>
          <w:sz w:val="24"/>
        </w:rPr>
      </w:pPr>
      <w:r>
        <w:rPr>
          <w:rFonts w:hint="eastAsia" w:ascii="宋体" w:hAnsi="宋体" w:cs="宋体"/>
          <w:sz w:val="24"/>
        </w:rPr>
        <w:t xml:space="preserve">8.2.1电子交易平台发生故障而无法登录访问的； </w:t>
      </w:r>
    </w:p>
    <w:p w14:paraId="5067568F">
      <w:pPr>
        <w:adjustRightInd/>
        <w:spacing w:line="460" w:lineRule="exact"/>
        <w:ind w:firstLine="480" w:firstLineChars="200"/>
        <w:rPr>
          <w:rFonts w:ascii="宋体" w:hAnsi="宋体" w:cs="宋体"/>
          <w:sz w:val="24"/>
        </w:rPr>
      </w:pPr>
      <w:r>
        <w:rPr>
          <w:rFonts w:hint="eastAsia" w:ascii="宋体" w:hAnsi="宋体" w:cs="宋体"/>
          <w:sz w:val="24"/>
        </w:rPr>
        <w:t>8.2.2电子交易平台应用或数据库出现错误，不能进行正常操作的；</w:t>
      </w:r>
    </w:p>
    <w:p w14:paraId="3526FF0D">
      <w:pPr>
        <w:adjustRightInd/>
        <w:spacing w:line="460" w:lineRule="exact"/>
        <w:ind w:firstLine="480" w:firstLineChars="200"/>
        <w:rPr>
          <w:rFonts w:ascii="宋体" w:hAnsi="宋体" w:cs="宋体"/>
          <w:sz w:val="24"/>
        </w:rPr>
      </w:pPr>
      <w:r>
        <w:rPr>
          <w:rFonts w:hint="eastAsia" w:ascii="宋体" w:hAnsi="宋体" w:cs="宋体"/>
          <w:sz w:val="24"/>
        </w:rPr>
        <w:t>8.2.3电子交易平台发现严重安全漏洞，有潜在泄密危险的；</w:t>
      </w:r>
    </w:p>
    <w:p w14:paraId="111D9E08">
      <w:pPr>
        <w:adjustRightInd/>
        <w:spacing w:line="460" w:lineRule="exact"/>
        <w:ind w:firstLine="480" w:firstLineChars="200"/>
        <w:rPr>
          <w:rFonts w:ascii="宋体" w:hAnsi="宋体" w:cs="宋体"/>
          <w:sz w:val="24"/>
        </w:rPr>
      </w:pPr>
      <w:r>
        <w:rPr>
          <w:rFonts w:hint="eastAsia" w:ascii="宋体" w:hAnsi="宋体" w:cs="宋体"/>
          <w:sz w:val="24"/>
        </w:rPr>
        <w:t xml:space="preserve">8.2.4病毒发作导致不能进行正常操作的； </w:t>
      </w:r>
    </w:p>
    <w:p w14:paraId="6A6007D8">
      <w:pPr>
        <w:adjustRightInd/>
        <w:spacing w:line="460" w:lineRule="exact"/>
        <w:ind w:firstLine="480" w:firstLineChars="200"/>
        <w:rPr>
          <w:rFonts w:ascii="宋体" w:hAnsi="宋体" w:cs="宋体"/>
          <w:sz w:val="24"/>
        </w:rPr>
      </w:pPr>
      <w:r>
        <w:rPr>
          <w:rFonts w:hint="eastAsia" w:ascii="宋体" w:hAnsi="宋体" w:cs="宋体"/>
          <w:sz w:val="24"/>
        </w:rPr>
        <w:t>8.2.5其他无法保证电子交易的公平、公正和安全的情况。</w:t>
      </w:r>
    </w:p>
    <w:p w14:paraId="3300E530">
      <w:pPr>
        <w:adjustRightInd/>
        <w:spacing w:line="460" w:lineRule="exact"/>
        <w:ind w:firstLine="420"/>
        <w:rPr>
          <w:rFonts w:ascii="宋体" w:hAnsi="宋体" w:cs="宋体"/>
          <w:sz w:val="24"/>
        </w:rPr>
      </w:pPr>
      <w:r>
        <w:rPr>
          <w:rFonts w:hint="eastAsia" w:ascii="宋体" w:hAnsi="宋体" w:cs="宋体"/>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6B46C846">
      <w:pPr>
        <w:adjustRightInd/>
        <w:spacing w:line="460" w:lineRule="exact"/>
        <w:ind w:firstLine="480" w:firstLineChars="200"/>
        <w:rPr>
          <w:rFonts w:ascii="宋体" w:hAnsi="宋体" w:cs="宋体"/>
          <w:sz w:val="24"/>
        </w:rPr>
      </w:pPr>
      <w:r>
        <w:rPr>
          <w:rFonts w:hint="eastAsia" w:ascii="宋体" w:hAnsi="宋体" w:cs="宋体"/>
          <w:sz w:val="24"/>
        </w:rPr>
        <w:t>8.2.6 废标后，采购人应当将废标理由通知所有投标人并重新组织招标；或者经主管部门批准，采取其他方式组织采购。</w:t>
      </w:r>
    </w:p>
    <w:p w14:paraId="6E7CB319">
      <w:pPr>
        <w:pStyle w:val="3"/>
        <w:tabs>
          <w:tab w:val="left" w:pos="358"/>
          <w:tab w:val="clear" w:pos="432"/>
        </w:tabs>
        <w:spacing w:line="460" w:lineRule="exact"/>
        <w:jc w:val="center"/>
        <w:rPr>
          <w:rFonts w:ascii="宋体" w:hAnsi="宋体" w:eastAsia="宋体" w:cs="宋体"/>
        </w:rPr>
      </w:pPr>
      <w:bookmarkStart w:id="43" w:name="_Toc450482502"/>
      <w:bookmarkStart w:id="44" w:name="_Toc54978896"/>
      <w:bookmarkStart w:id="45" w:name="_Toc35261577"/>
      <w:r>
        <w:rPr>
          <w:rFonts w:hint="eastAsia" w:ascii="宋体" w:hAnsi="宋体" w:eastAsia="宋体" w:cs="宋体"/>
        </w:rPr>
        <w:t>九、合同授予</w:t>
      </w:r>
      <w:bookmarkEnd w:id="43"/>
      <w:r>
        <w:rPr>
          <w:rFonts w:hint="eastAsia" w:ascii="宋体" w:hAnsi="宋体" w:eastAsia="宋体" w:cs="宋体"/>
        </w:rPr>
        <w:t>及签订</w:t>
      </w:r>
      <w:bookmarkEnd w:id="44"/>
      <w:bookmarkEnd w:id="45"/>
    </w:p>
    <w:p w14:paraId="204B47BA">
      <w:pPr>
        <w:adjustRightInd/>
        <w:spacing w:line="460" w:lineRule="exact"/>
        <w:ind w:firstLine="420"/>
        <w:rPr>
          <w:rFonts w:ascii="宋体" w:hAnsi="宋体" w:cs="宋体"/>
          <w:sz w:val="24"/>
        </w:rPr>
      </w:pPr>
      <w:r>
        <w:rPr>
          <w:rFonts w:hint="eastAsia" w:ascii="宋体" w:hAnsi="宋体" w:cs="宋体"/>
          <w:sz w:val="24"/>
        </w:rPr>
        <w:t>9.1合同授予</w:t>
      </w:r>
    </w:p>
    <w:p w14:paraId="345EC20F">
      <w:pPr>
        <w:adjustRightInd/>
        <w:spacing w:line="460" w:lineRule="exact"/>
        <w:ind w:firstLine="420"/>
        <w:rPr>
          <w:rFonts w:ascii="宋体" w:hAnsi="宋体" w:cs="宋体"/>
          <w:sz w:val="24"/>
        </w:rPr>
      </w:pPr>
      <w:r>
        <w:rPr>
          <w:rFonts w:hint="eastAsia" w:ascii="宋体" w:hAnsi="宋体" w:cs="宋体"/>
          <w:sz w:val="24"/>
        </w:rPr>
        <w:t>9.1.1本项目的合同将授予按本须知第7.1.1款所确定的中标人。</w:t>
      </w:r>
    </w:p>
    <w:p w14:paraId="36A874C1">
      <w:pPr>
        <w:adjustRightInd/>
        <w:spacing w:line="460" w:lineRule="exact"/>
        <w:ind w:firstLine="420"/>
        <w:rPr>
          <w:rFonts w:ascii="宋体" w:hAnsi="宋体" w:cs="宋体"/>
          <w:sz w:val="24"/>
        </w:rPr>
      </w:pPr>
      <w:r>
        <w:rPr>
          <w:rFonts w:hint="eastAsia" w:ascii="宋体" w:hAnsi="宋体" w:cs="宋体"/>
          <w:sz w:val="24"/>
        </w:rPr>
        <w:t>9.1.2 中标或者成交供应商拒绝与采购人签订合同的，采购人可以按照评审报告推荐的中标或者成交候选人名单排序，确定下一候选人为中标或者成交供应商，也可以重新开展采购活动。</w:t>
      </w:r>
    </w:p>
    <w:p w14:paraId="4A57FCA0">
      <w:pPr>
        <w:adjustRightInd/>
        <w:spacing w:line="460" w:lineRule="exact"/>
        <w:ind w:firstLine="420"/>
        <w:rPr>
          <w:rFonts w:ascii="宋体" w:hAnsi="宋体" w:cs="宋体"/>
          <w:sz w:val="24"/>
        </w:rPr>
      </w:pPr>
      <w:r>
        <w:rPr>
          <w:rFonts w:hint="eastAsia" w:ascii="宋体" w:hAnsi="宋体" w:cs="宋体"/>
          <w:sz w:val="24"/>
        </w:rPr>
        <w:t>9.2签订合同</w:t>
      </w:r>
    </w:p>
    <w:p w14:paraId="283A7BCB">
      <w:pPr>
        <w:adjustRightInd/>
        <w:spacing w:line="460" w:lineRule="exact"/>
        <w:ind w:firstLine="420"/>
        <w:rPr>
          <w:rFonts w:ascii="宋体" w:hAnsi="宋体" w:cs="宋体"/>
          <w:sz w:val="24"/>
        </w:rPr>
      </w:pPr>
      <w:r>
        <w:rPr>
          <w:rFonts w:hint="eastAsia" w:ascii="宋体" w:hAnsi="宋体" w:cs="宋体"/>
          <w:sz w:val="24"/>
        </w:rPr>
        <w:t>9.2.1 中标人应按中标通知书规定的时间与采购人签订合同。</w:t>
      </w:r>
    </w:p>
    <w:p w14:paraId="1FF1CC8B">
      <w:pPr>
        <w:adjustRightInd/>
        <w:spacing w:line="460" w:lineRule="exact"/>
        <w:ind w:firstLine="420"/>
        <w:rPr>
          <w:rFonts w:ascii="宋体" w:hAnsi="宋体" w:cs="宋体"/>
          <w:sz w:val="24"/>
        </w:rPr>
      </w:pPr>
      <w:r>
        <w:rPr>
          <w:rFonts w:hint="eastAsia" w:ascii="宋体" w:hAnsi="宋体" w:cs="宋体"/>
          <w:sz w:val="24"/>
        </w:rPr>
        <w:t>9.2.2 中标人如不遵守采购文件或投标文件各项条款的邀约与要约，或在接到中标通知书后借故拖延，拒签合同的，采购人将依据国家和采购文件有关规定要求中标人予以赔偿，同时采购人可根据相关规定另行选择中标人；</w:t>
      </w:r>
    </w:p>
    <w:p w14:paraId="0C644179">
      <w:pPr>
        <w:adjustRightInd/>
        <w:spacing w:line="460" w:lineRule="exact"/>
        <w:ind w:firstLine="420"/>
        <w:rPr>
          <w:rFonts w:ascii="宋体" w:hAnsi="宋体" w:cs="宋体"/>
          <w:sz w:val="24"/>
        </w:rPr>
      </w:pPr>
      <w:r>
        <w:rPr>
          <w:rFonts w:hint="eastAsia" w:ascii="宋体" w:hAnsi="宋体" w:cs="宋体"/>
          <w:sz w:val="24"/>
        </w:rPr>
        <w:t>9.2.3 采购文件、中标人的投标文件及投标修改文件、评标过程中有关澄清文件及经投标人法定代表人或授权代表签字确认的询标回复和承诺及中标通知书均作为合同组成部分。</w:t>
      </w:r>
    </w:p>
    <w:p w14:paraId="195B8988">
      <w:pPr>
        <w:adjustRightInd/>
        <w:spacing w:line="460" w:lineRule="exact"/>
        <w:ind w:firstLine="420"/>
        <w:rPr>
          <w:rFonts w:ascii="宋体" w:hAnsi="宋体" w:cs="宋体"/>
          <w:sz w:val="24"/>
        </w:rPr>
      </w:pPr>
      <w:r>
        <w:rPr>
          <w:rFonts w:hint="eastAsia" w:ascii="宋体" w:hAnsi="宋体" w:cs="宋体"/>
          <w:sz w:val="24"/>
        </w:rPr>
        <w:t>9.3履约保证金</w:t>
      </w:r>
    </w:p>
    <w:p w14:paraId="439BBE47">
      <w:pPr>
        <w:adjustRightInd/>
        <w:spacing w:line="460" w:lineRule="exact"/>
        <w:ind w:firstLine="420"/>
        <w:rPr>
          <w:rFonts w:ascii="宋体" w:hAnsi="宋体" w:cs="宋体"/>
          <w:sz w:val="24"/>
        </w:rPr>
      </w:pPr>
      <w:r>
        <w:rPr>
          <w:rFonts w:hint="eastAsia" w:ascii="宋体" w:hAnsi="宋体" w:cs="宋体"/>
          <w:sz w:val="24"/>
        </w:rPr>
        <w:t>9.3.1中标人按“投标人须知前附表”的规定缴纳履约保证金。</w:t>
      </w:r>
    </w:p>
    <w:p w14:paraId="7ED70315">
      <w:pPr>
        <w:adjustRightInd/>
        <w:spacing w:line="460" w:lineRule="exact"/>
        <w:ind w:firstLine="420"/>
        <w:rPr>
          <w:rFonts w:ascii="宋体" w:hAnsi="宋体" w:cs="宋体"/>
          <w:sz w:val="24"/>
        </w:rPr>
      </w:pPr>
      <w:r>
        <w:rPr>
          <w:rFonts w:hint="eastAsia" w:ascii="宋体" w:hAnsi="宋体" w:cs="宋体"/>
          <w:sz w:val="24"/>
        </w:rPr>
        <w:t>9.3.2履约保证金有效期按“投标人须知前附表”规定。</w:t>
      </w:r>
    </w:p>
    <w:p w14:paraId="4D1CC9AD">
      <w:pPr>
        <w:adjustRightInd/>
        <w:spacing w:line="460" w:lineRule="exact"/>
        <w:ind w:firstLine="420"/>
        <w:rPr>
          <w:rFonts w:ascii="宋体" w:hAnsi="宋体" w:cs="宋体"/>
          <w:sz w:val="24"/>
        </w:rPr>
      </w:pPr>
      <w:r>
        <w:rPr>
          <w:rFonts w:hint="eastAsia" w:ascii="宋体" w:hAnsi="宋体" w:cs="宋体"/>
          <w:sz w:val="24"/>
        </w:rPr>
        <w:t>9.3.3履约保证金有效期结束后，中标人凭保证金收据无息退还。</w:t>
      </w:r>
    </w:p>
    <w:p w14:paraId="44376467">
      <w:pPr>
        <w:adjustRightInd/>
        <w:spacing w:line="460" w:lineRule="exact"/>
        <w:ind w:firstLine="420"/>
        <w:rPr>
          <w:rFonts w:ascii="宋体" w:hAnsi="宋体" w:cs="宋体"/>
          <w:sz w:val="24"/>
        </w:rPr>
      </w:pPr>
      <w:r>
        <w:rPr>
          <w:rFonts w:hint="eastAsia" w:ascii="宋体" w:hAnsi="宋体" w:cs="宋体"/>
          <w:sz w:val="24"/>
        </w:rPr>
        <w:t>9.3.4如投标人有下列情况，投标人将承担赔偿责任，赔偿金额为项目预算金额的2%，如实际损失超过前述金额的，投标人需赔偿超过前述金额部分的实际损失。</w:t>
      </w:r>
    </w:p>
    <w:p w14:paraId="3F5A5FDB">
      <w:pPr>
        <w:adjustRightInd/>
        <w:spacing w:line="460" w:lineRule="exact"/>
        <w:ind w:firstLine="420"/>
        <w:rPr>
          <w:rFonts w:ascii="宋体" w:hAnsi="宋体" w:cs="宋体"/>
          <w:sz w:val="24"/>
        </w:rPr>
      </w:pPr>
      <w:r>
        <w:rPr>
          <w:rFonts w:hint="eastAsia" w:ascii="宋体" w:hAnsi="宋体" w:cs="宋体"/>
          <w:sz w:val="24"/>
        </w:rPr>
        <w:t>9.3.4.1投标人在投标截止时间后撤销投标文件的；</w:t>
      </w:r>
    </w:p>
    <w:p w14:paraId="60D05900">
      <w:pPr>
        <w:adjustRightInd/>
        <w:spacing w:line="460" w:lineRule="exact"/>
        <w:ind w:firstLine="420"/>
        <w:rPr>
          <w:rFonts w:ascii="宋体" w:hAnsi="宋体" w:cs="宋体"/>
          <w:sz w:val="24"/>
        </w:rPr>
      </w:pPr>
      <w:r>
        <w:rPr>
          <w:rFonts w:hint="eastAsia" w:ascii="宋体" w:hAnsi="宋体" w:cs="宋体"/>
          <w:sz w:val="24"/>
        </w:rPr>
        <w:t>9.3.4.2投标人未按规定签订合同或转让中标的；</w:t>
      </w:r>
    </w:p>
    <w:p w14:paraId="38707FD9">
      <w:pPr>
        <w:adjustRightInd/>
        <w:spacing w:line="460" w:lineRule="exact"/>
        <w:ind w:firstLine="420"/>
        <w:rPr>
          <w:rFonts w:ascii="宋体" w:hAnsi="宋体" w:cs="宋体"/>
          <w:sz w:val="24"/>
        </w:rPr>
      </w:pPr>
      <w:r>
        <w:rPr>
          <w:rFonts w:hint="eastAsia" w:ascii="宋体" w:hAnsi="宋体" w:cs="宋体"/>
          <w:sz w:val="24"/>
        </w:rPr>
        <w:t>9.3.4.3其他投标人违反《中华人民共和国政府采购法》等法律法规规定，给采购人造成损失的。</w:t>
      </w:r>
    </w:p>
    <w:p w14:paraId="79843E5E">
      <w:pPr>
        <w:adjustRightInd/>
        <w:spacing w:line="460" w:lineRule="exact"/>
        <w:ind w:firstLine="420"/>
        <w:rPr>
          <w:rFonts w:ascii="宋体" w:hAnsi="宋体" w:cs="宋体"/>
          <w:sz w:val="24"/>
        </w:rPr>
      </w:pPr>
      <w:r>
        <w:rPr>
          <w:rFonts w:hint="eastAsia" w:ascii="宋体" w:hAnsi="宋体" w:cs="宋体"/>
          <w:sz w:val="24"/>
        </w:rPr>
        <w:t>9.4投标保证金的交纳与退还</w:t>
      </w:r>
    </w:p>
    <w:p w14:paraId="5438C620">
      <w:pPr>
        <w:adjustRightInd/>
        <w:spacing w:line="460" w:lineRule="exact"/>
        <w:ind w:firstLine="420"/>
        <w:rPr>
          <w:rFonts w:ascii="宋体" w:hAnsi="宋体" w:cs="宋体"/>
          <w:sz w:val="24"/>
        </w:rPr>
      </w:pPr>
      <w:r>
        <w:rPr>
          <w:rFonts w:hint="eastAsia" w:ascii="宋体" w:hAnsi="宋体" w:cs="宋体"/>
          <w:sz w:val="24"/>
        </w:rPr>
        <w:t>9.4.1 投标人须按规定提交投标保证金，超时的作无效标处理。</w:t>
      </w:r>
    </w:p>
    <w:p w14:paraId="5AFBE902">
      <w:pPr>
        <w:adjustRightInd/>
        <w:spacing w:line="460" w:lineRule="exact"/>
        <w:ind w:firstLine="420"/>
        <w:rPr>
          <w:rFonts w:ascii="宋体" w:hAnsi="宋体" w:cs="宋体"/>
          <w:sz w:val="24"/>
        </w:rPr>
      </w:pPr>
      <w:r>
        <w:rPr>
          <w:rFonts w:hint="eastAsia" w:ascii="宋体" w:hAnsi="宋体" w:cs="宋体"/>
          <w:sz w:val="24"/>
        </w:rPr>
        <w:t>9.4.2保证金形式：单位网银、转账支票、汇票、汇兑。</w:t>
      </w:r>
    </w:p>
    <w:p w14:paraId="5CB995C3">
      <w:pPr>
        <w:adjustRightInd/>
        <w:spacing w:line="460" w:lineRule="exact"/>
        <w:ind w:firstLine="420"/>
        <w:rPr>
          <w:rFonts w:ascii="宋体" w:hAnsi="宋体" w:cs="宋体"/>
          <w:sz w:val="24"/>
        </w:rPr>
      </w:pPr>
      <w:r>
        <w:rPr>
          <w:rFonts w:hint="eastAsia" w:ascii="宋体" w:hAnsi="宋体" w:cs="宋体"/>
          <w:sz w:val="24"/>
        </w:rPr>
        <w:t>9.4.3未中标人的投标保证金在中标通知书发出后</w:t>
      </w:r>
      <w:r>
        <w:rPr>
          <w:rFonts w:hint="eastAsia" w:ascii="宋体" w:hAnsi="宋体" w:cs="宋体"/>
          <w:sz w:val="24"/>
          <w:lang w:val="en-US" w:eastAsia="zh-CN"/>
        </w:rPr>
        <w:t>5</w:t>
      </w:r>
      <w:r>
        <w:rPr>
          <w:rFonts w:hint="eastAsia" w:ascii="宋体" w:hAnsi="宋体" w:cs="宋体"/>
          <w:sz w:val="24"/>
        </w:rPr>
        <w:t>个工作日内退还。</w:t>
      </w:r>
    </w:p>
    <w:p w14:paraId="5587A1E3">
      <w:pPr>
        <w:adjustRightInd/>
        <w:spacing w:line="460" w:lineRule="exact"/>
        <w:ind w:firstLine="420"/>
        <w:rPr>
          <w:rFonts w:ascii="宋体" w:hAnsi="宋体" w:cs="宋体"/>
          <w:sz w:val="24"/>
        </w:rPr>
      </w:pPr>
      <w:r>
        <w:rPr>
          <w:rFonts w:hint="eastAsia" w:ascii="宋体" w:hAnsi="宋体" w:cs="宋体"/>
          <w:sz w:val="24"/>
        </w:rPr>
        <w:t>9.4.4中标人应在中标通知书发出后按招标文件规定的时间内与招标人签订合同，并交纳招标文件规定的履约保证金，中标人的投标保证金在合同签订后5个工作日内退还。</w:t>
      </w:r>
    </w:p>
    <w:p w14:paraId="431D8253">
      <w:pPr>
        <w:adjustRightInd/>
        <w:spacing w:line="460" w:lineRule="exact"/>
        <w:ind w:firstLine="420"/>
        <w:rPr>
          <w:rFonts w:ascii="宋体" w:hAnsi="宋体" w:cs="宋体"/>
          <w:sz w:val="24"/>
        </w:rPr>
      </w:pPr>
      <w:r>
        <w:rPr>
          <w:rFonts w:hint="eastAsia" w:ascii="宋体" w:hAnsi="宋体" w:cs="宋体"/>
          <w:sz w:val="24"/>
        </w:rPr>
        <w:t>9.4.5保证金不计息。</w:t>
      </w:r>
    </w:p>
    <w:p w14:paraId="617F3CEC">
      <w:pPr>
        <w:adjustRightInd/>
        <w:spacing w:line="460" w:lineRule="exact"/>
        <w:ind w:firstLine="420"/>
        <w:rPr>
          <w:rFonts w:ascii="宋体" w:hAnsi="宋体" w:cs="宋体"/>
          <w:sz w:val="24"/>
        </w:rPr>
      </w:pPr>
      <w:r>
        <w:rPr>
          <w:rFonts w:hint="eastAsia" w:ascii="宋体" w:hAnsi="宋体" w:cs="宋体"/>
          <w:sz w:val="24"/>
        </w:rPr>
        <w:t>9.4.6投标人有下列情形之一的，投标保证金将不予退还：</w:t>
      </w:r>
    </w:p>
    <w:p w14:paraId="35E4BCE8">
      <w:pPr>
        <w:pStyle w:val="72"/>
        <w:numPr>
          <w:ilvl w:val="0"/>
          <w:numId w:val="5"/>
        </w:numPr>
        <w:adjustRightInd/>
        <w:spacing w:line="460" w:lineRule="exact"/>
        <w:ind w:firstLineChars="0"/>
        <w:rPr>
          <w:rFonts w:ascii="宋体" w:hAnsi="宋体" w:cs="宋体"/>
          <w:sz w:val="24"/>
        </w:rPr>
      </w:pPr>
      <w:r>
        <w:rPr>
          <w:rFonts w:hint="eastAsia" w:ascii="宋体" w:hAnsi="宋体" w:cs="宋体"/>
          <w:sz w:val="24"/>
        </w:rPr>
        <w:t>投标人在投标有效期内撤回投标文件的；</w:t>
      </w:r>
    </w:p>
    <w:p w14:paraId="7ADB134D">
      <w:pPr>
        <w:pStyle w:val="72"/>
        <w:numPr>
          <w:ilvl w:val="0"/>
          <w:numId w:val="5"/>
        </w:numPr>
        <w:adjustRightInd/>
        <w:spacing w:line="460" w:lineRule="exact"/>
        <w:ind w:firstLineChars="0"/>
        <w:rPr>
          <w:rFonts w:ascii="宋体" w:hAnsi="宋体" w:cs="宋体"/>
          <w:sz w:val="24"/>
        </w:rPr>
      </w:pPr>
      <w:r>
        <w:rPr>
          <w:rFonts w:hint="eastAsia" w:ascii="宋体" w:hAnsi="宋体" w:cs="宋体"/>
          <w:sz w:val="24"/>
        </w:rPr>
        <w:t>未按规定提交履约保证金的；</w:t>
      </w:r>
    </w:p>
    <w:p w14:paraId="3ABE0156">
      <w:pPr>
        <w:pStyle w:val="72"/>
        <w:numPr>
          <w:ilvl w:val="0"/>
          <w:numId w:val="5"/>
        </w:numPr>
        <w:adjustRightInd/>
        <w:spacing w:line="460" w:lineRule="exact"/>
        <w:ind w:firstLineChars="0"/>
        <w:rPr>
          <w:rFonts w:ascii="宋体" w:hAnsi="宋体" w:cs="宋体"/>
          <w:sz w:val="24"/>
        </w:rPr>
      </w:pPr>
      <w:r>
        <w:rPr>
          <w:rFonts w:hint="eastAsia" w:ascii="宋体" w:hAnsi="宋体" w:cs="宋体"/>
          <w:sz w:val="24"/>
        </w:rPr>
        <w:t>投标人在投标过程中弄虚作假，提供虚假材料的；</w:t>
      </w:r>
    </w:p>
    <w:p w14:paraId="68B2D1E6">
      <w:pPr>
        <w:pStyle w:val="72"/>
        <w:numPr>
          <w:ilvl w:val="0"/>
          <w:numId w:val="5"/>
        </w:numPr>
        <w:adjustRightInd/>
        <w:spacing w:line="460" w:lineRule="exact"/>
        <w:ind w:firstLineChars="0"/>
        <w:rPr>
          <w:rFonts w:ascii="宋体" w:hAnsi="宋体" w:cs="宋体"/>
          <w:sz w:val="24"/>
        </w:rPr>
      </w:pPr>
      <w:r>
        <w:rPr>
          <w:rFonts w:hint="eastAsia" w:ascii="宋体" w:hAnsi="宋体" w:cs="宋体"/>
          <w:sz w:val="24"/>
        </w:rPr>
        <w:t>中标人无正当理由不与招标人签订合同的；</w:t>
      </w:r>
    </w:p>
    <w:p w14:paraId="41035EC6">
      <w:pPr>
        <w:pStyle w:val="72"/>
        <w:numPr>
          <w:ilvl w:val="0"/>
          <w:numId w:val="5"/>
        </w:numPr>
        <w:adjustRightInd/>
        <w:spacing w:line="460" w:lineRule="exact"/>
        <w:ind w:firstLineChars="0"/>
        <w:rPr>
          <w:rFonts w:ascii="宋体" w:hAnsi="宋体" w:cs="宋体"/>
          <w:sz w:val="24"/>
        </w:rPr>
      </w:pPr>
      <w:r>
        <w:rPr>
          <w:rFonts w:hint="eastAsia" w:ascii="宋体" w:hAnsi="宋体" w:cs="宋体"/>
          <w:sz w:val="24"/>
        </w:rPr>
        <w:t>其他严重扰乱招投标程序的。</w:t>
      </w:r>
    </w:p>
    <w:p w14:paraId="22151779">
      <w:pPr>
        <w:pStyle w:val="3"/>
        <w:tabs>
          <w:tab w:val="left" w:pos="358"/>
          <w:tab w:val="clear" w:pos="432"/>
        </w:tabs>
        <w:spacing w:line="460" w:lineRule="exact"/>
        <w:jc w:val="center"/>
        <w:rPr>
          <w:rFonts w:ascii="宋体" w:hAnsi="宋体" w:eastAsia="宋体" w:cs="宋体"/>
        </w:rPr>
      </w:pPr>
      <w:bookmarkStart w:id="46" w:name="_Toc54978897"/>
      <w:bookmarkStart w:id="47" w:name="_Toc35261578"/>
      <w:r>
        <w:rPr>
          <w:rFonts w:hint="eastAsia" w:ascii="宋体" w:hAnsi="宋体" w:eastAsia="宋体" w:cs="宋体"/>
        </w:rPr>
        <w:t>十、询问、质疑</w:t>
      </w:r>
      <w:r>
        <w:rPr>
          <w:rFonts w:hint="eastAsia" w:ascii="宋体" w:hAnsi="宋体" w:eastAsia="宋体" w:cs="宋体"/>
          <w:lang w:eastAsia="zh-CN"/>
        </w:rPr>
        <w:t>、</w:t>
      </w:r>
      <w:r>
        <w:rPr>
          <w:rFonts w:hint="eastAsia" w:ascii="宋体" w:hAnsi="宋体" w:eastAsia="宋体" w:cs="宋体"/>
        </w:rPr>
        <w:t>投诉</w:t>
      </w:r>
      <w:bookmarkEnd w:id="46"/>
      <w:bookmarkEnd w:id="47"/>
    </w:p>
    <w:p w14:paraId="74DE5198">
      <w:pPr>
        <w:adjustRightInd/>
        <w:spacing w:line="460" w:lineRule="exact"/>
        <w:ind w:firstLine="420"/>
        <w:rPr>
          <w:rFonts w:ascii="宋体" w:hAnsi="宋体" w:cs="宋体"/>
          <w:sz w:val="24"/>
        </w:rPr>
      </w:pPr>
      <w:r>
        <w:rPr>
          <w:rFonts w:hint="eastAsia" w:ascii="宋体" w:hAnsi="宋体" w:cs="宋体"/>
          <w:sz w:val="24"/>
        </w:rPr>
        <w:t>根据《中华人民共和国政府采购法》、《财政部关于加强政府采购供应商投诉受理审查工作的通知》(财库〔2007〕1号)和《政府采购质疑和投诉办法》（财政部令第94号）的规定，采购供应商（投标人，下同）可以依法提起质疑和投诉。</w:t>
      </w:r>
    </w:p>
    <w:p w14:paraId="0BEA59A3">
      <w:pPr>
        <w:adjustRightInd/>
        <w:spacing w:line="460" w:lineRule="exact"/>
        <w:ind w:firstLine="420"/>
        <w:rPr>
          <w:rFonts w:ascii="宋体" w:hAnsi="宋体" w:cs="宋体"/>
          <w:sz w:val="24"/>
        </w:rPr>
      </w:pPr>
      <w:r>
        <w:rPr>
          <w:rFonts w:hint="eastAsia" w:ascii="宋体" w:hAnsi="宋体" w:cs="宋体"/>
          <w:sz w:val="24"/>
        </w:rPr>
        <w:t>质疑函范本、投诉书范本请到浙江政府采购网下载专区下载。</w:t>
      </w:r>
    </w:p>
    <w:p w14:paraId="1A91F3DD">
      <w:pPr>
        <w:adjustRightInd/>
        <w:spacing w:line="460" w:lineRule="exact"/>
        <w:ind w:firstLine="420"/>
        <w:rPr>
          <w:rFonts w:ascii="宋体" w:hAnsi="宋体" w:cs="宋体"/>
          <w:sz w:val="24"/>
        </w:rPr>
      </w:pPr>
      <w:r>
        <w:rPr>
          <w:rFonts w:hint="eastAsia" w:ascii="宋体" w:hAnsi="宋体" w:cs="宋体"/>
          <w:sz w:val="24"/>
        </w:rPr>
        <w:t>10.1供应商询问</w:t>
      </w:r>
    </w:p>
    <w:p w14:paraId="260B4370">
      <w:pPr>
        <w:adjustRightInd/>
        <w:spacing w:line="460" w:lineRule="exact"/>
        <w:ind w:firstLine="420"/>
        <w:rPr>
          <w:rFonts w:ascii="宋体" w:hAnsi="宋体" w:cs="宋体"/>
          <w:sz w:val="24"/>
        </w:rPr>
      </w:pPr>
      <w:r>
        <w:rPr>
          <w:rFonts w:hint="eastAsia" w:ascii="宋体" w:hAnsi="宋体" w:cs="宋体"/>
          <w:sz w:val="24"/>
        </w:rPr>
        <w:t>供应商对采购活动事项有疑问的，可以向采购机构提出询问，采购人或者采购代理机构应当在3个工作日内对供应商依法提出的询问作出答复，但答复的内容不得涉及商业秘密。</w:t>
      </w:r>
    </w:p>
    <w:p w14:paraId="5E9C7856">
      <w:pPr>
        <w:adjustRightInd/>
        <w:spacing w:line="460" w:lineRule="exact"/>
        <w:ind w:firstLine="420"/>
        <w:rPr>
          <w:rFonts w:ascii="宋体" w:hAnsi="宋体" w:cs="宋体"/>
          <w:sz w:val="24"/>
        </w:rPr>
      </w:pPr>
      <w:r>
        <w:rPr>
          <w:rFonts w:hint="eastAsia" w:ascii="宋体" w:hAnsi="宋体" w:cs="宋体"/>
          <w:sz w:val="24"/>
        </w:rPr>
        <w:t>10.2供应商质疑</w:t>
      </w:r>
    </w:p>
    <w:p w14:paraId="41656C9B">
      <w:pPr>
        <w:adjustRightInd/>
        <w:spacing w:line="460" w:lineRule="exact"/>
        <w:ind w:firstLine="420"/>
        <w:rPr>
          <w:rFonts w:ascii="宋体" w:hAnsi="宋体" w:cs="宋体"/>
          <w:sz w:val="24"/>
        </w:rPr>
      </w:pPr>
      <w:r>
        <w:rPr>
          <w:rFonts w:hint="eastAsia" w:ascii="宋体" w:hAnsi="宋体" w:cs="宋体"/>
          <w:sz w:val="24"/>
        </w:rPr>
        <w:t>10.2.1投标人认为采购文件、采购过程、中标或者成交结果使自己的权益受到损害的，可以在知道或者应知其权益受到损害之日起7个工作日内，以书面形式向采购人、采购代理机构提出质疑。</w:t>
      </w:r>
    </w:p>
    <w:p w14:paraId="319B0D40">
      <w:pPr>
        <w:adjustRightInd/>
        <w:spacing w:line="460" w:lineRule="exact"/>
        <w:ind w:firstLine="420"/>
        <w:rPr>
          <w:rFonts w:ascii="宋体" w:hAnsi="宋体" w:cs="宋体"/>
          <w:sz w:val="24"/>
        </w:rPr>
      </w:pPr>
      <w:r>
        <w:rPr>
          <w:rFonts w:hint="eastAsia" w:ascii="宋体" w:hAnsi="宋体" w:cs="宋体"/>
          <w:sz w:val="24"/>
        </w:rPr>
        <w:t>本项目要求投标人在法定质疑期内一次性提出针对同一采购程序环节的质疑。</w:t>
      </w:r>
    </w:p>
    <w:p w14:paraId="321197DB">
      <w:pPr>
        <w:adjustRightInd/>
        <w:spacing w:line="460" w:lineRule="exact"/>
        <w:ind w:firstLine="420"/>
        <w:rPr>
          <w:rFonts w:ascii="宋体" w:hAnsi="宋体" w:cs="宋体"/>
          <w:sz w:val="24"/>
        </w:rPr>
      </w:pPr>
      <w:r>
        <w:rPr>
          <w:rFonts w:hint="eastAsia" w:ascii="宋体" w:hAnsi="宋体" w:cs="宋体"/>
          <w:sz w:val="24"/>
        </w:rPr>
        <w:t>10.2.2提出质疑的投标人（以下简称质疑人）应当是参与所质疑项目采购活动的投标人。</w:t>
      </w:r>
    </w:p>
    <w:p w14:paraId="35939D99">
      <w:pPr>
        <w:adjustRightInd/>
        <w:spacing w:line="460" w:lineRule="exact"/>
        <w:ind w:firstLine="420"/>
        <w:rPr>
          <w:rFonts w:ascii="宋体" w:hAnsi="宋体" w:cs="宋体"/>
          <w:sz w:val="24"/>
        </w:rPr>
      </w:pPr>
      <w:r>
        <w:rPr>
          <w:rFonts w:hint="eastAsia" w:ascii="宋体" w:hAnsi="宋体" w:cs="宋体"/>
          <w:sz w:val="24"/>
        </w:rPr>
        <w:t>潜在投标人已依法获取其可质疑的采购文件的，可以对该文件提出质疑。对采购文件提出质疑的，应当在获取采购文件或者采购文件公告期限届满之日起7个工作日内提出。</w:t>
      </w:r>
    </w:p>
    <w:p w14:paraId="1C4FDA0E">
      <w:pPr>
        <w:adjustRightInd/>
        <w:spacing w:line="460" w:lineRule="exact"/>
        <w:ind w:firstLine="420"/>
        <w:rPr>
          <w:rFonts w:ascii="宋体" w:hAnsi="宋体" w:cs="宋体"/>
          <w:sz w:val="24"/>
        </w:rPr>
      </w:pPr>
      <w:r>
        <w:rPr>
          <w:rFonts w:hint="eastAsia" w:ascii="宋体" w:hAnsi="宋体" w:cs="宋体"/>
          <w:sz w:val="24"/>
        </w:rPr>
        <w:t>10.2.3投标人提出质疑应当提交质疑函和必要的证明材料。质疑函应当包括下列内容：</w:t>
      </w:r>
    </w:p>
    <w:p w14:paraId="4FB0B335">
      <w:pPr>
        <w:adjustRightInd/>
        <w:spacing w:line="460" w:lineRule="exact"/>
        <w:ind w:firstLine="420"/>
        <w:rPr>
          <w:rFonts w:ascii="宋体" w:hAnsi="宋体" w:cs="宋体"/>
          <w:sz w:val="24"/>
        </w:rPr>
      </w:pPr>
      <w:r>
        <w:rPr>
          <w:rFonts w:hint="eastAsia" w:ascii="宋体" w:hAnsi="宋体" w:cs="宋体"/>
          <w:sz w:val="24"/>
        </w:rPr>
        <w:t>（一）投标人的姓名或者名称、地址、邮编、联系人及联系电话；</w:t>
      </w:r>
    </w:p>
    <w:p w14:paraId="41D7A481">
      <w:pPr>
        <w:adjustRightInd/>
        <w:spacing w:line="460" w:lineRule="exact"/>
        <w:ind w:firstLine="420"/>
        <w:rPr>
          <w:rFonts w:ascii="宋体" w:hAnsi="宋体" w:cs="宋体"/>
          <w:sz w:val="24"/>
        </w:rPr>
      </w:pPr>
      <w:r>
        <w:rPr>
          <w:rFonts w:hint="eastAsia" w:ascii="宋体" w:hAnsi="宋体" w:cs="宋体"/>
          <w:sz w:val="24"/>
        </w:rPr>
        <w:t>（二）质疑项目的名称、编号；</w:t>
      </w:r>
    </w:p>
    <w:p w14:paraId="20B2EEF1">
      <w:pPr>
        <w:adjustRightInd/>
        <w:spacing w:line="460" w:lineRule="exact"/>
        <w:ind w:firstLine="420"/>
        <w:rPr>
          <w:rFonts w:ascii="宋体" w:hAnsi="宋体" w:cs="宋体"/>
          <w:sz w:val="24"/>
        </w:rPr>
      </w:pPr>
      <w:r>
        <w:rPr>
          <w:rFonts w:hint="eastAsia" w:ascii="宋体" w:hAnsi="宋体" w:cs="宋体"/>
          <w:sz w:val="24"/>
        </w:rPr>
        <w:t>（三）具体、明确的质疑事项和与质疑事项相关的请求；</w:t>
      </w:r>
    </w:p>
    <w:p w14:paraId="3FE27402">
      <w:pPr>
        <w:adjustRightInd/>
        <w:spacing w:line="460" w:lineRule="exact"/>
        <w:ind w:firstLine="420"/>
        <w:rPr>
          <w:rFonts w:ascii="宋体" w:hAnsi="宋体" w:cs="宋体"/>
          <w:sz w:val="24"/>
        </w:rPr>
      </w:pPr>
      <w:r>
        <w:rPr>
          <w:rFonts w:hint="eastAsia" w:ascii="宋体" w:hAnsi="宋体" w:cs="宋体"/>
          <w:sz w:val="24"/>
        </w:rPr>
        <w:t>（四）事实依据；</w:t>
      </w:r>
    </w:p>
    <w:p w14:paraId="29BF9433">
      <w:pPr>
        <w:adjustRightInd/>
        <w:spacing w:line="460" w:lineRule="exact"/>
        <w:ind w:firstLine="420"/>
        <w:rPr>
          <w:rFonts w:ascii="宋体" w:hAnsi="宋体" w:cs="宋体"/>
          <w:sz w:val="24"/>
        </w:rPr>
      </w:pPr>
      <w:r>
        <w:rPr>
          <w:rFonts w:hint="eastAsia" w:ascii="宋体" w:hAnsi="宋体" w:cs="宋体"/>
          <w:sz w:val="24"/>
        </w:rPr>
        <w:t>（五）必要的法律依据；</w:t>
      </w:r>
    </w:p>
    <w:p w14:paraId="0DFC0905">
      <w:pPr>
        <w:adjustRightInd/>
        <w:spacing w:line="460" w:lineRule="exact"/>
        <w:ind w:firstLine="420"/>
        <w:rPr>
          <w:rFonts w:ascii="宋体" w:hAnsi="宋体" w:cs="宋体"/>
          <w:sz w:val="24"/>
        </w:rPr>
      </w:pPr>
      <w:r>
        <w:rPr>
          <w:rFonts w:hint="eastAsia" w:ascii="宋体" w:hAnsi="宋体" w:cs="宋体"/>
          <w:sz w:val="24"/>
        </w:rPr>
        <w:t>（六）提出质疑的日期。</w:t>
      </w:r>
    </w:p>
    <w:p w14:paraId="2259B50E">
      <w:pPr>
        <w:adjustRightInd/>
        <w:spacing w:line="460" w:lineRule="exact"/>
        <w:ind w:firstLine="420"/>
        <w:rPr>
          <w:rFonts w:ascii="宋体" w:hAnsi="宋体" w:cs="宋体"/>
          <w:sz w:val="24"/>
        </w:rPr>
      </w:pPr>
      <w:r>
        <w:rPr>
          <w:rFonts w:hint="eastAsia" w:ascii="宋体" w:hAnsi="宋体" w:cs="宋体"/>
          <w:sz w:val="24"/>
        </w:rPr>
        <w:t>投标人为自然人的，应当由本人签字；投标人为法人或者其他组织的，应当由法定代表人、主要负责人，或者其授权代表签字或者盖章，并加盖公章。</w:t>
      </w:r>
    </w:p>
    <w:p w14:paraId="24776763">
      <w:pPr>
        <w:adjustRightInd/>
        <w:spacing w:line="460" w:lineRule="exact"/>
        <w:ind w:firstLine="420"/>
        <w:rPr>
          <w:rFonts w:ascii="宋体" w:hAnsi="宋体" w:cs="宋体"/>
          <w:sz w:val="24"/>
        </w:rPr>
      </w:pPr>
      <w:r>
        <w:rPr>
          <w:rFonts w:hint="eastAsia" w:ascii="宋体" w:hAnsi="宋体" w:cs="宋体"/>
          <w:sz w:val="24"/>
        </w:rPr>
        <w:t>10.2.4采购人、采购代理机构在收到法定质疑期内发出的质疑函后7个工作日内作出答复，并以书面形式通知质疑人和其他有关投标人。质疑答复的内容不得涉及商业秘密。</w:t>
      </w:r>
    </w:p>
    <w:p w14:paraId="3F406BDF">
      <w:pPr>
        <w:adjustRightInd/>
        <w:spacing w:line="460" w:lineRule="exact"/>
        <w:ind w:firstLine="420"/>
        <w:rPr>
          <w:rFonts w:ascii="宋体" w:hAnsi="宋体" w:cs="宋体"/>
          <w:sz w:val="24"/>
        </w:rPr>
      </w:pPr>
      <w:r>
        <w:rPr>
          <w:rFonts w:hint="eastAsia" w:ascii="宋体" w:hAnsi="宋体" w:cs="宋体"/>
          <w:sz w:val="24"/>
        </w:rPr>
        <w:t>10.3供应商投诉</w:t>
      </w:r>
    </w:p>
    <w:p w14:paraId="2B2ADC2E">
      <w:pPr>
        <w:adjustRightInd/>
        <w:spacing w:line="460" w:lineRule="exact"/>
        <w:ind w:firstLine="420"/>
        <w:rPr>
          <w:rFonts w:ascii="宋体" w:hAnsi="宋体" w:cs="宋体"/>
          <w:sz w:val="24"/>
        </w:rPr>
      </w:pPr>
      <w:r>
        <w:rPr>
          <w:rFonts w:hint="eastAsia" w:ascii="宋体" w:hAnsi="宋体" w:cs="宋体"/>
          <w:sz w:val="24"/>
        </w:rPr>
        <w:t>质疑供应商对采购机构的答复不满意或者采购机构未在规定的时间内作出答复的，可以在答复期满后十五个工作日内向同级采购监督管理部门提出投诉。</w:t>
      </w:r>
    </w:p>
    <w:p w14:paraId="50E5493D">
      <w:pPr>
        <w:adjustRightInd/>
        <w:spacing w:line="460" w:lineRule="exact"/>
        <w:ind w:firstLine="420"/>
        <w:rPr>
          <w:rFonts w:ascii="宋体" w:hAnsi="宋体" w:cs="宋体"/>
          <w:sz w:val="24"/>
        </w:rPr>
      </w:pPr>
      <w:r>
        <w:rPr>
          <w:rFonts w:hint="eastAsia" w:ascii="宋体" w:hAnsi="宋体" w:cs="宋体"/>
          <w:sz w:val="24"/>
        </w:rPr>
        <w:t>10.4采购结束</w:t>
      </w:r>
    </w:p>
    <w:p w14:paraId="449435E5">
      <w:pPr>
        <w:adjustRightInd/>
        <w:spacing w:line="460" w:lineRule="exact"/>
        <w:ind w:firstLine="420"/>
        <w:rPr>
          <w:rFonts w:ascii="宋体" w:hAnsi="宋体" w:cs="宋体"/>
          <w:sz w:val="24"/>
        </w:rPr>
      </w:pPr>
      <w:r>
        <w:rPr>
          <w:rFonts w:hint="eastAsia" w:ascii="宋体" w:hAnsi="宋体" w:cs="宋体"/>
          <w:sz w:val="24"/>
        </w:rPr>
        <w:t>10.4.1中标人与采购人签订合同生效后即为采购结束。</w:t>
      </w:r>
    </w:p>
    <w:p w14:paraId="0CA1F368">
      <w:pPr>
        <w:adjustRightInd/>
        <w:spacing w:line="460" w:lineRule="exact"/>
        <w:ind w:firstLine="420"/>
        <w:rPr>
          <w:rFonts w:ascii="宋体" w:hAnsi="宋体" w:cs="宋体"/>
          <w:b/>
          <w:sz w:val="24"/>
        </w:rPr>
      </w:pPr>
      <w:r>
        <w:rPr>
          <w:rFonts w:hint="eastAsia" w:ascii="宋体" w:hAnsi="宋体" w:cs="宋体"/>
          <w:sz w:val="24"/>
        </w:rPr>
        <w:t>10.4.2本项目的投标文件不予退回。</w:t>
      </w:r>
    </w:p>
    <w:p w14:paraId="030DF937">
      <w:pPr>
        <w:adjustRightInd/>
        <w:snapToGrid w:val="0"/>
        <w:spacing w:line="460" w:lineRule="exact"/>
        <w:jc w:val="center"/>
        <w:outlineLvl w:val="1"/>
        <w:rPr>
          <w:rFonts w:ascii="宋体" w:hAnsi="宋体" w:cs="宋体"/>
          <w:b/>
          <w:bCs/>
          <w:sz w:val="32"/>
          <w:szCs w:val="32"/>
        </w:rPr>
      </w:pPr>
      <w:r>
        <w:rPr>
          <w:rFonts w:hint="eastAsia" w:ascii="宋体" w:hAnsi="宋体" w:cs="宋体"/>
          <w:b/>
          <w:bCs/>
          <w:sz w:val="32"/>
          <w:szCs w:val="32"/>
        </w:rPr>
        <w:t>十一、验收</w:t>
      </w:r>
    </w:p>
    <w:p w14:paraId="616BC8A2">
      <w:pPr>
        <w:adjustRightInd/>
        <w:snapToGrid w:val="0"/>
        <w:spacing w:line="460" w:lineRule="exact"/>
        <w:ind w:firstLine="480" w:firstLineChars="200"/>
        <w:rPr>
          <w:rFonts w:ascii="宋体" w:hAnsi="宋体" w:cs="宋体"/>
          <w:sz w:val="24"/>
        </w:rPr>
      </w:pPr>
      <w:r>
        <w:rPr>
          <w:rFonts w:hint="eastAsia" w:ascii="宋体" w:hAnsi="宋体" w:cs="宋体"/>
          <w:sz w:val="24"/>
        </w:rPr>
        <w:t>11.1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83F7A84">
      <w:pPr>
        <w:adjustRightInd/>
        <w:snapToGrid w:val="0"/>
        <w:spacing w:line="460" w:lineRule="exact"/>
        <w:ind w:firstLine="480" w:firstLineChars="200"/>
        <w:rPr>
          <w:rFonts w:ascii="宋体" w:hAnsi="宋体" w:cs="宋体"/>
          <w:sz w:val="24"/>
        </w:rPr>
      </w:pPr>
      <w:r>
        <w:rPr>
          <w:rFonts w:hint="eastAsia" w:ascii="宋体" w:hAnsi="宋体" w:cs="宋体"/>
          <w:sz w:val="24"/>
        </w:rPr>
        <w:t>11.2采购人可以邀请参加本项目的其他投标人或者第三方机构参与验收。参与验收的投标人或者第三方机构的意见作为验收书的参考资料一并存档。</w:t>
      </w:r>
    </w:p>
    <w:p w14:paraId="12A2848A">
      <w:pPr>
        <w:adjustRightInd/>
        <w:snapToGrid w:val="0"/>
        <w:spacing w:line="460" w:lineRule="exact"/>
        <w:ind w:firstLine="480" w:firstLineChars="200"/>
        <w:rPr>
          <w:rFonts w:ascii="宋体" w:hAnsi="宋体" w:cs="宋体"/>
          <w:sz w:val="24"/>
        </w:rPr>
      </w:pPr>
      <w:r>
        <w:rPr>
          <w:rFonts w:hint="eastAsia" w:ascii="宋体" w:hAnsi="宋体" w:cs="宋体"/>
          <w:sz w:val="24"/>
        </w:rPr>
        <w:t>11.3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8A34F2E">
      <w:pPr>
        <w:adjustRightInd/>
        <w:snapToGrid w:val="0"/>
        <w:spacing w:line="460" w:lineRule="exact"/>
        <w:ind w:firstLine="480" w:firstLineChars="200"/>
        <w:rPr>
          <w:rFonts w:ascii="宋体" w:hAnsi="宋体" w:cs="宋体"/>
          <w:sz w:val="24"/>
        </w:rPr>
      </w:pPr>
      <w:bookmarkStart w:id="48" w:name="_Toc10516"/>
      <w:r>
        <w:rPr>
          <w:rFonts w:hint="eastAsia" w:ascii="宋体" w:hAnsi="宋体" w:cs="宋体"/>
          <w:sz w:val="24"/>
        </w:rPr>
        <w:t>11.4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采购法律法规规定的违法违规情形的，采购人应当及时报告本级</w:t>
      </w:r>
      <w:bookmarkStart w:id="49" w:name="_Hlt75236101"/>
      <w:bookmarkEnd w:id="49"/>
      <w:bookmarkStart w:id="50" w:name="_Hlt75236011"/>
      <w:bookmarkEnd w:id="50"/>
      <w:bookmarkStart w:id="51" w:name="_Hlt74730295"/>
      <w:bookmarkEnd w:id="51"/>
      <w:bookmarkStart w:id="52" w:name="_Hlt68073093"/>
      <w:bookmarkEnd w:id="52"/>
      <w:bookmarkStart w:id="53" w:name="_Hlt74729768"/>
      <w:bookmarkEnd w:id="53"/>
      <w:bookmarkStart w:id="54" w:name="_Hlt74707468"/>
      <w:bookmarkEnd w:id="54"/>
      <w:bookmarkStart w:id="55" w:name="_Hlt68057669"/>
      <w:bookmarkEnd w:id="55"/>
      <w:bookmarkStart w:id="56" w:name="_Hlt68072990"/>
      <w:bookmarkEnd w:id="56"/>
      <w:bookmarkStart w:id="57" w:name="_Hlt75236290"/>
      <w:bookmarkEnd w:id="57"/>
      <w:bookmarkStart w:id="58" w:name="_Hlt68403820"/>
      <w:bookmarkEnd w:id="58"/>
      <w:bookmarkStart w:id="59" w:name="_Hlt74714665"/>
      <w:bookmarkEnd w:id="59"/>
      <w:bookmarkStart w:id="60" w:name="_Hlt68072998"/>
      <w:bookmarkEnd w:id="60"/>
      <w:r>
        <w:rPr>
          <w:rFonts w:hint="eastAsia" w:ascii="宋体" w:hAnsi="宋体" w:cs="宋体"/>
          <w:sz w:val="24"/>
        </w:rPr>
        <w:t>相关主管部门。</w:t>
      </w:r>
      <w:bookmarkEnd w:id="48"/>
    </w:p>
    <w:p w14:paraId="482C1351">
      <w:pPr>
        <w:snapToGrid w:val="0"/>
        <w:spacing w:line="360" w:lineRule="auto"/>
        <w:jc w:val="center"/>
        <w:outlineLvl w:val="0"/>
        <w:rPr>
          <w:rFonts w:ascii="宋体" w:hAnsi="宋体" w:cs="宋体"/>
          <w:snapToGrid w:val="0"/>
          <w:kern w:val="0"/>
          <w:sz w:val="24"/>
          <w:highlight w:val="red"/>
          <w:shd w:val="clear" w:color="auto" w:fill="F4B083" w:themeFill="accent2" w:themeFillTint="99"/>
        </w:rPr>
      </w:pPr>
    </w:p>
    <w:p w14:paraId="218B9B21">
      <w:pPr>
        <w:snapToGrid w:val="0"/>
        <w:spacing w:line="360" w:lineRule="auto"/>
        <w:jc w:val="center"/>
        <w:outlineLvl w:val="0"/>
        <w:rPr>
          <w:rFonts w:ascii="宋体" w:hAnsi="宋体" w:cs="宋体"/>
          <w:snapToGrid w:val="0"/>
          <w:kern w:val="0"/>
          <w:sz w:val="24"/>
          <w:highlight w:val="red"/>
          <w:shd w:val="clear" w:color="auto" w:fill="F4B083" w:themeFill="accent2" w:themeFillTint="99"/>
        </w:rPr>
      </w:pPr>
    </w:p>
    <w:p w14:paraId="61490B4B">
      <w:pPr>
        <w:snapToGrid w:val="0"/>
        <w:spacing w:line="360" w:lineRule="auto"/>
        <w:jc w:val="center"/>
        <w:outlineLvl w:val="0"/>
        <w:rPr>
          <w:rFonts w:ascii="宋体" w:hAnsi="宋体" w:cs="宋体"/>
          <w:snapToGrid w:val="0"/>
          <w:kern w:val="0"/>
          <w:sz w:val="24"/>
          <w:highlight w:val="red"/>
          <w:shd w:val="clear" w:color="auto" w:fill="F4B083" w:themeFill="accent2" w:themeFillTint="99"/>
        </w:rPr>
      </w:pPr>
    </w:p>
    <w:p w14:paraId="1341CE4D">
      <w:pPr>
        <w:snapToGrid w:val="0"/>
        <w:spacing w:line="360" w:lineRule="auto"/>
        <w:jc w:val="center"/>
        <w:outlineLvl w:val="0"/>
        <w:rPr>
          <w:rFonts w:ascii="宋体" w:hAnsi="宋体" w:cs="宋体"/>
          <w:snapToGrid w:val="0"/>
          <w:kern w:val="0"/>
          <w:sz w:val="24"/>
          <w:highlight w:val="red"/>
          <w:shd w:val="clear" w:color="auto" w:fill="F4B083" w:themeFill="accent2" w:themeFillTint="99"/>
        </w:rPr>
      </w:pPr>
    </w:p>
    <w:p w14:paraId="36262EF1">
      <w:pPr>
        <w:snapToGrid w:val="0"/>
        <w:spacing w:line="360" w:lineRule="auto"/>
        <w:jc w:val="center"/>
        <w:outlineLvl w:val="0"/>
        <w:rPr>
          <w:rFonts w:ascii="宋体" w:hAnsi="宋体" w:cs="宋体"/>
          <w:b/>
          <w:bCs/>
          <w:sz w:val="32"/>
          <w:szCs w:val="32"/>
        </w:rPr>
      </w:pPr>
    </w:p>
    <w:p w14:paraId="3528BFDA">
      <w:pPr>
        <w:rPr>
          <w:rFonts w:ascii="宋体" w:hAnsi="宋体" w:cs="宋体"/>
          <w:b/>
          <w:bCs/>
          <w:sz w:val="32"/>
          <w:szCs w:val="32"/>
        </w:rPr>
      </w:pPr>
      <w:r>
        <w:rPr>
          <w:rFonts w:hint="eastAsia" w:ascii="宋体" w:hAnsi="宋体" w:cs="宋体"/>
          <w:b/>
          <w:bCs/>
          <w:sz w:val="32"/>
          <w:szCs w:val="32"/>
        </w:rPr>
        <w:br w:type="page"/>
      </w:r>
    </w:p>
    <w:p w14:paraId="261F0CDA">
      <w:pPr>
        <w:jc w:val="center"/>
        <w:rPr>
          <w:rFonts w:ascii="宋体" w:hAnsi="宋体" w:cs="宋体"/>
          <w:b/>
          <w:bCs/>
          <w:sz w:val="32"/>
          <w:szCs w:val="32"/>
        </w:rPr>
      </w:pPr>
      <w:r>
        <w:rPr>
          <w:rFonts w:hint="eastAsia" w:ascii="宋体" w:hAnsi="宋体" w:cs="宋体"/>
          <w:b/>
          <w:bCs/>
          <w:sz w:val="32"/>
          <w:szCs w:val="32"/>
        </w:rPr>
        <w:t xml:space="preserve">第三章 </w:t>
      </w:r>
      <w:bookmarkEnd w:id="22"/>
      <w:r>
        <w:rPr>
          <w:rFonts w:hint="eastAsia" w:ascii="宋体" w:hAnsi="宋体" w:cs="宋体"/>
          <w:b/>
          <w:bCs/>
          <w:sz w:val="32"/>
          <w:szCs w:val="32"/>
        </w:rPr>
        <w:t>采购需求</w:t>
      </w:r>
      <w:bookmarkEnd w:id="23"/>
      <w:bookmarkEnd w:id="24"/>
      <w:bookmarkEnd w:id="25"/>
    </w:p>
    <w:p w14:paraId="193E06DA">
      <w:pPr>
        <w:snapToGrid w:val="0"/>
        <w:spacing w:line="400" w:lineRule="atLeast"/>
        <w:rPr>
          <w:rStyle w:val="60"/>
          <w:rFonts w:ascii="宋体" w:hAnsi="宋体" w:cs="宋体"/>
          <w:b/>
          <w:bCs/>
          <w:sz w:val="24"/>
          <w:szCs w:val="24"/>
        </w:rPr>
      </w:pPr>
      <w:r>
        <w:rPr>
          <w:rFonts w:hint="eastAsia" w:ascii="宋体" w:hAnsi="宋体" w:cs="宋体"/>
        </w:rPr>
        <w:t xml:space="preserve"> </w:t>
      </w:r>
      <w:r>
        <w:rPr>
          <w:rFonts w:hint="eastAsia" w:ascii="宋体" w:hAnsi="宋体" w:cs="宋体"/>
          <w:b/>
          <w:sz w:val="24"/>
        </w:rPr>
        <w:t>一、</w:t>
      </w:r>
      <w:r>
        <w:rPr>
          <w:rStyle w:val="60"/>
          <w:rFonts w:hint="eastAsia" w:ascii="宋体" w:hAnsi="宋体" w:cs="宋体"/>
          <w:b/>
          <w:bCs/>
          <w:sz w:val="24"/>
          <w:szCs w:val="24"/>
        </w:rPr>
        <w:t>项目概述</w:t>
      </w:r>
    </w:p>
    <w:p w14:paraId="0273B02B">
      <w:pPr>
        <w:snapToGrid w:val="0"/>
        <w:spacing w:line="400" w:lineRule="atLeast"/>
        <w:ind w:firstLine="352" w:firstLineChars="147"/>
        <w:rPr>
          <w:rStyle w:val="60"/>
          <w:rFonts w:ascii="宋体" w:hAnsi="宋体" w:cs="宋体"/>
          <w:b/>
          <w:bCs/>
          <w:sz w:val="24"/>
          <w:szCs w:val="24"/>
        </w:rPr>
      </w:pPr>
      <w:r>
        <w:rPr>
          <w:rFonts w:hint="eastAsia" w:ascii="宋体" w:hAnsi="宋体" w:cs="宋体"/>
          <w:color w:val="000000"/>
          <w:sz w:val="24"/>
          <w:lang w:eastAsia="zh-CN"/>
        </w:rPr>
        <w:t>沉浸式演艺项目《幻境红楼梦》（暂名）配套设备及系统集成服务采购项目</w:t>
      </w:r>
      <w:r>
        <w:rPr>
          <w:rFonts w:hint="eastAsia" w:ascii="宋体" w:hAnsi="宋体" w:cs="宋体"/>
          <w:color w:val="000000"/>
          <w:sz w:val="24"/>
        </w:rPr>
        <w:t>为“交钥匙”工程，采购内容包括采购清单中货物供货、安装调试、货物验收、培训、质保期内的售后服务等。</w:t>
      </w:r>
    </w:p>
    <w:p w14:paraId="27831A91">
      <w:pPr>
        <w:widowControl/>
        <w:adjustRightInd/>
        <w:spacing w:line="440" w:lineRule="exact"/>
        <w:rPr>
          <w:rFonts w:ascii="宋体" w:hAnsi="宋体" w:cs="宋体"/>
          <w:b/>
          <w:sz w:val="24"/>
        </w:rPr>
      </w:pPr>
      <w:r>
        <w:rPr>
          <w:rFonts w:hint="eastAsia" w:ascii="宋体" w:hAnsi="宋体" w:cs="宋体"/>
          <w:b/>
          <w:sz w:val="24"/>
        </w:rPr>
        <w:t>二、采购内容及要求</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
        <w:gridCol w:w="239"/>
        <w:gridCol w:w="778"/>
        <w:gridCol w:w="585"/>
        <w:gridCol w:w="197"/>
        <w:gridCol w:w="793"/>
        <w:gridCol w:w="495"/>
        <w:gridCol w:w="435"/>
        <w:gridCol w:w="3300"/>
        <w:gridCol w:w="720"/>
        <w:gridCol w:w="330"/>
        <w:gridCol w:w="641"/>
      </w:tblGrid>
      <w:tr w14:paraId="46234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vAlign w:val="center"/>
          </w:tcPr>
          <w:p w14:paraId="3CB30E69">
            <w:pPr>
              <w:adjustRightInd/>
              <w:jc w:val="center"/>
              <w:rPr>
                <w:rFonts w:ascii="宋体" w:hAnsi="宋体" w:cs="宋体"/>
                <w:b/>
                <w:color w:val="000000" w:themeColor="text1"/>
                <w:sz w:val="18"/>
                <w:szCs w:val="18"/>
                <w14:textFill>
                  <w14:solidFill>
                    <w14:schemeClr w14:val="tx1"/>
                  </w14:solidFill>
                </w14:textFill>
              </w:rPr>
            </w:pPr>
            <w:bookmarkStart w:id="61" w:name="_Toc13466"/>
            <w:r>
              <w:rPr>
                <w:rFonts w:hint="eastAsia" w:ascii="宋体" w:hAnsi="宋体" w:cs="宋体"/>
                <w:b/>
                <w:color w:val="000000" w:themeColor="text1"/>
                <w:sz w:val="18"/>
                <w:szCs w:val="18"/>
                <w14:textFill>
                  <w14:solidFill>
                    <w14:schemeClr w14:val="tx1"/>
                  </w14:solidFill>
                </w14:textFill>
              </w:rPr>
              <w:t>序号</w:t>
            </w:r>
          </w:p>
        </w:tc>
        <w:tc>
          <w:tcPr>
            <w:tcW w:w="570" w:type="pct"/>
            <w:gridSpan w:val="2"/>
            <w:vAlign w:val="center"/>
          </w:tcPr>
          <w:p w14:paraId="2CFABAF8">
            <w:pPr>
              <w:adjustRightInd/>
              <w:jc w:val="center"/>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品名</w:t>
            </w:r>
          </w:p>
        </w:tc>
        <w:tc>
          <w:tcPr>
            <w:tcW w:w="3258" w:type="pct"/>
            <w:gridSpan w:val="6"/>
            <w:vAlign w:val="center"/>
          </w:tcPr>
          <w:p w14:paraId="04E08572">
            <w:pPr>
              <w:adjustRightInd/>
              <w:jc w:val="center"/>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技术参数</w:t>
            </w:r>
          </w:p>
        </w:tc>
        <w:tc>
          <w:tcPr>
            <w:tcW w:w="404" w:type="pct"/>
            <w:vAlign w:val="center"/>
          </w:tcPr>
          <w:p w14:paraId="505B08D7">
            <w:pPr>
              <w:adjustRightInd/>
              <w:jc w:val="center"/>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数量</w:t>
            </w:r>
          </w:p>
        </w:tc>
        <w:tc>
          <w:tcPr>
            <w:tcW w:w="185" w:type="pct"/>
            <w:vAlign w:val="center"/>
          </w:tcPr>
          <w:p w14:paraId="6BE72BF7">
            <w:pPr>
              <w:adjustRightInd/>
              <w:jc w:val="center"/>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单位</w:t>
            </w:r>
          </w:p>
        </w:tc>
        <w:tc>
          <w:tcPr>
            <w:tcW w:w="359" w:type="pct"/>
            <w:vAlign w:val="center"/>
          </w:tcPr>
          <w:p w14:paraId="4F2DD33C">
            <w:pPr>
              <w:adjustRightInd/>
              <w:jc w:val="center"/>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备注</w:t>
            </w:r>
          </w:p>
        </w:tc>
      </w:tr>
      <w:tr w14:paraId="2C009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000" w:type="pct"/>
            <w:gridSpan w:val="12"/>
            <w:vAlign w:val="center"/>
          </w:tcPr>
          <w:p w14:paraId="42402910">
            <w:pPr>
              <w:adjustRightInd/>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室内P1.8大屏</w:t>
            </w:r>
          </w:p>
        </w:tc>
      </w:tr>
      <w:tr w14:paraId="4F314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21" w:type="pct"/>
            <w:vAlign w:val="center"/>
          </w:tcPr>
          <w:p w14:paraId="1C85F936">
            <w:pPr>
              <w:numPr>
                <w:ilvl w:val="0"/>
                <w:numId w:val="6"/>
              </w:numPr>
              <w:adjustRightInd/>
              <w:jc w:val="center"/>
              <w:rPr>
                <w:rFonts w:ascii="宋体" w:hAnsi="宋体" w:cs="宋体"/>
                <w:bCs/>
                <w:color w:val="000000" w:themeColor="text1"/>
                <w:sz w:val="18"/>
                <w:szCs w:val="18"/>
                <w14:textFill>
                  <w14:solidFill>
                    <w14:schemeClr w14:val="tx1"/>
                  </w14:solidFill>
                </w14:textFill>
              </w:rPr>
            </w:pPr>
          </w:p>
        </w:tc>
        <w:tc>
          <w:tcPr>
            <w:tcW w:w="570" w:type="pct"/>
            <w:gridSpan w:val="2"/>
            <w:vAlign w:val="center"/>
          </w:tcPr>
          <w:p w14:paraId="1A95E476">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 xml:space="preserve">LED 显示屏 </w:t>
            </w:r>
          </w:p>
        </w:tc>
        <w:tc>
          <w:tcPr>
            <w:tcW w:w="3258" w:type="pct"/>
            <w:gridSpan w:val="6"/>
            <w:vAlign w:val="center"/>
          </w:tcPr>
          <w:p w14:paraId="1580343A">
            <w:pPr>
              <w:widowControl/>
              <w:numPr>
                <w:ilvl w:val="0"/>
                <w:numId w:val="0"/>
              </w:numPr>
              <w:jc w:val="left"/>
              <w:textAlignment w:val="center"/>
              <w:rPr>
                <w:rFonts w:hint="eastAsia" w:ascii="宋体" w:hAnsi="宋体" w:eastAsia="宋体" w:cs="宋体"/>
                <w:bCs/>
                <w:color w:val="000000" w:themeColor="text1"/>
                <w:sz w:val="18"/>
                <w:szCs w:val="18"/>
                <w:lang w:eastAsia="zh-CN"/>
                <w14:textFill>
                  <w14:solidFill>
                    <w14:schemeClr w14:val="tx1"/>
                  </w14:solidFill>
                </w14:textFill>
              </w:rPr>
            </w:pPr>
            <w:r>
              <w:rPr>
                <w:rFonts w:hint="eastAsia" w:ascii="宋体" w:hAnsi="宋体" w:cs="宋体"/>
                <w:color w:val="000000"/>
                <w:kern w:val="0"/>
                <w:sz w:val="18"/>
                <w:szCs w:val="18"/>
                <w:lang w:val="en-US" w:eastAsia="zh-CN" w:bidi="ar"/>
              </w:rPr>
              <w:t>1.</w:t>
            </w:r>
            <w:r>
              <w:rPr>
                <w:rFonts w:hint="eastAsia" w:ascii="宋体" w:hAnsi="宋体" w:cs="宋体"/>
                <w:color w:val="000000"/>
                <w:kern w:val="0"/>
                <w:sz w:val="18"/>
                <w:szCs w:val="18"/>
                <w:lang w:bidi="ar"/>
              </w:rPr>
              <w:t>像素间距≤1.86mm；像素密度≥289050点/㎡；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2.</w:t>
            </w:r>
            <w:r>
              <w:rPr>
                <w:rFonts w:hint="eastAsia" w:ascii="宋体" w:hAnsi="宋体" w:cs="宋体"/>
                <w:color w:val="000000"/>
                <w:kern w:val="0"/>
                <w:sz w:val="18"/>
                <w:szCs w:val="18"/>
                <w:lang w:bidi="ar"/>
              </w:rPr>
              <w:t>整屏尺寸：宽≥10.88m，高≥6m，显示面积≥65.28㎡;</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w:t>
            </w:r>
            <w:r>
              <w:rPr>
                <w:rFonts w:hint="eastAsia" w:ascii="宋体" w:hAnsi="宋体" w:cs="宋体"/>
                <w:color w:val="000000"/>
                <w:kern w:val="0"/>
                <w:sz w:val="18"/>
                <w:szCs w:val="18"/>
                <w:lang w:val="en-US" w:eastAsia="zh-CN" w:bidi="ar"/>
              </w:rPr>
              <w:t>.</w:t>
            </w:r>
            <w:r>
              <w:rPr>
                <w:rFonts w:hint="eastAsia" w:ascii="宋体" w:hAnsi="宋体" w:cs="宋体"/>
                <w:color w:val="000000"/>
                <w:kern w:val="0"/>
                <w:sz w:val="18"/>
                <w:szCs w:val="18"/>
                <w:lang w:bidi="ar"/>
              </w:rPr>
              <w:t>产品（含电源和接收卡）不接受自行组装和定制型号产品，产品型号官网可查</w:t>
            </w:r>
            <w:r>
              <w:rPr>
                <w:rFonts w:hint="eastAsia" w:ascii="宋体" w:hAnsi="宋体" w:cs="宋体"/>
                <w:color w:val="000000"/>
                <w:kern w:val="0"/>
                <w:sz w:val="18"/>
                <w:szCs w:val="18"/>
                <w:lang w:val="en-US" w:eastAsia="zh-CN" w:bidi="ar"/>
              </w:rPr>
              <w:t>.</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4.</w:t>
            </w:r>
            <w:r>
              <w:rPr>
                <w:rFonts w:hint="eastAsia" w:ascii="宋体" w:hAnsi="宋体" w:cs="宋体"/>
                <w:color w:val="000000"/>
                <w:kern w:val="0"/>
                <w:sz w:val="18"/>
                <w:szCs w:val="18"/>
                <w:lang w:bidi="ar"/>
              </w:rPr>
              <w:t>亮度≥500nit（0-100%无级可调）；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5.</w:t>
            </w:r>
            <w:r>
              <w:rPr>
                <w:rFonts w:hint="eastAsia" w:ascii="宋体" w:hAnsi="宋体" w:cs="宋体"/>
                <w:color w:val="000000"/>
                <w:kern w:val="0"/>
                <w:sz w:val="18"/>
                <w:szCs w:val="18"/>
                <w:lang w:bidi="ar"/>
              </w:rPr>
              <w:t>刷新频率≥3840HZ；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6.</w:t>
            </w:r>
            <w:r>
              <w:rPr>
                <w:rFonts w:hint="eastAsia" w:ascii="宋体" w:hAnsi="宋体" w:cs="宋体"/>
                <w:color w:val="000000"/>
                <w:kern w:val="0"/>
                <w:sz w:val="18"/>
                <w:szCs w:val="18"/>
                <w:lang w:bidi="ar"/>
              </w:rPr>
              <w:t>整机自然散热，无风扇，隐藏式散热设计，防尘静音</w:t>
            </w:r>
            <w:r>
              <w:rPr>
                <w:rFonts w:hint="eastAsia" w:ascii="宋体" w:hAnsi="宋体" w:cs="宋体"/>
                <w:color w:val="000000"/>
                <w:kern w:val="0"/>
                <w:sz w:val="18"/>
                <w:szCs w:val="18"/>
                <w:lang w:val="en-US" w:eastAsia="zh-CN" w:bidi="ar"/>
              </w:rPr>
              <w:t>.</w:t>
            </w:r>
            <w:r>
              <w:rPr>
                <w:rFonts w:hint="eastAsia" w:ascii="宋体" w:hAnsi="宋体" w:cs="宋体"/>
                <w:color w:val="000000"/>
                <w:kern w:val="0"/>
                <w:sz w:val="18"/>
                <w:szCs w:val="18"/>
                <w:lang w:bidi="ar"/>
              </w:rPr>
              <w:t>支持落地，壁挂，背条安装</w:t>
            </w:r>
            <w:r>
              <w:rPr>
                <w:rFonts w:hint="eastAsia" w:ascii="宋体" w:hAnsi="宋体" w:cs="宋体"/>
                <w:color w:val="000000"/>
                <w:kern w:val="0"/>
                <w:sz w:val="18"/>
                <w:szCs w:val="18"/>
                <w:lang w:val="en-US" w:eastAsia="zh-CN" w:bidi="ar"/>
              </w:rPr>
              <w:t>.</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7</w:t>
            </w:r>
            <w:r>
              <w:rPr>
                <w:rFonts w:hint="eastAsia" w:ascii="宋体" w:hAnsi="宋体" w:cs="宋体"/>
                <w:color w:val="000000"/>
                <w:kern w:val="0"/>
                <w:sz w:val="18"/>
                <w:szCs w:val="18"/>
                <w:lang w:bidi="ar"/>
              </w:rPr>
              <w:t>.</w:t>
            </w:r>
            <w:r>
              <w:rPr>
                <w:rFonts w:hint="eastAsia" w:ascii="宋体" w:hAnsi="宋体" w:cs="宋体"/>
                <w:color w:val="auto"/>
                <w:kern w:val="0"/>
                <w:sz w:val="18"/>
                <w:szCs w:val="18"/>
                <w:lang w:bidi="ar"/>
              </w:rPr>
              <w:t>▲</w:t>
            </w:r>
            <w:r>
              <w:rPr>
                <w:rFonts w:hint="eastAsia" w:ascii="宋体" w:hAnsi="宋体" w:cs="宋体"/>
                <w:color w:val="000000"/>
                <w:kern w:val="0"/>
                <w:sz w:val="18"/>
                <w:szCs w:val="18"/>
                <w:lang w:bidi="ar"/>
              </w:rPr>
              <w:t>所投产品</w:t>
            </w:r>
            <w:r>
              <w:rPr>
                <w:rFonts w:hint="eastAsia" w:ascii="宋体" w:hAnsi="宋体" w:cs="宋体"/>
                <w:color w:val="000000"/>
                <w:kern w:val="0"/>
                <w:sz w:val="18"/>
                <w:szCs w:val="18"/>
                <w:lang w:eastAsia="zh-CN" w:bidi="ar"/>
              </w:rPr>
              <w:t>需要</w:t>
            </w:r>
            <w:r>
              <w:rPr>
                <w:rFonts w:hint="eastAsia" w:ascii="宋体" w:hAnsi="宋体" w:cs="宋体"/>
                <w:color w:val="000000"/>
                <w:kern w:val="0"/>
                <w:sz w:val="18"/>
                <w:szCs w:val="18"/>
                <w:lang w:bidi="ar"/>
              </w:rPr>
              <w:t>获得CCC认证证书</w:t>
            </w:r>
            <w:r>
              <w:rPr>
                <w:rFonts w:hint="eastAsia" w:ascii="宋体" w:hAnsi="宋体" w:cs="宋体"/>
                <w:color w:val="000000"/>
                <w:kern w:val="0"/>
                <w:sz w:val="18"/>
                <w:szCs w:val="18"/>
                <w:lang w:eastAsia="zh-CN" w:bidi="ar"/>
              </w:rPr>
              <w:t>，（</w:t>
            </w:r>
            <w:r>
              <w:rPr>
                <w:rFonts w:hint="eastAsia" w:ascii="宋体" w:hAnsi="宋体" w:cs="宋体"/>
                <w:b/>
                <w:bCs/>
                <w:color w:val="000000"/>
                <w:kern w:val="0"/>
                <w:sz w:val="18"/>
                <w:szCs w:val="18"/>
                <w:lang w:val="en-US" w:eastAsia="zh-CN" w:bidi="ar"/>
              </w:rPr>
              <w:t>提供认证证书复印件</w:t>
            </w:r>
            <w:r>
              <w:rPr>
                <w:rFonts w:hint="eastAsia" w:ascii="宋体" w:hAnsi="宋体" w:cs="宋体"/>
                <w:color w:val="000000"/>
                <w:kern w:val="0"/>
                <w:sz w:val="18"/>
                <w:szCs w:val="18"/>
                <w:lang w:eastAsia="zh-CN" w:bidi="ar"/>
              </w:rPr>
              <w:t>）</w:t>
            </w:r>
          </w:p>
        </w:tc>
        <w:tc>
          <w:tcPr>
            <w:tcW w:w="404" w:type="pct"/>
            <w:vAlign w:val="center"/>
          </w:tcPr>
          <w:p w14:paraId="31B14053">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65.28</w:t>
            </w:r>
          </w:p>
        </w:tc>
        <w:tc>
          <w:tcPr>
            <w:tcW w:w="185" w:type="pct"/>
            <w:vAlign w:val="center"/>
          </w:tcPr>
          <w:p w14:paraId="5DA098C3">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w:t>
            </w:r>
          </w:p>
        </w:tc>
        <w:tc>
          <w:tcPr>
            <w:tcW w:w="359" w:type="pct"/>
            <w:vAlign w:val="center"/>
          </w:tcPr>
          <w:p w14:paraId="2D83506C">
            <w:pPr>
              <w:widowControl/>
              <w:jc w:val="center"/>
              <w:textAlignment w:val="center"/>
              <w:rPr>
                <w:rFonts w:ascii="宋体" w:hAnsi="宋体" w:cs="宋体"/>
                <w:bCs/>
                <w:color w:val="000000" w:themeColor="text1"/>
                <w:sz w:val="18"/>
                <w:szCs w:val="18"/>
                <w14:textFill>
                  <w14:solidFill>
                    <w14:schemeClr w14:val="tx1"/>
                  </w14:solidFill>
                </w14:textFill>
              </w:rPr>
            </w:pPr>
          </w:p>
        </w:tc>
      </w:tr>
      <w:tr w14:paraId="790B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vAlign w:val="center"/>
          </w:tcPr>
          <w:p w14:paraId="261AA06E">
            <w:pPr>
              <w:numPr>
                <w:ilvl w:val="0"/>
                <w:numId w:val="6"/>
              </w:numPr>
              <w:adjustRightInd/>
              <w:jc w:val="center"/>
              <w:rPr>
                <w:rFonts w:ascii="宋体" w:hAnsi="宋体" w:cs="宋体"/>
                <w:bCs/>
                <w:color w:val="000000" w:themeColor="text1"/>
                <w:sz w:val="18"/>
                <w:szCs w:val="18"/>
                <w14:textFill>
                  <w14:solidFill>
                    <w14:schemeClr w14:val="tx1"/>
                  </w14:solidFill>
                </w14:textFill>
              </w:rPr>
            </w:pPr>
          </w:p>
        </w:tc>
        <w:tc>
          <w:tcPr>
            <w:tcW w:w="570" w:type="pct"/>
            <w:gridSpan w:val="2"/>
            <w:vAlign w:val="center"/>
          </w:tcPr>
          <w:p w14:paraId="460B7640">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备品备件</w:t>
            </w:r>
          </w:p>
        </w:tc>
        <w:tc>
          <w:tcPr>
            <w:tcW w:w="3258" w:type="pct"/>
            <w:gridSpan w:val="6"/>
            <w:vAlign w:val="center"/>
          </w:tcPr>
          <w:p w14:paraId="3365B5FA">
            <w:pPr>
              <w:widowControl/>
              <w:jc w:val="left"/>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同批次模组≥6张，灯珠IC≥1批，配套≥17张三合一板</w:t>
            </w:r>
          </w:p>
        </w:tc>
        <w:tc>
          <w:tcPr>
            <w:tcW w:w="404" w:type="pct"/>
            <w:vAlign w:val="center"/>
          </w:tcPr>
          <w:p w14:paraId="672F3D45">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1</w:t>
            </w:r>
          </w:p>
        </w:tc>
        <w:tc>
          <w:tcPr>
            <w:tcW w:w="185" w:type="pct"/>
            <w:vAlign w:val="center"/>
          </w:tcPr>
          <w:p w14:paraId="606A8172">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批</w:t>
            </w:r>
          </w:p>
        </w:tc>
        <w:tc>
          <w:tcPr>
            <w:tcW w:w="359" w:type="pct"/>
            <w:vAlign w:val="center"/>
          </w:tcPr>
          <w:p w14:paraId="36BA9660">
            <w:pPr>
              <w:widowControl/>
              <w:jc w:val="center"/>
              <w:textAlignment w:val="center"/>
              <w:rPr>
                <w:rFonts w:ascii="宋体" w:hAnsi="宋体" w:cs="宋体"/>
                <w:bCs/>
                <w:color w:val="000000" w:themeColor="text1"/>
                <w:sz w:val="18"/>
                <w:szCs w:val="18"/>
                <w14:textFill>
                  <w14:solidFill>
                    <w14:schemeClr w14:val="tx1"/>
                  </w14:solidFill>
                </w14:textFill>
              </w:rPr>
            </w:pPr>
          </w:p>
        </w:tc>
      </w:tr>
      <w:tr w14:paraId="71E38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 w:type="pct"/>
            <w:vAlign w:val="center"/>
          </w:tcPr>
          <w:p w14:paraId="6ACBFD4A">
            <w:pPr>
              <w:numPr>
                <w:ilvl w:val="0"/>
                <w:numId w:val="6"/>
              </w:numPr>
              <w:adjustRightInd/>
              <w:jc w:val="center"/>
              <w:rPr>
                <w:rFonts w:ascii="宋体" w:hAnsi="宋体" w:cs="宋体"/>
                <w:bCs/>
                <w:color w:val="000000" w:themeColor="text1"/>
                <w:sz w:val="18"/>
                <w:szCs w:val="18"/>
                <w14:textFill>
                  <w14:solidFill>
                    <w14:schemeClr w14:val="tx1"/>
                  </w14:solidFill>
                </w14:textFill>
              </w:rPr>
            </w:pPr>
          </w:p>
        </w:tc>
        <w:tc>
          <w:tcPr>
            <w:tcW w:w="570" w:type="pct"/>
            <w:gridSpan w:val="2"/>
            <w:vAlign w:val="center"/>
          </w:tcPr>
          <w:p w14:paraId="3622134C">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LED播放软件</w:t>
            </w:r>
          </w:p>
        </w:tc>
        <w:tc>
          <w:tcPr>
            <w:tcW w:w="3258" w:type="pct"/>
            <w:gridSpan w:val="6"/>
            <w:vAlign w:val="center"/>
          </w:tcPr>
          <w:p w14:paraId="22930018">
            <w:pPr>
              <w:widowControl/>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1.系统支持简体中文、英文多语言界面；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2.支持浏览器 WEB 页面远程登陆操作，同时支持通过浏览器方式对系统设备进行配置管理、状态监控及信号调看操作，模式保存等。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3</w:t>
            </w:r>
            <w:r>
              <w:rPr>
                <w:rFonts w:hint="eastAsia" w:ascii="宋体" w:hAnsi="宋体" w:cs="宋体"/>
                <w:color w:val="000000"/>
                <w:kern w:val="0"/>
                <w:sz w:val="18"/>
                <w:szCs w:val="18"/>
                <w:lang w:bidi="ar"/>
              </w:rPr>
              <w:t>.支持单墙、多墙管理与控制，一套软件支持管理本地多套拼墙进行信号调度。</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4.</w:t>
            </w:r>
            <w:r>
              <w:rPr>
                <w:rFonts w:hint="eastAsia" w:ascii="宋体" w:hAnsi="宋体" w:cs="宋体"/>
                <w:color w:val="000000"/>
                <w:kern w:val="0"/>
                <w:sz w:val="18"/>
                <w:szCs w:val="18"/>
                <w:lang w:bidi="ar"/>
              </w:rPr>
              <w:t>支持对信号源进行任意分组，并且支持信号源收藏夹；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5.</w:t>
            </w:r>
            <w:r>
              <w:rPr>
                <w:rFonts w:hint="eastAsia" w:ascii="宋体" w:hAnsi="宋体" w:cs="宋体"/>
                <w:color w:val="000000"/>
                <w:kern w:val="0"/>
                <w:sz w:val="18"/>
                <w:szCs w:val="18"/>
                <w:lang w:bidi="ar"/>
              </w:rPr>
              <w:t>支持自动启动预案，启动可按日、周、月、年循环，也可以定时循环固定次数。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6.</w:t>
            </w:r>
            <w:r>
              <w:rPr>
                <w:rFonts w:hint="eastAsia" w:ascii="宋体" w:hAnsi="宋体" w:cs="宋体"/>
                <w:color w:val="000000"/>
                <w:kern w:val="0"/>
                <w:sz w:val="18"/>
                <w:szCs w:val="18"/>
                <w:lang w:bidi="ar"/>
              </w:rPr>
              <w:t>支持整墙回显，回显内容和大屏内容同步显示。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7.</w:t>
            </w:r>
            <w:r>
              <w:rPr>
                <w:rFonts w:hint="eastAsia" w:ascii="宋体" w:hAnsi="宋体" w:cs="宋体"/>
                <w:color w:val="000000"/>
                <w:kern w:val="0"/>
                <w:sz w:val="18"/>
                <w:szCs w:val="18"/>
                <w:lang w:bidi="ar"/>
              </w:rPr>
              <w:t>支持模式多屏联动，一键实现多屏显示相同或者不相同的资源内容。</w:t>
            </w:r>
          </w:p>
        </w:tc>
        <w:tc>
          <w:tcPr>
            <w:tcW w:w="404" w:type="pct"/>
            <w:vAlign w:val="center"/>
          </w:tcPr>
          <w:p w14:paraId="6B8865A0">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1</w:t>
            </w:r>
          </w:p>
        </w:tc>
        <w:tc>
          <w:tcPr>
            <w:tcW w:w="185" w:type="pct"/>
            <w:vAlign w:val="center"/>
          </w:tcPr>
          <w:p w14:paraId="35DCF996">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套</w:t>
            </w:r>
          </w:p>
        </w:tc>
        <w:tc>
          <w:tcPr>
            <w:tcW w:w="359" w:type="pct"/>
            <w:vAlign w:val="center"/>
          </w:tcPr>
          <w:p w14:paraId="4883957D">
            <w:pPr>
              <w:widowControl/>
              <w:jc w:val="center"/>
              <w:textAlignment w:val="center"/>
              <w:rPr>
                <w:rFonts w:ascii="宋体" w:hAnsi="宋体" w:cs="宋体"/>
                <w:bCs/>
                <w:color w:val="000000" w:themeColor="text1"/>
                <w:sz w:val="18"/>
                <w:szCs w:val="18"/>
                <w14:textFill>
                  <w14:solidFill>
                    <w14:schemeClr w14:val="tx1"/>
                  </w14:solidFill>
                </w14:textFill>
              </w:rPr>
            </w:pPr>
          </w:p>
        </w:tc>
      </w:tr>
      <w:tr w14:paraId="2AAA4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21" w:type="pct"/>
            <w:vAlign w:val="center"/>
          </w:tcPr>
          <w:p w14:paraId="6F70D883">
            <w:pPr>
              <w:numPr>
                <w:ilvl w:val="0"/>
                <w:numId w:val="6"/>
              </w:numPr>
              <w:adjustRightInd/>
              <w:jc w:val="center"/>
              <w:rPr>
                <w:rFonts w:ascii="宋体" w:hAnsi="宋体" w:cs="宋体"/>
                <w:bCs/>
                <w:color w:val="000000" w:themeColor="text1"/>
                <w:sz w:val="18"/>
                <w:szCs w:val="18"/>
                <w14:textFill>
                  <w14:solidFill>
                    <w14:schemeClr w14:val="tx1"/>
                  </w14:solidFill>
                </w14:textFill>
              </w:rPr>
            </w:pPr>
          </w:p>
        </w:tc>
        <w:tc>
          <w:tcPr>
            <w:tcW w:w="570" w:type="pct"/>
            <w:gridSpan w:val="2"/>
            <w:vAlign w:val="center"/>
          </w:tcPr>
          <w:p w14:paraId="01BD1490">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LED拼接处理器</w:t>
            </w:r>
          </w:p>
        </w:tc>
        <w:tc>
          <w:tcPr>
            <w:tcW w:w="3258" w:type="pct"/>
            <w:gridSpan w:val="6"/>
            <w:vAlign w:val="center"/>
          </w:tcPr>
          <w:p w14:paraId="0CCBBFAA">
            <w:pPr>
              <w:widowControl/>
              <w:jc w:val="left"/>
              <w:textAlignment w:val="center"/>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color w:val="000000"/>
                <w:kern w:val="0"/>
                <w:sz w:val="18"/>
                <w:szCs w:val="18"/>
                <w:lang w:val="en-US" w:eastAsia="zh-CN" w:bidi="ar"/>
              </w:rPr>
              <w:t>1.</w:t>
            </w:r>
            <w:r>
              <w:rPr>
                <w:rFonts w:hint="eastAsia" w:ascii="宋体" w:hAnsi="宋体" w:cs="宋体"/>
                <w:color w:val="000000"/>
                <w:kern w:val="0"/>
                <w:sz w:val="18"/>
                <w:szCs w:val="18"/>
                <w:lang w:bidi="ar"/>
              </w:rPr>
              <w:t>要求机箱大小不低于5U</w:t>
            </w:r>
            <w:r>
              <w:rPr>
                <w:rFonts w:hint="eastAsia" w:ascii="宋体" w:hAnsi="宋体" w:cs="宋体"/>
                <w:color w:val="000000"/>
                <w:kern w:val="0"/>
                <w:sz w:val="18"/>
                <w:szCs w:val="18"/>
                <w:lang w:val="en-US" w:eastAsia="zh-CN" w:bidi="ar"/>
              </w:rPr>
              <w:t>.</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2.</w:t>
            </w:r>
            <w:r>
              <w:rPr>
                <w:rFonts w:hint="eastAsia" w:ascii="宋体" w:hAnsi="宋体" w:cs="宋体"/>
                <w:color w:val="000000"/>
                <w:kern w:val="0"/>
                <w:sz w:val="18"/>
                <w:szCs w:val="18"/>
                <w:lang w:bidi="ar"/>
              </w:rPr>
              <w:t>支持DVI、HDMI、DP、3GSDI、12GSDI、VGA、CVBS、IP等信号输入，支持WIFI投屏设备信号输入，支持HDMI、DVI、网口、光口</w:t>
            </w:r>
            <w:r>
              <w:rPr>
                <w:rFonts w:hint="eastAsia" w:ascii="宋体" w:hAnsi="宋体" w:cs="宋体"/>
                <w:color w:val="000000"/>
                <w:kern w:val="0"/>
                <w:sz w:val="18"/>
                <w:szCs w:val="18"/>
                <w:lang w:eastAsia="zh-CN" w:bidi="ar"/>
              </w:rPr>
              <w:t>等</w:t>
            </w:r>
            <w:r>
              <w:rPr>
                <w:rFonts w:hint="eastAsia" w:ascii="宋体" w:hAnsi="宋体" w:cs="宋体"/>
                <w:color w:val="000000"/>
                <w:kern w:val="0"/>
                <w:sz w:val="18"/>
                <w:szCs w:val="18"/>
                <w:lang w:bidi="ar"/>
              </w:rPr>
              <w:t>输出</w:t>
            </w:r>
            <w:r>
              <w:rPr>
                <w:rFonts w:hint="eastAsia" w:ascii="宋体" w:hAnsi="宋体" w:cs="宋体"/>
                <w:color w:val="000000"/>
                <w:kern w:val="0"/>
                <w:sz w:val="18"/>
                <w:szCs w:val="18"/>
                <w:lang w:val="en-US" w:eastAsia="zh-CN" w:bidi="ar"/>
              </w:rPr>
              <w:t>.</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3.</w:t>
            </w:r>
            <w:r>
              <w:rPr>
                <w:rFonts w:hint="eastAsia" w:ascii="宋体" w:hAnsi="宋体" w:cs="宋体"/>
                <w:color w:val="000000"/>
                <w:kern w:val="0"/>
                <w:sz w:val="18"/>
                <w:szCs w:val="18"/>
                <w:lang w:bidi="ar"/>
              </w:rPr>
              <w:t>处理器支持活动视频、高清信号显示。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4.</w:t>
            </w:r>
            <w:r>
              <w:rPr>
                <w:rFonts w:hint="eastAsia" w:ascii="宋体" w:hAnsi="宋体" w:cs="宋体"/>
                <w:color w:val="000000"/>
                <w:kern w:val="0"/>
                <w:sz w:val="18"/>
                <w:szCs w:val="18"/>
                <w:lang w:bidi="ar"/>
              </w:rPr>
              <w:t>▲设备供电系统采用高可靠性设计，支持两路AC220V电源供电，当其中一个电源模块发生故降时，样机应正常工作，具备冗余电源备份功能。（</w:t>
            </w:r>
            <w:r>
              <w:rPr>
                <w:rFonts w:hint="eastAsia" w:ascii="宋体" w:hAnsi="宋体" w:cs="宋体"/>
                <w:b/>
                <w:bCs/>
                <w:color w:val="000000"/>
                <w:kern w:val="0"/>
                <w:sz w:val="18"/>
                <w:szCs w:val="18"/>
                <w:lang w:bidi="ar"/>
              </w:rPr>
              <w:t>提供检测报告扫描件或产品说明书截图或官网参数截图等相关的佐证材料</w:t>
            </w:r>
            <w:r>
              <w:rPr>
                <w:rFonts w:hint="eastAsia" w:ascii="宋体" w:hAnsi="宋体" w:cs="宋体"/>
                <w:color w:val="000000"/>
                <w:kern w:val="0"/>
                <w:sz w:val="18"/>
                <w:szCs w:val="18"/>
                <w:lang w:bidi="ar"/>
              </w:rPr>
              <w:t>）</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5.</w:t>
            </w:r>
            <w:r>
              <w:rPr>
                <w:rFonts w:hint="eastAsia" w:ascii="宋体" w:hAnsi="宋体" w:cs="宋体"/>
                <w:color w:val="000000"/>
                <w:kern w:val="0"/>
                <w:sz w:val="18"/>
                <w:szCs w:val="18"/>
                <w:lang w:bidi="ar"/>
              </w:rPr>
              <w:t>支持对LED 显示屏、拼接处理器、发送盒、PLC配电箱、矩阵等设备进行集成控制</w:t>
            </w:r>
            <w:r>
              <w:rPr>
                <w:rFonts w:hint="eastAsia" w:ascii="宋体" w:hAnsi="宋体" w:cs="宋体"/>
                <w:color w:val="000000"/>
                <w:kern w:val="0"/>
                <w:sz w:val="18"/>
                <w:szCs w:val="18"/>
                <w:lang w:val="en-US" w:eastAsia="zh-CN" w:bidi="ar"/>
              </w:rPr>
              <w:t>.</w:t>
            </w:r>
          </w:p>
        </w:tc>
        <w:tc>
          <w:tcPr>
            <w:tcW w:w="404" w:type="pct"/>
            <w:vAlign w:val="center"/>
          </w:tcPr>
          <w:p w14:paraId="5A7E4569">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1</w:t>
            </w:r>
          </w:p>
        </w:tc>
        <w:tc>
          <w:tcPr>
            <w:tcW w:w="185" w:type="pct"/>
            <w:vAlign w:val="center"/>
          </w:tcPr>
          <w:p w14:paraId="20B79D12">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台</w:t>
            </w:r>
          </w:p>
        </w:tc>
        <w:tc>
          <w:tcPr>
            <w:tcW w:w="359" w:type="pct"/>
            <w:vAlign w:val="center"/>
          </w:tcPr>
          <w:p w14:paraId="54700EFD">
            <w:pPr>
              <w:widowControl/>
              <w:jc w:val="center"/>
              <w:textAlignment w:val="center"/>
              <w:rPr>
                <w:rFonts w:ascii="宋体" w:hAnsi="宋体" w:cs="宋体"/>
                <w:bCs/>
                <w:color w:val="000000" w:themeColor="text1"/>
                <w:sz w:val="18"/>
                <w:szCs w:val="18"/>
                <w14:textFill>
                  <w14:solidFill>
                    <w14:schemeClr w14:val="tx1"/>
                  </w14:solidFill>
                </w14:textFill>
              </w:rPr>
            </w:pPr>
          </w:p>
        </w:tc>
      </w:tr>
      <w:tr w14:paraId="43BF6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21" w:type="pct"/>
            <w:vAlign w:val="center"/>
          </w:tcPr>
          <w:p w14:paraId="4A526219">
            <w:pPr>
              <w:numPr>
                <w:ilvl w:val="0"/>
                <w:numId w:val="6"/>
              </w:numPr>
              <w:adjustRightInd/>
              <w:jc w:val="center"/>
              <w:rPr>
                <w:rFonts w:ascii="宋体" w:hAnsi="宋体" w:cs="宋体"/>
                <w:bCs/>
                <w:color w:val="000000" w:themeColor="text1"/>
                <w:sz w:val="18"/>
                <w:szCs w:val="18"/>
                <w14:textFill>
                  <w14:solidFill>
                    <w14:schemeClr w14:val="tx1"/>
                  </w14:solidFill>
                </w14:textFill>
              </w:rPr>
            </w:pPr>
          </w:p>
        </w:tc>
        <w:tc>
          <w:tcPr>
            <w:tcW w:w="570" w:type="pct"/>
            <w:gridSpan w:val="2"/>
            <w:vAlign w:val="center"/>
          </w:tcPr>
          <w:p w14:paraId="65313EF9">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控制服务器</w:t>
            </w:r>
          </w:p>
        </w:tc>
        <w:tc>
          <w:tcPr>
            <w:tcW w:w="3258" w:type="pct"/>
            <w:gridSpan w:val="6"/>
            <w:vAlign w:val="center"/>
          </w:tcPr>
          <w:p w14:paraId="22C71C44">
            <w:pPr>
              <w:widowControl/>
              <w:jc w:val="left"/>
              <w:textAlignment w:val="center"/>
              <w:rPr>
                <w:rFonts w:hint="eastAsia" w:ascii="宋体" w:hAnsi="宋体" w:eastAsia="宋体" w:cs="宋体"/>
                <w:sz w:val="18"/>
                <w:szCs w:val="18"/>
                <w:lang w:val="en-US" w:eastAsia="zh-CN"/>
              </w:rPr>
            </w:pPr>
            <w:r>
              <w:rPr>
                <w:rFonts w:hint="eastAsia" w:ascii="宋体" w:hAnsi="宋体" w:cs="宋体"/>
                <w:color w:val="000000"/>
                <w:kern w:val="0"/>
                <w:sz w:val="18"/>
                <w:szCs w:val="18"/>
                <w:lang w:bidi="ar"/>
              </w:rPr>
              <w:t>1.采用金属结构机箱</w:t>
            </w:r>
            <w:r>
              <w:rPr>
                <w:rFonts w:hint="eastAsia" w:ascii="宋体" w:hAnsi="宋体" w:cs="宋体"/>
                <w:color w:val="000000"/>
                <w:kern w:val="0"/>
                <w:sz w:val="18"/>
                <w:szCs w:val="18"/>
                <w:lang w:val="en-US" w:eastAsia="zh-CN" w:bidi="ar"/>
              </w:rPr>
              <w:t>.</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2.支持时间线、窗口双模式节目编播方式使用满足不同场景需求；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3</w:t>
            </w:r>
            <w:r>
              <w:rPr>
                <w:rFonts w:hint="eastAsia" w:ascii="宋体" w:hAnsi="宋体" w:cs="宋体"/>
                <w:color w:val="000000"/>
                <w:kern w:val="0"/>
                <w:sz w:val="18"/>
                <w:szCs w:val="18"/>
                <w:lang w:bidi="ar"/>
              </w:rPr>
              <w:t>.支持流媒体/网页/office/wps等多种文件播放管理:Word/PPT实现自动翻页滚动播放\自动循环播放；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4</w:t>
            </w:r>
            <w:r>
              <w:rPr>
                <w:rFonts w:hint="eastAsia" w:ascii="宋体" w:hAnsi="宋体" w:cs="宋体"/>
                <w:color w:val="000000"/>
                <w:kern w:val="0"/>
                <w:sz w:val="18"/>
                <w:szCs w:val="18"/>
                <w:lang w:bidi="ar"/>
              </w:rPr>
              <w:t>.▲考虑到系统的兼容性，要求与LED显示屏同一品牌</w:t>
            </w:r>
            <w:r>
              <w:rPr>
                <w:rFonts w:hint="eastAsia" w:ascii="宋体" w:hAnsi="宋体" w:cs="宋体"/>
                <w:color w:val="000000"/>
                <w:kern w:val="0"/>
                <w:sz w:val="18"/>
                <w:szCs w:val="18"/>
                <w:lang w:val="en-US" w:eastAsia="zh-CN" w:bidi="ar"/>
              </w:rPr>
              <w:t>.</w:t>
            </w:r>
            <w:r>
              <w:rPr>
                <w:rFonts w:hint="eastAsia" w:ascii="宋体" w:hAnsi="宋体" w:cs="宋体"/>
                <w:color w:val="000000"/>
                <w:kern w:val="0"/>
                <w:sz w:val="18"/>
                <w:szCs w:val="18"/>
                <w:lang w:bidi="ar"/>
              </w:rPr>
              <w:t>（</w:t>
            </w:r>
            <w:r>
              <w:rPr>
                <w:rFonts w:hint="eastAsia" w:ascii="宋体" w:hAnsi="宋体" w:cs="宋体"/>
                <w:b/>
                <w:bCs/>
                <w:color w:val="000000"/>
                <w:kern w:val="0"/>
                <w:sz w:val="18"/>
                <w:szCs w:val="18"/>
                <w:lang w:bidi="ar"/>
              </w:rPr>
              <w:t>提供检测报告扫描件或产品说明书截图或官网参数截图等相关的佐证材料</w:t>
            </w:r>
            <w:r>
              <w:rPr>
                <w:rFonts w:hint="eastAsia" w:ascii="宋体" w:hAnsi="宋体" w:cs="宋体"/>
                <w:color w:val="000000"/>
                <w:kern w:val="0"/>
                <w:sz w:val="18"/>
                <w:szCs w:val="18"/>
                <w:lang w:bidi="ar"/>
              </w:rPr>
              <w:t>）</w:t>
            </w:r>
          </w:p>
        </w:tc>
        <w:tc>
          <w:tcPr>
            <w:tcW w:w="404" w:type="pct"/>
            <w:vAlign w:val="center"/>
          </w:tcPr>
          <w:p w14:paraId="739416E0">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1</w:t>
            </w:r>
          </w:p>
        </w:tc>
        <w:tc>
          <w:tcPr>
            <w:tcW w:w="185" w:type="pct"/>
            <w:vAlign w:val="center"/>
          </w:tcPr>
          <w:p w14:paraId="5FB0F39B">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台</w:t>
            </w:r>
          </w:p>
        </w:tc>
        <w:tc>
          <w:tcPr>
            <w:tcW w:w="359" w:type="pct"/>
            <w:vAlign w:val="center"/>
          </w:tcPr>
          <w:p w14:paraId="4C1C970F">
            <w:pPr>
              <w:widowControl/>
              <w:jc w:val="center"/>
              <w:textAlignment w:val="center"/>
              <w:rPr>
                <w:rFonts w:ascii="宋体" w:hAnsi="宋体" w:cs="宋体"/>
                <w:bCs/>
                <w:color w:val="000000" w:themeColor="text1"/>
                <w:sz w:val="18"/>
                <w:szCs w:val="18"/>
                <w14:textFill>
                  <w14:solidFill>
                    <w14:schemeClr w14:val="tx1"/>
                  </w14:solidFill>
                </w14:textFill>
              </w:rPr>
            </w:pPr>
          </w:p>
        </w:tc>
      </w:tr>
      <w:tr w14:paraId="5C58E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21" w:type="pct"/>
            <w:vAlign w:val="center"/>
          </w:tcPr>
          <w:p w14:paraId="664EDE9B">
            <w:pPr>
              <w:numPr>
                <w:ilvl w:val="0"/>
                <w:numId w:val="6"/>
              </w:numPr>
              <w:adjustRightInd/>
              <w:jc w:val="center"/>
              <w:rPr>
                <w:rFonts w:ascii="宋体" w:hAnsi="宋体" w:cs="宋体"/>
                <w:bCs/>
                <w:color w:val="000000" w:themeColor="text1"/>
                <w:sz w:val="18"/>
                <w:szCs w:val="18"/>
                <w14:textFill>
                  <w14:solidFill>
                    <w14:schemeClr w14:val="tx1"/>
                  </w14:solidFill>
                </w14:textFill>
              </w:rPr>
            </w:pPr>
          </w:p>
        </w:tc>
        <w:tc>
          <w:tcPr>
            <w:tcW w:w="570" w:type="pct"/>
            <w:gridSpan w:val="2"/>
            <w:vAlign w:val="center"/>
          </w:tcPr>
          <w:p w14:paraId="132E9FB6">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内容安全管控平台</w:t>
            </w:r>
          </w:p>
        </w:tc>
        <w:tc>
          <w:tcPr>
            <w:tcW w:w="3258" w:type="pct"/>
            <w:gridSpan w:val="6"/>
            <w:vAlign w:val="center"/>
          </w:tcPr>
          <w:p w14:paraId="6E079ED8">
            <w:pPr>
              <w:widowControl/>
              <w:numPr>
                <w:ilvl w:val="0"/>
                <w:numId w:val="0"/>
              </w:numPr>
              <w:jc w:val="left"/>
              <w:textAlignment w:val="center"/>
              <w:rPr>
                <w:rFonts w:hint="eastAsia" w:ascii="宋体" w:hAnsi="宋体" w:eastAsia="宋体" w:cs="宋体"/>
                <w:bCs/>
                <w:color w:val="000000" w:themeColor="text1"/>
                <w:sz w:val="18"/>
                <w:szCs w:val="18"/>
                <w:lang w:eastAsia="zh-CN"/>
                <w14:textFill>
                  <w14:solidFill>
                    <w14:schemeClr w14:val="tx1"/>
                  </w14:solidFill>
                </w14:textFill>
              </w:rPr>
            </w:pPr>
            <w:r>
              <w:rPr>
                <w:rFonts w:hint="eastAsia" w:ascii="宋体" w:hAnsi="宋体" w:cs="宋体"/>
                <w:color w:val="000000"/>
                <w:kern w:val="0"/>
                <w:sz w:val="18"/>
                <w:szCs w:val="18"/>
                <w:lang w:val="en-US" w:eastAsia="zh-CN" w:bidi="ar"/>
              </w:rPr>
              <w:t>1.</w:t>
            </w:r>
            <w:r>
              <w:rPr>
                <w:rFonts w:hint="eastAsia" w:ascii="宋体" w:hAnsi="宋体" w:cs="宋体"/>
                <w:color w:val="000000"/>
                <w:kern w:val="0"/>
                <w:sz w:val="18"/>
                <w:szCs w:val="18"/>
                <w:lang w:bidi="ar"/>
              </w:rPr>
              <w:t>终端支持对接入的公共显示屏播放内容进行智能检测审核、事中控制，阻断不良信息播放，并将检测到的不良内容信息报送至平台。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2</w:t>
            </w:r>
            <w:r>
              <w:rPr>
                <w:rFonts w:hint="eastAsia" w:ascii="宋体" w:hAnsi="宋体" w:cs="宋体"/>
                <w:color w:val="000000"/>
                <w:kern w:val="0"/>
                <w:sz w:val="18"/>
                <w:szCs w:val="18"/>
                <w:lang w:bidi="ar"/>
              </w:rPr>
              <w:t>.系统</w:t>
            </w:r>
            <w:r>
              <w:rPr>
                <w:rFonts w:hint="eastAsia" w:ascii="宋体" w:hAnsi="宋体" w:cs="宋体"/>
                <w:color w:val="000000"/>
                <w:kern w:val="0"/>
                <w:sz w:val="18"/>
                <w:szCs w:val="18"/>
                <w:lang w:eastAsia="zh-CN" w:bidi="ar"/>
              </w:rPr>
              <w:t>需要支持</w:t>
            </w:r>
            <w:r>
              <w:rPr>
                <w:rFonts w:hint="eastAsia" w:ascii="宋体" w:hAnsi="宋体" w:cs="宋体"/>
                <w:color w:val="000000"/>
                <w:kern w:val="0"/>
                <w:sz w:val="18"/>
                <w:szCs w:val="18"/>
                <w:lang w:bidi="ar"/>
              </w:rPr>
              <w:t>实时检测不良信息，一旦发现不良内容应立即将屏幕播放内容替换为预设画面进行播放，阻断不良信息播放，待检测到正常画面时，可自动恢复内容输出。同时收集异常数据和取证信息，向平台提供告警信息。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3</w:t>
            </w:r>
            <w:r>
              <w:rPr>
                <w:rFonts w:hint="eastAsia" w:ascii="宋体" w:hAnsi="宋体" w:cs="宋体"/>
                <w:color w:val="000000"/>
                <w:kern w:val="0"/>
                <w:sz w:val="18"/>
                <w:szCs w:val="18"/>
                <w:lang w:bidi="ar"/>
              </w:rPr>
              <w:t>.事后处理：支持通过手机、PC端登录用户平台查看异常日志并可通过回放功能进行事件还原取证分析。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4</w:t>
            </w:r>
            <w:r>
              <w:rPr>
                <w:rFonts w:hint="eastAsia" w:ascii="宋体" w:hAnsi="宋体" w:cs="宋体"/>
                <w:color w:val="000000"/>
                <w:kern w:val="0"/>
                <w:sz w:val="18"/>
                <w:szCs w:val="18"/>
                <w:lang w:bidi="ar"/>
              </w:rPr>
              <w:t>.为了确保设备网络的正常运行和通信的可靠性，告警信息的精准性，设备支持与系统时间同步。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5.</w:t>
            </w:r>
            <w:r>
              <w:rPr>
                <w:rFonts w:hint="eastAsia" w:ascii="宋体" w:hAnsi="宋体" w:cs="宋体"/>
                <w:color w:val="000000"/>
                <w:kern w:val="0"/>
                <w:sz w:val="18"/>
                <w:szCs w:val="18"/>
                <w:lang w:bidi="ar"/>
              </w:rPr>
              <w:t xml:space="preserve"> ▲ 终端需要满足有线网络连接和无线WIFI网络连接两种上网模式，并通过网络传输与管理平台连接，实现终端数据上传与平台配置下发。终端支持WIFI连接可移除。（</w:t>
            </w:r>
            <w:r>
              <w:rPr>
                <w:rFonts w:hint="eastAsia" w:ascii="宋体" w:hAnsi="宋体" w:cs="宋体"/>
                <w:b/>
                <w:bCs/>
                <w:color w:val="000000"/>
                <w:kern w:val="0"/>
                <w:sz w:val="18"/>
                <w:szCs w:val="18"/>
                <w:lang w:bidi="ar"/>
              </w:rPr>
              <w:t>提供检测报告扫描件或产品说明书截图或官网参数截图等相关的佐证材料</w:t>
            </w:r>
            <w:r>
              <w:rPr>
                <w:rFonts w:hint="eastAsia" w:ascii="宋体" w:hAnsi="宋体" w:cs="宋体"/>
                <w:color w:val="000000"/>
                <w:kern w:val="0"/>
                <w:sz w:val="18"/>
                <w:szCs w:val="18"/>
                <w:lang w:bidi="ar"/>
              </w:rPr>
              <w:t>）</w:t>
            </w:r>
            <w:r>
              <w:rPr>
                <w:rFonts w:hint="eastAsia" w:ascii="宋体" w:hAnsi="宋体" w:cs="宋体"/>
                <w:color w:val="000000"/>
                <w:kern w:val="0"/>
                <w:sz w:val="18"/>
                <w:szCs w:val="18"/>
                <w:lang w:val="en-US" w:eastAsia="zh-CN" w:bidi="ar"/>
              </w:rPr>
              <w:t>.</w:t>
            </w:r>
          </w:p>
        </w:tc>
        <w:tc>
          <w:tcPr>
            <w:tcW w:w="404" w:type="pct"/>
            <w:vAlign w:val="center"/>
          </w:tcPr>
          <w:p w14:paraId="5980E1F3">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1</w:t>
            </w:r>
          </w:p>
        </w:tc>
        <w:tc>
          <w:tcPr>
            <w:tcW w:w="185" w:type="pct"/>
            <w:vAlign w:val="center"/>
          </w:tcPr>
          <w:p w14:paraId="3499F9F2">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台</w:t>
            </w:r>
          </w:p>
        </w:tc>
        <w:tc>
          <w:tcPr>
            <w:tcW w:w="359" w:type="pct"/>
            <w:vAlign w:val="center"/>
          </w:tcPr>
          <w:p w14:paraId="16068213">
            <w:pPr>
              <w:widowControl/>
              <w:jc w:val="center"/>
              <w:textAlignment w:val="center"/>
              <w:rPr>
                <w:rFonts w:ascii="宋体" w:hAnsi="宋体" w:cs="宋体"/>
                <w:bCs/>
                <w:color w:val="000000" w:themeColor="text1"/>
                <w:sz w:val="18"/>
                <w:szCs w:val="18"/>
                <w14:textFill>
                  <w14:solidFill>
                    <w14:schemeClr w14:val="tx1"/>
                  </w14:solidFill>
                </w14:textFill>
              </w:rPr>
            </w:pPr>
          </w:p>
        </w:tc>
      </w:tr>
      <w:tr w14:paraId="69A78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1" w:type="pct"/>
            <w:vAlign w:val="center"/>
          </w:tcPr>
          <w:p w14:paraId="58274AD9">
            <w:pPr>
              <w:numPr>
                <w:ilvl w:val="0"/>
                <w:numId w:val="6"/>
              </w:numPr>
              <w:adjustRightInd/>
              <w:jc w:val="center"/>
              <w:rPr>
                <w:rFonts w:ascii="宋体" w:hAnsi="宋体" w:cs="宋体"/>
                <w:bCs/>
                <w:color w:val="000000" w:themeColor="text1"/>
                <w:sz w:val="18"/>
                <w:szCs w:val="18"/>
                <w14:textFill>
                  <w14:solidFill>
                    <w14:schemeClr w14:val="tx1"/>
                  </w14:solidFill>
                </w14:textFill>
              </w:rPr>
            </w:pPr>
          </w:p>
        </w:tc>
        <w:tc>
          <w:tcPr>
            <w:tcW w:w="570" w:type="pct"/>
            <w:gridSpan w:val="2"/>
            <w:vAlign w:val="center"/>
          </w:tcPr>
          <w:p w14:paraId="5D9E1206">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钢结构</w:t>
            </w:r>
          </w:p>
        </w:tc>
        <w:tc>
          <w:tcPr>
            <w:tcW w:w="3258" w:type="pct"/>
            <w:gridSpan w:val="6"/>
            <w:vAlign w:val="center"/>
          </w:tcPr>
          <w:p w14:paraId="4D9F945C">
            <w:pPr>
              <w:widowControl/>
              <w:numPr>
                <w:ilvl w:val="0"/>
                <w:numId w:val="0"/>
              </w:numPr>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1.</w:t>
            </w:r>
            <w:r>
              <w:rPr>
                <w:rFonts w:hint="eastAsia" w:ascii="宋体" w:hAnsi="宋体" w:cs="宋体"/>
                <w:color w:val="000000"/>
                <w:kern w:val="0"/>
                <w:sz w:val="18"/>
                <w:szCs w:val="18"/>
                <w:lang w:bidi="ar"/>
              </w:rPr>
              <w:t>根据现场情况定制钢结构及装饰。安装结构能满足LED高清显示屏的整体均匀平滑要求，结构便于安装和调试。</w:t>
            </w:r>
          </w:p>
          <w:p w14:paraId="7533796F">
            <w:pPr>
              <w:widowControl/>
              <w:numPr>
                <w:ilvl w:val="0"/>
                <w:numId w:val="0"/>
              </w:numPr>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2.</w:t>
            </w:r>
            <w:r>
              <w:rPr>
                <w:rFonts w:hint="eastAsia" w:ascii="宋体" w:hAnsi="宋体" w:cs="宋体"/>
                <w:color w:val="000000"/>
                <w:kern w:val="0"/>
                <w:sz w:val="18"/>
                <w:szCs w:val="18"/>
                <w:lang w:bidi="ar"/>
              </w:rPr>
              <w:t>要求抗绣，抗腐蚀，稳定牢固，不允许存在安全隐患，材料使用国标标准。</w:t>
            </w:r>
          </w:p>
        </w:tc>
        <w:tc>
          <w:tcPr>
            <w:tcW w:w="404" w:type="pct"/>
            <w:vAlign w:val="center"/>
          </w:tcPr>
          <w:p w14:paraId="1FFCECCD">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65.28</w:t>
            </w:r>
          </w:p>
        </w:tc>
        <w:tc>
          <w:tcPr>
            <w:tcW w:w="185" w:type="pct"/>
            <w:vAlign w:val="center"/>
          </w:tcPr>
          <w:p w14:paraId="53D90941">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w:t>
            </w:r>
          </w:p>
        </w:tc>
        <w:tc>
          <w:tcPr>
            <w:tcW w:w="359" w:type="pct"/>
            <w:vAlign w:val="center"/>
          </w:tcPr>
          <w:p w14:paraId="1C4682C6">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定制</w:t>
            </w:r>
          </w:p>
        </w:tc>
      </w:tr>
      <w:tr w14:paraId="64CA9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21" w:type="pct"/>
            <w:vAlign w:val="center"/>
          </w:tcPr>
          <w:p w14:paraId="4C6388D7">
            <w:pPr>
              <w:numPr>
                <w:ilvl w:val="0"/>
                <w:numId w:val="6"/>
              </w:numPr>
              <w:adjustRightInd/>
              <w:jc w:val="center"/>
              <w:rPr>
                <w:rFonts w:ascii="宋体" w:hAnsi="宋体" w:cs="宋体"/>
                <w:bCs/>
                <w:color w:val="000000" w:themeColor="text1"/>
                <w:sz w:val="18"/>
                <w:szCs w:val="18"/>
                <w14:textFill>
                  <w14:solidFill>
                    <w14:schemeClr w14:val="tx1"/>
                  </w14:solidFill>
                </w14:textFill>
              </w:rPr>
            </w:pPr>
          </w:p>
        </w:tc>
        <w:tc>
          <w:tcPr>
            <w:tcW w:w="570" w:type="pct"/>
            <w:gridSpan w:val="2"/>
            <w:vAlign w:val="center"/>
          </w:tcPr>
          <w:p w14:paraId="195F8E01">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专用视频线/RGB线/控制线缆</w:t>
            </w:r>
          </w:p>
        </w:tc>
        <w:tc>
          <w:tcPr>
            <w:tcW w:w="3258" w:type="pct"/>
            <w:gridSpan w:val="6"/>
            <w:vAlign w:val="center"/>
          </w:tcPr>
          <w:p w14:paraId="1F71A706">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网线或光纤、HDMI\VGA等传输线材:投标单位根据现场实际情况确定具体数量。</w:t>
            </w:r>
          </w:p>
        </w:tc>
        <w:tc>
          <w:tcPr>
            <w:tcW w:w="404" w:type="pct"/>
            <w:vAlign w:val="center"/>
          </w:tcPr>
          <w:p w14:paraId="1C99C1A2">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185" w:type="pct"/>
            <w:vAlign w:val="center"/>
          </w:tcPr>
          <w:p w14:paraId="0FE05028">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套</w:t>
            </w:r>
          </w:p>
        </w:tc>
        <w:tc>
          <w:tcPr>
            <w:tcW w:w="359" w:type="pct"/>
            <w:vAlign w:val="center"/>
          </w:tcPr>
          <w:p w14:paraId="3AF848DF">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定制</w:t>
            </w:r>
          </w:p>
        </w:tc>
      </w:tr>
      <w:tr w14:paraId="48C5E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21" w:type="pct"/>
            <w:vAlign w:val="center"/>
          </w:tcPr>
          <w:p w14:paraId="72B341C6">
            <w:pPr>
              <w:numPr>
                <w:ilvl w:val="0"/>
                <w:numId w:val="6"/>
              </w:numPr>
              <w:adjustRightInd/>
              <w:jc w:val="center"/>
              <w:rPr>
                <w:rFonts w:ascii="宋体" w:hAnsi="宋体" w:cs="宋体"/>
                <w:bCs/>
                <w:color w:val="000000" w:themeColor="text1"/>
                <w:sz w:val="18"/>
                <w:szCs w:val="18"/>
                <w14:textFill>
                  <w14:solidFill>
                    <w14:schemeClr w14:val="tx1"/>
                  </w14:solidFill>
                </w14:textFill>
              </w:rPr>
            </w:pPr>
          </w:p>
        </w:tc>
        <w:tc>
          <w:tcPr>
            <w:tcW w:w="570" w:type="pct"/>
            <w:gridSpan w:val="2"/>
            <w:vAlign w:val="center"/>
          </w:tcPr>
          <w:p w14:paraId="05AEF23D">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工控多媒体</w:t>
            </w:r>
            <w:r>
              <w:rPr>
                <w:rFonts w:hint="eastAsia" w:ascii="宋体" w:hAnsi="宋体" w:cs="宋体"/>
                <w:color w:val="000000"/>
                <w:kern w:val="0"/>
                <w:sz w:val="18"/>
                <w:szCs w:val="18"/>
                <w:lang w:bidi="ar"/>
              </w:rPr>
              <w:t>主机</w:t>
            </w:r>
          </w:p>
        </w:tc>
        <w:tc>
          <w:tcPr>
            <w:tcW w:w="3258" w:type="pct"/>
            <w:gridSpan w:val="6"/>
            <w:vAlign w:val="center"/>
          </w:tcPr>
          <w:p w14:paraId="65A28264">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13代i5处理器，≥16G,≥256G SSD,GTX1650显卡（发布相关信息、展示等功能）</w:t>
            </w:r>
          </w:p>
        </w:tc>
        <w:tc>
          <w:tcPr>
            <w:tcW w:w="404" w:type="pct"/>
            <w:vAlign w:val="center"/>
          </w:tcPr>
          <w:p w14:paraId="61F173BA">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185" w:type="pct"/>
            <w:vAlign w:val="center"/>
          </w:tcPr>
          <w:p w14:paraId="4102BA06">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套</w:t>
            </w:r>
          </w:p>
        </w:tc>
        <w:tc>
          <w:tcPr>
            <w:tcW w:w="359" w:type="pct"/>
            <w:vAlign w:val="center"/>
          </w:tcPr>
          <w:p w14:paraId="5B1BBA80">
            <w:pPr>
              <w:widowControl/>
              <w:jc w:val="center"/>
              <w:textAlignment w:val="center"/>
              <w:rPr>
                <w:rFonts w:ascii="宋体" w:hAnsi="宋体" w:cs="宋体"/>
                <w:bCs/>
                <w:color w:val="000000" w:themeColor="text1"/>
                <w:sz w:val="18"/>
                <w:szCs w:val="18"/>
                <w14:textFill>
                  <w14:solidFill>
                    <w14:schemeClr w14:val="tx1"/>
                  </w14:solidFill>
                </w14:textFill>
              </w:rPr>
            </w:pPr>
          </w:p>
        </w:tc>
      </w:tr>
      <w:tr w14:paraId="08BC4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21" w:type="pct"/>
            <w:vAlign w:val="center"/>
          </w:tcPr>
          <w:p w14:paraId="278E179A">
            <w:pPr>
              <w:numPr>
                <w:ilvl w:val="0"/>
                <w:numId w:val="6"/>
              </w:numPr>
              <w:adjustRightInd/>
              <w:jc w:val="center"/>
              <w:rPr>
                <w:rFonts w:ascii="宋体" w:hAnsi="宋体" w:cs="宋体"/>
                <w:bCs/>
                <w:color w:val="000000" w:themeColor="text1"/>
                <w:sz w:val="18"/>
                <w:szCs w:val="18"/>
                <w14:textFill>
                  <w14:solidFill>
                    <w14:schemeClr w14:val="tx1"/>
                  </w14:solidFill>
                </w14:textFill>
              </w:rPr>
            </w:pPr>
          </w:p>
        </w:tc>
        <w:tc>
          <w:tcPr>
            <w:tcW w:w="570" w:type="pct"/>
            <w:gridSpan w:val="2"/>
            <w:vAlign w:val="center"/>
          </w:tcPr>
          <w:p w14:paraId="1C9703C7">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LED显示屏专用配电柜</w:t>
            </w:r>
          </w:p>
        </w:tc>
        <w:tc>
          <w:tcPr>
            <w:tcW w:w="3258" w:type="pct"/>
            <w:gridSpan w:val="6"/>
            <w:vAlign w:val="center"/>
          </w:tcPr>
          <w:p w14:paraId="225B86A1">
            <w:pPr>
              <w:widowControl/>
              <w:jc w:val="left"/>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1.功率≥30kw；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2.具备防雷、过压、过流、欠压、短路、断路以及漏电保护措施；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3.具有漏电保护开关、空气开关、熔断器、延时启动接触器、电源防雷器等；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4</w:t>
            </w:r>
            <w:r>
              <w:rPr>
                <w:rFonts w:hint="eastAsia" w:ascii="宋体" w:hAnsi="宋体" w:cs="宋体"/>
                <w:color w:val="000000"/>
                <w:kern w:val="0"/>
                <w:sz w:val="18"/>
                <w:szCs w:val="18"/>
                <w:lang w:bidi="ar"/>
              </w:rPr>
              <w:t>.▲为保证产品稳定性，与LED显示屏同一品牌</w:t>
            </w:r>
            <w:r>
              <w:rPr>
                <w:rFonts w:hint="eastAsia" w:ascii="宋体" w:hAnsi="宋体" w:cs="宋体"/>
                <w:color w:val="000000"/>
                <w:kern w:val="0"/>
                <w:sz w:val="18"/>
                <w:szCs w:val="18"/>
                <w:lang w:val="en-US" w:eastAsia="zh-CN" w:bidi="ar"/>
              </w:rPr>
              <w:t>.</w:t>
            </w:r>
            <w:r>
              <w:rPr>
                <w:rFonts w:hint="eastAsia" w:ascii="宋体" w:hAnsi="宋体" w:cs="宋体"/>
                <w:color w:val="000000"/>
                <w:kern w:val="0"/>
                <w:sz w:val="18"/>
                <w:szCs w:val="18"/>
                <w:lang w:bidi="ar"/>
              </w:rPr>
              <w:t>（</w:t>
            </w:r>
            <w:r>
              <w:rPr>
                <w:rFonts w:hint="eastAsia" w:ascii="宋体" w:hAnsi="宋体" w:cs="宋体"/>
                <w:b/>
                <w:bCs/>
                <w:color w:val="000000"/>
                <w:kern w:val="0"/>
                <w:sz w:val="18"/>
                <w:szCs w:val="18"/>
                <w:lang w:bidi="ar"/>
              </w:rPr>
              <w:t>提供检测报告扫描件或产品说明书截图或官网参数截图等相关的佐证材料</w:t>
            </w:r>
            <w:r>
              <w:rPr>
                <w:rFonts w:hint="eastAsia" w:ascii="宋体" w:hAnsi="宋体" w:cs="宋体"/>
                <w:color w:val="000000"/>
                <w:kern w:val="0"/>
                <w:sz w:val="18"/>
                <w:szCs w:val="18"/>
                <w:lang w:bidi="ar"/>
              </w:rPr>
              <w:t>）</w:t>
            </w:r>
            <w:r>
              <w:rPr>
                <w:rFonts w:hint="eastAsia" w:ascii="宋体" w:hAnsi="宋体" w:cs="宋体"/>
                <w:color w:val="000000"/>
                <w:kern w:val="0"/>
                <w:sz w:val="18"/>
                <w:szCs w:val="18"/>
                <w:lang w:val="en-US" w:eastAsia="zh-CN" w:bidi="ar"/>
              </w:rPr>
              <w:t>.</w:t>
            </w:r>
          </w:p>
        </w:tc>
        <w:tc>
          <w:tcPr>
            <w:tcW w:w="404" w:type="pct"/>
            <w:vAlign w:val="center"/>
          </w:tcPr>
          <w:p w14:paraId="364B73A9">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185" w:type="pct"/>
            <w:vAlign w:val="center"/>
          </w:tcPr>
          <w:p w14:paraId="565EBEF3">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1</w:t>
            </w:r>
          </w:p>
        </w:tc>
        <w:tc>
          <w:tcPr>
            <w:tcW w:w="359" w:type="pct"/>
            <w:vAlign w:val="center"/>
          </w:tcPr>
          <w:p w14:paraId="024D6E53">
            <w:pPr>
              <w:widowControl/>
              <w:jc w:val="center"/>
              <w:textAlignment w:val="center"/>
              <w:rPr>
                <w:rFonts w:ascii="宋体" w:hAnsi="宋体" w:cs="宋体"/>
                <w:bCs/>
                <w:color w:val="000000" w:themeColor="text1"/>
                <w:sz w:val="18"/>
                <w:szCs w:val="18"/>
                <w14:textFill>
                  <w14:solidFill>
                    <w14:schemeClr w14:val="tx1"/>
                  </w14:solidFill>
                </w14:textFill>
              </w:rPr>
            </w:pPr>
          </w:p>
        </w:tc>
      </w:tr>
      <w:tr w14:paraId="7FEE4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21" w:type="pct"/>
            <w:tcBorders>
              <w:bottom w:val="single" w:color="auto" w:sz="4" w:space="0"/>
            </w:tcBorders>
            <w:vAlign w:val="center"/>
          </w:tcPr>
          <w:p w14:paraId="2216509F">
            <w:pPr>
              <w:numPr>
                <w:ilvl w:val="0"/>
                <w:numId w:val="6"/>
              </w:numPr>
              <w:adjustRightInd/>
              <w:jc w:val="center"/>
              <w:rPr>
                <w:rFonts w:ascii="宋体" w:hAnsi="宋体" w:cs="宋体"/>
                <w:bCs/>
                <w:color w:val="000000" w:themeColor="text1"/>
                <w:sz w:val="18"/>
                <w:szCs w:val="18"/>
                <w14:textFill>
                  <w14:solidFill>
                    <w14:schemeClr w14:val="tx1"/>
                  </w14:solidFill>
                </w14:textFill>
              </w:rPr>
            </w:pPr>
          </w:p>
        </w:tc>
        <w:tc>
          <w:tcPr>
            <w:tcW w:w="570" w:type="pct"/>
            <w:gridSpan w:val="2"/>
            <w:tcBorders>
              <w:bottom w:val="single" w:color="auto" w:sz="4" w:space="0"/>
            </w:tcBorders>
            <w:vAlign w:val="center"/>
          </w:tcPr>
          <w:p w14:paraId="6186DFAA">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系统集成</w:t>
            </w:r>
            <w:r>
              <w:rPr>
                <w:rFonts w:hint="eastAsia" w:ascii="宋体" w:hAnsi="宋体" w:cs="宋体"/>
                <w:color w:val="000000"/>
                <w:kern w:val="0"/>
                <w:sz w:val="18"/>
                <w:szCs w:val="18"/>
                <w:lang w:bidi="ar"/>
              </w:rPr>
              <w:t>费</w:t>
            </w:r>
          </w:p>
        </w:tc>
        <w:tc>
          <w:tcPr>
            <w:tcW w:w="3258" w:type="pct"/>
            <w:gridSpan w:val="6"/>
            <w:tcBorders>
              <w:bottom w:val="single" w:color="auto" w:sz="4" w:space="0"/>
            </w:tcBorders>
            <w:vAlign w:val="center"/>
          </w:tcPr>
          <w:p w14:paraId="37034005">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提供原厂工程师技术支持调试</w:t>
            </w:r>
          </w:p>
        </w:tc>
        <w:tc>
          <w:tcPr>
            <w:tcW w:w="404" w:type="pct"/>
            <w:tcBorders>
              <w:bottom w:val="single" w:color="auto" w:sz="4" w:space="0"/>
            </w:tcBorders>
            <w:vAlign w:val="center"/>
          </w:tcPr>
          <w:p w14:paraId="48B17C5D">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65.28</w:t>
            </w:r>
          </w:p>
        </w:tc>
        <w:tc>
          <w:tcPr>
            <w:tcW w:w="185" w:type="pct"/>
            <w:tcBorders>
              <w:bottom w:val="single" w:color="auto" w:sz="4" w:space="0"/>
            </w:tcBorders>
            <w:vAlign w:val="center"/>
          </w:tcPr>
          <w:p w14:paraId="1E2F8376">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w:t>
            </w:r>
          </w:p>
        </w:tc>
        <w:tc>
          <w:tcPr>
            <w:tcW w:w="359" w:type="pct"/>
            <w:tcBorders>
              <w:bottom w:val="single" w:color="auto" w:sz="4" w:space="0"/>
            </w:tcBorders>
            <w:vAlign w:val="center"/>
          </w:tcPr>
          <w:p w14:paraId="4AB65DE1">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标配</w:t>
            </w:r>
          </w:p>
        </w:tc>
      </w:tr>
      <w:tr w14:paraId="6D017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5000" w:type="pct"/>
            <w:gridSpan w:val="12"/>
            <w:tcBorders>
              <w:top w:val="single" w:color="auto" w:sz="4" w:space="0"/>
              <w:left w:val="nil"/>
              <w:bottom w:val="single" w:color="auto" w:sz="4" w:space="0"/>
              <w:right w:val="nil"/>
            </w:tcBorders>
            <w:vAlign w:val="center"/>
          </w:tcPr>
          <w:p w14:paraId="52DD55A6">
            <w:pPr>
              <w:adjustRightInd/>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监控系统</w:t>
            </w:r>
          </w:p>
        </w:tc>
      </w:tr>
      <w:tr w14:paraId="715C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21" w:type="pct"/>
            <w:tcBorders>
              <w:top w:val="single" w:color="auto" w:sz="4" w:space="0"/>
            </w:tcBorders>
            <w:vAlign w:val="center"/>
          </w:tcPr>
          <w:p w14:paraId="4459B81A">
            <w:pPr>
              <w:numPr>
                <w:ilvl w:val="0"/>
                <w:numId w:val="7"/>
              </w:numPr>
              <w:adjustRightInd/>
              <w:jc w:val="center"/>
              <w:rPr>
                <w:rFonts w:ascii="宋体" w:hAnsi="宋体" w:cs="宋体"/>
                <w:bCs/>
                <w:color w:val="000000" w:themeColor="text1"/>
                <w:sz w:val="18"/>
                <w:szCs w:val="18"/>
                <w14:textFill>
                  <w14:solidFill>
                    <w14:schemeClr w14:val="tx1"/>
                  </w14:solidFill>
                </w14:textFill>
              </w:rPr>
            </w:pPr>
          </w:p>
        </w:tc>
        <w:tc>
          <w:tcPr>
            <w:tcW w:w="570" w:type="pct"/>
            <w:gridSpan w:val="2"/>
            <w:tcBorders>
              <w:top w:val="single" w:color="auto" w:sz="4" w:space="0"/>
            </w:tcBorders>
            <w:vAlign w:val="center"/>
          </w:tcPr>
          <w:p w14:paraId="63D14744">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筒型网络摄像机</w:t>
            </w:r>
          </w:p>
        </w:tc>
        <w:tc>
          <w:tcPr>
            <w:tcW w:w="3258" w:type="pct"/>
            <w:gridSpan w:val="6"/>
            <w:tcBorders>
              <w:top w:val="single" w:color="auto" w:sz="4" w:space="0"/>
            </w:tcBorders>
          </w:tcPr>
          <w:p w14:paraId="7C7A7345">
            <w:pPr>
              <w:widowControl/>
              <w:jc w:val="left"/>
              <w:textAlignment w:val="top"/>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1、</w:t>
            </w:r>
            <w:r>
              <w:rPr>
                <w:rFonts w:hint="eastAsia" w:ascii="宋体" w:hAnsi="宋体" w:cs="宋体"/>
                <w:color w:val="000000"/>
                <w:kern w:val="0"/>
                <w:sz w:val="18"/>
                <w:szCs w:val="18"/>
                <w:lang w:bidi="ar"/>
              </w:rPr>
              <w:t>400万</w:t>
            </w:r>
            <w:r>
              <w:rPr>
                <w:rFonts w:hint="eastAsia" w:ascii="宋体" w:hAnsi="宋体" w:cs="宋体"/>
                <w:color w:val="000000"/>
                <w:kern w:val="0"/>
                <w:sz w:val="18"/>
                <w:szCs w:val="18"/>
                <w:lang w:eastAsia="zh-CN" w:bidi="ar"/>
              </w:rPr>
              <w:t>像素</w:t>
            </w:r>
            <w:r>
              <w:rPr>
                <w:rFonts w:hint="eastAsia" w:ascii="宋体" w:hAnsi="宋体" w:cs="宋体"/>
                <w:color w:val="000000"/>
                <w:kern w:val="0"/>
                <w:sz w:val="18"/>
                <w:szCs w:val="18"/>
                <w:lang w:bidi="ar"/>
              </w:rPr>
              <w:t>筒型网络摄像机</w:t>
            </w:r>
            <w:r>
              <w:rPr>
                <w:rFonts w:hint="eastAsia" w:ascii="宋体" w:hAnsi="宋体" w:cs="宋体"/>
                <w:color w:val="000000"/>
                <w:kern w:val="0"/>
                <w:sz w:val="18"/>
                <w:szCs w:val="18"/>
                <w:lang w:val="en-US" w:eastAsia="zh-CN" w:bidi="ar"/>
              </w:rPr>
              <w:t>.</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2、</w:t>
            </w:r>
            <w:r>
              <w:rPr>
                <w:rFonts w:hint="eastAsia" w:ascii="宋体" w:hAnsi="宋体" w:cs="宋体"/>
                <w:color w:val="000000"/>
                <w:kern w:val="0"/>
                <w:sz w:val="18"/>
                <w:szCs w:val="18"/>
                <w:lang w:bidi="ar"/>
              </w:rPr>
              <w:t>符合IP66防尘防水设计，可靠性高</w:t>
            </w:r>
            <w:r>
              <w:rPr>
                <w:rFonts w:hint="eastAsia" w:ascii="宋体" w:hAnsi="宋体" w:cs="宋体"/>
                <w:color w:val="000000"/>
                <w:kern w:val="0"/>
                <w:sz w:val="18"/>
                <w:szCs w:val="18"/>
                <w:lang w:val="en-US" w:eastAsia="zh-CN" w:bidi="ar"/>
              </w:rPr>
              <w:t>.</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3、支持</w:t>
            </w:r>
            <w:r>
              <w:rPr>
                <w:rFonts w:hint="eastAsia" w:ascii="宋体" w:hAnsi="宋体" w:cs="宋体"/>
                <w:color w:val="000000"/>
                <w:kern w:val="0"/>
                <w:sz w:val="18"/>
                <w:szCs w:val="18"/>
                <w:lang w:bidi="ar"/>
              </w:rPr>
              <w:t>最大图像尺寸：2560 × 1440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4、</w:t>
            </w:r>
            <w:r>
              <w:rPr>
                <w:rFonts w:hint="eastAsia" w:ascii="宋体" w:hAnsi="宋体" w:cs="宋体"/>
                <w:color w:val="000000"/>
                <w:kern w:val="0"/>
                <w:sz w:val="18"/>
                <w:szCs w:val="18"/>
                <w:lang w:bidi="ar"/>
              </w:rPr>
              <w:t>防补光过曝：支持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5、</w:t>
            </w:r>
            <w:r>
              <w:rPr>
                <w:rFonts w:hint="eastAsia" w:ascii="宋体" w:hAnsi="宋体" w:cs="宋体"/>
                <w:color w:val="000000"/>
                <w:kern w:val="0"/>
                <w:sz w:val="18"/>
                <w:szCs w:val="18"/>
                <w:lang w:bidi="ar"/>
              </w:rPr>
              <w:t>音频：≥1个内置麦克风</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6、</w:t>
            </w:r>
            <w:r>
              <w:rPr>
                <w:rFonts w:hint="eastAsia" w:ascii="宋体" w:hAnsi="宋体" w:cs="宋体"/>
                <w:color w:val="000000"/>
                <w:kern w:val="0"/>
                <w:sz w:val="18"/>
                <w:szCs w:val="18"/>
                <w:lang w:bidi="ar"/>
              </w:rPr>
              <w:t xml:space="preserve">网络：1个RJ45 10 M/100 M自适应以太网口 </w:t>
            </w:r>
          </w:p>
          <w:p w14:paraId="438D6B93">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7、</w:t>
            </w:r>
            <w:r>
              <w:rPr>
                <w:rFonts w:hint="eastAsia" w:ascii="宋体" w:hAnsi="宋体" w:cs="宋体"/>
                <w:color w:val="000000"/>
                <w:kern w:val="0"/>
                <w:sz w:val="18"/>
                <w:szCs w:val="18"/>
                <w:lang w:bidi="ar"/>
              </w:rPr>
              <w:t>恢复出厂设置：支持客户端或浏览器恢复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8、</w:t>
            </w:r>
            <w:r>
              <w:rPr>
                <w:rFonts w:hint="eastAsia" w:ascii="宋体" w:hAnsi="宋体" w:cs="宋体"/>
                <w:color w:val="000000"/>
                <w:kern w:val="0"/>
                <w:sz w:val="18"/>
                <w:szCs w:val="18"/>
                <w:lang w:bidi="ar"/>
              </w:rPr>
              <w:t>供电方式：DC：12 V ± 25%，支持防反接保护</w:t>
            </w:r>
          </w:p>
        </w:tc>
        <w:tc>
          <w:tcPr>
            <w:tcW w:w="404" w:type="pct"/>
            <w:tcBorders>
              <w:top w:val="single" w:color="auto" w:sz="4" w:space="0"/>
            </w:tcBorders>
            <w:vAlign w:val="center"/>
          </w:tcPr>
          <w:p w14:paraId="1ADF3AB8">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41</w:t>
            </w:r>
          </w:p>
        </w:tc>
        <w:tc>
          <w:tcPr>
            <w:tcW w:w="185" w:type="pct"/>
            <w:tcBorders>
              <w:top w:val="single" w:color="auto" w:sz="4" w:space="0"/>
            </w:tcBorders>
            <w:vAlign w:val="center"/>
          </w:tcPr>
          <w:p w14:paraId="2D9FF750">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台</w:t>
            </w:r>
          </w:p>
        </w:tc>
        <w:tc>
          <w:tcPr>
            <w:tcW w:w="359" w:type="pct"/>
            <w:tcBorders>
              <w:top w:val="single" w:color="auto" w:sz="4" w:space="0"/>
            </w:tcBorders>
            <w:vAlign w:val="center"/>
          </w:tcPr>
          <w:p w14:paraId="7B1F03F1">
            <w:pPr>
              <w:adjustRightInd/>
              <w:jc w:val="center"/>
              <w:rPr>
                <w:rFonts w:ascii="宋体" w:hAnsi="宋体" w:cs="宋体"/>
                <w:bCs/>
                <w:color w:val="000000" w:themeColor="text1"/>
                <w:sz w:val="18"/>
                <w:szCs w:val="18"/>
                <w14:textFill>
                  <w14:solidFill>
                    <w14:schemeClr w14:val="tx1"/>
                  </w14:solidFill>
                </w14:textFill>
              </w:rPr>
            </w:pPr>
          </w:p>
        </w:tc>
      </w:tr>
      <w:tr w14:paraId="7D6A2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21" w:type="pct"/>
            <w:vAlign w:val="center"/>
          </w:tcPr>
          <w:p w14:paraId="11BBAF7E">
            <w:pPr>
              <w:numPr>
                <w:ilvl w:val="0"/>
                <w:numId w:val="7"/>
              </w:numPr>
              <w:adjustRightInd/>
              <w:jc w:val="center"/>
              <w:rPr>
                <w:rFonts w:ascii="宋体" w:hAnsi="宋体" w:cs="宋体"/>
                <w:bCs/>
                <w:color w:val="000000" w:themeColor="text1"/>
                <w:sz w:val="18"/>
                <w:szCs w:val="18"/>
                <w14:textFill>
                  <w14:solidFill>
                    <w14:schemeClr w14:val="tx1"/>
                  </w14:solidFill>
                </w14:textFill>
              </w:rPr>
            </w:pPr>
          </w:p>
        </w:tc>
        <w:tc>
          <w:tcPr>
            <w:tcW w:w="570" w:type="pct"/>
            <w:gridSpan w:val="2"/>
            <w:vAlign w:val="center"/>
          </w:tcPr>
          <w:p w14:paraId="68472C98">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半球网络摄像机</w:t>
            </w:r>
          </w:p>
        </w:tc>
        <w:tc>
          <w:tcPr>
            <w:tcW w:w="3258" w:type="pct"/>
            <w:gridSpan w:val="6"/>
          </w:tcPr>
          <w:p w14:paraId="62AED32A">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1、</w:t>
            </w:r>
            <w:r>
              <w:rPr>
                <w:rFonts w:hint="eastAsia" w:ascii="宋体" w:hAnsi="宋体" w:cs="宋体"/>
                <w:color w:val="000000"/>
                <w:kern w:val="0"/>
                <w:sz w:val="18"/>
                <w:szCs w:val="18"/>
                <w:lang w:bidi="ar"/>
              </w:rPr>
              <w:t>400万</w:t>
            </w:r>
            <w:r>
              <w:rPr>
                <w:rFonts w:hint="eastAsia" w:ascii="宋体" w:hAnsi="宋体" w:cs="宋体"/>
                <w:color w:val="000000"/>
                <w:kern w:val="0"/>
                <w:sz w:val="18"/>
                <w:szCs w:val="18"/>
                <w:lang w:eastAsia="zh-CN" w:bidi="ar"/>
              </w:rPr>
              <w:t>像素</w:t>
            </w:r>
            <w:r>
              <w:rPr>
                <w:rFonts w:hint="eastAsia" w:ascii="宋体" w:hAnsi="宋体" w:cs="宋体"/>
                <w:color w:val="000000"/>
                <w:kern w:val="0"/>
                <w:sz w:val="18"/>
                <w:szCs w:val="18"/>
                <w:lang w:bidi="ar"/>
              </w:rPr>
              <w:t>海螺型网络摄像机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2、</w:t>
            </w:r>
            <w:r>
              <w:rPr>
                <w:rFonts w:hint="eastAsia" w:ascii="宋体" w:hAnsi="宋体" w:cs="宋体"/>
                <w:color w:val="000000"/>
                <w:kern w:val="0"/>
                <w:sz w:val="18"/>
                <w:szCs w:val="18"/>
                <w:lang w:bidi="ar"/>
              </w:rPr>
              <w:t>支持开放型网络视频接口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3、</w:t>
            </w:r>
            <w:r>
              <w:rPr>
                <w:rFonts w:hint="eastAsia" w:ascii="宋体" w:hAnsi="宋体" w:cs="宋体"/>
                <w:color w:val="000000"/>
                <w:kern w:val="0"/>
                <w:sz w:val="18"/>
                <w:szCs w:val="18"/>
                <w:lang w:bidi="ar"/>
              </w:rPr>
              <w:t>音频</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bidi="ar"/>
              </w:rPr>
              <w:t>≥1个内置麦克风</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4、</w:t>
            </w:r>
            <w:r>
              <w:rPr>
                <w:rFonts w:hint="eastAsia" w:ascii="宋体" w:hAnsi="宋体" w:cs="宋体"/>
                <w:color w:val="000000"/>
                <w:kern w:val="0"/>
                <w:sz w:val="18"/>
                <w:szCs w:val="18"/>
                <w:lang w:bidi="ar"/>
              </w:rPr>
              <w:t>符合IP66防尘防水设计，可靠性高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5、支持</w:t>
            </w:r>
            <w:r>
              <w:rPr>
                <w:rFonts w:hint="eastAsia" w:ascii="宋体" w:hAnsi="宋体" w:cs="宋体"/>
                <w:color w:val="000000"/>
                <w:kern w:val="0"/>
                <w:sz w:val="18"/>
                <w:szCs w:val="18"/>
                <w:lang w:bidi="ar"/>
              </w:rPr>
              <w:t>最大图像尺寸：2560 × 1440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6、</w:t>
            </w:r>
            <w:r>
              <w:rPr>
                <w:rFonts w:hint="eastAsia" w:ascii="宋体" w:hAnsi="宋体" w:cs="宋体"/>
                <w:color w:val="000000"/>
                <w:kern w:val="0"/>
                <w:sz w:val="18"/>
                <w:szCs w:val="18"/>
                <w:lang w:bidi="ar"/>
              </w:rPr>
              <w:t>防补光过曝：支持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7、</w:t>
            </w:r>
            <w:r>
              <w:rPr>
                <w:rFonts w:hint="eastAsia" w:ascii="宋体" w:hAnsi="宋体" w:cs="宋体"/>
                <w:color w:val="000000"/>
                <w:kern w:val="0"/>
                <w:sz w:val="18"/>
                <w:szCs w:val="18"/>
                <w:lang w:bidi="ar"/>
              </w:rPr>
              <w:t xml:space="preserve">网络：1个RJ45 10 M/100 M自适应以太网口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8、</w:t>
            </w:r>
            <w:r>
              <w:rPr>
                <w:rFonts w:hint="eastAsia" w:ascii="宋体" w:hAnsi="宋体" w:cs="宋体"/>
                <w:color w:val="000000"/>
                <w:kern w:val="0"/>
                <w:sz w:val="18"/>
                <w:szCs w:val="18"/>
                <w:lang w:bidi="ar"/>
              </w:rPr>
              <w:t>供电方式：DC：12 V ± 25%，支持防反接保护</w:t>
            </w:r>
          </w:p>
        </w:tc>
        <w:tc>
          <w:tcPr>
            <w:tcW w:w="404" w:type="pct"/>
            <w:vAlign w:val="center"/>
          </w:tcPr>
          <w:p w14:paraId="5253C1A4">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80</w:t>
            </w:r>
          </w:p>
        </w:tc>
        <w:tc>
          <w:tcPr>
            <w:tcW w:w="185" w:type="pct"/>
            <w:vAlign w:val="center"/>
          </w:tcPr>
          <w:p w14:paraId="7E6617D7">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台</w:t>
            </w:r>
          </w:p>
        </w:tc>
        <w:tc>
          <w:tcPr>
            <w:tcW w:w="359" w:type="pct"/>
            <w:vAlign w:val="center"/>
          </w:tcPr>
          <w:p w14:paraId="41EDF052">
            <w:pPr>
              <w:adjustRightInd/>
              <w:jc w:val="center"/>
              <w:rPr>
                <w:rFonts w:ascii="宋体" w:hAnsi="宋体" w:cs="宋体"/>
                <w:bCs/>
                <w:color w:val="000000" w:themeColor="text1"/>
                <w:sz w:val="18"/>
                <w:szCs w:val="18"/>
                <w14:textFill>
                  <w14:solidFill>
                    <w14:schemeClr w14:val="tx1"/>
                  </w14:solidFill>
                </w14:textFill>
              </w:rPr>
            </w:pPr>
          </w:p>
        </w:tc>
      </w:tr>
      <w:tr w14:paraId="79E4E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21" w:type="pct"/>
            <w:vAlign w:val="center"/>
          </w:tcPr>
          <w:p w14:paraId="0191440F">
            <w:pPr>
              <w:numPr>
                <w:ilvl w:val="0"/>
                <w:numId w:val="7"/>
              </w:numPr>
              <w:adjustRightInd/>
              <w:jc w:val="center"/>
              <w:rPr>
                <w:rFonts w:ascii="宋体" w:hAnsi="宋体" w:cs="宋体"/>
                <w:bCs/>
                <w:color w:val="000000" w:themeColor="text1"/>
                <w:sz w:val="18"/>
                <w:szCs w:val="18"/>
                <w14:textFill>
                  <w14:solidFill>
                    <w14:schemeClr w14:val="tx1"/>
                  </w14:solidFill>
                </w14:textFill>
              </w:rPr>
            </w:pPr>
          </w:p>
        </w:tc>
        <w:tc>
          <w:tcPr>
            <w:tcW w:w="570" w:type="pct"/>
            <w:gridSpan w:val="2"/>
            <w:vAlign w:val="center"/>
          </w:tcPr>
          <w:p w14:paraId="0FEE1327">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eastAsia="zh-CN" w:bidi="ar"/>
              </w:rPr>
              <w:t>储存硬</w:t>
            </w:r>
            <w:r>
              <w:rPr>
                <w:rFonts w:hint="eastAsia" w:ascii="宋体" w:hAnsi="宋体" w:cs="宋体"/>
                <w:color w:val="000000"/>
                <w:kern w:val="0"/>
                <w:sz w:val="18"/>
                <w:szCs w:val="18"/>
                <w:lang w:bidi="ar"/>
              </w:rPr>
              <w:t>盘</w:t>
            </w:r>
          </w:p>
        </w:tc>
        <w:tc>
          <w:tcPr>
            <w:tcW w:w="3258" w:type="pct"/>
            <w:gridSpan w:val="6"/>
          </w:tcPr>
          <w:p w14:paraId="2CAF1FFB">
            <w:pPr>
              <w:widowControl/>
              <w:jc w:val="left"/>
              <w:textAlignment w:val="top"/>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1、容量：</w:t>
            </w:r>
            <w:r>
              <w:rPr>
                <w:rFonts w:hint="eastAsia" w:ascii="宋体" w:hAnsi="宋体" w:cs="宋体"/>
                <w:color w:val="000000"/>
                <w:kern w:val="0"/>
                <w:sz w:val="18"/>
                <w:szCs w:val="18"/>
                <w:lang w:bidi="ar"/>
              </w:rPr>
              <w:t xml:space="preserve">8TB，SATA 3.0接口 </w:t>
            </w:r>
          </w:p>
          <w:p w14:paraId="776EBFCC">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2、</w:t>
            </w:r>
            <w:r>
              <w:rPr>
                <w:rFonts w:hint="eastAsia" w:ascii="宋体" w:hAnsi="宋体" w:cs="宋体"/>
                <w:color w:val="000000"/>
                <w:kern w:val="0"/>
                <w:sz w:val="18"/>
                <w:szCs w:val="18"/>
                <w:lang w:bidi="ar"/>
              </w:rPr>
              <w:t xml:space="preserve">转速：≥5400RPM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3、</w:t>
            </w:r>
            <w:r>
              <w:rPr>
                <w:rFonts w:hint="eastAsia" w:ascii="宋体" w:hAnsi="宋体" w:cs="宋体"/>
                <w:color w:val="000000"/>
                <w:kern w:val="0"/>
                <w:sz w:val="18"/>
                <w:szCs w:val="18"/>
                <w:lang w:bidi="ar"/>
              </w:rPr>
              <w:t xml:space="preserve">缓存：≥256MB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4、支持</w:t>
            </w:r>
            <w:r>
              <w:rPr>
                <w:rFonts w:hint="eastAsia" w:ascii="宋体" w:hAnsi="宋体" w:cs="宋体"/>
                <w:color w:val="000000"/>
                <w:kern w:val="0"/>
                <w:sz w:val="18"/>
                <w:szCs w:val="18"/>
                <w:lang w:bidi="ar"/>
              </w:rPr>
              <w:t xml:space="preserve">24×7全天候高效稳定运行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5、</w:t>
            </w:r>
            <w:r>
              <w:rPr>
                <w:rFonts w:hint="eastAsia" w:ascii="宋体" w:hAnsi="宋体" w:cs="宋体"/>
                <w:color w:val="000000"/>
                <w:kern w:val="0"/>
                <w:sz w:val="18"/>
                <w:szCs w:val="18"/>
                <w:lang w:bidi="ar"/>
              </w:rPr>
              <w:t>支持≥3年质保服务</w:t>
            </w:r>
          </w:p>
        </w:tc>
        <w:tc>
          <w:tcPr>
            <w:tcW w:w="404" w:type="pct"/>
            <w:vAlign w:val="center"/>
          </w:tcPr>
          <w:p w14:paraId="10AB3361">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40</w:t>
            </w:r>
          </w:p>
        </w:tc>
        <w:tc>
          <w:tcPr>
            <w:tcW w:w="185" w:type="pct"/>
            <w:vAlign w:val="center"/>
          </w:tcPr>
          <w:p w14:paraId="6BD8CC66">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块</w:t>
            </w:r>
          </w:p>
        </w:tc>
        <w:tc>
          <w:tcPr>
            <w:tcW w:w="359" w:type="pct"/>
            <w:vAlign w:val="center"/>
          </w:tcPr>
          <w:p w14:paraId="6110518D">
            <w:pPr>
              <w:adjustRightInd/>
              <w:jc w:val="center"/>
              <w:rPr>
                <w:rFonts w:ascii="宋体" w:hAnsi="宋体" w:cs="宋体"/>
                <w:bCs/>
                <w:color w:val="000000" w:themeColor="text1"/>
                <w:sz w:val="18"/>
                <w:szCs w:val="18"/>
                <w14:textFill>
                  <w14:solidFill>
                    <w14:schemeClr w14:val="tx1"/>
                  </w14:solidFill>
                </w14:textFill>
              </w:rPr>
            </w:pPr>
          </w:p>
        </w:tc>
      </w:tr>
      <w:tr w14:paraId="5A421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21" w:type="pct"/>
            <w:vAlign w:val="center"/>
          </w:tcPr>
          <w:p w14:paraId="72356F06">
            <w:pPr>
              <w:numPr>
                <w:ilvl w:val="0"/>
                <w:numId w:val="7"/>
              </w:numPr>
              <w:adjustRightInd/>
              <w:jc w:val="center"/>
              <w:rPr>
                <w:rFonts w:ascii="宋体" w:hAnsi="宋体" w:cs="宋体"/>
                <w:bCs/>
                <w:color w:val="000000" w:themeColor="text1"/>
                <w:sz w:val="18"/>
                <w:szCs w:val="18"/>
                <w14:textFill>
                  <w14:solidFill>
                    <w14:schemeClr w14:val="tx1"/>
                  </w14:solidFill>
                </w14:textFill>
              </w:rPr>
            </w:pPr>
          </w:p>
        </w:tc>
        <w:tc>
          <w:tcPr>
            <w:tcW w:w="570" w:type="pct"/>
            <w:gridSpan w:val="2"/>
            <w:vAlign w:val="center"/>
          </w:tcPr>
          <w:p w14:paraId="5E590EFD">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硬盘录像机</w:t>
            </w:r>
          </w:p>
        </w:tc>
        <w:tc>
          <w:tcPr>
            <w:tcW w:w="3258" w:type="pct"/>
            <w:gridSpan w:val="6"/>
          </w:tcPr>
          <w:p w14:paraId="35B7F7C7">
            <w:pPr>
              <w:widowControl/>
              <w:numPr>
                <w:ilvl w:val="0"/>
                <w:numId w:val="8"/>
              </w:numPr>
              <w:jc w:val="left"/>
              <w:textAlignment w:val="top"/>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支持</w:t>
            </w:r>
            <w:r>
              <w:rPr>
                <w:rFonts w:hint="eastAsia" w:ascii="宋体" w:hAnsi="宋体" w:cs="宋体"/>
                <w:color w:val="000000"/>
                <w:kern w:val="0"/>
                <w:sz w:val="18"/>
                <w:szCs w:val="18"/>
                <w:lang w:bidi="ar"/>
              </w:rPr>
              <w:t>≥4U机架式36盘位网络硬盘录像机，搭载电源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2、</w:t>
            </w:r>
            <w:r>
              <w:rPr>
                <w:rFonts w:hint="eastAsia" w:ascii="宋体" w:hAnsi="宋体" w:cs="宋体"/>
                <w:color w:val="000000"/>
                <w:kern w:val="0"/>
                <w:sz w:val="18"/>
                <w:szCs w:val="18"/>
                <w:lang w:bidi="ar"/>
              </w:rPr>
              <w:t>解码能力：最大支持12×1080P</w:t>
            </w:r>
          </w:p>
          <w:p w14:paraId="1D448C7B">
            <w:pPr>
              <w:widowControl/>
              <w:numPr>
                <w:ilvl w:val="0"/>
                <w:numId w:val="0"/>
              </w:numPr>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3、</w:t>
            </w:r>
            <w:r>
              <w:rPr>
                <w:rFonts w:hint="eastAsia" w:ascii="宋体" w:hAnsi="宋体" w:cs="宋体"/>
                <w:color w:val="000000"/>
                <w:kern w:val="0"/>
                <w:sz w:val="18"/>
                <w:szCs w:val="18"/>
                <w:lang w:bidi="ar"/>
              </w:rPr>
              <w:t>显示能力：最大支持4K输出</w:t>
            </w:r>
          </w:p>
        </w:tc>
        <w:tc>
          <w:tcPr>
            <w:tcW w:w="404" w:type="pct"/>
            <w:vAlign w:val="center"/>
          </w:tcPr>
          <w:p w14:paraId="415791DC">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185" w:type="pct"/>
            <w:vAlign w:val="center"/>
          </w:tcPr>
          <w:p w14:paraId="25E2C383">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台</w:t>
            </w:r>
          </w:p>
        </w:tc>
        <w:tc>
          <w:tcPr>
            <w:tcW w:w="359" w:type="pct"/>
            <w:vAlign w:val="center"/>
          </w:tcPr>
          <w:p w14:paraId="359D1F6A">
            <w:pPr>
              <w:adjustRightInd/>
              <w:jc w:val="center"/>
              <w:rPr>
                <w:rFonts w:ascii="宋体" w:hAnsi="宋体" w:cs="宋体"/>
                <w:bCs/>
                <w:color w:val="000000" w:themeColor="text1"/>
                <w:sz w:val="18"/>
                <w:szCs w:val="18"/>
                <w14:textFill>
                  <w14:solidFill>
                    <w14:schemeClr w14:val="tx1"/>
                  </w14:solidFill>
                </w14:textFill>
              </w:rPr>
            </w:pPr>
          </w:p>
        </w:tc>
      </w:tr>
      <w:tr w14:paraId="3F7F2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21" w:type="pct"/>
            <w:vAlign w:val="center"/>
          </w:tcPr>
          <w:p w14:paraId="7854DD2E">
            <w:pPr>
              <w:numPr>
                <w:ilvl w:val="0"/>
                <w:numId w:val="7"/>
              </w:numPr>
              <w:adjustRightInd/>
              <w:jc w:val="center"/>
              <w:rPr>
                <w:rFonts w:ascii="宋体" w:hAnsi="宋体" w:cs="宋体"/>
                <w:bCs/>
                <w:color w:val="000000" w:themeColor="text1"/>
                <w:sz w:val="18"/>
                <w:szCs w:val="18"/>
                <w14:textFill>
                  <w14:solidFill>
                    <w14:schemeClr w14:val="tx1"/>
                  </w14:solidFill>
                </w14:textFill>
              </w:rPr>
            </w:pPr>
          </w:p>
        </w:tc>
        <w:tc>
          <w:tcPr>
            <w:tcW w:w="570" w:type="pct"/>
            <w:gridSpan w:val="2"/>
            <w:vAlign w:val="center"/>
          </w:tcPr>
          <w:p w14:paraId="39B97F8F">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综合平台一体机</w:t>
            </w:r>
          </w:p>
        </w:tc>
        <w:tc>
          <w:tcPr>
            <w:tcW w:w="3258" w:type="pct"/>
            <w:gridSpan w:val="6"/>
          </w:tcPr>
          <w:p w14:paraId="2725F197">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1、</w:t>
            </w:r>
            <w:r>
              <w:rPr>
                <w:rFonts w:hint="eastAsia" w:ascii="宋体" w:hAnsi="宋体" w:cs="宋体"/>
                <w:color w:val="000000"/>
                <w:kern w:val="0"/>
                <w:sz w:val="18"/>
                <w:szCs w:val="18"/>
                <w:lang w:bidi="ar"/>
              </w:rPr>
              <w:t>关键规格：</w:t>
            </w:r>
            <w:r>
              <w:rPr>
                <w:rFonts w:hint="eastAsia" w:ascii="宋体" w:hAnsi="宋体" w:cs="宋体"/>
                <w:color w:val="000000"/>
                <w:kern w:val="0"/>
                <w:sz w:val="18"/>
                <w:szCs w:val="18"/>
                <w:lang w:eastAsia="zh-CN" w:bidi="ar"/>
              </w:rPr>
              <w:t>最大支持：</w:t>
            </w:r>
            <w:r>
              <w:rPr>
                <w:rFonts w:hint="eastAsia" w:ascii="宋体" w:hAnsi="宋体" w:cs="宋体"/>
                <w:color w:val="000000"/>
                <w:kern w:val="0"/>
                <w:sz w:val="18"/>
                <w:szCs w:val="18"/>
                <w:lang w:bidi="ar"/>
              </w:rPr>
              <w:t>300路视频，50个门禁，1500户可视对讲，1万人员，4车道，200个防区管理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2、</w:t>
            </w:r>
            <w:r>
              <w:rPr>
                <w:rFonts w:hint="eastAsia" w:ascii="宋体" w:hAnsi="宋体" w:cs="宋体"/>
                <w:color w:val="000000"/>
                <w:kern w:val="0"/>
                <w:sz w:val="18"/>
                <w:szCs w:val="18"/>
                <w:lang w:bidi="ar"/>
              </w:rPr>
              <w:t>平台硬件规格</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bidi="ar"/>
              </w:rPr>
              <w:t>≥2U标准机架式4盘位一体机</w:t>
            </w:r>
            <w:r>
              <w:rPr>
                <w:rFonts w:hint="eastAsia" w:ascii="宋体" w:hAnsi="宋体" w:cs="宋体"/>
                <w:color w:val="000000"/>
                <w:kern w:val="0"/>
                <w:sz w:val="18"/>
                <w:szCs w:val="18"/>
                <w:lang w:val="en-US" w:eastAsia="zh-CN" w:bidi="ar"/>
              </w:rPr>
              <w:t>.</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3、</w:t>
            </w:r>
            <w:r>
              <w:rPr>
                <w:rFonts w:hint="eastAsia" w:ascii="宋体" w:hAnsi="宋体" w:cs="宋体"/>
                <w:color w:val="000000"/>
                <w:kern w:val="0"/>
                <w:sz w:val="18"/>
                <w:szCs w:val="18"/>
                <w:lang w:bidi="ar"/>
              </w:rPr>
              <w:t>存储硬件规格</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bidi="ar"/>
              </w:rPr>
              <w:t>1个HDMI接口，1个VGA接口，同源输出2个10M/100M/1000Mbps网口</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bidi="ar"/>
              </w:rPr>
              <w:t>2个USB2.0接口、1个USB2.0接口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4、</w:t>
            </w:r>
            <w:r>
              <w:rPr>
                <w:rFonts w:hint="eastAsia" w:ascii="宋体" w:hAnsi="宋体" w:cs="宋体"/>
                <w:color w:val="000000"/>
                <w:kern w:val="0"/>
                <w:sz w:val="18"/>
                <w:szCs w:val="18"/>
                <w:lang w:bidi="ar"/>
              </w:rPr>
              <w:t>存储能力：≥32路</w:t>
            </w:r>
          </w:p>
        </w:tc>
        <w:tc>
          <w:tcPr>
            <w:tcW w:w="404" w:type="pct"/>
            <w:vAlign w:val="center"/>
          </w:tcPr>
          <w:p w14:paraId="7C65C9F1">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185" w:type="pct"/>
            <w:vAlign w:val="center"/>
          </w:tcPr>
          <w:p w14:paraId="6599EE90">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套</w:t>
            </w:r>
          </w:p>
        </w:tc>
        <w:tc>
          <w:tcPr>
            <w:tcW w:w="359" w:type="pct"/>
            <w:vAlign w:val="center"/>
          </w:tcPr>
          <w:p w14:paraId="6E1B8087">
            <w:pPr>
              <w:adjustRightInd/>
              <w:jc w:val="center"/>
              <w:rPr>
                <w:rFonts w:ascii="宋体" w:hAnsi="宋体" w:cs="宋体"/>
                <w:bCs/>
                <w:color w:val="000000" w:themeColor="text1"/>
                <w:sz w:val="18"/>
                <w:szCs w:val="18"/>
                <w14:textFill>
                  <w14:solidFill>
                    <w14:schemeClr w14:val="tx1"/>
                  </w14:solidFill>
                </w14:textFill>
              </w:rPr>
            </w:pPr>
          </w:p>
        </w:tc>
      </w:tr>
      <w:tr w14:paraId="69416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21" w:type="pct"/>
            <w:vAlign w:val="center"/>
          </w:tcPr>
          <w:p w14:paraId="4A0EB53E">
            <w:pPr>
              <w:numPr>
                <w:ilvl w:val="0"/>
                <w:numId w:val="7"/>
              </w:numPr>
              <w:adjustRightInd/>
              <w:jc w:val="center"/>
              <w:rPr>
                <w:rFonts w:ascii="宋体" w:hAnsi="宋体" w:cs="宋体"/>
                <w:bCs/>
                <w:color w:val="000000" w:themeColor="text1"/>
                <w:sz w:val="18"/>
                <w:szCs w:val="18"/>
                <w14:textFill>
                  <w14:solidFill>
                    <w14:schemeClr w14:val="tx1"/>
                  </w14:solidFill>
                </w14:textFill>
              </w:rPr>
            </w:pPr>
          </w:p>
        </w:tc>
        <w:tc>
          <w:tcPr>
            <w:tcW w:w="570" w:type="pct"/>
            <w:gridSpan w:val="2"/>
            <w:vAlign w:val="center"/>
          </w:tcPr>
          <w:p w14:paraId="10609B98">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86寸监视器</w:t>
            </w:r>
          </w:p>
        </w:tc>
        <w:tc>
          <w:tcPr>
            <w:tcW w:w="3258" w:type="pct"/>
            <w:gridSpan w:val="6"/>
          </w:tcPr>
          <w:p w14:paraId="38FCC28E">
            <w:pPr>
              <w:widowControl/>
              <w:jc w:val="left"/>
              <w:textAlignment w:val="top"/>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w:t>
            </w:r>
            <w:r>
              <w:rPr>
                <w:rFonts w:hint="eastAsia" w:ascii="宋体" w:hAnsi="宋体" w:cs="宋体"/>
                <w:color w:val="000000"/>
                <w:kern w:val="0"/>
                <w:sz w:val="18"/>
                <w:szCs w:val="18"/>
                <w:lang w:bidi="ar"/>
              </w:rPr>
              <w:t>86英寸显示器</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bidi="ar"/>
              </w:rPr>
              <w:t>画面细腻、清晰</w:t>
            </w:r>
            <w:r>
              <w:rPr>
                <w:rFonts w:hint="eastAsia" w:ascii="宋体" w:hAnsi="宋体" w:cs="宋体"/>
                <w:color w:val="000000"/>
                <w:kern w:val="0"/>
                <w:sz w:val="18"/>
                <w:szCs w:val="18"/>
                <w:lang w:val="en-US" w:eastAsia="zh-CN" w:bidi="ar"/>
              </w:rPr>
              <w:t>.</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2、</w:t>
            </w:r>
            <w:r>
              <w:rPr>
                <w:rFonts w:hint="eastAsia" w:ascii="宋体" w:hAnsi="宋体" w:cs="宋体"/>
                <w:color w:val="000000"/>
                <w:kern w:val="0"/>
                <w:sz w:val="18"/>
                <w:szCs w:val="18"/>
                <w:lang w:bidi="ar"/>
              </w:rPr>
              <w:t>支持USB接口的鼠标和键盘</w:t>
            </w:r>
            <w:r>
              <w:rPr>
                <w:rFonts w:hint="eastAsia" w:ascii="宋体" w:hAnsi="宋体" w:cs="宋体"/>
                <w:color w:val="000000"/>
                <w:kern w:val="0"/>
                <w:sz w:val="18"/>
                <w:szCs w:val="18"/>
                <w:lang w:val="en-US" w:eastAsia="zh-CN" w:bidi="ar"/>
              </w:rPr>
              <w:t>,</w:t>
            </w:r>
            <w:r>
              <w:rPr>
                <w:rFonts w:hint="eastAsia" w:ascii="宋体" w:hAnsi="宋体" w:cs="宋体"/>
                <w:color w:val="000000"/>
                <w:kern w:val="0"/>
                <w:sz w:val="18"/>
                <w:szCs w:val="18"/>
                <w:lang w:bidi="ar"/>
              </w:rPr>
              <w:t>支持DP、HDMI等接口信号输入</w:t>
            </w:r>
            <w:r>
              <w:rPr>
                <w:rFonts w:hint="eastAsia" w:ascii="宋体" w:hAnsi="宋体" w:cs="宋体"/>
                <w:color w:val="000000"/>
                <w:kern w:val="0"/>
                <w:sz w:val="18"/>
                <w:szCs w:val="18"/>
                <w:lang w:val="en-US" w:eastAsia="zh-CN" w:bidi="ar"/>
              </w:rPr>
              <w:t>.</w:t>
            </w:r>
          </w:p>
        </w:tc>
        <w:tc>
          <w:tcPr>
            <w:tcW w:w="404" w:type="pct"/>
            <w:vAlign w:val="center"/>
          </w:tcPr>
          <w:p w14:paraId="296CFE15">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185" w:type="pct"/>
            <w:vAlign w:val="center"/>
          </w:tcPr>
          <w:p w14:paraId="64AD5415">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台</w:t>
            </w:r>
          </w:p>
        </w:tc>
        <w:tc>
          <w:tcPr>
            <w:tcW w:w="359" w:type="pct"/>
            <w:vAlign w:val="center"/>
          </w:tcPr>
          <w:p w14:paraId="09A3E84A">
            <w:pPr>
              <w:adjustRightInd/>
              <w:jc w:val="center"/>
              <w:rPr>
                <w:rFonts w:ascii="宋体" w:hAnsi="宋体" w:cs="宋体"/>
                <w:bCs/>
                <w:color w:val="000000" w:themeColor="text1"/>
                <w:sz w:val="18"/>
                <w:szCs w:val="18"/>
                <w14:textFill>
                  <w14:solidFill>
                    <w14:schemeClr w14:val="tx1"/>
                  </w14:solidFill>
                </w14:textFill>
              </w:rPr>
            </w:pPr>
          </w:p>
        </w:tc>
      </w:tr>
      <w:tr w14:paraId="67D1B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21" w:type="pct"/>
            <w:vAlign w:val="center"/>
          </w:tcPr>
          <w:p w14:paraId="0939D7C1">
            <w:pPr>
              <w:numPr>
                <w:ilvl w:val="0"/>
                <w:numId w:val="7"/>
              </w:numPr>
              <w:adjustRightInd/>
              <w:jc w:val="center"/>
              <w:rPr>
                <w:rFonts w:ascii="宋体" w:hAnsi="宋体" w:cs="宋体"/>
                <w:bCs/>
                <w:color w:val="000000" w:themeColor="text1"/>
                <w:sz w:val="18"/>
                <w:szCs w:val="18"/>
                <w14:textFill>
                  <w14:solidFill>
                    <w14:schemeClr w14:val="tx1"/>
                  </w14:solidFill>
                </w14:textFill>
              </w:rPr>
            </w:pPr>
          </w:p>
        </w:tc>
        <w:tc>
          <w:tcPr>
            <w:tcW w:w="570" w:type="pct"/>
            <w:gridSpan w:val="2"/>
            <w:vAlign w:val="center"/>
          </w:tcPr>
          <w:p w14:paraId="0ECC0A42">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解码器</w:t>
            </w:r>
          </w:p>
        </w:tc>
        <w:tc>
          <w:tcPr>
            <w:tcW w:w="3258" w:type="pct"/>
            <w:gridSpan w:val="6"/>
          </w:tcPr>
          <w:p w14:paraId="09623FD0">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1、</w:t>
            </w:r>
            <w:r>
              <w:rPr>
                <w:rFonts w:hint="eastAsia" w:ascii="宋体" w:hAnsi="宋体" w:cs="宋体"/>
                <w:color w:val="000000"/>
                <w:kern w:val="0"/>
                <w:sz w:val="18"/>
                <w:szCs w:val="18"/>
                <w:lang w:bidi="ar"/>
              </w:rPr>
              <w:t>视频输入</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bidi="ar"/>
              </w:rPr>
              <w:t xml:space="preserve"> 支持网络信号源输入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2、</w:t>
            </w:r>
            <w:r>
              <w:rPr>
                <w:rFonts w:hint="eastAsia" w:ascii="宋体" w:hAnsi="宋体" w:cs="宋体"/>
                <w:color w:val="000000"/>
                <w:kern w:val="0"/>
                <w:sz w:val="18"/>
                <w:szCs w:val="18"/>
                <w:lang w:bidi="ar"/>
              </w:rPr>
              <w:t>视频输出</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bidi="ar"/>
              </w:rPr>
              <w:t xml:space="preserve"> 支持视频信号输出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3、</w:t>
            </w:r>
            <w:r>
              <w:rPr>
                <w:rFonts w:hint="eastAsia" w:ascii="宋体" w:hAnsi="宋体" w:cs="宋体"/>
                <w:color w:val="000000"/>
                <w:kern w:val="0"/>
                <w:sz w:val="18"/>
                <w:szCs w:val="18"/>
                <w:lang w:bidi="ar"/>
              </w:rPr>
              <w:t xml:space="preserve"> 支持两种音频输出方式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4、</w:t>
            </w:r>
            <w:r>
              <w:rPr>
                <w:rFonts w:hint="eastAsia" w:ascii="宋体" w:hAnsi="宋体" w:cs="宋体"/>
                <w:color w:val="000000"/>
                <w:kern w:val="0"/>
                <w:sz w:val="18"/>
                <w:szCs w:val="18"/>
                <w:lang w:bidi="ar"/>
              </w:rPr>
              <w:t>支持网络设备解码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5、</w:t>
            </w:r>
            <w:r>
              <w:rPr>
                <w:rFonts w:hint="eastAsia" w:ascii="宋体" w:hAnsi="宋体" w:cs="宋体"/>
                <w:color w:val="000000"/>
                <w:kern w:val="0"/>
                <w:sz w:val="18"/>
                <w:szCs w:val="18"/>
                <w:lang w:bidi="ar"/>
              </w:rPr>
              <w:t>解码分辨率</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bidi="ar"/>
              </w:rPr>
              <w:t>≥3200W像素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6、</w:t>
            </w:r>
            <w:r>
              <w:rPr>
                <w:rFonts w:hint="eastAsia" w:ascii="宋体" w:hAnsi="宋体" w:cs="宋体"/>
                <w:color w:val="000000"/>
                <w:kern w:val="0"/>
                <w:sz w:val="18"/>
                <w:szCs w:val="18"/>
                <w:lang w:bidi="ar"/>
              </w:rPr>
              <w:t>视频解码通道：≥16</w:t>
            </w:r>
          </w:p>
        </w:tc>
        <w:tc>
          <w:tcPr>
            <w:tcW w:w="404" w:type="pct"/>
            <w:vAlign w:val="center"/>
          </w:tcPr>
          <w:p w14:paraId="64E11A03">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185" w:type="pct"/>
            <w:vAlign w:val="center"/>
          </w:tcPr>
          <w:p w14:paraId="575DB91A">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台</w:t>
            </w:r>
          </w:p>
        </w:tc>
        <w:tc>
          <w:tcPr>
            <w:tcW w:w="359" w:type="pct"/>
            <w:vAlign w:val="center"/>
          </w:tcPr>
          <w:p w14:paraId="017D47CD">
            <w:pPr>
              <w:adjustRightInd/>
              <w:jc w:val="center"/>
              <w:rPr>
                <w:rFonts w:ascii="宋体" w:hAnsi="宋体" w:cs="宋体"/>
                <w:bCs/>
                <w:color w:val="000000" w:themeColor="text1"/>
                <w:sz w:val="18"/>
                <w:szCs w:val="18"/>
                <w14:textFill>
                  <w14:solidFill>
                    <w14:schemeClr w14:val="tx1"/>
                  </w14:solidFill>
                </w14:textFill>
              </w:rPr>
            </w:pPr>
          </w:p>
        </w:tc>
      </w:tr>
      <w:tr w14:paraId="06B06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21" w:type="pct"/>
            <w:vAlign w:val="center"/>
          </w:tcPr>
          <w:p w14:paraId="52A24C71">
            <w:pPr>
              <w:numPr>
                <w:ilvl w:val="0"/>
                <w:numId w:val="7"/>
              </w:numPr>
              <w:adjustRightInd/>
              <w:jc w:val="center"/>
              <w:rPr>
                <w:rFonts w:ascii="宋体" w:hAnsi="宋体" w:cs="宋体"/>
                <w:bCs/>
                <w:color w:val="000000" w:themeColor="text1"/>
                <w:sz w:val="18"/>
                <w:szCs w:val="18"/>
                <w14:textFill>
                  <w14:solidFill>
                    <w14:schemeClr w14:val="tx1"/>
                  </w14:solidFill>
                </w14:textFill>
              </w:rPr>
            </w:pPr>
          </w:p>
        </w:tc>
        <w:tc>
          <w:tcPr>
            <w:tcW w:w="570" w:type="pct"/>
            <w:gridSpan w:val="2"/>
            <w:vAlign w:val="center"/>
          </w:tcPr>
          <w:p w14:paraId="02F5DE71">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eastAsia="zh-CN" w:bidi="ar"/>
              </w:rPr>
              <w:t>八口</w:t>
            </w:r>
            <w:r>
              <w:rPr>
                <w:rFonts w:hint="eastAsia" w:ascii="宋体" w:hAnsi="宋体" w:cs="宋体"/>
                <w:color w:val="000000"/>
                <w:kern w:val="0"/>
                <w:sz w:val="18"/>
                <w:szCs w:val="18"/>
                <w:lang w:bidi="ar"/>
              </w:rPr>
              <w:t>千兆交换机</w:t>
            </w:r>
          </w:p>
        </w:tc>
        <w:tc>
          <w:tcPr>
            <w:tcW w:w="3258" w:type="pct"/>
            <w:gridSpan w:val="6"/>
          </w:tcPr>
          <w:p w14:paraId="7368F6DF">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1、支持</w:t>
            </w:r>
            <w:r>
              <w:rPr>
                <w:rFonts w:hint="eastAsia" w:ascii="宋体" w:hAnsi="宋体" w:cs="宋体"/>
                <w:color w:val="000000"/>
                <w:kern w:val="0"/>
                <w:sz w:val="18"/>
                <w:szCs w:val="18"/>
                <w:lang w:bidi="ar"/>
              </w:rPr>
              <w:t xml:space="preserve">8个千兆PoE电口，1个千兆电口，1个千兆光口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2、</w:t>
            </w:r>
            <w:r>
              <w:rPr>
                <w:rFonts w:hint="eastAsia" w:ascii="宋体" w:hAnsi="宋体" w:cs="宋体"/>
                <w:color w:val="000000"/>
                <w:kern w:val="0"/>
                <w:sz w:val="18"/>
                <w:szCs w:val="18"/>
                <w:lang w:bidi="ar"/>
              </w:rPr>
              <w:t xml:space="preserve">支持PoE输出功率管理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3、</w:t>
            </w:r>
            <w:r>
              <w:rPr>
                <w:rFonts w:hint="eastAsia" w:ascii="宋体" w:hAnsi="宋体" w:cs="宋体"/>
                <w:color w:val="000000"/>
                <w:kern w:val="0"/>
                <w:sz w:val="18"/>
                <w:szCs w:val="18"/>
                <w:lang w:bidi="ar"/>
              </w:rPr>
              <w:t>安装方式：桌面式可壁挂</w:t>
            </w:r>
          </w:p>
        </w:tc>
        <w:tc>
          <w:tcPr>
            <w:tcW w:w="404" w:type="pct"/>
            <w:vAlign w:val="center"/>
          </w:tcPr>
          <w:p w14:paraId="53115F92">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185" w:type="pct"/>
            <w:vAlign w:val="center"/>
          </w:tcPr>
          <w:p w14:paraId="6A2018AE">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台</w:t>
            </w:r>
          </w:p>
        </w:tc>
        <w:tc>
          <w:tcPr>
            <w:tcW w:w="359" w:type="pct"/>
            <w:vAlign w:val="center"/>
          </w:tcPr>
          <w:p w14:paraId="568C52DF">
            <w:pPr>
              <w:adjustRightInd/>
              <w:jc w:val="center"/>
              <w:rPr>
                <w:rFonts w:ascii="宋体" w:hAnsi="宋体" w:cs="宋体"/>
                <w:bCs/>
                <w:color w:val="000000" w:themeColor="text1"/>
                <w:sz w:val="18"/>
                <w:szCs w:val="18"/>
                <w14:textFill>
                  <w14:solidFill>
                    <w14:schemeClr w14:val="tx1"/>
                  </w14:solidFill>
                </w14:textFill>
              </w:rPr>
            </w:pPr>
          </w:p>
        </w:tc>
      </w:tr>
      <w:tr w14:paraId="0D1FE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21" w:type="pct"/>
            <w:vAlign w:val="center"/>
          </w:tcPr>
          <w:p w14:paraId="1D05AC70">
            <w:pPr>
              <w:numPr>
                <w:ilvl w:val="0"/>
                <w:numId w:val="7"/>
              </w:numPr>
              <w:adjustRightInd/>
              <w:jc w:val="center"/>
              <w:rPr>
                <w:rFonts w:ascii="宋体" w:hAnsi="宋体" w:cs="宋体"/>
                <w:bCs/>
                <w:color w:val="000000" w:themeColor="text1"/>
                <w:sz w:val="18"/>
                <w:szCs w:val="18"/>
                <w14:textFill>
                  <w14:solidFill>
                    <w14:schemeClr w14:val="tx1"/>
                  </w14:solidFill>
                </w14:textFill>
              </w:rPr>
            </w:pPr>
          </w:p>
        </w:tc>
        <w:tc>
          <w:tcPr>
            <w:tcW w:w="570" w:type="pct"/>
            <w:gridSpan w:val="2"/>
            <w:vAlign w:val="center"/>
          </w:tcPr>
          <w:p w14:paraId="697C4F4D">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eastAsia="zh-CN" w:bidi="ar"/>
              </w:rPr>
              <w:t>十六口</w:t>
            </w:r>
            <w:r>
              <w:rPr>
                <w:rFonts w:hint="eastAsia" w:ascii="宋体" w:hAnsi="宋体" w:cs="宋体"/>
                <w:color w:val="000000"/>
                <w:kern w:val="0"/>
                <w:sz w:val="18"/>
                <w:szCs w:val="18"/>
                <w:lang w:bidi="ar"/>
              </w:rPr>
              <w:t>千兆交换机</w:t>
            </w:r>
          </w:p>
        </w:tc>
        <w:tc>
          <w:tcPr>
            <w:tcW w:w="3258" w:type="pct"/>
            <w:gridSpan w:val="6"/>
          </w:tcPr>
          <w:p w14:paraId="788FBAB2">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1、支持</w:t>
            </w:r>
            <w:r>
              <w:rPr>
                <w:rFonts w:hint="eastAsia" w:ascii="宋体" w:hAnsi="宋体" w:cs="宋体"/>
                <w:color w:val="000000"/>
                <w:kern w:val="0"/>
                <w:sz w:val="18"/>
                <w:szCs w:val="18"/>
                <w:lang w:bidi="ar"/>
              </w:rPr>
              <w:t xml:space="preserve">16个千兆PoE电口，2个千兆光口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2、</w:t>
            </w:r>
            <w:r>
              <w:rPr>
                <w:rFonts w:hint="eastAsia" w:ascii="宋体" w:hAnsi="宋体" w:cs="宋体"/>
                <w:color w:val="000000"/>
                <w:kern w:val="0"/>
                <w:sz w:val="18"/>
                <w:szCs w:val="18"/>
                <w:lang w:bidi="ar"/>
              </w:rPr>
              <w:t xml:space="preserve">支持PoE输出功率管理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3、</w:t>
            </w:r>
            <w:r>
              <w:rPr>
                <w:rFonts w:hint="eastAsia" w:ascii="宋体" w:hAnsi="宋体" w:cs="宋体"/>
                <w:color w:val="000000"/>
                <w:kern w:val="0"/>
                <w:sz w:val="18"/>
                <w:szCs w:val="18"/>
                <w:lang w:bidi="ar"/>
              </w:rPr>
              <w:t>安装方式：</w:t>
            </w:r>
            <w:r>
              <w:rPr>
                <w:rFonts w:hint="eastAsia" w:ascii="宋体" w:hAnsi="宋体" w:cs="宋体"/>
                <w:color w:val="000000"/>
                <w:kern w:val="0"/>
                <w:sz w:val="18"/>
                <w:szCs w:val="18"/>
                <w:lang w:eastAsia="zh-CN" w:bidi="ar"/>
              </w:rPr>
              <w:t>支持</w:t>
            </w:r>
            <w:r>
              <w:rPr>
                <w:rFonts w:hint="eastAsia" w:ascii="宋体" w:hAnsi="宋体" w:cs="宋体"/>
                <w:color w:val="000000"/>
                <w:kern w:val="0"/>
                <w:sz w:val="18"/>
                <w:szCs w:val="18"/>
                <w:lang w:bidi="ar"/>
              </w:rPr>
              <w:t xml:space="preserve">机架式 </w:t>
            </w:r>
          </w:p>
        </w:tc>
        <w:tc>
          <w:tcPr>
            <w:tcW w:w="404" w:type="pct"/>
            <w:vAlign w:val="center"/>
          </w:tcPr>
          <w:p w14:paraId="597F6069">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w:t>
            </w:r>
          </w:p>
        </w:tc>
        <w:tc>
          <w:tcPr>
            <w:tcW w:w="185" w:type="pct"/>
            <w:vAlign w:val="center"/>
          </w:tcPr>
          <w:p w14:paraId="1E0E8490">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台</w:t>
            </w:r>
          </w:p>
        </w:tc>
        <w:tc>
          <w:tcPr>
            <w:tcW w:w="359" w:type="pct"/>
            <w:vAlign w:val="center"/>
          </w:tcPr>
          <w:p w14:paraId="181854DB">
            <w:pPr>
              <w:adjustRightInd/>
              <w:jc w:val="center"/>
              <w:rPr>
                <w:rFonts w:ascii="宋体" w:hAnsi="宋体" w:cs="宋体"/>
                <w:bCs/>
                <w:color w:val="000000" w:themeColor="text1"/>
                <w:sz w:val="18"/>
                <w:szCs w:val="18"/>
                <w14:textFill>
                  <w14:solidFill>
                    <w14:schemeClr w14:val="tx1"/>
                  </w14:solidFill>
                </w14:textFill>
              </w:rPr>
            </w:pPr>
          </w:p>
        </w:tc>
      </w:tr>
      <w:tr w14:paraId="430BD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21" w:type="pct"/>
            <w:vAlign w:val="center"/>
          </w:tcPr>
          <w:p w14:paraId="1ECCCC7C">
            <w:pPr>
              <w:numPr>
                <w:ilvl w:val="0"/>
                <w:numId w:val="7"/>
              </w:numPr>
              <w:adjustRightInd/>
              <w:jc w:val="center"/>
              <w:rPr>
                <w:rFonts w:ascii="宋体" w:hAnsi="宋体" w:cs="宋体"/>
                <w:bCs/>
                <w:color w:val="000000" w:themeColor="text1"/>
                <w:sz w:val="18"/>
                <w:szCs w:val="18"/>
                <w14:textFill>
                  <w14:solidFill>
                    <w14:schemeClr w14:val="tx1"/>
                  </w14:solidFill>
                </w14:textFill>
              </w:rPr>
            </w:pPr>
          </w:p>
        </w:tc>
        <w:tc>
          <w:tcPr>
            <w:tcW w:w="570" w:type="pct"/>
            <w:gridSpan w:val="2"/>
            <w:vAlign w:val="center"/>
          </w:tcPr>
          <w:p w14:paraId="01A0C388">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eastAsia="zh-CN" w:bidi="ar"/>
              </w:rPr>
              <w:t>二十四口</w:t>
            </w:r>
            <w:r>
              <w:rPr>
                <w:rFonts w:hint="eastAsia" w:ascii="宋体" w:hAnsi="宋体" w:cs="宋体"/>
                <w:color w:val="000000"/>
                <w:kern w:val="0"/>
                <w:sz w:val="18"/>
                <w:szCs w:val="18"/>
                <w:lang w:bidi="ar"/>
              </w:rPr>
              <w:t>千兆交换机</w:t>
            </w:r>
          </w:p>
        </w:tc>
        <w:tc>
          <w:tcPr>
            <w:tcW w:w="3258" w:type="pct"/>
            <w:gridSpan w:val="6"/>
          </w:tcPr>
          <w:p w14:paraId="15154D97">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1、支持</w:t>
            </w:r>
            <w:r>
              <w:rPr>
                <w:rFonts w:hint="eastAsia" w:ascii="宋体" w:hAnsi="宋体" w:cs="宋体"/>
                <w:color w:val="000000"/>
                <w:kern w:val="0"/>
                <w:sz w:val="18"/>
                <w:szCs w:val="18"/>
                <w:lang w:bidi="ar"/>
              </w:rPr>
              <w:t xml:space="preserve">24个千兆PoE电口，2个千兆光口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2、</w:t>
            </w:r>
            <w:r>
              <w:rPr>
                <w:rFonts w:hint="eastAsia" w:ascii="宋体" w:hAnsi="宋体" w:cs="宋体"/>
                <w:color w:val="000000"/>
                <w:kern w:val="0"/>
                <w:sz w:val="18"/>
                <w:szCs w:val="18"/>
                <w:lang w:bidi="ar"/>
              </w:rPr>
              <w:t xml:space="preserve">支持PoE输出功率管理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3、</w:t>
            </w:r>
            <w:r>
              <w:rPr>
                <w:rFonts w:hint="eastAsia" w:ascii="宋体" w:hAnsi="宋体" w:cs="宋体"/>
                <w:color w:val="000000"/>
                <w:kern w:val="0"/>
                <w:sz w:val="18"/>
                <w:szCs w:val="18"/>
                <w:lang w:bidi="ar"/>
              </w:rPr>
              <w:t>安装方式：</w:t>
            </w:r>
            <w:r>
              <w:rPr>
                <w:rFonts w:hint="eastAsia" w:ascii="宋体" w:hAnsi="宋体" w:cs="宋体"/>
                <w:color w:val="000000"/>
                <w:kern w:val="0"/>
                <w:sz w:val="18"/>
                <w:szCs w:val="18"/>
                <w:lang w:eastAsia="zh-CN" w:bidi="ar"/>
              </w:rPr>
              <w:t>支持</w:t>
            </w:r>
            <w:r>
              <w:rPr>
                <w:rFonts w:hint="eastAsia" w:ascii="宋体" w:hAnsi="宋体" w:cs="宋体"/>
                <w:color w:val="000000"/>
                <w:kern w:val="0"/>
                <w:sz w:val="18"/>
                <w:szCs w:val="18"/>
                <w:lang w:bidi="ar"/>
              </w:rPr>
              <w:t>机架式</w:t>
            </w:r>
          </w:p>
        </w:tc>
        <w:tc>
          <w:tcPr>
            <w:tcW w:w="404" w:type="pct"/>
            <w:vAlign w:val="center"/>
          </w:tcPr>
          <w:p w14:paraId="624942D3">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185" w:type="pct"/>
            <w:vAlign w:val="center"/>
          </w:tcPr>
          <w:p w14:paraId="4B56CC38">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台</w:t>
            </w:r>
          </w:p>
        </w:tc>
        <w:tc>
          <w:tcPr>
            <w:tcW w:w="359" w:type="pct"/>
            <w:vAlign w:val="center"/>
          </w:tcPr>
          <w:p w14:paraId="27A866EC">
            <w:pPr>
              <w:adjustRightInd/>
              <w:jc w:val="center"/>
              <w:rPr>
                <w:rFonts w:ascii="宋体" w:hAnsi="宋体" w:cs="宋体"/>
                <w:bCs/>
                <w:color w:val="000000" w:themeColor="text1"/>
                <w:sz w:val="18"/>
                <w:szCs w:val="18"/>
                <w14:textFill>
                  <w14:solidFill>
                    <w14:schemeClr w14:val="tx1"/>
                  </w14:solidFill>
                </w14:textFill>
              </w:rPr>
            </w:pPr>
          </w:p>
        </w:tc>
      </w:tr>
      <w:tr w14:paraId="1A021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21" w:type="pct"/>
            <w:vAlign w:val="center"/>
          </w:tcPr>
          <w:p w14:paraId="492B8B7E">
            <w:pPr>
              <w:numPr>
                <w:ilvl w:val="0"/>
                <w:numId w:val="7"/>
              </w:numPr>
              <w:adjustRightInd/>
              <w:jc w:val="center"/>
              <w:rPr>
                <w:rFonts w:ascii="宋体" w:hAnsi="宋体" w:cs="宋体"/>
                <w:bCs/>
                <w:color w:val="000000" w:themeColor="text1"/>
                <w:sz w:val="18"/>
                <w:szCs w:val="18"/>
                <w14:textFill>
                  <w14:solidFill>
                    <w14:schemeClr w14:val="tx1"/>
                  </w14:solidFill>
                </w14:textFill>
              </w:rPr>
            </w:pPr>
          </w:p>
        </w:tc>
        <w:tc>
          <w:tcPr>
            <w:tcW w:w="570" w:type="pct"/>
            <w:gridSpan w:val="2"/>
            <w:vAlign w:val="center"/>
          </w:tcPr>
          <w:p w14:paraId="0E059CA9">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eastAsia="zh-CN" w:bidi="ar"/>
              </w:rPr>
              <w:t>二十四口</w:t>
            </w:r>
            <w:r>
              <w:rPr>
                <w:rFonts w:hint="eastAsia" w:ascii="宋体" w:hAnsi="宋体" w:cs="宋体"/>
                <w:color w:val="000000"/>
                <w:kern w:val="0"/>
                <w:sz w:val="18"/>
                <w:szCs w:val="18"/>
                <w:lang w:bidi="ar"/>
              </w:rPr>
              <w:t>网管千兆交换机</w:t>
            </w:r>
          </w:p>
        </w:tc>
        <w:tc>
          <w:tcPr>
            <w:tcW w:w="3258" w:type="pct"/>
            <w:gridSpan w:val="6"/>
          </w:tcPr>
          <w:p w14:paraId="2C2BA189">
            <w:pPr>
              <w:widowControl/>
              <w:jc w:val="left"/>
              <w:textAlignment w:val="top"/>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1、</w:t>
            </w:r>
            <w:r>
              <w:rPr>
                <w:rFonts w:hint="eastAsia" w:ascii="宋体" w:hAnsi="宋体" w:cs="宋体"/>
                <w:color w:val="000000"/>
                <w:kern w:val="0"/>
                <w:sz w:val="18"/>
                <w:szCs w:val="18"/>
                <w:lang w:bidi="ar"/>
              </w:rPr>
              <w:t>24口千兆网管交换机，机架式，24个千兆/百兆光口，8个复用的千兆电口,4个万兆SFP+光口，可配置双电源，</w:t>
            </w:r>
          </w:p>
          <w:p w14:paraId="03D78EBB">
            <w:pPr>
              <w:widowControl/>
              <w:numPr>
                <w:ilvl w:val="0"/>
                <w:numId w:val="8"/>
              </w:numPr>
              <w:ind w:left="0" w:leftChars="0" w:firstLine="0" w:firstLineChars="0"/>
              <w:jc w:val="left"/>
              <w:textAlignment w:val="top"/>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bidi="ar"/>
              </w:rPr>
              <w:t>支持220v交流，支持VLAN,流量控制</w:t>
            </w:r>
            <w:r>
              <w:rPr>
                <w:rFonts w:hint="eastAsia" w:ascii="宋体" w:hAnsi="宋体" w:cs="宋体"/>
                <w:color w:val="000000"/>
                <w:kern w:val="0"/>
                <w:sz w:val="18"/>
                <w:szCs w:val="18"/>
                <w:lang w:eastAsia="zh-CN" w:bidi="ar"/>
              </w:rPr>
              <w:t>，</w:t>
            </w:r>
          </w:p>
          <w:p w14:paraId="04DE4F22">
            <w:pPr>
              <w:widowControl/>
              <w:numPr>
                <w:ilvl w:val="0"/>
                <w:numId w:val="8"/>
              </w:numPr>
              <w:ind w:left="0" w:leftChars="0" w:firstLine="0" w:firstLineChars="0"/>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支持SNMP V1/V2c/V3网管。</w:t>
            </w:r>
          </w:p>
        </w:tc>
        <w:tc>
          <w:tcPr>
            <w:tcW w:w="404" w:type="pct"/>
            <w:vAlign w:val="center"/>
          </w:tcPr>
          <w:p w14:paraId="7984D107">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185" w:type="pct"/>
            <w:vAlign w:val="center"/>
          </w:tcPr>
          <w:p w14:paraId="5C05C5EB">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台</w:t>
            </w:r>
          </w:p>
        </w:tc>
        <w:tc>
          <w:tcPr>
            <w:tcW w:w="359" w:type="pct"/>
            <w:vAlign w:val="center"/>
          </w:tcPr>
          <w:p w14:paraId="08364396">
            <w:pPr>
              <w:adjustRightInd/>
              <w:jc w:val="center"/>
              <w:rPr>
                <w:rFonts w:ascii="宋体" w:hAnsi="宋体" w:cs="宋体"/>
                <w:bCs/>
                <w:color w:val="000000" w:themeColor="text1"/>
                <w:sz w:val="18"/>
                <w:szCs w:val="18"/>
                <w14:textFill>
                  <w14:solidFill>
                    <w14:schemeClr w14:val="tx1"/>
                  </w14:solidFill>
                </w14:textFill>
              </w:rPr>
            </w:pPr>
          </w:p>
        </w:tc>
      </w:tr>
      <w:tr w14:paraId="1DD3D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21" w:type="pct"/>
            <w:vAlign w:val="center"/>
          </w:tcPr>
          <w:p w14:paraId="0489165D">
            <w:pPr>
              <w:numPr>
                <w:ilvl w:val="0"/>
                <w:numId w:val="7"/>
              </w:numPr>
              <w:adjustRightInd/>
              <w:jc w:val="center"/>
              <w:rPr>
                <w:rFonts w:ascii="宋体" w:hAnsi="宋体" w:cs="宋体"/>
                <w:bCs/>
                <w:color w:val="000000" w:themeColor="text1"/>
                <w:sz w:val="18"/>
                <w:szCs w:val="18"/>
                <w14:textFill>
                  <w14:solidFill>
                    <w14:schemeClr w14:val="tx1"/>
                  </w14:solidFill>
                </w14:textFill>
              </w:rPr>
            </w:pPr>
          </w:p>
        </w:tc>
        <w:tc>
          <w:tcPr>
            <w:tcW w:w="570" w:type="pct"/>
            <w:gridSpan w:val="2"/>
            <w:vAlign w:val="center"/>
          </w:tcPr>
          <w:p w14:paraId="2F2F92A4">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千兆交换机</w:t>
            </w:r>
          </w:p>
        </w:tc>
        <w:tc>
          <w:tcPr>
            <w:tcW w:w="3258" w:type="pct"/>
            <w:gridSpan w:val="6"/>
          </w:tcPr>
          <w:p w14:paraId="0A4D8650">
            <w:pPr>
              <w:widowControl/>
              <w:numPr>
                <w:ilvl w:val="0"/>
                <w:numId w:val="9"/>
              </w:numPr>
              <w:jc w:val="left"/>
              <w:textAlignment w:val="top"/>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bidi="ar"/>
              </w:rPr>
              <w:t>提供</w:t>
            </w:r>
            <w:r>
              <w:rPr>
                <w:rFonts w:hint="eastAsia" w:ascii="宋体" w:hAnsi="宋体" w:cs="宋体"/>
                <w:color w:val="000000"/>
                <w:kern w:val="0"/>
                <w:sz w:val="18"/>
                <w:szCs w:val="18"/>
                <w:lang w:eastAsia="zh-CN" w:bidi="ar"/>
              </w:rPr>
              <w:t>支持：</w:t>
            </w:r>
            <w:r>
              <w:rPr>
                <w:rFonts w:hint="eastAsia" w:ascii="宋体" w:hAnsi="宋体" w:cs="宋体"/>
                <w:color w:val="000000"/>
                <w:kern w:val="0"/>
                <w:sz w:val="18"/>
                <w:szCs w:val="18"/>
                <w:lang w:bidi="ar"/>
              </w:rPr>
              <w:t xml:space="preserve">24个千兆电口，24个千兆光口，6个万兆/千兆SFP光口 </w:t>
            </w:r>
            <w:r>
              <w:rPr>
                <w:rFonts w:hint="eastAsia" w:ascii="宋体" w:hAnsi="宋体" w:cs="宋体"/>
                <w:color w:val="000000"/>
                <w:kern w:val="0"/>
                <w:sz w:val="18"/>
                <w:szCs w:val="18"/>
                <w:lang w:val="en-US" w:eastAsia="zh-CN" w:bidi="ar"/>
              </w:rPr>
              <w:t>/</w:t>
            </w:r>
          </w:p>
          <w:p w14:paraId="3536CFC3">
            <w:pPr>
              <w:widowControl/>
              <w:numPr>
                <w:ilvl w:val="0"/>
                <w:numId w:val="0"/>
              </w:numPr>
              <w:jc w:val="left"/>
              <w:textAlignment w:val="top"/>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r>
              <w:rPr>
                <w:rFonts w:hint="eastAsia" w:ascii="宋体" w:hAnsi="宋体" w:cs="宋体"/>
                <w:color w:val="000000"/>
                <w:kern w:val="0"/>
                <w:sz w:val="18"/>
                <w:szCs w:val="18"/>
                <w:lang w:bidi="ar"/>
              </w:rPr>
              <w:t xml:space="preserve">支持QoS </w:t>
            </w:r>
          </w:p>
          <w:p w14:paraId="02E283B1">
            <w:pPr>
              <w:widowControl/>
              <w:numPr>
                <w:ilvl w:val="0"/>
                <w:numId w:val="0"/>
              </w:numPr>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3、</w:t>
            </w:r>
            <w:r>
              <w:rPr>
                <w:rFonts w:hint="eastAsia" w:ascii="宋体" w:hAnsi="宋体" w:cs="宋体"/>
                <w:color w:val="000000"/>
                <w:kern w:val="0"/>
                <w:sz w:val="18"/>
                <w:szCs w:val="18"/>
                <w:lang w:bidi="ar"/>
              </w:rPr>
              <w:t>支持用于不同级别的网络管理</w:t>
            </w:r>
          </w:p>
        </w:tc>
        <w:tc>
          <w:tcPr>
            <w:tcW w:w="404" w:type="pct"/>
            <w:vAlign w:val="center"/>
          </w:tcPr>
          <w:p w14:paraId="48C6B70C">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185" w:type="pct"/>
            <w:vAlign w:val="center"/>
          </w:tcPr>
          <w:p w14:paraId="28C1A607">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台</w:t>
            </w:r>
          </w:p>
        </w:tc>
        <w:tc>
          <w:tcPr>
            <w:tcW w:w="359" w:type="pct"/>
            <w:vAlign w:val="center"/>
          </w:tcPr>
          <w:p w14:paraId="340960DD">
            <w:pPr>
              <w:adjustRightInd/>
              <w:jc w:val="center"/>
              <w:rPr>
                <w:rFonts w:ascii="宋体" w:hAnsi="宋体" w:cs="宋体"/>
                <w:bCs/>
                <w:color w:val="000000" w:themeColor="text1"/>
                <w:sz w:val="18"/>
                <w:szCs w:val="18"/>
                <w14:textFill>
                  <w14:solidFill>
                    <w14:schemeClr w14:val="tx1"/>
                  </w14:solidFill>
                </w14:textFill>
              </w:rPr>
            </w:pPr>
          </w:p>
        </w:tc>
      </w:tr>
      <w:tr w14:paraId="0DF64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21" w:type="pct"/>
            <w:vAlign w:val="center"/>
          </w:tcPr>
          <w:p w14:paraId="56EE5DF5">
            <w:pPr>
              <w:numPr>
                <w:ilvl w:val="0"/>
                <w:numId w:val="7"/>
              </w:numPr>
              <w:adjustRightInd/>
              <w:jc w:val="center"/>
              <w:rPr>
                <w:rFonts w:ascii="宋体" w:hAnsi="宋体" w:cs="宋体"/>
                <w:bCs/>
                <w:color w:val="000000" w:themeColor="text1"/>
                <w:sz w:val="18"/>
                <w:szCs w:val="18"/>
                <w14:textFill>
                  <w14:solidFill>
                    <w14:schemeClr w14:val="tx1"/>
                  </w14:solidFill>
                </w14:textFill>
              </w:rPr>
            </w:pPr>
          </w:p>
        </w:tc>
        <w:tc>
          <w:tcPr>
            <w:tcW w:w="570" w:type="pct"/>
            <w:gridSpan w:val="2"/>
            <w:vAlign w:val="center"/>
          </w:tcPr>
          <w:p w14:paraId="54C7DE63">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网络产品</w:t>
            </w:r>
          </w:p>
        </w:tc>
        <w:tc>
          <w:tcPr>
            <w:tcW w:w="3258" w:type="pct"/>
            <w:gridSpan w:val="6"/>
            <w:vAlign w:val="center"/>
          </w:tcPr>
          <w:p w14:paraId="39B5906C">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光纤</w:t>
            </w:r>
          </w:p>
        </w:tc>
        <w:tc>
          <w:tcPr>
            <w:tcW w:w="404" w:type="pct"/>
            <w:vAlign w:val="center"/>
          </w:tcPr>
          <w:p w14:paraId="2162F1E9">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2000</w:t>
            </w:r>
          </w:p>
        </w:tc>
        <w:tc>
          <w:tcPr>
            <w:tcW w:w="185" w:type="pct"/>
            <w:vAlign w:val="center"/>
          </w:tcPr>
          <w:p w14:paraId="08EBDEF8">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米</w:t>
            </w:r>
          </w:p>
        </w:tc>
        <w:tc>
          <w:tcPr>
            <w:tcW w:w="359" w:type="pct"/>
            <w:vAlign w:val="center"/>
          </w:tcPr>
          <w:p w14:paraId="4EA1DE1F">
            <w:pPr>
              <w:adjustRightInd/>
              <w:jc w:val="center"/>
              <w:rPr>
                <w:rFonts w:ascii="宋体" w:hAnsi="宋体" w:cs="宋体"/>
                <w:bCs/>
                <w:color w:val="000000" w:themeColor="text1"/>
                <w:sz w:val="18"/>
                <w:szCs w:val="18"/>
                <w14:textFill>
                  <w14:solidFill>
                    <w14:schemeClr w14:val="tx1"/>
                  </w14:solidFill>
                </w14:textFill>
              </w:rPr>
            </w:pPr>
          </w:p>
        </w:tc>
      </w:tr>
      <w:tr w14:paraId="19606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21" w:type="pct"/>
            <w:vAlign w:val="center"/>
          </w:tcPr>
          <w:p w14:paraId="250295E3">
            <w:pPr>
              <w:numPr>
                <w:ilvl w:val="0"/>
                <w:numId w:val="7"/>
              </w:numPr>
              <w:adjustRightInd/>
              <w:jc w:val="center"/>
              <w:rPr>
                <w:rFonts w:ascii="宋体" w:hAnsi="宋体" w:cs="宋体"/>
                <w:bCs/>
                <w:color w:val="000000" w:themeColor="text1"/>
                <w:sz w:val="18"/>
                <w:szCs w:val="18"/>
                <w14:textFill>
                  <w14:solidFill>
                    <w14:schemeClr w14:val="tx1"/>
                  </w14:solidFill>
                </w14:textFill>
              </w:rPr>
            </w:pPr>
          </w:p>
        </w:tc>
        <w:tc>
          <w:tcPr>
            <w:tcW w:w="570" w:type="pct"/>
            <w:gridSpan w:val="2"/>
            <w:vAlign w:val="center"/>
          </w:tcPr>
          <w:p w14:paraId="46BAD135">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网络产品</w:t>
            </w:r>
          </w:p>
        </w:tc>
        <w:tc>
          <w:tcPr>
            <w:tcW w:w="3258" w:type="pct"/>
            <w:gridSpan w:val="6"/>
            <w:vAlign w:val="center"/>
          </w:tcPr>
          <w:p w14:paraId="1005E954">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6类网线</w:t>
            </w:r>
          </w:p>
        </w:tc>
        <w:tc>
          <w:tcPr>
            <w:tcW w:w="404" w:type="pct"/>
            <w:vAlign w:val="center"/>
          </w:tcPr>
          <w:p w14:paraId="73417690">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15</w:t>
            </w:r>
          </w:p>
        </w:tc>
        <w:tc>
          <w:tcPr>
            <w:tcW w:w="185" w:type="pct"/>
            <w:vAlign w:val="center"/>
          </w:tcPr>
          <w:p w14:paraId="42DFABE1">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箱</w:t>
            </w:r>
          </w:p>
        </w:tc>
        <w:tc>
          <w:tcPr>
            <w:tcW w:w="359" w:type="pct"/>
            <w:vAlign w:val="center"/>
          </w:tcPr>
          <w:p w14:paraId="3FE98E8A">
            <w:pPr>
              <w:adjustRightInd/>
              <w:jc w:val="center"/>
              <w:rPr>
                <w:rFonts w:ascii="宋体" w:hAnsi="宋体" w:cs="宋体"/>
                <w:bCs/>
                <w:color w:val="000000" w:themeColor="text1"/>
                <w:sz w:val="18"/>
                <w:szCs w:val="18"/>
                <w14:textFill>
                  <w14:solidFill>
                    <w14:schemeClr w14:val="tx1"/>
                  </w14:solidFill>
                </w14:textFill>
              </w:rPr>
            </w:pPr>
          </w:p>
        </w:tc>
      </w:tr>
      <w:tr w14:paraId="3B86E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21" w:type="pct"/>
            <w:vAlign w:val="center"/>
          </w:tcPr>
          <w:p w14:paraId="538EBB96">
            <w:pPr>
              <w:numPr>
                <w:ilvl w:val="0"/>
                <w:numId w:val="7"/>
              </w:numPr>
              <w:adjustRightInd/>
              <w:jc w:val="center"/>
              <w:rPr>
                <w:rFonts w:ascii="宋体" w:hAnsi="宋体" w:cs="宋体"/>
                <w:bCs/>
                <w:color w:val="000000" w:themeColor="text1"/>
                <w:sz w:val="18"/>
                <w:szCs w:val="18"/>
                <w14:textFill>
                  <w14:solidFill>
                    <w14:schemeClr w14:val="tx1"/>
                  </w14:solidFill>
                </w14:textFill>
              </w:rPr>
            </w:pPr>
          </w:p>
        </w:tc>
        <w:tc>
          <w:tcPr>
            <w:tcW w:w="570" w:type="pct"/>
            <w:gridSpan w:val="2"/>
            <w:vAlign w:val="center"/>
          </w:tcPr>
          <w:p w14:paraId="063C1D72">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网络产品</w:t>
            </w:r>
          </w:p>
        </w:tc>
        <w:tc>
          <w:tcPr>
            <w:tcW w:w="3258" w:type="pct"/>
            <w:gridSpan w:val="6"/>
            <w:vAlign w:val="center"/>
          </w:tcPr>
          <w:p w14:paraId="4837BCDC">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千兆光模块</w:t>
            </w:r>
          </w:p>
        </w:tc>
        <w:tc>
          <w:tcPr>
            <w:tcW w:w="404" w:type="pct"/>
            <w:vAlign w:val="center"/>
          </w:tcPr>
          <w:p w14:paraId="6793BCCE">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w:t>
            </w:r>
          </w:p>
        </w:tc>
        <w:tc>
          <w:tcPr>
            <w:tcW w:w="185" w:type="pct"/>
            <w:vAlign w:val="center"/>
          </w:tcPr>
          <w:p w14:paraId="0E9F3329">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个</w:t>
            </w:r>
          </w:p>
        </w:tc>
        <w:tc>
          <w:tcPr>
            <w:tcW w:w="359" w:type="pct"/>
            <w:vAlign w:val="center"/>
          </w:tcPr>
          <w:p w14:paraId="7DA1E7F4">
            <w:pPr>
              <w:adjustRightInd/>
              <w:jc w:val="center"/>
              <w:rPr>
                <w:rFonts w:ascii="宋体" w:hAnsi="宋体" w:cs="宋体"/>
                <w:bCs/>
                <w:color w:val="000000" w:themeColor="text1"/>
                <w:sz w:val="18"/>
                <w:szCs w:val="18"/>
                <w14:textFill>
                  <w14:solidFill>
                    <w14:schemeClr w14:val="tx1"/>
                  </w14:solidFill>
                </w14:textFill>
              </w:rPr>
            </w:pPr>
          </w:p>
        </w:tc>
      </w:tr>
      <w:tr w14:paraId="0115B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21" w:type="pct"/>
            <w:vAlign w:val="center"/>
          </w:tcPr>
          <w:p w14:paraId="34BA4D89">
            <w:pPr>
              <w:numPr>
                <w:ilvl w:val="0"/>
                <w:numId w:val="7"/>
              </w:numPr>
              <w:adjustRightInd/>
              <w:jc w:val="center"/>
              <w:rPr>
                <w:rFonts w:ascii="宋体" w:hAnsi="宋体" w:cs="宋体"/>
                <w:bCs/>
                <w:color w:val="000000" w:themeColor="text1"/>
                <w:sz w:val="18"/>
                <w:szCs w:val="18"/>
                <w14:textFill>
                  <w14:solidFill>
                    <w14:schemeClr w14:val="tx1"/>
                  </w14:solidFill>
                </w14:textFill>
              </w:rPr>
            </w:pPr>
          </w:p>
        </w:tc>
        <w:tc>
          <w:tcPr>
            <w:tcW w:w="570" w:type="pct"/>
            <w:gridSpan w:val="2"/>
            <w:vAlign w:val="center"/>
          </w:tcPr>
          <w:p w14:paraId="4CBEA4BE">
            <w:pPr>
              <w:widowControl/>
              <w:jc w:val="left"/>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系统集成费</w:t>
            </w:r>
          </w:p>
        </w:tc>
        <w:tc>
          <w:tcPr>
            <w:tcW w:w="3258" w:type="pct"/>
            <w:gridSpan w:val="6"/>
            <w:vAlign w:val="center"/>
          </w:tcPr>
          <w:p w14:paraId="2D6A88DB">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eastAsia="zh-CN" w:bidi="ar"/>
              </w:rPr>
              <w:t>网络集成</w:t>
            </w:r>
          </w:p>
        </w:tc>
        <w:tc>
          <w:tcPr>
            <w:tcW w:w="404" w:type="pct"/>
            <w:vAlign w:val="center"/>
          </w:tcPr>
          <w:p w14:paraId="65A3691D">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185" w:type="pct"/>
            <w:vAlign w:val="center"/>
          </w:tcPr>
          <w:p w14:paraId="257D37F8">
            <w:pPr>
              <w:widowControl/>
              <w:jc w:val="center"/>
              <w:textAlignment w:val="center"/>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项</w:t>
            </w:r>
          </w:p>
        </w:tc>
        <w:tc>
          <w:tcPr>
            <w:tcW w:w="359" w:type="pct"/>
            <w:vAlign w:val="center"/>
          </w:tcPr>
          <w:p w14:paraId="38442BC9">
            <w:pPr>
              <w:adjustRightInd/>
              <w:jc w:val="center"/>
              <w:rPr>
                <w:rFonts w:ascii="宋体" w:hAnsi="宋体" w:cs="宋体"/>
                <w:bCs/>
                <w:color w:val="000000" w:themeColor="text1"/>
                <w:sz w:val="18"/>
                <w:szCs w:val="18"/>
                <w14:textFill>
                  <w14:solidFill>
                    <w14:schemeClr w14:val="tx1"/>
                  </w14:solidFill>
                </w14:textFill>
              </w:rPr>
            </w:pPr>
          </w:p>
        </w:tc>
      </w:tr>
      <w:tr w14:paraId="0895C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21" w:type="pct"/>
            <w:tcBorders>
              <w:bottom w:val="single" w:color="auto" w:sz="4" w:space="0"/>
            </w:tcBorders>
            <w:vAlign w:val="center"/>
          </w:tcPr>
          <w:p w14:paraId="1560F76A">
            <w:pPr>
              <w:numPr>
                <w:ilvl w:val="0"/>
                <w:numId w:val="7"/>
              </w:numPr>
              <w:adjustRightInd/>
              <w:jc w:val="center"/>
              <w:rPr>
                <w:rFonts w:ascii="宋体" w:hAnsi="宋体" w:cs="宋体"/>
                <w:bCs/>
                <w:color w:val="000000" w:themeColor="text1"/>
                <w:sz w:val="18"/>
                <w:szCs w:val="18"/>
                <w14:textFill>
                  <w14:solidFill>
                    <w14:schemeClr w14:val="tx1"/>
                  </w14:solidFill>
                </w14:textFill>
              </w:rPr>
            </w:pPr>
          </w:p>
        </w:tc>
        <w:tc>
          <w:tcPr>
            <w:tcW w:w="570" w:type="pct"/>
            <w:gridSpan w:val="2"/>
            <w:tcBorders>
              <w:bottom w:val="single" w:color="auto" w:sz="4" w:space="0"/>
            </w:tcBorders>
            <w:vAlign w:val="center"/>
          </w:tcPr>
          <w:p w14:paraId="25C87D66">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其他配件</w:t>
            </w:r>
          </w:p>
        </w:tc>
        <w:tc>
          <w:tcPr>
            <w:tcW w:w="3258" w:type="pct"/>
            <w:gridSpan w:val="6"/>
            <w:tcBorders>
              <w:bottom w:val="single" w:color="auto" w:sz="4" w:space="0"/>
            </w:tcBorders>
            <w:vAlign w:val="center"/>
          </w:tcPr>
          <w:p w14:paraId="62236EC1">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线管、线槽、转接头、钉头、绞布等</w:t>
            </w:r>
          </w:p>
        </w:tc>
        <w:tc>
          <w:tcPr>
            <w:tcW w:w="404" w:type="pct"/>
            <w:tcBorders>
              <w:bottom w:val="single" w:color="auto" w:sz="4" w:space="0"/>
            </w:tcBorders>
            <w:vAlign w:val="center"/>
          </w:tcPr>
          <w:p w14:paraId="36D502D5">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185" w:type="pct"/>
            <w:tcBorders>
              <w:bottom w:val="single" w:color="auto" w:sz="4" w:space="0"/>
            </w:tcBorders>
            <w:vAlign w:val="center"/>
          </w:tcPr>
          <w:p w14:paraId="4DE236FA">
            <w:pPr>
              <w:widowControl/>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批</w:t>
            </w:r>
          </w:p>
        </w:tc>
        <w:tc>
          <w:tcPr>
            <w:tcW w:w="359" w:type="pct"/>
            <w:tcBorders>
              <w:bottom w:val="single" w:color="auto" w:sz="4" w:space="0"/>
            </w:tcBorders>
            <w:vAlign w:val="center"/>
          </w:tcPr>
          <w:p w14:paraId="0B106FC8">
            <w:pPr>
              <w:adjustRightInd/>
              <w:jc w:val="center"/>
              <w:rPr>
                <w:rFonts w:ascii="宋体" w:hAnsi="宋体" w:cs="宋体"/>
                <w:bCs/>
                <w:color w:val="000000" w:themeColor="text1"/>
                <w:sz w:val="18"/>
                <w:szCs w:val="18"/>
                <w14:textFill>
                  <w14:solidFill>
                    <w14:schemeClr w14:val="tx1"/>
                  </w14:solidFill>
                </w14:textFill>
              </w:rPr>
            </w:pPr>
          </w:p>
        </w:tc>
      </w:tr>
      <w:tr w14:paraId="5C5A5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000" w:type="pct"/>
            <w:gridSpan w:val="12"/>
            <w:tcBorders>
              <w:top w:val="single" w:color="auto" w:sz="4" w:space="0"/>
              <w:left w:val="nil"/>
              <w:bottom w:val="single" w:color="auto" w:sz="4" w:space="0"/>
              <w:right w:val="nil"/>
            </w:tcBorders>
            <w:vAlign w:val="center"/>
          </w:tcPr>
          <w:p w14:paraId="64CD0D0E">
            <w:pPr>
              <w:adjustRightInd/>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票务系统</w:t>
            </w:r>
          </w:p>
        </w:tc>
      </w:tr>
      <w:tr w14:paraId="0536C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21" w:type="pct"/>
            <w:tcBorders>
              <w:top w:val="single" w:color="auto" w:sz="4" w:space="0"/>
            </w:tcBorders>
            <w:vAlign w:val="center"/>
          </w:tcPr>
          <w:p w14:paraId="65A33334">
            <w:pPr>
              <w:adjustRightInd/>
              <w:jc w:val="center"/>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类别</w:t>
            </w:r>
          </w:p>
        </w:tc>
        <w:tc>
          <w:tcPr>
            <w:tcW w:w="570" w:type="pct"/>
            <w:gridSpan w:val="2"/>
            <w:tcBorders>
              <w:top w:val="single" w:color="auto" w:sz="4" w:space="0"/>
            </w:tcBorders>
            <w:vAlign w:val="center"/>
          </w:tcPr>
          <w:p w14:paraId="035447E8">
            <w:pPr>
              <w:widowControl/>
              <w:adjustRightInd/>
              <w:jc w:val="center"/>
              <w:textAlignment w:val="bottom"/>
              <w:rPr>
                <w:rFonts w:ascii="宋体" w:hAnsi="宋体" w:cs="宋体"/>
                <w:b/>
                <w:color w:val="000000"/>
                <w:kern w:val="0"/>
                <w:sz w:val="18"/>
                <w:szCs w:val="18"/>
                <w:lang w:bidi="ar"/>
              </w:rPr>
            </w:pPr>
            <w:r>
              <w:rPr>
                <w:rFonts w:hint="eastAsia" w:ascii="宋体" w:hAnsi="宋体" w:cs="宋体"/>
                <w:b/>
                <w:color w:val="000000"/>
                <w:kern w:val="0"/>
                <w:sz w:val="18"/>
                <w:szCs w:val="18"/>
                <w:lang w:bidi="ar"/>
              </w:rPr>
              <w:t>品名</w:t>
            </w:r>
          </w:p>
        </w:tc>
        <w:tc>
          <w:tcPr>
            <w:tcW w:w="3258" w:type="pct"/>
            <w:gridSpan w:val="6"/>
            <w:tcBorders>
              <w:top w:val="single" w:color="auto" w:sz="4" w:space="0"/>
            </w:tcBorders>
            <w:vAlign w:val="center"/>
          </w:tcPr>
          <w:p w14:paraId="19DB70D1">
            <w:pPr>
              <w:widowControl/>
              <w:adjustRightInd/>
              <w:jc w:val="center"/>
              <w:textAlignment w:val="bottom"/>
              <w:rPr>
                <w:rFonts w:ascii="宋体" w:hAnsi="宋体" w:cs="宋体"/>
                <w:b/>
                <w:color w:val="000000"/>
                <w:kern w:val="0"/>
                <w:sz w:val="18"/>
                <w:szCs w:val="18"/>
                <w:lang w:bidi="ar"/>
              </w:rPr>
            </w:pPr>
            <w:r>
              <w:rPr>
                <w:rFonts w:hint="eastAsia" w:ascii="宋体" w:hAnsi="宋体" w:cs="宋体"/>
                <w:b/>
                <w:color w:val="000000"/>
                <w:kern w:val="0"/>
                <w:sz w:val="18"/>
                <w:szCs w:val="18"/>
                <w:lang w:bidi="ar"/>
              </w:rPr>
              <w:t>技术参数</w:t>
            </w:r>
          </w:p>
        </w:tc>
        <w:tc>
          <w:tcPr>
            <w:tcW w:w="404" w:type="pct"/>
            <w:tcBorders>
              <w:top w:val="single" w:color="auto" w:sz="4" w:space="0"/>
            </w:tcBorders>
            <w:vAlign w:val="center"/>
          </w:tcPr>
          <w:p w14:paraId="47960B27">
            <w:pPr>
              <w:widowControl/>
              <w:adjustRightInd/>
              <w:jc w:val="center"/>
              <w:textAlignment w:val="bottom"/>
              <w:rPr>
                <w:rFonts w:ascii="宋体" w:hAnsi="宋体" w:cs="宋体"/>
                <w:b/>
                <w:color w:val="000000"/>
                <w:kern w:val="0"/>
                <w:sz w:val="18"/>
                <w:szCs w:val="18"/>
                <w:lang w:bidi="ar"/>
              </w:rPr>
            </w:pPr>
            <w:r>
              <w:rPr>
                <w:rFonts w:hint="eastAsia" w:ascii="宋体" w:hAnsi="宋体" w:cs="宋体"/>
                <w:b/>
                <w:color w:val="000000"/>
                <w:kern w:val="0"/>
                <w:sz w:val="18"/>
                <w:szCs w:val="18"/>
                <w:lang w:bidi="ar"/>
              </w:rPr>
              <w:t>数量</w:t>
            </w:r>
          </w:p>
        </w:tc>
        <w:tc>
          <w:tcPr>
            <w:tcW w:w="185" w:type="pct"/>
            <w:tcBorders>
              <w:top w:val="single" w:color="auto" w:sz="4" w:space="0"/>
            </w:tcBorders>
            <w:vAlign w:val="center"/>
          </w:tcPr>
          <w:p w14:paraId="458C984C">
            <w:pPr>
              <w:widowControl/>
              <w:adjustRightInd/>
              <w:jc w:val="center"/>
              <w:textAlignment w:val="bottom"/>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单位</w:t>
            </w:r>
          </w:p>
        </w:tc>
        <w:tc>
          <w:tcPr>
            <w:tcW w:w="359" w:type="pct"/>
            <w:tcBorders>
              <w:top w:val="single" w:color="auto" w:sz="4" w:space="0"/>
            </w:tcBorders>
            <w:vAlign w:val="center"/>
          </w:tcPr>
          <w:p w14:paraId="46E3D62B">
            <w:pPr>
              <w:adjustRightInd/>
              <w:jc w:val="center"/>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备注</w:t>
            </w:r>
          </w:p>
        </w:tc>
      </w:tr>
      <w:tr w14:paraId="43B45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21" w:type="pct"/>
            <w:vMerge w:val="restart"/>
            <w:vAlign w:val="center"/>
          </w:tcPr>
          <w:p w14:paraId="11CA83FB">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入口检票闸机</w:t>
            </w:r>
          </w:p>
        </w:tc>
        <w:tc>
          <w:tcPr>
            <w:tcW w:w="570" w:type="pct"/>
            <w:gridSpan w:val="2"/>
            <w:vAlign w:val="center"/>
          </w:tcPr>
          <w:p w14:paraId="6C8F9790">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检票三辊机（通用款）</w:t>
            </w:r>
          </w:p>
        </w:tc>
        <w:tc>
          <w:tcPr>
            <w:tcW w:w="3258" w:type="pct"/>
            <w:gridSpan w:val="6"/>
            <w:shd w:val="clear" w:color="auto" w:fill="auto"/>
          </w:tcPr>
          <w:p w14:paraId="24960912">
            <w:pPr>
              <w:widowControl/>
              <w:numPr>
                <w:ilvl w:val="0"/>
                <w:numId w:val="10"/>
              </w:numPr>
              <w:jc w:val="left"/>
              <w:textAlignment w:val="top"/>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bidi="ar"/>
              </w:rPr>
              <w:t>外形尺寸：1200×280 ×980 mm（长*宽*高）闸杆长500MM；</w:t>
            </w:r>
            <w:r>
              <w:rPr>
                <w:rFonts w:hint="eastAsia" w:ascii="宋体" w:hAnsi="宋体" w:cs="宋体"/>
                <w:color w:val="000000"/>
                <w:kern w:val="0"/>
                <w:sz w:val="18"/>
                <w:szCs w:val="18"/>
                <w:lang w:val="en-US" w:eastAsia="zh-CN" w:bidi="ar"/>
              </w:rPr>
              <w:t>2、</w:t>
            </w:r>
            <w:r>
              <w:rPr>
                <w:rFonts w:hint="eastAsia" w:ascii="宋体" w:hAnsi="宋体" w:cs="宋体"/>
                <w:color w:val="000000"/>
                <w:kern w:val="0"/>
                <w:sz w:val="18"/>
                <w:szCs w:val="18"/>
                <w:lang w:bidi="ar"/>
              </w:rPr>
              <w:t xml:space="preserve">材质：不锈钢；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2、</w:t>
            </w:r>
            <w:r>
              <w:rPr>
                <w:rFonts w:hint="eastAsia" w:ascii="宋体" w:hAnsi="宋体" w:cs="宋体"/>
                <w:color w:val="000000"/>
                <w:kern w:val="0"/>
                <w:sz w:val="18"/>
                <w:szCs w:val="18"/>
                <w:lang w:bidi="ar"/>
              </w:rPr>
              <w:t>信号输入：继电器开关信号</w:t>
            </w:r>
          </w:p>
          <w:p w14:paraId="772415BD">
            <w:pPr>
              <w:widowControl/>
              <w:numPr>
                <w:ilvl w:val="0"/>
                <w:numId w:val="0"/>
              </w:numPr>
              <w:jc w:val="left"/>
              <w:textAlignment w:val="top"/>
              <w:rPr>
                <w:rFonts w:ascii="宋体" w:hAnsi="宋体" w:cs="宋体"/>
                <w:color w:val="000000"/>
                <w:sz w:val="18"/>
                <w:szCs w:val="18"/>
              </w:rPr>
            </w:pPr>
            <w:r>
              <w:rPr>
                <w:rFonts w:hint="eastAsia" w:ascii="宋体" w:hAnsi="宋体" w:cs="宋体"/>
                <w:color w:val="000000"/>
                <w:kern w:val="0"/>
                <w:sz w:val="18"/>
                <w:szCs w:val="18"/>
                <w:lang w:val="en-US" w:eastAsia="zh-CN" w:bidi="ar"/>
              </w:rPr>
              <w:t>3、</w:t>
            </w:r>
            <w:r>
              <w:rPr>
                <w:rFonts w:hint="eastAsia" w:ascii="宋体" w:hAnsi="宋体" w:cs="宋体"/>
                <w:color w:val="000000"/>
                <w:kern w:val="0"/>
                <w:sz w:val="18"/>
                <w:szCs w:val="18"/>
                <w:lang w:bidi="ar"/>
              </w:rPr>
              <w:t>驱动方式：</w:t>
            </w:r>
            <w:r>
              <w:rPr>
                <w:rFonts w:hint="eastAsia" w:ascii="宋体" w:hAnsi="宋体" w:cs="宋体"/>
                <w:color w:val="000000"/>
                <w:kern w:val="0"/>
                <w:sz w:val="18"/>
                <w:szCs w:val="18"/>
                <w:lang w:eastAsia="zh-CN" w:bidi="ar"/>
              </w:rPr>
              <w:t>需要支持</w:t>
            </w:r>
            <w:r>
              <w:rPr>
                <w:rFonts w:hint="eastAsia" w:ascii="宋体" w:hAnsi="宋体" w:cs="宋体"/>
                <w:color w:val="000000"/>
                <w:kern w:val="0"/>
                <w:sz w:val="18"/>
                <w:szCs w:val="18"/>
                <w:lang w:bidi="ar"/>
              </w:rPr>
              <w:t>光电感应、电磁驱动；开闸时间：</w:t>
            </w:r>
            <w:r>
              <w:rPr>
                <w:rFonts w:hint="eastAsia" w:ascii="宋体" w:hAnsi="宋体" w:eastAsia="宋体" w:cs="宋体"/>
                <w:color w:val="000000"/>
                <w:kern w:val="0"/>
                <w:sz w:val="18"/>
                <w:szCs w:val="18"/>
                <w:lang w:bidi="ar"/>
              </w:rPr>
              <w:t>≦</w:t>
            </w:r>
            <w:r>
              <w:rPr>
                <w:rFonts w:hint="eastAsia" w:ascii="宋体" w:hAnsi="宋体" w:cs="宋体"/>
                <w:color w:val="000000"/>
                <w:kern w:val="0"/>
                <w:sz w:val="18"/>
                <w:szCs w:val="18"/>
                <w:lang w:bidi="ar"/>
              </w:rPr>
              <w:t>0.2秒；</w:t>
            </w:r>
          </w:p>
        </w:tc>
        <w:tc>
          <w:tcPr>
            <w:tcW w:w="404" w:type="pct"/>
            <w:vMerge w:val="restart"/>
            <w:vAlign w:val="center"/>
          </w:tcPr>
          <w:p w14:paraId="783D0BA3">
            <w:pPr>
              <w:widowControl/>
              <w:adjustRightInd/>
              <w:jc w:val="center"/>
              <w:textAlignment w:val="bottom"/>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185" w:type="pct"/>
            <w:vMerge w:val="restart"/>
            <w:vAlign w:val="center"/>
          </w:tcPr>
          <w:p w14:paraId="0301D305">
            <w:pPr>
              <w:widowControl/>
              <w:adjustRightInd/>
              <w:jc w:val="center"/>
              <w:textAlignment w:val="bottom"/>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台</w:t>
            </w:r>
          </w:p>
        </w:tc>
        <w:tc>
          <w:tcPr>
            <w:tcW w:w="359" w:type="pct"/>
            <w:vAlign w:val="center"/>
          </w:tcPr>
          <w:p w14:paraId="53A12D06">
            <w:pPr>
              <w:adjustRightInd/>
              <w:jc w:val="center"/>
              <w:rPr>
                <w:rFonts w:ascii="宋体" w:hAnsi="宋体" w:cs="宋体"/>
                <w:bCs/>
                <w:color w:val="000000" w:themeColor="text1"/>
                <w:sz w:val="18"/>
                <w:szCs w:val="18"/>
                <w14:textFill>
                  <w14:solidFill>
                    <w14:schemeClr w14:val="tx1"/>
                  </w14:solidFill>
                </w14:textFill>
              </w:rPr>
            </w:pPr>
          </w:p>
        </w:tc>
      </w:tr>
      <w:tr w14:paraId="4513A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221" w:type="pct"/>
            <w:vMerge w:val="continue"/>
            <w:vAlign w:val="center"/>
          </w:tcPr>
          <w:p w14:paraId="40AB07CD">
            <w:pPr>
              <w:widowControl/>
              <w:jc w:val="left"/>
              <w:textAlignment w:val="top"/>
              <w:rPr>
                <w:rFonts w:ascii="宋体" w:hAnsi="宋体" w:cs="宋体"/>
                <w:color w:val="000000"/>
                <w:kern w:val="0"/>
                <w:sz w:val="18"/>
                <w:szCs w:val="18"/>
                <w:lang w:bidi="ar"/>
              </w:rPr>
            </w:pPr>
          </w:p>
        </w:tc>
        <w:tc>
          <w:tcPr>
            <w:tcW w:w="570" w:type="pct"/>
            <w:gridSpan w:val="2"/>
            <w:vAlign w:val="center"/>
          </w:tcPr>
          <w:p w14:paraId="434FC97F">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闸机检票套件</w:t>
            </w:r>
          </w:p>
        </w:tc>
        <w:tc>
          <w:tcPr>
            <w:tcW w:w="3258" w:type="pct"/>
            <w:gridSpan w:val="6"/>
            <w:vAlign w:val="center"/>
          </w:tcPr>
          <w:p w14:paraId="7AF38E6B">
            <w:pPr>
              <w:widowControl/>
              <w:adjustRightInd/>
              <w:jc w:val="left"/>
              <w:textAlignment w:val="bottom"/>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检票处理器：</w:t>
            </w:r>
          </w:p>
          <w:p w14:paraId="02898AA1">
            <w:pPr>
              <w:widowControl/>
              <w:numPr>
                <w:ilvl w:val="0"/>
                <w:numId w:val="11"/>
              </w:numPr>
              <w:adjustRightInd/>
              <w:jc w:val="left"/>
              <w:textAlignment w:val="bottom"/>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bidi="ar"/>
              </w:rPr>
              <w:t>包含：主板、外接板、机壳、电源、喇叭</w:t>
            </w:r>
          </w:p>
          <w:p w14:paraId="76977930">
            <w:pPr>
              <w:widowControl/>
              <w:numPr>
                <w:ilvl w:val="0"/>
                <w:numId w:val="11"/>
              </w:numPr>
              <w:adjustRightInd/>
              <w:jc w:val="left"/>
              <w:textAlignment w:val="bottom"/>
              <w:rPr>
                <w:rFonts w:ascii="宋体" w:hAnsi="宋体" w:cs="宋体"/>
                <w:color w:val="000000"/>
                <w:kern w:val="0"/>
                <w:sz w:val="18"/>
                <w:szCs w:val="18"/>
                <w:lang w:bidi="ar"/>
              </w:rPr>
            </w:pPr>
            <w:r>
              <w:rPr>
                <w:rFonts w:hint="eastAsia" w:ascii="宋体" w:hAnsi="宋体" w:cs="宋体"/>
                <w:color w:val="000000"/>
                <w:kern w:val="0"/>
                <w:sz w:val="18"/>
                <w:szCs w:val="18"/>
                <w:lang w:bidi="ar"/>
              </w:rPr>
              <w:t>功能：可外接显示屏、扫码头、读卡器、二代证阅读器，并将其读取信息主传给票务系统服务器。服务器将比对信息下发给处理器，处理器控制闸机开闸。</w:t>
            </w:r>
          </w:p>
          <w:p w14:paraId="22AEE294">
            <w:pPr>
              <w:widowControl/>
              <w:adjustRightInd/>
              <w:jc w:val="left"/>
              <w:textAlignment w:val="bottom"/>
              <w:rPr>
                <w:rFonts w:ascii="宋体" w:hAnsi="宋体" w:cs="宋体"/>
                <w:color w:val="000000"/>
                <w:kern w:val="0"/>
                <w:sz w:val="18"/>
                <w:szCs w:val="18"/>
                <w:lang w:bidi="ar"/>
              </w:rPr>
            </w:pPr>
            <w:r>
              <w:rPr>
                <w:rFonts w:hint="eastAsia" w:ascii="宋体" w:hAnsi="宋体" w:cs="宋体"/>
                <w:b w:val="0"/>
                <w:bCs w:val="0"/>
                <w:color w:val="000000"/>
                <w:kern w:val="0"/>
                <w:sz w:val="18"/>
                <w:szCs w:val="18"/>
                <w:lang w:val="en-US" w:eastAsia="zh-CN" w:bidi="ar"/>
              </w:rPr>
              <w:t>3、</w:t>
            </w:r>
            <w:r>
              <w:rPr>
                <w:rFonts w:hint="eastAsia" w:ascii="宋体" w:hAnsi="宋体" w:cs="宋体"/>
                <w:b/>
                <w:bCs/>
                <w:color w:val="000000"/>
                <w:kern w:val="0"/>
                <w:sz w:val="18"/>
                <w:szCs w:val="18"/>
                <w:lang w:bidi="ar"/>
              </w:rPr>
              <w:t>二维码扫描平台</w:t>
            </w:r>
            <w:r>
              <w:rPr>
                <w:rFonts w:hint="eastAsia" w:ascii="宋体" w:hAnsi="宋体" w:cs="宋体"/>
                <w:b/>
                <w:bCs/>
                <w:color w:val="000000"/>
                <w:kern w:val="0"/>
                <w:sz w:val="18"/>
                <w:szCs w:val="18"/>
                <w:lang w:eastAsia="zh-CN" w:bidi="ar"/>
              </w:rPr>
              <w:t>，</w:t>
            </w:r>
            <w:r>
              <w:rPr>
                <w:rFonts w:hint="eastAsia" w:ascii="宋体" w:hAnsi="宋体" w:cs="宋体"/>
                <w:b/>
                <w:bCs/>
                <w:color w:val="000000"/>
                <w:kern w:val="0"/>
                <w:sz w:val="18"/>
                <w:szCs w:val="18"/>
                <w:lang w:bidi="ar"/>
              </w:rPr>
              <w:t>显示屏及固定套件：</w:t>
            </w:r>
            <w:r>
              <w:rPr>
                <w:rFonts w:hint="eastAsia" w:ascii="宋体" w:hAnsi="宋体" w:cs="宋体"/>
                <w:color w:val="000000"/>
                <w:kern w:val="0"/>
                <w:sz w:val="18"/>
                <w:szCs w:val="18"/>
                <w:lang w:bidi="ar"/>
              </w:rPr>
              <w:t>LED显示屏，显示验票有效性提示信息</w:t>
            </w:r>
          </w:p>
        </w:tc>
        <w:tc>
          <w:tcPr>
            <w:tcW w:w="404" w:type="pct"/>
            <w:vMerge w:val="continue"/>
            <w:vAlign w:val="center"/>
          </w:tcPr>
          <w:p w14:paraId="092EE7C5">
            <w:pPr>
              <w:widowControl/>
              <w:adjustRightInd/>
              <w:jc w:val="center"/>
              <w:textAlignment w:val="bottom"/>
              <w:rPr>
                <w:rFonts w:ascii="宋体" w:hAnsi="宋体" w:cs="宋体"/>
                <w:color w:val="000000"/>
                <w:kern w:val="0"/>
                <w:sz w:val="18"/>
                <w:szCs w:val="18"/>
                <w:lang w:bidi="ar"/>
              </w:rPr>
            </w:pPr>
          </w:p>
        </w:tc>
        <w:tc>
          <w:tcPr>
            <w:tcW w:w="185" w:type="pct"/>
            <w:vMerge w:val="continue"/>
            <w:vAlign w:val="center"/>
          </w:tcPr>
          <w:p w14:paraId="1E1E65D3">
            <w:pPr>
              <w:widowControl/>
              <w:adjustRightInd/>
              <w:jc w:val="center"/>
              <w:textAlignment w:val="bottom"/>
              <w:rPr>
                <w:rFonts w:ascii="宋体" w:hAnsi="宋体" w:cs="宋体"/>
                <w:bCs/>
                <w:color w:val="000000" w:themeColor="text1"/>
                <w:sz w:val="18"/>
                <w:szCs w:val="18"/>
                <w14:textFill>
                  <w14:solidFill>
                    <w14:schemeClr w14:val="tx1"/>
                  </w14:solidFill>
                </w14:textFill>
              </w:rPr>
            </w:pPr>
          </w:p>
        </w:tc>
        <w:tc>
          <w:tcPr>
            <w:tcW w:w="359" w:type="pct"/>
            <w:vAlign w:val="center"/>
          </w:tcPr>
          <w:p w14:paraId="1E4A287D">
            <w:pPr>
              <w:adjustRightInd/>
              <w:jc w:val="center"/>
              <w:rPr>
                <w:rFonts w:ascii="宋体" w:hAnsi="宋体" w:cs="宋体"/>
                <w:bCs/>
                <w:color w:val="000000" w:themeColor="text1"/>
                <w:sz w:val="18"/>
                <w:szCs w:val="18"/>
                <w14:textFill>
                  <w14:solidFill>
                    <w14:schemeClr w14:val="tx1"/>
                  </w14:solidFill>
                </w14:textFill>
              </w:rPr>
            </w:pPr>
          </w:p>
        </w:tc>
      </w:tr>
      <w:tr w14:paraId="7115A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221" w:type="pct"/>
            <w:vAlign w:val="center"/>
          </w:tcPr>
          <w:p w14:paraId="532BAE12">
            <w:pPr>
              <w:widowControl/>
              <w:jc w:val="left"/>
              <w:textAlignment w:val="top"/>
              <w:rPr>
                <w:rFonts w:ascii="宋体" w:hAnsi="宋体" w:cs="宋体"/>
                <w:color w:val="000000"/>
                <w:kern w:val="0"/>
                <w:sz w:val="18"/>
                <w:szCs w:val="18"/>
                <w:lang w:bidi="ar"/>
              </w:rPr>
            </w:pPr>
          </w:p>
        </w:tc>
        <w:tc>
          <w:tcPr>
            <w:tcW w:w="570" w:type="pct"/>
            <w:gridSpan w:val="2"/>
            <w:vAlign w:val="center"/>
          </w:tcPr>
          <w:p w14:paraId="47D54E41">
            <w:pPr>
              <w:widowControl/>
              <w:jc w:val="left"/>
              <w:textAlignment w:val="top"/>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票务管理软件</w:t>
            </w:r>
          </w:p>
        </w:tc>
        <w:tc>
          <w:tcPr>
            <w:tcW w:w="3258" w:type="pct"/>
            <w:gridSpan w:val="6"/>
            <w:vAlign w:val="center"/>
          </w:tcPr>
          <w:p w14:paraId="25AD650C">
            <w:pPr>
              <w:widowControl/>
              <w:adjustRightInd/>
              <w:jc w:val="left"/>
              <w:textAlignment w:val="bottom"/>
              <w:rPr>
                <w:rFonts w:hint="eastAsia" w:ascii="宋体" w:hAnsi="宋体" w:cs="宋体"/>
                <w:b w:val="0"/>
                <w:bCs w:val="0"/>
                <w:color w:val="C00000"/>
                <w:kern w:val="0"/>
                <w:sz w:val="18"/>
                <w:szCs w:val="18"/>
                <w:lang w:val="en-US" w:eastAsia="zh-CN" w:bidi="ar"/>
              </w:rPr>
            </w:pPr>
            <w:r>
              <w:rPr>
                <w:rFonts w:hint="eastAsia" w:ascii="宋体" w:hAnsi="宋体" w:cs="宋体"/>
                <w:b w:val="0"/>
                <w:bCs w:val="0"/>
                <w:color w:val="C00000"/>
                <w:kern w:val="0"/>
                <w:sz w:val="18"/>
                <w:szCs w:val="18"/>
                <w:lang w:val="en-US" w:eastAsia="zh-CN" w:bidi="ar"/>
              </w:rPr>
              <w:t>1、票务管理系统需要具备以下功能：购票管理、订单管理、检票管理、员工管理、门票管理等基础功能，如有其他相关功能由各投标供应商自行拓展描述。</w:t>
            </w:r>
          </w:p>
          <w:p w14:paraId="7E5410E3">
            <w:pPr>
              <w:widowControl/>
              <w:adjustRightInd/>
              <w:jc w:val="left"/>
              <w:textAlignment w:val="bottom"/>
              <w:rPr>
                <w:rFonts w:hint="eastAsia" w:ascii="宋体" w:hAnsi="宋体" w:cs="宋体"/>
                <w:b w:val="0"/>
                <w:bCs w:val="0"/>
                <w:color w:val="C00000"/>
                <w:kern w:val="0"/>
                <w:sz w:val="18"/>
                <w:szCs w:val="18"/>
                <w:lang w:val="en-US" w:eastAsia="zh-CN" w:bidi="ar"/>
              </w:rPr>
            </w:pPr>
            <w:r>
              <w:rPr>
                <w:rFonts w:hint="eastAsia" w:ascii="宋体" w:hAnsi="宋体" w:cs="宋体"/>
                <w:b w:val="0"/>
                <w:bCs w:val="0"/>
                <w:color w:val="C00000"/>
                <w:kern w:val="0"/>
                <w:sz w:val="18"/>
                <w:szCs w:val="18"/>
                <w:lang w:val="en-US" w:eastAsia="zh-CN" w:bidi="ar"/>
              </w:rPr>
              <w:t>2、票务管理系统须与入口检票闸机相兼容，后续软件升级、后期软件维护等售后服务包含在报价中，不再另行支付其他费用。</w:t>
            </w:r>
          </w:p>
          <w:p w14:paraId="2FAC16B3">
            <w:pPr>
              <w:widowControl/>
              <w:adjustRightInd/>
              <w:jc w:val="left"/>
              <w:textAlignment w:val="bottom"/>
              <w:rPr>
                <w:rFonts w:hint="eastAsia" w:ascii="宋体" w:hAnsi="宋体" w:cs="宋体"/>
                <w:b w:val="0"/>
                <w:bCs w:val="0"/>
                <w:color w:val="000000"/>
                <w:kern w:val="0"/>
                <w:sz w:val="18"/>
                <w:szCs w:val="18"/>
                <w:lang w:val="en-US" w:eastAsia="zh-CN" w:bidi="ar"/>
              </w:rPr>
            </w:pPr>
            <w:r>
              <w:rPr>
                <w:rFonts w:hint="eastAsia" w:ascii="宋体" w:hAnsi="宋体" w:cs="宋体"/>
                <w:b w:val="0"/>
                <w:bCs w:val="0"/>
                <w:color w:val="C00000"/>
                <w:kern w:val="0"/>
                <w:sz w:val="18"/>
                <w:szCs w:val="18"/>
                <w:lang w:val="en-US" w:eastAsia="zh-CN" w:bidi="ar"/>
              </w:rPr>
              <w:t>3、该软件验收合格后交付给采购方，著作权和所有权归甲方。</w:t>
            </w:r>
          </w:p>
        </w:tc>
        <w:tc>
          <w:tcPr>
            <w:tcW w:w="404" w:type="pct"/>
            <w:vAlign w:val="center"/>
          </w:tcPr>
          <w:p w14:paraId="273151D6">
            <w:pPr>
              <w:widowControl/>
              <w:adjustRightInd/>
              <w:jc w:val="center"/>
              <w:textAlignment w:val="bottom"/>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w:t>
            </w:r>
          </w:p>
        </w:tc>
        <w:tc>
          <w:tcPr>
            <w:tcW w:w="185" w:type="pct"/>
            <w:vAlign w:val="center"/>
          </w:tcPr>
          <w:p w14:paraId="5F820461">
            <w:pPr>
              <w:widowControl/>
              <w:adjustRightInd/>
              <w:jc w:val="center"/>
              <w:textAlignment w:val="bottom"/>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套</w:t>
            </w:r>
          </w:p>
        </w:tc>
        <w:tc>
          <w:tcPr>
            <w:tcW w:w="359" w:type="pct"/>
            <w:vAlign w:val="center"/>
          </w:tcPr>
          <w:p w14:paraId="50AD039C">
            <w:pPr>
              <w:adjustRightInd/>
              <w:jc w:val="center"/>
              <w:rPr>
                <w:rFonts w:ascii="宋体" w:hAnsi="宋体" w:cs="宋体"/>
                <w:bCs/>
                <w:color w:val="000000" w:themeColor="text1"/>
                <w:sz w:val="18"/>
                <w:szCs w:val="18"/>
                <w14:textFill>
                  <w14:solidFill>
                    <w14:schemeClr w14:val="tx1"/>
                  </w14:solidFill>
                </w14:textFill>
              </w:rPr>
            </w:pPr>
          </w:p>
        </w:tc>
      </w:tr>
      <w:tr w14:paraId="37402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5000" w:type="pct"/>
            <w:gridSpan w:val="12"/>
            <w:tcBorders>
              <w:top w:val="single" w:color="auto" w:sz="4" w:space="0"/>
              <w:left w:val="nil"/>
              <w:bottom w:val="single" w:color="auto" w:sz="4" w:space="0"/>
              <w:right w:val="nil"/>
            </w:tcBorders>
            <w:vAlign w:val="center"/>
          </w:tcPr>
          <w:p w14:paraId="3CDF9970">
            <w:pPr>
              <w:widowControl/>
              <w:jc w:val="center"/>
              <w:textAlignment w:val="center"/>
              <w:rPr>
                <w:rFonts w:ascii="宋体" w:hAnsi="宋体" w:cs="宋体"/>
                <w:color w:val="000000"/>
                <w:kern w:val="0"/>
                <w:sz w:val="18"/>
                <w:szCs w:val="18"/>
                <w:lang w:bidi="ar"/>
              </w:rPr>
            </w:pPr>
            <w:r>
              <w:rPr>
                <w:rFonts w:hint="eastAsia" w:ascii="宋体" w:hAnsi="宋体" w:cs="宋体"/>
                <w:b/>
                <w:color w:val="000000" w:themeColor="text1"/>
                <w:sz w:val="18"/>
                <w:szCs w:val="18"/>
                <w14:textFill>
                  <w14:solidFill>
                    <w14:schemeClr w14:val="tx1"/>
                  </w14:solidFill>
                </w14:textFill>
              </w:rPr>
              <w:t>灯光音响及特效</w:t>
            </w:r>
          </w:p>
        </w:tc>
      </w:tr>
      <w:tr w14:paraId="3D2CF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2"/>
            <w:tcBorders>
              <w:top w:val="single" w:color="auto" w:sz="4" w:space="0"/>
            </w:tcBorders>
            <w:shd w:val="clear" w:color="auto" w:fill="auto"/>
            <w:vAlign w:val="center"/>
          </w:tcPr>
          <w:p w14:paraId="62CC2451">
            <w:pPr>
              <w:widowControl/>
              <w:jc w:val="left"/>
              <w:textAlignment w:val="center"/>
              <w:rPr>
                <w:rFonts w:ascii="宋体" w:hAnsi="宋体" w:cs="宋体"/>
                <w:color w:val="000000"/>
                <w:sz w:val="18"/>
                <w:szCs w:val="18"/>
              </w:rPr>
            </w:pPr>
            <w:r>
              <w:rPr>
                <w:rFonts w:hint="eastAsia" w:ascii="宋体" w:hAnsi="宋体" w:cs="宋体"/>
                <w:b/>
                <w:bCs/>
                <w:color w:val="000000"/>
                <w:kern w:val="0"/>
                <w:sz w:val="18"/>
                <w:szCs w:val="18"/>
                <w:lang w:bidi="ar"/>
              </w:rPr>
              <w:t>A灯光设备</w:t>
            </w:r>
          </w:p>
        </w:tc>
      </w:tr>
      <w:tr w14:paraId="1942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Align w:val="center"/>
          </w:tcPr>
          <w:p w14:paraId="1566388B">
            <w:pPr>
              <w:widowControl/>
              <w:jc w:val="center"/>
              <w:textAlignment w:val="center"/>
              <w:rPr>
                <w:b/>
                <w:bCs/>
                <w:sz w:val="18"/>
                <w:szCs w:val="18"/>
              </w:rPr>
            </w:pPr>
            <w:r>
              <w:rPr>
                <w:rFonts w:hint="eastAsia" w:ascii="宋体" w:hAnsi="宋体" w:cs="宋体"/>
                <w:b/>
                <w:bCs/>
                <w:color w:val="000000"/>
                <w:kern w:val="0"/>
                <w:sz w:val="18"/>
                <w:szCs w:val="18"/>
                <w:lang w:bidi="ar"/>
              </w:rPr>
              <w:t>位置</w:t>
            </w:r>
          </w:p>
        </w:tc>
        <w:tc>
          <w:tcPr>
            <w:tcW w:w="436" w:type="pct"/>
            <w:vAlign w:val="center"/>
          </w:tcPr>
          <w:p w14:paraId="5FEEEE75">
            <w:pPr>
              <w:widowControl/>
              <w:jc w:val="center"/>
              <w:textAlignment w:val="center"/>
              <w:rPr>
                <w:b/>
                <w:bCs/>
                <w:sz w:val="18"/>
                <w:szCs w:val="18"/>
              </w:rPr>
            </w:pPr>
            <w:r>
              <w:rPr>
                <w:rFonts w:hint="eastAsia" w:ascii="宋体" w:hAnsi="宋体" w:cs="宋体"/>
                <w:b/>
                <w:bCs/>
                <w:color w:val="000000"/>
                <w:kern w:val="0"/>
                <w:sz w:val="18"/>
                <w:szCs w:val="18"/>
                <w:lang w:bidi="ar"/>
              </w:rPr>
              <w:t>序号</w:t>
            </w:r>
          </w:p>
        </w:tc>
        <w:tc>
          <w:tcPr>
            <w:tcW w:w="884" w:type="pct"/>
            <w:gridSpan w:val="3"/>
            <w:vAlign w:val="center"/>
          </w:tcPr>
          <w:p w14:paraId="585CE889">
            <w:pPr>
              <w:widowControl/>
              <w:jc w:val="center"/>
              <w:textAlignment w:val="center"/>
              <w:rPr>
                <w:b/>
                <w:bCs/>
                <w:sz w:val="18"/>
                <w:szCs w:val="18"/>
              </w:rPr>
            </w:pPr>
            <w:r>
              <w:rPr>
                <w:rFonts w:hint="eastAsia" w:ascii="宋体" w:hAnsi="宋体" w:cs="宋体"/>
                <w:b/>
                <w:bCs/>
                <w:color w:val="000000"/>
                <w:kern w:val="0"/>
                <w:sz w:val="18"/>
                <w:szCs w:val="18"/>
                <w:lang w:bidi="ar"/>
              </w:rPr>
              <w:t>设备及安装要求</w:t>
            </w:r>
          </w:p>
        </w:tc>
        <w:tc>
          <w:tcPr>
            <w:tcW w:w="277" w:type="pct"/>
            <w:vAlign w:val="center"/>
          </w:tcPr>
          <w:p w14:paraId="6259667D">
            <w:pPr>
              <w:widowControl/>
              <w:jc w:val="center"/>
              <w:textAlignment w:val="center"/>
              <w:rPr>
                <w:b/>
                <w:bCs/>
                <w:sz w:val="18"/>
                <w:szCs w:val="18"/>
              </w:rPr>
            </w:pPr>
            <w:r>
              <w:rPr>
                <w:rFonts w:hint="eastAsia" w:ascii="宋体" w:hAnsi="宋体" w:cs="宋体"/>
                <w:b/>
                <w:bCs/>
                <w:color w:val="000000"/>
                <w:kern w:val="0"/>
                <w:sz w:val="18"/>
                <w:szCs w:val="18"/>
                <w:lang w:bidi="ar"/>
              </w:rPr>
              <w:t>数量</w:t>
            </w:r>
          </w:p>
        </w:tc>
        <w:tc>
          <w:tcPr>
            <w:tcW w:w="244" w:type="pct"/>
            <w:vAlign w:val="center"/>
          </w:tcPr>
          <w:p w14:paraId="7482AA51">
            <w:pPr>
              <w:widowControl/>
              <w:jc w:val="center"/>
              <w:textAlignment w:val="center"/>
              <w:rPr>
                <w:b/>
                <w:bCs/>
                <w:sz w:val="18"/>
                <w:szCs w:val="18"/>
              </w:rPr>
            </w:pPr>
            <w:r>
              <w:rPr>
                <w:rFonts w:hint="eastAsia" w:ascii="宋体" w:hAnsi="宋体" w:cs="宋体"/>
                <w:b/>
                <w:bCs/>
                <w:color w:val="000000"/>
                <w:kern w:val="0"/>
                <w:sz w:val="18"/>
                <w:szCs w:val="18"/>
                <w:lang w:bidi="ar"/>
              </w:rPr>
              <w:t>单位</w:t>
            </w:r>
          </w:p>
        </w:tc>
        <w:tc>
          <w:tcPr>
            <w:tcW w:w="2801" w:type="pct"/>
            <w:gridSpan w:val="4"/>
            <w:shd w:val="clear" w:color="auto" w:fill="auto"/>
            <w:vAlign w:val="center"/>
          </w:tcPr>
          <w:p w14:paraId="6540A91B">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highlight w:val="none"/>
                <w:lang w:bidi="ar"/>
              </w:rPr>
              <w:t>参数</w:t>
            </w:r>
          </w:p>
        </w:tc>
      </w:tr>
      <w:tr w14:paraId="4515C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restart"/>
            <w:vAlign w:val="center"/>
          </w:tcPr>
          <w:p w14:paraId="4C012818">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入口</w:t>
            </w:r>
          </w:p>
        </w:tc>
        <w:tc>
          <w:tcPr>
            <w:tcW w:w="436" w:type="pct"/>
            <w:vAlign w:val="center"/>
          </w:tcPr>
          <w:p w14:paraId="026AA460">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438" w:type="pct"/>
            <w:gridSpan w:val="2"/>
            <w:vAlign w:val="center"/>
          </w:tcPr>
          <w:p w14:paraId="58E34376">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树木亮化</w:t>
            </w:r>
          </w:p>
        </w:tc>
        <w:tc>
          <w:tcPr>
            <w:tcW w:w="445" w:type="pct"/>
            <w:vAlign w:val="center"/>
          </w:tcPr>
          <w:p w14:paraId="1B4CF4A7">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54颗3W防水帕灯</w:t>
            </w:r>
          </w:p>
        </w:tc>
        <w:tc>
          <w:tcPr>
            <w:tcW w:w="277" w:type="pct"/>
            <w:vAlign w:val="center"/>
          </w:tcPr>
          <w:p w14:paraId="7BCD23B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12</w:t>
            </w:r>
          </w:p>
        </w:tc>
        <w:tc>
          <w:tcPr>
            <w:tcW w:w="244" w:type="pct"/>
            <w:vAlign w:val="center"/>
          </w:tcPr>
          <w:p w14:paraId="38E91927">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4"/>
            <w:vAlign w:val="center"/>
          </w:tcPr>
          <w:p w14:paraId="741142A6">
            <w:pPr>
              <w:numPr>
                <w:ilvl w:val="0"/>
                <w:numId w:val="12"/>
              </w:numPr>
              <w:rPr>
                <w:rFonts w:hint="eastAsia"/>
                <w:color w:val="000000"/>
                <w:sz w:val="18"/>
                <w:szCs w:val="18"/>
              </w:rPr>
            </w:pPr>
            <w:r>
              <w:rPr>
                <w:rFonts w:hint="eastAsia"/>
                <w:color w:val="000000"/>
                <w:sz w:val="18"/>
                <w:szCs w:val="18"/>
              </w:rPr>
              <w:t>额定电压：AC100～240V 50/60Hz</w:t>
            </w:r>
          </w:p>
          <w:p w14:paraId="4E8FE943">
            <w:pPr>
              <w:numPr>
                <w:ilvl w:val="0"/>
                <w:numId w:val="12"/>
              </w:numPr>
              <w:ind w:left="0" w:leftChars="0" w:firstLine="0" w:firstLineChars="0"/>
              <w:rPr>
                <w:rFonts w:hint="eastAsia"/>
                <w:color w:val="000000"/>
                <w:sz w:val="18"/>
                <w:szCs w:val="18"/>
              </w:rPr>
            </w:pPr>
            <w:r>
              <w:rPr>
                <w:rFonts w:hint="eastAsia"/>
                <w:color w:val="000000"/>
                <w:sz w:val="18"/>
                <w:szCs w:val="18"/>
              </w:rPr>
              <w:t>额定功率：≥160W</w:t>
            </w:r>
          </w:p>
          <w:p w14:paraId="706EF1B7">
            <w:pPr>
              <w:numPr>
                <w:ilvl w:val="0"/>
                <w:numId w:val="12"/>
              </w:numPr>
              <w:ind w:left="0" w:leftChars="0" w:firstLine="0" w:firstLineChars="0"/>
              <w:rPr>
                <w:rFonts w:ascii="宋体" w:hAnsi="宋体" w:cs="宋体"/>
                <w:color w:val="000000"/>
                <w:sz w:val="18"/>
                <w:szCs w:val="18"/>
              </w:rPr>
            </w:pPr>
            <w:r>
              <w:rPr>
                <w:rFonts w:hint="eastAsia"/>
                <w:color w:val="000000"/>
                <w:sz w:val="18"/>
                <w:szCs w:val="18"/>
              </w:rPr>
              <w:t>电源接口：三芯防水对接接头，一进一出，线长≥3米</w:t>
            </w:r>
            <w:r>
              <w:rPr>
                <w:rFonts w:hint="eastAsia"/>
                <w:color w:val="000000"/>
                <w:sz w:val="18"/>
                <w:szCs w:val="18"/>
              </w:rPr>
              <w:br w:type="textWrapping"/>
            </w:r>
            <w:r>
              <w:rPr>
                <w:rFonts w:hint="eastAsia"/>
                <w:color w:val="000000"/>
                <w:sz w:val="18"/>
                <w:szCs w:val="18"/>
              </w:rPr>
              <w:t>信号接口：三芯防水对接接头，一进一出，线长≥3米</w:t>
            </w:r>
          </w:p>
          <w:p w14:paraId="2E95A5B7">
            <w:pPr>
              <w:numPr>
                <w:ilvl w:val="0"/>
                <w:numId w:val="12"/>
              </w:numPr>
              <w:ind w:left="0" w:leftChars="0" w:firstLine="0" w:firstLineChars="0"/>
              <w:rPr>
                <w:rFonts w:ascii="宋体" w:hAnsi="宋体" w:cs="宋体"/>
                <w:color w:val="000000"/>
                <w:sz w:val="18"/>
                <w:szCs w:val="18"/>
              </w:rPr>
            </w:pPr>
            <w:r>
              <w:rPr>
                <w:rFonts w:hint="eastAsia"/>
                <w:color w:val="000000"/>
                <w:sz w:val="18"/>
                <w:szCs w:val="18"/>
              </w:rPr>
              <w:t>光 源：54颗3W R/G/B/W 四色 LED R：14颗G：14颗 B：14颗 W：12颗</w:t>
            </w:r>
          </w:p>
          <w:p w14:paraId="44C98A86">
            <w:pPr>
              <w:numPr>
                <w:ilvl w:val="0"/>
                <w:numId w:val="12"/>
              </w:numPr>
              <w:ind w:left="0" w:leftChars="0" w:firstLine="0" w:firstLineChars="0"/>
              <w:rPr>
                <w:rFonts w:ascii="宋体" w:hAnsi="宋体" w:cs="宋体"/>
                <w:color w:val="000000"/>
                <w:sz w:val="18"/>
                <w:szCs w:val="18"/>
              </w:rPr>
            </w:pPr>
            <w:r>
              <w:rPr>
                <w:rFonts w:hint="eastAsia"/>
                <w:color w:val="000000"/>
                <w:sz w:val="18"/>
                <w:szCs w:val="18"/>
              </w:rPr>
              <w:t>照度：≥5米距离，光斑直径﹤1.5米，中心亮度≧2300LUX</w:t>
            </w:r>
          </w:p>
          <w:p w14:paraId="3EB40A41">
            <w:pPr>
              <w:numPr>
                <w:ilvl w:val="0"/>
                <w:numId w:val="12"/>
              </w:numPr>
              <w:ind w:left="0" w:leftChars="0" w:firstLine="0" w:firstLineChars="0"/>
              <w:rPr>
                <w:rFonts w:ascii="宋体" w:hAnsi="宋体" w:cs="宋体"/>
                <w:color w:val="000000"/>
                <w:sz w:val="18"/>
                <w:szCs w:val="18"/>
              </w:rPr>
            </w:pPr>
            <w:r>
              <w:rPr>
                <w:rFonts w:hint="eastAsia"/>
                <w:color w:val="000000"/>
                <w:sz w:val="18"/>
                <w:szCs w:val="18"/>
              </w:rPr>
              <w:t>灯泡寿命：≧50000小时</w:t>
            </w:r>
          </w:p>
          <w:p w14:paraId="5C41BE3C">
            <w:pPr>
              <w:numPr>
                <w:ilvl w:val="0"/>
                <w:numId w:val="12"/>
              </w:numPr>
              <w:ind w:left="0" w:leftChars="0" w:firstLine="0" w:firstLineChars="0"/>
              <w:rPr>
                <w:rFonts w:ascii="宋体" w:hAnsi="宋体" w:cs="宋体"/>
                <w:color w:val="000000"/>
                <w:sz w:val="18"/>
                <w:szCs w:val="18"/>
              </w:rPr>
            </w:pPr>
            <w:r>
              <w:rPr>
                <w:rFonts w:hint="eastAsia"/>
                <w:color w:val="000000"/>
                <w:sz w:val="18"/>
                <w:szCs w:val="18"/>
              </w:rPr>
              <w:t>颜   色：均匀的RGBW混色系统和彩虹效果</w:t>
            </w:r>
          </w:p>
          <w:p w14:paraId="550F6F50">
            <w:pPr>
              <w:numPr>
                <w:ilvl w:val="0"/>
                <w:numId w:val="12"/>
              </w:numPr>
              <w:ind w:left="0" w:leftChars="0" w:firstLine="0" w:firstLineChars="0"/>
              <w:rPr>
                <w:rFonts w:ascii="宋体" w:hAnsi="宋体" w:cs="宋体"/>
                <w:color w:val="000000"/>
                <w:sz w:val="18"/>
                <w:szCs w:val="18"/>
              </w:rPr>
            </w:pPr>
            <w:r>
              <w:rPr>
                <w:rFonts w:hint="eastAsia"/>
                <w:color w:val="000000"/>
                <w:sz w:val="18"/>
                <w:szCs w:val="18"/>
              </w:rPr>
              <w:t>控制模式：国际标准DMX512信号、声控、RDM、自走、主从</w:t>
            </w:r>
          </w:p>
          <w:p w14:paraId="31FC8F27">
            <w:pPr>
              <w:numPr>
                <w:ilvl w:val="0"/>
                <w:numId w:val="12"/>
              </w:numPr>
              <w:ind w:left="0" w:leftChars="0" w:firstLine="0" w:firstLineChars="0"/>
              <w:rPr>
                <w:rFonts w:ascii="宋体" w:hAnsi="宋体" w:cs="宋体"/>
                <w:color w:val="000000"/>
                <w:sz w:val="18"/>
                <w:szCs w:val="18"/>
              </w:rPr>
            </w:pPr>
            <w:r>
              <w:rPr>
                <w:rFonts w:hint="eastAsia"/>
                <w:color w:val="000000"/>
                <w:sz w:val="18"/>
                <w:szCs w:val="18"/>
              </w:rPr>
              <w:t>通道模式：1种DMX通道（9个国际标准DMX512通道）</w:t>
            </w:r>
          </w:p>
          <w:p w14:paraId="4A78988E">
            <w:pPr>
              <w:numPr>
                <w:ilvl w:val="0"/>
                <w:numId w:val="12"/>
              </w:numPr>
              <w:ind w:left="0" w:leftChars="0" w:firstLine="0" w:firstLineChars="0"/>
              <w:rPr>
                <w:rFonts w:ascii="宋体" w:hAnsi="宋体" w:cs="宋体"/>
                <w:color w:val="000000"/>
                <w:sz w:val="18"/>
                <w:szCs w:val="18"/>
              </w:rPr>
            </w:pPr>
            <w:r>
              <w:rPr>
                <w:rFonts w:hint="eastAsia"/>
                <w:color w:val="000000"/>
                <w:sz w:val="18"/>
                <w:szCs w:val="18"/>
              </w:rPr>
              <w:t>变焦范围：25°（45°，60°可选）</w:t>
            </w:r>
          </w:p>
          <w:p w14:paraId="2A1D2687">
            <w:pPr>
              <w:numPr>
                <w:ilvl w:val="0"/>
                <w:numId w:val="12"/>
              </w:numPr>
              <w:ind w:left="0" w:leftChars="0" w:firstLine="0" w:firstLineChars="0"/>
              <w:rPr>
                <w:rFonts w:ascii="宋体" w:hAnsi="宋体" w:cs="宋体"/>
                <w:color w:val="000000"/>
                <w:sz w:val="18"/>
                <w:szCs w:val="18"/>
              </w:rPr>
            </w:pPr>
            <w:r>
              <w:rPr>
                <w:rFonts w:hint="eastAsia"/>
                <w:color w:val="000000"/>
                <w:sz w:val="18"/>
                <w:szCs w:val="18"/>
              </w:rPr>
              <w:t>频闪系统：独立电子频闪，出色的频闪系统，速度可变</w:t>
            </w:r>
            <w:r>
              <w:rPr>
                <w:rFonts w:hint="eastAsia"/>
                <w:color w:val="000000"/>
                <w:sz w:val="18"/>
                <w:szCs w:val="18"/>
              </w:rPr>
              <w:br w:type="textWrapping"/>
            </w:r>
            <w:r>
              <w:rPr>
                <w:rFonts w:hint="eastAsia"/>
                <w:color w:val="000000"/>
                <w:sz w:val="18"/>
                <w:szCs w:val="18"/>
              </w:rPr>
              <w:t>调光系统：0-100%线性顺滑调光，65536级调光</w:t>
            </w:r>
          </w:p>
          <w:p w14:paraId="1B761E65">
            <w:pPr>
              <w:numPr>
                <w:ilvl w:val="0"/>
                <w:numId w:val="12"/>
              </w:numPr>
              <w:ind w:left="0" w:leftChars="0" w:firstLine="0" w:firstLineChars="0"/>
              <w:rPr>
                <w:rFonts w:ascii="宋体" w:hAnsi="宋体" w:cs="宋体"/>
                <w:color w:val="000000"/>
                <w:sz w:val="18"/>
                <w:szCs w:val="18"/>
              </w:rPr>
            </w:pPr>
            <w:r>
              <w:rPr>
                <w:rFonts w:hint="eastAsia"/>
                <w:color w:val="000000"/>
                <w:sz w:val="18"/>
                <w:szCs w:val="18"/>
              </w:rPr>
              <w:t>显示系统：采用高灵敏度轻触按键替换常规机械式按键，手感细腻，同时也降低按键过程中产生的噪音</w:t>
            </w:r>
          </w:p>
          <w:p w14:paraId="5E114CC5">
            <w:pPr>
              <w:numPr>
                <w:ilvl w:val="0"/>
                <w:numId w:val="12"/>
              </w:numPr>
              <w:ind w:left="0" w:leftChars="0" w:firstLine="0" w:firstLineChars="0"/>
              <w:rPr>
                <w:rFonts w:ascii="宋体" w:hAnsi="宋体" w:cs="宋体"/>
                <w:color w:val="000000"/>
                <w:sz w:val="18"/>
                <w:szCs w:val="18"/>
              </w:rPr>
            </w:pPr>
            <w:r>
              <w:rPr>
                <w:rFonts w:hint="eastAsia"/>
                <w:color w:val="000000"/>
                <w:sz w:val="18"/>
                <w:szCs w:val="18"/>
              </w:rPr>
              <w:t>防护等级：IP20</w:t>
            </w:r>
          </w:p>
        </w:tc>
      </w:tr>
      <w:tr w14:paraId="176F6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496D7240">
            <w:pPr>
              <w:jc w:val="center"/>
              <w:rPr>
                <w:rFonts w:ascii="宋体" w:hAnsi="宋体" w:cs="宋体"/>
                <w:sz w:val="18"/>
                <w:szCs w:val="18"/>
              </w:rPr>
            </w:pPr>
          </w:p>
        </w:tc>
        <w:tc>
          <w:tcPr>
            <w:tcW w:w="436" w:type="pct"/>
            <w:vAlign w:val="center"/>
          </w:tcPr>
          <w:p w14:paraId="75E2894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438" w:type="pct"/>
            <w:gridSpan w:val="2"/>
            <w:vAlign w:val="center"/>
          </w:tcPr>
          <w:p w14:paraId="5EC30CAD">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防水灯带</w:t>
            </w:r>
          </w:p>
        </w:tc>
        <w:tc>
          <w:tcPr>
            <w:tcW w:w="445" w:type="pct"/>
            <w:vAlign w:val="center"/>
          </w:tcPr>
          <w:p w14:paraId="68F9F618">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600防水灯带</w:t>
            </w:r>
          </w:p>
        </w:tc>
        <w:tc>
          <w:tcPr>
            <w:tcW w:w="277" w:type="pct"/>
            <w:vAlign w:val="center"/>
          </w:tcPr>
          <w:p w14:paraId="3EEE8E92">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w:t>
            </w:r>
          </w:p>
        </w:tc>
        <w:tc>
          <w:tcPr>
            <w:tcW w:w="244" w:type="pct"/>
            <w:vAlign w:val="center"/>
          </w:tcPr>
          <w:p w14:paraId="2F0FE470">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米</w:t>
            </w:r>
          </w:p>
        </w:tc>
        <w:tc>
          <w:tcPr>
            <w:tcW w:w="2801" w:type="pct"/>
            <w:gridSpan w:val="4"/>
            <w:vAlign w:val="center"/>
          </w:tcPr>
          <w:p w14:paraId="2C1AF1F3">
            <w:pPr>
              <w:numPr>
                <w:ilvl w:val="0"/>
                <w:numId w:val="13"/>
              </w:numPr>
              <w:rPr>
                <w:rFonts w:hint="eastAsia"/>
                <w:color w:val="000000"/>
                <w:sz w:val="18"/>
                <w:szCs w:val="18"/>
              </w:rPr>
            </w:pPr>
            <w:r>
              <w:rPr>
                <w:rFonts w:hint="eastAsia"/>
                <w:color w:val="000000"/>
                <w:sz w:val="18"/>
                <w:szCs w:val="18"/>
              </w:rPr>
              <w:t>发光颜色：暖白自然白正白</w:t>
            </w:r>
          </w:p>
          <w:p w14:paraId="59924D05">
            <w:pPr>
              <w:numPr>
                <w:ilvl w:val="0"/>
                <w:numId w:val="13"/>
              </w:numPr>
              <w:rPr>
                <w:rFonts w:ascii="宋体" w:hAnsi="宋体" w:cs="宋体"/>
                <w:color w:val="000000"/>
                <w:sz w:val="18"/>
                <w:szCs w:val="18"/>
              </w:rPr>
            </w:pPr>
            <w:r>
              <w:rPr>
                <w:rFonts w:hint="eastAsia"/>
                <w:color w:val="000000"/>
                <w:sz w:val="18"/>
                <w:szCs w:val="18"/>
              </w:rPr>
              <w:t>显色指数：≥85Ra</w:t>
            </w:r>
          </w:p>
          <w:p w14:paraId="6A924CF2">
            <w:pPr>
              <w:numPr>
                <w:ilvl w:val="0"/>
                <w:numId w:val="13"/>
              </w:numPr>
              <w:rPr>
                <w:rFonts w:ascii="宋体" w:hAnsi="宋体" w:cs="宋体"/>
                <w:color w:val="000000"/>
                <w:sz w:val="18"/>
                <w:szCs w:val="18"/>
              </w:rPr>
            </w:pPr>
            <w:r>
              <w:rPr>
                <w:rFonts w:hint="eastAsia"/>
                <w:color w:val="000000"/>
                <w:sz w:val="18"/>
                <w:szCs w:val="18"/>
              </w:rPr>
              <w:t>发光角度：≥180°</w:t>
            </w:r>
          </w:p>
          <w:p w14:paraId="7290E132">
            <w:pPr>
              <w:numPr>
                <w:ilvl w:val="0"/>
                <w:numId w:val="13"/>
              </w:numPr>
              <w:rPr>
                <w:rFonts w:ascii="宋体" w:hAnsi="宋体" w:cs="宋体"/>
                <w:color w:val="000000"/>
                <w:sz w:val="18"/>
                <w:szCs w:val="18"/>
              </w:rPr>
            </w:pPr>
            <w:r>
              <w:rPr>
                <w:rFonts w:hint="eastAsia"/>
                <w:color w:val="000000"/>
                <w:sz w:val="18"/>
                <w:szCs w:val="18"/>
              </w:rPr>
              <w:t>线路板</w:t>
            </w:r>
            <w:r>
              <w:rPr>
                <w:rFonts w:hint="eastAsia"/>
                <w:color w:val="000000"/>
                <w:sz w:val="18"/>
                <w:szCs w:val="18"/>
                <w:lang w:eastAsia="zh-CN"/>
              </w:rPr>
              <w:t>：</w:t>
            </w:r>
            <w:r>
              <w:rPr>
                <w:rFonts w:hint="eastAsia"/>
                <w:color w:val="000000"/>
                <w:sz w:val="18"/>
                <w:szCs w:val="18"/>
              </w:rPr>
              <w:t>双面铜线路板</w:t>
            </w:r>
          </w:p>
          <w:p w14:paraId="640F610C">
            <w:pPr>
              <w:numPr>
                <w:ilvl w:val="0"/>
                <w:numId w:val="13"/>
              </w:numPr>
              <w:rPr>
                <w:rFonts w:ascii="宋体" w:hAnsi="宋体" w:cs="宋体"/>
                <w:color w:val="000000"/>
                <w:sz w:val="18"/>
                <w:szCs w:val="18"/>
              </w:rPr>
            </w:pPr>
            <w:r>
              <w:rPr>
                <w:rFonts w:hint="eastAsia"/>
                <w:color w:val="000000"/>
                <w:sz w:val="18"/>
                <w:szCs w:val="18"/>
              </w:rPr>
              <w:t>额定电压：DC12v/24V</w:t>
            </w:r>
          </w:p>
        </w:tc>
      </w:tr>
      <w:tr w14:paraId="737D0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20129B79">
            <w:pPr>
              <w:jc w:val="center"/>
              <w:rPr>
                <w:rFonts w:ascii="宋体" w:hAnsi="宋体" w:cs="宋体"/>
                <w:sz w:val="18"/>
                <w:szCs w:val="18"/>
              </w:rPr>
            </w:pPr>
          </w:p>
        </w:tc>
        <w:tc>
          <w:tcPr>
            <w:tcW w:w="436" w:type="pct"/>
            <w:vAlign w:val="center"/>
          </w:tcPr>
          <w:p w14:paraId="11841D08">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438" w:type="pct"/>
            <w:gridSpan w:val="2"/>
            <w:vAlign w:val="center"/>
          </w:tcPr>
          <w:p w14:paraId="247B5568">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通道灯</w:t>
            </w:r>
          </w:p>
        </w:tc>
        <w:tc>
          <w:tcPr>
            <w:tcW w:w="445" w:type="pct"/>
            <w:vAlign w:val="center"/>
          </w:tcPr>
          <w:p w14:paraId="762457C5">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10W防水</w:t>
            </w:r>
          </w:p>
        </w:tc>
        <w:tc>
          <w:tcPr>
            <w:tcW w:w="277" w:type="pct"/>
            <w:vAlign w:val="center"/>
          </w:tcPr>
          <w:p w14:paraId="0A8C08A1">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w:t>
            </w:r>
          </w:p>
        </w:tc>
        <w:tc>
          <w:tcPr>
            <w:tcW w:w="244" w:type="pct"/>
            <w:vAlign w:val="center"/>
          </w:tcPr>
          <w:p w14:paraId="424DBA38">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2801" w:type="pct"/>
            <w:gridSpan w:val="4"/>
            <w:vAlign w:val="center"/>
          </w:tcPr>
          <w:p w14:paraId="5BFD3060">
            <w:pPr>
              <w:numPr>
                <w:ilvl w:val="0"/>
                <w:numId w:val="14"/>
              </w:numPr>
              <w:rPr>
                <w:rFonts w:hint="eastAsia"/>
                <w:color w:val="000000"/>
                <w:sz w:val="18"/>
                <w:szCs w:val="18"/>
              </w:rPr>
            </w:pPr>
            <w:r>
              <w:rPr>
                <w:rFonts w:hint="eastAsia"/>
                <w:color w:val="000000"/>
                <w:sz w:val="18"/>
                <w:szCs w:val="18"/>
              </w:rPr>
              <w:t>额定电压：AC100～240V 50/60Hz</w:t>
            </w:r>
          </w:p>
          <w:p w14:paraId="6D3442E7">
            <w:pPr>
              <w:numPr>
                <w:ilvl w:val="0"/>
                <w:numId w:val="14"/>
              </w:numPr>
              <w:rPr>
                <w:rFonts w:ascii="宋体" w:hAnsi="宋体" w:cs="宋体"/>
                <w:color w:val="000000"/>
                <w:sz w:val="18"/>
                <w:szCs w:val="18"/>
              </w:rPr>
            </w:pPr>
            <w:r>
              <w:rPr>
                <w:rFonts w:hint="eastAsia"/>
                <w:color w:val="000000"/>
                <w:sz w:val="18"/>
                <w:szCs w:val="18"/>
              </w:rPr>
              <w:t>额定功率：≥10W</w:t>
            </w:r>
          </w:p>
          <w:p w14:paraId="39C33D95">
            <w:pPr>
              <w:numPr>
                <w:ilvl w:val="0"/>
                <w:numId w:val="14"/>
              </w:numPr>
              <w:rPr>
                <w:rFonts w:ascii="宋体" w:hAnsi="宋体" w:cs="宋体"/>
                <w:color w:val="000000"/>
                <w:sz w:val="18"/>
                <w:szCs w:val="18"/>
              </w:rPr>
            </w:pPr>
            <w:r>
              <w:rPr>
                <w:rFonts w:hint="eastAsia"/>
                <w:color w:val="000000"/>
                <w:sz w:val="18"/>
                <w:szCs w:val="18"/>
              </w:rPr>
              <w:t>灯泡寿命：≧20000小时</w:t>
            </w:r>
          </w:p>
          <w:p w14:paraId="51AEBEC1">
            <w:pPr>
              <w:numPr>
                <w:ilvl w:val="0"/>
                <w:numId w:val="14"/>
              </w:numPr>
              <w:rPr>
                <w:rFonts w:ascii="宋体" w:hAnsi="宋体" w:cs="宋体"/>
                <w:color w:val="000000"/>
                <w:sz w:val="18"/>
                <w:szCs w:val="18"/>
              </w:rPr>
            </w:pPr>
            <w:r>
              <w:rPr>
                <w:rFonts w:hint="eastAsia"/>
                <w:color w:val="000000"/>
                <w:sz w:val="18"/>
                <w:szCs w:val="18"/>
              </w:rPr>
              <w:t>颜色：暖光效果</w:t>
            </w:r>
          </w:p>
        </w:tc>
      </w:tr>
      <w:tr w14:paraId="3E6AA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restart"/>
            <w:vAlign w:val="center"/>
          </w:tcPr>
          <w:p w14:paraId="51E5053E">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藕香榭</w:t>
            </w:r>
          </w:p>
        </w:tc>
        <w:tc>
          <w:tcPr>
            <w:tcW w:w="436" w:type="pct"/>
            <w:vAlign w:val="center"/>
          </w:tcPr>
          <w:p w14:paraId="05DCD48C">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438" w:type="pct"/>
            <w:gridSpan w:val="2"/>
            <w:vAlign w:val="center"/>
          </w:tcPr>
          <w:p w14:paraId="432A7C7E">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屋顶投光灯</w:t>
            </w:r>
          </w:p>
        </w:tc>
        <w:tc>
          <w:tcPr>
            <w:tcW w:w="445" w:type="pct"/>
            <w:vAlign w:val="center"/>
          </w:tcPr>
          <w:p w14:paraId="1179CD79">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200瓦投光灯</w:t>
            </w:r>
          </w:p>
        </w:tc>
        <w:tc>
          <w:tcPr>
            <w:tcW w:w="277" w:type="pct"/>
            <w:vAlign w:val="center"/>
          </w:tcPr>
          <w:p w14:paraId="72A6F27D">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244" w:type="pct"/>
            <w:vAlign w:val="center"/>
          </w:tcPr>
          <w:p w14:paraId="32438145">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4"/>
            <w:vAlign w:val="center"/>
          </w:tcPr>
          <w:p w14:paraId="4CBD65BB">
            <w:pPr>
              <w:numPr>
                <w:ilvl w:val="0"/>
                <w:numId w:val="15"/>
              </w:numPr>
              <w:rPr>
                <w:rFonts w:hint="eastAsia"/>
                <w:color w:val="000000"/>
                <w:sz w:val="18"/>
                <w:szCs w:val="18"/>
              </w:rPr>
            </w:pPr>
            <w:r>
              <w:rPr>
                <w:rFonts w:hint="eastAsia"/>
                <w:color w:val="000000"/>
                <w:sz w:val="18"/>
                <w:szCs w:val="18"/>
              </w:rPr>
              <w:t>输入电压:AC100-240V，50-60HZ</w:t>
            </w:r>
          </w:p>
          <w:p w14:paraId="3AF1AF2F">
            <w:pPr>
              <w:numPr>
                <w:ilvl w:val="0"/>
                <w:numId w:val="15"/>
              </w:numPr>
              <w:rPr>
                <w:rFonts w:ascii="宋体" w:hAnsi="宋体" w:cs="宋体"/>
                <w:color w:val="000000"/>
                <w:sz w:val="18"/>
                <w:szCs w:val="18"/>
              </w:rPr>
            </w:pPr>
            <w:r>
              <w:rPr>
                <w:rFonts w:hint="eastAsia"/>
                <w:color w:val="000000"/>
                <w:sz w:val="18"/>
                <w:szCs w:val="18"/>
              </w:rPr>
              <w:t>额定功率:≥60W</w:t>
            </w:r>
          </w:p>
          <w:p w14:paraId="2254989E">
            <w:pPr>
              <w:numPr>
                <w:ilvl w:val="0"/>
                <w:numId w:val="15"/>
              </w:numPr>
              <w:rPr>
                <w:rFonts w:ascii="宋体" w:hAnsi="宋体" w:cs="宋体"/>
                <w:color w:val="000000"/>
                <w:sz w:val="18"/>
                <w:szCs w:val="18"/>
              </w:rPr>
            </w:pPr>
            <w:r>
              <w:rPr>
                <w:rFonts w:hint="eastAsia"/>
                <w:color w:val="000000"/>
                <w:sz w:val="18"/>
                <w:szCs w:val="18"/>
              </w:rPr>
              <w:t>LED 光源:≥3颗20W RGBW</w:t>
            </w:r>
          </w:p>
          <w:p w14:paraId="4AAD55CE">
            <w:pPr>
              <w:numPr>
                <w:ilvl w:val="0"/>
                <w:numId w:val="15"/>
              </w:numPr>
              <w:rPr>
                <w:rFonts w:ascii="宋体" w:hAnsi="宋体" w:cs="宋体"/>
                <w:color w:val="000000"/>
                <w:sz w:val="18"/>
                <w:szCs w:val="18"/>
              </w:rPr>
            </w:pPr>
            <w:r>
              <w:rPr>
                <w:rFonts w:hint="eastAsia"/>
                <w:color w:val="000000"/>
                <w:sz w:val="18"/>
                <w:szCs w:val="18"/>
              </w:rPr>
              <w:t>色温:2000K-10000K</w:t>
            </w:r>
          </w:p>
          <w:p w14:paraId="4C931B14">
            <w:pPr>
              <w:numPr>
                <w:ilvl w:val="0"/>
                <w:numId w:val="15"/>
              </w:numPr>
              <w:rPr>
                <w:rFonts w:ascii="宋体" w:hAnsi="宋体" w:cs="宋体"/>
                <w:color w:val="000000"/>
                <w:sz w:val="18"/>
                <w:szCs w:val="18"/>
              </w:rPr>
            </w:pPr>
            <w:r>
              <w:rPr>
                <w:rFonts w:hint="eastAsia"/>
                <w:color w:val="000000"/>
                <w:sz w:val="18"/>
                <w:szCs w:val="18"/>
              </w:rPr>
              <w:t>灯珠寿命:&gt;20000h</w:t>
            </w:r>
          </w:p>
          <w:p w14:paraId="3DE91642">
            <w:pPr>
              <w:numPr>
                <w:ilvl w:val="0"/>
                <w:numId w:val="15"/>
              </w:numPr>
              <w:rPr>
                <w:rFonts w:ascii="宋体" w:hAnsi="宋体" w:cs="宋体"/>
                <w:color w:val="000000"/>
                <w:sz w:val="18"/>
                <w:szCs w:val="18"/>
              </w:rPr>
            </w:pPr>
            <w:r>
              <w:rPr>
                <w:rFonts w:hint="eastAsia"/>
                <w:color w:val="000000"/>
                <w:sz w:val="18"/>
                <w:szCs w:val="18"/>
              </w:rPr>
              <w:t>通道数量:标准9CH</w:t>
            </w:r>
          </w:p>
          <w:p w14:paraId="5F5B86F6">
            <w:pPr>
              <w:numPr>
                <w:ilvl w:val="0"/>
                <w:numId w:val="15"/>
              </w:numPr>
              <w:rPr>
                <w:rFonts w:ascii="宋体" w:hAnsi="宋体" w:cs="宋体"/>
                <w:color w:val="000000"/>
                <w:sz w:val="18"/>
                <w:szCs w:val="18"/>
              </w:rPr>
            </w:pPr>
            <w:r>
              <w:rPr>
                <w:rFonts w:hint="eastAsia"/>
                <w:color w:val="000000"/>
                <w:sz w:val="18"/>
                <w:szCs w:val="18"/>
              </w:rPr>
              <w:t>控制模式:标准DMX512、3芯接口，自走、主从</w:t>
            </w:r>
          </w:p>
        </w:tc>
      </w:tr>
      <w:tr w14:paraId="3B22A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61C0F68B">
            <w:pPr>
              <w:jc w:val="center"/>
              <w:rPr>
                <w:rFonts w:ascii="宋体" w:hAnsi="宋体" w:cs="宋体"/>
                <w:sz w:val="18"/>
                <w:szCs w:val="18"/>
              </w:rPr>
            </w:pPr>
          </w:p>
        </w:tc>
        <w:tc>
          <w:tcPr>
            <w:tcW w:w="436" w:type="pct"/>
            <w:vAlign w:val="center"/>
          </w:tcPr>
          <w:p w14:paraId="06349A33">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438" w:type="pct"/>
            <w:gridSpan w:val="2"/>
            <w:vAlign w:val="center"/>
          </w:tcPr>
          <w:p w14:paraId="2004EDD9">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屋内投光灯</w:t>
            </w:r>
          </w:p>
        </w:tc>
        <w:tc>
          <w:tcPr>
            <w:tcW w:w="445" w:type="pct"/>
            <w:vAlign w:val="center"/>
          </w:tcPr>
          <w:p w14:paraId="502964F0">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摇头变焦条灯100CM</w:t>
            </w:r>
          </w:p>
        </w:tc>
        <w:tc>
          <w:tcPr>
            <w:tcW w:w="277" w:type="pct"/>
            <w:vAlign w:val="center"/>
          </w:tcPr>
          <w:p w14:paraId="2671DECE">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244" w:type="pct"/>
            <w:vAlign w:val="center"/>
          </w:tcPr>
          <w:p w14:paraId="2E16C422">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4"/>
            <w:vAlign w:val="center"/>
          </w:tcPr>
          <w:p w14:paraId="7DE1D88B">
            <w:pPr>
              <w:numPr>
                <w:ilvl w:val="0"/>
                <w:numId w:val="16"/>
              </w:numPr>
              <w:rPr>
                <w:rFonts w:hint="eastAsia"/>
                <w:color w:val="000000"/>
                <w:sz w:val="18"/>
                <w:szCs w:val="18"/>
              </w:rPr>
            </w:pPr>
            <w:r>
              <w:rPr>
                <w:rFonts w:hint="eastAsia"/>
                <w:color w:val="000000"/>
                <w:sz w:val="18"/>
                <w:szCs w:val="18"/>
              </w:rPr>
              <w:t>输入电压：AC100-240V 50/60HZ</w:t>
            </w:r>
          </w:p>
          <w:p w14:paraId="6510D7FD">
            <w:pPr>
              <w:numPr>
                <w:ilvl w:val="0"/>
                <w:numId w:val="16"/>
              </w:numPr>
              <w:rPr>
                <w:rFonts w:ascii="宋体" w:hAnsi="宋体" w:cs="宋体"/>
                <w:color w:val="000000"/>
                <w:sz w:val="18"/>
                <w:szCs w:val="18"/>
              </w:rPr>
            </w:pPr>
            <w:r>
              <w:rPr>
                <w:rFonts w:hint="eastAsia"/>
                <w:color w:val="000000"/>
                <w:sz w:val="18"/>
                <w:szCs w:val="18"/>
              </w:rPr>
              <w:t xml:space="preserve">光源功率：超亮LED200W四合一灯珠 </w:t>
            </w:r>
          </w:p>
          <w:p w14:paraId="6728B6F8">
            <w:pPr>
              <w:numPr>
                <w:ilvl w:val="0"/>
                <w:numId w:val="16"/>
              </w:numPr>
              <w:rPr>
                <w:rFonts w:ascii="宋体" w:hAnsi="宋体" w:cs="宋体"/>
                <w:color w:val="000000"/>
                <w:sz w:val="18"/>
                <w:szCs w:val="18"/>
              </w:rPr>
            </w:pPr>
            <w:r>
              <w:rPr>
                <w:rFonts w:hint="eastAsia"/>
                <w:color w:val="000000"/>
                <w:sz w:val="18"/>
                <w:szCs w:val="18"/>
              </w:rPr>
              <w:t xml:space="preserve"> 灯珠寿命：≥50000小时</w:t>
            </w:r>
          </w:p>
          <w:p w14:paraId="12B791E2">
            <w:pPr>
              <w:numPr>
                <w:ilvl w:val="0"/>
                <w:numId w:val="16"/>
              </w:numPr>
              <w:rPr>
                <w:rFonts w:ascii="宋体" w:hAnsi="宋体" w:cs="宋体"/>
                <w:color w:val="000000"/>
                <w:sz w:val="18"/>
                <w:szCs w:val="18"/>
              </w:rPr>
            </w:pPr>
            <w:r>
              <w:rPr>
                <w:rFonts w:hint="eastAsia"/>
                <w:color w:val="000000"/>
                <w:sz w:val="18"/>
                <w:szCs w:val="18"/>
              </w:rPr>
              <w:t>额定功率：≥200W</w:t>
            </w:r>
          </w:p>
          <w:p w14:paraId="7463A364">
            <w:pPr>
              <w:numPr>
                <w:ilvl w:val="0"/>
                <w:numId w:val="16"/>
              </w:numPr>
              <w:jc w:val="left"/>
              <w:rPr>
                <w:rFonts w:hint="eastAsia"/>
                <w:color w:val="000000"/>
                <w:sz w:val="18"/>
                <w:szCs w:val="18"/>
                <w:lang w:val="en-US" w:eastAsia="zh-CN"/>
              </w:rPr>
            </w:pPr>
            <w:r>
              <w:rPr>
                <w:rFonts w:hint="eastAsia"/>
                <w:color w:val="000000"/>
                <w:sz w:val="18"/>
                <w:szCs w:val="18"/>
              </w:rPr>
              <w:t xml:space="preserve">色温系统：3000K/4000K/5700K                                                                                                                      </w:t>
            </w:r>
            <w:r>
              <w:rPr>
                <w:rFonts w:hint="eastAsia"/>
                <w:color w:val="000000"/>
                <w:sz w:val="18"/>
                <w:szCs w:val="18"/>
                <w:lang w:val="en-US" w:eastAsia="zh-CN"/>
              </w:rPr>
              <w:t>6、</w:t>
            </w:r>
            <w:r>
              <w:rPr>
                <w:rFonts w:hint="eastAsia"/>
                <w:color w:val="000000"/>
                <w:sz w:val="18"/>
                <w:szCs w:val="18"/>
              </w:rPr>
              <w:t xml:space="preserve">显色指数：CRI≥95亮度，可替代传统1000W的PAR灯                                                                                                                                                                                                                                   </w:t>
            </w:r>
            <w:r>
              <w:rPr>
                <w:rFonts w:hint="eastAsia"/>
                <w:color w:val="000000"/>
                <w:sz w:val="18"/>
                <w:szCs w:val="18"/>
                <w:lang w:val="en-US" w:eastAsia="zh-CN"/>
              </w:rPr>
              <w:t>7、</w:t>
            </w:r>
            <w:r>
              <w:rPr>
                <w:rFonts w:hint="eastAsia"/>
                <w:color w:val="000000"/>
                <w:sz w:val="18"/>
                <w:szCs w:val="18"/>
              </w:rPr>
              <w:t>散热系统：基板散热，风扇对流冷却散热</w:t>
            </w:r>
            <w:r>
              <w:rPr>
                <w:rFonts w:hint="eastAsia"/>
                <w:color w:val="000000"/>
                <w:sz w:val="18"/>
                <w:szCs w:val="18"/>
              </w:rPr>
              <w:br w:type="textWrapping"/>
            </w:r>
            <w:r>
              <w:rPr>
                <w:rFonts w:hint="eastAsia"/>
                <w:color w:val="000000"/>
                <w:sz w:val="18"/>
                <w:szCs w:val="18"/>
                <w:lang w:val="en-US" w:eastAsia="zh-CN"/>
              </w:rPr>
              <w:t>8、</w:t>
            </w:r>
            <w:r>
              <w:rPr>
                <w:rFonts w:hint="eastAsia"/>
                <w:color w:val="000000"/>
                <w:sz w:val="18"/>
                <w:szCs w:val="18"/>
              </w:rPr>
              <w:t>灯具材质：外壳新颖设计，流线型外观设计</w:t>
            </w:r>
            <w:r>
              <w:rPr>
                <w:rFonts w:hint="eastAsia"/>
                <w:color w:val="000000"/>
                <w:sz w:val="18"/>
                <w:szCs w:val="18"/>
                <w:lang w:val="en-US" w:eastAsia="zh-CN"/>
              </w:rPr>
              <w:t>/</w:t>
            </w:r>
          </w:p>
          <w:p w14:paraId="138A5231">
            <w:pPr>
              <w:numPr>
                <w:ilvl w:val="0"/>
                <w:numId w:val="15"/>
              </w:numPr>
              <w:ind w:left="0" w:leftChars="0" w:firstLine="0" w:firstLineChars="0"/>
              <w:rPr>
                <w:rFonts w:hint="eastAsia"/>
                <w:color w:val="000000"/>
                <w:sz w:val="18"/>
                <w:szCs w:val="18"/>
              </w:rPr>
            </w:pPr>
            <w:r>
              <w:rPr>
                <w:rFonts w:hint="eastAsia"/>
                <w:color w:val="000000"/>
                <w:sz w:val="18"/>
                <w:szCs w:val="18"/>
              </w:rPr>
              <w:t>调光系统：0%-100%线性调光；1-25Hz/s 的频闪速度</w:t>
            </w:r>
            <w:r>
              <w:rPr>
                <w:rFonts w:hint="eastAsia"/>
                <w:color w:val="000000"/>
                <w:sz w:val="18"/>
                <w:szCs w:val="18"/>
              </w:rPr>
              <w:br w:type="textWrapping"/>
            </w:r>
            <w:r>
              <w:rPr>
                <w:rFonts w:hint="eastAsia"/>
                <w:color w:val="000000"/>
                <w:sz w:val="18"/>
                <w:szCs w:val="18"/>
                <w:lang w:val="en-US" w:eastAsia="zh-CN"/>
              </w:rPr>
              <w:t>9、</w:t>
            </w:r>
            <w:r>
              <w:rPr>
                <w:rFonts w:hint="eastAsia"/>
                <w:color w:val="000000"/>
                <w:sz w:val="18"/>
                <w:szCs w:val="18"/>
              </w:rPr>
              <w:t xml:space="preserve">光学角度：≥60° </w:t>
            </w:r>
          </w:p>
          <w:p w14:paraId="782411D8">
            <w:pPr>
              <w:numPr>
                <w:ilvl w:val="0"/>
                <w:numId w:val="0"/>
              </w:numPr>
              <w:ind w:leftChars="0"/>
              <w:jc w:val="left"/>
              <w:rPr>
                <w:rFonts w:ascii="宋体" w:hAnsi="宋体" w:cs="宋体"/>
                <w:color w:val="000000"/>
                <w:sz w:val="18"/>
                <w:szCs w:val="18"/>
              </w:rPr>
            </w:pPr>
            <w:r>
              <w:rPr>
                <w:rFonts w:hint="eastAsia"/>
                <w:color w:val="000000"/>
                <w:sz w:val="18"/>
                <w:szCs w:val="18"/>
                <w:lang w:val="en-US" w:eastAsia="zh-CN"/>
              </w:rPr>
              <w:t xml:space="preserve">10、工作环境：-20℃-40℃                                                                                                                                                                                                                                                                          11、通道模式：≥6个通道 </w:t>
            </w:r>
            <w:r>
              <w:rPr>
                <w:rFonts w:hint="eastAsia"/>
                <w:color w:val="000000"/>
                <w:sz w:val="18"/>
                <w:szCs w:val="18"/>
              </w:rPr>
              <w:t xml:space="preserve">                                                                                                                                                                                                                                                                                      </w:t>
            </w:r>
            <w:r>
              <w:rPr>
                <w:rFonts w:hint="eastAsia"/>
                <w:color w:val="000000"/>
                <w:sz w:val="18"/>
                <w:szCs w:val="18"/>
                <w:lang w:val="en-US" w:eastAsia="zh-CN"/>
              </w:rPr>
              <w:t>12、</w:t>
            </w:r>
            <w:r>
              <w:rPr>
                <w:rFonts w:hint="eastAsia"/>
                <w:color w:val="000000"/>
                <w:sz w:val="18"/>
                <w:szCs w:val="18"/>
              </w:rPr>
              <w:t>控制模式：DMX512/声控/自走/从主机模式/手动控制</w:t>
            </w:r>
            <w:r>
              <w:rPr>
                <w:rFonts w:hint="eastAsia"/>
                <w:color w:val="000000"/>
                <w:sz w:val="18"/>
                <w:szCs w:val="18"/>
              </w:rPr>
              <w:br w:type="textWrapping"/>
            </w:r>
            <w:r>
              <w:rPr>
                <w:rFonts w:hint="eastAsia"/>
                <w:color w:val="000000"/>
                <w:sz w:val="18"/>
                <w:szCs w:val="18"/>
                <w:lang w:val="en-US" w:eastAsia="zh-CN"/>
              </w:rPr>
              <w:t>13、</w:t>
            </w:r>
            <w:r>
              <w:rPr>
                <w:rFonts w:hint="eastAsia"/>
                <w:color w:val="000000"/>
                <w:sz w:val="18"/>
                <w:szCs w:val="18"/>
              </w:rPr>
              <w:t>防护等级：IP20</w:t>
            </w:r>
          </w:p>
        </w:tc>
      </w:tr>
      <w:tr w14:paraId="4D64F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47A09B26">
            <w:pPr>
              <w:jc w:val="center"/>
              <w:rPr>
                <w:rFonts w:ascii="宋体" w:hAnsi="宋体" w:cs="宋体"/>
                <w:sz w:val="18"/>
                <w:szCs w:val="18"/>
              </w:rPr>
            </w:pPr>
          </w:p>
        </w:tc>
        <w:tc>
          <w:tcPr>
            <w:tcW w:w="436" w:type="pct"/>
            <w:vAlign w:val="center"/>
          </w:tcPr>
          <w:p w14:paraId="4326C72E">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438" w:type="pct"/>
            <w:gridSpan w:val="2"/>
            <w:vAlign w:val="center"/>
          </w:tcPr>
          <w:p w14:paraId="78D1F2E6">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外檐投光灯</w:t>
            </w:r>
          </w:p>
        </w:tc>
        <w:tc>
          <w:tcPr>
            <w:tcW w:w="445" w:type="pct"/>
            <w:vAlign w:val="center"/>
          </w:tcPr>
          <w:p w14:paraId="4E67C6A4">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摇头变焦条灯50CM</w:t>
            </w:r>
          </w:p>
        </w:tc>
        <w:tc>
          <w:tcPr>
            <w:tcW w:w="277" w:type="pct"/>
            <w:vAlign w:val="center"/>
          </w:tcPr>
          <w:p w14:paraId="543D18B8">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244" w:type="pct"/>
            <w:vAlign w:val="center"/>
          </w:tcPr>
          <w:p w14:paraId="25E6A5EC">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4"/>
            <w:vAlign w:val="center"/>
          </w:tcPr>
          <w:p w14:paraId="589615C9">
            <w:pPr>
              <w:numPr>
                <w:ilvl w:val="0"/>
                <w:numId w:val="17"/>
              </w:numPr>
              <w:rPr>
                <w:rFonts w:hint="eastAsia"/>
                <w:color w:val="000000"/>
                <w:sz w:val="18"/>
                <w:szCs w:val="18"/>
              </w:rPr>
            </w:pPr>
            <w:r>
              <w:rPr>
                <w:rFonts w:hint="eastAsia"/>
                <w:color w:val="000000"/>
                <w:sz w:val="18"/>
                <w:szCs w:val="18"/>
              </w:rPr>
              <w:t>输入电压：AC90-AC240  50-60HZ</w:t>
            </w:r>
          </w:p>
          <w:p w14:paraId="3618A68B">
            <w:pPr>
              <w:numPr>
                <w:ilvl w:val="0"/>
                <w:numId w:val="17"/>
              </w:numPr>
              <w:rPr>
                <w:rFonts w:ascii="宋体" w:hAnsi="宋体" w:cs="宋体"/>
                <w:color w:val="000000"/>
                <w:sz w:val="18"/>
                <w:szCs w:val="18"/>
              </w:rPr>
            </w:pPr>
            <w:r>
              <w:rPr>
                <w:rFonts w:hint="eastAsia"/>
                <w:color w:val="000000"/>
                <w:sz w:val="18"/>
                <w:szCs w:val="18"/>
              </w:rPr>
              <w:t>灯珠数量：≥6颗40w 高亮度 四合一灯珠</w:t>
            </w:r>
          </w:p>
          <w:p w14:paraId="2C36984F">
            <w:pPr>
              <w:numPr>
                <w:ilvl w:val="0"/>
                <w:numId w:val="17"/>
              </w:numPr>
              <w:rPr>
                <w:rFonts w:ascii="宋体" w:hAnsi="宋体" w:cs="宋体"/>
                <w:color w:val="000000"/>
                <w:sz w:val="18"/>
                <w:szCs w:val="18"/>
              </w:rPr>
            </w:pPr>
            <w:r>
              <w:rPr>
                <w:rFonts w:hint="eastAsia"/>
                <w:color w:val="000000"/>
                <w:sz w:val="18"/>
                <w:szCs w:val="18"/>
              </w:rPr>
              <w:t>光源寿命：平均20000小时</w:t>
            </w:r>
          </w:p>
          <w:p w14:paraId="7C252706">
            <w:pPr>
              <w:numPr>
                <w:ilvl w:val="0"/>
                <w:numId w:val="17"/>
              </w:numPr>
              <w:rPr>
                <w:rFonts w:ascii="宋体" w:hAnsi="宋体" w:cs="宋体"/>
                <w:color w:val="000000"/>
                <w:sz w:val="18"/>
                <w:szCs w:val="18"/>
              </w:rPr>
            </w:pPr>
            <w:r>
              <w:rPr>
                <w:rFonts w:hint="eastAsia"/>
                <w:color w:val="000000"/>
                <w:sz w:val="18"/>
                <w:szCs w:val="18"/>
              </w:rPr>
              <w:t>调光：0-100%线性调光</w:t>
            </w:r>
          </w:p>
          <w:p w14:paraId="257756A5">
            <w:pPr>
              <w:numPr>
                <w:ilvl w:val="0"/>
                <w:numId w:val="17"/>
              </w:numPr>
              <w:rPr>
                <w:rFonts w:ascii="宋体" w:hAnsi="宋体" w:cs="宋体"/>
                <w:color w:val="000000"/>
                <w:sz w:val="18"/>
                <w:szCs w:val="18"/>
              </w:rPr>
            </w:pPr>
            <w:r>
              <w:rPr>
                <w:rFonts w:hint="eastAsia"/>
                <w:color w:val="000000"/>
                <w:sz w:val="18"/>
                <w:szCs w:val="18"/>
              </w:rPr>
              <w:t>最大功率：≥260WY轴：210°+16 bit 顺滑，高精度旋转</w:t>
            </w:r>
            <w:r>
              <w:rPr>
                <w:rFonts w:hint="eastAsia"/>
                <w:color w:val="000000"/>
                <w:sz w:val="18"/>
                <w:szCs w:val="18"/>
              </w:rPr>
              <w:br w:type="textWrapping"/>
            </w:r>
            <w:r>
              <w:rPr>
                <w:rFonts w:hint="eastAsia"/>
                <w:color w:val="000000"/>
                <w:sz w:val="18"/>
                <w:szCs w:val="18"/>
                <w:lang w:val="en-US" w:eastAsia="zh-CN"/>
              </w:rPr>
              <w:t>6、</w:t>
            </w:r>
            <w:r>
              <w:rPr>
                <w:rFonts w:hint="eastAsia"/>
                <w:color w:val="000000"/>
                <w:sz w:val="18"/>
                <w:szCs w:val="18"/>
              </w:rPr>
              <w:t>频闪：1-25次/秒</w:t>
            </w:r>
          </w:p>
          <w:p w14:paraId="7D441981">
            <w:pPr>
              <w:numPr>
                <w:ilvl w:val="0"/>
                <w:numId w:val="0"/>
              </w:numPr>
              <w:rPr>
                <w:rFonts w:ascii="宋体" w:hAnsi="宋体" w:cs="宋体"/>
                <w:color w:val="000000"/>
                <w:sz w:val="18"/>
                <w:szCs w:val="18"/>
              </w:rPr>
            </w:pPr>
            <w:r>
              <w:rPr>
                <w:rFonts w:hint="eastAsia"/>
                <w:color w:val="000000"/>
                <w:sz w:val="18"/>
                <w:szCs w:val="18"/>
                <w:lang w:val="en-US" w:eastAsia="zh-CN"/>
              </w:rPr>
              <w:t>7、</w:t>
            </w:r>
            <w:r>
              <w:rPr>
                <w:rFonts w:hint="eastAsia"/>
                <w:color w:val="000000"/>
                <w:sz w:val="18"/>
                <w:szCs w:val="18"/>
              </w:rPr>
              <w:t>控制信号：DMX512，主从机，声控或者自走程序</w:t>
            </w:r>
            <w:r>
              <w:rPr>
                <w:rFonts w:hint="eastAsia"/>
                <w:color w:val="000000"/>
                <w:sz w:val="18"/>
                <w:szCs w:val="18"/>
              </w:rPr>
              <w:br w:type="textWrapping"/>
            </w:r>
            <w:r>
              <w:rPr>
                <w:rFonts w:hint="eastAsia"/>
                <w:color w:val="000000"/>
                <w:sz w:val="18"/>
                <w:szCs w:val="18"/>
                <w:lang w:val="en-US" w:eastAsia="zh-CN"/>
              </w:rPr>
              <w:t>8、</w:t>
            </w:r>
            <w:r>
              <w:rPr>
                <w:rFonts w:hint="eastAsia"/>
                <w:color w:val="000000"/>
                <w:sz w:val="18"/>
                <w:szCs w:val="18"/>
              </w:rPr>
              <w:t>控制通道：18/32两个DMX通道模式</w:t>
            </w:r>
          </w:p>
        </w:tc>
      </w:tr>
      <w:tr w14:paraId="7E601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5" w:type="pct"/>
            <w:gridSpan w:val="2"/>
            <w:vMerge w:val="continue"/>
          </w:tcPr>
          <w:p w14:paraId="4461B8A9">
            <w:pPr>
              <w:jc w:val="center"/>
              <w:rPr>
                <w:rFonts w:ascii="宋体" w:hAnsi="宋体" w:cs="宋体"/>
                <w:sz w:val="18"/>
                <w:szCs w:val="18"/>
              </w:rPr>
            </w:pPr>
          </w:p>
        </w:tc>
        <w:tc>
          <w:tcPr>
            <w:tcW w:w="436" w:type="pct"/>
            <w:vAlign w:val="center"/>
          </w:tcPr>
          <w:p w14:paraId="35675CF4">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438" w:type="pct"/>
            <w:gridSpan w:val="2"/>
            <w:vAlign w:val="center"/>
          </w:tcPr>
          <w:p w14:paraId="40944E39">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柱子灯外柱+内珠</w:t>
            </w:r>
          </w:p>
        </w:tc>
        <w:tc>
          <w:tcPr>
            <w:tcW w:w="445" w:type="pct"/>
            <w:vAlign w:val="center"/>
          </w:tcPr>
          <w:p w14:paraId="53F16949">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12W柱子灯</w:t>
            </w:r>
          </w:p>
        </w:tc>
        <w:tc>
          <w:tcPr>
            <w:tcW w:w="277" w:type="pct"/>
            <w:vAlign w:val="center"/>
          </w:tcPr>
          <w:p w14:paraId="2C3A439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w:t>
            </w:r>
          </w:p>
        </w:tc>
        <w:tc>
          <w:tcPr>
            <w:tcW w:w="244" w:type="pct"/>
            <w:vAlign w:val="center"/>
          </w:tcPr>
          <w:p w14:paraId="71CE4023">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4"/>
            <w:vAlign w:val="center"/>
          </w:tcPr>
          <w:p w14:paraId="308BE23E">
            <w:pPr>
              <w:rPr>
                <w:rFonts w:hint="eastAsia"/>
                <w:color w:val="000000"/>
                <w:sz w:val="18"/>
                <w:szCs w:val="18"/>
              </w:rPr>
            </w:pPr>
            <w:r>
              <w:rPr>
                <w:rFonts w:hint="eastAsia"/>
                <w:color w:val="000000"/>
                <w:sz w:val="18"/>
                <w:szCs w:val="18"/>
                <w:lang w:val="en-US" w:eastAsia="zh-CN"/>
              </w:rPr>
              <w:t>1、</w:t>
            </w:r>
            <w:r>
              <w:rPr>
                <w:rFonts w:hint="eastAsia"/>
                <w:color w:val="000000"/>
                <w:sz w:val="18"/>
                <w:szCs w:val="18"/>
              </w:rPr>
              <w:t>产品尺寸:直径≥42MM,</w:t>
            </w:r>
          </w:p>
          <w:p w14:paraId="6E4426EC">
            <w:pPr>
              <w:rPr>
                <w:rFonts w:hint="eastAsia"/>
                <w:color w:val="000000"/>
                <w:sz w:val="18"/>
                <w:szCs w:val="18"/>
              </w:rPr>
            </w:pPr>
            <w:r>
              <w:rPr>
                <w:rFonts w:hint="eastAsia"/>
                <w:color w:val="000000"/>
                <w:sz w:val="18"/>
                <w:szCs w:val="18"/>
                <w:lang w:val="en-US" w:eastAsia="zh-CN"/>
              </w:rPr>
              <w:t>2、</w:t>
            </w:r>
            <w:r>
              <w:rPr>
                <w:rFonts w:hint="eastAsia"/>
                <w:color w:val="000000"/>
                <w:sz w:val="18"/>
                <w:szCs w:val="18"/>
              </w:rPr>
              <w:t>灯体长度≥74MM</w:t>
            </w:r>
          </w:p>
          <w:p w14:paraId="55D2EA18">
            <w:pPr>
              <w:rPr>
                <w:rFonts w:hint="eastAsia"/>
                <w:color w:val="000000"/>
                <w:sz w:val="18"/>
                <w:szCs w:val="18"/>
              </w:rPr>
            </w:pPr>
            <w:r>
              <w:rPr>
                <w:rFonts w:hint="eastAsia"/>
                <w:color w:val="000000"/>
                <w:sz w:val="18"/>
                <w:szCs w:val="18"/>
                <w:lang w:val="en-US" w:eastAsia="zh-CN"/>
              </w:rPr>
              <w:t>3、</w:t>
            </w:r>
            <w:r>
              <w:rPr>
                <w:rFonts w:hint="eastAsia"/>
                <w:color w:val="000000"/>
                <w:sz w:val="18"/>
                <w:szCs w:val="18"/>
              </w:rPr>
              <w:t>输入电压:DC12-24V产品材质:加厚铝材</w:t>
            </w:r>
            <w:r>
              <w:rPr>
                <w:rFonts w:hint="eastAsia"/>
                <w:color w:val="000000"/>
                <w:sz w:val="18"/>
                <w:szCs w:val="18"/>
              </w:rPr>
              <w:br w:type="textWrapping"/>
            </w:r>
            <w:r>
              <w:rPr>
                <w:rFonts w:hint="eastAsia"/>
                <w:color w:val="000000"/>
                <w:sz w:val="18"/>
                <w:szCs w:val="18"/>
                <w:lang w:val="en-US" w:eastAsia="zh-CN"/>
              </w:rPr>
              <w:t>4、</w:t>
            </w:r>
            <w:r>
              <w:rPr>
                <w:rFonts w:hint="eastAsia"/>
                <w:color w:val="000000"/>
                <w:sz w:val="18"/>
                <w:szCs w:val="18"/>
              </w:rPr>
              <w:t>产品功率:≥１２W</w:t>
            </w:r>
          </w:p>
          <w:p w14:paraId="0104B13F">
            <w:pPr>
              <w:rPr>
                <w:rFonts w:ascii="宋体" w:hAnsi="宋体" w:cs="宋体"/>
                <w:color w:val="000000"/>
                <w:sz w:val="18"/>
                <w:szCs w:val="18"/>
              </w:rPr>
            </w:pPr>
            <w:r>
              <w:rPr>
                <w:rFonts w:hint="eastAsia"/>
                <w:color w:val="000000"/>
                <w:sz w:val="18"/>
                <w:szCs w:val="18"/>
                <w:lang w:val="en-US" w:eastAsia="zh-CN"/>
              </w:rPr>
              <w:t>5、</w:t>
            </w:r>
            <w:r>
              <w:rPr>
                <w:rFonts w:hint="eastAsia"/>
                <w:color w:val="000000"/>
                <w:sz w:val="18"/>
                <w:szCs w:val="18"/>
              </w:rPr>
              <w:t>防护等级:IP67</w:t>
            </w:r>
          </w:p>
        </w:tc>
      </w:tr>
      <w:tr w14:paraId="5577C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4453AD7D">
            <w:pPr>
              <w:jc w:val="center"/>
              <w:rPr>
                <w:rFonts w:ascii="宋体" w:hAnsi="宋体" w:cs="宋体"/>
                <w:sz w:val="18"/>
                <w:szCs w:val="18"/>
              </w:rPr>
            </w:pPr>
          </w:p>
        </w:tc>
        <w:tc>
          <w:tcPr>
            <w:tcW w:w="436" w:type="pct"/>
            <w:vAlign w:val="center"/>
          </w:tcPr>
          <w:p w14:paraId="7E27A554">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438" w:type="pct"/>
            <w:gridSpan w:val="2"/>
            <w:vAlign w:val="center"/>
          </w:tcPr>
          <w:p w14:paraId="69263542">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雾森投光灯</w:t>
            </w:r>
          </w:p>
        </w:tc>
        <w:tc>
          <w:tcPr>
            <w:tcW w:w="445" w:type="pct"/>
            <w:vAlign w:val="center"/>
          </w:tcPr>
          <w:p w14:paraId="4459729F">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54颗3W防水帕灯</w:t>
            </w:r>
          </w:p>
        </w:tc>
        <w:tc>
          <w:tcPr>
            <w:tcW w:w="277" w:type="pct"/>
            <w:vAlign w:val="center"/>
          </w:tcPr>
          <w:p w14:paraId="12B209DA">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244" w:type="pct"/>
            <w:vAlign w:val="center"/>
          </w:tcPr>
          <w:p w14:paraId="73412293">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4"/>
            <w:vAlign w:val="center"/>
          </w:tcPr>
          <w:p w14:paraId="4CCBE2DB">
            <w:pPr>
              <w:numPr>
                <w:ilvl w:val="0"/>
                <w:numId w:val="18"/>
              </w:numPr>
              <w:rPr>
                <w:rFonts w:hint="eastAsia"/>
                <w:color w:val="000000"/>
                <w:sz w:val="18"/>
                <w:szCs w:val="18"/>
              </w:rPr>
            </w:pPr>
            <w:r>
              <w:rPr>
                <w:rFonts w:hint="eastAsia"/>
                <w:color w:val="000000"/>
                <w:sz w:val="18"/>
                <w:szCs w:val="18"/>
              </w:rPr>
              <w:t>额定电压：AC100～240V 50/60Hz</w:t>
            </w:r>
          </w:p>
          <w:p w14:paraId="6D1AE5DA">
            <w:pPr>
              <w:numPr>
                <w:ilvl w:val="0"/>
                <w:numId w:val="18"/>
              </w:numPr>
              <w:rPr>
                <w:rFonts w:ascii="宋体" w:hAnsi="宋体" w:cs="宋体"/>
                <w:color w:val="000000"/>
                <w:sz w:val="18"/>
                <w:szCs w:val="18"/>
              </w:rPr>
            </w:pPr>
            <w:r>
              <w:rPr>
                <w:rFonts w:hint="eastAsia"/>
                <w:color w:val="000000"/>
                <w:sz w:val="18"/>
                <w:szCs w:val="18"/>
              </w:rPr>
              <w:t>额定功率：≥160W</w:t>
            </w:r>
          </w:p>
          <w:p w14:paraId="0E333C1C">
            <w:pPr>
              <w:numPr>
                <w:ilvl w:val="0"/>
                <w:numId w:val="18"/>
              </w:numPr>
              <w:rPr>
                <w:rFonts w:ascii="宋体" w:hAnsi="宋体" w:cs="宋体"/>
                <w:color w:val="000000"/>
                <w:sz w:val="18"/>
                <w:szCs w:val="18"/>
              </w:rPr>
            </w:pPr>
            <w:r>
              <w:rPr>
                <w:rFonts w:hint="eastAsia"/>
                <w:color w:val="000000"/>
                <w:sz w:val="18"/>
                <w:szCs w:val="18"/>
              </w:rPr>
              <w:t>电源接口：三芯防水对接接头，一进一出，线长≥3米</w:t>
            </w:r>
            <w:r>
              <w:rPr>
                <w:rFonts w:hint="eastAsia"/>
                <w:color w:val="000000"/>
                <w:sz w:val="18"/>
                <w:szCs w:val="18"/>
              </w:rPr>
              <w:br w:type="textWrapping"/>
            </w:r>
            <w:r>
              <w:rPr>
                <w:rFonts w:hint="eastAsia"/>
                <w:color w:val="000000"/>
                <w:sz w:val="18"/>
                <w:szCs w:val="18"/>
              </w:rPr>
              <w:t>信号接口：三芯防水对接接头，一进一出，线长≥3米</w:t>
            </w:r>
            <w:r>
              <w:rPr>
                <w:rFonts w:hint="eastAsia"/>
                <w:color w:val="000000"/>
                <w:sz w:val="18"/>
                <w:szCs w:val="18"/>
              </w:rPr>
              <w:br w:type="textWrapping"/>
            </w:r>
            <w:r>
              <w:rPr>
                <w:rFonts w:hint="eastAsia"/>
                <w:color w:val="000000"/>
                <w:sz w:val="18"/>
                <w:szCs w:val="18"/>
                <w:lang w:val="en-US" w:eastAsia="zh-CN"/>
              </w:rPr>
              <w:t>4、</w:t>
            </w:r>
            <w:r>
              <w:rPr>
                <w:rFonts w:hint="eastAsia"/>
                <w:color w:val="000000"/>
                <w:sz w:val="18"/>
                <w:szCs w:val="18"/>
              </w:rPr>
              <w:t>光   源：54颗3W R/G/B/W 四色 LED R：14颗G：14颗 B：14颗 W：12颗</w:t>
            </w:r>
          </w:p>
          <w:p w14:paraId="51B359BF">
            <w:pPr>
              <w:numPr>
                <w:ilvl w:val="0"/>
                <w:numId w:val="0"/>
              </w:numPr>
              <w:ind w:leftChars="0"/>
              <w:rPr>
                <w:rFonts w:hint="eastAsia"/>
                <w:color w:val="000000"/>
                <w:sz w:val="18"/>
                <w:szCs w:val="18"/>
              </w:rPr>
            </w:pPr>
            <w:r>
              <w:rPr>
                <w:rFonts w:hint="eastAsia"/>
                <w:color w:val="000000"/>
                <w:sz w:val="18"/>
                <w:szCs w:val="18"/>
                <w:lang w:val="en-US" w:eastAsia="zh-CN"/>
              </w:rPr>
              <w:t>5、</w:t>
            </w:r>
            <w:r>
              <w:rPr>
                <w:rFonts w:hint="eastAsia"/>
                <w:color w:val="000000"/>
                <w:sz w:val="18"/>
                <w:szCs w:val="18"/>
              </w:rPr>
              <w:t>照   度：≥5米距离，光斑直径﹤1.5米，中心亮度≧2300LUX</w:t>
            </w:r>
            <w:r>
              <w:rPr>
                <w:rFonts w:hint="eastAsia"/>
                <w:color w:val="000000"/>
                <w:sz w:val="18"/>
                <w:szCs w:val="18"/>
              </w:rPr>
              <w:br w:type="textWrapping"/>
            </w:r>
            <w:r>
              <w:rPr>
                <w:rFonts w:hint="eastAsia"/>
                <w:color w:val="000000"/>
                <w:sz w:val="18"/>
                <w:szCs w:val="18"/>
                <w:lang w:val="en-US" w:eastAsia="zh-CN"/>
              </w:rPr>
              <w:t>6、</w:t>
            </w:r>
            <w:r>
              <w:rPr>
                <w:rFonts w:hint="eastAsia"/>
                <w:color w:val="000000"/>
                <w:sz w:val="18"/>
                <w:szCs w:val="18"/>
              </w:rPr>
              <w:t>灯泡寿命：≧50000小时</w:t>
            </w:r>
            <w:r>
              <w:rPr>
                <w:rFonts w:hint="eastAsia"/>
                <w:color w:val="000000"/>
                <w:sz w:val="18"/>
                <w:szCs w:val="18"/>
                <w:lang w:val="en-US" w:eastAsia="zh-CN"/>
              </w:rPr>
              <w:t>/7、</w:t>
            </w:r>
            <w:r>
              <w:rPr>
                <w:rFonts w:hint="eastAsia"/>
                <w:color w:val="000000"/>
                <w:sz w:val="18"/>
                <w:szCs w:val="18"/>
              </w:rPr>
              <w:t>颜   色：均匀的RGBW混色系统和彩虹效果</w:t>
            </w:r>
          </w:p>
          <w:p w14:paraId="3B121B90">
            <w:pPr>
              <w:numPr>
                <w:ilvl w:val="0"/>
                <w:numId w:val="0"/>
              </w:numPr>
              <w:ind w:leftChars="0"/>
              <w:rPr>
                <w:rFonts w:hint="eastAsia"/>
                <w:color w:val="000000"/>
                <w:sz w:val="18"/>
                <w:szCs w:val="18"/>
              </w:rPr>
            </w:pPr>
            <w:r>
              <w:rPr>
                <w:rFonts w:hint="eastAsia"/>
                <w:color w:val="000000"/>
                <w:sz w:val="18"/>
                <w:szCs w:val="18"/>
                <w:lang w:val="en-US" w:eastAsia="zh-CN"/>
              </w:rPr>
              <w:t>7、</w:t>
            </w:r>
            <w:r>
              <w:rPr>
                <w:rFonts w:hint="eastAsia"/>
                <w:color w:val="000000"/>
                <w:sz w:val="18"/>
                <w:szCs w:val="18"/>
              </w:rPr>
              <w:t>控制模式：国际标准DMX512信号、声控、RDM、自走、主从</w:t>
            </w:r>
            <w:r>
              <w:rPr>
                <w:rFonts w:hint="eastAsia"/>
                <w:color w:val="000000"/>
                <w:sz w:val="18"/>
                <w:szCs w:val="18"/>
              </w:rPr>
              <w:br w:type="textWrapping"/>
            </w:r>
            <w:r>
              <w:rPr>
                <w:rFonts w:hint="eastAsia"/>
                <w:color w:val="000000"/>
                <w:sz w:val="18"/>
                <w:szCs w:val="18"/>
                <w:lang w:val="en-US" w:eastAsia="zh-CN"/>
              </w:rPr>
              <w:t>8、</w:t>
            </w:r>
            <w:r>
              <w:rPr>
                <w:rFonts w:hint="eastAsia"/>
                <w:color w:val="000000"/>
                <w:sz w:val="18"/>
                <w:szCs w:val="18"/>
              </w:rPr>
              <w:t>通道模式：1种DMX通道（9个国际标准DMX512通道）</w:t>
            </w:r>
            <w:r>
              <w:rPr>
                <w:rFonts w:hint="eastAsia"/>
                <w:color w:val="000000"/>
                <w:sz w:val="18"/>
                <w:szCs w:val="18"/>
              </w:rPr>
              <w:br w:type="textWrapping"/>
            </w:r>
            <w:r>
              <w:rPr>
                <w:rFonts w:hint="eastAsia"/>
                <w:color w:val="000000"/>
                <w:sz w:val="18"/>
                <w:szCs w:val="18"/>
              </w:rPr>
              <w:t>变焦范围：25°（45°，60°可选）</w:t>
            </w:r>
          </w:p>
          <w:p w14:paraId="77BCFA54">
            <w:pPr>
              <w:numPr>
                <w:ilvl w:val="0"/>
                <w:numId w:val="15"/>
              </w:numPr>
              <w:ind w:left="0" w:leftChars="0" w:firstLine="0" w:firstLineChars="0"/>
              <w:rPr>
                <w:rFonts w:hint="eastAsia"/>
                <w:color w:val="000000"/>
                <w:sz w:val="18"/>
                <w:szCs w:val="18"/>
              </w:rPr>
            </w:pPr>
            <w:r>
              <w:rPr>
                <w:rFonts w:hint="eastAsia"/>
                <w:color w:val="000000"/>
                <w:sz w:val="18"/>
                <w:szCs w:val="18"/>
              </w:rPr>
              <w:t>频闪系统：独立电子频闪，频闪速度25次/秒，出色的频闪系统，速度可变</w:t>
            </w:r>
            <w:r>
              <w:rPr>
                <w:rFonts w:hint="eastAsia"/>
                <w:color w:val="000000"/>
                <w:sz w:val="18"/>
                <w:szCs w:val="18"/>
              </w:rPr>
              <w:br w:type="textWrapping"/>
            </w:r>
            <w:r>
              <w:rPr>
                <w:rFonts w:hint="eastAsia"/>
                <w:color w:val="000000"/>
                <w:sz w:val="18"/>
                <w:szCs w:val="18"/>
                <w:lang w:val="en-US" w:eastAsia="zh-CN"/>
              </w:rPr>
              <w:t>10、</w:t>
            </w:r>
            <w:r>
              <w:rPr>
                <w:rFonts w:hint="eastAsia"/>
                <w:color w:val="000000"/>
                <w:sz w:val="18"/>
                <w:szCs w:val="18"/>
              </w:rPr>
              <w:t>调光系统：0-100%线性顺滑调光，65536级调光</w:t>
            </w:r>
          </w:p>
          <w:p w14:paraId="05767F0D">
            <w:pPr>
              <w:numPr>
                <w:ilvl w:val="0"/>
                <w:numId w:val="0"/>
              </w:numPr>
              <w:ind w:leftChars="0"/>
              <w:rPr>
                <w:rFonts w:ascii="宋体" w:hAnsi="宋体" w:cs="宋体"/>
                <w:color w:val="000000"/>
                <w:sz w:val="18"/>
                <w:szCs w:val="18"/>
              </w:rPr>
            </w:pPr>
            <w:r>
              <w:rPr>
                <w:rFonts w:hint="eastAsia"/>
                <w:color w:val="000000"/>
                <w:sz w:val="18"/>
                <w:szCs w:val="18"/>
                <w:lang w:val="en-US" w:eastAsia="zh-CN"/>
              </w:rPr>
              <w:t>11、</w:t>
            </w:r>
            <w:r>
              <w:rPr>
                <w:rFonts w:hint="eastAsia"/>
                <w:color w:val="000000"/>
                <w:sz w:val="18"/>
                <w:szCs w:val="18"/>
              </w:rPr>
              <w:t>显示系统：采用高灵敏度轻触按键替换常规机械式按键，手感细腻，同时也降低按键过程中产生的噪音</w:t>
            </w:r>
            <w:r>
              <w:rPr>
                <w:rFonts w:hint="eastAsia"/>
                <w:color w:val="000000"/>
                <w:sz w:val="18"/>
                <w:szCs w:val="18"/>
              </w:rPr>
              <w:br w:type="textWrapping"/>
            </w:r>
            <w:r>
              <w:rPr>
                <w:rFonts w:hint="eastAsia"/>
                <w:color w:val="000000"/>
                <w:sz w:val="18"/>
                <w:szCs w:val="18"/>
                <w:lang w:val="en-US" w:eastAsia="zh-CN"/>
              </w:rPr>
              <w:t>12、</w:t>
            </w:r>
            <w:r>
              <w:rPr>
                <w:rFonts w:hint="eastAsia"/>
                <w:color w:val="000000"/>
                <w:sz w:val="18"/>
                <w:szCs w:val="18"/>
              </w:rPr>
              <w:t>防护等级：IP20</w:t>
            </w:r>
          </w:p>
        </w:tc>
      </w:tr>
      <w:tr w14:paraId="6ED67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724EF427">
            <w:pPr>
              <w:jc w:val="center"/>
              <w:rPr>
                <w:rFonts w:ascii="宋体" w:hAnsi="宋体" w:cs="宋体"/>
                <w:sz w:val="18"/>
                <w:szCs w:val="18"/>
              </w:rPr>
            </w:pPr>
          </w:p>
        </w:tc>
        <w:tc>
          <w:tcPr>
            <w:tcW w:w="436" w:type="pct"/>
            <w:vAlign w:val="center"/>
          </w:tcPr>
          <w:p w14:paraId="0D14600D">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438" w:type="pct"/>
            <w:gridSpan w:val="2"/>
            <w:vAlign w:val="center"/>
          </w:tcPr>
          <w:p w14:paraId="219342F6">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四周围照树帕灯</w:t>
            </w:r>
          </w:p>
        </w:tc>
        <w:tc>
          <w:tcPr>
            <w:tcW w:w="445" w:type="pct"/>
            <w:vAlign w:val="center"/>
          </w:tcPr>
          <w:p w14:paraId="78C0CB1C">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54颗3W防水帕灯</w:t>
            </w:r>
          </w:p>
        </w:tc>
        <w:tc>
          <w:tcPr>
            <w:tcW w:w="277" w:type="pct"/>
            <w:vAlign w:val="center"/>
          </w:tcPr>
          <w:p w14:paraId="7D6371A3">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12</w:t>
            </w:r>
          </w:p>
        </w:tc>
        <w:tc>
          <w:tcPr>
            <w:tcW w:w="244" w:type="pct"/>
            <w:vAlign w:val="center"/>
          </w:tcPr>
          <w:p w14:paraId="42EA0E4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4"/>
            <w:vAlign w:val="center"/>
          </w:tcPr>
          <w:p w14:paraId="72286A4F">
            <w:pPr>
              <w:numPr>
                <w:ilvl w:val="0"/>
                <w:numId w:val="19"/>
              </w:numPr>
              <w:rPr>
                <w:rFonts w:hint="eastAsia"/>
                <w:color w:val="000000"/>
                <w:sz w:val="18"/>
                <w:szCs w:val="18"/>
              </w:rPr>
            </w:pPr>
            <w:r>
              <w:rPr>
                <w:rFonts w:hint="eastAsia"/>
                <w:color w:val="000000"/>
                <w:sz w:val="18"/>
                <w:szCs w:val="18"/>
              </w:rPr>
              <w:t>额定电压：AC100～240V 50/60Hz</w:t>
            </w:r>
          </w:p>
          <w:p w14:paraId="771AACEB">
            <w:pPr>
              <w:numPr>
                <w:ilvl w:val="0"/>
                <w:numId w:val="19"/>
              </w:numPr>
              <w:rPr>
                <w:rFonts w:ascii="宋体" w:hAnsi="宋体" w:cs="宋体"/>
                <w:color w:val="000000"/>
                <w:sz w:val="18"/>
                <w:szCs w:val="18"/>
              </w:rPr>
            </w:pPr>
            <w:r>
              <w:rPr>
                <w:rFonts w:hint="eastAsia"/>
                <w:color w:val="000000"/>
                <w:sz w:val="18"/>
                <w:szCs w:val="18"/>
              </w:rPr>
              <w:t>额定功率：≥160W</w:t>
            </w:r>
          </w:p>
          <w:p w14:paraId="042E144B">
            <w:pPr>
              <w:numPr>
                <w:ilvl w:val="0"/>
                <w:numId w:val="19"/>
              </w:numPr>
              <w:rPr>
                <w:rFonts w:ascii="宋体" w:hAnsi="宋体" w:cs="宋体"/>
                <w:color w:val="000000"/>
                <w:sz w:val="18"/>
                <w:szCs w:val="18"/>
              </w:rPr>
            </w:pPr>
            <w:r>
              <w:rPr>
                <w:rFonts w:hint="eastAsia"/>
                <w:color w:val="000000"/>
                <w:sz w:val="18"/>
                <w:szCs w:val="18"/>
              </w:rPr>
              <w:t>电源接口：三芯防水对接接头，一进一出，线长≥3米</w:t>
            </w:r>
            <w:r>
              <w:rPr>
                <w:rFonts w:hint="eastAsia"/>
                <w:color w:val="000000"/>
                <w:sz w:val="18"/>
                <w:szCs w:val="18"/>
              </w:rPr>
              <w:br w:type="textWrapping"/>
            </w:r>
            <w:r>
              <w:rPr>
                <w:rFonts w:hint="eastAsia"/>
                <w:color w:val="000000"/>
                <w:sz w:val="18"/>
                <w:szCs w:val="18"/>
              </w:rPr>
              <w:t>信号接口：三芯防水对接接头，一进一出，线长≥3米</w:t>
            </w:r>
          </w:p>
          <w:p w14:paraId="67420D24">
            <w:pPr>
              <w:numPr>
                <w:ilvl w:val="0"/>
                <w:numId w:val="19"/>
              </w:numPr>
              <w:rPr>
                <w:rFonts w:ascii="宋体" w:hAnsi="宋体" w:cs="宋体"/>
                <w:color w:val="000000"/>
                <w:sz w:val="18"/>
                <w:szCs w:val="18"/>
              </w:rPr>
            </w:pPr>
            <w:r>
              <w:rPr>
                <w:rFonts w:hint="eastAsia"/>
                <w:color w:val="000000"/>
                <w:sz w:val="18"/>
                <w:szCs w:val="18"/>
              </w:rPr>
              <w:t>光   源：54颗3W R/G/B/W 四色 LED R：14颗G：14颗 B：14颗 W：12颗</w:t>
            </w:r>
          </w:p>
          <w:p w14:paraId="651D400A">
            <w:pPr>
              <w:numPr>
                <w:ilvl w:val="0"/>
                <w:numId w:val="19"/>
              </w:numPr>
              <w:rPr>
                <w:rFonts w:ascii="宋体" w:hAnsi="宋体" w:cs="宋体"/>
                <w:color w:val="000000"/>
                <w:sz w:val="18"/>
                <w:szCs w:val="18"/>
              </w:rPr>
            </w:pPr>
            <w:r>
              <w:rPr>
                <w:rFonts w:hint="eastAsia"/>
                <w:color w:val="000000"/>
                <w:sz w:val="18"/>
                <w:szCs w:val="18"/>
              </w:rPr>
              <w:t>照   度：≥5米距离，光斑直径﹤1.5米，中心亮度≧2300LUX</w:t>
            </w:r>
          </w:p>
          <w:p w14:paraId="6491D8F5">
            <w:pPr>
              <w:numPr>
                <w:ilvl w:val="0"/>
                <w:numId w:val="19"/>
              </w:numPr>
              <w:rPr>
                <w:rFonts w:ascii="宋体" w:hAnsi="宋体" w:cs="宋体"/>
                <w:color w:val="000000"/>
                <w:sz w:val="18"/>
                <w:szCs w:val="18"/>
              </w:rPr>
            </w:pPr>
            <w:r>
              <w:rPr>
                <w:rFonts w:hint="eastAsia"/>
                <w:color w:val="000000"/>
                <w:sz w:val="18"/>
                <w:szCs w:val="18"/>
              </w:rPr>
              <w:t>灯泡寿命：≧50000小时</w:t>
            </w:r>
          </w:p>
          <w:p w14:paraId="4171C377">
            <w:pPr>
              <w:numPr>
                <w:ilvl w:val="0"/>
                <w:numId w:val="19"/>
              </w:numPr>
              <w:rPr>
                <w:rFonts w:ascii="宋体" w:hAnsi="宋体" w:cs="宋体"/>
                <w:color w:val="000000"/>
                <w:sz w:val="18"/>
                <w:szCs w:val="18"/>
              </w:rPr>
            </w:pPr>
            <w:r>
              <w:rPr>
                <w:rFonts w:hint="eastAsia"/>
                <w:color w:val="000000"/>
                <w:sz w:val="18"/>
                <w:szCs w:val="18"/>
              </w:rPr>
              <w:t>颜   色：均匀的RGBW混色系统和彩虹效果</w:t>
            </w:r>
          </w:p>
          <w:p w14:paraId="5F643741">
            <w:pPr>
              <w:numPr>
                <w:ilvl w:val="0"/>
                <w:numId w:val="19"/>
              </w:numPr>
              <w:rPr>
                <w:rFonts w:ascii="宋体" w:hAnsi="宋体" w:cs="宋体"/>
                <w:color w:val="000000"/>
                <w:sz w:val="18"/>
                <w:szCs w:val="18"/>
              </w:rPr>
            </w:pPr>
            <w:r>
              <w:rPr>
                <w:rFonts w:hint="eastAsia"/>
                <w:color w:val="000000"/>
                <w:sz w:val="18"/>
                <w:szCs w:val="18"/>
              </w:rPr>
              <w:t>控制模式：国际标准DMX512信号、声控、RDM、自走、主从</w:t>
            </w:r>
          </w:p>
          <w:p w14:paraId="194D3532">
            <w:pPr>
              <w:numPr>
                <w:ilvl w:val="0"/>
                <w:numId w:val="19"/>
              </w:numPr>
              <w:rPr>
                <w:rFonts w:ascii="宋体" w:hAnsi="宋体" w:cs="宋体"/>
                <w:color w:val="000000"/>
                <w:sz w:val="18"/>
                <w:szCs w:val="18"/>
              </w:rPr>
            </w:pPr>
            <w:r>
              <w:rPr>
                <w:rFonts w:hint="eastAsia"/>
                <w:color w:val="000000"/>
                <w:sz w:val="18"/>
                <w:szCs w:val="18"/>
              </w:rPr>
              <w:t>通道模式：1种DMX通道（9个国际标准DMX512通道）</w:t>
            </w:r>
          </w:p>
          <w:p w14:paraId="4FDA5A0B">
            <w:pPr>
              <w:numPr>
                <w:ilvl w:val="0"/>
                <w:numId w:val="19"/>
              </w:numPr>
              <w:rPr>
                <w:rFonts w:ascii="宋体" w:hAnsi="宋体" w:cs="宋体"/>
                <w:color w:val="000000"/>
                <w:sz w:val="18"/>
                <w:szCs w:val="18"/>
              </w:rPr>
            </w:pPr>
            <w:r>
              <w:rPr>
                <w:rFonts w:hint="eastAsia"/>
                <w:color w:val="000000"/>
                <w:sz w:val="18"/>
                <w:szCs w:val="18"/>
              </w:rPr>
              <w:t>变焦范围：25°（45°，60°可选）</w:t>
            </w:r>
          </w:p>
          <w:p w14:paraId="5589FA47">
            <w:pPr>
              <w:numPr>
                <w:ilvl w:val="0"/>
                <w:numId w:val="19"/>
              </w:numPr>
              <w:rPr>
                <w:rFonts w:ascii="宋体" w:hAnsi="宋体" w:cs="宋体"/>
                <w:color w:val="000000"/>
                <w:sz w:val="18"/>
                <w:szCs w:val="18"/>
              </w:rPr>
            </w:pPr>
            <w:r>
              <w:rPr>
                <w:rFonts w:hint="eastAsia"/>
                <w:color w:val="000000"/>
                <w:sz w:val="18"/>
                <w:szCs w:val="18"/>
              </w:rPr>
              <w:t>频闪系统：独立电子频闪，频闪速度25次/秒，出色的频闪系统，速度可变</w:t>
            </w:r>
          </w:p>
          <w:p w14:paraId="3483AD49">
            <w:pPr>
              <w:numPr>
                <w:ilvl w:val="0"/>
                <w:numId w:val="19"/>
              </w:numPr>
              <w:rPr>
                <w:rFonts w:ascii="宋体" w:hAnsi="宋体" w:cs="宋体"/>
                <w:color w:val="000000"/>
                <w:sz w:val="18"/>
                <w:szCs w:val="18"/>
              </w:rPr>
            </w:pPr>
            <w:r>
              <w:rPr>
                <w:rFonts w:hint="eastAsia"/>
                <w:color w:val="000000"/>
                <w:sz w:val="18"/>
                <w:szCs w:val="18"/>
              </w:rPr>
              <w:t>调光系统：0-100%线性顺滑调光，65536级调光</w:t>
            </w:r>
          </w:p>
          <w:p w14:paraId="577F371E">
            <w:pPr>
              <w:numPr>
                <w:ilvl w:val="0"/>
                <w:numId w:val="19"/>
              </w:numPr>
              <w:rPr>
                <w:rFonts w:ascii="宋体" w:hAnsi="宋体" w:cs="宋体"/>
                <w:color w:val="000000"/>
                <w:sz w:val="18"/>
                <w:szCs w:val="18"/>
              </w:rPr>
            </w:pPr>
            <w:r>
              <w:rPr>
                <w:rFonts w:hint="eastAsia"/>
                <w:color w:val="000000"/>
                <w:sz w:val="18"/>
                <w:szCs w:val="18"/>
              </w:rPr>
              <w:t>显示系统：采用高灵敏度轻触按键替换常规机械式按键，手感细腻，同时也降低按键过程中产生的噪音</w:t>
            </w:r>
            <w:r>
              <w:rPr>
                <w:rFonts w:hint="eastAsia"/>
                <w:color w:val="000000"/>
                <w:sz w:val="18"/>
                <w:szCs w:val="18"/>
              </w:rPr>
              <w:br w:type="textWrapping"/>
            </w:r>
            <w:r>
              <w:rPr>
                <w:rFonts w:hint="eastAsia"/>
                <w:color w:val="000000"/>
                <w:sz w:val="18"/>
                <w:szCs w:val="18"/>
                <w:lang w:val="en-US" w:eastAsia="zh-CN"/>
              </w:rPr>
              <w:t>14、</w:t>
            </w:r>
            <w:r>
              <w:rPr>
                <w:rFonts w:hint="eastAsia"/>
                <w:color w:val="000000"/>
                <w:sz w:val="18"/>
                <w:szCs w:val="18"/>
              </w:rPr>
              <w:t>防护等级：IP20</w:t>
            </w:r>
          </w:p>
        </w:tc>
      </w:tr>
      <w:tr w14:paraId="7D2BC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2FD4B302">
            <w:pPr>
              <w:jc w:val="center"/>
              <w:rPr>
                <w:rFonts w:ascii="宋体" w:hAnsi="宋体" w:cs="宋体"/>
                <w:sz w:val="18"/>
                <w:szCs w:val="18"/>
              </w:rPr>
            </w:pPr>
          </w:p>
        </w:tc>
        <w:tc>
          <w:tcPr>
            <w:tcW w:w="436" w:type="pct"/>
            <w:vAlign w:val="center"/>
          </w:tcPr>
          <w:p w14:paraId="44AF99E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438" w:type="pct"/>
            <w:gridSpan w:val="2"/>
            <w:vAlign w:val="center"/>
          </w:tcPr>
          <w:p w14:paraId="6F79CC94">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前广场+曲桥烟机</w:t>
            </w:r>
          </w:p>
        </w:tc>
        <w:tc>
          <w:tcPr>
            <w:tcW w:w="445" w:type="pct"/>
            <w:vAlign w:val="center"/>
          </w:tcPr>
          <w:p w14:paraId="091EDB2D">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1000W烟机</w:t>
            </w:r>
          </w:p>
        </w:tc>
        <w:tc>
          <w:tcPr>
            <w:tcW w:w="277" w:type="pct"/>
            <w:vAlign w:val="center"/>
          </w:tcPr>
          <w:p w14:paraId="56D6703A">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244" w:type="pct"/>
            <w:vAlign w:val="center"/>
          </w:tcPr>
          <w:p w14:paraId="30672C9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4"/>
            <w:vAlign w:val="center"/>
          </w:tcPr>
          <w:p w14:paraId="25929CD6">
            <w:pPr>
              <w:numPr>
                <w:ilvl w:val="0"/>
                <w:numId w:val="20"/>
              </w:numPr>
              <w:rPr>
                <w:rFonts w:hint="eastAsia"/>
                <w:color w:val="000000"/>
                <w:sz w:val="18"/>
                <w:szCs w:val="18"/>
              </w:rPr>
            </w:pPr>
            <w:r>
              <w:rPr>
                <w:rFonts w:hint="eastAsia"/>
                <w:color w:val="000000"/>
                <w:sz w:val="18"/>
                <w:szCs w:val="18"/>
              </w:rPr>
              <w:t>使用电压：AC 220V-240V，50/60Hz</w:t>
            </w:r>
          </w:p>
          <w:p w14:paraId="6CDB609A">
            <w:pPr>
              <w:numPr>
                <w:ilvl w:val="0"/>
                <w:numId w:val="20"/>
              </w:numPr>
              <w:rPr>
                <w:rFonts w:ascii="宋体" w:hAnsi="宋体" w:cs="宋体"/>
                <w:color w:val="000000"/>
                <w:sz w:val="18"/>
                <w:szCs w:val="18"/>
              </w:rPr>
            </w:pPr>
            <w:r>
              <w:rPr>
                <w:rFonts w:hint="eastAsia"/>
                <w:color w:val="000000"/>
                <w:sz w:val="18"/>
                <w:szCs w:val="18"/>
              </w:rPr>
              <w:t>限流保险：16A/250V</w:t>
            </w:r>
          </w:p>
          <w:p w14:paraId="2DCD4925">
            <w:pPr>
              <w:numPr>
                <w:ilvl w:val="0"/>
                <w:numId w:val="20"/>
              </w:numPr>
              <w:rPr>
                <w:rFonts w:ascii="宋体" w:hAnsi="宋体" w:cs="宋体"/>
                <w:color w:val="000000"/>
                <w:sz w:val="18"/>
                <w:szCs w:val="18"/>
              </w:rPr>
            </w:pPr>
            <w:r>
              <w:rPr>
                <w:rFonts w:hint="eastAsia"/>
                <w:color w:val="000000"/>
                <w:sz w:val="18"/>
                <w:szCs w:val="18"/>
              </w:rPr>
              <w:t>功率：≥１000W</w:t>
            </w:r>
          </w:p>
          <w:p w14:paraId="66B78033">
            <w:pPr>
              <w:numPr>
                <w:ilvl w:val="0"/>
                <w:numId w:val="20"/>
              </w:numPr>
              <w:rPr>
                <w:rFonts w:ascii="宋体" w:hAnsi="宋体" w:cs="宋体"/>
                <w:color w:val="000000"/>
                <w:sz w:val="18"/>
                <w:szCs w:val="18"/>
              </w:rPr>
            </w:pPr>
            <w:r>
              <w:rPr>
                <w:rFonts w:hint="eastAsia"/>
                <w:color w:val="000000"/>
                <w:sz w:val="18"/>
                <w:szCs w:val="18"/>
              </w:rPr>
              <w:t>预热时间：大约7min</w:t>
            </w:r>
          </w:p>
          <w:p w14:paraId="3B96897D">
            <w:pPr>
              <w:numPr>
                <w:ilvl w:val="0"/>
                <w:numId w:val="20"/>
              </w:numPr>
              <w:rPr>
                <w:rFonts w:ascii="宋体" w:hAnsi="宋体" w:cs="宋体"/>
                <w:color w:val="000000"/>
                <w:sz w:val="18"/>
                <w:szCs w:val="18"/>
              </w:rPr>
            </w:pPr>
            <w:r>
              <w:rPr>
                <w:rFonts w:hint="eastAsia"/>
                <w:color w:val="000000"/>
                <w:sz w:val="18"/>
                <w:szCs w:val="18"/>
              </w:rPr>
              <w:t>最大输出持续时间：大约50s</w:t>
            </w:r>
          </w:p>
          <w:p w14:paraId="403A1638">
            <w:pPr>
              <w:numPr>
                <w:ilvl w:val="0"/>
                <w:numId w:val="20"/>
              </w:numPr>
              <w:rPr>
                <w:rFonts w:ascii="宋体" w:hAnsi="宋体" w:cs="宋体"/>
                <w:color w:val="000000"/>
                <w:sz w:val="18"/>
                <w:szCs w:val="18"/>
              </w:rPr>
            </w:pPr>
            <w:r>
              <w:rPr>
                <w:rFonts w:hint="eastAsia"/>
                <w:color w:val="000000"/>
                <w:sz w:val="18"/>
                <w:szCs w:val="18"/>
              </w:rPr>
              <w:t>烟量输出：大约30800cuft/min</w:t>
            </w:r>
          </w:p>
          <w:p w14:paraId="0834AA48">
            <w:pPr>
              <w:numPr>
                <w:ilvl w:val="0"/>
                <w:numId w:val="20"/>
              </w:numPr>
              <w:rPr>
                <w:rFonts w:ascii="宋体" w:hAnsi="宋体" w:cs="宋体"/>
                <w:color w:val="000000"/>
                <w:sz w:val="18"/>
                <w:szCs w:val="18"/>
              </w:rPr>
            </w:pPr>
            <w:r>
              <w:rPr>
                <w:rFonts w:hint="eastAsia"/>
                <w:color w:val="000000"/>
                <w:sz w:val="18"/>
                <w:szCs w:val="18"/>
              </w:rPr>
              <w:t>最大喷射距离：大约6m</w:t>
            </w:r>
          </w:p>
          <w:p w14:paraId="0BE8E735">
            <w:pPr>
              <w:numPr>
                <w:ilvl w:val="0"/>
                <w:numId w:val="20"/>
              </w:numPr>
              <w:rPr>
                <w:rFonts w:ascii="宋体" w:hAnsi="宋体" w:cs="宋体"/>
                <w:color w:val="000000"/>
                <w:sz w:val="18"/>
                <w:szCs w:val="18"/>
              </w:rPr>
            </w:pPr>
            <w:r>
              <w:rPr>
                <w:rFonts w:hint="eastAsia"/>
                <w:color w:val="000000"/>
                <w:sz w:val="18"/>
                <w:szCs w:val="18"/>
              </w:rPr>
              <w:t>耗油量：大约6.5min/L</w:t>
            </w:r>
          </w:p>
          <w:p w14:paraId="12D84181">
            <w:pPr>
              <w:numPr>
                <w:ilvl w:val="0"/>
                <w:numId w:val="20"/>
              </w:numPr>
              <w:rPr>
                <w:rFonts w:ascii="宋体" w:hAnsi="宋体" w:cs="宋体"/>
                <w:color w:val="000000"/>
                <w:sz w:val="18"/>
                <w:szCs w:val="18"/>
              </w:rPr>
            </w:pPr>
            <w:r>
              <w:rPr>
                <w:rFonts w:hint="eastAsia"/>
                <w:color w:val="000000"/>
                <w:sz w:val="18"/>
                <w:szCs w:val="18"/>
              </w:rPr>
              <w:t>无线遥控器</w:t>
            </w:r>
          </w:p>
        </w:tc>
      </w:tr>
      <w:tr w14:paraId="5E7BA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5D0087B4">
            <w:pPr>
              <w:jc w:val="center"/>
              <w:rPr>
                <w:rFonts w:ascii="宋体" w:hAnsi="宋体" w:cs="宋体"/>
                <w:sz w:val="18"/>
                <w:szCs w:val="18"/>
              </w:rPr>
            </w:pPr>
          </w:p>
        </w:tc>
        <w:tc>
          <w:tcPr>
            <w:tcW w:w="436" w:type="pct"/>
            <w:vAlign w:val="center"/>
          </w:tcPr>
          <w:p w14:paraId="5A6DB0D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438" w:type="pct"/>
            <w:gridSpan w:val="2"/>
            <w:vAlign w:val="center"/>
          </w:tcPr>
          <w:p w14:paraId="4B80E730">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前广场雪花机</w:t>
            </w:r>
          </w:p>
        </w:tc>
        <w:tc>
          <w:tcPr>
            <w:tcW w:w="445" w:type="pct"/>
            <w:vAlign w:val="center"/>
          </w:tcPr>
          <w:p w14:paraId="30D9D541">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静音雪花机</w:t>
            </w:r>
          </w:p>
        </w:tc>
        <w:tc>
          <w:tcPr>
            <w:tcW w:w="277" w:type="pct"/>
            <w:vAlign w:val="center"/>
          </w:tcPr>
          <w:p w14:paraId="2DD9636A">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244" w:type="pct"/>
            <w:vAlign w:val="center"/>
          </w:tcPr>
          <w:p w14:paraId="529936D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4"/>
            <w:vAlign w:val="center"/>
          </w:tcPr>
          <w:p w14:paraId="1AFEC81E">
            <w:pPr>
              <w:numPr>
                <w:ilvl w:val="0"/>
                <w:numId w:val="21"/>
              </w:numPr>
              <w:rPr>
                <w:rFonts w:hint="eastAsia"/>
                <w:color w:val="000000"/>
                <w:sz w:val="18"/>
                <w:szCs w:val="18"/>
              </w:rPr>
            </w:pPr>
            <w:r>
              <w:rPr>
                <w:rFonts w:hint="eastAsia"/>
                <w:color w:val="000000"/>
                <w:sz w:val="18"/>
                <w:szCs w:val="18"/>
              </w:rPr>
              <w:t>使用电压：AC 220V-240V,50/60Hz</w:t>
            </w:r>
          </w:p>
          <w:p w14:paraId="38D4289F">
            <w:pPr>
              <w:numPr>
                <w:ilvl w:val="0"/>
                <w:numId w:val="21"/>
              </w:numPr>
              <w:rPr>
                <w:rFonts w:ascii="宋体" w:hAnsi="宋体" w:cs="宋体"/>
                <w:color w:val="000000"/>
                <w:sz w:val="18"/>
                <w:szCs w:val="18"/>
              </w:rPr>
            </w:pPr>
            <w:r>
              <w:rPr>
                <w:rFonts w:hint="eastAsia"/>
                <w:color w:val="000000"/>
                <w:sz w:val="18"/>
                <w:szCs w:val="18"/>
              </w:rPr>
              <w:t>限流保险：F8A/250V</w:t>
            </w:r>
          </w:p>
          <w:p w14:paraId="02DD208B">
            <w:pPr>
              <w:numPr>
                <w:ilvl w:val="0"/>
                <w:numId w:val="21"/>
              </w:numPr>
              <w:rPr>
                <w:rFonts w:ascii="宋体" w:hAnsi="宋体" w:cs="宋体"/>
                <w:color w:val="000000"/>
                <w:sz w:val="18"/>
                <w:szCs w:val="18"/>
              </w:rPr>
            </w:pPr>
            <w:r>
              <w:rPr>
                <w:rFonts w:hint="eastAsia"/>
                <w:color w:val="000000"/>
                <w:sz w:val="18"/>
                <w:szCs w:val="18"/>
              </w:rPr>
              <w:t>功率：≥1220W</w:t>
            </w:r>
          </w:p>
          <w:p w14:paraId="1D23D4EC">
            <w:pPr>
              <w:numPr>
                <w:ilvl w:val="0"/>
                <w:numId w:val="21"/>
              </w:numPr>
              <w:rPr>
                <w:rFonts w:ascii="宋体" w:hAnsi="宋体" w:cs="宋体"/>
                <w:color w:val="000000"/>
                <w:sz w:val="18"/>
                <w:szCs w:val="18"/>
              </w:rPr>
            </w:pPr>
            <w:r>
              <w:rPr>
                <w:rFonts w:hint="eastAsia"/>
                <w:color w:val="000000"/>
                <w:sz w:val="18"/>
                <w:szCs w:val="18"/>
              </w:rPr>
              <w:t>雪花最大高度：大约4m</w:t>
            </w:r>
          </w:p>
          <w:p w14:paraId="19D08040">
            <w:pPr>
              <w:numPr>
                <w:ilvl w:val="0"/>
                <w:numId w:val="21"/>
              </w:numPr>
              <w:rPr>
                <w:rFonts w:ascii="宋体" w:hAnsi="宋体" w:cs="宋体"/>
                <w:color w:val="000000"/>
                <w:sz w:val="18"/>
                <w:szCs w:val="18"/>
              </w:rPr>
            </w:pPr>
            <w:r>
              <w:rPr>
                <w:rFonts w:hint="eastAsia"/>
                <w:color w:val="000000"/>
                <w:sz w:val="18"/>
                <w:szCs w:val="18"/>
              </w:rPr>
              <w:t>雪花最远距离：大约5m</w:t>
            </w:r>
          </w:p>
          <w:p w14:paraId="1C50DB8F">
            <w:pPr>
              <w:numPr>
                <w:ilvl w:val="0"/>
                <w:numId w:val="21"/>
              </w:numPr>
              <w:rPr>
                <w:rFonts w:ascii="宋体" w:hAnsi="宋体" w:cs="宋体"/>
                <w:color w:val="000000"/>
                <w:sz w:val="18"/>
                <w:szCs w:val="18"/>
              </w:rPr>
            </w:pPr>
            <w:r>
              <w:rPr>
                <w:rFonts w:hint="eastAsia"/>
                <w:color w:val="000000"/>
                <w:sz w:val="18"/>
                <w:szCs w:val="18"/>
              </w:rPr>
              <w:t>耗油量：大约5min/L</w:t>
            </w:r>
          </w:p>
          <w:p w14:paraId="7455EA4D">
            <w:pPr>
              <w:numPr>
                <w:ilvl w:val="0"/>
                <w:numId w:val="21"/>
              </w:numPr>
              <w:rPr>
                <w:rFonts w:ascii="宋体" w:hAnsi="宋体" w:cs="宋体"/>
                <w:color w:val="000000"/>
                <w:sz w:val="18"/>
                <w:szCs w:val="18"/>
              </w:rPr>
            </w:pPr>
            <w:r>
              <w:rPr>
                <w:rFonts w:hint="eastAsia"/>
                <w:color w:val="000000"/>
                <w:sz w:val="18"/>
                <w:szCs w:val="18"/>
              </w:rPr>
              <w:t>线控器</w:t>
            </w:r>
          </w:p>
        </w:tc>
      </w:tr>
      <w:tr w14:paraId="14CAD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72C8B700">
            <w:pPr>
              <w:jc w:val="center"/>
              <w:rPr>
                <w:rFonts w:ascii="宋体" w:hAnsi="宋体" w:cs="宋体"/>
                <w:sz w:val="18"/>
                <w:szCs w:val="18"/>
              </w:rPr>
            </w:pPr>
          </w:p>
        </w:tc>
        <w:tc>
          <w:tcPr>
            <w:tcW w:w="436" w:type="pct"/>
            <w:vAlign w:val="center"/>
          </w:tcPr>
          <w:p w14:paraId="6E8E03C0">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438" w:type="pct"/>
            <w:gridSpan w:val="2"/>
            <w:vAlign w:val="center"/>
          </w:tcPr>
          <w:p w14:paraId="4152FCFA">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雪花机门架</w:t>
            </w:r>
          </w:p>
        </w:tc>
        <w:tc>
          <w:tcPr>
            <w:tcW w:w="445" w:type="pct"/>
            <w:vAlign w:val="center"/>
          </w:tcPr>
          <w:p w14:paraId="0BF34E20">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门型支架含升降机构</w:t>
            </w:r>
          </w:p>
        </w:tc>
        <w:tc>
          <w:tcPr>
            <w:tcW w:w="277" w:type="pct"/>
            <w:vAlign w:val="center"/>
          </w:tcPr>
          <w:p w14:paraId="43C3E69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244" w:type="pct"/>
            <w:vAlign w:val="center"/>
          </w:tcPr>
          <w:p w14:paraId="06BFD023">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套</w:t>
            </w:r>
          </w:p>
        </w:tc>
        <w:tc>
          <w:tcPr>
            <w:tcW w:w="2801" w:type="pct"/>
            <w:gridSpan w:val="4"/>
            <w:vAlign w:val="center"/>
          </w:tcPr>
          <w:p w14:paraId="0B209765">
            <w:pPr>
              <w:rPr>
                <w:rFonts w:ascii="宋体" w:hAnsi="宋体" w:cs="宋体"/>
                <w:color w:val="000000"/>
                <w:sz w:val="18"/>
                <w:szCs w:val="18"/>
              </w:rPr>
            </w:pPr>
            <w:r>
              <w:rPr>
                <w:rFonts w:hint="eastAsia"/>
                <w:color w:val="000000"/>
                <w:sz w:val="18"/>
                <w:szCs w:val="18"/>
              </w:rPr>
              <w:t>根据场景定制M架</w:t>
            </w:r>
          </w:p>
        </w:tc>
      </w:tr>
      <w:tr w14:paraId="43029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2297C594">
            <w:pPr>
              <w:jc w:val="center"/>
              <w:rPr>
                <w:rFonts w:ascii="宋体" w:hAnsi="宋体" w:cs="宋体"/>
                <w:sz w:val="18"/>
                <w:szCs w:val="18"/>
              </w:rPr>
            </w:pPr>
          </w:p>
        </w:tc>
        <w:tc>
          <w:tcPr>
            <w:tcW w:w="436" w:type="pct"/>
            <w:vAlign w:val="center"/>
          </w:tcPr>
          <w:p w14:paraId="1FB9DC6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438" w:type="pct"/>
            <w:gridSpan w:val="2"/>
            <w:vAlign w:val="center"/>
          </w:tcPr>
          <w:p w14:paraId="4358DCCB">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重烟机（仿干冰）</w:t>
            </w:r>
          </w:p>
        </w:tc>
        <w:tc>
          <w:tcPr>
            <w:tcW w:w="445" w:type="pct"/>
            <w:vAlign w:val="center"/>
          </w:tcPr>
          <w:p w14:paraId="02EC42B8">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湖边防水重烟机</w:t>
            </w:r>
          </w:p>
        </w:tc>
        <w:tc>
          <w:tcPr>
            <w:tcW w:w="277" w:type="pct"/>
            <w:vAlign w:val="center"/>
          </w:tcPr>
          <w:p w14:paraId="3E935EC2">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244" w:type="pct"/>
            <w:vAlign w:val="center"/>
          </w:tcPr>
          <w:p w14:paraId="30DB624F">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4"/>
            <w:vAlign w:val="center"/>
          </w:tcPr>
          <w:p w14:paraId="6FF24C1F">
            <w:pPr>
              <w:numPr>
                <w:ilvl w:val="0"/>
                <w:numId w:val="22"/>
              </w:numPr>
              <w:rPr>
                <w:rFonts w:hint="eastAsia"/>
                <w:color w:val="000000"/>
                <w:sz w:val="18"/>
                <w:szCs w:val="18"/>
              </w:rPr>
            </w:pPr>
            <w:r>
              <w:rPr>
                <w:rFonts w:hint="eastAsia"/>
                <w:color w:val="000000"/>
                <w:sz w:val="18"/>
                <w:szCs w:val="18"/>
              </w:rPr>
              <w:t>使用电压：AC 220V-240V,50/60Hz</w:t>
            </w:r>
          </w:p>
          <w:p w14:paraId="0E551B29">
            <w:pPr>
              <w:numPr>
                <w:ilvl w:val="0"/>
                <w:numId w:val="22"/>
              </w:numPr>
              <w:rPr>
                <w:rFonts w:ascii="宋体" w:hAnsi="宋体" w:cs="宋体"/>
                <w:color w:val="000000"/>
                <w:sz w:val="18"/>
                <w:szCs w:val="18"/>
              </w:rPr>
            </w:pPr>
            <w:r>
              <w:rPr>
                <w:rFonts w:hint="eastAsia"/>
                <w:color w:val="000000"/>
                <w:sz w:val="18"/>
                <w:szCs w:val="18"/>
              </w:rPr>
              <w:t>限流保险：10A/250V</w:t>
            </w:r>
          </w:p>
          <w:p w14:paraId="1DE48F8A">
            <w:pPr>
              <w:numPr>
                <w:ilvl w:val="0"/>
                <w:numId w:val="22"/>
              </w:numPr>
              <w:rPr>
                <w:rFonts w:ascii="宋体" w:hAnsi="宋体" w:cs="宋体"/>
                <w:color w:val="000000"/>
                <w:sz w:val="18"/>
                <w:szCs w:val="18"/>
              </w:rPr>
            </w:pPr>
            <w:r>
              <w:rPr>
                <w:rFonts w:hint="eastAsia"/>
                <w:color w:val="000000"/>
                <w:sz w:val="18"/>
                <w:szCs w:val="18"/>
              </w:rPr>
              <w:t>总功率：≥2000W</w:t>
            </w:r>
          </w:p>
          <w:p w14:paraId="2EED551F">
            <w:pPr>
              <w:numPr>
                <w:ilvl w:val="0"/>
                <w:numId w:val="22"/>
              </w:numPr>
              <w:rPr>
                <w:rFonts w:ascii="宋体" w:hAnsi="宋体" w:cs="宋体"/>
                <w:color w:val="000000"/>
                <w:sz w:val="18"/>
                <w:szCs w:val="18"/>
              </w:rPr>
            </w:pPr>
            <w:r>
              <w:rPr>
                <w:rFonts w:hint="eastAsia"/>
                <w:color w:val="000000"/>
                <w:sz w:val="18"/>
                <w:szCs w:val="18"/>
              </w:rPr>
              <w:t>预热时间：大约4-5 min</w:t>
            </w:r>
          </w:p>
          <w:p w14:paraId="2B6846AB">
            <w:pPr>
              <w:numPr>
                <w:ilvl w:val="0"/>
                <w:numId w:val="22"/>
              </w:numPr>
              <w:rPr>
                <w:rFonts w:ascii="宋体" w:hAnsi="宋体" w:cs="宋体"/>
                <w:color w:val="000000"/>
                <w:sz w:val="18"/>
                <w:szCs w:val="18"/>
              </w:rPr>
            </w:pPr>
            <w:r>
              <w:rPr>
                <w:rFonts w:hint="eastAsia"/>
                <w:color w:val="000000"/>
                <w:sz w:val="18"/>
                <w:szCs w:val="18"/>
              </w:rPr>
              <w:t>最大输出烟雾量：大约15000cuft/min</w:t>
            </w:r>
          </w:p>
          <w:p w14:paraId="64D0B88C">
            <w:pPr>
              <w:numPr>
                <w:ilvl w:val="0"/>
                <w:numId w:val="22"/>
              </w:numPr>
              <w:rPr>
                <w:rFonts w:ascii="宋体" w:hAnsi="宋体" w:cs="宋体"/>
                <w:color w:val="000000"/>
                <w:sz w:val="18"/>
                <w:szCs w:val="18"/>
              </w:rPr>
            </w:pPr>
            <w:r>
              <w:rPr>
                <w:rFonts w:hint="eastAsia"/>
                <w:color w:val="000000"/>
                <w:sz w:val="18"/>
                <w:szCs w:val="18"/>
              </w:rPr>
              <w:t>最大输出耗油量：大约29min/L</w:t>
            </w:r>
          </w:p>
          <w:p w14:paraId="5C8146D9">
            <w:pPr>
              <w:numPr>
                <w:ilvl w:val="0"/>
                <w:numId w:val="22"/>
              </w:numPr>
              <w:rPr>
                <w:rFonts w:ascii="宋体" w:hAnsi="宋体" w:cs="宋体"/>
                <w:color w:val="000000"/>
                <w:sz w:val="18"/>
                <w:szCs w:val="18"/>
              </w:rPr>
            </w:pPr>
            <w:r>
              <w:rPr>
                <w:rFonts w:hint="eastAsia"/>
                <w:color w:val="000000"/>
                <w:sz w:val="18"/>
                <w:szCs w:val="18"/>
              </w:rPr>
              <w:t>最大覆盖面积：大约300㎡</w:t>
            </w:r>
          </w:p>
          <w:p w14:paraId="764048AA">
            <w:pPr>
              <w:numPr>
                <w:ilvl w:val="0"/>
                <w:numId w:val="22"/>
              </w:numPr>
              <w:rPr>
                <w:rFonts w:ascii="宋体" w:hAnsi="宋体" w:cs="宋体"/>
                <w:color w:val="000000"/>
                <w:sz w:val="18"/>
                <w:szCs w:val="18"/>
              </w:rPr>
            </w:pPr>
            <w:r>
              <w:rPr>
                <w:rFonts w:hint="eastAsia"/>
                <w:color w:val="000000"/>
                <w:sz w:val="18"/>
                <w:szCs w:val="18"/>
              </w:rPr>
              <w:t>无线遥控器：</w:t>
            </w:r>
          </w:p>
        </w:tc>
      </w:tr>
      <w:tr w14:paraId="78540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13F3CA6F">
            <w:pPr>
              <w:jc w:val="center"/>
              <w:rPr>
                <w:rFonts w:ascii="宋体" w:hAnsi="宋体" w:cs="宋体"/>
                <w:sz w:val="18"/>
                <w:szCs w:val="18"/>
              </w:rPr>
            </w:pPr>
          </w:p>
        </w:tc>
        <w:tc>
          <w:tcPr>
            <w:tcW w:w="436" w:type="pct"/>
            <w:vAlign w:val="center"/>
          </w:tcPr>
          <w:p w14:paraId="56844178">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11</w:t>
            </w:r>
          </w:p>
        </w:tc>
        <w:tc>
          <w:tcPr>
            <w:tcW w:w="438" w:type="pct"/>
            <w:gridSpan w:val="2"/>
            <w:vAlign w:val="center"/>
          </w:tcPr>
          <w:p w14:paraId="242B7458">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曲桥灯带</w:t>
            </w:r>
          </w:p>
        </w:tc>
        <w:tc>
          <w:tcPr>
            <w:tcW w:w="445" w:type="pct"/>
            <w:vAlign w:val="center"/>
          </w:tcPr>
          <w:p w14:paraId="27A3EB63">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防水灯带</w:t>
            </w:r>
          </w:p>
        </w:tc>
        <w:tc>
          <w:tcPr>
            <w:tcW w:w="277" w:type="pct"/>
            <w:vAlign w:val="center"/>
          </w:tcPr>
          <w:p w14:paraId="43CB573A">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40</w:t>
            </w:r>
          </w:p>
        </w:tc>
        <w:tc>
          <w:tcPr>
            <w:tcW w:w="244" w:type="pct"/>
            <w:vAlign w:val="center"/>
          </w:tcPr>
          <w:p w14:paraId="13E47783">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米</w:t>
            </w:r>
          </w:p>
        </w:tc>
        <w:tc>
          <w:tcPr>
            <w:tcW w:w="2801" w:type="pct"/>
            <w:gridSpan w:val="4"/>
            <w:vAlign w:val="center"/>
          </w:tcPr>
          <w:p w14:paraId="7AFE720B">
            <w:pPr>
              <w:numPr>
                <w:ilvl w:val="0"/>
                <w:numId w:val="23"/>
              </w:numPr>
              <w:rPr>
                <w:rFonts w:hint="eastAsia"/>
                <w:color w:val="000000"/>
                <w:sz w:val="18"/>
                <w:szCs w:val="18"/>
              </w:rPr>
            </w:pPr>
            <w:r>
              <w:rPr>
                <w:rFonts w:hint="eastAsia"/>
                <w:color w:val="000000"/>
                <w:sz w:val="18"/>
                <w:szCs w:val="18"/>
              </w:rPr>
              <w:t>发光颜色：暖白自然白正白</w:t>
            </w:r>
          </w:p>
          <w:p w14:paraId="2C4CAD1C">
            <w:pPr>
              <w:numPr>
                <w:ilvl w:val="0"/>
                <w:numId w:val="23"/>
              </w:numPr>
              <w:rPr>
                <w:rFonts w:ascii="宋体" w:hAnsi="宋体" w:cs="宋体"/>
                <w:color w:val="000000"/>
                <w:sz w:val="18"/>
                <w:szCs w:val="18"/>
              </w:rPr>
            </w:pPr>
            <w:r>
              <w:rPr>
                <w:rFonts w:hint="eastAsia"/>
                <w:color w:val="000000"/>
                <w:sz w:val="18"/>
                <w:szCs w:val="18"/>
              </w:rPr>
              <w:t>显色指数：≥85Ra</w:t>
            </w:r>
          </w:p>
          <w:p w14:paraId="5901AA0A">
            <w:pPr>
              <w:numPr>
                <w:ilvl w:val="0"/>
                <w:numId w:val="23"/>
              </w:numPr>
              <w:rPr>
                <w:rFonts w:ascii="宋体" w:hAnsi="宋体" w:cs="宋体"/>
                <w:color w:val="000000"/>
                <w:sz w:val="18"/>
                <w:szCs w:val="18"/>
              </w:rPr>
            </w:pPr>
            <w:r>
              <w:rPr>
                <w:rFonts w:hint="eastAsia"/>
                <w:color w:val="000000"/>
                <w:sz w:val="18"/>
                <w:szCs w:val="18"/>
              </w:rPr>
              <w:t>发光角度：≥180°</w:t>
            </w:r>
          </w:p>
          <w:p w14:paraId="6735DC39">
            <w:pPr>
              <w:numPr>
                <w:ilvl w:val="0"/>
                <w:numId w:val="23"/>
              </w:numPr>
              <w:rPr>
                <w:rFonts w:ascii="宋体" w:hAnsi="宋体" w:cs="宋体"/>
                <w:color w:val="000000"/>
                <w:sz w:val="18"/>
                <w:szCs w:val="18"/>
              </w:rPr>
            </w:pPr>
            <w:r>
              <w:rPr>
                <w:rFonts w:hint="eastAsia"/>
                <w:color w:val="000000"/>
                <w:sz w:val="18"/>
                <w:szCs w:val="18"/>
              </w:rPr>
              <w:t>线路板：暖白色 双面铜线路板</w:t>
            </w:r>
          </w:p>
          <w:p w14:paraId="2958C2C9">
            <w:pPr>
              <w:numPr>
                <w:ilvl w:val="0"/>
                <w:numId w:val="23"/>
              </w:numPr>
              <w:rPr>
                <w:rFonts w:ascii="宋体" w:hAnsi="宋体" w:cs="宋体"/>
                <w:color w:val="000000"/>
                <w:sz w:val="18"/>
                <w:szCs w:val="18"/>
              </w:rPr>
            </w:pPr>
            <w:r>
              <w:rPr>
                <w:rFonts w:hint="eastAsia"/>
                <w:color w:val="000000"/>
                <w:sz w:val="18"/>
                <w:szCs w:val="18"/>
              </w:rPr>
              <w:t>额定电压：DC12v/24V</w:t>
            </w:r>
          </w:p>
        </w:tc>
      </w:tr>
      <w:tr w14:paraId="5D1C7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restart"/>
            <w:vAlign w:val="center"/>
          </w:tcPr>
          <w:p w14:paraId="2875CC71">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长亭</w:t>
            </w:r>
          </w:p>
        </w:tc>
        <w:tc>
          <w:tcPr>
            <w:tcW w:w="436" w:type="pct"/>
            <w:vAlign w:val="center"/>
          </w:tcPr>
          <w:p w14:paraId="194763F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438" w:type="pct"/>
            <w:gridSpan w:val="2"/>
            <w:vAlign w:val="center"/>
          </w:tcPr>
          <w:p w14:paraId="05D827DC">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屋顶投光灯</w:t>
            </w:r>
          </w:p>
        </w:tc>
        <w:tc>
          <w:tcPr>
            <w:tcW w:w="445" w:type="pct"/>
            <w:vAlign w:val="center"/>
          </w:tcPr>
          <w:p w14:paraId="6DF39703">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200瓦投光灯</w:t>
            </w:r>
          </w:p>
        </w:tc>
        <w:tc>
          <w:tcPr>
            <w:tcW w:w="277" w:type="pct"/>
            <w:vAlign w:val="center"/>
          </w:tcPr>
          <w:p w14:paraId="67483284">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44</w:t>
            </w:r>
          </w:p>
        </w:tc>
        <w:tc>
          <w:tcPr>
            <w:tcW w:w="244" w:type="pct"/>
            <w:vAlign w:val="center"/>
          </w:tcPr>
          <w:p w14:paraId="3D5BC351">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4"/>
            <w:vAlign w:val="center"/>
          </w:tcPr>
          <w:p w14:paraId="28714A6C">
            <w:pPr>
              <w:numPr>
                <w:ilvl w:val="0"/>
                <w:numId w:val="24"/>
              </w:numPr>
              <w:rPr>
                <w:rFonts w:hint="eastAsia"/>
                <w:color w:val="000000"/>
                <w:sz w:val="18"/>
                <w:szCs w:val="18"/>
              </w:rPr>
            </w:pPr>
            <w:r>
              <w:rPr>
                <w:rFonts w:hint="eastAsia"/>
                <w:color w:val="000000"/>
                <w:sz w:val="18"/>
                <w:szCs w:val="18"/>
              </w:rPr>
              <w:t>输入电压：AC100-240V 50/60HZ</w:t>
            </w:r>
          </w:p>
          <w:p w14:paraId="5DB7BD6F">
            <w:pPr>
              <w:numPr>
                <w:ilvl w:val="0"/>
                <w:numId w:val="24"/>
              </w:numPr>
              <w:rPr>
                <w:rFonts w:hint="eastAsia"/>
                <w:color w:val="000000"/>
                <w:sz w:val="18"/>
                <w:szCs w:val="18"/>
              </w:rPr>
            </w:pPr>
            <w:r>
              <w:rPr>
                <w:rFonts w:hint="eastAsia"/>
                <w:color w:val="000000"/>
                <w:sz w:val="18"/>
                <w:szCs w:val="18"/>
              </w:rPr>
              <w:t>光源功率：超亮LED200W四合一灯珠</w:t>
            </w:r>
          </w:p>
          <w:p w14:paraId="2B3A7086">
            <w:pPr>
              <w:numPr>
                <w:ilvl w:val="0"/>
                <w:numId w:val="24"/>
              </w:numPr>
              <w:ind w:left="0" w:leftChars="0" w:firstLine="0" w:firstLineChars="0"/>
              <w:rPr>
                <w:rFonts w:hint="eastAsia"/>
                <w:color w:val="000000"/>
                <w:sz w:val="18"/>
                <w:szCs w:val="18"/>
              </w:rPr>
            </w:pPr>
            <w:r>
              <w:rPr>
                <w:rFonts w:hint="eastAsia"/>
                <w:color w:val="000000"/>
                <w:sz w:val="18"/>
                <w:szCs w:val="18"/>
              </w:rPr>
              <w:t>灯珠寿命：≥50000小时</w:t>
            </w:r>
          </w:p>
          <w:p w14:paraId="06D597F5">
            <w:pPr>
              <w:numPr>
                <w:ilvl w:val="0"/>
                <w:numId w:val="24"/>
              </w:numPr>
              <w:ind w:left="0" w:leftChars="0" w:firstLine="0" w:firstLineChars="0"/>
              <w:rPr>
                <w:rFonts w:ascii="宋体" w:hAnsi="宋体" w:cs="宋体"/>
                <w:color w:val="000000"/>
                <w:sz w:val="18"/>
                <w:szCs w:val="18"/>
              </w:rPr>
            </w:pPr>
            <w:r>
              <w:rPr>
                <w:rFonts w:hint="eastAsia"/>
                <w:color w:val="000000"/>
                <w:sz w:val="18"/>
                <w:szCs w:val="18"/>
              </w:rPr>
              <w:t>额定功率：≥200W</w:t>
            </w:r>
          </w:p>
          <w:p w14:paraId="66DBF36D">
            <w:pPr>
              <w:numPr>
                <w:ilvl w:val="0"/>
                <w:numId w:val="24"/>
              </w:numPr>
              <w:ind w:left="0" w:leftChars="0" w:firstLine="0" w:firstLineChars="0"/>
              <w:jc w:val="left"/>
              <w:rPr>
                <w:rFonts w:ascii="宋体" w:hAnsi="宋体" w:cs="宋体"/>
                <w:color w:val="000000"/>
                <w:sz w:val="18"/>
                <w:szCs w:val="18"/>
              </w:rPr>
            </w:pPr>
            <w:r>
              <w:rPr>
                <w:rFonts w:hint="eastAsia"/>
                <w:color w:val="000000"/>
                <w:sz w:val="18"/>
                <w:szCs w:val="18"/>
              </w:rPr>
              <w:t xml:space="preserve">色温系统：3000K/4000K/5700K                                                                                                                                                                </w:t>
            </w:r>
            <w:r>
              <w:rPr>
                <w:rFonts w:hint="eastAsia"/>
                <w:color w:val="000000"/>
                <w:sz w:val="18"/>
                <w:szCs w:val="18"/>
                <w:lang w:val="en-US" w:eastAsia="zh-CN"/>
              </w:rPr>
              <w:t>6、</w:t>
            </w:r>
            <w:r>
              <w:rPr>
                <w:rFonts w:hint="eastAsia"/>
                <w:color w:val="000000"/>
                <w:sz w:val="18"/>
                <w:szCs w:val="18"/>
              </w:rPr>
              <w:t xml:space="preserve">显色指数：CRI≥95超高亮度，替代传统1000W的灯                                                                                                                                                                                                                                      </w:t>
            </w:r>
            <w:r>
              <w:rPr>
                <w:rFonts w:hint="eastAsia"/>
                <w:color w:val="000000"/>
                <w:sz w:val="18"/>
                <w:szCs w:val="18"/>
                <w:lang w:val="en-US" w:eastAsia="zh-CN"/>
              </w:rPr>
              <w:t>7、</w:t>
            </w:r>
            <w:r>
              <w:rPr>
                <w:rFonts w:hint="eastAsia"/>
                <w:color w:val="000000"/>
                <w:sz w:val="18"/>
                <w:szCs w:val="18"/>
              </w:rPr>
              <w:t>散热系统：基板散热，风扇对流冷却散热</w:t>
            </w:r>
          </w:p>
          <w:p w14:paraId="396ED746">
            <w:pPr>
              <w:numPr>
                <w:ilvl w:val="0"/>
                <w:numId w:val="0"/>
              </w:numPr>
              <w:ind w:leftChars="0"/>
              <w:rPr>
                <w:rFonts w:hint="eastAsia"/>
                <w:color w:val="000000"/>
                <w:sz w:val="18"/>
                <w:szCs w:val="18"/>
              </w:rPr>
            </w:pPr>
            <w:r>
              <w:rPr>
                <w:rFonts w:hint="eastAsia"/>
                <w:color w:val="000000"/>
                <w:sz w:val="18"/>
                <w:szCs w:val="18"/>
                <w:lang w:val="en-US" w:eastAsia="zh-CN"/>
              </w:rPr>
              <w:t>8、</w:t>
            </w:r>
            <w:r>
              <w:rPr>
                <w:rFonts w:hint="eastAsia"/>
                <w:color w:val="000000"/>
                <w:sz w:val="18"/>
                <w:szCs w:val="18"/>
              </w:rPr>
              <w:t>灯具材质：铝铸外壳新颖设计，流线型外观设计</w:t>
            </w:r>
          </w:p>
          <w:p w14:paraId="79C22F14">
            <w:pPr>
              <w:numPr>
                <w:ilvl w:val="0"/>
                <w:numId w:val="22"/>
              </w:numPr>
              <w:ind w:left="0" w:leftChars="0" w:firstLine="0" w:firstLineChars="0"/>
              <w:rPr>
                <w:rFonts w:ascii="宋体" w:hAnsi="宋体" w:cs="宋体"/>
                <w:color w:val="000000"/>
                <w:sz w:val="18"/>
                <w:szCs w:val="18"/>
              </w:rPr>
            </w:pPr>
            <w:r>
              <w:rPr>
                <w:rFonts w:hint="eastAsia"/>
                <w:color w:val="000000"/>
                <w:sz w:val="18"/>
                <w:szCs w:val="18"/>
              </w:rPr>
              <w:t>调光系统：0%-100%线性调光；1-25Hz/s 的频闪速度</w:t>
            </w:r>
            <w:r>
              <w:rPr>
                <w:rFonts w:hint="eastAsia"/>
                <w:color w:val="000000"/>
                <w:sz w:val="18"/>
                <w:szCs w:val="18"/>
              </w:rPr>
              <w:br w:type="textWrapping"/>
            </w:r>
            <w:r>
              <w:rPr>
                <w:rFonts w:hint="eastAsia"/>
                <w:color w:val="000000"/>
                <w:sz w:val="18"/>
                <w:szCs w:val="18"/>
              </w:rPr>
              <w:t>光学角度：≥60°</w:t>
            </w:r>
          </w:p>
          <w:p w14:paraId="0214747A">
            <w:pPr>
              <w:numPr>
                <w:ilvl w:val="0"/>
                <w:numId w:val="22"/>
              </w:numPr>
              <w:ind w:left="0" w:leftChars="0" w:firstLine="0" w:firstLineChars="0"/>
              <w:jc w:val="left"/>
              <w:rPr>
                <w:rFonts w:ascii="宋体" w:hAnsi="宋体" w:cs="宋体"/>
                <w:color w:val="000000"/>
                <w:sz w:val="18"/>
                <w:szCs w:val="18"/>
              </w:rPr>
            </w:pPr>
            <w:r>
              <w:rPr>
                <w:rFonts w:hint="eastAsia"/>
                <w:color w:val="000000"/>
                <w:sz w:val="18"/>
                <w:szCs w:val="18"/>
              </w:rPr>
              <w:t xml:space="preserve">工作环境：-20℃-40℃                                                                                                                                                                                                                                                                          </w:t>
            </w:r>
            <w:r>
              <w:rPr>
                <w:rFonts w:hint="eastAsia"/>
                <w:color w:val="000000"/>
                <w:sz w:val="18"/>
                <w:szCs w:val="18"/>
                <w:lang w:val="en-US" w:eastAsia="zh-CN"/>
              </w:rPr>
              <w:t>11、</w:t>
            </w:r>
            <w:r>
              <w:rPr>
                <w:rFonts w:hint="eastAsia"/>
                <w:color w:val="000000"/>
                <w:sz w:val="18"/>
                <w:szCs w:val="18"/>
              </w:rPr>
              <w:t xml:space="preserve">通道模式：6个通道                                                                                                                                                                                                                                                                                       </w:t>
            </w:r>
            <w:r>
              <w:rPr>
                <w:rFonts w:hint="eastAsia"/>
                <w:color w:val="000000"/>
                <w:sz w:val="18"/>
                <w:szCs w:val="18"/>
              </w:rPr>
              <w:br w:type="textWrapping"/>
            </w:r>
            <w:r>
              <w:rPr>
                <w:rFonts w:hint="eastAsia"/>
                <w:color w:val="000000"/>
                <w:sz w:val="18"/>
                <w:szCs w:val="18"/>
                <w:lang w:val="en-US" w:eastAsia="zh-CN"/>
              </w:rPr>
              <w:t>12、</w:t>
            </w:r>
            <w:r>
              <w:rPr>
                <w:rFonts w:hint="eastAsia"/>
                <w:color w:val="000000"/>
                <w:sz w:val="18"/>
                <w:szCs w:val="18"/>
              </w:rPr>
              <w:t>控制模式：DMX512/声控/自走/从主机模式/手动控制</w:t>
            </w:r>
          </w:p>
          <w:p w14:paraId="4672C272">
            <w:pPr>
              <w:numPr>
                <w:ilvl w:val="0"/>
                <w:numId w:val="0"/>
              </w:numPr>
              <w:ind w:leftChars="0"/>
              <w:rPr>
                <w:rFonts w:ascii="宋体" w:hAnsi="宋体" w:cs="宋体"/>
                <w:color w:val="000000"/>
                <w:sz w:val="18"/>
                <w:szCs w:val="18"/>
              </w:rPr>
            </w:pPr>
            <w:r>
              <w:rPr>
                <w:rFonts w:hint="eastAsia"/>
                <w:color w:val="000000"/>
                <w:sz w:val="18"/>
                <w:szCs w:val="18"/>
                <w:lang w:val="en-US" w:eastAsia="zh-CN"/>
              </w:rPr>
              <w:t>13、</w:t>
            </w:r>
            <w:r>
              <w:rPr>
                <w:rFonts w:hint="eastAsia"/>
                <w:color w:val="000000"/>
                <w:sz w:val="18"/>
                <w:szCs w:val="18"/>
              </w:rPr>
              <w:t>防护等级：IP20</w:t>
            </w:r>
          </w:p>
        </w:tc>
      </w:tr>
      <w:tr w14:paraId="52199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255696D9">
            <w:pPr>
              <w:jc w:val="center"/>
              <w:rPr>
                <w:rFonts w:ascii="宋体" w:hAnsi="宋体" w:cs="宋体"/>
                <w:sz w:val="18"/>
                <w:szCs w:val="18"/>
              </w:rPr>
            </w:pPr>
          </w:p>
        </w:tc>
        <w:tc>
          <w:tcPr>
            <w:tcW w:w="436" w:type="pct"/>
            <w:vAlign w:val="center"/>
          </w:tcPr>
          <w:p w14:paraId="5BAB4782">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438" w:type="pct"/>
            <w:gridSpan w:val="2"/>
            <w:vAlign w:val="center"/>
          </w:tcPr>
          <w:p w14:paraId="01968E57">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柱子灯外柱</w:t>
            </w:r>
          </w:p>
        </w:tc>
        <w:tc>
          <w:tcPr>
            <w:tcW w:w="445" w:type="pct"/>
            <w:vAlign w:val="center"/>
          </w:tcPr>
          <w:p w14:paraId="6A82271C">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12W柱子灯</w:t>
            </w:r>
          </w:p>
        </w:tc>
        <w:tc>
          <w:tcPr>
            <w:tcW w:w="277" w:type="pct"/>
            <w:vAlign w:val="center"/>
          </w:tcPr>
          <w:p w14:paraId="76433DBD">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22</w:t>
            </w:r>
          </w:p>
        </w:tc>
        <w:tc>
          <w:tcPr>
            <w:tcW w:w="244" w:type="pct"/>
            <w:vAlign w:val="center"/>
          </w:tcPr>
          <w:p w14:paraId="45C77B52">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4"/>
            <w:vAlign w:val="center"/>
          </w:tcPr>
          <w:p w14:paraId="1B57427A">
            <w:pPr>
              <w:numPr>
                <w:ilvl w:val="0"/>
                <w:numId w:val="25"/>
              </w:numPr>
              <w:rPr>
                <w:rFonts w:hint="eastAsia"/>
              </w:rPr>
            </w:pPr>
            <w:r>
              <w:rPr>
                <w:rFonts w:hint="eastAsia"/>
                <w:color w:val="000000"/>
                <w:sz w:val="18"/>
                <w:szCs w:val="18"/>
              </w:rPr>
              <w:t>产品尺寸:直径≥42MM</w:t>
            </w:r>
          </w:p>
          <w:p w14:paraId="6F0AD9FB">
            <w:pPr>
              <w:numPr>
                <w:ilvl w:val="0"/>
                <w:numId w:val="25"/>
              </w:numPr>
              <w:ind w:left="0" w:leftChars="0" w:firstLine="0" w:firstLineChars="0"/>
              <w:rPr>
                <w:rFonts w:hint="eastAsia"/>
              </w:rPr>
            </w:pPr>
            <w:r>
              <w:rPr>
                <w:rFonts w:hint="eastAsia"/>
                <w:color w:val="000000"/>
                <w:sz w:val="18"/>
                <w:szCs w:val="18"/>
              </w:rPr>
              <w:t>灯体长度≥74MM</w:t>
            </w:r>
          </w:p>
          <w:p w14:paraId="1696655C">
            <w:pPr>
              <w:numPr>
                <w:ilvl w:val="0"/>
                <w:numId w:val="25"/>
              </w:numPr>
              <w:ind w:left="0" w:leftChars="0" w:firstLine="0" w:firstLineChars="0"/>
              <w:rPr>
                <w:rFonts w:hint="eastAsia"/>
                <w:color w:val="000000"/>
                <w:sz w:val="18"/>
                <w:szCs w:val="18"/>
              </w:rPr>
            </w:pPr>
            <w:r>
              <w:rPr>
                <w:rFonts w:hint="eastAsia"/>
                <w:color w:val="000000"/>
                <w:sz w:val="18"/>
                <w:szCs w:val="18"/>
              </w:rPr>
              <w:t>输入电压:DC12-24V</w:t>
            </w:r>
          </w:p>
          <w:p w14:paraId="5C02CF54">
            <w:pPr>
              <w:numPr>
                <w:ilvl w:val="0"/>
                <w:numId w:val="25"/>
              </w:numPr>
              <w:ind w:left="0" w:leftChars="0" w:firstLine="0" w:firstLineChars="0"/>
              <w:rPr>
                <w:rFonts w:hint="eastAsia"/>
                <w:color w:val="000000"/>
                <w:sz w:val="18"/>
                <w:szCs w:val="18"/>
              </w:rPr>
            </w:pPr>
            <w:r>
              <w:rPr>
                <w:rFonts w:hint="eastAsia"/>
                <w:color w:val="000000"/>
                <w:sz w:val="18"/>
                <w:szCs w:val="18"/>
              </w:rPr>
              <w:t>产品材质:加厚铝材</w:t>
            </w:r>
          </w:p>
          <w:p w14:paraId="7778947F">
            <w:pPr>
              <w:numPr>
                <w:ilvl w:val="0"/>
                <w:numId w:val="25"/>
              </w:numPr>
              <w:ind w:left="0" w:leftChars="0" w:firstLine="0" w:firstLineChars="0"/>
              <w:rPr>
                <w:rFonts w:hint="eastAsia"/>
                <w:color w:val="000000"/>
                <w:sz w:val="18"/>
                <w:szCs w:val="18"/>
              </w:rPr>
            </w:pPr>
            <w:r>
              <w:rPr>
                <w:rFonts w:hint="eastAsia"/>
                <w:color w:val="000000"/>
                <w:sz w:val="18"/>
                <w:szCs w:val="18"/>
              </w:rPr>
              <w:t>产品功率:≥１２W</w:t>
            </w:r>
          </w:p>
          <w:p w14:paraId="17BF4DB5">
            <w:pPr>
              <w:rPr>
                <w:rFonts w:ascii="宋体" w:hAnsi="宋体" w:cs="宋体"/>
                <w:color w:val="000000"/>
                <w:sz w:val="18"/>
                <w:szCs w:val="18"/>
              </w:rPr>
            </w:pPr>
            <w:r>
              <w:rPr>
                <w:rFonts w:hint="eastAsia"/>
                <w:color w:val="000000"/>
                <w:sz w:val="18"/>
                <w:szCs w:val="18"/>
                <w:lang w:val="en-US" w:eastAsia="zh-CN"/>
              </w:rPr>
              <w:t>6、</w:t>
            </w:r>
            <w:r>
              <w:rPr>
                <w:rFonts w:hint="eastAsia"/>
                <w:color w:val="000000"/>
                <w:sz w:val="18"/>
                <w:szCs w:val="18"/>
              </w:rPr>
              <w:t>防护等级:IP67</w:t>
            </w:r>
          </w:p>
        </w:tc>
      </w:tr>
      <w:tr w14:paraId="5ABD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35F58928">
            <w:pPr>
              <w:jc w:val="center"/>
              <w:rPr>
                <w:rFonts w:ascii="宋体" w:hAnsi="宋体" w:cs="宋体"/>
                <w:sz w:val="18"/>
                <w:szCs w:val="18"/>
              </w:rPr>
            </w:pPr>
          </w:p>
        </w:tc>
        <w:tc>
          <w:tcPr>
            <w:tcW w:w="436" w:type="pct"/>
            <w:vAlign w:val="center"/>
          </w:tcPr>
          <w:p w14:paraId="7017C121">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438" w:type="pct"/>
            <w:gridSpan w:val="2"/>
            <w:vAlign w:val="center"/>
          </w:tcPr>
          <w:p w14:paraId="79D99CA1">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走廊内铺色</w:t>
            </w:r>
          </w:p>
        </w:tc>
        <w:tc>
          <w:tcPr>
            <w:tcW w:w="445" w:type="pct"/>
            <w:vAlign w:val="center"/>
          </w:tcPr>
          <w:p w14:paraId="616484DB">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全彩200WCOB灯具</w:t>
            </w:r>
          </w:p>
        </w:tc>
        <w:tc>
          <w:tcPr>
            <w:tcW w:w="277" w:type="pct"/>
            <w:vAlign w:val="center"/>
          </w:tcPr>
          <w:p w14:paraId="07569987">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40</w:t>
            </w:r>
          </w:p>
        </w:tc>
        <w:tc>
          <w:tcPr>
            <w:tcW w:w="244" w:type="pct"/>
            <w:vAlign w:val="center"/>
          </w:tcPr>
          <w:p w14:paraId="086B1E5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4"/>
            <w:vAlign w:val="center"/>
          </w:tcPr>
          <w:p w14:paraId="4B4F3488">
            <w:pPr>
              <w:numPr>
                <w:ilvl w:val="0"/>
                <w:numId w:val="26"/>
              </w:numPr>
              <w:rPr>
                <w:rFonts w:hint="eastAsia"/>
                <w:color w:val="000000"/>
                <w:sz w:val="18"/>
                <w:szCs w:val="18"/>
              </w:rPr>
            </w:pPr>
            <w:r>
              <w:rPr>
                <w:rFonts w:hint="eastAsia"/>
                <w:color w:val="000000"/>
                <w:sz w:val="18"/>
                <w:szCs w:val="18"/>
              </w:rPr>
              <w:t>输入电压：AC100-240V 50/60HZ</w:t>
            </w:r>
          </w:p>
          <w:p w14:paraId="055F23D1">
            <w:pPr>
              <w:numPr>
                <w:ilvl w:val="0"/>
                <w:numId w:val="26"/>
              </w:numPr>
              <w:rPr>
                <w:rFonts w:ascii="宋体" w:hAnsi="宋体" w:cs="宋体"/>
                <w:color w:val="000000"/>
                <w:sz w:val="18"/>
                <w:szCs w:val="18"/>
              </w:rPr>
            </w:pPr>
            <w:r>
              <w:rPr>
                <w:rFonts w:hint="eastAsia"/>
                <w:color w:val="000000"/>
                <w:sz w:val="18"/>
                <w:szCs w:val="18"/>
              </w:rPr>
              <w:t>光源功率：超亮LED200W四合一灯珠</w:t>
            </w:r>
          </w:p>
          <w:p w14:paraId="63EE5911">
            <w:pPr>
              <w:numPr>
                <w:ilvl w:val="0"/>
                <w:numId w:val="26"/>
              </w:numPr>
              <w:rPr>
                <w:rFonts w:ascii="宋体" w:hAnsi="宋体" w:cs="宋体"/>
                <w:color w:val="000000"/>
                <w:sz w:val="18"/>
                <w:szCs w:val="18"/>
              </w:rPr>
            </w:pPr>
            <w:r>
              <w:rPr>
                <w:rFonts w:hint="eastAsia"/>
                <w:color w:val="000000"/>
                <w:sz w:val="18"/>
                <w:szCs w:val="18"/>
              </w:rPr>
              <w:t xml:space="preserve"> 灯珠寿命：≥50000小时</w:t>
            </w:r>
          </w:p>
          <w:p w14:paraId="6620BDB2">
            <w:pPr>
              <w:numPr>
                <w:ilvl w:val="0"/>
                <w:numId w:val="26"/>
              </w:numPr>
              <w:rPr>
                <w:rFonts w:ascii="宋体" w:hAnsi="宋体" w:cs="宋体"/>
                <w:color w:val="000000"/>
                <w:sz w:val="18"/>
                <w:szCs w:val="18"/>
              </w:rPr>
            </w:pPr>
            <w:r>
              <w:rPr>
                <w:rFonts w:hint="eastAsia"/>
                <w:color w:val="000000"/>
                <w:sz w:val="18"/>
                <w:szCs w:val="18"/>
              </w:rPr>
              <w:t>额定功率：≥200W</w:t>
            </w:r>
          </w:p>
          <w:p w14:paraId="6C16B42C">
            <w:pPr>
              <w:numPr>
                <w:ilvl w:val="0"/>
                <w:numId w:val="26"/>
              </w:numPr>
              <w:jc w:val="left"/>
              <w:rPr>
                <w:rFonts w:ascii="宋体" w:hAnsi="宋体" w:cs="宋体"/>
                <w:color w:val="000000"/>
                <w:sz w:val="18"/>
                <w:szCs w:val="18"/>
              </w:rPr>
            </w:pPr>
            <w:r>
              <w:rPr>
                <w:rFonts w:hint="eastAsia"/>
                <w:color w:val="000000"/>
                <w:sz w:val="18"/>
                <w:szCs w:val="18"/>
              </w:rPr>
              <w:t xml:space="preserve">色温系统：3000K/4000K/5700K                                                                                                                                                               </w:t>
            </w:r>
            <w:r>
              <w:rPr>
                <w:rFonts w:hint="eastAsia"/>
                <w:color w:val="000000"/>
                <w:sz w:val="18"/>
                <w:szCs w:val="18"/>
                <w:lang w:val="en-US" w:eastAsia="zh-CN"/>
              </w:rPr>
              <w:t>6、</w:t>
            </w:r>
            <w:r>
              <w:rPr>
                <w:rFonts w:hint="eastAsia"/>
                <w:color w:val="000000"/>
                <w:sz w:val="18"/>
                <w:szCs w:val="18"/>
              </w:rPr>
              <w:t xml:space="preserve">显色指数：CRI≥95超高亮度，可替代传统1000W的灯                                                                                                                                                                                                                                 </w:t>
            </w:r>
            <w:r>
              <w:rPr>
                <w:rFonts w:hint="eastAsia"/>
                <w:color w:val="000000"/>
                <w:sz w:val="18"/>
                <w:szCs w:val="18"/>
                <w:lang w:val="en-US" w:eastAsia="zh-CN"/>
              </w:rPr>
              <w:t>7、</w:t>
            </w:r>
            <w:r>
              <w:rPr>
                <w:rFonts w:hint="eastAsia"/>
                <w:color w:val="000000"/>
                <w:sz w:val="18"/>
                <w:szCs w:val="18"/>
              </w:rPr>
              <w:t>散热系统：基板散热，风扇对流冷却散热</w:t>
            </w:r>
          </w:p>
          <w:p w14:paraId="6D3905C8">
            <w:pPr>
              <w:numPr>
                <w:ilvl w:val="0"/>
                <w:numId w:val="21"/>
              </w:numPr>
              <w:ind w:left="0" w:leftChars="0" w:firstLine="0" w:firstLineChars="0"/>
              <w:rPr>
                <w:rFonts w:hint="eastAsia"/>
                <w:color w:val="000000"/>
                <w:sz w:val="18"/>
                <w:szCs w:val="18"/>
              </w:rPr>
            </w:pPr>
            <w:r>
              <w:rPr>
                <w:rFonts w:hint="eastAsia"/>
                <w:color w:val="000000"/>
                <w:sz w:val="18"/>
                <w:szCs w:val="18"/>
              </w:rPr>
              <w:t>灯具材质：铝铸外壳新颖设计，流线型外观设计</w:t>
            </w:r>
            <w:r>
              <w:rPr>
                <w:rFonts w:hint="eastAsia"/>
                <w:color w:val="000000"/>
                <w:sz w:val="18"/>
                <w:szCs w:val="18"/>
              </w:rPr>
              <w:br w:type="textWrapping"/>
            </w:r>
            <w:r>
              <w:rPr>
                <w:rFonts w:hint="eastAsia"/>
                <w:color w:val="000000"/>
                <w:sz w:val="18"/>
                <w:szCs w:val="18"/>
                <w:lang w:val="en-US" w:eastAsia="zh-CN"/>
              </w:rPr>
              <w:t>9、</w:t>
            </w:r>
            <w:r>
              <w:rPr>
                <w:rFonts w:hint="eastAsia"/>
                <w:color w:val="000000"/>
                <w:sz w:val="18"/>
                <w:szCs w:val="18"/>
              </w:rPr>
              <w:t>调光系统：0%-100%线性调光；1-25Hz/s 的频闪速度</w:t>
            </w:r>
            <w:r>
              <w:rPr>
                <w:rFonts w:hint="eastAsia"/>
                <w:color w:val="000000"/>
                <w:sz w:val="18"/>
                <w:szCs w:val="18"/>
              </w:rPr>
              <w:br w:type="textWrapping"/>
            </w:r>
            <w:r>
              <w:rPr>
                <w:rFonts w:hint="eastAsia"/>
                <w:color w:val="000000"/>
                <w:sz w:val="18"/>
                <w:szCs w:val="18"/>
              </w:rPr>
              <w:t xml:space="preserve">光学角度：≥60°  </w:t>
            </w:r>
          </w:p>
          <w:p w14:paraId="5A8BD3F9">
            <w:pPr>
              <w:numPr>
                <w:ilvl w:val="0"/>
                <w:numId w:val="0"/>
              </w:numPr>
              <w:ind w:leftChars="0"/>
              <w:jc w:val="left"/>
              <w:rPr>
                <w:rFonts w:ascii="宋体" w:hAnsi="宋体" w:cs="宋体"/>
                <w:color w:val="000000"/>
                <w:sz w:val="18"/>
                <w:szCs w:val="18"/>
              </w:rPr>
            </w:pPr>
            <w:r>
              <w:rPr>
                <w:rFonts w:hint="eastAsia"/>
                <w:color w:val="000000"/>
                <w:sz w:val="18"/>
                <w:szCs w:val="18"/>
                <w:lang w:val="en-US" w:eastAsia="zh-CN"/>
              </w:rPr>
              <w:t>10、</w:t>
            </w:r>
            <w:r>
              <w:rPr>
                <w:rFonts w:hint="eastAsia"/>
                <w:color w:val="000000"/>
                <w:sz w:val="18"/>
                <w:szCs w:val="18"/>
              </w:rPr>
              <w:t xml:space="preserve">工作环境：-20℃-40℃                                                                                                                                                                                                                                                                          </w:t>
            </w:r>
            <w:r>
              <w:rPr>
                <w:rFonts w:hint="eastAsia"/>
                <w:color w:val="000000"/>
                <w:sz w:val="18"/>
                <w:szCs w:val="18"/>
                <w:lang w:val="en-US" w:eastAsia="zh-CN"/>
              </w:rPr>
              <w:t>11、</w:t>
            </w:r>
            <w:r>
              <w:rPr>
                <w:rFonts w:hint="eastAsia"/>
                <w:color w:val="000000"/>
                <w:sz w:val="18"/>
                <w:szCs w:val="18"/>
              </w:rPr>
              <w:t xml:space="preserve">通道模式：6个通道                                                                                                                                                                                                                                                                                       </w:t>
            </w:r>
            <w:r>
              <w:rPr>
                <w:rFonts w:hint="eastAsia"/>
                <w:color w:val="000000"/>
                <w:sz w:val="18"/>
                <w:szCs w:val="18"/>
                <w:lang w:val="en-US" w:eastAsia="zh-CN"/>
              </w:rPr>
              <w:t>12、</w:t>
            </w:r>
            <w:r>
              <w:rPr>
                <w:rFonts w:hint="eastAsia"/>
                <w:color w:val="000000"/>
                <w:sz w:val="18"/>
                <w:szCs w:val="18"/>
              </w:rPr>
              <w:t>控制模式：DMX512/声控/自走/从主机模式/手动控制</w:t>
            </w:r>
            <w:r>
              <w:rPr>
                <w:rFonts w:hint="eastAsia"/>
                <w:color w:val="000000"/>
                <w:sz w:val="18"/>
                <w:szCs w:val="18"/>
              </w:rPr>
              <w:br w:type="textWrapping"/>
            </w:r>
            <w:r>
              <w:rPr>
                <w:rFonts w:hint="eastAsia"/>
                <w:color w:val="000000"/>
                <w:sz w:val="18"/>
                <w:szCs w:val="18"/>
                <w:lang w:val="en-US" w:eastAsia="zh-CN"/>
              </w:rPr>
              <w:t>13、</w:t>
            </w:r>
            <w:r>
              <w:rPr>
                <w:rFonts w:hint="eastAsia"/>
                <w:color w:val="000000"/>
                <w:sz w:val="18"/>
                <w:szCs w:val="18"/>
              </w:rPr>
              <w:t>防护等级：IP20</w:t>
            </w:r>
          </w:p>
        </w:tc>
      </w:tr>
      <w:tr w14:paraId="55F49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4592954D">
            <w:pPr>
              <w:jc w:val="center"/>
              <w:rPr>
                <w:rFonts w:ascii="宋体" w:hAnsi="宋体" w:cs="宋体"/>
                <w:sz w:val="18"/>
                <w:szCs w:val="18"/>
              </w:rPr>
            </w:pPr>
          </w:p>
        </w:tc>
        <w:tc>
          <w:tcPr>
            <w:tcW w:w="436" w:type="pct"/>
            <w:vAlign w:val="center"/>
          </w:tcPr>
          <w:p w14:paraId="28590CC3">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438" w:type="pct"/>
            <w:gridSpan w:val="2"/>
            <w:vAlign w:val="center"/>
          </w:tcPr>
          <w:p w14:paraId="640B6F32">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亭子内全彩帕灯演员照明</w:t>
            </w:r>
          </w:p>
        </w:tc>
        <w:tc>
          <w:tcPr>
            <w:tcW w:w="445" w:type="pct"/>
            <w:vAlign w:val="center"/>
          </w:tcPr>
          <w:p w14:paraId="1A193F6B">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全彩84颗8W</w:t>
            </w:r>
          </w:p>
        </w:tc>
        <w:tc>
          <w:tcPr>
            <w:tcW w:w="277" w:type="pct"/>
            <w:vAlign w:val="center"/>
          </w:tcPr>
          <w:p w14:paraId="2F679D2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244" w:type="pct"/>
            <w:vAlign w:val="center"/>
          </w:tcPr>
          <w:p w14:paraId="0AC756B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4"/>
            <w:vAlign w:val="center"/>
          </w:tcPr>
          <w:p w14:paraId="4E9452B9">
            <w:pPr>
              <w:numPr>
                <w:ilvl w:val="0"/>
                <w:numId w:val="27"/>
              </w:numPr>
              <w:rPr>
                <w:rFonts w:hint="eastAsia"/>
                <w:color w:val="000000"/>
                <w:sz w:val="18"/>
                <w:szCs w:val="18"/>
              </w:rPr>
            </w:pPr>
            <w:r>
              <w:rPr>
                <w:rFonts w:hint="eastAsia"/>
                <w:color w:val="000000"/>
                <w:sz w:val="18"/>
                <w:szCs w:val="18"/>
              </w:rPr>
              <w:t>额定电压：AC100-240V~ 50/60Hz</w:t>
            </w:r>
          </w:p>
          <w:p w14:paraId="504F5786">
            <w:pPr>
              <w:numPr>
                <w:ilvl w:val="0"/>
                <w:numId w:val="27"/>
              </w:numPr>
              <w:rPr>
                <w:rFonts w:ascii="宋体" w:hAnsi="宋体" w:cs="宋体"/>
                <w:color w:val="000000"/>
                <w:sz w:val="18"/>
                <w:szCs w:val="18"/>
              </w:rPr>
            </w:pPr>
            <w:r>
              <w:rPr>
                <w:rFonts w:hint="eastAsia"/>
                <w:color w:val="000000"/>
                <w:sz w:val="18"/>
                <w:szCs w:val="18"/>
              </w:rPr>
              <w:t>额定功率：≥200W</w:t>
            </w:r>
          </w:p>
          <w:p w14:paraId="7CB9EA9A">
            <w:pPr>
              <w:numPr>
                <w:ilvl w:val="0"/>
                <w:numId w:val="27"/>
              </w:numPr>
              <w:rPr>
                <w:rFonts w:ascii="宋体" w:hAnsi="宋体" w:cs="宋体"/>
                <w:color w:val="000000"/>
                <w:sz w:val="18"/>
                <w:szCs w:val="18"/>
              </w:rPr>
            </w:pPr>
            <w:r>
              <w:rPr>
                <w:rFonts w:hint="eastAsia"/>
                <w:color w:val="000000"/>
                <w:sz w:val="18"/>
                <w:szCs w:val="18"/>
              </w:rPr>
              <w:t>电源接口：灯具自带 2.5 平方三芯防水对接插头，一进一出，线长≥3米</w:t>
            </w:r>
          </w:p>
          <w:p w14:paraId="336629D0">
            <w:pPr>
              <w:numPr>
                <w:ilvl w:val="0"/>
                <w:numId w:val="27"/>
              </w:numPr>
              <w:rPr>
                <w:rFonts w:ascii="宋体" w:hAnsi="宋体" w:cs="宋体"/>
                <w:color w:val="000000"/>
                <w:sz w:val="18"/>
                <w:szCs w:val="18"/>
              </w:rPr>
            </w:pPr>
            <w:r>
              <w:rPr>
                <w:rFonts w:hint="eastAsia"/>
                <w:color w:val="000000"/>
                <w:sz w:val="18"/>
                <w:szCs w:val="18"/>
              </w:rPr>
              <w:t>信号接口：灯具自带 0.75 平方三芯防水对接插头，一进一出，线长≥3米</w:t>
            </w:r>
          </w:p>
          <w:p w14:paraId="26657891">
            <w:pPr>
              <w:numPr>
                <w:ilvl w:val="0"/>
                <w:numId w:val="27"/>
              </w:numPr>
              <w:rPr>
                <w:rFonts w:ascii="宋体" w:hAnsi="宋体" w:cs="宋体"/>
                <w:color w:val="000000"/>
                <w:sz w:val="18"/>
                <w:szCs w:val="18"/>
              </w:rPr>
            </w:pPr>
            <w:r>
              <w:rPr>
                <w:rFonts w:hint="eastAsia"/>
                <w:color w:val="000000"/>
                <w:sz w:val="18"/>
                <w:szCs w:val="18"/>
              </w:rPr>
              <w:t>光    源：84 颗 7W 三合一 RGB LED</w:t>
            </w:r>
          </w:p>
          <w:p w14:paraId="604C7DA2">
            <w:pPr>
              <w:numPr>
                <w:ilvl w:val="0"/>
                <w:numId w:val="27"/>
              </w:numPr>
              <w:rPr>
                <w:rFonts w:ascii="宋体" w:hAnsi="宋体" w:cs="宋体"/>
                <w:color w:val="000000"/>
                <w:sz w:val="18"/>
                <w:szCs w:val="18"/>
              </w:rPr>
            </w:pPr>
            <w:r>
              <w:rPr>
                <w:rFonts w:hint="eastAsia"/>
                <w:color w:val="000000"/>
                <w:sz w:val="18"/>
                <w:szCs w:val="18"/>
              </w:rPr>
              <w:t>灯泡寿命：≥50000 小时</w:t>
            </w:r>
          </w:p>
          <w:p w14:paraId="3719B62E">
            <w:pPr>
              <w:numPr>
                <w:ilvl w:val="0"/>
                <w:numId w:val="27"/>
              </w:numPr>
              <w:rPr>
                <w:rFonts w:ascii="宋体" w:hAnsi="宋体" w:cs="宋体"/>
                <w:color w:val="000000"/>
                <w:sz w:val="18"/>
                <w:szCs w:val="18"/>
              </w:rPr>
            </w:pPr>
            <w:r>
              <w:rPr>
                <w:rFonts w:hint="eastAsia"/>
                <w:color w:val="000000"/>
                <w:sz w:val="18"/>
                <w:szCs w:val="18"/>
              </w:rPr>
              <w:t>颜    色：均匀的 RGB 混色系统</w:t>
            </w:r>
          </w:p>
          <w:p w14:paraId="4AF300BB">
            <w:pPr>
              <w:numPr>
                <w:ilvl w:val="0"/>
                <w:numId w:val="27"/>
              </w:numPr>
              <w:rPr>
                <w:rFonts w:ascii="宋体" w:hAnsi="宋体" w:cs="宋体"/>
                <w:color w:val="000000"/>
                <w:sz w:val="18"/>
                <w:szCs w:val="18"/>
              </w:rPr>
            </w:pPr>
            <w:r>
              <w:rPr>
                <w:rFonts w:hint="eastAsia"/>
                <w:color w:val="000000"/>
                <w:sz w:val="18"/>
                <w:szCs w:val="18"/>
              </w:rPr>
              <w:t>控制方式：国际标准 DMX512 信号、声控、自走、主从</w:t>
            </w:r>
          </w:p>
          <w:p w14:paraId="73CA8AB6">
            <w:pPr>
              <w:numPr>
                <w:ilvl w:val="0"/>
                <w:numId w:val="27"/>
              </w:numPr>
              <w:rPr>
                <w:rFonts w:ascii="宋体" w:hAnsi="宋体" w:cs="宋体"/>
                <w:color w:val="000000"/>
                <w:sz w:val="18"/>
                <w:szCs w:val="18"/>
              </w:rPr>
            </w:pPr>
            <w:r>
              <w:rPr>
                <w:rFonts w:hint="eastAsia"/>
                <w:color w:val="000000"/>
                <w:sz w:val="18"/>
                <w:szCs w:val="18"/>
              </w:rPr>
              <w:t>通道模式：8CH</w:t>
            </w:r>
          </w:p>
          <w:p w14:paraId="2305B6AE">
            <w:pPr>
              <w:numPr>
                <w:ilvl w:val="0"/>
                <w:numId w:val="27"/>
              </w:numPr>
              <w:rPr>
                <w:rFonts w:ascii="宋体" w:hAnsi="宋体" w:cs="宋体"/>
                <w:color w:val="000000"/>
                <w:sz w:val="18"/>
                <w:szCs w:val="18"/>
              </w:rPr>
            </w:pPr>
            <w:r>
              <w:rPr>
                <w:rFonts w:hint="eastAsia"/>
                <w:color w:val="000000"/>
                <w:sz w:val="18"/>
                <w:szCs w:val="18"/>
              </w:rPr>
              <w:t>变焦范围：25°</w:t>
            </w:r>
          </w:p>
          <w:p w14:paraId="26E5F3B0">
            <w:pPr>
              <w:numPr>
                <w:ilvl w:val="0"/>
                <w:numId w:val="27"/>
              </w:numPr>
              <w:rPr>
                <w:rFonts w:ascii="宋体" w:hAnsi="宋体" w:cs="宋体"/>
                <w:color w:val="000000"/>
                <w:sz w:val="18"/>
                <w:szCs w:val="18"/>
              </w:rPr>
            </w:pPr>
            <w:r>
              <w:rPr>
                <w:rFonts w:hint="eastAsia"/>
                <w:color w:val="000000"/>
                <w:sz w:val="18"/>
                <w:szCs w:val="18"/>
              </w:rPr>
              <w:t>频闪系统：独立电子频闪</w:t>
            </w:r>
            <w:r>
              <w:rPr>
                <w:rFonts w:hint="eastAsia"/>
                <w:color w:val="000000"/>
                <w:sz w:val="18"/>
                <w:szCs w:val="18"/>
                <w:lang w:eastAsia="zh-CN"/>
              </w:rPr>
              <w:t>，</w:t>
            </w:r>
            <w:r>
              <w:rPr>
                <w:rFonts w:hint="eastAsia"/>
                <w:color w:val="000000"/>
                <w:sz w:val="18"/>
                <w:szCs w:val="18"/>
              </w:rPr>
              <w:t xml:space="preserve"> 出色的频闪效果，速度可变</w:t>
            </w:r>
            <w:r>
              <w:rPr>
                <w:rFonts w:hint="eastAsia"/>
                <w:color w:val="000000"/>
                <w:sz w:val="18"/>
                <w:szCs w:val="18"/>
              </w:rPr>
              <w:br w:type="textWrapping"/>
            </w:r>
            <w:r>
              <w:rPr>
                <w:rFonts w:hint="eastAsia"/>
                <w:color w:val="000000"/>
                <w:sz w:val="18"/>
                <w:szCs w:val="18"/>
              </w:rPr>
              <w:t>调光系统：0-100% 线性调光</w:t>
            </w:r>
          </w:p>
          <w:p w14:paraId="4BFE105F">
            <w:pPr>
              <w:numPr>
                <w:ilvl w:val="0"/>
                <w:numId w:val="27"/>
              </w:numPr>
              <w:rPr>
                <w:rFonts w:ascii="宋体" w:hAnsi="宋体" w:cs="宋体"/>
                <w:color w:val="000000"/>
                <w:sz w:val="18"/>
                <w:szCs w:val="18"/>
              </w:rPr>
            </w:pPr>
            <w:r>
              <w:rPr>
                <w:rFonts w:hint="eastAsia"/>
                <w:color w:val="000000"/>
                <w:sz w:val="18"/>
                <w:szCs w:val="18"/>
              </w:rPr>
              <w:t>产品外观：压铸铝外壳</w:t>
            </w:r>
          </w:p>
          <w:p w14:paraId="3787FAEB">
            <w:pPr>
              <w:numPr>
                <w:ilvl w:val="0"/>
                <w:numId w:val="27"/>
              </w:numPr>
              <w:rPr>
                <w:rFonts w:ascii="宋体" w:hAnsi="宋体" w:cs="宋体"/>
                <w:color w:val="000000"/>
                <w:sz w:val="18"/>
                <w:szCs w:val="18"/>
              </w:rPr>
            </w:pPr>
            <w:r>
              <w:rPr>
                <w:rFonts w:hint="eastAsia"/>
                <w:color w:val="000000"/>
                <w:sz w:val="18"/>
                <w:szCs w:val="18"/>
              </w:rPr>
              <w:t>防护等级：IP20</w:t>
            </w:r>
          </w:p>
        </w:tc>
      </w:tr>
      <w:tr w14:paraId="565B9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3261960F">
            <w:pPr>
              <w:jc w:val="center"/>
              <w:rPr>
                <w:rFonts w:ascii="宋体" w:hAnsi="宋体" w:cs="宋体"/>
                <w:sz w:val="18"/>
                <w:szCs w:val="18"/>
              </w:rPr>
            </w:pPr>
          </w:p>
        </w:tc>
        <w:tc>
          <w:tcPr>
            <w:tcW w:w="436" w:type="pct"/>
            <w:vAlign w:val="center"/>
          </w:tcPr>
          <w:p w14:paraId="68A4985D">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438" w:type="pct"/>
            <w:gridSpan w:val="2"/>
            <w:vAlign w:val="center"/>
          </w:tcPr>
          <w:p w14:paraId="59CA4612">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帘子投光灯</w:t>
            </w:r>
          </w:p>
        </w:tc>
        <w:tc>
          <w:tcPr>
            <w:tcW w:w="445" w:type="pct"/>
            <w:vAlign w:val="center"/>
          </w:tcPr>
          <w:p w14:paraId="1115C794">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300W防水投光灯</w:t>
            </w:r>
          </w:p>
        </w:tc>
        <w:tc>
          <w:tcPr>
            <w:tcW w:w="277" w:type="pct"/>
            <w:vAlign w:val="center"/>
          </w:tcPr>
          <w:p w14:paraId="430F578C">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244" w:type="pct"/>
            <w:vAlign w:val="center"/>
          </w:tcPr>
          <w:p w14:paraId="037A8628">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4"/>
            <w:vAlign w:val="center"/>
          </w:tcPr>
          <w:p w14:paraId="73112BDC">
            <w:pPr>
              <w:numPr>
                <w:ilvl w:val="0"/>
                <w:numId w:val="28"/>
              </w:numPr>
              <w:jc w:val="left"/>
              <w:rPr>
                <w:rFonts w:hint="eastAsia"/>
                <w:color w:val="000000"/>
                <w:sz w:val="18"/>
                <w:szCs w:val="18"/>
              </w:rPr>
            </w:pPr>
            <w:r>
              <w:rPr>
                <w:rFonts w:hint="eastAsia"/>
                <w:color w:val="000000"/>
                <w:sz w:val="18"/>
                <w:szCs w:val="18"/>
              </w:rPr>
              <w:t>输入电压：AC100-240V 50/60HZ</w:t>
            </w:r>
          </w:p>
          <w:p w14:paraId="7FA02106">
            <w:pPr>
              <w:numPr>
                <w:ilvl w:val="0"/>
                <w:numId w:val="28"/>
              </w:numPr>
              <w:jc w:val="left"/>
              <w:rPr>
                <w:rFonts w:ascii="宋体" w:hAnsi="宋体" w:cs="宋体"/>
                <w:color w:val="000000"/>
                <w:sz w:val="18"/>
                <w:szCs w:val="18"/>
              </w:rPr>
            </w:pPr>
            <w:r>
              <w:rPr>
                <w:rFonts w:hint="eastAsia"/>
                <w:color w:val="000000"/>
                <w:sz w:val="18"/>
                <w:szCs w:val="18"/>
              </w:rPr>
              <w:t>光源功率：超亮LED00W单颗灯珠 光源系统通过无蓝光危害检测</w:t>
            </w:r>
          </w:p>
          <w:p w14:paraId="6FB1169C">
            <w:pPr>
              <w:numPr>
                <w:ilvl w:val="0"/>
                <w:numId w:val="28"/>
              </w:numPr>
              <w:jc w:val="left"/>
              <w:rPr>
                <w:rFonts w:ascii="宋体" w:hAnsi="宋体" w:cs="宋体"/>
                <w:color w:val="000000"/>
                <w:sz w:val="18"/>
                <w:szCs w:val="18"/>
              </w:rPr>
            </w:pPr>
            <w:r>
              <w:rPr>
                <w:rFonts w:hint="eastAsia"/>
                <w:color w:val="000000"/>
                <w:sz w:val="18"/>
                <w:szCs w:val="18"/>
              </w:rPr>
              <w:t>灯珠寿命：≥50000小时</w:t>
            </w:r>
          </w:p>
          <w:p w14:paraId="5999EAF3">
            <w:pPr>
              <w:numPr>
                <w:ilvl w:val="0"/>
                <w:numId w:val="28"/>
              </w:numPr>
              <w:jc w:val="left"/>
              <w:rPr>
                <w:rFonts w:ascii="宋体" w:hAnsi="宋体" w:cs="宋体"/>
                <w:color w:val="000000"/>
                <w:sz w:val="18"/>
                <w:szCs w:val="18"/>
              </w:rPr>
            </w:pPr>
            <w:r>
              <w:rPr>
                <w:rFonts w:hint="eastAsia"/>
                <w:color w:val="000000"/>
                <w:sz w:val="18"/>
                <w:szCs w:val="18"/>
              </w:rPr>
              <w:t>额定功率：≥３00W</w:t>
            </w:r>
          </w:p>
          <w:p w14:paraId="5D0E01DE">
            <w:pPr>
              <w:numPr>
                <w:ilvl w:val="0"/>
                <w:numId w:val="28"/>
              </w:numPr>
              <w:jc w:val="left"/>
              <w:rPr>
                <w:rFonts w:ascii="宋体" w:hAnsi="宋体" w:cs="宋体"/>
                <w:color w:val="000000"/>
                <w:sz w:val="18"/>
                <w:szCs w:val="18"/>
              </w:rPr>
            </w:pPr>
            <w:r>
              <w:rPr>
                <w:rFonts w:hint="eastAsia"/>
                <w:color w:val="000000"/>
                <w:sz w:val="18"/>
                <w:szCs w:val="18"/>
              </w:rPr>
              <w:t xml:space="preserve">色温系统：3000K/4000K/5700K                                                                                                                                                                     </w:t>
            </w:r>
            <w:r>
              <w:rPr>
                <w:rFonts w:hint="eastAsia"/>
                <w:color w:val="000000"/>
                <w:sz w:val="18"/>
                <w:szCs w:val="18"/>
                <w:lang w:val="en-US" w:eastAsia="zh-CN"/>
              </w:rPr>
              <w:t>6、</w:t>
            </w:r>
            <w:r>
              <w:rPr>
                <w:rFonts w:hint="eastAsia"/>
                <w:color w:val="000000"/>
                <w:sz w:val="18"/>
                <w:szCs w:val="18"/>
              </w:rPr>
              <w:t xml:space="preserve">显色指数：CRI≥95超高亮度，可替代传统1000W的灯                                                                                                                                                                                                                                      </w:t>
            </w:r>
            <w:r>
              <w:rPr>
                <w:rFonts w:hint="eastAsia"/>
                <w:color w:val="000000"/>
                <w:sz w:val="18"/>
                <w:szCs w:val="18"/>
                <w:lang w:val="en-US" w:eastAsia="zh-CN"/>
              </w:rPr>
              <w:t>7、</w:t>
            </w:r>
            <w:r>
              <w:rPr>
                <w:rFonts w:hint="eastAsia"/>
                <w:color w:val="000000"/>
                <w:sz w:val="18"/>
                <w:szCs w:val="18"/>
              </w:rPr>
              <w:t>散热系统：加厚铝基板散热，风扇对流冷却散热</w:t>
            </w:r>
            <w:r>
              <w:rPr>
                <w:rFonts w:hint="eastAsia"/>
                <w:color w:val="000000"/>
                <w:sz w:val="18"/>
                <w:szCs w:val="18"/>
              </w:rPr>
              <w:br w:type="textWrapping"/>
            </w:r>
            <w:r>
              <w:rPr>
                <w:rFonts w:hint="eastAsia"/>
                <w:color w:val="000000"/>
                <w:sz w:val="18"/>
                <w:szCs w:val="18"/>
                <w:lang w:val="en-US" w:eastAsia="zh-CN"/>
              </w:rPr>
              <w:t>8、</w:t>
            </w:r>
            <w:r>
              <w:rPr>
                <w:rFonts w:hint="eastAsia"/>
                <w:color w:val="000000"/>
                <w:sz w:val="18"/>
                <w:szCs w:val="18"/>
              </w:rPr>
              <w:t>灯具材质：铝铸外壳新颖设计，流线型外观设计</w:t>
            </w:r>
          </w:p>
          <w:p w14:paraId="729238EE">
            <w:pPr>
              <w:numPr>
                <w:ilvl w:val="0"/>
                <w:numId w:val="21"/>
              </w:numPr>
              <w:ind w:left="0" w:leftChars="0" w:firstLine="0" w:firstLineChars="0"/>
              <w:jc w:val="left"/>
              <w:rPr>
                <w:rFonts w:hint="eastAsia"/>
                <w:color w:val="000000"/>
                <w:sz w:val="18"/>
                <w:szCs w:val="18"/>
              </w:rPr>
            </w:pPr>
            <w:r>
              <w:rPr>
                <w:rFonts w:hint="eastAsia"/>
                <w:color w:val="000000"/>
                <w:sz w:val="18"/>
                <w:szCs w:val="18"/>
              </w:rPr>
              <w:t>调光系统：0%-100%线性调光；1-25Hz/s 的频闪速度</w:t>
            </w:r>
            <w:r>
              <w:rPr>
                <w:rFonts w:hint="eastAsia"/>
                <w:color w:val="000000"/>
                <w:sz w:val="18"/>
                <w:szCs w:val="18"/>
              </w:rPr>
              <w:br w:type="textWrapping"/>
            </w:r>
            <w:r>
              <w:rPr>
                <w:rFonts w:hint="eastAsia"/>
                <w:color w:val="000000"/>
                <w:sz w:val="18"/>
                <w:szCs w:val="18"/>
              </w:rPr>
              <w:t xml:space="preserve">光学角度：≥60°  </w:t>
            </w:r>
            <w:r>
              <w:rPr>
                <w:rFonts w:hint="eastAsia"/>
                <w:color w:val="000000"/>
                <w:sz w:val="18"/>
                <w:szCs w:val="18"/>
              </w:rPr>
              <w:br w:type="textWrapping"/>
            </w:r>
            <w:r>
              <w:rPr>
                <w:rFonts w:hint="eastAsia"/>
                <w:color w:val="000000"/>
                <w:sz w:val="18"/>
                <w:szCs w:val="18"/>
                <w:lang w:val="en-US" w:eastAsia="zh-CN"/>
              </w:rPr>
              <w:t>10、</w:t>
            </w:r>
            <w:r>
              <w:rPr>
                <w:rFonts w:hint="eastAsia"/>
                <w:color w:val="000000"/>
                <w:sz w:val="18"/>
                <w:szCs w:val="18"/>
              </w:rPr>
              <w:t xml:space="preserve">工作环境：-20℃-40℃                                                                                                                                                                                                                                                                         </w:t>
            </w:r>
            <w:r>
              <w:rPr>
                <w:rFonts w:hint="eastAsia"/>
                <w:color w:val="000000"/>
                <w:sz w:val="18"/>
                <w:szCs w:val="18"/>
                <w:lang w:val="en-US" w:eastAsia="zh-CN"/>
              </w:rPr>
              <w:t>11、</w:t>
            </w:r>
            <w:r>
              <w:rPr>
                <w:rFonts w:hint="eastAsia"/>
                <w:color w:val="000000"/>
                <w:sz w:val="18"/>
                <w:szCs w:val="18"/>
              </w:rPr>
              <w:t xml:space="preserve">通道模式：6个通道                                                                                                                                                                                                                                                                                       </w:t>
            </w:r>
            <w:r>
              <w:rPr>
                <w:rFonts w:hint="eastAsia"/>
                <w:color w:val="000000"/>
                <w:sz w:val="18"/>
                <w:szCs w:val="18"/>
              </w:rPr>
              <w:br w:type="textWrapping"/>
            </w:r>
            <w:r>
              <w:rPr>
                <w:rFonts w:hint="eastAsia"/>
                <w:color w:val="000000"/>
                <w:sz w:val="18"/>
                <w:szCs w:val="18"/>
                <w:lang w:val="en-US" w:eastAsia="zh-CN"/>
              </w:rPr>
              <w:t>12、</w:t>
            </w:r>
            <w:r>
              <w:rPr>
                <w:rFonts w:hint="eastAsia"/>
                <w:color w:val="000000"/>
                <w:sz w:val="18"/>
                <w:szCs w:val="18"/>
              </w:rPr>
              <w:t>控制模式：DMX512/声控/自走/从主机模式/手动控制</w:t>
            </w:r>
          </w:p>
          <w:p w14:paraId="765DAAB3">
            <w:pPr>
              <w:numPr>
                <w:ilvl w:val="0"/>
                <w:numId w:val="0"/>
              </w:numPr>
              <w:ind w:leftChars="0"/>
              <w:jc w:val="left"/>
              <w:rPr>
                <w:rFonts w:ascii="宋体" w:hAnsi="宋体" w:cs="宋体"/>
                <w:color w:val="000000"/>
                <w:sz w:val="18"/>
                <w:szCs w:val="18"/>
              </w:rPr>
            </w:pPr>
            <w:r>
              <w:rPr>
                <w:rFonts w:hint="eastAsia"/>
                <w:color w:val="000000"/>
                <w:sz w:val="18"/>
                <w:szCs w:val="18"/>
                <w:lang w:val="en-US" w:eastAsia="zh-CN"/>
              </w:rPr>
              <w:t>13、</w:t>
            </w:r>
            <w:r>
              <w:rPr>
                <w:rFonts w:hint="eastAsia"/>
                <w:color w:val="000000"/>
                <w:sz w:val="18"/>
                <w:szCs w:val="18"/>
              </w:rPr>
              <w:t>防护等级：IP20</w:t>
            </w:r>
          </w:p>
        </w:tc>
      </w:tr>
      <w:tr w14:paraId="59CC3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5EF66C62">
            <w:pPr>
              <w:jc w:val="center"/>
              <w:rPr>
                <w:rFonts w:ascii="宋体" w:hAnsi="宋体" w:cs="宋体"/>
                <w:sz w:val="18"/>
                <w:szCs w:val="18"/>
              </w:rPr>
            </w:pPr>
          </w:p>
        </w:tc>
        <w:tc>
          <w:tcPr>
            <w:tcW w:w="436" w:type="pct"/>
            <w:vAlign w:val="center"/>
          </w:tcPr>
          <w:p w14:paraId="4E9BBD9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438" w:type="pct"/>
            <w:gridSpan w:val="2"/>
            <w:vAlign w:val="center"/>
          </w:tcPr>
          <w:p w14:paraId="7D4FB34C">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信号放大器</w:t>
            </w:r>
          </w:p>
        </w:tc>
        <w:tc>
          <w:tcPr>
            <w:tcW w:w="445" w:type="pct"/>
            <w:vAlign w:val="center"/>
          </w:tcPr>
          <w:p w14:paraId="50CDAA4C">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2进八出信号放大器</w:t>
            </w:r>
          </w:p>
        </w:tc>
        <w:tc>
          <w:tcPr>
            <w:tcW w:w="277" w:type="pct"/>
            <w:vAlign w:val="center"/>
          </w:tcPr>
          <w:p w14:paraId="3CED5AF7">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244" w:type="pct"/>
            <w:vAlign w:val="center"/>
          </w:tcPr>
          <w:p w14:paraId="6C9310B4">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4"/>
            <w:vAlign w:val="center"/>
          </w:tcPr>
          <w:p w14:paraId="7EC18DC5">
            <w:pPr>
              <w:numPr>
                <w:ilvl w:val="0"/>
                <w:numId w:val="29"/>
              </w:numPr>
              <w:rPr>
                <w:rFonts w:hint="eastAsia"/>
                <w:color w:val="000000"/>
                <w:sz w:val="18"/>
                <w:szCs w:val="18"/>
              </w:rPr>
            </w:pPr>
            <w:r>
              <w:rPr>
                <w:rFonts w:hint="eastAsia"/>
                <w:color w:val="000000"/>
                <w:sz w:val="18"/>
                <w:szCs w:val="18"/>
              </w:rPr>
              <w:t>输入电压：AC90V-240V 50HZ/60HZ</w:t>
            </w:r>
          </w:p>
          <w:p w14:paraId="0D4D32D2">
            <w:pPr>
              <w:numPr>
                <w:ilvl w:val="0"/>
                <w:numId w:val="29"/>
              </w:numPr>
              <w:rPr>
                <w:rFonts w:ascii="宋体" w:hAnsi="宋体" w:cs="宋体"/>
                <w:color w:val="000000"/>
                <w:sz w:val="18"/>
                <w:szCs w:val="18"/>
              </w:rPr>
            </w:pPr>
            <w:r>
              <w:rPr>
                <w:rFonts w:hint="eastAsia"/>
                <w:color w:val="000000"/>
                <w:sz w:val="18"/>
                <w:szCs w:val="18"/>
              </w:rPr>
              <w:t>每一路都是独立的变压器供电和八个光学隔离信号放大器来扩大DMX输出</w:t>
            </w:r>
          </w:p>
          <w:p w14:paraId="4CF1C8CC">
            <w:pPr>
              <w:numPr>
                <w:ilvl w:val="0"/>
                <w:numId w:val="29"/>
              </w:numPr>
              <w:rPr>
                <w:rFonts w:ascii="宋体" w:hAnsi="宋体" w:cs="宋体"/>
                <w:color w:val="000000"/>
                <w:sz w:val="18"/>
                <w:szCs w:val="18"/>
              </w:rPr>
            </w:pPr>
            <w:r>
              <w:rPr>
                <w:rFonts w:hint="eastAsia"/>
                <w:color w:val="000000"/>
                <w:sz w:val="18"/>
                <w:szCs w:val="18"/>
              </w:rPr>
              <w:t>放大功能可以令连接延长超过标准的DMX512长度</w:t>
            </w:r>
          </w:p>
          <w:p w14:paraId="192740BF">
            <w:pPr>
              <w:numPr>
                <w:ilvl w:val="0"/>
                <w:numId w:val="29"/>
              </w:numPr>
              <w:rPr>
                <w:rFonts w:ascii="宋体" w:hAnsi="宋体" w:cs="宋体"/>
                <w:color w:val="000000"/>
                <w:sz w:val="18"/>
                <w:szCs w:val="18"/>
              </w:rPr>
            </w:pPr>
            <w:r>
              <w:rPr>
                <w:rFonts w:hint="eastAsia"/>
                <w:color w:val="000000"/>
                <w:sz w:val="18"/>
                <w:szCs w:val="18"/>
              </w:rPr>
              <w:t>若需要额外的位置，可以在同一连接上使用多信号放大器</w:t>
            </w:r>
          </w:p>
          <w:p w14:paraId="42138C93">
            <w:pPr>
              <w:numPr>
                <w:ilvl w:val="0"/>
                <w:numId w:val="29"/>
              </w:numPr>
              <w:rPr>
                <w:rFonts w:ascii="宋体" w:hAnsi="宋体" w:cs="宋体"/>
                <w:color w:val="000000"/>
                <w:sz w:val="18"/>
                <w:szCs w:val="18"/>
              </w:rPr>
            </w:pPr>
            <w:r>
              <w:rPr>
                <w:rFonts w:hint="eastAsia"/>
                <w:color w:val="000000"/>
                <w:sz w:val="18"/>
                <w:szCs w:val="18"/>
              </w:rPr>
              <w:t>每个连接的位置可以独立地连接，最多可达≥32台灯具</w:t>
            </w:r>
          </w:p>
        </w:tc>
      </w:tr>
      <w:tr w14:paraId="70723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618D0E69">
            <w:pPr>
              <w:jc w:val="center"/>
              <w:rPr>
                <w:rFonts w:ascii="宋体" w:hAnsi="宋体" w:cs="宋体"/>
                <w:sz w:val="18"/>
                <w:szCs w:val="18"/>
              </w:rPr>
            </w:pPr>
          </w:p>
        </w:tc>
        <w:tc>
          <w:tcPr>
            <w:tcW w:w="436" w:type="pct"/>
            <w:vAlign w:val="center"/>
          </w:tcPr>
          <w:p w14:paraId="735AA1CA">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438" w:type="pct"/>
            <w:gridSpan w:val="2"/>
            <w:vAlign w:val="center"/>
          </w:tcPr>
          <w:p w14:paraId="628F61B6">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重烟机（仿干冰）</w:t>
            </w:r>
          </w:p>
        </w:tc>
        <w:tc>
          <w:tcPr>
            <w:tcW w:w="445" w:type="pct"/>
            <w:vAlign w:val="center"/>
          </w:tcPr>
          <w:p w14:paraId="024CD3E2">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湖边防水重烟机</w:t>
            </w:r>
          </w:p>
        </w:tc>
        <w:tc>
          <w:tcPr>
            <w:tcW w:w="277" w:type="pct"/>
            <w:vAlign w:val="center"/>
          </w:tcPr>
          <w:p w14:paraId="50DAF8B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244" w:type="pct"/>
            <w:vAlign w:val="center"/>
          </w:tcPr>
          <w:p w14:paraId="30E55D33">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4"/>
            <w:vAlign w:val="center"/>
          </w:tcPr>
          <w:p w14:paraId="5180F8E6">
            <w:pPr>
              <w:numPr>
                <w:ilvl w:val="0"/>
                <w:numId w:val="30"/>
              </w:numPr>
              <w:rPr>
                <w:rFonts w:hint="eastAsia"/>
                <w:color w:val="000000"/>
                <w:sz w:val="18"/>
                <w:szCs w:val="18"/>
              </w:rPr>
            </w:pPr>
            <w:r>
              <w:rPr>
                <w:rFonts w:hint="eastAsia"/>
                <w:color w:val="000000"/>
                <w:sz w:val="18"/>
                <w:szCs w:val="18"/>
              </w:rPr>
              <w:t>使用电压：AC 220V-240V,50/60Hz</w:t>
            </w:r>
          </w:p>
          <w:p w14:paraId="6438827B">
            <w:pPr>
              <w:numPr>
                <w:ilvl w:val="0"/>
                <w:numId w:val="30"/>
              </w:numPr>
              <w:rPr>
                <w:rFonts w:ascii="宋体" w:hAnsi="宋体" w:cs="宋体"/>
                <w:color w:val="000000"/>
                <w:sz w:val="18"/>
                <w:szCs w:val="18"/>
              </w:rPr>
            </w:pPr>
            <w:r>
              <w:rPr>
                <w:rFonts w:hint="eastAsia"/>
                <w:color w:val="000000"/>
                <w:sz w:val="18"/>
                <w:szCs w:val="18"/>
              </w:rPr>
              <w:t>限流保险：10A/250V</w:t>
            </w:r>
          </w:p>
          <w:p w14:paraId="6FE5746D">
            <w:pPr>
              <w:numPr>
                <w:ilvl w:val="0"/>
                <w:numId w:val="30"/>
              </w:numPr>
              <w:rPr>
                <w:rFonts w:ascii="宋体" w:hAnsi="宋体" w:cs="宋体"/>
                <w:color w:val="000000"/>
                <w:sz w:val="18"/>
                <w:szCs w:val="18"/>
              </w:rPr>
            </w:pPr>
            <w:r>
              <w:rPr>
                <w:rFonts w:hint="eastAsia"/>
                <w:color w:val="000000"/>
                <w:sz w:val="18"/>
                <w:szCs w:val="18"/>
              </w:rPr>
              <w:t>总功率：≥2000W</w:t>
            </w:r>
          </w:p>
          <w:p w14:paraId="08A6E2FB">
            <w:pPr>
              <w:numPr>
                <w:ilvl w:val="0"/>
                <w:numId w:val="30"/>
              </w:numPr>
              <w:rPr>
                <w:rFonts w:ascii="宋体" w:hAnsi="宋体" w:cs="宋体"/>
                <w:color w:val="000000"/>
                <w:sz w:val="18"/>
                <w:szCs w:val="18"/>
              </w:rPr>
            </w:pPr>
            <w:r>
              <w:rPr>
                <w:rFonts w:hint="eastAsia"/>
                <w:color w:val="000000"/>
                <w:sz w:val="18"/>
                <w:szCs w:val="18"/>
              </w:rPr>
              <w:t>预热时间：大约4-5 min</w:t>
            </w:r>
          </w:p>
          <w:p w14:paraId="346510F2">
            <w:pPr>
              <w:numPr>
                <w:ilvl w:val="0"/>
                <w:numId w:val="30"/>
              </w:numPr>
              <w:rPr>
                <w:rFonts w:ascii="宋体" w:hAnsi="宋体" w:cs="宋体"/>
                <w:color w:val="000000"/>
                <w:sz w:val="18"/>
                <w:szCs w:val="18"/>
              </w:rPr>
            </w:pPr>
            <w:r>
              <w:rPr>
                <w:rFonts w:hint="eastAsia"/>
                <w:color w:val="000000"/>
                <w:sz w:val="18"/>
                <w:szCs w:val="18"/>
              </w:rPr>
              <w:t>最大输出烟雾量：大约15000cuft/min</w:t>
            </w:r>
          </w:p>
          <w:p w14:paraId="2E8CC463">
            <w:pPr>
              <w:numPr>
                <w:ilvl w:val="0"/>
                <w:numId w:val="30"/>
              </w:numPr>
              <w:rPr>
                <w:rFonts w:ascii="宋体" w:hAnsi="宋体" w:cs="宋体"/>
                <w:color w:val="000000"/>
                <w:sz w:val="18"/>
                <w:szCs w:val="18"/>
              </w:rPr>
            </w:pPr>
            <w:r>
              <w:rPr>
                <w:rFonts w:hint="eastAsia"/>
                <w:color w:val="000000"/>
                <w:sz w:val="18"/>
                <w:szCs w:val="18"/>
              </w:rPr>
              <w:t>最大输出耗油量：大约29min/L</w:t>
            </w:r>
          </w:p>
          <w:p w14:paraId="50C05713">
            <w:pPr>
              <w:numPr>
                <w:ilvl w:val="0"/>
                <w:numId w:val="30"/>
              </w:numPr>
              <w:rPr>
                <w:rFonts w:ascii="宋体" w:hAnsi="宋体" w:cs="宋体"/>
                <w:color w:val="000000"/>
                <w:sz w:val="18"/>
                <w:szCs w:val="18"/>
              </w:rPr>
            </w:pPr>
            <w:r>
              <w:rPr>
                <w:rFonts w:hint="eastAsia"/>
                <w:color w:val="000000"/>
                <w:sz w:val="18"/>
                <w:szCs w:val="18"/>
              </w:rPr>
              <w:t>最大覆盖面积：大约300㎡</w:t>
            </w:r>
          </w:p>
          <w:p w14:paraId="5AA44A74">
            <w:pPr>
              <w:numPr>
                <w:ilvl w:val="0"/>
                <w:numId w:val="30"/>
              </w:numPr>
              <w:rPr>
                <w:rFonts w:ascii="宋体" w:hAnsi="宋体" w:cs="宋体"/>
                <w:color w:val="000000"/>
                <w:sz w:val="18"/>
                <w:szCs w:val="18"/>
              </w:rPr>
            </w:pPr>
            <w:r>
              <w:rPr>
                <w:rFonts w:hint="eastAsia"/>
                <w:color w:val="000000"/>
                <w:sz w:val="18"/>
                <w:szCs w:val="18"/>
              </w:rPr>
              <w:t>无线遥控器</w:t>
            </w:r>
          </w:p>
        </w:tc>
      </w:tr>
      <w:tr w14:paraId="7F030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36AC34A1">
            <w:pPr>
              <w:jc w:val="center"/>
              <w:rPr>
                <w:rFonts w:ascii="宋体" w:hAnsi="宋体" w:cs="宋体"/>
                <w:sz w:val="18"/>
                <w:szCs w:val="18"/>
              </w:rPr>
            </w:pPr>
          </w:p>
        </w:tc>
        <w:tc>
          <w:tcPr>
            <w:tcW w:w="436" w:type="pct"/>
            <w:vAlign w:val="center"/>
          </w:tcPr>
          <w:p w14:paraId="483E82E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438" w:type="pct"/>
            <w:gridSpan w:val="2"/>
            <w:vAlign w:val="center"/>
          </w:tcPr>
          <w:p w14:paraId="6BEA2046">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四周围照树帕灯向上9+向下9个</w:t>
            </w:r>
          </w:p>
        </w:tc>
        <w:tc>
          <w:tcPr>
            <w:tcW w:w="445" w:type="pct"/>
            <w:vAlign w:val="center"/>
          </w:tcPr>
          <w:p w14:paraId="41DCFE51">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54颗3W防水帕灯</w:t>
            </w:r>
          </w:p>
        </w:tc>
        <w:tc>
          <w:tcPr>
            <w:tcW w:w="277" w:type="pct"/>
            <w:vAlign w:val="center"/>
          </w:tcPr>
          <w:p w14:paraId="113F3317">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244" w:type="pct"/>
            <w:vAlign w:val="center"/>
          </w:tcPr>
          <w:p w14:paraId="05E38B05">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4"/>
            <w:vAlign w:val="center"/>
          </w:tcPr>
          <w:p w14:paraId="7EB0EA26">
            <w:pPr>
              <w:numPr>
                <w:ilvl w:val="0"/>
                <w:numId w:val="31"/>
              </w:numPr>
              <w:rPr>
                <w:rFonts w:hint="eastAsia"/>
                <w:color w:val="000000"/>
                <w:sz w:val="18"/>
                <w:szCs w:val="18"/>
              </w:rPr>
            </w:pPr>
            <w:r>
              <w:rPr>
                <w:rFonts w:hint="eastAsia"/>
                <w:color w:val="000000"/>
                <w:sz w:val="18"/>
                <w:szCs w:val="18"/>
              </w:rPr>
              <w:t>额定电压：AC100～240V 50/60Hz</w:t>
            </w:r>
          </w:p>
          <w:p w14:paraId="3D63AEE4">
            <w:pPr>
              <w:numPr>
                <w:ilvl w:val="0"/>
                <w:numId w:val="31"/>
              </w:numPr>
              <w:rPr>
                <w:rFonts w:ascii="宋体" w:hAnsi="宋体" w:cs="宋体"/>
                <w:color w:val="000000"/>
                <w:sz w:val="18"/>
                <w:szCs w:val="18"/>
              </w:rPr>
            </w:pPr>
            <w:r>
              <w:rPr>
                <w:rFonts w:hint="eastAsia"/>
                <w:color w:val="000000"/>
                <w:sz w:val="18"/>
                <w:szCs w:val="18"/>
              </w:rPr>
              <w:t>额定功率：≥160W</w:t>
            </w:r>
          </w:p>
          <w:p w14:paraId="59BEA17D">
            <w:pPr>
              <w:numPr>
                <w:ilvl w:val="0"/>
                <w:numId w:val="31"/>
              </w:numPr>
              <w:rPr>
                <w:rFonts w:ascii="宋体" w:hAnsi="宋体" w:cs="宋体"/>
                <w:color w:val="000000"/>
                <w:sz w:val="18"/>
                <w:szCs w:val="18"/>
              </w:rPr>
            </w:pPr>
            <w:r>
              <w:rPr>
                <w:rFonts w:hint="eastAsia"/>
                <w:color w:val="000000"/>
                <w:sz w:val="18"/>
                <w:szCs w:val="18"/>
              </w:rPr>
              <w:t>电源接口：三芯防水对接接头，一进一出，线长≥3米</w:t>
            </w:r>
          </w:p>
          <w:p w14:paraId="4D29EE87">
            <w:pPr>
              <w:numPr>
                <w:ilvl w:val="0"/>
                <w:numId w:val="31"/>
              </w:numPr>
              <w:rPr>
                <w:rFonts w:ascii="宋体" w:hAnsi="宋体" w:cs="宋体"/>
                <w:color w:val="000000"/>
                <w:sz w:val="18"/>
                <w:szCs w:val="18"/>
              </w:rPr>
            </w:pPr>
            <w:r>
              <w:rPr>
                <w:rFonts w:hint="eastAsia"/>
                <w:color w:val="000000"/>
                <w:sz w:val="18"/>
                <w:szCs w:val="18"/>
              </w:rPr>
              <w:t>信号接口：三芯防水对接接头，一进一出，线长≥3米</w:t>
            </w:r>
          </w:p>
          <w:p w14:paraId="396101E3">
            <w:pPr>
              <w:numPr>
                <w:ilvl w:val="0"/>
                <w:numId w:val="31"/>
              </w:numPr>
              <w:rPr>
                <w:rFonts w:ascii="宋体" w:hAnsi="宋体" w:cs="宋体"/>
                <w:color w:val="000000"/>
                <w:sz w:val="18"/>
                <w:szCs w:val="18"/>
              </w:rPr>
            </w:pPr>
            <w:r>
              <w:rPr>
                <w:rFonts w:hint="eastAsia"/>
                <w:color w:val="000000"/>
                <w:sz w:val="18"/>
                <w:szCs w:val="18"/>
              </w:rPr>
              <w:t>光   源：54颗3W R/G/B/W 四色 LED R：14颗G：14颗 B：14颗 W：12颗</w:t>
            </w:r>
          </w:p>
          <w:p w14:paraId="7B7FA14E">
            <w:pPr>
              <w:numPr>
                <w:ilvl w:val="0"/>
                <w:numId w:val="31"/>
              </w:numPr>
              <w:rPr>
                <w:rFonts w:ascii="宋体" w:hAnsi="宋体" w:cs="宋体"/>
                <w:color w:val="000000"/>
                <w:sz w:val="18"/>
                <w:szCs w:val="18"/>
              </w:rPr>
            </w:pPr>
            <w:r>
              <w:rPr>
                <w:rFonts w:hint="eastAsia"/>
                <w:color w:val="000000"/>
                <w:sz w:val="18"/>
                <w:szCs w:val="18"/>
              </w:rPr>
              <w:t>照   度：≥5米距离，光斑直径﹤1.5米，中心亮度≧2300LUX</w:t>
            </w:r>
          </w:p>
          <w:p w14:paraId="1807D10B">
            <w:pPr>
              <w:numPr>
                <w:ilvl w:val="0"/>
                <w:numId w:val="31"/>
              </w:numPr>
              <w:rPr>
                <w:rFonts w:ascii="宋体" w:hAnsi="宋体" w:cs="宋体"/>
                <w:color w:val="000000"/>
                <w:sz w:val="18"/>
                <w:szCs w:val="18"/>
              </w:rPr>
            </w:pPr>
            <w:r>
              <w:rPr>
                <w:rFonts w:hint="eastAsia"/>
                <w:color w:val="000000"/>
                <w:sz w:val="18"/>
                <w:szCs w:val="18"/>
              </w:rPr>
              <w:t>灯泡寿命：≧50000小时</w:t>
            </w:r>
          </w:p>
          <w:p w14:paraId="2A99E735">
            <w:pPr>
              <w:numPr>
                <w:ilvl w:val="0"/>
                <w:numId w:val="31"/>
              </w:numPr>
              <w:rPr>
                <w:rFonts w:ascii="宋体" w:hAnsi="宋体" w:cs="宋体"/>
                <w:color w:val="000000"/>
                <w:sz w:val="18"/>
                <w:szCs w:val="18"/>
              </w:rPr>
            </w:pPr>
            <w:r>
              <w:rPr>
                <w:rFonts w:hint="eastAsia"/>
                <w:color w:val="000000"/>
                <w:sz w:val="18"/>
                <w:szCs w:val="18"/>
              </w:rPr>
              <w:t>颜   色：均匀的RGBW混色系统和彩虹效果</w:t>
            </w:r>
          </w:p>
          <w:p w14:paraId="7446CF4C">
            <w:pPr>
              <w:numPr>
                <w:ilvl w:val="0"/>
                <w:numId w:val="31"/>
              </w:numPr>
              <w:rPr>
                <w:rFonts w:ascii="宋体" w:hAnsi="宋体" w:cs="宋体"/>
                <w:color w:val="000000"/>
                <w:sz w:val="18"/>
                <w:szCs w:val="18"/>
              </w:rPr>
            </w:pPr>
            <w:r>
              <w:rPr>
                <w:rFonts w:hint="eastAsia"/>
                <w:color w:val="000000"/>
                <w:sz w:val="18"/>
                <w:szCs w:val="18"/>
              </w:rPr>
              <w:t>控制模式：国际标准DMX512信号、声控、RDM、自走、主从</w:t>
            </w:r>
          </w:p>
          <w:p w14:paraId="299D7653">
            <w:pPr>
              <w:numPr>
                <w:ilvl w:val="0"/>
                <w:numId w:val="31"/>
              </w:numPr>
              <w:rPr>
                <w:rFonts w:ascii="宋体" w:hAnsi="宋体" w:cs="宋体"/>
                <w:color w:val="000000"/>
                <w:sz w:val="18"/>
                <w:szCs w:val="18"/>
              </w:rPr>
            </w:pPr>
            <w:r>
              <w:rPr>
                <w:rFonts w:hint="eastAsia"/>
                <w:color w:val="000000"/>
                <w:sz w:val="18"/>
                <w:szCs w:val="18"/>
              </w:rPr>
              <w:t>通道模式：1种DMX通道（9个国际标准DMX512通道）</w:t>
            </w:r>
            <w:r>
              <w:rPr>
                <w:rFonts w:hint="eastAsia"/>
                <w:color w:val="000000"/>
                <w:sz w:val="18"/>
                <w:szCs w:val="18"/>
              </w:rPr>
              <w:br w:type="textWrapping"/>
            </w:r>
            <w:r>
              <w:rPr>
                <w:rFonts w:hint="eastAsia"/>
                <w:color w:val="000000"/>
                <w:sz w:val="18"/>
                <w:szCs w:val="18"/>
              </w:rPr>
              <w:t>变焦范围：25°（45°，60°可选）</w:t>
            </w:r>
          </w:p>
          <w:p w14:paraId="1D7DE78B">
            <w:pPr>
              <w:numPr>
                <w:ilvl w:val="0"/>
                <w:numId w:val="31"/>
              </w:numPr>
              <w:rPr>
                <w:rFonts w:ascii="宋体" w:hAnsi="宋体" w:cs="宋体"/>
                <w:color w:val="000000"/>
                <w:sz w:val="18"/>
                <w:szCs w:val="18"/>
              </w:rPr>
            </w:pPr>
            <w:r>
              <w:rPr>
                <w:rFonts w:hint="eastAsia"/>
                <w:color w:val="000000"/>
                <w:sz w:val="18"/>
                <w:szCs w:val="18"/>
              </w:rPr>
              <w:t>频闪系统：独立电子频闪，频闪速度25次/秒，出色的频闪系统，速度可变</w:t>
            </w:r>
          </w:p>
          <w:p w14:paraId="0E6D2D58">
            <w:pPr>
              <w:numPr>
                <w:ilvl w:val="0"/>
                <w:numId w:val="31"/>
              </w:numPr>
              <w:rPr>
                <w:rFonts w:ascii="宋体" w:hAnsi="宋体" w:cs="宋体"/>
                <w:color w:val="000000"/>
                <w:sz w:val="18"/>
                <w:szCs w:val="18"/>
              </w:rPr>
            </w:pPr>
            <w:r>
              <w:rPr>
                <w:rFonts w:hint="eastAsia"/>
                <w:color w:val="000000"/>
                <w:sz w:val="18"/>
                <w:szCs w:val="18"/>
              </w:rPr>
              <w:t>调光系统：0-100%线性顺滑调光，65536级调光</w:t>
            </w:r>
          </w:p>
          <w:p w14:paraId="20A3D59E">
            <w:pPr>
              <w:numPr>
                <w:ilvl w:val="0"/>
                <w:numId w:val="31"/>
              </w:numPr>
              <w:rPr>
                <w:rFonts w:ascii="宋体" w:hAnsi="宋体" w:cs="宋体"/>
                <w:color w:val="000000"/>
                <w:sz w:val="18"/>
                <w:szCs w:val="18"/>
              </w:rPr>
            </w:pPr>
            <w:r>
              <w:rPr>
                <w:rFonts w:hint="eastAsia"/>
                <w:color w:val="000000"/>
                <w:sz w:val="18"/>
                <w:szCs w:val="18"/>
              </w:rPr>
              <w:t>显示系统：采用高灵敏度轻触按键替换常规机械式按键，手感细腻，同时也降低按键过程中产生的噪音</w:t>
            </w:r>
          </w:p>
          <w:p w14:paraId="6405982C">
            <w:pPr>
              <w:numPr>
                <w:ilvl w:val="0"/>
                <w:numId w:val="31"/>
              </w:numPr>
              <w:rPr>
                <w:rFonts w:ascii="宋体" w:hAnsi="宋体" w:cs="宋体"/>
                <w:color w:val="000000"/>
                <w:sz w:val="18"/>
                <w:szCs w:val="18"/>
              </w:rPr>
            </w:pPr>
            <w:r>
              <w:rPr>
                <w:rFonts w:hint="eastAsia"/>
                <w:color w:val="000000"/>
                <w:sz w:val="18"/>
                <w:szCs w:val="18"/>
              </w:rPr>
              <w:t>防护等级：IP20</w:t>
            </w:r>
          </w:p>
        </w:tc>
      </w:tr>
      <w:tr w14:paraId="35D0B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restart"/>
            <w:vAlign w:val="center"/>
          </w:tcPr>
          <w:p w14:paraId="2D4B0EBD">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兰舟舫</w:t>
            </w:r>
          </w:p>
        </w:tc>
        <w:tc>
          <w:tcPr>
            <w:tcW w:w="436" w:type="pct"/>
            <w:vAlign w:val="center"/>
          </w:tcPr>
          <w:p w14:paraId="461A3672">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438" w:type="pct"/>
            <w:gridSpan w:val="2"/>
            <w:vAlign w:val="center"/>
          </w:tcPr>
          <w:p w14:paraId="2B9752F8">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屋顶投光灯</w:t>
            </w:r>
          </w:p>
        </w:tc>
        <w:tc>
          <w:tcPr>
            <w:tcW w:w="445" w:type="pct"/>
            <w:vAlign w:val="center"/>
          </w:tcPr>
          <w:p w14:paraId="624C38B2">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200瓦投光灯</w:t>
            </w:r>
          </w:p>
        </w:tc>
        <w:tc>
          <w:tcPr>
            <w:tcW w:w="277" w:type="pct"/>
            <w:vAlign w:val="center"/>
          </w:tcPr>
          <w:p w14:paraId="0FC2240F">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244" w:type="pct"/>
            <w:vAlign w:val="center"/>
          </w:tcPr>
          <w:p w14:paraId="7B9E750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4"/>
            <w:vAlign w:val="center"/>
          </w:tcPr>
          <w:p w14:paraId="05F958BA">
            <w:pPr>
              <w:numPr>
                <w:ilvl w:val="0"/>
                <w:numId w:val="32"/>
              </w:numPr>
              <w:rPr>
                <w:rFonts w:hint="eastAsia"/>
                <w:color w:val="000000"/>
                <w:sz w:val="18"/>
                <w:szCs w:val="18"/>
              </w:rPr>
            </w:pPr>
            <w:r>
              <w:rPr>
                <w:rFonts w:hint="eastAsia"/>
                <w:color w:val="000000"/>
                <w:sz w:val="18"/>
                <w:szCs w:val="18"/>
              </w:rPr>
              <w:t>输入电压:AC100-240V，50-60HZ</w:t>
            </w:r>
          </w:p>
          <w:p w14:paraId="0F7556C9">
            <w:pPr>
              <w:numPr>
                <w:ilvl w:val="0"/>
                <w:numId w:val="32"/>
              </w:numPr>
              <w:rPr>
                <w:rFonts w:ascii="宋体" w:hAnsi="宋体" w:cs="宋体"/>
                <w:color w:val="000000"/>
                <w:sz w:val="18"/>
                <w:szCs w:val="18"/>
              </w:rPr>
            </w:pPr>
            <w:r>
              <w:rPr>
                <w:rFonts w:hint="eastAsia"/>
                <w:color w:val="000000"/>
                <w:sz w:val="18"/>
                <w:szCs w:val="18"/>
              </w:rPr>
              <w:t>额定功率:60W</w:t>
            </w:r>
          </w:p>
          <w:p w14:paraId="0166F9AB">
            <w:pPr>
              <w:numPr>
                <w:ilvl w:val="0"/>
                <w:numId w:val="32"/>
              </w:numPr>
              <w:rPr>
                <w:rFonts w:ascii="宋体" w:hAnsi="宋体" w:cs="宋体"/>
                <w:color w:val="000000"/>
                <w:sz w:val="18"/>
                <w:szCs w:val="18"/>
              </w:rPr>
            </w:pPr>
            <w:r>
              <w:rPr>
                <w:rFonts w:hint="eastAsia"/>
                <w:color w:val="000000"/>
                <w:sz w:val="18"/>
                <w:szCs w:val="18"/>
              </w:rPr>
              <w:t>LED 光源:3颗20W RGBW</w:t>
            </w:r>
          </w:p>
          <w:p w14:paraId="6EC6C300">
            <w:pPr>
              <w:numPr>
                <w:ilvl w:val="0"/>
                <w:numId w:val="32"/>
              </w:numPr>
              <w:rPr>
                <w:rFonts w:ascii="宋体" w:hAnsi="宋体" w:cs="宋体"/>
                <w:color w:val="000000"/>
                <w:sz w:val="18"/>
                <w:szCs w:val="18"/>
              </w:rPr>
            </w:pPr>
            <w:r>
              <w:rPr>
                <w:rFonts w:hint="eastAsia"/>
                <w:color w:val="000000"/>
                <w:sz w:val="18"/>
                <w:szCs w:val="18"/>
              </w:rPr>
              <w:t>色温:2000K-10000K</w:t>
            </w:r>
          </w:p>
          <w:p w14:paraId="41B7644B">
            <w:pPr>
              <w:numPr>
                <w:ilvl w:val="0"/>
                <w:numId w:val="32"/>
              </w:numPr>
              <w:rPr>
                <w:rFonts w:ascii="宋体" w:hAnsi="宋体" w:cs="宋体"/>
                <w:color w:val="000000"/>
                <w:sz w:val="18"/>
                <w:szCs w:val="18"/>
              </w:rPr>
            </w:pPr>
            <w:r>
              <w:rPr>
                <w:rFonts w:hint="eastAsia"/>
                <w:color w:val="000000"/>
                <w:sz w:val="18"/>
                <w:szCs w:val="18"/>
              </w:rPr>
              <w:t>灯珠寿命:&gt;20000h</w:t>
            </w:r>
          </w:p>
          <w:p w14:paraId="324C9CF4">
            <w:pPr>
              <w:numPr>
                <w:ilvl w:val="0"/>
                <w:numId w:val="32"/>
              </w:numPr>
              <w:rPr>
                <w:rFonts w:ascii="宋体" w:hAnsi="宋体" w:cs="宋体"/>
                <w:color w:val="000000"/>
                <w:sz w:val="18"/>
                <w:szCs w:val="18"/>
              </w:rPr>
            </w:pPr>
            <w:r>
              <w:rPr>
                <w:rFonts w:hint="eastAsia"/>
                <w:color w:val="000000"/>
                <w:sz w:val="18"/>
                <w:szCs w:val="18"/>
              </w:rPr>
              <w:t>通道数量:标准9CH</w:t>
            </w:r>
          </w:p>
          <w:p w14:paraId="0DFBAC2A">
            <w:pPr>
              <w:numPr>
                <w:ilvl w:val="0"/>
                <w:numId w:val="32"/>
              </w:numPr>
              <w:rPr>
                <w:rFonts w:ascii="宋体" w:hAnsi="宋体" w:cs="宋体"/>
                <w:color w:val="000000"/>
                <w:sz w:val="18"/>
                <w:szCs w:val="18"/>
              </w:rPr>
            </w:pPr>
            <w:r>
              <w:rPr>
                <w:rFonts w:hint="eastAsia"/>
                <w:color w:val="000000"/>
                <w:sz w:val="18"/>
                <w:szCs w:val="18"/>
              </w:rPr>
              <w:t>控制模式:标准DMX512、3芯接口，自走、主从</w:t>
            </w:r>
          </w:p>
        </w:tc>
      </w:tr>
      <w:tr w14:paraId="27F7C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4AE04D43">
            <w:pPr>
              <w:jc w:val="center"/>
              <w:rPr>
                <w:rFonts w:ascii="宋体" w:hAnsi="宋体" w:cs="宋体"/>
                <w:sz w:val="18"/>
                <w:szCs w:val="18"/>
              </w:rPr>
            </w:pPr>
          </w:p>
        </w:tc>
        <w:tc>
          <w:tcPr>
            <w:tcW w:w="436" w:type="pct"/>
            <w:vAlign w:val="center"/>
          </w:tcPr>
          <w:p w14:paraId="2C86ABDC">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438" w:type="pct"/>
            <w:gridSpan w:val="2"/>
            <w:vAlign w:val="center"/>
          </w:tcPr>
          <w:p w14:paraId="273E0920">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柱子灯外柱</w:t>
            </w:r>
          </w:p>
        </w:tc>
        <w:tc>
          <w:tcPr>
            <w:tcW w:w="445" w:type="pct"/>
            <w:vAlign w:val="center"/>
          </w:tcPr>
          <w:p w14:paraId="31AE00B6">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12W柱子灯</w:t>
            </w:r>
          </w:p>
        </w:tc>
        <w:tc>
          <w:tcPr>
            <w:tcW w:w="277" w:type="pct"/>
            <w:vAlign w:val="center"/>
          </w:tcPr>
          <w:p w14:paraId="6D1B2123">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17</w:t>
            </w:r>
          </w:p>
        </w:tc>
        <w:tc>
          <w:tcPr>
            <w:tcW w:w="244" w:type="pct"/>
            <w:vAlign w:val="center"/>
          </w:tcPr>
          <w:p w14:paraId="3FE16828">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4"/>
            <w:vAlign w:val="center"/>
          </w:tcPr>
          <w:p w14:paraId="3CDD6ABD">
            <w:pPr>
              <w:rPr>
                <w:rFonts w:hint="eastAsia"/>
                <w:color w:val="000000"/>
                <w:sz w:val="18"/>
                <w:szCs w:val="18"/>
              </w:rPr>
            </w:pPr>
            <w:r>
              <w:rPr>
                <w:rFonts w:hint="eastAsia"/>
                <w:color w:val="000000"/>
                <w:sz w:val="18"/>
                <w:szCs w:val="18"/>
                <w:lang w:val="en-US" w:eastAsia="zh-CN"/>
              </w:rPr>
              <w:t>1、</w:t>
            </w:r>
            <w:r>
              <w:rPr>
                <w:rFonts w:hint="eastAsia"/>
                <w:color w:val="000000"/>
                <w:sz w:val="18"/>
                <w:szCs w:val="18"/>
              </w:rPr>
              <w:t>产品尺寸:直径≥42MM</w:t>
            </w:r>
          </w:p>
          <w:p w14:paraId="7B60D11F">
            <w:pPr>
              <w:rPr>
                <w:rFonts w:hint="eastAsia"/>
                <w:color w:val="000000"/>
                <w:sz w:val="18"/>
                <w:szCs w:val="18"/>
              </w:rPr>
            </w:pPr>
            <w:r>
              <w:rPr>
                <w:rFonts w:hint="eastAsia"/>
                <w:color w:val="000000"/>
                <w:sz w:val="18"/>
                <w:szCs w:val="18"/>
                <w:lang w:val="en-US" w:eastAsia="zh-CN"/>
              </w:rPr>
              <w:t>2、</w:t>
            </w:r>
            <w:r>
              <w:rPr>
                <w:rFonts w:hint="eastAsia"/>
                <w:color w:val="000000"/>
                <w:sz w:val="18"/>
                <w:szCs w:val="18"/>
              </w:rPr>
              <w:t>灯体长度≥74MM</w:t>
            </w:r>
          </w:p>
          <w:p w14:paraId="1DB4B783">
            <w:pPr>
              <w:rPr>
                <w:rFonts w:hint="eastAsia"/>
                <w:color w:val="000000"/>
                <w:sz w:val="18"/>
                <w:szCs w:val="18"/>
              </w:rPr>
            </w:pPr>
            <w:r>
              <w:rPr>
                <w:rFonts w:hint="eastAsia"/>
                <w:color w:val="000000"/>
                <w:sz w:val="18"/>
                <w:szCs w:val="18"/>
                <w:lang w:val="en-US" w:eastAsia="zh-CN"/>
              </w:rPr>
              <w:t>3、</w:t>
            </w:r>
            <w:r>
              <w:rPr>
                <w:rFonts w:hint="eastAsia"/>
                <w:color w:val="000000"/>
                <w:sz w:val="18"/>
                <w:szCs w:val="18"/>
              </w:rPr>
              <w:t>输入电压:DC12-24V</w:t>
            </w:r>
          </w:p>
          <w:p w14:paraId="74A7FC7D">
            <w:pPr>
              <w:rPr>
                <w:rFonts w:hint="eastAsia"/>
                <w:color w:val="000000"/>
                <w:sz w:val="18"/>
                <w:szCs w:val="18"/>
              </w:rPr>
            </w:pPr>
            <w:r>
              <w:rPr>
                <w:rFonts w:hint="eastAsia"/>
                <w:color w:val="000000"/>
                <w:sz w:val="18"/>
                <w:szCs w:val="18"/>
                <w:lang w:val="en-US" w:eastAsia="zh-CN"/>
              </w:rPr>
              <w:t>4、</w:t>
            </w:r>
            <w:r>
              <w:rPr>
                <w:rFonts w:hint="eastAsia"/>
                <w:color w:val="000000"/>
                <w:sz w:val="18"/>
                <w:szCs w:val="18"/>
              </w:rPr>
              <w:t>产品材质:加厚铝材</w:t>
            </w:r>
          </w:p>
          <w:p w14:paraId="28F20951">
            <w:pPr>
              <w:rPr>
                <w:rFonts w:hint="eastAsia"/>
                <w:color w:val="000000"/>
                <w:sz w:val="18"/>
                <w:szCs w:val="18"/>
              </w:rPr>
            </w:pPr>
            <w:r>
              <w:rPr>
                <w:rFonts w:hint="eastAsia"/>
                <w:color w:val="000000"/>
                <w:sz w:val="18"/>
                <w:szCs w:val="18"/>
                <w:lang w:val="en-US" w:eastAsia="zh-CN"/>
              </w:rPr>
              <w:t>5、</w:t>
            </w:r>
            <w:r>
              <w:rPr>
                <w:rFonts w:hint="eastAsia"/>
                <w:color w:val="000000"/>
                <w:sz w:val="18"/>
                <w:szCs w:val="18"/>
              </w:rPr>
              <w:t>产品功率:≥１２W</w:t>
            </w:r>
          </w:p>
          <w:p w14:paraId="7789E649">
            <w:pPr>
              <w:rPr>
                <w:rFonts w:ascii="宋体" w:hAnsi="宋体" w:cs="宋体"/>
                <w:color w:val="000000"/>
                <w:sz w:val="18"/>
                <w:szCs w:val="18"/>
              </w:rPr>
            </w:pPr>
            <w:r>
              <w:rPr>
                <w:rFonts w:hint="eastAsia"/>
                <w:color w:val="000000"/>
                <w:sz w:val="18"/>
                <w:szCs w:val="18"/>
                <w:lang w:val="en-US" w:eastAsia="zh-CN"/>
              </w:rPr>
              <w:t>6、</w:t>
            </w:r>
            <w:r>
              <w:rPr>
                <w:rFonts w:hint="eastAsia"/>
                <w:color w:val="000000"/>
                <w:sz w:val="18"/>
                <w:szCs w:val="18"/>
              </w:rPr>
              <w:t>防护等级:IP67</w:t>
            </w:r>
          </w:p>
        </w:tc>
      </w:tr>
      <w:tr w14:paraId="3FF52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7BF4DDFC">
            <w:pPr>
              <w:jc w:val="center"/>
              <w:rPr>
                <w:rFonts w:ascii="宋体" w:hAnsi="宋体" w:cs="宋体"/>
                <w:sz w:val="18"/>
                <w:szCs w:val="18"/>
              </w:rPr>
            </w:pPr>
          </w:p>
        </w:tc>
        <w:tc>
          <w:tcPr>
            <w:tcW w:w="436" w:type="pct"/>
            <w:vAlign w:val="center"/>
          </w:tcPr>
          <w:p w14:paraId="11DCC6C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438" w:type="pct"/>
            <w:gridSpan w:val="2"/>
            <w:vAlign w:val="center"/>
          </w:tcPr>
          <w:p w14:paraId="33CF2F22">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通道灯</w:t>
            </w:r>
          </w:p>
        </w:tc>
        <w:tc>
          <w:tcPr>
            <w:tcW w:w="445" w:type="pct"/>
            <w:vAlign w:val="center"/>
          </w:tcPr>
          <w:p w14:paraId="5E650EDF">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10W防水</w:t>
            </w:r>
          </w:p>
        </w:tc>
        <w:tc>
          <w:tcPr>
            <w:tcW w:w="277" w:type="pct"/>
            <w:vAlign w:val="center"/>
          </w:tcPr>
          <w:p w14:paraId="0F5A0EC8">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12</w:t>
            </w:r>
          </w:p>
        </w:tc>
        <w:tc>
          <w:tcPr>
            <w:tcW w:w="244" w:type="pct"/>
            <w:vAlign w:val="center"/>
          </w:tcPr>
          <w:p w14:paraId="5CF3DFC5">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2801" w:type="pct"/>
            <w:gridSpan w:val="4"/>
            <w:vAlign w:val="center"/>
          </w:tcPr>
          <w:p w14:paraId="40CBC324">
            <w:pPr>
              <w:numPr>
                <w:ilvl w:val="0"/>
                <w:numId w:val="33"/>
              </w:numPr>
              <w:rPr>
                <w:rFonts w:hint="eastAsia"/>
              </w:rPr>
            </w:pPr>
            <w:r>
              <w:rPr>
                <w:rFonts w:hint="eastAsia"/>
                <w:color w:val="000000"/>
                <w:sz w:val="18"/>
                <w:szCs w:val="18"/>
              </w:rPr>
              <w:t>额定电压：AC100～240V 50/60Hz</w:t>
            </w:r>
          </w:p>
          <w:p w14:paraId="610CD558">
            <w:pPr>
              <w:numPr>
                <w:ilvl w:val="0"/>
                <w:numId w:val="33"/>
              </w:numPr>
              <w:ind w:left="0" w:leftChars="0" w:firstLine="0" w:firstLineChars="0"/>
              <w:rPr>
                <w:rFonts w:hint="eastAsia"/>
                <w:color w:val="000000"/>
                <w:sz w:val="18"/>
                <w:szCs w:val="18"/>
              </w:rPr>
            </w:pPr>
            <w:r>
              <w:rPr>
                <w:rFonts w:hint="eastAsia"/>
                <w:color w:val="000000"/>
                <w:sz w:val="18"/>
                <w:szCs w:val="18"/>
              </w:rPr>
              <w:t>额定功率：≥10W</w:t>
            </w:r>
          </w:p>
          <w:p w14:paraId="791C78BD">
            <w:pPr>
              <w:numPr>
                <w:ilvl w:val="0"/>
                <w:numId w:val="33"/>
              </w:numPr>
              <w:ind w:left="0" w:leftChars="0" w:firstLine="0" w:firstLineChars="0"/>
              <w:rPr>
                <w:rFonts w:hint="eastAsia"/>
                <w:color w:val="000000"/>
                <w:sz w:val="18"/>
                <w:szCs w:val="18"/>
              </w:rPr>
            </w:pPr>
            <w:r>
              <w:rPr>
                <w:rFonts w:hint="eastAsia"/>
                <w:color w:val="000000"/>
                <w:sz w:val="18"/>
                <w:szCs w:val="18"/>
              </w:rPr>
              <w:t>灯泡寿命：≧20000小时</w:t>
            </w:r>
          </w:p>
          <w:p w14:paraId="16E89BAD">
            <w:pPr>
              <w:numPr>
                <w:ilvl w:val="0"/>
                <w:numId w:val="33"/>
              </w:numPr>
              <w:ind w:left="0" w:leftChars="0" w:firstLine="0" w:firstLineChars="0"/>
              <w:rPr>
                <w:rFonts w:ascii="宋体" w:hAnsi="宋体" w:cs="宋体"/>
                <w:color w:val="000000"/>
                <w:sz w:val="18"/>
                <w:szCs w:val="18"/>
              </w:rPr>
            </w:pPr>
            <w:r>
              <w:rPr>
                <w:rFonts w:hint="eastAsia"/>
                <w:color w:val="000000"/>
                <w:sz w:val="18"/>
                <w:szCs w:val="18"/>
              </w:rPr>
              <w:t>颜   色：暖光效果</w:t>
            </w:r>
          </w:p>
        </w:tc>
      </w:tr>
      <w:tr w14:paraId="23A8C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50517441">
            <w:pPr>
              <w:jc w:val="center"/>
              <w:rPr>
                <w:rFonts w:ascii="宋体" w:hAnsi="宋体" w:cs="宋体"/>
                <w:sz w:val="18"/>
                <w:szCs w:val="18"/>
              </w:rPr>
            </w:pPr>
          </w:p>
        </w:tc>
        <w:tc>
          <w:tcPr>
            <w:tcW w:w="436" w:type="pct"/>
            <w:vAlign w:val="center"/>
          </w:tcPr>
          <w:p w14:paraId="32FE0404">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438" w:type="pct"/>
            <w:gridSpan w:val="2"/>
            <w:vAlign w:val="center"/>
          </w:tcPr>
          <w:p w14:paraId="3949F395">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变焦帕灯</w:t>
            </w:r>
          </w:p>
        </w:tc>
        <w:tc>
          <w:tcPr>
            <w:tcW w:w="445" w:type="pct"/>
            <w:vAlign w:val="center"/>
          </w:tcPr>
          <w:p w14:paraId="47CDBB64">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全彩84颗8W</w:t>
            </w:r>
          </w:p>
        </w:tc>
        <w:tc>
          <w:tcPr>
            <w:tcW w:w="277" w:type="pct"/>
            <w:vAlign w:val="center"/>
          </w:tcPr>
          <w:p w14:paraId="23ABBB44">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244" w:type="pct"/>
            <w:vAlign w:val="center"/>
          </w:tcPr>
          <w:p w14:paraId="17014F5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4"/>
            <w:vAlign w:val="center"/>
          </w:tcPr>
          <w:p w14:paraId="292E59A8">
            <w:pPr>
              <w:rPr>
                <w:rFonts w:ascii="宋体" w:hAnsi="宋体" w:cs="宋体"/>
                <w:color w:val="000000"/>
                <w:sz w:val="18"/>
                <w:szCs w:val="18"/>
              </w:rPr>
            </w:pPr>
            <w:r>
              <w:rPr>
                <w:rFonts w:hint="eastAsia"/>
                <w:color w:val="000000"/>
                <w:sz w:val="18"/>
                <w:szCs w:val="18"/>
                <w:lang w:val="en-US" w:eastAsia="zh-CN"/>
              </w:rPr>
              <w:t>1.</w:t>
            </w:r>
            <w:r>
              <w:rPr>
                <w:rFonts w:hint="eastAsia"/>
                <w:color w:val="000000"/>
                <w:sz w:val="18"/>
                <w:szCs w:val="18"/>
              </w:rPr>
              <w:t>额定电压：AC100-240V~ 50/60Hz</w:t>
            </w:r>
            <w:r>
              <w:rPr>
                <w:rFonts w:hint="eastAsia"/>
                <w:color w:val="000000"/>
                <w:sz w:val="18"/>
                <w:szCs w:val="18"/>
              </w:rPr>
              <w:br w:type="textWrapping"/>
            </w:r>
            <w:r>
              <w:rPr>
                <w:rFonts w:hint="eastAsia"/>
                <w:color w:val="000000"/>
                <w:sz w:val="18"/>
                <w:szCs w:val="18"/>
                <w:lang w:val="en-US" w:eastAsia="zh-CN"/>
              </w:rPr>
              <w:t>2.</w:t>
            </w:r>
            <w:r>
              <w:rPr>
                <w:rFonts w:hint="eastAsia"/>
                <w:color w:val="000000"/>
                <w:sz w:val="18"/>
                <w:szCs w:val="18"/>
              </w:rPr>
              <w:t>额定功率：≥200W</w:t>
            </w:r>
            <w:r>
              <w:rPr>
                <w:rFonts w:hint="eastAsia"/>
                <w:color w:val="000000"/>
                <w:sz w:val="18"/>
                <w:szCs w:val="18"/>
              </w:rPr>
              <w:br w:type="textWrapping"/>
            </w:r>
            <w:r>
              <w:rPr>
                <w:rFonts w:hint="eastAsia"/>
                <w:color w:val="000000"/>
                <w:sz w:val="18"/>
                <w:szCs w:val="18"/>
                <w:lang w:val="en-US" w:eastAsia="zh-CN"/>
              </w:rPr>
              <w:t>3.</w:t>
            </w:r>
            <w:r>
              <w:rPr>
                <w:rFonts w:hint="eastAsia"/>
                <w:color w:val="000000"/>
                <w:sz w:val="18"/>
                <w:szCs w:val="18"/>
              </w:rPr>
              <w:t>电源接口：灯具自带 2.5 平方三芯防水对接插头，一进一出，线长≥3米</w:t>
            </w:r>
            <w:r>
              <w:rPr>
                <w:rFonts w:hint="eastAsia"/>
                <w:color w:val="000000"/>
                <w:sz w:val="18"/>
                <w:szCs w:val="18"/>
              </w:rPr>
              <w:br w:type="textWrapping"/>
            </w:r>
            <w:r>
              <w:rPr>
                <w:rFonts w:hint="eastAsia"/>
                <w:color w:val="000000"/>
                <w:sz w:val="18"/>
                <w:szCs w:val="18"/>
                <w:lang w:val="en-US" w:eastAsia="zh-CN"/>
              </w:rPr>
              <w:t>4.</w:t>
            </w:r>
            <w:r>
              <w:rPr>
                <w:rFonts w:hint="eastAsia"/>
                <w:color w:val="000000"/>
                <w:sz w:val="18"/>
                <w:szCs w:val="18"/>
              </w:rPr>
              <w:t>信号接口：灯具自带 0.75 平方三芯防水对接插头，一进一出，线长≥3米</w:t>
            </w:r>
            <w:r>
              <w:rPr>
                <w:rFonts w:hint="eastAsia"/>
                <w:color w:val="000000"/>
                <w:sz w:val="18"/>
                <w:szCs w:val="18"/>
              </w:rPr>
              <w:br w:type="textWrapping"/>
            </w:r>
            <w:r>
              <w:rPr>
                <w:rFonts w:hint="eastAsia"/>
                <w:color w:val="000000"/>
                <w:sz w:val="18"/>
                <w:szCs w:val="18"/>
                <w:lang w:val="en-US" w:eastAsia="zh-CN"/>
              </w:rPr>
              <w:t>5.</w:t>
            </w:r>
            <w:r>
              <w:rPr>
                <w:rFonts w:hint="eastAsia"/>
                <w:color w:val="000000"/>
                <w:sz w:val="18"/>
                <w:szCs w:val="18"/>
              </w:rPr>
              <w:t>光    源：84 颗 7W 三合一 RGB LED</w:t>
            </w:r>
            <w:r>
              <w:rPr>
                <w:rFonts w:hint="eastAsia"/>
                <w:color w:val="000000"/>
                <w:sz w:val="18"/>
                <w:szCs w:val="18"/>
              </w:rPr>
              <w:br w:type="textWrapping"/>
            </w:r>
            <w:r>
              <w:rPr>
                <w:rFonts w:hint="eastAsia"/>
                <w:color w:val="000000"/>
                <w:sz w:val="18"/>
                <w:szCs w:val="18"/>
                <w:lang w:val="en-US" w:eastAsia="zh-CN"/>
              </w:rPr>
              <w:t>6.</w:t>
            </w:r>
            <w:r>
              <w:rPr>
                <w:rFonts w:hint="eastAsia"/>
                <w:color w:val="000000"/>
                <w:sz w:val="18"/>
                <w:szCs w:val="18"/>
              </w:rPr>
              <w:t>灯泡寿命：≥50000 小时</w:t>
            </w:r>
            <w:r>
              <w:rPr>
                <w:rFonts w:hint="eastAsia"/>
                <w:color w:val="000000"/>
                <w:sz w:val="18"/>
                <w:szCs w:val="18"/>
              </w:rPr>
              <w:br w:type="textWrapping"/>
            </w:r>
            <w:r>
              <w:rPr>
                <w:rFonts w:hint="eastAsia"/>
                <w:color w:val="000000"/>
                <w:sz w:val="18"/>
                <w:szCs w:val="18"/>
                <w:lang w:val="en-US" w:eastAsia="zh-CN"/>
              </w:rPr>
              <w:t>7.</w:t>
            </w:r>
            <w:r>
              <w:rPr>
                <w:rFonts w:hint="eastAsia"/>
                <w:color w:val="000000"/>
                <w:sz w:val="18"/>
                <w:szCs w:val="18"/>
              </w:rPr>
              <w:t>颜    色：均匀的 RGB 混色系统</w:t>
            </w:r>
            <w:r>
              <w:rPr>
                <w:rFonts w:hint="eastAsia"/>
                <w:color w:val="000000"/>
                <w:sz w:val="18"/>
                <w:szCs w:val="18"/>
              </w:rPr>
              <w:br w:type="textWrapping"/>
            </w:r>
            <w:r>
              <w:rPr>
                <w:rFonts w:hint="eastAsia"/>
                <w:color w:val="000000"/>
                <w:sz w:val="18"/>
                <w:szCs w:val="18"/>
                <w:lang w:val="en-US" w:eastAsia="zh-CN"/>
              </w:rPr>
              <w:t>8.</w:t>
            </w:r>
            <w:r>
              <w:rPr>
                <w:rFonts w:hint="eastAsia"/>
                <w:color w:val="000000"/>
                <w:sz w:val="18"/>
                <w:szCs w:val="18"/>
              </w:rPr>
              <w:t>控制方式：国际标准 DMX512 信号、声控、自走、主从</w:t>
            </w:r>
            <w:r>
              <w:rPr>
                <w:rFonts w:hint="eastAsia"/>
                <w:color w:val="000000"/>
                <w:sz w:val="18"/>
                <w:szCs w:val="18"/>
              </w:rPr>
              <w:br w:type="textWrapping"/>
            </w:r>
            <w:r>
              <w:rPr>
                <w:rFonts w:hint="eastAsia"/>
                <w:color w:val="000000"/>
                <w:sz w:val="18"/>
                <w:szCs w:val="18"/>
                <w:lang w:val="en-US" w:eastAsia="zh-CN"/>
              </w:rPr>
              <w:t>9.</w:t>
            </w:r>
            <w:r>
              <w:rPr>
                <w:rFonts w:hint="eastAsia"/>
                <w:color w:val="000000"/>
                <w:sz w:val="18"/>
                <w:szCs w:val="18"/>
              </w:rPr>
              <w:t>通道模式：8CH</w:t>
            </w:r>
            <w:r>
              <w:rPr>
                <w:rFonts w:hint="eastAsia"/>
                <w:color w:val="000000"/>
                <w:sz w:val="18"/>
                <w:szCs w:val="18"/>
              </w:rPr>
              <w:br w:type="textWrapping"/>
            </w:r>
            <w:r>
              <w:rPr>
                <w:rFonts w:hint="eastAsia"/>
                <w:color w:val="000000"/>
                <w:sz w:val="18"/>
                <w:szCs w:val="18"/>
                <w:lang w:val="en-US" w:eastAsia="zh-CN"/>
              </w:rPr>
              <w:t>10.</w:t>
            </w:r>
            <w:r>
              <w:rPr>
                <w:rFonts w:hint="eastAsia"/>
                <w:color w:val="000000"/>
                <w:sz w:val="18"/>
                <w:szCs w:val="18"/>
              </w:rPr>
              <w:t>变焦范围：≥25°</w:t>
            </w:r>
            <w:r>
              <w:rPr>
                <w:rFonts w:hint="eastAsia"/>
                <w:color w:val="000000"/>
                <w:sz w:val="18"/>
                <w:szCs w:val="18"/>
              </w:rPr>
              <w:br w:type="textWrapping"/>
            </w:r>
            <w:r>
              <w:rPr>
                <w:rFonts w:hint="eastAsia"/>
                <w:color w:val="000000"/>
                <w:sz w:val="18"/>
                <w:szCs w:val="18"/>
                <w:lang w:val="en-US" w:eastAsia="zh-CN"/>
              </w:rPr>
              <w:t>11.</w:t>
            </w:r>
            <w:r>
              <w:rPr>
                <w:rFonts w:hint="eastAsia"/>
                <w:color w:val="000000"/>
                <w:sz w:val="18"/>
                <w:szCs w:val="18"/>
              </w:rPr>
              <w:t>频闪系统：独立电子频闪， 出色的频闪效果，速度可变</w:t>
            </w:r>
            <w:r>
              <w:rPr>
                <w:rFonts w:hint="eastAsia"/>
                <w:color w:val="000000"/>
                <w:sz w:val="18"/>
                <w:szCs w:val="18"/>
              </w:rPr>
              <w:br w:type="textWrapping"/>
            </w:r>
            <w:r>
              <w:rPr>
                <w:rFonts w:hint="eastAsia"/>
                <w:color w:val="000000"/>
                <w:sz w:val="18"/>
                <w:szCs w:val="18"/>
                <w:lang w:val="en-US" w:eastAsia="zh-CN"/>
              </w:rPr>
              <w:t>12.</w:t>
            </w:r>
            <w:r>
              <w:rPr>
                <w:rFonts w:hint="eastAsia"/>
                <w:color w:val="000000"/>
                <w:sz w:val="18"/>
                <w:szCs w:val="18"/>
              </w:rPr>
              <w:t>调光系统：0-100% 线性调光</w:t>
            </w:r>
            <w:r>
              <w:rPr>
                <w:rFonts w:hint="eastAsia"/>
                <w:color w:val="000000"/>
                <w:sz w:val="18"/>
                <w:szCs w:val="18"/>
              </w:rPr>
              <w:br w:type="textWrapping"/>
            </w:r>
            <w:r>
              <w:rPr>
                <w:rFonts w:hint="eastAsia"/>
                <w:color w:val="000000"/>
                <w:sz w:val="18"/>
                <w:szCs w:val="18"/>
                <w:lang w:val="en-US" w:eastAsia="zh-CN"/>
              </w:rPr>
              <w:t>13.</w:t>
            </w:r>
            <w:r>
              <w:rPr>
                <w:rFonts w:hint="eastAsia"/>
                <w:color w:val="000000"/>
                <w:sz w:val="18"/>
                <w:szCs w:val="18"/>
              </w:rPr>
              <w:t>产品外观：压铸铝外壳</w:t>
            </w:r>
            <w:r>
              <w:rPr>
                <w:rFonts w:hint="eastAsia"/>
                <w:color w:val="000000"/>
                <w:sz w:val="18"/>
                <w:szCs w:val="18"/>
              </w:rPr>
              <w:br w:type="textWrapping"/>
            </w:r>
            <w:r>
              <w:rPr>
                <w:rFonts w:hint="eastAsia"/>
                <w:color w:val="000000"/>
                <w:sz w:val="18"/>
                <w:szCs w:val="18"/>
                <w:lang w:val="en-US" w:eastAsia="zh-CN"/>
              </w:rPr>
              <w:t>14.</w:t>
            </w:r>
            <w:r>
              <w:rPr>
                <w:rFonts w:hint="eastAsia"/>
                <w:color w:val="000000"/>
                <w:sz w:val="18"/>
                <w:szCs w:val="18"/>
              </w:rPr>
              <w:t>防护等级：IP20</w:t>
            </w:r>
            <w:r>
              <w:rPr>
                <w:rFonts w:hint="eastAsia"/>
                <w:color w:val="000000"/>
                <w:sz w:val="18"/>
                <w:szCs w:val="18"/>
              </w:rPr>
              <w:br w:type="textWrapping"/>
            </w:r>
            <w:r>
              <w:rPr>
                <w:rFonts w:hint="eastAsia"/>
                <w:color w:val="000000"/>
                <w:sz w:val="18"/>
                <w:szCs w:val="18"/>
                <w:lang w:val="en-US" w:eastAsia="zh-CN"/>
              </w:rPr>
              <w:t>15.</w:t>
            </w:r>
            <w:r>
              <w:rPr>
                <w:rFonts w:hint="eastAsia"/>
                <w:color w:val="000000"/>
                <w:sz w:val="18"/>
                <w:szCs w:val="18"/>
              </w:rPr>
              <w:t>工作环境：0-40℃</w:t>
            </w:r>
          </w:p>
        </w:tc>
      </w:tr>
      <w:tr w14:paraId="60B19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20CC7A70">
            <w:pPr>
              <w:jc w:val="center"/>
              <w:rPr>
                <w:rFonts w:ascii="宋体" w:hAnsi="宋体" w:cs="宋体"/>
                <w:sz w:val="18"/>
                <w:szCs w:val="18"/>
              </w:rPr>
            </w:pPr>
          </w:p>
        </w:tc>
        <w:tc>
          <w:tcPr>
            <w:tcW w:w="436" w:type="pct"/>
            <w:vAlign w:val="center"/>
          </w:tcPr>
          <w:p w14:paraId="176B7EFF">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438" w:type="pct"/>
            <w:gridSpan w:val="2"/>
            <w:vAlign w:val="center"/>
          </w:tcPr>
          <w:p w14:paraId="6828505B">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花窗剪影灯具</w:t>
            </w:r>
          </w:p>
        </w:tc>
        <w:tc>
          <w:tcPr>
            <w:tcW w:w="445" w:type="pct"/>
            <w:vAlign w:val="center"/>
          </w:tcPr>
          <w:p w14:paraId="524A12A6">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300W单颗投光灯</w:t>
            </w:r>
          </w:p>
        </w:tc>
        <w:tc>
          <w:tcPr>
            <w:tcW w:w="277" w:type="pct"/>
            <w:vAlign w:val="center"/>
          </w:tcPr>
          <w:p w14:paraId="7CFFE65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244" w:type="pct"/>
            <w:vAlign w:val="center"/>
          </w:tcPr>
          <w:p w14:paraId="68C7BFCC">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4"/>
            <w:vAlign w:val="center"/>
          </w:tcPr>
          <w:p w14:paraId="66E86D15">
            <w:pPr>
              <w:numPr>
                <w:ilvl w:val="0"/>
                <w:numId w:val="0"/>
              </w:numPr>
              <w:ind w:leftChars="0"/>
              <w:jc w:val="left"/>
              <w:rPr>
                <w:rFonts w:ascii="宋体" w:hAnsi="宋体" w:cs="宋体"/>
                <w:color w:val="000000"/>
                <w:sz w:val="18"/>
                <w:szCs w:val="18"/>
              </w:rPr>
            </w:pPr>
            <w:r>
              <w:rPr>
                <w:rFonts w:hint="eastAsia"/>
                <w:color w:val="000000"/>
                <w:sz w:val="18"/>
                <w:szCs w:val="18"/>
                <w:lang w:val="en-US" w:eastAsia="zh-CN"/>
              </w:rPr>
              <w:t>1.</w:t>
            </w:r>
            <w:r>
              <w:rPr>
                <w:rFonts w:hint="eastAsia"/>
                <w:color w:val="000000"/>
                <w:sz w:val="18"/>
                <w:szCs w:val="18"/>
              </w:rPr>
              <w:t>输入电压：AC100-240V 50/60HZ</w:t>
            </w:r>
            <w:r>
              <w:rPr>
                <w:rFonts w:hint="eastAsia"/>
                <w:color w:val="000000"/>
                <w:sz w:val="18"/>
                <w:szCs w:val="18"/>
              </w:rPr>
              <w:br w:type="textWrapping"/>
            </w:r>
            <w:r>
              <w:rPr>
                <w:rFonts w:hint="eastAsia"/>
                <w:color w:val="000000"/>
                <w:sz w:val="18"/>
                <w:szCs w:val="18"/>
                <w:lang w:val="en-US" w:eastAsia="zh-CN"/>
              </w:rPr>
              <w:t>2.</w:t>
            </w:r>
            <w:r>
              <w:rPr>
                <w:rFonts w:hint="eastAsia"/>
                <w:color w:val="000000"/>
                <w:sz w:val="18"/>
                <w:szCs w:val="18"/>
              </w:rPr>
              <w:t>光源功率：超亮LED00W单颗灯珠</w:t>
            </w:r>
            <w:r>
              <w:rPr>
                <w:rFonts w:hint="eastAsia"/>
                <w:color w:val="000000"/>
                <w:sz w:val="18"/>
                <w:szCs w:val="18"/>
                <w:lang w:val="en-US" w:eastAsia="zh-CN"/>
              </w:rPr>
              <w:t xml:space="preserve"> </w:t>
            </w:r>
            <w:r>
              <w:rPr>
                <w:rFonts w:hint="eastAsia"/>
                <w:color w:val="000000"/>
                <w:sz w:val="18"/>
                <w:szCs w:val="18"/>
              </w:rPr>
              <w:t>灯珠寿命：≥50000小时</w:t>
            </w:r>
            <w:r>
              <w:rPr>
                <w:rFonts w:hint="eastAsia"/>
                <w:color w:val="000000"/>
                <w:sz w:val="18"/>
                <w:szCs w:val="18"/>
              </w:rPr>
              <w:br w:type="textWrapping"/>
            </w:r>
            <w:r>
              <w:rPr>
                <w:rFonts w:hint="eastAsia"/>
                <w:color w:val="000000"/>
                <w:sz w:val="18"/>
                <w:szCs w:val="18"/>
                <w:lang w:val="en-US" w:eastAsia="zh-CN"/>
              </w:rPr>
              <w:t>3.</w:t>
            </w:r>
            <w:r>
              <w:rPr>
                <w:rFonts w:hint="eastAsia"/>
                <w:color w:val="000000"/>
                <w:sz w:val="18"/>
                <w:szCs w:val="18"/>
              </w:rPr>
              <w:t>额定功率：≥３00W</w:t>
            </w:r>
            <w:r>
              <w:rPr>
                <w:rFonts w:hint="eastAsia"/>
                <w:color w:val="000000"/>
                <w:sz w:val="18"/>
                <w:szCs w:val="18"/>
              </w:rPr>
              <w:br w:type="textWrapping"/>
            </w:r>
            <w:r>
              <w:rPr>
                <w:rFonts w:hint="eastAsia"/>
                <w:color w:val="000000"/>
                <w:sz w:val="18"/>
                <w:szCs w:val="18"/>
                <w:lang w:val="en-US" w:eastAsia="zh-CN"/>
              </w:rPr>
              <w:t>4.</w:t>
            </w:r>
            <w:r>
              <w:rPr>
                <w:rFonts w:hint="eastAsia"/>
                <w:color w:val="000000"/>
                <w:sz w:val="18"/>
                <w:szCs w:val="18"/>
              </w:rPr>
              <w:t xml:space="preserve">色温系统：3000K/4000K/5700K                                                                                                                                                                       </w:t>
            </w:r>
            <w:r>
              <w:rPr>
                <w:rFonts w:hint="eastAsia"/>
                <w:color w:val="000000"/>
                <w:sz w:val="18"/>
                <w:szCs w:val="18"/>
              </w:rPr>
              <w:br w:type="textWrapping"/>
            </w:r>
            <w:r>
              <w:rPr>
                <w:rFonts w:hint="eastAsia"/>
                <w:color w:val="000000"/>
                <w:sz w:val="18"/>
                <w:szCs w:val="18"/>
                <w:lang w:val="en-US" w:eastAsia="zh-CN"/>
              </w:rPr>
              <w:t>5.</w:t>
            </w:r>
            <w:r>
              <w:rPr>
                <w:rFonts w:hint="eastAsia"/>
                <w:color w:val="000000"/>
                <w:sz w:val="18"/>
                <w:szCs w:val="18"/>
              </w:rPr>
              <w:t xml:space="preserve">显色指数：CRI≥95超高亮度，可替代传统1000W的PAR灯                                                                                                                                                                                                                                      </w:t>
            </w:r>
            <w:r>
              <w:rPr>
                <w:rFonts w:hint="eastAsia"/>
                <w:color w:val="000000"/>
                <w:sz w:val="18"/>
                <w:szCs w:val="18"/>
                <w:lang w:val="en-US" w:eastAsia="zh-CN"/>
              </w:rPr>
              <w:t>6.</w:t>
            </w:r>
            <w:r>
              <w:rPr>
                <w:rFonts w:hint="eastAsia"/>
                <w:color w:val="000000"/>
                <w:sz w:val="18"/>
                <w:szCs w:val="18"/>
              </w:rPr>
              <w:t>散热系统：加厚铝基板散热，风扇对流冷却散热</w:t>
            </w:r>
            <w:r>
              <w:rPr>
                <w:rFonts w:hint="eastAsia"/>
                <w:color w:val="000000"/>
                <w:sz w:val="18"/>
                <w:szCs w:val="18"/>
              </w:rPr>
              <w:br w:type="textWrapping"/>
            </w:r>
            <w:r>
              <w:rPr>
                <w:rFonts w:hint="eastAsia"/>
                <w:color w:val="000000"/>
                <w:sz w:val="18"/>
                <w:szCs w:val="18"/>
                <w:lang w:val="en-US" w:eastAsia="zh-CN"/>
              </w:rPr>
              <w:t>7.</w:t>
            </w:r>
            <w:r>
              <w:rPr>
                <w:rFonts w:hint="eastAsia"/>
                <w:color w:val="000000"/>
                <w:sz w:val="18"/>
                <w:szCs w:val="18"/>
              </w:rPr>
              <w:t>灯具材质：铝铸外壳新颖设计，流线型外观设计</w:t>
            </w:r>
            <w:r>
              <w:rPr>
                <w:rFonts w:hint="eastAsia"/>
                <w:color w:val="000000"/>
                <w:sz w:val="18"/>
                <w:szCs w:val="18"/>
              </w:rPr>
              <w:br w:type="textWrapping"/>
            </w:r>
            <w:r>
              <w:rPr>
                <w:rFonts w:hint="eastAsia"/>
                <w:color w:val="000000"/>
                <w:sz w:val="18"/>
                <w:szCs w:val="18"/>
                <w:lang w:val="en-US" w:eastAsia="zh-CN"/>
              </w:rPr>
              <w:t>8.</w:t>
            </w:r>
            <w:r>
              <w:rPr>
                <w:rFonts w:hint="eastAsia"/>
                <w:color w:val="000000"/>
                <w:sz w:val="18"/>
                <w:szCs w:val="18"/>
              </w:rPr>
              <w:t>调光系统：0%-100%线性调光；1-25Hz/s 的频闪速度</w:t>
            </w:r>
            <w:r>
              <w:rPr>
                <w:rFonts w:hint="eastAsia"/>
                <w:color w:val="000000"/>
                <w:sz w:val="18"/>
                <w:szCs w:val="18"/>
              </w:rPr>
              <w:br w:type="textWrapping"/>
            </w:r>
            <w:r>
              <w:rPr>
                <w:rFonts w:hint="eastAsia"/>
                <w:color w:val="000000"/>
                <w:sz w:val="18"/>
                <w:szCs w:val="18"/>
                <w:lang w:val="en-US" w:eastAsia="zh-CN"/>
              </w:rPr>
              <w:t>9.</w:t>
            </w:r>
            <w:r>
              <w:rPr>
                <w:rFonts w:hint="eastAsia"/>
                <w:color w:val="000000"/>
                <w:sz w:val="18"/>
                <w:szCs w:val="18"/>
              </w:rPr>
              <w:t xml:space="preserve">光学角度：60°  </w:t>
            </w:r>
            <w:r>
              <w:rPr>
                <w:rFonts w:hint="eastAsia"/>
                <w:color w:val="000000"/>
                <w:sz w:val="18"/>
                <w:szCs w:val="18"/>
              </w:rPr>
              <w:br w:type="textWrapping"/>
            </w:r>
            <w:r>
              <w:rPr>
                <w:rFonts w:hint="eastAsia"/>
                <w:color w:val="000000"/>
                <w:sz w:val="18"/>
                <w:szCs w:val="18"/>
                <w:lang w:val="en-US" w:eastAsia="zh-CN"/>
              </w:rPr>
              <w:t>10.</w:t>
            </w:r>
            <w:r>
              <w:rPr>
                <w:rFonts w:hint="eastAsia"/>
                <w:color w:val="000000"/>
                <w:sz w:val="18"/>
                <w:szCs w:val="18"/>
              </w:rPr>
              <w:t xml:space="preserve">工作环境：-20℃-40℃                                                                                                                                                                                                                                                                          </w:t>
            </w:r>
            <w:r>
              <w:rPr>
                <w:rFonts w:hint="eastAsia"/>
                <w:color w:val="000000"/>
                <w:sz w:val="18"/>
                <w:szCs w:val="18"/>
                <w:lang w:val="en-US" w:eastAsia="zh-CN"/>
              </w:rPr>
              <w:t>11.</w:t>
            </w:r>
            <w:r>
              <w:rPr>
                <w:rFonts w:hint="eastAsia"/>
                <w:color w:val="000000"/>
                <w:sz w:val="18"/>
                <w:szCs w:val="18"/>
              </w:rPr>
              <w:t>通道模式</w:t>
            </w:r>
            <w:r>
              <w:rPr>
                <w:rFonts w:hint="eastAsia"/>
                <w:color w:val="000000"/>
                <w:sz w:val="18"/>
                <w:szCs w:val="18"/>
                <w:lang w:eastAsia="zh-CN"/>
              </w:rPr>
              <w:t>：支持</w:t>
            </w:r>
            <w:r>
              <w:rPr>
                <w:rFonts w:hint="eastAsia"/>
                <w:color w:val="000000"/>
                <w:sz w:val="18"/>
                <w:szCs w:val="18"/>
              </w:rPr>
              <w:t xml:space="preserve">6个通道                                                                                                                                                                                                                                                                                       </w:t>
            </w:r>
            <w:r>
              <w:rPr>
                <w:rFonts w:hint="eastAsia"/>
                <w:color w:val="000000"/>
                <w:sz w:val="18"/>
                <w:szCs w:val="18"/>
              </w:rPr>
              <w:br w:type="textWrapping"/>
            </w:r>
            <w:r>
              <w:rPr>
                <w:rFonts w:hint="eastAsia"/>
                <w:color w:val="000000"/>
                <w:sz w:val="18"/>
                <w:szCs w:val="18"/>
                <w:lang w:val="en-US" w:eastAsia="zh-CN"/>
              </w:rPr>
              <w:t>12.</w:t>
            </w:r>
            <w:r>
              <w:rPr>
                <w:rFonts w:hint="eastAsia"/>
                <w:color w:val="000000"/>
                <w:sz w:val="18"/>
                <w:szCs w:val="18"/>
              </w:rPr>
              <w:t>控制模式：DMX512/声控/自走/从主机模式/手动控制</w:t>
            </w:r>
            <w:r>
              <w:rPr>
                <w:rFonts w:hint="eastAsia"/>
                <w:color w:val="000000"/>
                <w:sz w:val="18"/>
                <w:szCs w:val="18"/>
              </w:rPr>
              <w:br w:type="textWrapping"/>
            </w:r>
            <w:r>
              <w:rPr>
                <w:rFonts w:hint="eastAsia"/>
                <w:color w:val="000000"/>
                <w:sz w:val="18"/>
                <w:szCs w:val="18"/>
                <w:lang w:val="en-US" w:eastAsia="zh-CN"/>
              </w:rPr>
              <w:t>13.</w:t>
            </w:r>
            <w:r>
              <w:rPr>
                <w:rFonts w:hint="eastAsia"/>
                <w:color w:val="000000"/>
                <w:sz w:val="18"/>
                <w:szCs w:val="18"/>
              </w:rPr>
              <w:t>防护等级：IP20</w:t>
            </w:r>
          </w:p>
        </w:tc>
      </w:tr>
      <w:tr w14:paraId="7B094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14E26B94">
            <w:pPr>
              <w:jc w:val="center"/>
              <w:rPr>
                <w:rFonts w:ascii="宋体" w:hAnsi="宋体" w:cs="宋体"/>
                <w:sz w:val="18"/>
                <w:szCs w:val="18"/>
              </w:rPr>
            </w:pPr>
          </w:p>
        </w:tc>
        <w:tc>
          <w:tcPr>
            <w:tcW w:w="436" w:type="pct"/>
            <w:vAlign w:val="center"/>
          </w:tcPr>
          <w:p w14:paraId="2A41C7B5">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438" w:type="pct"/>
            <w:gridSpan w:val="2"/>
            <w:vAlign w:val="center"/>
          </w:tcPr>
          <w:p w14:paraId="155CBEC9">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操作间上灯具支架</w:t>
            </w:r>
          </w:p>
        </w:tc>
        <w:tc>
          <w:tcPr>
            <w:tcW w:w="445" w:type="pct"/>
            <w:vAlign w:val="center"/>
          </w:tcPr>
          <w:p w14:paraId="1D4FFBEE">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定制支架</w:t>
            </w:r>
          </w:p>
        </w:tc>
        <w:tc>
          <w:tcPr>
            <w:tcW w:w="277" w:type="pct"/>
            <w:vAlign w:val="center"/>
          </w:tcPr>
          <w:p w14:paraId="27FE0121">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244" w:type="pct"/>
            <w:vAlign w:val="center"/>
          </w:tcPr>
          <w:p w14:paraId="65439F24">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套</w:t>
            </w:r>
          </w:p>
        </w:tc>
        <w:tc>
          <w:tcPr>
            <w:tcW w:w="2801" w:type="pct"/>
            <w:gridSpan w:val="4"/>
            <w:vAlign w:val="center"/>
          </w:tcPr>
          <w:p w14:paraId="04FEB65D">
            <w:pPr>
              <w:rPr>
                <w:rFonts w:ascii="宋体" w:hAnsi="宋体" w:cs="宋体"/>
                <w:color w:val="000000"/>
                <w:sz w:val="18"/>
                <w:szCs w:val="18"/>
              </w:rPr>
            </w:pPr>
            <w:r>
              <w:rPr>
                <w:rFonts w:hint="eastAsia"/>
                <w:color w:val="000000"/>
                <w:sz w:val="18"/>
                <w:szCs w:val="18"/>
              </w:rPr>
              <w:t>定制安装支架，根据建筑结构和舞美要求定制灯光支架</w:t>
            </w:r>
          </w:p>
        </w:tc>
      </w:tr>
      <w:tr w14:paraId="221D2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477CD711">
            <w:pPr>
              <w:jc w:val="center"/>
              <w:rPr>
                <w:rFonts w:ascii="宋体" w:hAnsi="宋体" w:cs="宋体"/>
                <w:sz w:val="18"/>
                <w:szCs w:val="18"/>
              </w:rPr>
            </w:pPr>
          </w:p>
        </w:tc>
        <w:tc>
          <w:tcPr>
            <w:tcW w:w="436" w:type="pct"/>
            <w:vAlign w:val="center"/>
          </w:tcPr>
          <w:p w14:paraId="556D60A3">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438" w:type="pct"/>
            <w:gridSpan w:val="2"/>
            <w:vAlign w:val="center"/>
          </w:tcPr>
          <w:p w14:paraId="02918F20">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兰舟外露台灯带</w:t>
            </w:r>
          </w:p>
        </w:tc>
        <w:tc>
          <w:tcPr>
            <w:tcW w:w="445" w:type="pct"/>
            <w:vAlign w:val="center"/>
          </w:tcPr>
          <w:p w14:paraId="2B097416">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防水低压灯带</w:t>
            </w:r>
          </w:p>
        </w:tc>
        <w:tc>
          <w:tcPr>
            <w:tcW w:w="277" w:type="pct"/>
            <w:vAlign w:val="center"/>
          </w:tcPr>
          <w:p w14:paraId="34CB99D2">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w:t>
            </w:r>
          </w:p>
        </w:tc>
        <w:tc>
          <w:tcPr>
            <w:tcW w:w="244" w:type="pct"/>
            <w:vAlign w:val="center"/>
          </w:tcPr>
          <w:p w14:paraId="01C75E04">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米</w:t>
            </w:r>
          </w:p>
        </w:tc>
        <w:tc>
          <w:tcPr>
            <w:tcW w:w="2801" w:type="pct"/>
            <w:gridSpan w:val="4"/>
            <w:vAlign w:val="center"/>
          </w:tcPr>
          <w:p w14:paraId="048AB79E">
            <w:pPr>
              <w:numPr>
                <w:ilvl w:val="0"/>
                <w:numId w:val="0"/>
              </w:numPr>
              <w:ind w:leftChars="0"/>
              <w:rPr>
                <w:rFonts w:ascii="宋体" w:hAnsi="宋体" w:cs="宋体"/>
                <w:color w:val="000000"/>
                <w:sz w:val="18"/>
                <w:szCs w:val="18"/>
              </w:rPr>
            </w:pPr>
            <w:r>
              <w:rPr>
                <w:rFonts w:hint="eastAsia"/>
                <w:color w:val="000000"/>
                <w:sz w:val="18"/>
                <w:szCs w:val="18"/>
                <w:lang w:val="en-US" w:eastAsia="zh-CN"/>
              </w:rPr>
              <w:t>1.</w:t>
            </w:r>
            <w:r>
              <w:rPr>
                <w:rFonts w:hint="eastAsia"/>
                <w:color w:val="000000"/>
                <w:sz w:val="18"/>
                <w:szCs w:val="18"/>
              </w:rPr>
              <w:t>发光颜色：暖白自然白正白</w:t>
            </w:r>
            <w:r>
              <w:rPr>
                <w:rFonts w:hint="eastAsia"/>
                <w:color w:val="000000"/>
                <w:sz w:val="18"/>
                <w:szCs w:val="18"/>
              </w:rPr>
              <w:br w:type="textWrapping"/>
            </w:r>
            <w:r>
              <w:rPr>
                <w:rFonts w:hint="eastAsia"/>
                <w:color w:val="000000"/>
                <w:sz w:val="18"/>
                <w:szCs w:val="18"/>
                <w:lang w:val="en-US" w:eastAsia="zh-CN"/>
              </w:rPr>
              <w:t>2.</w:t>
            </w:r>
            <w:r>
              <w:rPr>
                <w:rFonts w:hint="eastAsia"/>
                <w:color w:val="000000"/>
                <w:sz w:val="18"/>
                <w:szCs w:val="18"/>
              </w:rPr>
              <w:t>显色指数：≥85Ra</w:t>
            </w:r>
          </w:p>
          <w:p w14:paraId="6C13885A">
            <w:pPr>
              <w:numPr>
                <w:ilvl w:val="0"/>
                <w:numId w:val="0"/>
              </w:numPr>
              <w:ind w:leftChars="0"/>
              <w:rPr>
                <w:rFonts w:ascii="宋体" w:hAnsi="宋体" w:cs="宋体"/>
                <w:color w:val="000000"/>
                <w:sz w:val="18"/>
                <w:szCs w:val="18"/>
              </w:rPr>
            </w:pPr>
            <w:r>
              <w:rPr>
                <w:rFonts w:hint="eastAsia"/>
                <w:color w:val="000000"/>
                <w:sz w:val="18"/>
                <w:szCs w:val="18"/>
                <w:lang w:val="en-US" w:eastAsia="zh-CN"/>
              </w:rPr>
              <w:t>3.</w:t>
            </w:r>
            <w:r>
              <w:rPr>
                <w:rFonts w:hint="eastAsia"/>
                <w:color w:val="000000"/>
                <w:sz w:val="18"/>
                <w:szCs w:val="18"/>
              </w:rPr>
              <w:t>发光角度：180°</w:t>
            </w:r>
            <w:r>
              <w:rPr>
                <w:rFonts w:hint="eastAsia"/>
                <w:color w:val="000000"/>
                <w:sz w:val="18"/>
                <w:szCs w:val="18"/>
              </w:rPr>
              <w:br w:type="textWrapping"/>
            </w:r>
            <w:r>
              <w:rPr>
                <w:rFonts w:hint="eastAsia"/>
                <w:color w:val="000000"/>
                <w:sz w:val="18"/>
                <w:szCs w:val="18"/>
                <w:lang w:val="en-US" w:eastAsia="zh-CN"/>
              </w:rPr>
              <w:t>4.</w:t>
            </w:r>
            <w:r>
              <w:rPr>
                <w:rFonts w:hint="eastAsia"/>
                <w:color w:val="000000"/>
                <w:sz w:val="18"/>
                <w:szCs w:val="18"/>
              </w:rPr>
              <w:t>线路板：暖白色 双面铜线路板</w:t>
            </w:r>
            <w:r>
              <w:rPr>
                <w:rFonts w:hint="eastAsia"/>
                <w:color w:val="000000"/>
                <w:sz w:val="18"/>
                <w:szCs w:val="18"/>
              </w:rPr>
              <w:br w:type="textWrapping"/>
            </w:r>
            <w:r>
              <w:rPr>
                <w:rFonts w:hint="eastAsia"/>
                <w:color w:val="000000"/>
                <w:sz w:val="18"/>
                <w:szCs w:val="18"/>
                <w:lang w:val="en-US" w:eastAsia="zh-CN"/>
              </w:rPr>
              <w:t>5.</w:t>
            </w:r>
            <w:r>
              <w:rPr>
                <w:rFonts w:hint="eastAsia"/>
                <w:color w:val="000000"/>
                <w:sz w:val="18"/>
                <w:szCs w:val="18"/>
              </w:rPr>
              <w:t>额定电压：DC12v/24V</w:t>
            </w:r>
          </w:p>
        </w:tc>
      </w:tr>
      <w:tr w14:paraId="25BA8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039AA93C">
            <w:pPr>
              <w:jc w:val="center"/>
              <w:rPr>
                <w:rFonts w:ascii="宋体" w:hAnsi="宋体" w:cs="宋体"/>
                <w:sz w:val="18"/>
                <w:szCs w:val="18"/>
              </w:rPr>
            </w:pPr>
          </w:p>
        </w:tc>
        <w:tc>
          <w:tcPr>
            <w:tcW w:w="436" w:type="pct"/>
            <w:vAlign w:val="center"/>
          </w:tcPr>
          <w:p w14:paraId="6FAD8F97">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438" w:type="pct"/>
            <w:gridSpan w:val="2"/>
            <w:vAlign w:val="center"/>
          </w:tcPr>
          <w:p w14:paraId="72B7E660">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通道灯</w:t>
            </w:r>
          </w:p>
        </w:tc>
        <w:tc>
          <w:tcPr>
            <w:tcW w:w="445" w:type="pct"/>
            <w:vAlign w:val="center"/>
          </w:tcPr>
          <w:p w14:paraId="48C3BFE3">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10W防水</w:t>
            </w:r>
          </w:p>
        </w:tc>
        <w:tc>
          <w:tcPr>
            <w:tcW w:w="277" w:type="pct"/>
            <w:vAlign w:val="center"/>
          </w:tcPr>
          <w:p w14:paraId="63D9DE6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30</w:t>
            </w:r>
          </w:p>
        </w:tc>
        <w:tc>
          <w:tcPr>
            <w:tcW w:w="244" w:type="pct"/>
            <w:vAlign w:val="center"/>
          </w:tcPr>
          <w:p w14:paraId="2ECD7F47">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2801" w:type="pct"/>
            <w:gridSpan w:val="4"/>
            <w:vAlign w:val="center"/>
          </w:tcPr>
          <w:p w14:paraId="537F09E6">
            <w:pPr>
              <w:rPr>
                <w:rFonts w:ascii="宋体" w:hAnsi="宋体" w:cs="宋体"/>
                <w:color w:val="000000"/>
                <w:sz w:val="18"/>
                <w:szCs w:val="18"/>
              </w:rPr>
            </w:pPr>
            <w:r>
              <w:rPr>
                <w:rFonts w:hint="eastAsia"/>
                <w:color w:val="000000"/>
                <w:sz w:val="18"/>
                <w:szCs w:val="18"/>
                <w:lang w:val="en-US" w:eastAsia="zh-CN"/>
              </w:rPr>
              <w:t>1.</w:t>
            </w:r>
            <w:r>
              <w:rPr>
                <w:rFonts w:hint="eastAsia"/>
                <w:color w:val="000000"/>
                <w:sz w:val="18"/>
                <w:szCs w:val="18"/>
              </w:rPr>
              <w:t>额定电压：AC100～240V 50/60Hz</w:t>
            </w:r>
            <w:r>
              <w:rPr>
                <w:rFonts w:hint="eastAsia"/>
                <w:color w:val="000000"/>
                <w:sz w:val="18"/>
                <w:szCs w:val="18"/>
              </w:rPr>
              <w:br w:type="textWrapping"/>
            </w:r>
            <w:r>
              <w:rPr>
                <w:rFonts w:hint="eastAsia"/>
                <w:color w:val="000000"/>
                <w:sz w:val="18"/>
                <w:szCs w:val="18"/>
                <w:lang w:val="en-US" w:eastAsia="zh-CN"/>
              </w:rPr>
              <w:t>2.</w:t>
            </w:r>
            <w:r>
              <w:rPr>
                <w:rFonts w:hint="eastAsia"/>
                <w:color w:val="000000"/>
                <w:sz w:val="18"/>
                <w:szCs w:val="18"/>
              </w:rPr>
              <w:t>额定功率：≥10W</w:t>
            </w:r>
            <w:r>
              <w:rPr>
                <w:rFonts w:hint="eastAsia"/>
                <w:color w:val="000000"/>
                <w:sz w:val="18"/>
                <w:szCs w:val="18"/>
              </w:rPr>
              <w:br w:type="textWrapping"/>
            </w:r>
            <w:r>
              <w:rPr>
                <w:rFonts w:hint="eastAsia"/>
                <w:color w:val="000000"/>
                <w:sz w:val="18"/>
                <w:szCs w:val="18"/>
                <w:lang w:val="en-US" w:eastAsia="zh-CN"/>
              </w:rPr>
              <w:t>3.</w:t>
            </w:r>
            <w:r>
              <w:rPr>
                <w:rFonts w:hint="eastAsia"/>
                <w:color w:val="000000"/>
                <w:sz w:val="18"/>
                <w:szCs w:val="18"/>
              </w:rPr>
              <w:t>灯泡寿命：≧20000小时</w:t>
            </w:r>
            <w:r>
              <w:rPr>
                <w:rFonts w:hint="eastAsia"/>
                <w:color w:val="000000"/>
                <w:sz w:val="18"/>
                <w:szCs w:val="18"/>
              </w:rPr>
              <w:br w:type="textWrapping"/>
            </w:r>
            <w:r>
              <w:rPr>
                <w:rFonts w:hint="eastAsia"/>
                <w:color w:val="000000"/>
                <w:sz w:val="18"/>
                <w:szCs w:val="18"/>
                <w:lang w:val="en-US" w:eastAsia="zh-CN"/>
              </w:rPr>
              <w:t>4.</w:t>
            </w:r>
            <w:r>
              <w:rPr>
                <w:rFonts w:hint="eastAsia"/>
                <w:color w:val="000000"/>
                <w:sz w:val="18"/>
                <w:szCs w:val="18"/>
              </w:rPr>
              <w:t>颜   色：暖光效果</w:t>
            </w:r>
          </w:p>
        </w:tc>
      </w:tr>
      <w:tr w14:paraId="1EA45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0D53FA7E">
            <w:pPr>
              <w:jc w:val="center"/>
              <w:rPr>
                <w:rFonts w:ascii="宋体" w:hAnsi="宋体" w:cs="宋体"/>
                <w:sz w:val="18"/>
                <w:szCs w:val="18"/>
              </w:rPr>
            </w:pPr>
          </w:p>
        </w:tc>
        <w:tc>
          <w:tcPr>
            <w:tcW w:w="436" w:type="pct"/>
            <w:vAlign w:val="center"/>
          </w:tcPr>
          <w:p w14:paraId="379AE3FE">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438" w:type="pct"/>
            <w:gridSpan w:val="2"/>
            <w:vAlign w:val="center"/>
          </w:tcPr>
          <w:p w14:paraId="58DA6CDD">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台阶灯</w:t>
            </w:r>
          </w:p>
        </w:tc>
        <w:tc>
          <w:tcPr>
            <w:tcW w:w="445" w:type="pct"/>
            <w:vAlign w:val="center"/>
          </w:tcPr>
          <w:p w14:paraId="24090E7E">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15W防水</w:t>
            </w:r>
          </w:p>
        </w:tc>
        <w:tc>
          <w:tcPr>
            <w:tcW w:w="277" w:type="pct"/>
            <w:vAlign w:val="center"/>
          </w:tcPr>
          <w:p w14:paraId="04AA1E34">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w:t>
            </w:r>
          </w:p>
        </w:tc>
        <w:tc>
          <w:tcPr>
            <w:tcW w:w="244" w:type="pct"/>
            <w:vAlign w:val="center"/>
          </w:tcPr>
          <w:p w14:paraId="0D47E3CA">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2801" w:type="pct"/>
            <w:gridSpan w:val="4"/>
            <w:vAlign w:val="center"/>
          </w:tcPr>
          <w:p w14:paraId="03E61281">
            <w:pPr>
              <w:rPr>
                <w:rFonts w:ascii="宋体" w:hAnsi="宋体" w:cs="宋体"/>
                <w:color w:val="000000"/>
                <w:sz w:val="18"/>
                <w:szCs w:val="18"/>
              </w:rPr>
            </w:pPr>
            <w:r>
              <w:rPr>
                <w:rFonts w:hint="eastAsia"/>
                <w:color w:val="000000"/>
                <w:sz w:val="18"/>
                <w:szCs w:val="18"/>
                <w:lang w:val="en-US" w:eastAsia="zh-CN"/>
              </w:rPr>
              <w:t>1.</w:t>
            </w:r>
            <w:r>
              <w:rPr>
                <w:rFonts w:hint="eastAsia"/>
                <w:color w:val="000000"/>
                <w:sz w:val="18"/>
                <w:szCs w:val="18"/>
              </w:rPr>
              <w:t>额定电压：AC100～240V 50/60Hz</w:t>
            </w:r>
            <w:r>
              <w:rPr>
                <w:rFonts w:hint="eastAsia"/>
                <w:color w:val="000000"/>
                <w:sz w:val="18"/>
                <w:szCs w:val="18"/>
              </w:rPr>
              <w:br w:type="textWrapping"/>
            </w:r>
            <w:r>
              <w:rPr>
                <w:rFonts w:hint="eastAsia"/>
                <w:color w:val="000000"/>
                <w:sz w:val="18"/>
                <w:szCs w:val="18"/>
                <w:lang w:val="en-US" w:eastAsia="zh-CN"/>
              </w:rPr>
              <w:t>2.</w:t>
            </w:r>
            <w:r>
              <w:rPr>
                <w:rFonts w:hint="eastAsia"/>
                <w:color w:val="000000"/>
                <w:sz w:val="18"/>
                <w:szCs w:val="18"/>
              </w:rPr>
              <w:t>额定功率：≥1５W</w:t>
            </w:r>
            <w:r>
              <w:rPr>
                <w:rFonts w:hint="eastAsia"/>
                <w:color w:val="000000"/>
                <w:sz w:val="18"/>
                <w:szCs w:val="18"/>
              </w:rPr>
              <w:br w:type="textWrapping"/>
            </w:r>
            <w:r>
              <w:rPr>
                <w:rFonts w:hint="eastAsia"/>
                <w:color w:val="000000"/>
                <w:sz w:val="18"/>
                <w:szCs w:val="18"/>
                <w:lang w:val="en-US" w:eastAsia="zh-CN"/>
              </w:rPr>
              <w:t>3.</w:t>
            </w:r>
            <w:r>
              <w:rPr>
                <w:rFonts w:hint="eastAsia"/>
                <w:color w:val="000000"/>
                <w:sz w:val="18"/>
                <w:szCs w:val="18"/>
              </w:rPr>
              <w:t>灯泡寿命：≧20000小时</w:t>
            </w:r>
            <w:r>
              <w:rPr>
                <w:rFonts w:hint="eastAsia"/>
                <w:color w:val="000000"/>
                <w:sz w:val="18"/>
                <w:szCs w:val="18"/>
              </w:rPr>
              <w:br w:type="textWrapping"/>
            </w:r>
            <w:r>
              <w:rPr>
                <w:rFonts w:hint="eastAsia"/>
                <w:color w:val="000000"/>
                <w:sz w:val="18"/>
                <w:szCs w:val="18"/>
                <w:lang w:val="en-US" w:eastAsia="zh-CN"/>
              </w:rPr>
              <w:t>4.</w:t>
            </w:r>
            <w:r>
              <w:rPr>
                <w:rFonts w:hint="eastAsia"/>
                <w:color w:val="000000"/>
                <w:sz w:val="18"/>
                <w:szCs w:val="18"/>
              </w:rPr>
              <w:t>颜   色：暖光效果</w:t>
            </w:r>
          </w:p>
        </w:tc>
      </w:tr>
      <w:tr w14:paraId="069B5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26C306EB">
            <w:pPr>
              <w:jc w:val="center"/>
              <w:rPr>
                <w:rFonts w:ascii="宋体" w:hAnsi="宋体" w:cs="宋体"/>
                <w:sz w:val="18"/>
                <w:szCs w:val="18"/>
              </w:rPr>
            </w:pPr>
          </w:p>
        </w:tc>
        <w:tc>
          <w:tcPr>
            <w:tcW w:w="436" w:type="pct"/>
            <w:vAlign w:val="center"/>
          </w:tcPr>
          <w:p w14:paraId="0B4E9A1C">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438" w:type="pct"/>
            <w:gridSpan w:val="2"/>
            <w:vAlign w:val="center"/>
          </w:tcPr>
          <w:p w14:paraId="6862141F">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电脑灯控台</w:t>
            </w:r>
          </w:p>
        </w:tc>
        <w:tc>
          <w:tcPr>
            <w:tcW w:w="445" w:type="pct"/>
            <w:vAlign w:val="center"/>
          </w:tcPr>
          <w:p w14:paraId="590274AB">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中型控台</w:t>
            </w:r>
          </w:p>
        </w:tc>
        <w:tc>
          <w:tcPr>
            <w:tcW w:w="277" w:type="pct"/>
            <w:vAlign w:val="center"/>
          </w:tcPr>
          <w:p w14:paraId="4CD7FD0E">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244" w:type="pct"/>
            <w:vAlign w:val="center"/>
          </w:tcPr>
          <w:p w14:paraId="4AD4FF02">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4"/>
            <w:vAlign w:val="center"/>
          </w:tcPr>
          <w:p w14:paraId="2AEE2B1E">
            <w:pPr>
              <w:rPr>
                <w:rFonts w:ascii="宋体" w:hAnsi="宋体" w:cs="宋体"/>
                <w:color w:val="000000"/>
                <w:sz w:val="18"/>
                <w:szCs w:val="18"/>
              </w:rPr>
            </w:pPr>
            <w:r>
              <w:rPr>
                <w:rFonts w:hint="eastAsia"/>
                <w:color w:val="000000"/>
                <w:sz w:val="18"/>
                <w:szCs w:val="18"/>
                <w:lang w:val="en-US" w:eastAsia="zh-CN"/>
              </w:rPr>
              <w:t>1.</w:t>
            </w:r>
            <w:r>
              <w:rPr>
                <w:rFonts w:hint="eastAsia"/>
                <w:color w:val="000000"/>
                <w:sz w:val="18"/>
                <w:szCs w:val="18"/>
              </w:rPr>
              <w:t>支持6个DMX输出, 最高扩展可支持65536个通道参数</w:t>
            </w:r>
            <w:r>
              <w:rPr>
                <w:rFonts w:hint="eastAsia"/>
                <w:color w:val="000000"/>
                <w:sz w:val="18"/>
                <w:szCs w:val="18"/>
              </w:rPr>
              <w:br w:type="textWrapping"/>
            </w:r>
            <w:r>
              <w:rPr>
                <w:rFonts w:hint="eastAsia"/>
                <w:color w:val="000000"/>
                <w:sz w:val="18"/>
                <w:szCs w:val="18"/>
                <w:lang w:val="en-US" w:eastAsia="zh-CN"/>
              </w:rPr>
              <w:t>2.</w:t>
            </w:r>
            <w:r>
              <w:rPr>
                <w:rFonts w:hint="eastAsia"/>
                <w:color w:val="000000"/>
                <w:sz w:val="18"/>
                <w:szCs w:val="18"/>
              </w:rPr>
              <w:t>内置2个15.4英寸触摸屏+1个10英寸触摸屏</w:t>
            </w:r>
            <w:r>
              <w:rPr>
                <w:rFonts w:hint="eastAsia"/>
                <w:color w:val="000000"/>
                <w:sz w:val="18"/>
                <w:szCs w:val="18"/>
              </w:rPr>
              <w:br w:type="textWrapping"/>
            </w:r>
            <w:r>
              <w:rPr>
                <w:rFonts w:hint="eastAsia"/>
                <w:color w:val="000000"/>
                <w:sz w:val="18"/>
                <w:szCs w:val="18"/>
                <w:lang w:val="en-US" w:eastAsia="zh-CN"/>
              </w:rPr>
              <w:t>3.</w:t>
            </w:r>
            <w:r>
              <w:rPr>
                <w:rFonts w:hint="eastAsia"/>
                <w:color w:val="000000"/>
                <w:sz w:val="18"/>
                <w:szCs w:val="18"/>
              </w:rPr>
              <w:t>可外接DVI显示器</w:t>
            </w:r>
            <w:r>
              <w:rPr>
                <w:rFonts w:hint="eastAsia"/>
                <w:color w:val="000000"/>
                <w:sz w:val="18"/>
                <w:szCs w:val="18"/>
              </w:rPr>
              <w:br w:type="textWrapping"/>
            </w:r>
            <w:r>
              <w:rPr>
                <w:rFonts w:hint="eastAsia"/>
                <w:color w:val="000000"/>
                <w:sz w:val="18"/>
                <w:szCs w:val="18"/>
                <w:lang w:val="en-US" w:eastAsia="zh-CN"/>
              </w:rPr>
              <w:t>4.</w:t>
            </w:r>
            <w:r>
              <w:rPr>
                <w:rFonts w:hint="eastAsia"/>
                <w:color w:val="000000"/>
                <w:sz w:val="18"/>
                <w:szCs w:val="18"/>
              </w:rPr>
              <w:t>内置无线DMX（可选）</w:t>
            </w:r>
            <w:r>
              <w:rPr>
                <w:rFonts w:hint="eastAsia"/>
                <w:color w:val="000000"/>
                <w:sz w:val="18"/>
                <w:szCs w:val="18"/>
              </w:rPr>
              <w:br w:type="textWrapping"/>
            </w:r>
            <w:r>
              <w:rPr>
                <w:rFonts w:hint="eastAsia"/>
                <w:color w:val="000000"/>
                <w:sz w:val="18"/>
                <w:szCs w:val="18"/>
                <w:lang w:val="en-US" w:eastAsia="zh-CN"/>
              </w:rPr>
              <w:t>5.</w:t>
            </w:r>
            <w:r>
              <w:rPr>
                <w:rFonts w:hint="eastAsia"/>
                <w:color w:val="000000"/>
                <w:sz w:val="18"/>
                <w:szCs w:val="18"/>
              </w:rPr>
              <w:t>15个高精度电动推杆</w:t>
            </w:r>
            <w:r>
              <w:rPr>
                <w:rFonts w:hint="eastAsia"/>
                <w:color w:val="000000"/>
                <w:sz w:val="18"/>
                <w:szCs w:val="18"/>
              </w:rPr>
              <w:br w:type="textWrapping"/>
            </w:r>
            <w:r>
              <w:rPr>
                <w:rFonts w:hint="eastAsia"/>
                <w:color w:val="000000"/>
                <w:sz w:val="18"/>
                <w:szCs w:val="18"/>
                <w:lang w:val="en-US" w:eastAsia="zh-CN"/>
              </w:rPr>
              <w:t>6.</w:t>
            </w:r>
            <w:r>
              <w:rPr>
                <w:rFonts w:hint="eastAsia"/>
                <w:color w:val="000000"/>
                <w:sz w:val="18"/>
                <w:szCs w:val="18"/>
              </w:rPr>
              <w:t>A/B场电动推杆</w:t>
            </w:r>
            <w:r>
              <w:rPr>
                <w:rFonts w:hint="eastAsia"/>
                <w:color w:val="000000"/>
                <w:sz w:val="18"/>
                <w:szCs w:val="18"/>
              </w:rPr>
              <w:br w:type="textWrapping"/>
            </w:r>
            <w:r>
              <w:rPr>
                <w:rFonts w:hint="eastAsia"/>
                <w:color w:val="000000"/>
                <w:sz w:val="18"/>
                <w:szCs w:val="18"/>
                <w:lang w:val="en-US" w:eastAsia="zh-CN"/>
              </w:rPr>
              <w:t>7.</w:t>
            </w:r>
            <w:r>
              <w:rPr>
                <w:rFonts w:hint="eastAsia"/>
                <w:color w:val="000000"/>
                <w:sz w:val="18"/>
                <w:szCs w:val="18"/>
              </w:rPr>
              <w:t>1个总控电动推杆</w:t>
            </w:r>
            <w:r>
              <w:rPr>
                <w:rFonts w:hint="eastAsia"/>
                <w:color w:val="000000"/>
                <w:sz w:val="18"/>
                <w:szCs w:val="18"/>
              </w:rPr>
              <w:br w:type="textWrapping"/>
            </w:r>
            <w:r>
              <w:rPr>
                <w:rFonts w:hint="eastAsia"/>
                <w:color w:val="000000"/>
                <w:sz w:val="18"/>
                <w:szCs w:val="18"/>
                <w:lang w:val="en-US" w:eastAsia="zh-CN"/>
              </w:rPr>
              <w:t>8.</w:t>
            </w:r>
            <w:r>
              <w:rPr>
                <w:rFonts w:hint="eastAsia"/>
                <w:color w:val="000000"/>
                <w:sz w:val="18"/>
                <w:szCs w:val="18"/>
              </w:rPr>
              <w:t>6个耐磨编码器（带Push）</w:t>
            </w:r>
            <w:r>
              <w:rPr>
                <w:rFonts w:hint="eastAsia"/>
                <w:color w:val="000000"/>
                <w:sz w:val="18"/>
                <w:szCs w:val="18"/>
              </w:rPr>
              <w:br w:type="textWrapping"/>
            </w:r>
            <w:r>
              <w:rPr>
                <w:rFonts w:hint="eastAsia"/>
                <w:color w:val="000000"/>
                <w:sz w:val="18"/>
                <w:szCs w:val="18"/>
                <w:lang w:val="en-US" w:eastAsia="zh-CN"/>
              </w:rPr>
              <w:t>9.</w:t>
            </w:r>
            <w:r>
              <w:rPr>
                <w:rFonts w:hint="eastAsia"/>
                <w:color w:val="000000"/>
                <w:sz w:val="18"/>
                <w:szCs w:val="18"/>
              </w:rPr>
              <w:t>1个高灵敏轨迹球</w:t>
            </w:r>
            <w:r>
              <w:rPr>
                <w:rFonts w:hint="eastAsia"/>
                <w:color w:val="000000"/>
                <w:sz w:val="18"/>
                <w:szCs w:val="18"/>
              </w:rPr>
              <w:br w:type="textWrapping"/>
            </w:r>
            <w:r>
              <w:rPr>
                <w:rFonts w:hint="eastAsia"/>
                <w:color w:val="000000"/>
                <w:sz w:val="18"/>
                <w:szCs w:val="18"/>
                <w:lang w:val="en-US" w:eastAsia="zh-CN"/>
              </w:rPr>
              <w:t>10.</w:t>
            </w:r>
            <w:r>
              <w:rPr>
                <w:rFonts w:hint="eastAsia"/>
                <w:color w:val="000000"/>
                <w:sz w:val="18"/>
                <w:szCs w:val="18"/>
              </w:rPr>
              <w:t>1个高精度调光轮</w:t>
            </w:r>
            <w:r>
              <w:rPr>
                <w:rFonts w:hint="eastAsia"/>
                <w:color w:val="000000"/>
                <w:sz w:val="18"/>
                <w:szCs w:val="18"/>
              </w:rPr>
              <w:br w:type="textWrapping"/>
            </w:r>
            <w:r>
              <w:rPr>
                <w:rFonts w:hint="eastAsia"/>
                <w:color w:val="000000"/>
                <w:sz w:val="18"/>
                <w:szCs w:val="18"/>
                <w:lang w:val="en-US" w:eastAsia="zh-CN"/>
              </w:rPr>
              <w:t>11.</w:t>
            </w:r>
            <w:r>
              <w:rPr>
                <w:rFonts w:hint="eastAsia"/>
                <w:color w:val="000000"/>
                <w:sz w:val="18"/>
                <w:szCs w:val="18"/>
              </w:rPr>
              <w:t>1个千兆以太网口</w:t>
            </w:r>
            <w:r>
              <w:rPr>
                <w:rFonts w:hint="eastAsia"/>
                <w:color w:val="000000"/>
                <w:sz w:val="18"/>
                <w:szCs w:val="18"/>
              </w:rPr>
              <w:br w:type="textWrapping"/>
            </w:r>
            <w:r>
              <w:rPr>
                <w:rFonts w:hint="eastAsia"/>
                <w:color w:val="000000"/>
                <w:sz w:val="18"/>
                <w:szCs w:val="18"/>
                <w:lang w:val="en-US" w:eastAsia="zh-CN"/>
              </w:rPr>
              <w:t>12.</w:t>
            </w:r>
            <w:r>
              <w:rPr>
                <w:rFonts w:hint="eastAsia"/>
                <w:color w:val="000000"/>
                <w:sz w:val="18"/>
                <w:szCs w:val="18"/>
              </w:rPr>
              <w:t>2个USB2.0口</w:t>
            </w:r>
            <w:r>
              <w:rPr>
                <w:rFonts w:hint="eastAsia"/>
                <w:color w:val="000000"/>
                <w:sz w:val="18"/>
                <w:szCs w:val="18"/>
              </w:rPr>
              <w:br w:type="textWrapping"/>
            </w:r>
            <w:r>
              <w:rPr>
                <w:rFonts w:hint="eastAsia"/>
                <w:color w:val="000000"/>
                <w:sz w:val="18"/>
                <w:szCs w:val="18"/>
                <w:lang w:val="en-US" w:eastAsia="zh-CN"/>
              </w:rPr>
              <w:t>13.</w:t>
            </w:r>
            <w:r>
              <w:rPr>
                <w:rFonts w:hint="eastAsia"/>
                <w:color w:val="000000"/>
                <w:sz w:val="18"/>
                <w:szCs w:val="18"/>
              </w:rPr>
              <w:t>可调式显示器翻盖</w:t>
            </w:r>
            <w:r>
              <w:rPr>
                <w:rFonts w:hint="eastAsia"/>
                <w:color w:val="000000"/>
                <w:sz w:val="18"/>
                <w:szCs w:val="18"/>
              </w:rPr>
              <w:br w:type="textWrapping"/>
            </w:r>
            <w:r>
              <w:rPr>
                <w:rFonts w:hint="eastAsia"/>
                <w:color w:val="000000"/>
                <w:sz w:val="18"/>
                <w:szCs w:val="18"/>
                <w:lang w:val="en-US" w:eastAsia="zh-CN"/>
              </w:rPr>
              <w:t>14.</w:t>
            </w:r>
            <w:r>
              <w:rPr>
                <w:rFonts w:hint="eastAsia"/>
                <w:color w:val="000000"/>
                <w:sz w:val="18"/>
                <w:szCs w:val="18"/>
              </w:rPr>
              <w:t>内置键盘抽屉</w:t>
            </w:r>
            <w:r>
              <w:rPr>
                <w:rFonts w:hint="eastAsia"/>
                <w:color w:val="000000"/>
                <w:sz w:val="18"/>
                <w:szCs w:val="18"/>
              </w:rPr>
              <w:br w:type="textWrapping"/>
            </w:r>
            <w:r>
              <w:rPr>
                <w:rFonts w:hint="eastAsia"/>
                <w:color w:val="000000"/>
                <w:sz w:val="18"/>
                <w:szCs w:val="18"/>
                <w:lang w:val="en-US" w:eastAsia="zh-CN"/>
              </w:rPr>
              <w:t>15.</w:t>
            </w:r>
            <w:r>
              <w:rPr>
                <w:rFonts w:hint="eastAsia"/>
                <w:color w:val="000000"/>
                <w:sz w:val="18"/>
                <w:szCs w:val="18"/>
              </w:rPr>
              <w:t>独立背光按键</w:t>
            </w:r>
            <w:r>
              <w:rPr>
                <w:rFonts w:hint="eastAsia"/>
                <w:color w:val="000000"/>
                <w:sz w:val="18"/>
                <w:szCs w:val="18"/>
              </w:rPr>
              <w:br w:type="textWrapping"/>
            </w:r>
            <w:r>
              <w:rPr>
                <w:rFonts w:hint="eastAsia"/>
                <w:color w:val="000000"/>
                <w:sz w:val="18"/>
                <w:szCs w:val="18"/>
                <w:lang w:val="en-US" w:eastAsia="zh-CN"/>
              </w:rPr>
              <w:t>16.</w:t>
            </w:r>
            <w:r>
              <w:rPr>
                <w:rFonts w:hint="eastAsia"/>
                <w:color w:val="000000"/>
                <w:sz w:val="18"/>
                <w:szCs w:val="18"/>
              </w:rPr>
              <w:t>MIDI输入输出接口</w:t>
            </w:r>
            <w:r>
              <w:rPr>
                <w:rFonts w:hint="eastAsia"/>
                <w:color w:val="000000"/>
                <w:sz w:val="18"/>
                <w:szCs w:val="18"/>
              </w:rPr>
              <w:br w:type="textWrapping"/>
            </w:r>
            <w:r>
              <w:rPr>
                <w:rFonts w:hint="eastAsia"/>
                <w:color w:val="000000"/>
                <w:sz w:val="18"/>
                <w:szCs w:val="18"/>
                <w:lang w:val="en-US" w:eastAsia="zh-CN"/>
              </w:rPr>
              <w:t>17.</w:t>
            </w:r>
            <w:r>
              <w:rPr>
                <w:rFonts w:hint="eastAsia"/>
                <w:color w:val="000000"/>
                <w:sz w:val="18"/>
                <w:szCs w:val="18"/>
              </w:rPr>
              <w:t>LTC/SMPTE时间码</w:t>
            </w:r>
            <w:r>
              <w:rPr>
                <w:rFonts w:hint="eastAsia"/>
                <w:color w:val="000000"/>
                <w:sz w:val="18"/>
                <w:szCs w:val="18"/>
              </w:rPr>
              <w:br w:type="textWrapping"/>
            </w:r>
            <w:r>
              <w:rPr>
                <w:rFonts w:hint="eastAsia"/>
                <w:color w:val="000000"/>
                <w:sz w:val="18"/>
                <w:szCs w:val="18"/>
                <w:lang w:val="en-US" w:eastAsia="zh-CN"/>
              </w:rPr>
              <w:t>18.</w:t>
            </w:r>
            <w:r>
              <w:rPr>
                <w:rFonts w:hint="eastAsia"/>
                <w:color w:val="000000"/>
                <w:sz w:val="18"/>
                <w:szCs w:val="18"/>
              </w:rPr>
              <w:t>支持扩展推杆侧翼</w:t>
            </w:r>
            <w:r>
              <w:rPr>
                <w:rFonts w:hint="eastAsia"/>
                <w:color w:val="000000"/>
                <w:sz w:val="18"/>
                <w:szCs w:val="18"/>
              </w:rPr>
              <w:br w:type="textWrapping"/>
            </w:r>
            <w:r>
              <w:rPr>
                <w:rFonts w:hint="eastAsia"/>
                <w:color w:val="000000"/>
                <w:sz w:val="18"/>
                <w:szCs w:val="18"/>
                <w:lang w:val="en-US" w:eastAsia="zh-CN"/>
              </w:rPr>
              <w:t>19.</w:t>
            </w:r>
            <w:r>
              <w:rPr>
                <w:rFonts w:hint="eastAsia"/>
                <w:color w:val="000000"/>
                <w:sz w:val="18"/>
                <w:szCs w:val="18"/>
              </w:rPr>
              <w:t>2个LED鹅颈灯插口</w:t>
            </w:r>
            <w:r>
              <w:rPr>
                <w:rFonts w:hint="eastAsia"/>
                <w:color w:val="000000"/>
                <w:sz w:val="18"/>
                <w:szCs w:val="18"/>
              </w:rPr>
              <w:br w:type="textWrapping"/>
            </w:r>
            <w:r>
              <w:rPr>
                <w:rFonts w:hint="eastAsia"/>
                <w:color w:val="000000"/>
                <w:sz w:val="18"/>
                <w:szCs w:val="18"/>
                <w:lang w:val="en-US" w:eastAsia="zh-CN"/>
              </w:rPr>
              <w:t>20</w:t>
            </w:r>
            <w:r>
              <w:rPr>
                <w:rFonts w:hint="eastAsia"/>
                <w:color w:val="000000"/>
                <w:sz w:val="18"/>
                <w:szCs w:val="18"/>
              </w:rPr>
              <w:t>固态硬盘1个</w:t>
            </w:r>
            <w:r>
              <w:rPr>
                <w:rFonts w:hint="eastAsia"/>
                <w:color w:val="000000"/>
                <w:sz w:val="18"/>
                <w:szCs w:val="18"/>
              </w:rPr>
              <w:br w:type="textWrapping"/>
            </w:r>
            <w:r>
              <w:rPr>
                <w:rFonts w:hint="eastAsia"/>
                <w:color w:val="000000"/>
                <w:sz w:val="18"/>
                <w:szCs w:val="18"/>
                <w:lang w:val="en-US" w:eastAsia="zh-CN"/>
              </w:rPr>
              <w:t>21.</w:t>
            </w:r>
            <w:r>
              <w:rPr>
                <w:rFonts w:hint="eastAsia"/>
                <w:color w:val="000000"/>
                <w:sz w:val="18"/>
                <w:szCs w:val="18"/>
              </w:rPr>
              <w:t>Intel i3 CPU</w:t>
            </w:r>
            <w:r>
              <w:rPr>
                <w:rFonts w:hint="eastAsia"/>
                <w:color w:val="000000"/>
                <w:sz w:val="18"/>
                <w:szCs w:val="18"/>
              </w:rPr>
              <w:br w:type="textWrapping"/>
            </w:r>
            <w:r>
              <w:rPr>
                <w:rFonts w:hint="eastAsia"/>
                <w:color w:val="000000"/>
                <w:sz w:val="18"/>
                <w:szCs w:val="18"/>
                <w:lang w:val="en-US" w:eastAsia="zh-CN"/>
              </w:rPr>
              <w:t>22.</w:t>
            </w:r>
            <w:r>
              <w:rPr>
                <w:rFonts w:hint="eastAsia"/>
                <w:color w:val="000000"/>
                <w:sz w:val="18"/>
                <w:szCs w:val="18"/>
              </w:rPr>
              <w:t>2GB 内存</w:t>
            </w:r>
            <w:r>
              <w:rPr>
                <w:rFonts w:hint="eastAsia"/>
                <w:color w:val="000000"/>
                <w:sz w:val="18"/>
                <w:szCs w:val="18"/>
              </w:rPr>
              <w:br w:type="textWrapping"/>
            </w:r>
            <w:r>
              <w:rPr>
                <w:rFonts w:hint="eastAsia"/>
                <w:color w:val="000000"/>
                <w:sz w:val="18"/>
                <w:szCs w:val="18"/>
                <w:lang w:val="en-US" w:eastAsia="zh-CN"/>
              </w:rPr>
              <w:t>23.</w:t>
            </w:r>
            <w:r>
              <w:rPr>
                <w:rFonts w:hint="eastAsia"/>
                <w:color w:val="000000"/>
                <w:sz w:val="18"/>
                <w:szCs w:val="18"/>
              </w:rPr>
              <w:t>Geforce显卡2块</w:t>
            </w:r>
            <w:r>
              <w:rPr>
                <w:rFonts w:hint="eastAsia"/>
                <w:color w:val="000000"/>
                <w:sz w:val="18"/>
                <w:szCs w:val="18"/>
              </w:rPr>
              <w:br w:type="textWrapping"/>
            </w:r>
            <w:r>
              <w:rPr>
                <w:rFonts w:hint="eastAsia"/>
                <w:color w:val="000000"/>
                <w:sz w:val="18"/>
                <w:szCs w:val="18"/>
                <w:lang w:val="en-US" w:eastAsia="zh-CN"/>
              </w:rPr>
              <w:t>24.</w:t>
            </w:r>
            <w:r>
              <w:rPr>
                <w:rFonts w:hint="eastAsia"/>
                <w:color w:val="000000"/>
                <w:sz w:val="18"/>
                <w:szCs w:val="18"/>
              </w:rPr>
              <w:t>AC 电源: 100-240 V, 50/60Hz</w:t>
            </w:r>
          </w:p>
        </w:tc>
      </w:tr>
      <w:tr w14:paraId="2B6E0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21806BF8">
            <w:pPr>
              <w:jc w:val="center"/>
              <w:rPr>
                <w:rFonts w:ascii="宋体" w:hAnsi="宋体" w:cs="宋体"/>
                <w:sz w:val="18"/>
                <w:szCs w:val="18"/>
              </w:rPr>
            </w:pPr>
          </w:p>
        </w:tc>
        <w:tc>
          <w:tcPr>
            <w:tcW w:w="436" w:type="pct"/>
            <w:vAlign w:val="center"/>
          </w:tcPr>
          <w:p w14:paraId="589CB432">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11</w:t>
            </w:r>
          </w:p>
        </w:tc>
        <w:tc>
          <w:tcPr>
            <w:tcW w:w="438" w:type="pct"/>
            <w:gridSpan w:val="2"/>
            <w:vAlign w:val="center"/>
          </w:tcPr>
          <w:p w14:paraId="538F1087">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NPU</w:t>
            </w:r>
          </w:p>
        </w:tc>
        <w:tc>
          <w:tcPr>
            <w:tcW w:w="445" w:type="pct"/>
            <w:vAlign w:val="center"/>
          </w:tcPr>
          <w:p w14:paraId="3E7CFC04">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数字DMX解码器</w:t>
            </w:r>
          </w:p>
        </w:tc>
        <w:tc>
          <w:tcPr>
            <w:tcW w:w="277" w:type="pct"/>
            <w:vAlign w:val="center"/>
          </w:tcPr>
          <w:p w14:paraId="160BEF6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244" w:type="pct"/>
            <w:vAlign w:val="center"/>
          </w:tcPr>
          <w:p w14:paraId="0A97410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4"/>
            <w:vAlign w:val="center"/>
          </w:tcPr>
          <w:p w14:paraId="09B2512C">
            <w:pPr>
              <w:rPr>
                <w:rFonts w:ascii="宋体" w:hAnsi="宋体" w:cs="宋体"/>
                <w:color w:val="000000"/>
                <w:sz w:val="18"/>
                <w:szCs w:val="18"/>
              </w:rPr>
            </w:pPr>
            <w:r>
              <w:rPr>
                <w:rFonts w:hint="eastAsia"/>
                <w:color w:val="000000"/>
                <w:sz w:val="18"/>
                <w:szCs w:val="18"/>
              </w:rPr>
              <w:t>实时计算，自带 8个DMX512输出口，可同时输出  4,096控制参数</w:t>
            </w:r>
            <w:r>
              <w:rPr>
                <w:rFonts w:hint="eastAsia"/>
                <w:color w:val="000000"/>
                <w:sz w:val="18"/>
                <w:szCs w:val="18"/>
              </w:rPr>
              <w:br w:type="textWrapping"/>
            </w:r>
            <w:r>
              <w:rPr>
                <w:rFonts w:hint="eastAsia"/>
                <w:color w:val="000000"/>
                <w:sz w:val="18"/>
                <w:szCs w:val="18"/>
                <w:lang w:val="en-US" w:eastAsia="zh-CN"/>
              </w:rPr>
              <w:t>1、</w:t>
            </w:r>
            <w:r>
              <w:rPr>
                <w:rFonts w:hint="eastAsia"/>
                <w:color w:val="000000"/>
                <w:sz w:val="18"/>
                <w:szCs w:val="18"/>
              </w:rPr>
              <w:t>1个内置触摸式指令屏幕(7”  SVGA)有 TFT触摸屏</w:t>
            </w:r>
            <w:r>
              <w:rPr>
                <w:rFonts w:hint="eastAsia"/>
                <w:color w:val="000000"/>
                <w:sz w:val="18"/>
                <w:szCs w:val="18"/>
              </w:rPr>
              <w:br w:type="textWrapping"/>
            </w:r>
            <w:r>
              <w:rPr>
                <w:rFonts w:hint="eastAsia"/>
                <w:color w:val="000000"/>
                <w:sz w:val="18"/>
                <w:szCs w:val="18"/>
                <w:lang w:val="en-US" w:eastAsia="zh-CN"/>
              </w:rPr>
              <w:t>2、</w:t>
            </w:r>
            <w:r>
              <w:rPr>
                <w:rFonts w:hint="eastAsia"/>
                <w:color w:val="000000"/>
                <w:sz w:val="18"/>
                <w:szCs w:val="18"/>
              </w:rPr>
              <w:t xml:space="preserve"> 1个千兆以太网接口，２个USB接口</w:t>
            </w:r>
          </w:p>
        </w:tc>
      </w:tr>
      <w:tr w14:paraId="65160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3F132029">
            <w:pPr>
              <w:jc w:val="center"/>
              <w:rPr>
                <w:rFonts w:ascii="宋体" w:hAnsi="宋体" w:cs="宋体"/>
                <w:sz w:val="18"/>
                <w:szCs w:val="18"/>
              </w:rPr>
            </w:pPr>
          </w:p>
        </w:tc>
        <w:tc>
          <w:tcPr>
            <w:tcW w:w="436" w:type="pct"/>
            <w:vAlign w:val="center"/>
          </w:tcPr>
          <w:p w14:paraId="7D804F44">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12</w:t>
            </w:r>
          </w:p>
        </w:tc>
        <w:tc>
          <w:tcPr>
            <w:tcW w:w="438" w:type="pct"/>
            <w:gridSpan w:val="2"/>
            <w:vAlign w:val="center"/>
          </w:tcPr>
          <w:p w14:paraId="460A5168">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信号放大器</w:t>
            </w:r>
          </w:p>
        </w:tc>
        <w:tc>
          <w:tcPr>
            <w:tcW w:w="445" w:type="pct"/>
            <w:vAlign w:val="center"/>
          </w:tcPr>
          <w:p w14:paraId="26A8CB92">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2进八出信号放大器</w:t>
            </w:r>
          </w:p>
        </w:tc>
        <w:tc>
          <w:tcPr>
            <w:tcW w:w="277" w:type="pct"/>
            <w:vAlign w:val="center"/>
          </w:tcPr>
          <w:p w14:paraId="4E4BD564">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244" w:type="pct"/>
            <w:vAlign w:val="center"/>
          </w:tcPr>
          <w:p w14:paraId="59690B2F">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4"/>
            <w:vAlign w:val="center"/>
          </w:tcPr>
          <w:p w14:paraId="7533E067">
            <w:pPr>
              <w:numPr>
                <w:ilvl w:val="0"/>
                <w:numId w:val="0"/>
              </w:numPr>
              <w:ind w:leftChars="0"/>
              <w:rPr>
                <w:rFonts w:ascii="宋体" w:hAnsi="宋体" w:cs="宋体"/>
                <w:color w:val="000000"/>
                <w:sz w:val="18"/>
                <w:szCs w:val="18"/>
              </w:rPr>
            </w:pPr>
            <w:r>
              <w:rPr>
                <w:rFonts w:hint="eastAsia"/>
                <w:color w:val="000000"/>
                <w:sz w:val="18"/>
                <w:szCs w:val="18"/>
                <w:lang w:val="en-US" w:eastAsia="zh-CN"/>
              </w:rPr>
              <w:t>1、</w:t>
            </w:r>
            <w:r>
              <w:rPr>
                <w:rFonts w:hint="eastAsia"/>
                <w:color w:val="000000"/>
                <w:sz w:val="18"/>
                <w:szCs w:val="18"/>
              </w:rPr>
              <w:t>输入电压：AC90V-240V 50HZ/60HZ</w:t>
            </w:r>
            <w:r>
              <w:rPr>
                <w:rFonts w:hint="eastAsia"/>
                <w:color w:val="000000"/>
                <w:sz w:val="18"/>
                <w:szCs w:val="18"/>
              </w:rPr>
              <w:br w:type="textWrapping"/>
            </w:r>
            <w:r>
              <w:rPr>
                <w:rFonts w:hint="eastAsia"/>
                <w:color w:val="000000"/>
                <w:sz w:val="18"/>
                <w:szCs w:val="18"/>
                <w:lang w:val="en-US" w:eastAsia="zh-CN"/>
              </w:rPr>
              <w:t>2、</w:t>
            </w:r>
            <w:r>
              <w:rPr>
                <w:rFonts w:hint="eastAsia"/>
                <w:color w:val="000000"/>
                <w:sz w:val="18"/>
                <w:szCs w:val="18"/>
              </w:rPr>
              <w:t>每一路都是独立的变压器供电和八个光学隔离信号放大器来扩大DMX输出</w:t>
            </w:r>
            <w:r>
              <w:rPr>
                <w:rFonts w:hint="eastAsia"/>
                <w:color w:val="000000"/>
                <w:sz w:val="18"/>
                <w:szCs w:val="18"/>
              </w:rPr>
              <w:br w:type="textWrapping"/>
            </w:r>
            <w:r>
              <w:rPr>
                <w:rFonts w:hint="eastAsia"/>
                <w:color w:val="000000"/>
                <w:sz w:val="18"/>
                <w:szCs w:val="18"/>
                <w:lang w:val="en-US" w:eastAsia="zh-CN"/>
              </w:rPr>
              <w:t>3、</w:t>
            </w:r>
            <w:r>
              <w:rPr>
                <w:rFonts w:hint="eastAsia"/>
                <w:color w:val="000000"/>
                <w:sz w:val="18"/>
                <w:szCs w:val="18"/>
              </w:rPr>
              <w:t>放大功能可以令连接延长超过标准的DMX512长度</w:t>
            </w:r>
            <w:r>
              <w:rPr>
                <w:rFonts w:hint="eastAsia"/>
                <w:color w:val="000000"/>
                <w:sz w:val="18"/>
                <w:szCs w:val="18"/>
              </w:rPr>
              <w:br w:type="textWrapping"/>
            </w:r>
            <w:r>
              <w:rPr>
                <w:rFonts w:hint="eastAsia"/>
                <w:color w:val="000000"/>
                <w:sz w:val="18"/>
                <w:szCs w:val="18"/>
                <w:lang w:val="en-US" w:eastAsia="zh-CN"/>
              </w:rPr>
              <w:t>4、</w:t>
            </w:r>
            <w:r>
              <w:rPr>
                <w:rFonts w:hint="eastAsia"/>
                <w:color w:val="000000"/>
                <w:sz w:val="18"/>
                <w:szCs w:val="18"/>
              </w:rPr>
              <w:t>若需要额外的位置，可以在同一连接上使用多个信号放大器</w:t>
            </w:r>
            <w:r>
              <w:rPr>
                <w:rFonts w:hint="eastAsia"/>
                <w:color w:val="000000"/>
                <w:sz w:val="18"/>
                <w:szCs w:val="18"/>
              </w:rPr>
              <w:br w:type="textWrapping"/>
            </w:r>
            <w:r>
              <w:rPr>
                <w:rFonts w:hint="eastAsia"/>
                <w:color w:val="000000"/>
                <w:sz w:val="18"/>
                <w:szCs w:val="18"/>
                <w:lang w:val="en-US" w:eastAsia="zh-CN"/>
              </w:rPr>
              <w:t>5、</w:t>
            </w:r>
            <w:r>
              <w:rPr>
                <w:rFonts w:hint="eastAsia"/>
                <w:color w:val="000000"/>
                <w:sz w:val="18"/>
                <w:szCs w:val="18"/>
              </w:rPr>
              <w:t>每个连接的位置可以独立地连接，最多可达32台灯具</w:t>
            </w:r>
          </w:p>
        </w:tc>
      </w:tr>
      <w:tr w14:paraId="2EC13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355" w:type="pct"/>
            <w:gridSpan w:val="2"/>
            <w:vMerge w:val="continue"/>
          </w:tcPr>
          <w:p w14:paraId="2D405757">
            <w:pPr>
              <w:jc w:val="center"/>
              <w:rPr>
                <w:rFonts w:ascii="宋体" w:hAnsi="宋体" w:cs="宋体"/>
                <w:sz w:val="18"/>
                <w:szCs w:val="18"/>
              </w:rPr>
            </w:pPr>
          </w:p>
        </w:tc>
        <w:tc>
          <w:tcPr>
            <w:tcW w:w="436" w:type="pct"/>
            <w:vAlign w:val="center"/>
          </w:tcPr>
          <w:p w14:paraId="6337A720">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13</w:t>
            </w:r>
          </w:p>
        </w:tc>
        <w:tc>
          <w:tcPr>
            <w:tcW w:w="438" w:type="pct"/>
            <w:gridSpan w:val="2"/>
            <w:vAlign w:val="center"/>
          </w:tcPr>
          <w:p w14:paraId="530215C8">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无线信号发射器</w:t>
            </w:r>
          </w:p>
        </w:tc>
        <w:tc>
          <w:tcPr>
            <w:tcW w:w="445" w:type="pct"/>
            <w:vAlign w:val="center"/>
          </w:tcPr>
          <w:p w14:paraId="505E68E9">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IP６５千米DMX信号发射器</w:t>
            </w:r>
          </w:p>
        </w:tc>
        <w:tc>
          <w:tcPr>
            <w:tcW w:w="277" w:type="pct"/>
            <w:vAlign w:val="center"/>
          </w:tcPr>
          <w:p w14:paraId="0253AAC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244" w:type="pct"/>
            <w:vAlign w:val="center"/>
          </w:tcPr>
          <w:p w14:paraId="7A42DBE0">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4"/>
            <w:vAlign w:val="center"/>
          </w:tcPr>
          <w:p w14:paraId="69D0F125">
            <w:pPr>
              <w:rPr>
                <w:rFonts w:ascii="宋体" w:hAnsi="宋体" w:cs="宋体"/>
                <w:color w:val="000000"/>
                <w:sz w:val="18"/>
                <w:szCs w:val="18"/>
              </w:rPr>
            </w:pPr>
            <w:r>
              <w:rPr>
                <w:rFonts w:hint="eastAsia"/>
                <w:color w:val="000000"/>
                <w:sz w:val="18"/>
                <w:szCs w:val="18"/>
                <w:lang w:val="en-US" w:eastAsia="zh-CN"/>
              </w:rPr>
              <w:t>1、</w:t>
            </w:r>
            <w:r>
              <w:rPr>
                <w:rFonts w:hint="eastAsia"/>
                <w:color w:val="000000"/>
                <w:sz w:val="18"/>
                <w:szCs w:val="18"/>
              </w:rPr>
              <w:t>发射高功率信号2.4G，无线；</w:t>
            </w:r>
            <w:r>
              <w:rPr>
                <w:rFonts w:hint="eastAsia"/>
                <w:color w:val="000000"/>
                <w:sz w:val="18"/>
                <w:szCs w:val="18"/>
              </w:rPr>
              <w:br w:type="textWrapping"/>
            </w:r>
            <w:r>
              <w:rPr>
                <w:rFonts w:hint="eastAsia"/>
                <w:color w:val="000000"/>
                <w:sz w:val="18"/>
                <w:szCs w:val="18"/>
                <w:lang w:val="en-US" w:eastAsia="zh-CN"/>
              </w:rPr>
              <w:t>2、</w:t>
            </w:r>
            <w:r>
              <w:rPr>
                <w:rFonts w:hint="eastAsia"/>
                <w:color w:val="000000"/>
                <w:sz w:val="18"/>
                <w:szCs w:val="18"/>
              </w:rPr>
              <w:t>自动识别信号；</w:t>
            </w:r>
            <w:r>
              <w:rPr>
                <w:rFonts w:hint="eastAsia"/>
                <w:color w:val="000000"/>
                <w:sz w:val="18"/>
                <w:szCs w:val="18"/>
              </w:rPr>
              <w:br w:type="textWrapping"/>
            </w:r>
            <w:r>
              <w:rPr>
                <w:rFonts w:hint="eastAsia"/>
                <w:color w:val="000000"/>
                <w:sz w:val="18"/>
                <w:szCs w:val="18"/>
                <w:lang w:val="en-US" w:eastAsia="zh-CN"/>
              </w:rPr>
              <w:t>3、</w:t>
            </w:r>
            <w:r>
              <w:rPr>
                <w:rFonts w:hint="eastAsia"/>
                <w:color w:val="000000"/>
                <w:sz w:val="18"/>
                <w:szCs w:val="18"/>
              </w:rPr>
              <w:t>适用于各种DMX 512灯具技术的规格</w:t>
            </w:r>
            <w:r>
              <w:rPr>
                <w:rFonts w:hint="eastAsia"/>
                <w:color w:val="000000"/>
                <w:sz w:val="18"/>
                <w:szCs w:val="18"/>
                <w:lang w:eastAsia="zh-CN"/>
              </w:rPr>
              <w:t>：</w:t>
            </w:r>
            <w:r>
              <w:rPr>
                <w:rFonts w:hint="eastAsia"/>
                <w:color w:val="000000"/>
                <w:sz w:val="18"/>
                <w:szCs w:val="18"/>
              </w:rPr>
              <w:t>DMX信号输出</w:t>
            </w:r>
            <w:r>
              <w:rPr>
                <w:rFonts w:hint="eastAsia"/>
                <w:color w:val="000000"/>
                <w:sz w:val="18"/>
                <w:szCs w:val="18"/>
              </w:rPr>
              <w:br w:type="textWrapping"/>
            </w:r>
            <w:r>
              <w:rPr>
                <w:rFonts w:hint="eastAsia"/>
                <w:color w:val="000000"/>
                <w:sz w:val="18"/>
                <w:szCs w:val="18"/>
                <w:lang w:val="en-US" w:eastAsia="zh-CN"/>
              </w:rPr>
              <w:t>4、</w:t>
            </w:r>
            <w:r>
              <w:rPr>
                <w:rFonts w:hint="eastAsia"/>
                <w:color w:val="000000"/>
                <w:sz w:val="18"/>
                <w:szCs w:val="18"/>
              </w:rPr>
              <w:t>信号强度：2.4G</w:t>
            </w:r>
            <w:r>
              <w:rPr>
                <w:rFonts w:hint="eastAsia"/>
                <w:color w:val="000000"/>
                <w:sz w:val="18"/>
                <w:szCs w:val="18"/>
              </w:rPr>
              <w:br w:type="textWrapping"/>
            </w:r>
            <w:r>
              <w:rPr>
                <w:rFonts w:hint="eastAsia"/>
                <w:color w:val="000000"/>
                <w:sz w:val="18"/>
                <w:szCs w:val="18"/>
                <w:lang w:val="en-US" w:eastAsia="zh-CN"/>
              </w:rPr>
              <w:t>5、</w:t>
            </w:r>
            <w:r>
              <w:rPr>
                <w:rFonts w:hint="eastAsia"/>
                <w:color w:val="000000"/>
                <w:sz w:val="18"/>
                <w:szCs w:val="18"/>
              </w:rPr>
              <w:t>接收距离：支持500m（无障碍物）</w:t>
            </w:r>
          </w:p>
        </w:tc>
      </w:tr>
      <w:tr w14:paraId="25036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6053CF3B">
            <w:pPr>
              <w:jc w:val="center"/>
              <w:rPr>
                <w:rFonts w:ascii="宋体" w:hAnsi="宋体" w:cs="宋体"/>
                <w:sz w:val="18"/>
                <w:szCs w:val="18"/>
              </w:rPr>
            </w:pPr>
          </w:p>
        </w:tc>
        <w:tc>
          <w:tcPr>
            <w:tcW w:w="436" w:type="pct"/>
            <w:vAlign w:val="center"/>
          </w:tcPr>
          <w:p w14:paraId="49E7E50D">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14</w:t>
            </w:r>
          </w:p>
        </w:tc>
        <w:tc>
          <w:tcPr>
            <w:tcW w:w="438" w:type="pct"/>
            <w:gridSpan w:val="2"/>
            <w:vAlign w:val="center"/>
          </w:tcPr>
          <w:p w14:paraId="3E7A4F35">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无线信号接收器</w:t>
            </w:r>
          </w:p>
        </w:tc>
        <w:tc>
          <w:tcPr>
            <w:tcW w:w="445" w:type="pct"/>
            <w:vAlign w:val="center"/>
          </w:tcPr>
          <w:p w14:paraId="5DDE4088">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IP６５千米DMX信号接收器</w:t>
            </w:r>
          </w:p>
        </w:tc>
        <w:tc>
          <w:tcPr>
            <w:tcW w:w="277" w:type="pct"/>
            <w:vAlign w:val="center"/>
          </w:tcPr>
          <w:p w14:paraId="01E6DD95">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244" w:type="pct"/>
            <w:vAlign w:val="center"/>
          </w:tcPr>
          <w:p w14:paraId="48286F08">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4"/>
            <w:vAlign w:val="center"/>
          </w:tcPr>
          <w:p w14:paraId="4DB89C84">
            <w:pPr>
              <w:rPr>
                <w:rFonts w:ascii="宋体" w:hAnsi="宋体" w:cs="宋体"/>
                <w:color w:val="000000"/>
                <w:sz w:val="18"/>
                <w:szCs w:val="18"/>
              </w:rPr>
            </w:pPr>
            <w:r>
              <w:rPr>
                <w:rFonts w:hint="eastAsia"/>
                <w:color w:val="000000"/>
                <w:sz w:val="18"/>
                <w:szCs w:val="18"/>
                <w:lang w:val="en-US" w:eastAsia="zh-CN"/>
              </w:rPr>
              <w:t>1、</w:t>
            </w:r>
            <w:r>
              <w:rPr>
                <w:rFonts w:hint="eastAsia"/>
                <w:color w:val="000000"/>
                <w:sz w:val="18"/>
                <w:szCs w:val="18"/>
              </w:rPr>
              <w:t>接收高功率信号2.4G，无线；</w:t>
            </w:r>
            <w:r>
              <w:rPr>
                <w:rFonts w:hint="eastAsia"/>
                <w:color w:val="000000"/>
                <w:sz w:val="18"/>
                <w:szCs w:val="18"/>
              </w:rPr>
              <w:br w:type="textWrapping"/>
            </w:r>
            <w:r>
              <w:rPr>
                <w:rFonts w:hint="eastAsia"/>
                <w:color w:val="000000"/>
                <w:sz w:val="18"/>
                <w:szCs w:val="18"/>
                <w:lang w:val="en-US" w:eastAsia="zh-CN"/>
              </w:rPr>
              <w:t>2、</w:t>
            </w:r>
            <w:r>
              <w:rPr>
                <w:rFonts w:hint="eastAsia"/>
                <w:color w:val="000000"/>
                <w:sz w:val="18"/>
                <w:szCs w:val="18"/>
              </w:rPr>
              <w:t>自动识别信号；</w:t>
            </w:r>
            <w:r>
              <w:rPr>
                <w:rFonts w:hint="eastAsia"/>
                <w:color w:val="000000"/>
                <w:sz w:val="18"/>
                <w:szCs w:val="18"/>
              </w:rPr>
              <w:br w:type="textWrapping"/>
            </w:r>
            <w:r>
              <w:rPr>
                <w:rFonts w:hint="eastAsia"/>
                <w:color w:val="000000"/>
                <w:sz w:val="18"/>
                <w:szCs w:val="18"/>
                <w:lang w:val="en-US" w:eastAsia="zh-CN"/>
              </w:rPr>
              <w:t>3、</w:t>
            </w:r>
            <w:r>
              <w:rPr>
                <w:rFonts w:hint="eastAsia"/>
                <w:color w:val="000000"/>
                <w:sz w:val="18"/>
                <w:szCs w:val="18"/>
              </w:rPr>
              <w:t>适用于各种DMX 512灯具技术的规格</w:t>
            </w:r>
            <w:r>
              <w:rPr>
                <w:rFonts w:hint="eastAsia"/>
                <w:color w:val="000000"/>
                <w:sz w:val="18"/>
                <w:szCs w:val="18"/>
                <w:lang w:eastAsia="zh-CN"/>
              </w:rPr>
              <w:t>：</w:t>
            </w:r>
            <w:r>
              <w:rPr>
                <w:rFonts w:hint="eastAsia"/>
                <w:color w:val="000000"/>
                <w:sz w:val="18"/>
                <w:szCs w:val="18"/>
              </w:rPr>
              <w:t>DMX信号输出</w:t>
            </w:r>
            <w:r>
              <w:rPr>
                <w:rFonts w:hint="eastAsia"/>
                <w:color w:val="000000"/>
                <w:sz w:val="18"/>
                <w:szCs w:val="18"/>
              </w:rPr>
              <w:br w:type="textWrapping"/>
            </w:r>
            <w:r>
              <w:rPr>
                <w:rFonts w:hint="eastAsia"/>
                <w:color w:val="000000"/>
                <w:sz w:val="18"/>
                <w:szCs w:val="18"/>
                <w:lang w:val="en-US" w:eastAsia="zh-CN"/>
              </w:rPr>
              <w:t>4、</w:t>
            </w:r>
            <w:r>
              <w:rPr>
                <w:rFonts w:hint="eastAsia"/>
                <w:color w:val="000000"/>
                <w:sz w:val="18"/>
                <w:szCs w:val="18"/>
              </w:rPr>
              <w:t>信号强度：2.4G</w:t>
            </w:r>
            <w:r>
              <w:rPr>
                <w:rFonts w:hint="eastAsia"/>
                <w:color w:val="000000"/>
                <w:sz w:val="18"/>
                <w:szCs w:val="18"/>
              </w:rPr>
              <w:br w:type="textWrapping"/>
            </w:r>
            <w:r>
              <w:rPr>
                <w:rFonts w:hint="eastAsia"/>
                <w:color w:val="000000"/>
                <w:sz w:val="18"/>
                <w:szCs w:val="18"/>
                <w:lang w:val="en-US" w:eastAsia="zh-CN"/>
              </w:rPr>
              <w:t>5、</w:t>
            </w:r>
            <w:r>
              <w:rPr>
                <w:rFonts w:hint="eastAsia"/>
                <w:color w:val="000000"/>
                <w:sz w:val="18"/>
                <w:szCs w:val="18"/>
              </w:rPr>
              <w:t>接收距离：≧500m（无障碍物）</w:t>
            </w:r>
          </w:p>
        </w:tc>
      </w:tr>
      <w:tr w14:paraId="1E873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28E1236C">
            <w:pPr>
              <w:jc w:val="center"/>
              <w:rPr>
                <w:rFonts w:ascii="宋体" w:hAnsi="宋体" w:cs="宋体"/>
                <w:sz w:val="18"/>
                <w:szCs w:val="18"/>
              </w:rPr>
            </w:pPr>
          </w:p>
        </w:tc>
        <w:tc>
          <w:tcPr>
            <w:tcW w:w="436" w:type="pct"/>
            <w:vAlign w:val="center"/>
          </w:tcPr>
          <w:p w14:paraId="5A5F34B7">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15</w:t>
            </w:r>
          </w:p>
        </w:tc>
        <w:tc>
          <w:tcPr>
            <w:tcW w:w="438" w:type="pct"/>
            <w:gridSpan w:val="2"/>
            <w:vAlign w:val="center"/>
          </w:tcPr>
          <w:p w14:paraId="153C0D5F">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重烟机（仿干冰）</w:t>
            </w:r>
          </w:p>
        </w:tc>
        <w:tc>
          <w:tcPr>
            <w:tcW w:w="445" w:type="pct"/>
            <w:vAlign w:val="center"/>
          </w:tcPr>
          <w:p w14:paraId="285A5DD7">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重烟机</w:t>
            </w:r>
          </w:p>
        </w:tc>
        <w:tc>
          <w:tcPr>
            <w:tcW w:w="277" w:type="pct"/>
            <w:vAlign w:val="center"/>
          </w:tcPr>
          <w:p w14:paraId="3CE63D8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244" w:type="pct"/>
            <w:vAlign w:val="center"/>
          </w:tcPr>
          <w:p w14:paraId="75259B27">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4"/>
            <w:vAlign w:val="center"/>
          </w:tcPr>
          <w:p w14:paraId="75BA41EB">
            <w:pPr>
              <w:rPr>
                <w:rFonts w:ascii="宋体" w:hAnsi="宋体" w:cs="宋体"/>
                <w:color w:val="000000"/>
                <w:sz w:val="18"/>
                <w:szCs w:val="18"/>
              </w:rPr>
            </w:pPr>
            <w:r>
              <w:rPr>
                <w:rFonts w:hint="eastAsia"/>
                <w:color w:val="000000"/>
                <w:sz w:val="18"/>
                <w:szCs w:val="18"/>
                <w:lang w:val="en-US" w:eastAsia="zh-CN"/>
              </w:rPr>
              <w:t>1、</w:t>
            </w:r>
            <w:r>
              <w:rPr>
                <w:rFonts w:hint="eastAsia"/>
                <w:color w:val="000000"/>
                <w:sz w:val="18"/>
                <w:szCs w:val="18"/>
              </w:rPr>
              <w:t>使用电压：AC 220V-240V,50/60Hz</w:t>
            </w:r>
            <w:r>
              <w:rPr>
                <w:rFonts w:hint="eastAsia"/>
                <w:color w:val="000000"/>
                <w:sz w:val="18"/>
                <w:szCs w:val="18"/>
              </w:rPr>
              <w:br w:type="textWrapping"/>
            </w:r>
            <w:r>
              <w:rPr>
                <w:rFonts w:hint="eastAsia"/>
                <w:color w:val="000000"/>
                <w:sz w:val="18"/>
                <w:szCs w:val="18"/>
                <w:lang w:val="en-US" w:eastAsia="zh-CN"/>
              </w:rPr>
              <w:t>2、</w:t>
            </w:r>
            <w:r>
              <w:rPr>
                <w:rFonts w:hint="eastAsia"/>
                <w:color w:val="000000"/>
                <w:sz w:val="18"/>
                <w:szCs w:val="18"/>
              </w:rPr>
              <w:t>限流保险：10A/250V</w:t>
            </w:r>
            <w:r>
              <w:rPr>
                <w:rFonts w:hint="eastAsia"/>
                <w:color w:val="000000"/>
                <w:sz w:val="18"/>
                <w:szCs w:val="18"/>
              </w:rPr>
              <w:br w:type="textWrapping"/>
            </w:r>
            <w:r>
              <w:rPr>
                <w:rFonts w:hint="eastAsia"/>
                <w:color w:val="000000"/>
                <w:sz w:val="18"/>
                <w:szCs w:val="18"/>
                <w:lang w:val="en-US" w:eastAsia="zh-CN"/>
              </w:rPr>
              <w:t>3、</w:t>
            </w:r>
            <w:r>
              <w:rPr>
                <w:rFonts w:hint="eastAsia"/>
                <w:color w:val="000000"/>
                <w:sz w:val="18"/>
                <w:szCs w:val="18"/>
              </w:rPr>
              <w:t>总功率：≧2000W</w:t>
            </w:r>
            <w:r>
              <w:rPr>
                <w:rFonts w:hint="eastAsia"/>
                <w:color w:val="000000"/>
                <w:sz w:val="18"/>
                <w:szCs w:val="18"/>
              </w:rPr>
              <w:br w:type="textWrapping"/>
            </w:r>
            <w:r>
              <w:rPr>
                <w:rFonts w:hint="eastAsia"/>
                <w:color w:val="000000"/>
                <w:sz w:val="18"/>
                <w:szCs w:val="18"/>
                <w:lang w:val="en-US" w:eastAsia="zh-CN"/>
              </w:rPr>
              <w:t>4、</w:t>
            </w:r>
            <w:r>
              <w:rPr>
                <w:rFonts w:hint="eastAsia"/>
                <w:color w:val="000000"/>
                <w:sz w:val="18"/>
                <w:szCs w:val="18"/>
              </w:rPr>
              <w:t>预热时间：大约4-5 min</w:t>
            </w:r>
            <w:r>
              <w:rPr>
                <w:rFonts w:hint="eastAsia"/>
                <w:color w:val="000000"/>
                <w:sz w:val="18"/>
                <w:szCs w:val="18"/>
              </w:rPr>
              <w:br w:type="textWrapping"/>
            </w:r>
            <w:r>
              <w:rPr>
                <w:rFonts w:hint="eastAsia"/>
                <w:color w:val="000000"/>
                <w:sz w:val="18"/>
                <w:szCs w:val="18"/>
                <w:lang w:val="en-US" w:eastAsia="zh-CN"/>
              </w:rPr>
              <w:t>5、</w:t>
            </w:r>
            <w:r>
              <w:rPr>
                <w:rFonts w:hint="eastAsia"/>
                <w:color w:val="000000"/>
                <w:sz w:val="18"/>
                <w:szCs w:val="18"/>
              </w:rPr>
              <w:t>最大输出烟雾量：大约15000cuft/min</w:t>
            </w:r>
            <w:r>
              <w:rPr>
                <w:rFonts w:hint="eastAsia"/>
                <w:color w:val="000000"/>
                <w:sz w:val="18"/>
                <w:szCs w:val="18"/>
              </w:rPr>
              <w:br w:type="textWrapping"/>
            </w:r>
            <w:r>
              <w:rPr>
                <w:rFonts w:hint="eastAsia"/>
                <w:color w:val="000000"/>
                <w:sz w:val="18"/>
                <w:szCs w:val="18"/>
                <w:lang w:val="en-US" w:eastAsia="zh-CN"/>
              </w:rPr>
              <w:t>6、</w:t>
            </w:r>
            <w:r>
              <w:rPr>
                <w:rFonts w:hint="eastAsia"/>
                <w:color w:val="000000"/>
                <w:sz w:val="18"/>
                <w:szCs w:val="18"/>
              </w:rPr>
              <w:t>最大输出耗油量：大约29min/L</w:t>
            </w:r>
            <w:r>
              <w:rPr>
                <w:rFonts w:hint="eastAsia"/>
                <w:color w:val="000000"/>
                <w:sz w:val="18"/>
                <w:szCs w:val="18"/>
              </w:rPr>
              <w:br w:type="textWrapping"/>
            </w:r>
            <w:r>
              <w:rPr>
                <w:rFonts w:hint="eastAsia"/>
                <w:color w:val="000000"/>
                <w:sz w:val="18"/>
                <w:szCs w:val="18"/>
                <w:lang w:val="en-US" w:eastAsia="zh-CN"/>
              </w:rPr>
              <w:t>7、</w:t>
            </w:r>
            <w:r>
              <w:rPr>
                <w:rFonts w:hint="eastAsia"/>
                <w:color w:val="000000"/>
                <w:sz w:val="18"/>
                <w:szCs w:val="18"/>
              </w:rPr>
              <w:t>最大覆盖面积：大约300㎡</w:t>
            </w:r>
            <w:r>
              <w:rPr>
                <w:rFonts w:hint="eastAsia"/>
                <w:color w:val="000000"/>
                <w:sz w:val="18"/>
                <w:szCs w:val="18"/>
              </w:rPr>
              <w:br w:type="textWrapping"/>
            </w:r>
            <w:r>
              <w:rPr>
                <w:rFonts w:hint="eastAsia"/>
                <w:color w:val="000000"/>
                <w:sz w:val="18"/>
                <w:szCs w:val="18"/>
                <w:lang w:val="en-US" w:eastAsia="zh-CN"/>
              </w:rPr>
              <w:t>8、</w:t>
            </w:r>
            <w:r>
              <w:rPr>
                <w:rFonts w:hint="eastAsia"/>
                <w:color w:val="000000"/>
                <w:sz w:val="18"/>
                <w:szCs w:val="18"/>
              </w:rPr>
              <w:t>无线遥控器</w:t>
            </w:r>
          </w:p>
        </w:tc>
      </w:tr>
      <w:tr w14:paraId="6BB38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47C943AA">
            <w:pPr>
              <w:jc w:val="center"/>
              <w:rPr>
                <w:rFonts w:ascii="宋体" w:hAnsi="宋体" w:cs="宋体"/>
                <w:sz w:val="18"/>
                <w:szCs w:val="18"/>
              </w:rPr>
            </w:pPr>
          </w:p>
        </w:tc>
        <w:tc>
          <w:tcPr>
            <w:tcW w:w="436" w:type="pct"/>
            <w:vAlign w:val="center"/>
          </w:tcPr>
          <w:p w14:paraId="0AA0C748">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16</w:t>
            </w:r>
          </w:p>
        </w:tc>
        <w:tc>
          <w:tcPr>
            <w:tcW w:w="438" w:type="pct"/>
            <w:gridSpan w:val="2"/>
            <w:vAlign w:val="center"/>
          </w:tcPr>
          <w:p w14:paraId="6C34F9A6">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外鹅卵石演区地脚灯</w:t>
            </w:r>
          </w:p>
        </w:tc>
        <w:tc>
          <w:tcPr>
            <w:tcW w:w="445" w:type="pct"/>
            <w:vAlign w:val="center"/>
          </w:tcPr>
          <w:p w14:paraId="78993D74">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54颗3W防水帕灯</w:t>
            </w:r>
          </w:p>
        </w:tc>
        <w:tc>
          <w:tcPr>
            <w:tcW w:w="277" w:type="pct"/>
            <w:vAlign w:val="center"/>
          </w:tcPr>
          <w:p w14:paraId="3A3050C8">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244" w:type="pct"/>
            <w:vAlign w:val="center"/>
          </w:tcPr>
          <w:p w14:paraId="39F87152">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4"/>
            <w:vAlign w:val="center"/>
          </w:tcPr>
          <w:p w14:paraId="4E0EEA65">
            <w:pPr>
              <w:rPr>
                <w:rFonts w:ascii="宋体" w:hAnsi="宋体" w:cs="宋体"/>
                <w:color w:val="000000"/>
                <w:sz w:val="18"/>
                <w:szCs w:val="18"/>
              </w:rPr>
            </w:pPr>
            <w:r>
              <w:rPr>
                <w:rFonts w:hint="eastAsia"/>
                <w:color w:val="000000"/>
                <w:sz w:val="18"/>
                <w:szCs w:val="18"/>
                <w:lang w:val="en-US" w:eastAsia="zh-CN"/>
              </w:rPr>
              <w:t>1、</w:t>
            </w:r>
            <w:r>
              <w:rPr>
                <w:rFonts w:hint="eastAsia"/>
                <w:color w:val="000000"/>
                <w:sz w:val="18"/>
                <w:szCs w:val="18"/>
              </w:rPr>
              <w:t>额定电压：AC100～240V 50/60Hz</w:t>
            </w:r>
            <w:r>
              <w:rPr>
                <w:rFonts w:hint="eastAsia"/>
                <w:color w:val="000000"/>
                <w:sz w:val="18"/>
                <w:szCs w:val="18"/>
              </w:rPr>
              <w:br w:type="textWrapping"/>
            </w:r>
            <w:r>
              <w:rPr>
                <w:rFonts w:hint="eastAsia"/>
                <w:color w:val="000000"/>
                <w:sz w:val="18"/>
                <w:szCs w:val="18"/>
                <w:lang w:val="en-US" w:eastAsia="zh-CN"/>
              </w:rPr>
              <w:t>2、</w:t>
            </w:r>
            <w:r>
              <w:rPr>
                <w:rFonts w:hint="eastAsia"/>
                <w:color w:val="000000"/>
                <w:sz w:val="18"/>
                <w:szCs w:val="18"/>
              </w:rPr>
              <w:t>额定功率：≧160W</w:t>
            </w:r>
            <w:r>
              <w:rPr>
                <w:rFonts w:hint="eastAsia"/>
                <w:color w:val="000000"/>
                <w:sz w:val="18"/>
                <w:szCs w:val="18"/>
              </w:rPr>
              <w:br w:type="textWrapping"/>
            </w:r>
            <w:r>
              <w:rPr>
                <w:rFonts w:hint="eastAsia"/>
                <w:color w:val="000000"/>
                <w:sz w:val="18"/>
                <w:szCs w:val="18"/>
                <w:lang w:val="en-US" w:eastAsia="zh-CN"/>
              </w:rPr>
              <w:t>3、</w:t>
            </w:r>
            <w:r>
              <w:rPr>
                <w:rFonts w:hint="eastAsia"/>
                <w:color w:val="000000"/>
                <w:sz w:val="18"/>
                <w:szCs w:val="18"/>
              </w:rPr>
              <w:t>电源接口：三芯防水对接接头，一进一出，线长≧3米</w:t>
            </w:r>
            <w:r>
              <w:rPr>
                <w:rFonts w:hint="eastAsia"/>
                <w:color w:val="000000"/>
                <w:sz w:val="18"/>
                <w:szCs w:val="18"/>
              </w:rPr>
              <w:br w:type="textWrapping"/>
            </w:r>
            <w:r>
              <w:rPr>
                <w:rFonts w:hint="eastAsia"/>
                <w:color w:val="000000"/>
                <w:sz w:val="18"/>
                <w:szCs w:val="18"/>
                <w:lang w:val="en-US" w:eastAsia="zh-CN"/>
              </w:rPr>
              <w:t>4、</w:t>
            </w:r>
            <w:r>
              <w:rPr>
                <w:rFonts w:hint="eastAsia"/>
                <w:color w:val="000000"/>
                <w:sz w:val="18"/>
                <w:szCs w:val="18"/>
              </w:rPr>
              <w:t>信号接口：三芯防水对接接头，一进一出，线长≧3米</w:t>
            </w:r>
            <w:r>
              <w:rPr>
                <w:rFonts w:hint="eastAsia"/>
                <w:color w:val="000000"/>
                <w:sz w:val="18"/>
                <w:szCs w:val="18"/>
              </w:rPr>
              <w:br w:type="textWrapping"/>
            </w:r>
            <w:r>
              <w:rPr>
                <w:rFonts w:hint="eastAsia"/>
                <w:color w:val="000000"/>
                <w:sz w:val="18"/>
                <w:szCs w:val="18"/>
                <w:lang w:val="en-US" w:eastAsia="zh-CN"/>
              </w:rPr>
              <w:t>5、</w:t>
            </w:r>
            <w:r>
              <w:rPr>
                <w:rFonts w:hint="eastAsia"/>
                <w:color w:val="000000"/>
                <w:sz w:val="18"/>
                <w:szCs w:val="18"/>
              </w:rPr>
              <w:t>光   源：54颗3W R/G/B/W 四色 LED R：14颗G：14颗 B：14颗 W：12颗</w:t>
            </w:r>
            <w:r>
              <w:rPr>
                <w:rFonts w:hint="eastAsia"/>
                <w:color w:val="000000"/>
                <w:sz w:val="18"/>
                <w:szCs w:val="18"/>
              </w:rPr>
              <w:br w:type="textWrapping"/>
            </w:r>
            <w:r>
              <w:rPr>
                <w:rFonts w:hint="eastAsia"/>
                <w:color w:val="000000"/>
                <w:sz w:val="18"/>
                <w:szCs w:val="18"/>
                <w:lang w:val="en-US" w:eastAsia="zh-CN"/>
              </w:rPr>
              <w:t>6、</w:t>
            </w:r>
            <w:r>
              <w:rPr>
                <w:rFonts w:hint="eastAsia"/>
                <w:color w:val="000000"/>
                <w:sz w:val="18"/>
                <w:szCs w:val="18"/>
              </w:rPr>
              <w:t>照   度：≧5米距离，光斑直径﹤1.5米，中心亮度≧2300LUX</w:t>
            </w:r>
            <w:r>
              <w:rPr>
                <w:rFonts w:hint="eastAsia"/>
                <w:color w:val="000000"/>
                <w:sz w:val="18"/>
                <w:szCs w:val="18"/>
              </w:rPr>
              <w:br w:type="textWrapping"/>
            </w:r>
            <w:r>
              <w:rPr>
                <w:rFonts w:hint="eastAsia"/>
                <w:color w:val="000000"/>
                <w:sz w:val="18"/>
                <w:szCs w:val="18"/>
                <w:lang w:val="en-US" w:eastAsia="zh-CN"/>
              </w:rPr>
              <w:t>7、</w:t>
            </w:r>
            <w:r>
              <w:rPr>
                <w:rFonts w:hint="eastAsia"/>
                <w:color w:val="000000"/>
                <w:sz w:val="18"/>
                <w:szCs w:val="18"/>
              </w:rPr>
              <w:t>灯泡寿命：≧50000小时</w:t>
            </w:r>
            <w:r>
              <w:rPr>
                <w:rFonts w:hint="eastAsia"/>
                <w:color w:val="000000"/>
                <w:sz w:val="18"/>
                <w:szCs w:val="18"/>
              </w:rPr>
              <w:br w:type="textWrapping"/>
            </w:r>
            <w:r>
              <w:rPr>
                <w:rFonts w:hint="eastAsia"/>
                <w:color w:val="000000"/>
                <w:sz w:val="18"/>
                <w:szCs w:val="18"/>
                <w:lang w:val="en-US" w:eastAsia="zh-CN"/>
              </w:rPr>
              <w:t>8、</w:t>
            </w:r>
            <w:r>
              <w:rPr>
                <w:rFonts w:hint="eastAsia"/>
                <w:color w:val="000000"/>
                <w:sz w:val="18"/>
                <w:szCs w:val="18"/>
              </w:rPr>
              <w:t>颜   色：均匀的RGBW混色系统和彩虹效果</w:t>
            </w:r>
            <w:r>
              <w:rPr>
                <w:rFonts w:hint="eastAsia"/>
                <w:color w:val="000000"/>
                <w:sz w:val="18"/>
                <w:szCs w:val="18"/>
              </w:rPr>
              <w:br w:type="textWrapping"/>
            </w:r>
            <w:r>
              <w:rPr>
                <w:rFonts w:hint="eastAsia"/>
                <w:color w:val="000000"/>
                <w:sz w:val="18"/>
                <w:szCs w:val="18"/>
                <w:lang w:val="en-US" w:eastAsia="zh-CN"/>
              </w:rPr>
              <w:t>9、</w:t>
            </w:r>
            <w:r>
              <w:rPr>
                <w:rFonts w:hint="eastAsia"/>
                <w:color w:val="000000"/>
                <w:sz w:val="18"/>
                <w:szCs w:val="18"/>
              </w:rPr>
              <w:t>控制模式：国际标准DMX512信号、声控、RDM、自走、主从</w:t>
            </w:r>
            <w:r>
              <w:rPr>
                <w:rFonts w:hint="eastAsia"/>
                <w:color w:val="000000"/>
                <w:sz w:val="18"/>
                <w:szCs w:val="18"/>
              </w:rPr>
              <w:br w:type="textWrapping"/>
            </w:r>
            <w:r>
              <w:rPr>
                <w:rFonts w:hint="eastAsia"/>
                <w:color w:val="000000"/>
                <w:sz w:val="18"/>
                <w:szCs w:val="18"/>
                <w:lang w:val="en-US" w:eastAsia="zh-CN"/>
              </w:rPr>
              <w:t>10、</w:t>
            </w:r>
            <w:r>
              <w:rPr>
                <w:rFonts w:hint="eastAsia"/>
                <w:color w:val="000000"/>
                <w:sz w:val="18"/>
                <w:szCs w:val="18"/>
              </w:rPr>
              <w:t>通道模式：1种DMX通道（9个国际标准DMX512通道）</w:t>
            </w:r>
            <w:r>
              <w:rPr>
                <w:rFonts w:hint="eastAsia"/>
                <w:color w:val="000000"/>
                <w:sz w:val="18"/>
                <w:szCs w:val="18"/>
              </w:rPr>
              <w:br w:type="textWrapping"/>
            </w:r>
            <w:r>
              <w:rPr>
                <w:rFonts w:hint="eastAsia"/>
                <w:color w:val="000000"/>
                <w:sz w:val="18"/>
                <w:szCs w:val="18"/>
              </w:rPr>
              <w:t>变焦范围：25°（45°，60°可选）</w:t>
            </w:r>
            <w:r>
              <w:rPr>
                <w:rFonts w:hint="eastAsia"/>
                <w:color w:val="000000"/>
                <w:sz w:val="18"/>
                <w:szCs w:val="18"/>
              </w:rPr>
              <w:br w:type="textWrapping"/>
            </w:r>
            <w:r>
              <w:rPr>
                <w:rFonts w:hint="eastAsia"/>
                <w:color w:val="000000"/>
                <w:sz w:val="18"/>
                <w:szCs w:val="18"/>
                <w:lang w:val="en-US" w:eastAsia="zh-CN"/>
              </w:rPr>
              <w:t>11、</w:t>
            </w:r>
            <w:r>
              <w:rPr>
                <w:rFonts w:hint="eastAsia"/>
                <w:color w:val="000000"/>
                <w:sz w:val="18"/>
                <w:szCs w:val="18"/>
              </w:rPr>
              <w:t>频闪系统：独立电子频闪，频闪速度25次/秒，出色的频闪系统，速度可变</w:t>
            </w:r>
            <w:r>
              <w:rPr>
                <w:rFonts w:hint="eastAsia"/>
                <w:color w:val="000000"/>
                <w:sz w:val="18"/>
                <w:szCs w:val="18"/>
              </w:rPr>
              <w:br w:type="textWrapping"/>
            </w:r>
            <w:r>
              <w:rPr>
                <w:rFonts w:hint="eastAsia"/>
                <w:color w:val="000000"/>
                <w:sz w:val="18"/>
                <w:szCs w:val="18"/>
                <w:lang w:val="en-US" w:eastAsia="zh-CN"/>
              </w:rPr>
              <w:t>12、</w:t>
            </w:r>
            <w:r>
              <w:rPr>
                <w:rFonts w:hint="eastAsia"/>
                <w:color w:val="000000"/>
                <w:sz w:val="18"/>
                <w:szCs w:val="18"/>
              </w:rPr>
              <w:t>调光系统：0-100%线性顺滑调光，65536级调光</w:t>
            </w:r>
            <w:r>
              <w:rPr>
                <w:rFonts w:hint="eastAsia"/>
                <w:color w:val="000000"/>
                <w:sz w:val="18"/>
                <w:szCs w:val="18"/>
              </w:rPr>
              <w:br w:type="textWrapping"/>
            </w:r>
            <w:r>
              <w:rPr>
                <w:rFonts w:hint="eastAsia"/>
                <w:color w:val="000000"/>
                <w:sz w:val="18"/>
                <w:szCs w:val="18"/>
                <w:lang w:val="en-US" w:eastAsia="zh-CN"/>
              </w:rPr>
              <w:t>13、</w:t>
            </w:r>
            <w:r>
              <w:rPr>
                <w:rFonts w:hint="eastAsia"/>
                <w:color w:val="000000"/>
                <w:sz w:val="18"/>
                <w:szCs w:val="18"/>
              </w:rPr>
              <w:t>显示系统：采用高灵敏度轻触按键替换常规机械式按键，手感细腻，同时也降低按键过程中产生的噪音</w:t>
            </w:r>
            <w:r>
              <w:rPr>
                <w:rFonts w:hint="eastAsia"/>
                <w:color w:val="000000"/>
                <w:sz w:val="18"/>
                <w:szCs w:val="18"/>
              </w:rPr>
              <w:br w:type="textWrapping"/>
            </w:r>
            <w:r>
              <w:rPr>
                <w:rFonts w:hint="eastAsia"/>
                <w:color w:val="000000"/>
                <w:sz w:val="18"/>
                <w:szCs w:val="18"/>
                <w:lang w:val="en-US" w:eastAsia="zh-CN"/>
              </w:rPr>
              <w:t>14、</w:t>
            </w:r>
            <w:r>
              <w:rPr>
                <w:rFonts w:hint="eastAsia"/>
                <w:color w:val="000000"/>
                <w:sz w:val="18"/>
                <w:szCs w:val="18"/>
              </w:rPr>
              <w:t>防护等级：IP20</w:t>
            </w:r>
          </w:p>
        </w:tc>
      </w:tr>
      <w:tr w14:paraId="56534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restart"/>
            <w:vAlign w:val="center"/>
          </w:tcPr>
          <w:p w14:paraId="1DC4607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访戴亭（牡丹亭）含外紫薇树演区</w:t>
            </w:r>
          </w:p>
        </w:tc>
        <w:tc>
          <w:tcPr>
            <w:tcW w:w="436" w:type="pct"/>
            <w:vAlign w:val="center"/>
          </w:tcPr>
          <w:p w14:paraId="27B131FD">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438" w:type="pct"/>
            <w:gridSpan w:val="2"/>
            <w:vAlign w:val="center"/>
          </w:tcPr>
          <w:p w14:paraId="6480904D">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亭子内全彩帕灯演员照明</w:t>
            </w:r>
          </w:p>
        </w:tc>
        <w:tc>
          <w:tcPr>
            <w:tcW w:w="445" w:type="pct"/>
            <w:vAlign w:val="center"/>
          </w:tcPr>
          <w:p w14:paraId="165D97D6">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全彩84颗8W</w:t>
            </w:r>
          </w:p>
        </w:tc>
        <w:tc>
          <w:tcPr>
            <w:tcW w:w="277" w:type="pct"/>
            <w:vAlign w:val="center"/>
          </w:tcPr>
          <w:p w14:paraId="5F790831">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244" w:type="pct"/>
            <w:vAlign w:val="center"/>
          </w:tcPr>
          <w:p w14:paraId="6153A46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4"/>
            <w:vAlign w:val="center"/>
          </w:tcPr>
          <w:p w14:paraId="4DF40BD0">
            <w:pPr>
              <w:rPr>
                <w:rFonts w:ascii="宋体" w:hAnsi="宋体" w:cs="宋体"/>
                <w:color w:val="000000"/>
                <w:sz w:val="18"/>
                <w:szCs w:val="18"/>
              </w:rPr>
            </w:pPr>
            <w:r>
              <w:rPr>
                <w:rFonts w:hint="eastAsia"/>
                <w:color w:val="000000"/>
                <w:sz w:val="18"/>
                <w:szCs w:val="18"/>
                <w:lang w:val="en-US" w:eastAsia="zh-CN"/>
              </w:rPr>
              <w:t>1、</w:t>
            </w:r>
            <w:r>
              <w:rPr>
                <w:rFonts w:hint="eastAsia"/>
                <w:color w:val="000000"/>
                <w:sz w:val="18"/>
                <w:szCs w:val="18"/>
              </w:rPr>
              <w:t>额定电压：AC100-240V~ 50/60Hz</w:t>
            </w:r>
            <w:r>
              <w:rPr>
                <w:rFonts w:hint="eastAsia"/>
                <w:color w:val="000000"/>
                <w:sz w:val="18"/>
                <w:szCs w:val="18"/>
              </w:rPr>
              <w:br w:type="textWrapping"/>
            </w:r>
            <w:r>
              <w:rPr>
                <w:rFonts w:hint="eastAsia"/>
                <w:color w:val="000000"/>
                <w:sz w:val="18"/>
                <w:szCs w:val="18"/>
                <w:lang w:val="en-US" w:eastAsia="zh-CN"/>
              </w:rPr>
              <w:t>2、</w:t>
            </w:r>
            <w:r>
              <w:rPr>
                <w:rFonts w:hint="eastAsia"/>
                <w:color w:val="000000"/>
                <w:sz w:val="18"/>
                <w:szCs w:val="18"/>
              </w:rPr>
              <w:t>额定功率：≧200W</w:t>
            </w:r>
            <w:r>
              <w:rPr>
                <w:rFonts w:hint="eastAsia"/>
                <w:color w:val="000000"/>
                <w:sz w:val="18"/>
                <w:szCs w:val="18"/>
              </w:rPr>
              <w:br w:type="textWrapping"/>
            </w:r>
            <w:r>
              <w:rPr>
                <w:rFonts w:hint="eastAsia"/>
                <w:color w:val="000000"/>
                <w:sz w:val="18"/>
                <w:szCs w:val="18"/>
                <w:lang w:val="en-US" w:eastAsia="zh-CN"/>
              </w:rPr>
              <w:t>3、</w:t>
            </w:r>
            <w:r>
              <w:rPr>
                <w:rFonts w:hint="eastAsia"/>
                <w:color w:val="000000"/>
                <w:sz w:val="18"/>
                <w:szCs w:val="18"/>
              </w:rPr>
              <w:t>电源接口：灯具自带 2.5 平方三芯防水对接插头，一进一出，线长≧3米</w:t>
            </w:r>
            <w:r>
              <w:rPr>
                <w:rFonts w:hint="eastAsia"/>
                <w:color w:val="000000"/>
                <w:sz w:val="18"/>
                <w:szCs w:val="18"/>
              </w:rPr>
              <w:br w:type="textWrapping"/>
            </w:r>
            <w:r>
              <w:rPr>
                <w:rFonts w:hint="eastAsia"/>
                <w:color w:val="000000"/>
                <w:sz w:val="18"/>
                <w:szCs w:val="18"/>
                <w:lang w:val="en-US" w:eastAsia="zh-CN"/>
              </w:rPr>
              <w:t>4、</w:t>
            </w:r>
            <w:r>
              <w:rPr>
                <w:rFonts w:hint="eastAsia"/>
                <w:color w:val="000000"/>
                <w:sz w:val="18"/>
                <w:szCs w:val="18"/>
              </w:rPr>
              <w:t>信号接口：灯具自带 0.75 平方三芯防水对接插头，一进一出，线长≧3米</w:t>
            </w:r>
            <w:r>
              <w:rPr>
                <w:rFonts w:hint="eastAsia"/>
                <w:color w:val="000000"/>
                <w:sz w:val="18"/>
                <w:szCs w:val="18"/>
              </w:rPr>
              <w:br w:type="textWrapping"/>
            </w:r>
            <w:r>
              <w:rPr>
                <w:rFonts w:hint="eastAsia"/>
                <w:color w:val="000000"/>
                <w:sz w:val="18"/>
                <w:szCs w:val="18"/>
                <w:lang w:val="en-US" w:eastAsia="zh-CN"/>
              </w:rPr>
              <w:t>5、</w:t>
            </w:r>
            <w:r>
              <w:rPr>
                <w:rFonts w:hint="eastAsia"/>
                <w:color w:val="000000"/>
                <w:sz w:val="18"/>
                <w:szCs w:val="18"/>
              </w:rPr>
              <w:t>光    源：84 颗 7W 三合一 RGB LED</w:t>
            </w:r>
            <w:r>
              <w:rPr>
                <w:rFonts w:hint="eastAsia"/>
                <w:color w:val="000000"/>
                <w:sz w:val="18"/>
                <w:szCs w:val="18"/>
              </w:rPr>
              <w:br w:type="textWrapping"/>
            </w:r>
            <w:r>
              <w:rPr>
                <w:rFonts w:hint="eastAsia"/>
                <w:color w:val="000000"/>
                <w:sz w:val="18"/>
                <w:szCs w:val="18"/>
                <w:lang w:val="en-US" w:eastAsia="zh-CN"/>
              </w:rPr>
              <w:t>6、</w:t>
            </w:r>
            <w:r>
              <w:rPr>
                <w:rFonts w:hint="eastAsia"/>
                <w:color w:val="000000"/>
                <w:sz w:val="18"/>
                <w:szCs w:val="18"/>
              </w:rPr>
              <w:t>灯泡寿命：≧50000 小时</w:t>
            </w:r>
            <w:r>
              <w:rPr>
                <w:rFonts w:hint="eastAsia"/>
                <w:color w:val="000000"/>
                <w:sz w:val="18"/>
                <w:szCs w:val="18"/>
              </w:rPr>
              <w:br w:type="textWrapping"/>
            </w:r>
            <w:r>
              <w:rPr>
                <w:rFonts w:hint="eastAsia"/>
                <w:color w:val="000000"/>
                <w:sz w:val="18"/>
                <w:szCs w:val="18"/>
                <w:lang w:val="en-US" w:eastAsia="zh-CN"/>
              </w:rPr>
              <w:t>7、</w:t>
            </w:r>
            <w:r>
              <w:rPr>
                <w:rFonts w:hint="eastAsia"/>
                <w:color w:val="000000"/>
                <w:sz w:val="18"/>
                <w:szCs w:val="18"/>
              </w:rPr>
              <w:t>颜    色：均匀的 RGB 混色系统</w:t>
            </w:r>
            <w:r>
              <w:rPr>
                <w:rFonts w:hint="eastAsia"/>
                <w:color w:val="000000"/>
                <w:sz w:val="18"/>
                <w:szCs w:val="18"/>
              </w:rPr>
              <w:br w:type="textWrapping"/>
            </w:r>
            <w:r>
              <w:rPr>
                <w:rFonts w:hint="eastAsia"/>
                <w:color w:val="000000"/>
                <w:sz w:val="18"/>
                <w:szCs w:val="18"/>
                <w:lang w:val="en-US" w:eastAsia="zh-CN"/>
              </w:rPr>
              <w:t>8、</w:t>
            </w:r>
            <w:r>
              <w:rPr>
                <w:rFonts w:hint="eastAsia"/>
                <w:color w:val="000000"/>
                <w:sz w:val="18"/>
                <w:szCs w:val="18"/>
              </w:rPr>
              <w:t>控制方式：国际标准 DMX512 信号、声控、自走、主从</w:t>
            </w:r>
            <w:r>
              <w:rPr>
                <w:rFonts w:hint="eastAsia"/>
                <w:color w:val="000000"/>
                <w:sz w:val="18"/>
                <w:szCs w:val="18"/>
              </w:rPr>
              <w:br w:type="textWrapping"/>
            </w:r>
            <w:r>
              <w:rPr>
                <w:rFonts w:hint="eastAsia"/>
                <w:color w:val="000000"/>
                <w:sz w:val="18"/>
                <w:szCs w:val="18"/>
                <w:lang w:val="en-US" w:eastAsia="zh-CN"/>
              </w:rPr>
              <w:t>9、</w:t>
            </w:r>
            <w:r>
              <w:rPr>
                <w:rFonts w:hint="eastAsia"/>
                <w:color w:val="000000"/>
                <w:sz w:val="18"/>
                <w:szCs w:val="18"/>
              </w:rPr>
              <w:t>通道模式：8CH</w:t>
            </w:r>
            <w:r>
              <w:rPr>
                <w:rFonts w:hint="eastAsia"/>
                <w:color w:val="000000"/>
                <w:sz w:val="18"/>
                <w:szCs w:val="18"/>
              </w:rPr>
              <w:br w:type="textWrapping"/>
            </w:r>
            <w:r>
              <w:rPr>
                <w:rFonts w:hint="eastAsia"/>
                <w:color w:val="000000"/>
                <w:sz w:val="18"/>
                <w:szCs w:val="18"/>
                <w:lang w:val="en-US" w:eastAsia="zh-CN"/>
              </w:rPr>
              <w:t>10、</w:t>
            </w:r>
            <w:r>
              <w:rPr>
                <w:rFonts w:hint="eastAsia"/>
                <w:color w:val="000000"/>
                <w:sz w:val="18"/>
                <w:szCs w:val="18"/>
              </w:rPr>
              <w:t>变焦范围：25°</w:t>
            </w:r>
            <w:r>
              <w:rPr>
                <w:rFonts w:hint="eastAsia"/>
                <w:color w:val="000000"/>
                <w:sz w:val="18"/>
                <w:szCs w:val="18"/>
              </w:rPr>
              <w:br w:type="textWrapping"/>
            </w:r>
            <w:r>
              <w:rPr>
                <w:rFonts w:hint="eastAsia"/>
                <w:color w:val="000000"/>
                <w:sz w:val="18"/>
                <w:szCs w:val="18"/>
                <w:lang w:val="en-US" w:eastAsia="zh-CN"/>
              </w:rPr>
              <w:t>11、</w:t>
            </w:r>
            <w:r>
              <w:rPr>
                <w:rFonts w:hint="eastAsia"/>
                <w:color w:val="000000"/>
                <w:sz w:val="18"/>
                <w:szCs w:val="18"/>
              </w:rPr>
              <w:t>频闪系统：独立电子频闪，1-25Hz, 出色的频闪效果，速度可变</w:t>
            </w:r>
            <w:r>
              <w:rPr>
                <w:rFonts w:hint="eastAsia"/>
                <w:color w:val="000000"/>
                <w:sz w:val="18"/>
                <w:szCs w:val="18"/>
              </w:rPr>
              <w:br w:type="textWrapping"/>
            </w:r>
            <w:r>
              <w:rPr>
                <w:rFonts w:hint="eastAsia"/>
                <w:color w:val="000000"/>
                <w:sz w:val="18"/>
                <w:szCs w:val="18"/>
                <w:lang w:val="en-US" w:eastAsia="zh-CN"/>
              </w:rPr>
              <w:t>12、</w:t>
            </w:r>
            <w:r>
              <w:rPr>
                <w:rFonts w:hint="eastAsia"/>
                <w:color w:val="000000"/>
                <w:sz w:val="18"/>
                <w:szCs w:val="18"/>
              </w:rPr>
              <w:t>调光系统：0-100% 线性调光</w:t>
            </w:r>
            <w:r>
              <w:rPr>
                <w:rFonts w:hint="eastAsia"/>
                <w:color w:val="000000"/>
                <w:sz w:val="18"/>
                <w:szCs w:val="18"/>
              </w:rPr>
              <w:br w:type="textWrapping"/>
            </w:r>
            <w:r>
              <w:rPr>
                <w:rFonts w:hint="eastAsia"/>
                <w:color w:val="000000"/>
                <w:sz w:val="18"/>
                <w:szCs w:val="18"/>
                <w:lang w:val="en-US" w:eastAsia="zh-CN"/>
              </w:rPr>
              <w:t>13、</w:t>
            </w:r>
            <w:r>
              <w:rPr>
                <w:rFonts w:hint="eastAsia"/>
                <w:color w:val="000000"/>
                <w:sz w:val="18"/>
                <w:szCs w:val="18"/>
              </w:rPr>
              <w:t>产品外观：压铸铝外壳</w:t>
            </w:r>
            <w:r>
              <w:rPr>
                <w:rFonts w:hint="eastAsia"/>
                <w:color w:val="000000"/>
                <w:sz w:val="18"/>
                <w:szCs w:val="18"/>
              </w:rPr>
              <w:br w:type="textWrapping"/>
            </w:r>
            <w:r>
              <w:rPr>
                <w:rFonts w:hint="eastAsia"/>
                <w:color w:val="000000"/>
                <w:sz w:val="18"/>
                <w:szCs w:val="18"/>
                <w:lang w:val="en-US" w:eastAsia="zh-CN"/>
              </w:rPr>
              <w:t>14、</w:t>
            </w:r>
            <w:r>
              <w:rPr>
                <w:rFonts w:hint="eastAsia"/>
                <w:color w:val="000000"/>
                <w:sz w:val="18"/>
                <w:szCs w:val="18"/>
              </w:rPr>
              <w:t>防护等级：IP20</w:t>
            </w:r>
            <w:r>
              <w:rPr>
                <w:rFonts w:hint="eastAsia"/>
                <w:color w:val="000000"/>
                <w:sz w:val="18"/>
                <w:szCs w:val="18"/>
              </w:rPr>
              <w:br w:type="textWrapping"/>
            </w:r>
            <w:r>
              <w:rPr>
                <w:rFonts w:hint="eastAsia"/>
                <w:color w:val="000000"/>
                <w:sz w:val="18"/>
                <w:szCs w:val="18"/>
                <w:lang w:val="en-US" w:eastAsia="zh-CN"/>
              </w:rPr>
              <w:t>15、</w:t>
            </w:r>
            <w:r>
              <w:rPr>
                <w:rFonts w:hint="eastAsia"/>
                <w:color w:val="000000"/>
                <w:sz w:val="18"/>
                <w:szCs w:val="18"/>
              </w:rPr>
              <w:t>工作环境：0-40℃</w:t>
            </w:r>
          </w:p>
        </w:tc>
      </w:tr>
      <w:tr w14:paraId="052E2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2794BEB5">
            <w:pPr>
              <w:rPr>
                <w:rFonts w:ascii="宋体" w:hAnsi="宋体" w:cs="宋体"/>
                <w:sz w:val="18"/>
                <w:szCs w:val="18"/>
              </w:rPr>
            </w:pPr>
          </w:p>
        </w:tc>
        <w:tc>
          <w:tcPr>
            <w:tcW w:w="436" w:type="pct"/>
            <w:vAlign w:val="center"/>
          </w:tcPr>
          <w:p w14:paraId="2B6AF5BC">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438" w:type="pct"/>
            <w:gridSpan w:val="2"/>
            <w:vAlign w:val="center"/>
          </w:tcPr>
          <w:p w14:paraId="4CFF9A43">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谢幕面光</w:t>
            </w:r>
          </w:p>
        </w:tc>
        <w:tc>
          <w:tcPr>
            <w:tcW w:w="445" w:type="pct"/>
            <w:vAlign w:val="center"/>
          </w:tcPr>
          <w:p w14:paraId="785C11ED">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全彩84颗8W</w:t>
            </w:r>
          </w:p>
        </w:tc>
        <w:tc>
          <w:tcPr>
            <w:tcW w:w="277" w:type="pct"/>
            <w:vAlign w:val="center"/>
          </w:tcPr>
          <w:p w14:paraId="695BE993">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244" w:type="pct"/>
            <w:vAlign w:val="center"/>
          </w:tcPr>
          <w:p w14:paraId="3354ECB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2801" w:type="pct"/>
            <w:gridSpan w:val="4"/>
            <w:vAlign w:val="center"/>
          </w:tcPr>
          <w:p w14:paraId="20A663C3">
            <w:pPr>
              <w:rPr>
                <w:rFonts w:ascii="宋体" w:hAnsi="宋体" w:cs="宋体"/>
                <w:color w:val="000000"/>
                <w:sz w:val="18"/>
                <w:szCs w:val="18"/>
              </w:rPr>
            </w:pPr>
            <w:r>
              <w:rPr>
                <w:rFonts w:hint="eastAsia"/>
                <w:color w:val="000000"/>
                <w:sz w:val="18"/>
                <w:szCs w:val="18"/>
                <w:lang w:val="en-US" w:eastAsia="zh-CN"/>
              </w:rPr>
              <w:t>1、</w:t>
            </w:r>
            <w:r>
              <w:rPr>
                <w:rFonts w:hint="eastAsia"/>
                <w:color w:val="000000"/>
                <w:sz w:val="18"/>
                <w:szCs w:val="18"/>
              </w:rPr>
              <w:t>额定电压：AC100-240V~ 50/60Hz</w:t>
            </w:r>
            <w:r>
              <w:rPr>
                <w:rFonts w:hint="eastAsia"/>
                <w:color w:val="000000"/>
                <w:sz w:val="18"/>
                <w:szCs w:val="18"/>
              </w:rPr>
              <w:br w:type="textWrapping"/>
            </w:r>
            <w:r>
              <w:rPr>
                <w:rFonts w:hint="eastAsia"/>
                <w:color w:val="000000"/>
                <w:sz w:val="18"/>
                <w:szCs w:val="18"/>
                <w:lang w:val="en-US" w:eastAsia="zh-CN"/>
              </w:rPr>
              <w:t>2、</w:t>
            </w:r>
            <w:r>
              <w:rPr>
                <w:rFonts w:hint="eastAsia"/>
                <w:color w:val="000000"/>
                <w:sz w:val="18"/>
                <w:szCs w:val="18"/>
              </w:rPr>
              <w:t>额定功率：≧200W</w:t>
            </w:r>
            <w:r>
              <w:rPr>
                <w:rFonts w:hint="eastAsia"/>
                <w:color w:val="000000"/>
                <w:sz w:val="18"/>
                <w:szCs w:val="18"/>
              </w:rPr>
              <w:br w:type="textWrapping"/>
            </w:r>
            <w:r>
              <w:rPr>
                <w:rFonts w:hint="eastAsia"/>
                <w:color w:val="000000"/>
                <w:sz w:val="18"/>
                <w:szCs w:val="18"/>
                <w:lang w:val="en-US" w:eastAsia="zh-CN"/>
              </w:rPr>
              <w:t>3、</w:t>
            </w:r>
            <w:r>
              <w:rPr>
                <w:rFonts w:hint="eastAsia"/>
                <w:color w:val="000000"/>
                <w:sz w:val="18"/>
                <w:szCs w:val="18"/>
              </w:rPr>
              <w:t>电源接口：灯具自带 2.5 平方三芯防水对接插头，一进一出，线长≧3米</w:t>
            </w:r>
            <w:r>
              <w:rPr>
                <w:rFonts w:hint="eastAsia"/>
                <w:color w:val="000000"/>
                <w:sz w:val="18"/>
                <w:szCs w:val="18"/>
              </w:rPr>
              <w:br w:type="textWrapping"/>
            </w:r>
            <w:r>
              <w:rPr>
                <w:rFonts w:hint="eastAsia"/>
                <w:color w:val="000000"/>
                <w:sz w:val="18"/>
                <w:szCs w:val="18"/>
                <w:lang w:val="en-US" w:eastAsia="zh-CN"/>
              </w:rPr>
              <w:t>4、</w:t>
            </w:r>
            <w:r>
              <w:rPr>
                <w:rFonts w:hint="eastAsia"/>
                <w:color w:val="000000"/>
                <w:sz w:val="18"/>
                <w:szCs w:val="18"/>
              </w:rPr>
              <w:t>信号接口：灯具自带 0.75 平方三芯防水对接插头，一进一出，线长≧3米</w:t>
            </w:r>
            <w:r>
              <w:rPr>
                <w:rFonts w:hint="eastAsia"/>
                <w:color w:val="000000"/>
                <w:sz w:val="18"/>
                <w:szCs w:val="18"/>
              </w:rPr>
              <w:br w:type="textWrapping"/>
            </w:r>
            <w:r>
              <w:rPr>
                <w:rFonts w:hint="eastAsia"/>
                <w:color w:val="000000"/>
                <w:sz w:val="18"/>
                <w:szCs w:val="18"/>
                <w:lang w:val="en-US" w:eastAsia="zh-CN"/>
              </w:rPr>
              <w:t>5、</w:t>
            </w:r>
            <w:r>
              <w:rPr>
                <w:rFonts w:hint="eastAsia"/>
                <w:color w:val="000000"/>
                <w:sz w:val="18"/>
                <w:szCs w:val="18"/>
              </w:rPr>
              <w:t>光    源：84 颗 7W 三合一 RGB LED</w:t>
            </w:r>
            <w:r>
              <w:rPr>
                <w:rFonts w:hint="eastAsia"/>
                <w:color w:val="000000"/>
                <w:sz w:val="18"/>
                <w:szCs w:val="18"/>
              </w:rPr>
              <w:br w:type="textWrapping"/>
            </w:r>
            <w:r>
              <w:rPr>
                <w:rFonts w:hint="eastAsia"/>
                <w:color w:val="000000"/>
                <w:sz w:val="18"/>
                <w:szCs w:val="18"/>
                <w:lang w:val="en-US" w:eastAsia="zh-CN"/>
              </w:rPr>
              <w:t>6、</w:t>
            </w:r>
            <w:r>
              <w:rPr>
                <w:rFonts w:hint="eastAsia"/>
                <w:color w:val="000000"/>
                <w:sz w:val="18"/>
                <w:szCs w:val="18"/>
              </w:rPr>
              <w:t>灯泡寿命：≧50000 小时</w:t>
            </w:r>
            <w:r>
              <w:rPr>
                <w:rFonts w:hint="eastAsia"/>
                <w:color w:val="000000"/>
                <w:sz w:val="18"/>
                <w:szCs w:val="18"/>
              </w:rPr>
              <w:br w:type="textWrapping"/>
            </w:r>
            <w:r>
              <w:rPr>
                <w:rFonts w:hint="eastAsia"/>
                <w:color w:val="000000"/>
                <w:sz w:val="18"/>
                <w:szCs w:val="18"/>
                <w:lang w:val="en-US" w:eastAsia="zh-CN"/>
              </w:rPr>
              <w:t>7、</w:t>
            </w:r>
            <w:r>
              <w:rPr>
                <w:rFonts w:hint="eastAsia"/>
                <w:color w:val="000000"/>
                <w:sz w:val="18"/>
                <w:szCs w:val="18"/>
              </w:rPr>
              <w:t>颜    色：均匀的 RGB 混色系统</w:t>
            </w:r>
            <w:r>
              <w:rPr>
                <w:rFonts w:hint="eastAsia"/>
                <w:color w:val="000000"/>
                <w:sz w:val="18"/>
                <w:szCs w:val="18"/>
              </w:rPr>
              <w:br w:type="textWrapping"/>
            </w:r>
            <w:r>
              <w:rPr>
                <w:rFonts w:hint="eastAsia"/>
                <w:color w:val="000000"/>
                <w:sz w:val="18"/>
                <w:szCs w:val="18"/>
                <w:lang w:val="en-US" w:eastAsia="zh-CN"/>
              </w:rPr>
              <w:t>8、</w:t>
            </w:r>
            <w:r>
              <w:rPr>
                <w:rFonts w:hint="eastAsia"/>
                <w:color w:val="000000"/>
                <w:sz w:val="18"/>
                <w:szCs w:val="18"/>
              </w:rPr>
              <w:t>控制方式：国际标准 DMX512 信号、声控、自走、主从</w:t>
            </w:r>
            <w:r>
              <w:rPr>
                <w:rFonts w:hint="eastAsia"/>
                <w:color w:val="000000"/>
                <w:sz w:val="18"/>
                <w:szCs w:val="18"/>
              </w:rPr>
              <w:br w:type="textWrapping"/>
            </w:r>
            <w:r>
              <w:rPr>
                <w:rFonts w:hint="eastAsia"/>
                <w:color w:val="000000"/>
                <w:sz w:val="18"/>
                <w:szCs w:val="18"/>
                <w:lang w:val="en-US" w:eastAsia="zh-CN"/>
              </w:rPr>
              <w:t>9、</w:t>
            </w:r>
            <w:r>
              <w:rPr>
                <w:rFonts w:hint="eastAsia"/>
                <w:color w:val="000000"/>
                <w:sz w:val="18"/>
                <w:szCs w:val="18"/>
              </w:rPr>
              <w:t>通道模式：8CH</w:t>
            </w:r>
            <w:r>
              <w:rPr>
                <w:rFonts w:hint="eastAsia"/>
                <w:color w:val="000000"/>
                <w:sz w:val="18"/>
                <w:szCs w:val="18"/>
              </w:rPr>
              <w:br w:type="textWrapping"/>
            </w:r>
            <w:r>
              <w:rPr>
                <w:rFonts w:hint="eastAsia"/>
                <w:color w:val="000000"/>
                <w:sz w:val="18"/>
                <w:szCs w:val="18"/>
                <w:lang w:val="en-US" w:eastAsia="zh-CN"/>
              </w:rPr>
              <w:t>10、</w:t>
            </w:r>
            <w:r>
              <w:rPr>
                <w:rFonts w:hint="eastAsia"/>
                <w:color w:val="000000"/>
                <w:sz w:val="18"/>
                <w:szCs w:val="18"/>
              </w:rPr>
              <w:t>变焦范围：25°</w:t>
            </w:r>
            <w:r>
              <w:rPr>
                <w:rFonts w:hint="eastAsia"/>
                <w:color w:val="000000"/>
                <w:sz w:val="18"/>
                <w:szCs w:val="18"/>
              </w:rPr>
              <w:br w:type="textWrapping"/>
            </w:r>
            <w:r>
              <w:rPr>
                <w:rFonts w:hint="eastAsia"/>
                <w:color w:val="000000"/>
                <w:sz w:val="18"/>
                <w:szCs w:val="18"/>
                <w:lang w:val="en-US" w:eastAsia="zh-CN"/>
              </w:rPr>
              <w:t>11、</w:t>
            </w:r>
            <w:r>
              <w:rPr>
                <w:rFonts w:hint="eastAsia"/>
                <w:color w:val="000000"/>
                <w:sz w:val="18"/>
                <w:szCs w:val="18"/>
              </w:rPr>
              <w:t>频闪系统：独立电子频闪，1-25Hz, 出色的频闪效果，速度可变</w:t>
            </w:r>
            <w:r>
              <w:rPr>
                <w:rFonts w:hint="eastAsia"/>
                <w:color w:val="000000"/>
                <w:sz w:val="18"/>
                <w:szCs w:val="18"/>
              </w:rPr>
              <w:br w:type="textWrapping"/>
            </w:r>
            <w:r>
              <w:rPr>
                <w:rFonts w:hint="eastAsia"/>
                <w:color w:val="000000"/>
                <w:sz w:val="18"/>
                <w:szCs w:val="18"/>
                <w:lang w:val="en-US" w:eastAsia="zh-CN"/>
              </w:rPr>
              <w:t>12、</w:t>
            </w:r>
            <w:r>
              <w:rPr>
                <w:rFonts w:hint="eastAsia"/>
                <w:color w:val="000000"/>
                <w:sz w:val="18"/>
                <w:szCs w:val="18"/>
              </w:rPr>
              <w:t>调光系统：0-100% 线性调光</w:t>
            </w:r>
            <w:r>
              <w:rPr>
                <w:rFonts w:hint="eastAsia"/>
                <w:color w:val="000000"/>
                <w:sz w:val="18"/>
                <w:szCs w:val="18"/>
              </w:rPr>
              <w:br w:type="textWrapping"/>
            </w:r>
            <w:r>
              <w:rPr>
                <w:rFonts w:hint="eastAsia"/>
                <w:color w:val="000000"/>
                <w:sz w:val="18"/>
                <w:szCs w:val="18"/>
                <w:lang w:val="en-US" w:eastAsia="zh-CN"/>
              </w:rPr>
              <w:t>13、</w:t>
            </w:r>
            <w:r>
              <w:rPr>
                <w:rFonts w:hint="eastAsia"/>
                <w:color w:val="000000"/>
                <w:sz w:val="18"/>
                <w:szCs w:val="18"/>
              </w:rPr>
              <w:t>产品外观：压铸铝外壳</w:t>
            </w:r>
            <w:r>
              <w:rPr>
                <w:rFonts w:hint="eastAsia"/>
                <w:color w:val="000000"/>
                <w:sz w:val="18"/>
                <w:szCs w:val="18"/>
              </w:rPr>
              <w:br w:type="textWrapping"/>
            </w:r>
            <w:r>
              <w:rPr>
                <w:rFonts w:hint="eastAsia"/>
                <w:color w:val="000000"/>
                <w:sz w:val="18"/>
                <w:szCs w:val="18"/>
                <w:lang w:val="en-US" w:eastAsia="zh-CN"/>
              </w:rPr>
              <w:t>14、</w:t>
            </w:r>
            <w:r>
              <w:rPr>
                <w:rFonts w:hint="eastAsia"/>
                <w:color w:val="000000"/>
                <w:sz w:val="18"/>
                <w:szCs w:val="18"/>
              </w:rPr>
              <w:t>防护等级：IP20</w:t>
            </w:r>
            <w:r>
              <w:rPr>
                <w:rFonts w:hint="eastAsia"/>
                <w:color w:val="000000"/>
                <w:sz w:val="18"/>
                <w:szCs w:val="18"/>
              </w:rPr>
              <w:br w:type="textWrapping"/>
            </w:r>
            <w:r>
              <w:rPr>
                <w:rFonts w:hint="eastAsia"/>
                <w:color w:val="000000"/>
                <w:sz w:val="18"/>
                <w:szCs w:val="18"/>
                <w:lang w:val="en-US" w:eastAsia="zh-CN"/>
              </w:rPr>
              <w:t>15、</w:t>
            </w:r>
            <w:r>
              <w:rPr>
                <w:rFonts w:hint="eastAsia"/>
                <w:color w:val="000000"/>
                <w:sz w:val="18"/>
                <w:szCs w:val="18"/>
              </w:rPr>
              <w:t>工作环境：0-40℃</w:t>
            </w:r>
          </w:p>
        </w:tc>
      </w:tr>
      <w:tr w14:paraId="54D6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4AE4A713">
            <w:pPr>
              <w:rPr>
                <w:rFonts w:ascii="宋体" w:hAnsi="宋体" w:cs="宋体"/>
                <w:sz w:val="18"/>
                <w:szCs w:val="18"/>
              </w:rPr>
            </w:pPr>
          </w:p>
        </w:tc>
        <w:tc>
          <w:tcPr>
            <w:tcW w:w="436" w:type="pct"/>
            <w:vAlign w:val="center"/>
          </w:tcPr>
          <w:p w14:paraId="23B6C1B7">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438" w:type="pct"/>
            <w:gridSpan w:val="2"/>
            <w:vAlign w:val="center"/>
          </w:tcPr>
          <w:p w14:paraId="02FA6DDA">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屋顶投光灯</w:t>
            </w:r>
          </w:p>
        </w:tc>
        <w:tc>
          <w:tcPr>
            <w:tcW w:w="445" w:type="pct"/>
            <w:vAlign w:val="center"/>
          </w:tcPr>
          <w:p w14:paraId="04CD3DAC">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200瓦投光灯</w:t>
            </w:r>
          </w:p>
        </w:tc>
        <w:tc>
          <w:tcPr>
            <w:tcW w:w="277" w:type="pct"/>
            <w:vAlign w:val="center"/>
          </w:tcPr>
          <w:p w14:paraId="46E3860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244" w:type="pct"/>
            <w:vAlign w:val="center"/>
          </w:tcPr>
          <w:p w14:paraId="29DBF0C8">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4"/>
            <w:vAlign w:val="center"/>
          </w:tcPr>
          <w:p w14:paraId="3DFC383F">
            <w:pPr>
              <w:rPr>
                <w:rFonts w:ascii="宋体" w:hAnsi="宋体" w:cs="宋体"/>
                <w:color w:val="000000"/>
                <w:sz w:val="18"/>
                <w:szCs w:val="18"/>
              </w:rPr>
            </w:pPr>
            <w:r>
              <w:rPr>
                <w:rFonts w:hint="eastAsia"/>
                <w:color w:val="000000"/>
                <w:sz w:val="18"/>
                <w:szCs w:val="18"/>
                <w:lang w:val="en-US" w:eastAsia="zh-CN"/>
              </w:rPr>
              <w:t>1、</w:t>
            </w:r>
            <w:r>
              <w:rPr>
                <w:rFonts w:hint="eastAsia"/>
                <w:color w:val="000000"/>
                <w:sz w:val="18"/>
                <w:szCs w:val="18"/>
              </w:rPr>
              <w:t>输入电压:AC100-240V，50-60HZ</w:t>
            </w:r>
            <w:r>
              <w:rPr>
                <w:rFonts w:hint="eastAsia"/>
                <w:color w:val="000000"/>
                <w:sz w:val="18"/>
                <w:szCs w:val="18"/>
              </w:rPr>
              <w:br w:type="textWrapping"/>
            </w:r>
            <w:r>
              <w:rPr>
                <w:rFonts w:hint="eastAsia"/>
                <w:color w:val="000000"/>
                <w:sz w:val="18"/>
                <w:szCs w:val="18"/>
                <w:lang w:val="en-US" w:eastAsia="zh-CN"/>
              </w:rPr>
              <w:t>2、</w:t>
            </w:r>
            <w:r>
              <w:rPr>
                <w:rFonts w:hint="eastAsia"/>
                <w:color w:val="000000"/>
                <w:sz w:val="18"/>
                <w:szCs w:val="18"/>
              </w:rPr>
              <w:t>额定功率:≧２０0W</w:t>
            </w:r>
            <w:r>
              <w:rPr>
                <w:rFonts w:hint="eastAsia"/>
                <w:color w:val="000000"/>
                <w:sz w:val="18"/>
                <w:szCs w:val="18"/>
              </w:rPr>
              <w:br w:type="textWrapping"/>
            </w:r>
            <w:r>
              <w:rPr>
                <w:rFonts w:hint="eastAsia"/>
                <w:color w:val="000000"/>
                <w:sz w:val="18"/>
                <w:szCs w:val="18"/>
                <w:lang w:val="en-US" w:eastAsia="zh-CN"/>
              </w:rPr>
              <w:t>3、</w:t>
            </w:r>
            <w:r>
              <w:rPr>
                <w:rFonts w:hint="eastAsia"/>
                <w:color w:val="000000"/>
                <w:sz w:val="18"/>
                <w:szCs w:val="18"/>
              </w:rPr>
              <w:t>色温:2000K-10000K</w:t>
            </w:r>
            <w:r>
              <w:rPr>
                <w:rFonts w:hint="eastAsia"/>
                <w:color w:val="000000"/>
                <w:sz w:val="18"/>
                <w:szCs w:val="18"/>
              </w:rPr>
              <w:br w:type="textWrapping"/>
            </w:r>
            <w:r>
              <w:rPr>
                <w:rFonts w:hint="eastAsia"/>
                <w:color w:val="000000"/>
                <w:sz w:val="18"/>
                <w:szCs w:val="18"/>
                <w:lang w:val="en-US" w:eastAsia="zh-CN"/>
              </w:rPr>
              <w:t>4、</w:t>
            </w:r>
            <w:r>
              <w:rPr>
                <w:rFonts w:hint="eastAsia"/>
                <w:color w:val="000000"/>
                <w:sz w:val="18"/>
                <w:szCs w:val="18"/>
              </w:rPr>
              <w:t>灯珠寿命:&gt;20000h</w:t>
            </w:r>
            <w:r>
              <w:rPr>
                <w:rFonts w:hint="eastAsia"/>
                <w:color w:val="000000"/>
                <w:sz w:val="18"/>
                <w:szCs w:val="18"/>
              </w:rPr>
              <w:br w:type="textWrapping"/>
            </w:r>
            <w:r>
              <w:rPr>
                <w:rFonts w:hint="eastAsia"/>
                <w:color w:val="000000"/>
                <w:sz w:val="18"/>
                <w:szCs w:val="18"/>
                <w:lang w:val="en-US" w:eastAsia="zh-CN"/>
              </w:rPr>
              <w:t>5、</w:t>
            </w:r>
            <w:r>
              <w:rPr>
                <w:rFonts w:hint="eastAsia"/>
                <w:color w:val="000000"/>
                <w:sz w:val="18"/>
                <w:szCs w:val="18"/>
              </w:rPr>
              <w:t>通道数量:标准9CH</w:t>
            </w:r>
            <w:r>
              <w:rPr>
                <w:rFonts w:hint="eastAsia"/>
                <w:color w:val="000000"/>
                <w:sz w:val="18"/>
                <w:szCs w:val="18"/>
              </w:rPr>
              <w:br w:type="textWrapping"/>
            </w:r>
            <w:r>
              <w:rPr>
                <w:rFonts w:hint="eastAsia"/>
                <w:color w:val="000000"/>
                <w:sz w:val="18"/>
                <w:szCs w:val="18"/>
                <w:lang w:val="en-US" w:eastAsia="zh-CN"/>
              </w:rPr>
              <w:t>6、</w:t>
            </w:r>
            <w:r>
              <w:rPr>
                <w:rFonts w:hint="eastAsia"/>
                <w:color w:val="000000"/>
                <w:sz w:val="18"/>
                <w:szCs w:val="18"/>
              </w:rPr>
              <w:t>控制模式:标准DMX512、3芯接口，自走、主从</w:t>
            </w:r>
          </w:p>
        </w:tc>
      </w:tr>
      <w:tr w14:paraId="4E520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7DFED87D">
            <w:pPr>
              <w:rPr>
                <w:rFonts w:ascii="宋体" w:hAnsi="宋体" w:cs="宋体"/>
                <w:sz w:val="18"/>
                <w:szCs w:val="18"/>
              </w:rPr>
            </w:pPr>
          </w:p>
        </w:tc>
        <w:tc>
          <w:tcPr>
            <w:tcW w:w="436" w:type="pct"/>
            <w:vAlign w:val="center"/>
          </w:tcPr>
          <w:p w14:paraId="3587CE73">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438" w:type="pct"/>
            <w:gridSpan w:val="2"/>
            <w:vAlign w:val="center"/>
          </w:tcPr>
          <w:p w14:paraId="56886FB9">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柱子灯外柱</w:t>
            </w:r>
          </w:p>
        </w:tc>
        <w:tc>
          <w:tcPr>
            <w:tcW w:w="445" w:type="pct"/>
            <w:vAlign w:val="center"/>
          </w:tcPr>
          <w:p w14:paraId="200F50A4">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12W柱子灯</w:t>
            </w:r>
          </w:p>
        </w:tc>
        <w:tc>
          <w:tcPr>
            <w:tcW w:w="277" w:type="pct"/>
            <w:vAlign w:val="center"/>
          </w:tcPr>
          <w:p w14:paraId="166022B1">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244" w:type="pct"/>
            <w:vAlign w:val="center"/>
          </w:tcPr>
          <w:p w14:paraId="1C4105F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4"/>
            <w:vAlign w:val="center"/>
          </w:tcPr>
          <w:p w14:paraId="778F111E">
            <w:pPr>
              <w:rPr>
                <w:rFonts w:hint="eastAsia"/>
                <w:color w:val="000000"/>
                <w:sz w:val="18"/>
                <w:szCs w:val="18"/>
              </w:rPr>
            </w:pPr>
            <w:r>
              <w:rPr>
                <w:rFonts w:hint="eastAsia"/>
                <w:color w:val="000000"/>
                <w:sz w:val="18"/>
                <w:szCs w:val="18"/>
                <w:lang w:val="en-US" w:eastAsia="zh-CN"/>
              </w:rPr>
              <w:t>1、</w:t>
            </w:r>
            <w:r>
              <w:rPr>
                <w:rFonts w:hint="eastAsia"/>
                <w:color w:val="000000"/>
                <w:sz w:val="18"/>
                <w:szCs w:val="18"/>
              </w:rPr>
              <w:t>产品尺寸:直径42MM,</w:t>
            </w:r>
          </w:p>
          <w:p w14:paraId="246EFA8B">
            <w:pPr>
              <w:rPr>
                <w:rFonts w:hint="eastAsia"/>
                <w:color w:val="000000"/>
                <w:sz w:val="18"/>
                <w:szCs w:val="18"/>
              </w:rPr>
            </w:pPr>
            <w:r>
              <w:rPr>
                <w:rFonts w:hint="eastAsia"/>
                <w:color w:val="000000"/>
                <w:sz w:val="18"/>
                <w:szCs w:val="18"/>
                <w:lang w:val="en-US" w:eastAsia="zh-CN"/>
              </w:rPr>
              <w:t>2、</w:t>
            </w:r>
            <w:r>
              <w:rPr>
                <w:rFonts w:hint="eastAsia"/>
                <w:color w:val="000000"/>
                <w:sz w:val="18"/>
                <w:szCs w:val="18"/>
              </w:rPr>
              <w:t>灯体长度</w:t>
            </w:r>
            <w:r>
              <w:rPr>
                <w:rFonts w:hint="eastAsia"/>
                <w:color w:val="000000"/>
                <w:sz w:val="18"/>
                <w:szCs w:val="18"/>
                <w:lang w:eastAsia="zh-CN"/>
              </w:rPr>
              <w:t>：</w:t>
            </w:r>
            <w:r>
              <w:rPr>
                <w:rFonts w:hint="eastAsia"/>
                <w:color w:val="000000"/>
                <w:sz w:val="18"/>
                <w:szCs w:val="18"/>
              </w:rPr>
              <w:t>≧74MM</w:t>
            </w:r>
          </w:p>
          <w:p w14:paraId="593D8661">
            <w:pPr>
              <w:rPr>
                <w:rFonts w:hint="eastAsia"/>
                <w:color w:val="000000"/>
                <w:sz w:val="18"/>
                <w:szCs w:val="18"/>
              </w:rPr>
            </w:pPr>
            <w:r>
              <w:rPr>
                <w:rFonts w:hint="eastAsia"/>
                <w:color w:val="000000"/>
                <w:sz w:val="18"/>
                <w:szCs w:val="18"/>
                <w:lang w:val="en-US" w:eastAsia="zh-CN"/>
              </w:rPr>
              <w:t>3、</w:t>
            </w:r>
            <w:r>
              <w:rPr>
                <w:rFonts w:hint="eastAsia"/>
                <w:color w:val="000000"/>
                <w:sz w:val="18"/>
                <w:szCs w:val="18"/>
              </w:rPr>
              <w:t>输入电压:DC12-24V</w:t>
            </w:r>
          </w:p>
          <w:p w14:paraId="1CA605E3">
            <w:pPr>
              <w:rPr>
                <w:rFonts w:hint="eastAsia"/>
                <w:color w:val="000000"/>
                <w:sz w:val="18"/>
                <w:szCs w:val="18"/>
              </w:rPr>
            </w:pPr>
            <w:r>
              <w:rPr>
                <w:rFonts w:hint="eastAsia"/>
                <w:color w:val="000000"/>
                <w:sz w:val="18"/>
                <w:szCs w:val="18"/>
                <w:lang w:val="en-US" w:eastAsia="zh-CN"/>
              </w:rPr>
              <w:t>4、</w:t>
            </w:r>
            <w:r>
              <w:rPr>
                <w:rFonts w:hint="eastAsia"/>
                <w:color w:val="000000"/>
                <w:sz w:val="18"/>
                <w:szCs w:val="18"/>
              </w:rPr>
              <w:t>产品材质:加厚铝材</w:t>
            </w:r>
            <w:r>
              <w:rPr>
                <w:rFonts w:hint="eastAsia"/>
                <w:color w:val="000000"/>
                <w:sz w:val="18"/>
                <w:szCs w:val="18"/>
              </w:rPr>
              <w:br w:type="textWrapping"/>
            </w:r>
            <w:r>
              <w:rPr>
                <w:rFonts w:hint="eastAsia"/>
                <w:color w:val="000000"/>
                <w:sz w:val="18"/>
                <w:szCs w:val="18"/>
                <w:lang w:val="en-US" w:eastAsia="zh-CN"/>
              </w:rPr>
              <w:t>5、</w:t>
            </w:r>
            <w:r>
              <w:rPr>
                <w:rFonts w:hint="eastAsia"/>
                <w:color w:val="000000"/>
                <w:sz w:val="18"/>
                <w:szCs w:val="18"/>
              </w:rPr>
              <w:t>产品功率:≧１２W，</w:t>
            </w:r>
          </w:p>
          <w:p w14:paraId="66D46DA8">
            <w:pPr>
              <w:rPr>
                <w:rFonts w:ascii="宋体" w:hAnsi="宋体" w:cs="宋体"/>
                <w:color w:val="000000"/>
                <w:sz w:val="18"/>
                <w:szCs w:val="18"/>
              </w:rPr>
            </w:pPr>
            <w:r>
              <w:rPr>
                <w:rFonts w:hint="eastAsia"/>
                <w:color w:val="000000"/>
                <w:sz w:val="18"/>
                <w:szCs w:val="18"/>
                <w:lang w:val="en-US" w:eastAsia="zh-CN"/>
              </w:rPr>
              <w:t>6、</w:t>
            </w:r>
            <w:r>
              <w:rPr>
                <w:rFonts w:hint="eastAsia"/>
                <w:color w:val="000000"/>
                <w:sz w:val="18"/>
                <w:szCs w:val="18"/>
              </w:rPr>
              <w:t>防护等级:IP67</w:t>
            </w:r>
          </w:p>
        </w:tc>
      </w:tr>
      <w:tr w14:paraId="53F1C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60BEB391">
            <w:pPr>
              <w:rPr>
                <w:rFonts w:ascii="宋体" w:hAnsi="宋体" w:cs="宋体"/>
                <w:sz w:val="18"/>
                <w:szCs w:val="18"/>
              </w:rPr>
            </w:pPr>
          </w:p>
        </w:tc>
        <w:tc>
          <w:tcPr>
            <w:tcW w:w="436" w:type="pct"/>
            <w:vAlign w:val="center"/>
          </w:tcPr>
          <w:p w14:paraId="1298398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438" w:type="pct"/>
            <w:gridSpan w:val="2"/>
            <w:vAlign w:val="center"/>
          </w:tcPr>
          <w:p w14:paraId="6FA47144">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拱桥灯带</w:t>
            </w:r>
          </w:p>
        </w:tc>
        <w:tc>
          <w:tcPr>
            <w:tcW w:w="445" w:type="pct"/>
            <w:vAlign w:val="center"/>
          </w:tcPr>
          <w:p w14:paraId="1F528DAE">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防水低压灯带</w:t>
            </w:r>
          </w:p>
        </w:tc>
        <w:tc>
          <w:tcPr>
            <w:tcW w:w="277" w:type="pct"/>
            <w:vAlign w:val="center"/>
          </w:tcPr>
          <w:p w14:paraId="77D0AAB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16</w:t>
            </w:r>
          </w:p>
        </w:tc>
        <w:tc>
          <w:tcPr>
            <w:tcW w:w="244" w:type="pct"/>
            <w:vAlign w:val="center"/>
          </w:tcPr>
          <w:p w14:paraId="0157BC1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米</w:t>
            </w:r>
          </w:p>
        </w:tc>
        <w:tc>
          <w:tcPr>
            <w:tcW w:w="2801" w:type="pct"/>
            <w:gridSpan w:val="4"/>
            <w:vAlign w:val="center"/>
          </w:tcPr>
          <w:p w14:paraId="4E2680F7">
            <w:pPr>
              <w:rPr>
                <w:rFonts w:ascii="宋体" w:hAnsi="宋体" w:cs="宋体"/>
                <w:color w:val="000000"/>
                <w:sz w:val="18"/>
                <w:szCs w:val="18"/>
              </w:rPr>
            </w:pPr>
            <w:r>
              <w:rPr>
                <w:rFonts w:hint="eastAsia"/>
                <w:color w:val="000000"/>
                <w:sz w:val="18"/>
                <w:szCs w:val="18"/>
                <w:lang w:val="en-US" w:eastAsia="zh-CN"/>
              </w:rPr>
              <w:t>1、</w:t>
            </w:r>
            <w:r>
              <w:rPr>
                <w:rFonts w:hint="eastAsia"/>
                <w:color w:val="000000"/>
                <w:sz w:val="18"/>
                <w:szCs w:val="18"/>
              </w:rPr>
              <w:t>发光颜色：暖白自然白正白</w:t>
            </w:r>
            <w:r>
              <w:rPr>
                <w:rFonts w:hint="eastAsia"/>
                <w:color w:val="000000"/>
                <w:sz w:val="18"/>
                <w:szCs w:val="18"/>
              </w:rPr>
              <w:br w:type="textWrapping"/>
            </w:r>
            <w:r>
              <w:rPr>
                <w:rFonts w:hint="eastAsia"/>
                <w:color w:val="000000"/>
                <w:sz w:val="18"/>
                <w:szCs w:val="18"/>
                <w:lang w:val="en-US" w:eastAsia="zh-CN"/>
              </w:rPr>
              <w:t>2、</w:t>
            </w:r>
            <w:r>
              <w:rPr>
                <w:rFonts w:hint="eastAsia"/>
                <w:color w:val="000000"/>
                <w:sz w:val="18"/>
                <w:szCs w:val="18"/>
              </w:rPr>
              <w:t>显色指数：≥85Ra</w:t>
            </w:r>
            <w:r>
              <w:rPr>
                <w:rFonts w:hint="eastAsia"/>
                <w:color w:val="000000"/>
                <w:sz w:val="18"/>
                <w:szCs w:val="18"/>
              </w:rPr>
              <w:br w:type="textWrapping"/>
            </w:r>
            <w:r>
              <w:rPr>
                <w:rFonts w:hint="eastAsia"/>
                <w:color w:val="000000"/>
                <w:sz w:val="18"/>
                <w:szCs w:val="18"/>
                <w:lang w:val="en-US" w:eastAsia="zh-CN"/>
              </w:rPr>
              <w:t>3、</w:t>
            </w:r>
            <w:r>
              <w:rPr>
                <w:rFonts w:hint="eastAsia"/>
                <w:color w:val="000000"/>
                <w:sz w:val="18"/>
                <w:szCs w:val="18"/>
              </w:rPr>
              <w:t>发光角度：180°</w:t>
            </w:r>
            <w:r>
              <w:rPr>
                <w:rFonts w:hint="eastAsia"/>
                <w:color w:val="000000"/>
                <w:sz w:val="18"/>
                <w:szCs w:val="18"/>
              </w:rPr>
              <w:br w:type="textWrapping"/>
            </w:r>
            <w:r>
              <w:rPr>
                <w:rFonts w:hint="eastAsia"/>
                <w:color w:val="000000"/>
                <w:sz w:val="18"/>
                <w:szCs w:val="18"/>
                <w:lang w:val="en-US" w:eastAsia="zh-CN"/>
              </w:rPr>
              <w:t>4、</w:t>
            </w:r>
            <w:r>
              <w:rPr>
                <w:rFonts w:hint="eastAsia"/>
                <w:color w:val="000000"/>
                <w:sz w:val="18"/>
                <w:szCs w:val="18"/>
              </w:rPr>
              <w:t>线路板：暖白色双面铜线路板</w:t>
            </w:r>
            <w:r>
              <w:rPr>
                <w:rFonts w:hint="eastAsia"/>
                <w:color w:val="000000"/>
                <w:sz w:val="18"/>
                <w:szCs w:val="18"/>
              </w:rPr>
              <w:br w:type="textWrapping"/>
            </w:r>
            <w:r>
              <w:rPr>
                <w:rFonts w:hint="eastAsia"/>
                <w:color w:val="000000"/>
                <w:sz w:val="18"/>
                <w:szCs w:val="18"/>
                <w:lang w:val="en-US" w:eastAsia="zh-CN"/>
              </w:rPr>
              <w:t>5、</w:t>
            </w:r>
            <w:r>
              <w:rPr>
                <w:rFonts w:hint="eastAsia"/>
                <w:color w:val="000000"/>
                <w:sz w:val="18"/>
                <w:szCs w:val="18"/>
              </w:rPr>
              <w:t>额定电压：DC12v/24V</w:t>
            </w:r>
          </w:p>
        </w:tc>
      </w:tr>
      <w:tr w14:paraId="09D92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63BAC615">
            <w:pPr>
              <w:rPr>
                <w:rFonts w:ascii="宋体" w:hAnsi="宋体" w:cs="宋体"/>
                <w:sz w:val="18"/>
                <w:szCs w:val="18"/>
              </w:rPr>
            </w:pPr>
          </w:p>
        </w:tc>
        <w:tc>
          <w:tcPr>
            <w:tcW w:w="436" w:type="pct"/>
            <w:vAlign w:val="center"/>
          </w:tcPr>
          <w:p w14:paraId="413184D0">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438" w:type="pct"/>
            <w:gridSpan w:val="2"/>
            <w:vAlign w:val="center"/>
          </w:tcPr>
          <w:p w14:paraId="3C882B79">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演员脚光</w:t>
            </w:r>
          </w:p>
        </w:tc>
        <w:tc>
          <w:tcPr>
            <w:tcW w:w="445" w:type="pct"/>
            <w:vAlign w:val="center"/>
          </w:tcPr>
          <w:p w14:paraId="282737BE">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54颗3W防水帕灯</w:t>
            </w:r>
          </w:p>
        </w:tc>
        <w:tc>
          <w:tcPr>
            <w:tcW w:w="277" w:type="pct"/>
            <w:vAlign w:val="center"/>
          </w:tcPr>
          <w:p w14:paraId="654E0D37">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244" w:type="pct"/>
            <w:vAlign w:val="center"/>
          </w:tcPr>
          <w:p w14:paraId="3D4D786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4"/>
            <w:vAlign w:val="center"/>
          </w:tcPr>
          <w:p w14:paraId="773FC49A">
            <w:pPr>
              <w:rPr>
                <w:rFonts w:ascii="宋体" w:hAnsi="宋体" w:cs="宋体"/>
                <w:color w:val="000000"/>
                <w:sz w:val="18"/>
                <w:szCs w:val="18"/>
              </w:rPr>
            </w:pPr>
            <w:r>
              <w:rPr>
                <w:rFonts w:hint="eastAsia"/>
                <w:color w:val="000000"/>
                <w:sz w:val="18"/>
                <w:szCs w:val="18"/>
                <w:lang w:val="en-US" w:eastAsia="zh-CN"/>
              </w:rPr>
              <w:t>1、</w:t>
            </w:r>
            <w:r>
              <w:rPr>
                <w:rFonts w:hint="eastAsia"/>
                <w:color w:val="000000"/>
                <w:sz w:val="18"/>
                <w:szCs w:val="18"/>
              </w:rPr>
              <w:t>额定电压：AC100～240V 50/60Hz</w:t>
            </w:r>
            <w:r>
              <w:rPr>
                <w:rFonts w:hint="eastAsia"/>
                <w:color w:val="000000"/>
                <w:sz w:val="18"/>
                <w:szCs w:val="18"/>
              </w:rPr>
              <w:br w:type="textWrapping"/>
            </w:r>
            <w:r>
              <w:rPr>
                <w:rFonts w:hint="eastAsia"/>
                <w:color w:val="000000"/>
                <w:sz w:val="18"/>
                <w:szCs w:val="18"/>
                <w:lang w:val="en-US" w:eastAsia="zh-CN"/>
              </w:rPr>
              <w:t>2、</w:t>
            </w:r>
            <w:r>
              <w:rPr>
                <w:rFonts w:hint="eastAsia"/>
                <w:color w:val="000000"/>
                <w:sz w:val="18"/>
                <w:szCs w:val="18"/>
              </w:rPr>
              <w:t>额定功率：≧160W</w:t>
            </w:r>
            <w:r>
              <w:rPr>
                <w:rFonts w:hint="eastAsia"/>
                <w:color w:val="000000"/>
                <w:sz w:val="18"/>
                <w:szCs w:val="18"/>
              </w:rPr>
              <w:br w:type="textWrapping"/>
            </w:r>
            <w:r>
              <w:rPr>
                <w:rFonts w:hint="eastAsia"/>
                <w:color w:val="000000"/>
                <w:sz w:val="18"/>
                <w:szCs w:val="18"/>
                <w:lang w:val="en-US" w:eastAsia="zh-CN"/>
              </w:rPr>
              <w:t>3、</w:t>
            </w:r>
            <w:r>
              <w:rPr>
                <w:rFonts w:hint="eastAsia"/>
                <w:color w:val="000000"/>
                <w:sz w:val="18"/>
                <w:szCs w:val="18"/>
              </w:rPr>
              <w:t>电源接口：三芯防水对接接头，一进一出，线长≧3米</w:t>
            </w:r>
            <w:r>
              <w:rPr>
                <w:rFonts w:hint="eastAsia"/>
                <w:color w:val="000000"/>
                <w:sz w:val="18"/>
                <w:szCs w:val="18"/>
              </w:rPr>
              <w:br w:type="textWrapping"/>
            </w:r>
            <w:r>
              <w:rPr>
                <w:rFonts w:hint="eastAsia"/>
                <w:color w:val="000000"/>
                <w:sz w:val="18"/>
                <w:szCs w:val="18"/>
                <w:lang w:val="en-US" w:eastAsia="zh-CN"/>
              </w:rPr>
              <w:t>4、</w:t>
            </w:r>
            <w:r>
              <w:rPr>
                <w:rFonts w:hint="eastAsia"/>
                <w:color w:val="000000"/>
                <w:sz w:val="18"/>
                <w:szCs w:val="18"/>
              </w:rPr>
              <w:t>信号接口：三芯防水对接接头，一进一出，线长≧3米</w:t>
            </w:r>
            <w:r>
              <w:rPr>
                <w:rFonts w:hint="eastAsia"/>
                <w:color w:val="000000"/>
                <w:sz w:val="18"/>
                <w:szCs w:val="18"/>
              </w:rPr>
              <w:br w:type="textWrapping"/>
            </w:r>
            <w:r>
              <w:rPr>
                <w:rFonts w:hint="eastAsia"/>
                <w:color w:val="000000"/>
                <w:sz w:val="18"/>
                <w:szCs w:val="18"/>
                <w:lang w:val="en-US" w:eastAsia="zh-CN"/>
              </w:rPr>
              <w:t>5、</w:t>
            </w:r>
            <w:r>
              <w:rPr>
                <w:rFonts w:hint="eastAsia"/>
                <w:color w:val="000000"/>
                <w:sz w:val="18"/>
                <w:szCs w:val="18"/>
              </w:rPr>
              <w:t>光   源：54颗3W R/G/B/W 四色 LED R：14颗G：14颗 B：14颗 W：12颗</w:t>
            </w:r>
            <w:r>
              <w:rPr>
                <w:rFonts w:hint="eastAsia"/>
                <w:color w:val="000000"/>
                <w:sz w:val="18"/>
                <w:szCs w:val="18"/>
              </w:rPr>
              <w:br w:type="textWrapping"/>
            </w:r>
            <w:r>
              <w:rPr>
                <w:rFonts w:hint="eastAsia"/>
                <w:color w:val="000000"/>
                <w:sz w:val="18"/>
                <w:szCs w:val="18"/>
                <w:lang w:val="en-US" w:eastAsia="zh-CN"/>
              </w:rPr>
              <w:t>6、</w:t>
            </w:r>
            <w:r>
              <w:rPr>
                <w:rFonts w:hint="eastAsia"/>
                <w:color w:val="000000"/>
                <w:sz w:val="18"/>
                <w:szCs w:val="18"/>
              </w:rPr>
              <w:t>照   度：≧5米距离，光斑直径﹤1.5米，中心亮度≧2300LUX</w:t>
            </w:r>
            <w:r>
              <w:rPr>
                <w:rFonts w:hint="eastAsia"/>
                <w:color w:val="000000"/>
                <w:sz w:val="18"/>
                <w:szCs w:val="18"/>
              </w:rPr>
              <w:br w:type="textWrapping"/>
            </w:r>
            <w:r>
              <w:rPr>
                <w:rFonts w:hint="eastAsia"/>
                <w:color w:val="000000"/>
                <w:sz w:val="18"/>
                <w:szCs w:val="18"/>
                <w:lang w:val="en-US" w:eastAsia="zh-CN"/>
              </w:rPr>
              <w:t>7、</w:t>
            </w:r>
            <w:r>
              <w:rPr>
                <w:rFonts w:hint="eastAsia"/>
                <w:color w:val="000000"/>
                <w:sz w:val="18"/>
                <w:szCs w:val="18"/>
              </w:rPr>
              <w:t>灯泡寿命：≧50000小时</w:t>
            </w:r>
            <w:r>
              <w:rPr>
                <w:rFonts w:hint="eastAsia"/>
                <w:color w:val="000000"/>
                <w:sz w:val="18"/>
                <w:szCs w:val="18"/>
              </w:rPr>
              <w:br w:type="textWrapping"/>
            </w:r>
            <w:r>
              <w:rPr>
                <w:rFonts w:hint="eastAsia"/>
                <w:color w:val="000000"/>
                <w:sz w:val="18"/>
                <w:szCs w:val="18"/>
                <w:lang w:val="en-US" w:eastAsia="zh-CN"/>
              </w:rPr>
              <w:t>8、</w:t>
            </w:r>
            <w:r>
              <w:rPr>
                <w:rFonts w:hint="eastAsia"/>
                <w:color w:val="000000"/>
                <w:sz w:val="18"/>
                <w:szCs w:val="18"/>
              </w:rPr>
              <w:t>颜   色：均匀的RGBW混色系统和彩虹效果</w:t>
            </w:r>
            <w:r>
              <w:rPr>
                <w:rFonts w:hint="eastAsia"/>
                <w:color w:val="000000"/>
                <w:sz w:val="18"/>
                <w:szCs w:val="18"/>
              </w:rPr>
              <w:br w:type="textWrapping"/>
            </w:r>
            <w:r>
              <w:rPr>
                <w:rFonts w:hint="eastAsia"/>
                <w:color w:val="000000"/>
                <w:sz w:val="18"/>
                <w:szCs w:val="18"/>
                <w:lang w:val="en-US" w:eastAsia="zh-CN"/>
              </w:rPr>
              <w:t>9、</w:t>
            </w:r>
            <w:r>
              <w:rPr>
                <w:rFonts w:hint="eastAsia"/>
                <w:color w:val="000000"/>
                <w:sz w:val="18"/>
                <w:szCs w:val="18"/>
              </w:rPr>
              <w:t>控制模式：国际标准DMX512信号、声控、RDM、自走、主从</w:t>
            </w:r>
            <w:r>
              <w:rPr>
                <w:rFonts w:hint="eastAsia"/>
                <w:color w:val="000000"/>
                <w:sz w:val="18"/>
                <w:szCs w:val="18"/>
              </w:rPr>
              <w:br w:type="textWrapping"/>
            </w:r>
            <w:r>
              <w:rPr>
                <w:rFonts w:hint="eastAsia"/>
                <w:color w:val="000000"/>
                <w:sz w:val="18"/>
                <w:szCs w:val="18"/>
                <w:lang w:val="en-US" w:eastAsia="zh-CN"/>
              </w:rPr>
              <w:t>10、</w:t>
            </w:r>
            <w:r>
              <w:rPr>
                <w:rFonts w:hint="eastAsia"/>
                <w:color w:val="000000"/>
                <w:sz w:val="18"/>
                <w:szCs w:val="18"/>
              </w:rPr>
              <w:t>通道模式：1种DMX通道（9个国际标准DMX512通道）</w:t>
            </w:r>
            <w:r>
              <w:rPr>
                <w:rFonts w:hint="eastAsia"/>
                <w:color w:val="000000"/>
                <w:sz w:val="18"/>
                <w:szCs w:val="18"/>
              </w:rPr>
              <w:br w:type="textWrapping"/>
            </w:r>
            <w:r>
              <w:rPr>
                <w:rFonts w:hint="eastAsia"/>
                <w:color w:val="000000"/>
                <w:sz w:val="18"/>
                <w:szCs w:val="18"/>
              </w:rPr>
              <w:t>变焦范围：25°（45°，60°可选）</w:t>
            </w:r>
            <w:r>
              <w:rPr>
                <w:rFonts w:hint="eastAsia"/>
                <w:color w:val="000000"/>
                <w:sz w:val="18"/>
                <w:szCs w:val="18"/>
              </w:rPr>
              <w:br w:type="textWrapping"/>
            </w:r>
            <w:r>
              <w:rPr>
                <w:rFonts w:hint="eastAsia"/>
                <w:color w:val="000000"/>
                <w:sz w:val="18"/>
                <w:szCs w:val="18"/>
                <w:lang w:val="en-US" w:eastAsia="zh-CN"/>
              </w:rPr>
              <w:t>11、</w:t>
            </w:r>
            <w:r>
              <w:rPr>
                <w:rFonts w:hint="eastAsia"/>
                <w:color w:val="000000"/>
                <w:sz w:val="18"/>
                <w:szCs w:val="18"/>
              </w:rPr>
              <w:t>频闪系统：独立电子频闪，频闪速度25次/秒，出色的频闪系统，速度可变</w:t>
            </w:r>
            <w:r>
              <w:rPr>
                <w:rFonts w:hint="eastAsia"/>
                <w:color w:val="000000"/>
                <w:sz w:val="18"/>
                <w:szCs w:val="18"/>
              </w:rPr>
              <w:br w:type="textWrapping"/>
            </w:r>
            <w:r>
              <w:rPr>
                <w:rFonts w:hint="eastAsia"/>
                <w:color w:val="000000"/>
                <w:sz w:val="18"/>
                <w:szCs w:val="18"/>
                <w:lang w:val="en-US" w:eastAsia="zh-CN"/>
              </w:rPr>
              <w:t>12、</w:t>
            </w:r>
            <w:r>
              <w:rPr>
                <w:rFonts w:hint="eastAsia"/>
                <w:color w:val="000000"/>
                <w:sz w:val="18"/>
                <w:szCs w:val="18"/>
              </w:rPr>
              <w:t>调光系统：0-100%线性顺滑调光，65536级调光</w:t>
            </w:r>
            <w:r>
              <w:rPr>
                <w:rFonts w:hint="eastAsia"/>
                <w:color w:val="000000"/>
                <w:sz w:val="18"/>
                <w:szCs w:val="18"/>
              </w:rPr>
              <w:br w:type="textWrapping"/>
            </w:r>
            <w:r>
              <w:rPr>
                <w:rFonts w:hint="eastAsia"/>
                <w:color w:val="000000"/>
                <w:sz w:val="18"/>
                <w:szCs w:val="18"/>
                <w:lang w:val="en-US" w:eastAsia="zh-CN"/>
              </w:rPr>
              <w:t>13、</w:t>
            </w:r>
            <w:r>
              <w:rPr>
                <w:rFonts w:hint="eastAsia"/>
                <w:color w:val="000000"/>
                <w:sz w:val="18"/>
                <w:szCs w:val="18"/>
              </w:rPr>
              <w:t>显示系统：采用高灵敏度轻触按键替换常规机械式按键，手感细腻，同时也降低按键过程中产生的噪音</w:t>
            </w:r>
            <w:r>
              <w:rPr>
                <w:rFonts w:hint="eastAsia"/>
                <w:color w:val="000000"/>
                <w:sz w:val="18"/>
                <w:szCs w:val="18"/>
              </w:rPr>
              <w:br w:type="textWrapping"/>
            </w:r>
            <w:r>
              <w:rPr>
                <w:rFonts w:hint="eastAsia"/>
                <w:color w:val="000000"/>
                <w:sz w:val="18"/>
                <w:szCs w:val="18"/>
                <w:lang w:val="en-US" w:eastAsia="zh-CN"/>
              </w:rPr>
              <w:t>14、</w:t>
            </w:r>
            <w:r>
              <w:rPr>
                <w:rFonts w:hint="eastAsia"/>
                <w:color w:val="000000"/>
                <w:sz w:val="18"/>
                <w:szCs w:val="18"/>
              </w:rPr>
              <w:t>防护等级：IP20</w:t>
            </w:r>
          </w:p>
        </w:tc>
      </w:tr>
      <w:tr w14:paraId="5ED0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00B9EDAF">
            <w:pPr>
              <w:rPr>
                <w:rFonts w:ascii="宋体" w:hAnsi="宋体" w:cs="宋体"/>
                <w:sz w:val="18"/>
                <w:szCs w:val="18"/>
              </w:rPr>
            </w:pPr>
          </w:p>
        </w:tc>
        <w:tc>
          <w:tcPr>
            <w:tcW w:w="436" w:type="pct"/>
            <w:vAlign w:val="center"/>
          </w:tcPr>
          <w:p w14:paraId="1A0A9D43">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438" w:type="pct"/>
            <w:gridSpan w:val="2"/>
            <w:vAlign w:val="center"/>
          </w:tcPr>
          <w:p w14:paraId="17E533B4">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四周围照树帕灯</w:t>
            </w:r>
          </w:p>
        </w:tc>
        <w:tc>
          <w:tcPr>
            <w:tcW w:w="445" w:type="pct"/>
            <w:vAlign w:val="center"/>
          </w:tcPr>
          <w:p w14:paraId="09CAD961">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54颗3W防水帕灯</w:t>
            </w:r>
          </w:p>
        </w:tc>
        <w:tc>
          <w:tcPr>
            <w:tcW w:w="277" w:type="pct"/>
            <w:vAlign w:val="center"/>
          </w:tcPr>
          <w:p w14:paraId="11E97ED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244" w:type="pct"/>
            <w:vAlign w:val="center"/>
          </w:tcPr>
          <w:p w14:paraId="0522C2FF">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4"/>
            <w:vAlign w:val="center"/>
          </w:tcPr>
          <w:p w14:paraId="02FA4166">
            <w:pPr>
              <w:rPr>
                <w:rFonts w:ascii="宋体" w:hAnsi="宋体" w:cs="宋体"/>
                <w:color w:val="000000"/>
                <w:sz w:val="18"/>
                <w:szCs w:val="18"/>
              </w:rPr>
            </w:pPr>
            <w:r>
              <w:rPr>
                <w:rFonts w:hint="eastAsia"/>
                <w:color w:val="000000"/>
                <w:sz w:val="18"/>
                <w:szCs w:val="18"/>
                <w:lang w:val="en-US" w:eastAsia="zh-CN"/>
              </w:rPr>
              <w:t>1、</w:t>
            </w:r>
            <w:r>
              <w:rPr>
                <w:rFonts w:hint="eastAsia"/>
                <w:color w:val="000000"/>
                <w:sz w:val="18"/>
                <w:szCs w:val="18"/>
              </w:rPr>
              <w:t>额定电压：AC100～240V 50/60Hz</w:t>
            </w:r>
            <w:r>
              <w:rPr>
                <w:rFonts w:hint="eastAsia"/>
                <w:color w:val="000000"/>
                <w:sz w:val="18"/>
                <w:szCs w:val="18"/>
              </w:rPr>
              <w:br w:type="textWrapping"/>
            </w:r>
            <w:r>
              <w:rPr>
                <w:rFonts w:hint="eastAsia"/>
                <w:color w:val="000000"/>
                <w:sz w:val="18"/>
                <w:szCs w:val="18"/>
                <w:lang w:val="en-US" w:eastAsia="zh-CN"/>
              </w:rPr>
              <w:t>2、</w:t>
            </w:r>
            <w:r>
              <w:rPr>
                <w:rFonts w:hint="eastAsia"/>
                <w:color w:val="000000"/>
                <w:sz w:val="18"/>
                <w:szCs w:val="18"/>
              </w:rPr>
              <w:t>额定功率：≧160W</w:t>
            </w:r>
            <w:r>
              <w:rPr>
                <w:rFonts w:hint="eastAsia"/>
                <w:color w:val="000000"/>
                <w:sz w:val="18"/>
                <w:szCs w:val="18"/>
              </w:rPr>
              <w:br w:type="textWrapping"/>
            </w:r>
            <w:r>
              <w:rPr>
                <w:rFonts w:hint="eastAsia"/>
                <w:color w:val="000000"/>
                <w:sz w:val="18"/>
                <w:szCs w:val="18"/>
                <w:lang w:val="en-US" w:eastAsia="zh-CN"/>
              </w:rPr>
              <w:t>3、</w:t>
            </w:r>
            <w:r>
              <w:rPr>
                <w:rFonts w:hint="eastAsia"/>
                <w:color w:val="000000"/>
                <w:sz w:val="18"/>
                <w:szCs w:val="18"/>
              </w:rPr>
              <w:t>电源接口：三芯防水对接接头，一进一出，线长≧3米</w:t>
            </w:r>
            <w:r>
              <w:rPr>
                <w:rFonts w:hint="eastAsia"/>
                <w:color w:val="000000"/>
                <w:sz w:val="18"/>
                <w:szCs w:val="18"/>
              </w:rPr>
              <w:br w:type="textWrapping"/>
            </w:r>
            <w:r>
              <w:rPr>
                <w:rFonts w:hint="eastAsia"/>
                <w:color w:val="000000"/>
                <w:sz w:val="18"/>
                <w:szCs w:val="18"/>
                <w:lang w:val="en-US" w:eastAsia="zh-CN"/>
              </w:rPr>
              <w:t>4、</w:t>
            </w:r>
            <w:r>
              <w:rPr>
                <w:rFonts w:hint="eastAsia"/>
                <w:color w:val="000000"/>
                <w:sz w:val="18"/>
                <w:szCs w:val="18"/>
              </w:rPr>
              <w:t>信号接口：三芯防水对接接头，一进一出，线长≧3米</w:t>
            </w:r>
            <w:r>
              <w:rPr>
                <w:rFonts w:hint="eastAsia"/>
                <w:color w:val="000000"/>
                <w:sz w:val="18"/>
                <w:szCs w:val="18"/>
              </w:rPr>
              <w:br w:type="textWrapping"/>
            </w:r>
            <w:r>
              <w:rPr>
                <w:rFonts w:hint="eastAsia"/>
                <w:color w:val="000000"/>
                <w:sz w:val="18"/>
                <w:szCs w:val="18"/>
                <w:lang w:val="en-US" w:eastAsia="zh-CN"/>
              </w:rPr>
              <w:t>5、</w:t>
            </w:r>
            <w:r>
              <w:rPr>
                <w:rFonts w:hint="eastAsia"/>
                <w:color w:val="000000"/>
                <w:sz w:val="18"/>
                <w:szCs w:val="18"/>
              </w:rPr>
              <w:t>光   源：54颗3W R/G/B/W 四色 LED R：14颗G：14颗 B：14颗 W：12颗</w:t>
            </w:r>
            <w:r>
              <w:rPr>
                <w:rFonts w:hint="eastAsia"/>
                <w:color w:val="000000"/>
                <w:sz w:val="18"/>
                <w:szCs w:val="18"/>
              </w:rPr>
              <w:br w:type="textWrapping"/>
            </w:r>
            <w:r>
              <w:rPr>
                <w:rFonts w:hint="eastAsia"/>
                <w:color w:val="000000"/>
                <w:sz w:val="18"/>
                <w:szCs w:val="18"/>
                <w:lang w:val="en-US" w:eastAsia="zh-CN"/>
              </w:rPr>
              <w:t>6、</w:t>
            </w:r>
            <w:r>
              <w:rPr>
                <w:rFonts w:hint="eastAsia"/>
                <w:color w:val="000000"/>
                <w:sz w:val="18"/>
                <w:szCs w:val="18"/>
              </w:rPr>
              <w:t>照   度：≧5米距离，光斑直径﹤1.5米，中心亮度≧2300LUX</w:t>
            </w:r>
            <w:r>
              <w:rPr>
                <w:rFonts w:hint="eastAsia"/>
                <w:color w:val="000000"/>
                <w:sz w:val="18"/>
                <w:szCs w:val="18"/>
              </w:rPr>
              <w:br w:type="textWrapping"/>
            </w:r>
            <w:r>
              <w:rPr>
                <w:rFonts w:hint="eastAsia"/>
                <w:color w:val="000000"/>
                <w:sz w:val="18"/>
                <w:szCs w:val="18"/>
                <w:lang w:val="en-US" w:eastAsia="zh-CN"/>
              </w:rPr>
              <w:t>7、</w:t>
            </w:r>
            <w:r>
              <w:rPr>
                <w:rFonts w:hint="eastAsia"/>
                <w:color w:val="000000"/>
                <w:sz w:val="18"/>
                <w:szCs w:val="18"/>
              </w:rPr>
              <w:t>灯泡寿命：≧50000小时</w:t>
            </w:r>
            <w:r>
              <w:rPr>
                <w:rFonts w:hint="eastAsia"/>
                <w:color w:val="000000"/>
                <w:sz w:val="18"/>
                <w:szCs w:val="18"/>
              </w:rPr>
              <w:br w:type="textWrapping"/>
            </w:r>
            <w:r>
              <w:rPr>
                <w:rFonts w:hint="eastAsia"/>
                <w:color w:val="000000"/>
                <w:sz w:val="18"/>
                <w:szCs w:val="18"/>
                <w:lang w:val="en-US" w:eastAsia="zh-CN"/>
              </w:rPr>
              <w:t>8、</w:t>
            </w:r>
            <w:r>
              <w:rPr>
                <w:rFonts w:hint="eastAsia"/>
                <w:color w:val="000000"/>
                <w:sz w:val="18"/>
                <w:szCs w:val="18"/>
              </w:rPr>
              <w:t>颜   色：均匀的RGBW混色系统和彩虹效果</w:t>
            </w:r>
            <w:r>
              <w:rPr>
                <w:rFonts w:hint="eastAsia"/>
                <w:color w:val="000000"/>
                <w:sz w:val="18"/>
                <w:szCs w:val="18"/>
              </w:rPr>
              <w:br w:type="textWrapping"/>
            </w:r>
            <w:r>
              <w:rPr>
                <w:rFonts w:hint="eastAsia"/>
                <w:color w:val="000000"/>
                <w:sz w:val="18"/>
                <w:szCs w:val="18"/>
                <w:lang w:val="en-US" w:eastAsia="zh-CN"/>
              </w:rPr>
              <w:t>9、</w:t>
            </w:r>
            <w:r>
              <w:rPr>
                <w:rFonts w:hint="eastAsia"/>
                <w:color w:val="000000"/>
                <w:sz w:val="18"/>
                <w:szCs w:val="18"/>
              </w:rPr>
              <w:t>控制模式：国际标准DMX512信号、声控、RDM、自走、主从</w:t>
            </w:r>
            <w:r>
              <w:rPr>
                <w:rFonts w:hint="eastAsia"/>
                <w:color w:val="000000"/>
                <w:sz w:val="18"/>
                <w:szCs w:val="18"/>
              </w:rPr>
              <w:br w:type="textWrapping"/>
            </w:r>
            <w:r>
              <w:rPr>
                <w:rFonts w:hint="eastAsia"/>
                <w:color w:val="000000"/>
                <w:sz w:val="18"/>
                <w:szCs w:val="18"/>
                <w:lang w:val="en-US" w:eastAsia="zh-CN"/>
              </w:rPr>
              <w:t>10、</w:t>
            </w:r>
            <w:r>
              <w:rPr>
                <w:rFonts w:hint="eastAsia"/>
                <w:color w:val="000000"/>
                <w:sz w:val="18"/>
                <w:szCs w:val="18"/>
              </w:rPr>
              <w:t>通道模式：1种DMX通道（9个国际标准DMX512通道）</w:t>
            </w:r>
            <w:r>
              <w:rPr>
                <w:rFonts w:hint="eastAsia"/>
                <w:color w:val="000000"/>
                <w:sz w:val="18"/>
                <w:szCs w:val="18"/>
              </w:rPr>
              <w:br w:type="textWrapping"/>
            </w:r>
            <w:r>
              <w:rPr>
                <w:rFonts w:hint="eastAsia"/>
                <w:color w:val="000000"/>
                <w:sz w:val="18"/>
                <w:szCs w:val="18"/>
              </w:rPr>
              <w:t>变焦范围：25°（45°，60°可选）</w:t>
            </w:r>
            <w:r>
              <w:rPr>
                <w:rFonts w:hint="eastAsia"/>
                <w:color w:val="000000"/>
                <w:sz w:val="18"/>
                <w:szCs w:val="18"/>
              </w:rPr>
              <w:br w:type="textWrapping"/>
            </w:r>
            <w:r>
              <w:rPr>
                <w:rFonts w:hint="eastAsia"/>
                <w:color w:val="000000"/>
                <w:sz w:val="18"/>
                <w:szCs w:val="18"/>
                <w:lang w:val="en-US" w:eastAsia="zh-CN"/>
              </w:rPr>
              <w:t>11、</w:t>
            </w:r>
            <w:r>
              <w:rPr>
                <w:rFonts w:hint="eastAsia"/>
                <w:color w:val="000000"/>
                <w:sz w:val="18"/>
                <w:szCs w:val="18"/>
              </w:rPr>
              <w:t>频闪系统：独立电子频闪，频闪速度25次/秒，出色的频闪系统，速度可变</w:t>
            </w:r>
            <w:r>
              <w:rPr>
                <w:rFonts w:hint="eastAsia"/>
                <w:color w:val="000000"/>
                <w:sz w:val="18"/>
                <w:szCs w:val="18"/>
              </w:rPr>
              <w:br w:type="textWrapping"/>
            </w:r>
            <w:r>
              <w:rPr>
                <w:rFonts w:hint="eastAsia"/>
                <w:color w:val="000000"/>
                <w:sz w:val="18"/>
                <w:szCs w:val="18"/>
                <w:lang w:val="en-US" w:eastAsia="zh-CN"/>
              </w:rPr>
              <w:t>12、</w:t>
            </w:r>
            <w:r>
              <w:rPr>
                <w:rFonts w:hint="eastAsia"/>
                <w:color w:val="000000"/>
                <w:sz w:val="18"/>
                <w:szCs w:val="18"/>
              </w:rPr>
              <w:t>调光系统：0-100%线性顺滑调光，65536级调光</w:t>
            </w:r>
            <w:r>
              <w:rPr>
                <w:rFonts w:hint="eastAsia"/>
                <w:color w:val="000000"/>
                <w:sz w:val="18"/>
                <w:szCs w:val="18"/>
              </w:rPr>
              <w:br w:type="textWrapping"/>
            </w:r>
            <w:r>
              <w:rPr>
                <w:rFonts w:hint="eastAsia"/>
                <w:color w:val="000000"/>
                <w:sz w:val="18"/>
                <w:szCs w:val="18"/>
                <w:lang w:val="en-US" w:eastAsia="zh-CN"/>
              </w:rPr>
              <w:t>13、</w:t>
            </w:r>
            <w:r>
              <w:rPr>
                <w:rFonts w:hint="eastAsia"/>
                <w:color w:val="000000"/>
                <w:sz w:val="18"/>
                <w:szCs w:val="18"/>
              </w:rPr>
              <w:t>显示系统：采用高灵敏度轻触按键替换常规机械式按键，手感细腻，同时也降低按键过程中产生的噪音</w:t>
            </w:r>
            <w:r>
              <w:rPr>
                <w:rFonts w:hint="eastAsia"/>
                <w:color w:val="000000"/>
                <w:sz w:val="18"/>
                <w:szCs w:val="18"/>
              </w:rPr>
              <w:br w:type="textWrapping"/>
            </w:r>
            <w:r>
              <w:rPr>
                <w:rFonts w:hint="eastAsia"/>
                <w:color w:val="000000"/>
                <w:sz w:val="18"/>
                <w:szCs w:val="18"/>
                <w:lang w:val="en-US" w:eastAsia="zh-CN"/>
              </w:rPr>
              <w:t>14、</w:t>
            </w:r>
            <w:r>
              <w:rPr>
                <w:rFonts w:hint="eastAsia"/>
                <w:color w:val="000000"/>
                <w:sz w:val="18"/>
                <w:szCs w:val="18"/>
              </w:rPr>
              <w:t>防护等级：IP20</w:t>
            </w:r>
          </w:p>
        </w:tc>
      </w:tr>
      <w:tr w14:paraId="7451B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0E0FAD65">
            <w:pPr>
              <w:rPr>
                <w:rFonts w:ascii="宋体" w:hAnsi="宋体" w:cs="宋体"/>
                <w:sz w:val="18"/>
                <w:szCs w:val="18"/>
              </w:rPr>
            </w:pPr>
          </w:p>
        </w:tc>
        <w:tc>
          <w:tcPr>
            <w:tcW w:w="436" w:type="pct"/>
            <w:vAlign w:val="center"/>
          </w:tcPr>
          <w:p w14:paraId="11AFABC5">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438" w:type="pct"/>
            <w:gridSpan w:val="2"/>
            <w:vAlign w:val="center"/>
          </w:tcPr>
          <w:p w14:paraId="09A56522">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防水三合一</w:t>
            </w:r>
          </w:p>
        </w:tc>
        <w:tc>
          <w:tcPr>
            <w:tcW w:w="445" w:type="pct"/>
            <w:vAlign w:val="center"/>
          </w:tcPr>
          <w:p w14:paraId="65912EA0">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380W三合一电脑灯</w:t>
            </w:r>
          </w:p>
        </w:tc>
        <w:tc>
          <w:tcPr>
            <w:tcW w:w="277" w:type="pct"/>
            <w:vAlign w:val="center"/>
          </w:tcPr>
          <w:p w14:paraId="30689E65">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244" w:type="pct"/>
            <w:vAlign w:val="center"/>
          </w:tcPr>
          <w:p w14:paraId="4F717717">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2801" w:type="pct"/>
            <w:gridSpan w:val="4"/>
            <w:vAlign w:val="center"/>
          </w:tcPr>
          <w:p w14:paraId="2BF289CC">
            <w:pPr>
              <w:rPr>
                <w:rFonts w:ascii="宋体" w:hAnsi="宋体" w:cs="宋体"/>
                <w:color w:val="000000"/>
                <w:sz w:val="18"/>
                <w:szCs w:val="18"/>
              </w:rPr>
            </w:pPr>
            <w:r>
              <w:rPr>
                <w:rFonts w:hint="eastAsia"/>
                <w:color w:val="000000"/>
                <w:sz w:val="18"/>
                <w:szCs w:val="18"/>
              </w:rPr>
              <w:t>光源</w:t>
            </w:r>
            <w:r>
              <w:rPr>
                <w:rFonts w:hint="eastAsia"/>
                <w:color w:val="000000"/>
                <w:sz w:val="18"/>
                <w:szCs w:val="18"/>
              </w:rPr>
              <w:br w:type="textWrapping"/>
            </w:r>
            <w:r>
              <w:rPr>
                <w:rFonts w:hint="eastAsia"/>
                <w:color w:val="000000"/>
                <w:sz w:val="18"/>
                <w:szCs w:val="18"/>
                <w:lang w:val="en-US" w:eastAsia="zh-CN"/>
              </w:rPr>
              <w:t>1、</w:t>
            </w:r>
            <w:r>
              <w:rPr>
                <w:rFonts w:hint="eastAsia"/>
                <w:color w:val="000000"/>
                <w:sz w:val="18"/>
                <w:szCs w:val="18"/>
              </w:rPr>
              <w:t>灯泡：USHIO NSL 380 , 色温：8000 K， 寿命: 1500 H</w:t>
            </w:r>
            <w:r>
              <w:rPr>
                <w:rFonts w:hint="eastAsia"/>
                <w:color w:val="000000"/>
                <w:sz w:val="18"/>
                <w:szCs w:val="18"/>
              </w:rPr>
              <w:br w:type="textWrapping"/>
            </w:r>
            <w:r>
              <w:rPr>
                <w:rFonts w:hint="eastAsia"/>
                <w:color w:val="000000"/>
                <w:sz w:val="18"/>
                <w:szCs w:val="18"/>
              </w:rPr>
              <w:t>光学</w:t>
            </w:r>
            <w:r>
              <w:rPr>
                <w:rFonts w:hint="eastAsia"/>
                <w:color w:val="000000"/>
                <w:sz w:val="18"/>
                <w:szCs w:val="18"/>
              </w:rPr>
              <w:br w:type="textWrapping"/>
            </w:r>
            <w:r>
              <w:rPr>
                <w:rFonts w:hint="eastAsia" w:ascii="宋体" w:hAnsi="宋体" w:cs="宋体"/>
                <w:color w:val="000000"/>
                <w:sz w:val="18"/>
                <w:szCs w:val="18"/>
                <w:lang w:val="en-US" w:eastAsia="zh-CN"/>
              </w:rPr>
              <w:t>2、</w:t>
            </w:r>
            <w:r>
              <w:rPr>
                <w:rFonts w:hint="eastAsia"/>
                <w:color w:val="000000"/>
                <w:sz w:val="18"/>
                <w:szCs w:val="18"/>
              </w:rPr>
              <w:t>光束角度2 - 45°， 采用高透光镜头， 光束锐利,光束感强</w:t>
            </w:r>
            <w:r>
              <w:rPr>
                <w:rFonts w:hint="eastAsia"/>
                <w:color w:val="000000"/>
                <w:sz w:val="18"/>
                <w:szCs w:val="18"/>
              </w:rPr>
              <w:br w:type="textWrapping"/>
            </w:r>
            <w:r>
              <w:rPr>
                <w:rFonts w:hint="eastAsia"/>
                <w:color w:val="000000"/>
                <w:sz w:val="18"/>
                <w:szCs w:val="18"/>
              </w:rPr>
              <w:t>扫描</w:t>
            </w:r>
            <w:r>
              <w:rPr>
                <w:rFonts w:hint="eastAsia"/>
                <w:color w:val="000000"/>
                <w:sz w:val="18"/>
                <w:szCs w:val="18"/>
              </w:rPr>
              <w:br w:type="textWrapping"/>
            </w:r>
            <w:r>
              <w:rPr>
                <w:rFonts w:hint="eastAsia" w:ascii="宋体" w:hAnsi="宋体" w:cs="宋体"/>
                <w:color w:val="000000"/>
                <w:sz w:val="18"/>
                <w:szCs w:val="18"/>
                <w:lang w:val="en-US" w:eastAsia="zh-CN"/>
              </w:rPr>
              <w:t>3、</w:t>
            </w:r>
            <w:r>
              <w:rPr>
                <w:rFonts w:hint="eastAsia"/>
                <w:color w:val="000000"/>
                <w:sz w:val="18"/>
                <w:szCs w:val="18"/>
              </w:rPr>
              <w:t>水平扫描：540°或 630°( 16 bit精度扫描) 垂直扫描：270°( 16 bit精度扫描)</w:t>
            </w:r>
            <w:r>
              <w:rPr>
                <w:rFonts w:hint="eastAsia"/>
                <w:color w:val="000000"/>
                <w:sz w:val="18"/>
                <w:szCs w:val="18"/>
              </w:rPr>
              <w:br w:type="textWrapping"/>
            </w:r>
            <w:r>
              <w:rPr>
                <w:rFonts w:hint="eastAsia" w:ascii="宋体" w:hAnsi="宋体" w:cs="宋体"/>
                <w:color w:val="000000"/>
                <w:sz w:val="18"/>
                <w:szCs w:val="18"/>
                <w:lang w:val="en-US" w:eastAsia="zh-CN"/>
              </w:rPr>
              <w:t>4、</w:t>
            </w:r>
            <w:r>
              <w:rPr>
                <w:rFonts w:hint="eastAsia"/>
                <w:color w:val="000000"/>
                <w:sz w:val="18"/>
                <w:szCs w:val="18"/>
              </w:rPr>
              <w:t>先进的扫描系统更加快速， 稳定、安静， 具有自动纠错的复位功能色彩</w:t>
            </w:r>
            <w:r>
              <w:rPr>
                <w:rFonts w:hint="eastAsia"/>
                <w:color w:val="000000"/>
                <w:sz w:val="18"/>
                <w:szCs w:val="18"/>
              </w:rPr>
              <w:br w:type="textWrapping"/>
            </w:r>
            <w:r>
              <w:rPr>
                <w:rFonts w:hint="eastAsia" w:ascii="宋体" w:hAnsi="宋体" w:cs="宋体"/>
                <w:color w:val="000000"/>
                <w:sz w:val="18"/>
                <w:szCs w:val="18"/>
                <w:lang w:val="en-US" w:eastAsia="zh-CN"/>
              </w:rPr>
              <w:t>5、</w:t>
            </w:r>
            <w:r>
              <w:rPr>
                <w:rFonts w:hint="eastAsia"/>
                <w:color w:val="000000"/>
                <w:sz w:val="18"/>
                <w:szCs w:val="18"/>
              </w:rPr>
              <w:t>1个色片盘：13个色片+白光， 半色效果， 带双向旋转的彩虹效果图案</w:t>
            </w:r>
            <w:r>
              <w:rPr>
                <w:rFonts w:hint="eastAsia"/>
                <w:color w:val="000000"/>
                <w:sz w:val="18"/>
                <w:szCs w:val="18"/>
              </w:rPr>
              <w:br w:type="textWrapping"/>
            </w:r>
            <w:r>
              <w:rPr>
                <w:rFonts w:hint="eastAsia" w:ascii="宋体" w:hAnsi="宋体" w:cs="宋体"/>
                <w:color w:val="000000"/>
                <w:sz w:val="18"/>
                <w:szCs w:val="18"/>
                <w:lang w:val="en-US" w:eastAsia="zh-CN"/>
              </w:rPr>
              <w:t>6、</w:t>
            </w:r>
            <w:r>
              <w:rPr>
                <w:rFonts w:hint="eastAsia"/>
                <w:color w:val="000000"/>
                <w:sz w:val="18"/>
                <w:szCs w:val="18"/>
              </w:rPr>
              <w:t>1个旋转图案盘：7个插拔式的旋转图案片+白圆， 带图案任意定位功能可插拔式图案片系统， 方便更换图案片</w:t>
            </w:r>
            <w:r>
              <w:rPr>
                <w:rFonts w:hint="eastAsia"/>
                <w:color w:val="000000"/>
                <w:sz w:val="18"/>
                <w:szCs w:val="18"/>
              </w:rPr>
              <w:br w:type="textWrapping"/>
            </w:r>
            <w:r>
              <w:rPr>
                <w:rFonts w:hint="eastAsia" w:ascii="宋体" w:hAnsi="宋体" w:cs="宋体"/>
                <w:color w:val="000000"/>
                <w:sz w:val="18"/>
                <w:szCs w:val="18"/>
                <w:lang w:val="en-US" w:eastAsia="zh-CN"/>
              </w:rPr>
              <w:t>7、</w:t>
            </w:r>
            <w:r>
              <w:rPr>
                <w:rFonts w:hint="eastAsia"/>
                <w:color w:val="000000"/>
                <w:sz w:val="18"/>
                <w:szCs w:val="18"/>
              </w:rPr>
              <w:t>1个固定图案盘：14个图案片+白圆， 带图案抖动和图案任意定位棱镜</w:t>
            </w:r>
            <w:r>
              <w:rPr>
                <w:rFonts w:hint="eastAsia"/>
                <w:color w:val="000000"/>
                <w:sz w:val="18"/>
                <w:szCs w:val="18"/>
              </w:rPr>
              <w:br w:type="textWrapping"/>
            </w:r>
            <w:r>
              <w:rPr>
                <w:rFonts w:hint="eastAsia"/>
                <w:color w:val="000000"/>
                <w:sz w:val="18"/>
                <w:szCs w:val="18"/>
                <w:lang w:val="en-US" w:eastAsia="zh-CN"/>
              </w:rPr>
              <w:t>1</w:t>
            </w:r>
            <w:r>
              <w:rPr>
                <w:rFonts w:hint="eastAsia" w:ascii="宋体" w:hAnsi="宋体" w:cs="宋体"/>
                <w:color w:val="000000"/>
                <w:sz w:val="18"/>
                <w:szCs w:val="18"/>
                <w:lang w:val="en-US" w:eastAsia="zh-CN"/>
              </w:rPr>
              <w:t>、</w:t>
            </w:r>
            <w:r>
              <w:rPr>
                <w:rFonts w:hint="eastAsia"/>
                <w:color w:val="000000"/>
                <w:sz w:val="18"/>
                <w:szCs w:val="18"/>
              </w:rPr>
              <w:t>一个旋转8棱镜</w:t>
            </w:r>
            <w:r>
              <w:rPr>
                <w:rFonts w:hint="eastAsia"/>
                <w:color w:val="000000"/>
                <w:sz w:val="18"/>
                <w:szCs w:val="18"/>
              </w:rPr>
              <w:br w:type="textWrapping"/>
            </w:r>
            <w:r>
              <w:rPr>
                <w:rFonts w:hint="eastAsia" w:ascii="宋体" w:hAnsi="宋体" w:cs="宋体"/>
                <w:color w:val="000000"/>
                <w:sz w:val="18"/>
                <w:szCs w:val="18"/>
                <w:lang w:val="en-US" w:eastAsia="zh-CN"/>
              </w:rPr>
              <w:t>2、</w:t>
            </w:r>
            <w:r>
              <w:rPr>
                <w:rFonts w:hint="eastAsia"/>
                <w:color w:val="000000"/>
                <w:sz w:val="18"/>
                <w:szCs w:val="18"/>
              </w:rPr>
              <w:t>调焦： 电子调焦， 超微顺滑调整焦距</w:t>
            </w:r>
            <w:r>
              <w:rPr>
                <w:rFonts w:hint="eastAsia"/>
                <w:color w:val="000000"/>
                <w:sz w:val="18"/>
                <w:szCs w:val="18"/>
              </w:rPr>
              <w:br w:type="textWrapping"/>
            </w:r>
            <w:r>
              <w:rPr>
                <w:rFonts w:hint="eastAsia"/>
                <w:color w:val="000000"/>
                <w:sz w:val="18"/>
                <w:szCs w:val="18"/>
                <w:lang w:val="en-US" w:eastAsia="zh-CN"/>
              </w:rPr>
              <w:t>3、</w:t>
            </w:r>
            <w:r>
              <w:rPr>
                <w:rFonts w:hint="eastAsia"/>
                <w:color w:val="000000"/>
                <w:sz w:val="18"/>
                <w:szCs w:val="18"/>
              </w:rPr>
              <w:t>频闪： 频率最高可以25次每秒， 并可选择随机频闪及脉冲频闪</w:t>
            </w:r>
            <w:r>
              <w:rPr>
                <w:rFonts w:hint="eastAsia"/>
                <w:color w:val="000000"/>
                <w:sz w:val="18"/>
                <w:szCs w:val="18"/>
              </w:rPr>
              <w:br w:type="textWrapping"/>
            </w:r>
            <w:r>
              <w:rPr>
                <w:rFonts w:hint="eastAsia"/>
                <w:color w:val="000000"/>
                <w:sz w:val="18"/>
                <w:szCs w:val="18"/>
                <w:lang w:val="en-US" w:eastAsia="zh-CN"/>
              </w:rPr>
              <w:t>4、</w:t>
            </w:r>
            <w:r>
              <w:rPr>
                <w:rFonts w:hint="eastAsia"/>
                <w:color w:val="000000"/>
                <w:sz w:val="18"/>
                <w:szCs w:val="18"/>
              </w:rPr>
              <w:t>调光：0 - 100 %线性调光</w:t>
            </w:r>
            <w:r>
              <w:rPr>
                <w:rFonts w:hint="eastAsia"/>
                <w:color w:val="000000"/>
                <w:sz w:val="18"/>
                <w:szCs w:val="18"/>
              </w:rPr>
              <w:br w:type="textWrapping"/>
            </w:r>
            <w:r>
              <w:rPr>
                <w:rFonts w:hint="eastAsia"/>
                <w:color w:val="000000"/>
                <w:sz w:val="18"/>
                <w:szCs w:val="18"/>
              </w:rPr>
              <w:t>DMX通道：</w:t>
            </w:r>
            <w:r>
              <w:rPr>
                <w:rFonts w:hint="eastAsia"/>
                <w:color w:val="000000"/>
                <w:sz w:val="18"/>
                <w:szCs w:val="18"/>
              </w:rPr>
              <w:br w:type="textWrapping"/>
            </w:r>
            <w:r>
              <w:rPr>
                <w:rFonts w:hint="eastAsia"/>
                <w:color w:val="000000"/>
                <w:sz w:val="18"/>
                <w:szCs w:val="18"/>
                <w:lang w:val="en-US" w:eastAsia="zh-CN"/>
              </w:rPr>
              <w:t>1、</w:t>
            </w:r>
            <w:r>
              <w:rPr>
                <w:rFonts w:hint="eastAsia"/>
                <w:color w:val="000000"/>
                <w:sz w:val="18"/>
                <w:szCs w:val="18"/>
              </w:rPr>
              <w:t>2种通道模式：18 / 22个国际DMX通道界面/控制/程序</w:t>
            </w:r>
            <w:r>
              <w:rPr>
                <w:rFonts w:hint="eastAsia"/>
                <w:color w:val="000000"/>
                <w:sz w:val="18"/>
                <w:szCs w:val="18"/>
              </w:rPr>
              <w:br w:type="textWrapping"/>
            </w:r>
            <w:r>
              <w:rPr>
                <w:rFonts w:hint="eastAsia"/>
                <w:color w:val="000000"/>
                <w:sz w:val="18"/>
                <w:szCs w:val="18"/>
                <w:lang w:val="en-US" w:eastAsia="zh-CN"/>
              </w:rPr>
              <w:t>2、</w:t>
            </w:r>
            <w:r>
              <w:rPr>
                <w:rFonts w:hint="eastAsia"/>
                <w:color w:val="000000"/>
                <w:sz w:val="18"/>
                <w:szCs w:val="18"/>
              </w:rPr>
              <w:t>高亮彩色液晶显示屏</w:t>
            </w:r>
            <w:r>
              <w:rPr>
                <w:rFonts w:hint="eastAsia"/>
                <w:color w:val="000000"/>
                <w:sz w:val="18"/>
                <w:szCs w:val="18"/>
              </w:rPr>
              <w:br w:type="textWrapping"/>
            </w:r>
            <w:r>
              <w:rPr>
                <w:rFonts w:hint="eastAsia"/>
                <w:color w:val="000000"/>
                <w:sz w:val="18"/>
                <w:szCs w:val="18"/>
                <w:lang w:val="en-US" w:eastAsia="zh-CN"/>
              </w:rPr>
              <w:t>3、</w:t>
            </w:r>
            <w:r>
              <w:rPr>
                <w:rFonts w:hint="eastAsia"/>
                <w:color w:val="000000"/>
                <w:sz w:val="18"/>
                <w:szCs w:val="18"/>
              </w:rPr>
              <w:t>4个触摸按键</w:t>
            </w:r>
            <w:r>
              <w:rPr>
                <w:rFonts w:hint="eastAsia"/>
                <w:color w:val="000000"/>
                <w:sz w:val="18"/>
                <w:szCs w:val="18"/>
              </w:rPr>
              <w:br w:type="textWrapping"/>
            </w:r>
            <w:r>
              <w:rPr>
                <w:rFonts w:hint="eastAsia"/>
                <w:color w:val="000000"/>
                <w:sz w:val="18"/>
                <w:szCs w:val="18"/>
                <w:lang w:val="en-US" w:eastAsia="zh-CN"/>
              </w:rPr>
              <w:t>4、</w:t>
            </w:r>
            <w:r>
              <w:rPr>
                <w:rFonts w:hint="eastAsia"/>
                <w:color w:val="000000"/>
                <w:sz w:val="18"/>
                <w:szCs w:val="18"/>
              </w:rPr>
              <w:t>内置多种预设程序</w:t>
            </w:r>
            <w:r>
              <w:rPr>
                <w:rFonts w:hint="eastAsia"/>
                <w:color w:val="000000"/>
                <w:sz w:val="18"/>
                <w:szCs w:val="18"/>
              </w:rPr>
              <w:br w:type="textWrapping"/>
            </w:r>
            <w:r>
              <w:rPr>
                <w:rFonts w:hint="eastAsia" w:ascii="宋体" w:hAnsi="宋体" w:cs="宋体"/>
                <w:color w:val="000000"/>
                <w:sz w:val="18"/>
                <w:szCs w:val="18"/>
                <w:lang w:val="en-US" w:eastAsia="zh-CN"/>
              </w:rPr>
              <w:t>5、</w:t>
            </w:r>
            <w:r>
              <w:rPr>
                <w:rFonts w:hint="eastAsia"/>
                <w:color w:val="000000"/>
                <w:sz w:val="18"/>
                <w:szCs w:val="18"/>
              </w:rPr>
              <w:t>输入信号隔离保护功能,保证信号传输稳定,不受干扰</w:t>
            </w:r>
            <w:r>
              <w:rPr>
                <w:rFonts w:hint="eastAsia"/>
                <w:color w:val="000000"/>
                <w:sz w:val="18"/>
                <w:szCs w:val="18"/>
              </w:rPr>
              <w:br w:type="textWrapping"/>
            </w:r>
            <w:r>
              <w:rPr>
                <w:rFonts w:hint="eastAsia"/>
                <w:color w:val="000000"/>
                <w:sz w:val="18"/>
                <w:szCs w:val="18"/>
                <w:lang w:val="en-US" w:eastAsia="zh-CN"/>
              </w:rPr>
              <w:t>6、</w:t>
            </w:r>
            <w:r>
              <w:rPr>
                <w:rFonts w:hint="eastAsia"/>
                <w:color w:val="000000"/>
                <w:sz w:val="18"/>
                <w:szCs w:val="18"/>
              </w:rPr>
              <w:t>可从控台完成更改地址码， 遥控开关灯泡， 机器重设</w:t>
            </w:r>
            <w:r>
              <w:rPr>
                <w:rFonts w:hint="eastAsia"/>
                <w:color w:val="000000"/>
                <w:sz w:val="18"/>
                <w:szCs w:val="18"/>
              </w:rPr>
              <w:br w:type="textWrapping"/>
            </w:r>
            <w:r>
              <w:rPr>
                <w:rFonts w:hint="eastAsia"/>
                <w:color w:val="000000"/>
                <w:sz w:val="18"/>
                <w:szCs w:val="18"/>
                <w:lang w:val="en-US" w:eastAsia="zh-CN"/>
              </w:rPr>
              <w:t>7、</w:t>
            </w:r>
            <w:r>
              <w:rPr>
                <w:rFonts w:hint="eastAsia"/>
                <w:color w:val="000000"/>
                <w:sz w:val="18"/>
                <w:szCs w:val="18"/>
              </w:rPr>
              <w:t>显示灯具、灯泡使用时间， 客户及时了解灯泡使用情况</w:t>
            </w:r>
            <w:r>
              <w:rPr>
                <w:rFonts w:hint="eastAsia"/>
                <w:color w:val="000000"/>
                <w:sz w:val="18"/>
                <w:szCs w:val="18"/>
              </w:rPr>
              <w:br w:type="textWrapping"/>
            </w:r>
            <w:r>
              <w:rPr>
                <w:rFonts w:hint="eastAsia"/>
                <w:color w:val="000000"/>
                <w:sz w:val="18"/>
                <w:szCs w:val="18"/>
              </w:rPr>
              <w:t>其他功能</w:t>
            </w:r>
            <w:r>
              <w:rPr>
                <w:rFonts w:hint="eastAsia"/>
                <w:color w:val="000000"/>
                <w:sz w:val="18"/>
                <w:szCs w:val="18"/>
              </w:rPr>
              <w:br w:type="textWrapping"/>
            </w:r>
            <w:r>
              <w:rPr>
                <w:rFonts w:hint="eastAsia" w:ascii="宋体" w:hAnsi="宋体" w:cs="宋体"/>
                <w:color w:val="000000"/>
                <w:sz w:val="18"/>
                <w:szCs w:val="18"/>
                <w:lang w:val="en-US" w:eastAsia="zh-CN"/>
              </w:rPr>
              <w:t>1、</w:t>
            </w:r>
            <w:r>
              <w:rPr>
                <w:rFonts w:hint="eastAsia"/>
                <w:color w:val="000000"/>
                <w:sz w:val="18"/>
                <w:szCs w:val="18"/>
              </w:rPr>
              <w:t>输入信号隔离保护功能， 保证信号传输稳定， 不受干扰</w:t>
            </w:r>
            <w:r>
              <w:rPr>
                <w:rFonts w:hint="eastAsia"/>
                <w:color w:val="000000"/>
                <w:sz w:val="18"/>
                <w:szCs w:val="18"/>
              </w:rPr>
              <w:br w:type="textWrapping"/>
            </w:r>
            <w:r>
              <w:rPr>
                <w:rFonts w:hint="eastAsia"/>
                <w:color w:val="000000"/>
                <w:sz w:val="18"/>
                <w:szCs w:val="18"/>
                <w:lang w:val="en-US" w:eastAsia="zh-CN"/>
              </w:rPr>
              <w:t>2、</w:t>
            </w:r>
            <w:r>
              <w:rPr>
                <w:rFonts w:hint="eastAsia"/>
                <w:color w:val="000000"/>
                <w:sz w:val="18"/>
                <w:szCs w:val="18"/>
              </w:rPr>
              <w:t>高温自动保护， 智能感应温度过高的时候自动关闭灯泡使灯具冷却后再开泡， 保证灯具的安全使用</w:t>
            </w:r>
            <w:r>
              <w:rPr>
                <w:rFonts w:hint="eastAsia"/>
                <w:color w:val="000000"/>
                <w:sz w:val="18"/>
                <w:szCs w:val="18"/>
              </w:rPr>
              <w:br w:type="textWrapping"/>
            </w:r>
            <w:r>
              <w:rPr>
                <w:rFonts w:hint="eastAsia"/>
                <w:color w:val="000000"/>
                <w:sz w:val="18"/>
                <w:szCs w:val="18"/>
                <w:lang w:val="en-US" w:eastAsia="zh-CN"/>
              </w:rPr>
              <w:t>3、</w:t>
            </w:r>
            <w:r>
              <w:rPr>
                <w:rFonts w:hint="eastAsia"/>
                <w:color w:val="000000"/>
                <w:sz w:val="18"/>
                <w:szCs w:val="18"/>
              </w:rPr>
              <w:t>可选内置无线功能</w:t>
            </w:r>
            <w:r>
              <w:rPr>
                <w:rFonts w:hint="eastAsia"/>
                <w:color w:val="000000"/>
                <w:sz w:val="18"/>
                <w:szCs w:val="18"/>
              </w:rPr>
              <w:br w:type="textWrapping"/>
            </w:r>
            <w:r>
              <w:rPr>
                <w:rFonts w:hint="eastAsia"/>
                <w:color w:val="000000"/>
                <w:sz w:val="18"/>
                <w:szCs w:val="18"/>
                <w:lang w:val="en-US" w:eastAsia="zh-CN"/>
              </w:rPr>
              <w:t>4、</w:t>
            </w:r>
            <w:r>
              <w:rPr>
                <w:rFonts w:hint="eastAsia"/>
                <w:color w:val="000000"/>
                <w:sz w:val="18"/>
                <w:szCs w:val="18"/>
              </w:rPr>
              <w:t>先进的RDM功能</w:t>
            </w:r>
            <w:r>
              <w:rPr>
                <w:rFonts w:hint="eastAsia"/>
                <w:color w:val="000000"/>
                <w:sz w:val="18"/>
                <w:szCs w:val="18"/>
              </w:rPr>
              <w:br w:type="textWrapping"/>
            </w:r>
            <w:r>
              <w:rPr>
                <w:rFonts w:hint="eastAsia"/>
                <w:color w:val="000000"/>
                <w:sz w:val="18"/>
                <w:szCs w:val="18"/>
                <w:lang w:val="en-US" w:eastAsia="zh-CN"/>
              </w:rPr>
              <w:t>5、</w:t>
            </w:r>
            <w:r>
              <w:rPr>
                <w:rFonts w:hint="eastAsia"/>
                <w:color w:val="000000"/>
                <w:sz w:val="18"/>
                <w:szCs w:val="18"/>
              </w:rPr>
              <w:t>防水等级: Ip 65</w:t>
            </w:r>
          </w:p>
        </w:tc>
      </w:tr>
      <w:tr w14:paraId="66AF5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0A1DCE77">
            <w:pPr>
              <w:rPr>
                <w:rFonts w:ascii="宋体" w:hAnsi="宋体" w:cs="宋体"/>
                <w:sz w:val="18"/>
                <w:szCs w:val="18"/>
              </w:rPr>
            </w:pPr>
          </w:p>
        </w:tc>
        <w:tc>
          <w:tcPr>
            <w:tcW w:w="436" w:type="pct"/>
            <w:vAlign w:val="center"/>
          </w:tcPr>
          <w:p w14:paraId="4E81BF6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438" w:type="pct"/>
            <w:gridSpan w:val="2"/>
            <w:vAlign w:val="center"/>
          </w:tcPr>
          <w:p w14:paraId="575DFCD1">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重烟机（仿干冰）</w:t>
            </w:r>
          </w:p>
        </w:tc>
        <w:tc>
          <w:tcPr>
            <w:tcW w:w="445" w:type="pct"/>
            <w:vAlign w:val="center"/>
          </w:tcPr>
          <w:p w14:paraId="2094B208">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湖边防水重烟机</w:t>
            </w:r>
          </w:p>
        </w:tc>
        <w:tc>
          <w:tcPr>
            <w:tcW w:w="277" w:type="pct"/>
            <w:vAlign w:val="center"/>
          </w:tcPr>
          <w:p w14:paraId="7E271F1E">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244" w:type="pct"/>
            <w:vAlign w:val="center"/>
          </w:tcPr>
          <w:p w14:paraId="128AF9D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4"/>
            <w:vAlign w:val="center"/>
          </w:tcPr>
          <w:p w14:paraId="4F6EE121">
            <w:pPr>
              <w:rPr>
                <w:rFonts w:ascii="宋体" w:hAnsi="宋体" w:cs="宋体"/>
                <w:color w:val="000000"/>
                <w:sz w:val="18"/>
                <w:szCs w:val="18"/>
              </w:rPr>
            </w:pPr>
            <w:r>
              <w:rPr>
                <w:rFonts w:hint="eastAsia"/>
                <w:color w:val="000000"/>
                <w:sz w:val="18"/>
                <w:szCs w:val="18"/>
                <w:lang w:val="en-US" w:eastAsia="zh-CN"/>
              </w:rPr>
              <w:t>1、</w:t>
            </w:r>
            <w:r>
              <w:rPr>
                <w:rFonts w:hint="eastAsia"/>
                <w:color w:val="000000"/>
                <w:sz w:val="18"/>
                <w:szCs w:val="18"/>
              </w:rPr>
              <w:t>使用电压：AC 220V-240V,50/60Hz</w:t>
            </w:r>
            <w:r>
              <w:rPr>
                <w:rFonts w:hint="eastAsia"/>
                <w:color w:val="000000"/>
                <w:sz w:val="18"/>
                <w:szCs w:val="18"/>
              </w:rPr>
              <w:br w:type="textWrapping"/>
            </w:r>
            <w:r>
              <w:rPr>
                <w:rFonts w:hint="eastAsia"/>
                <w:color w:val="000000"/>
                <w:sz w:val="18"/>
                <w:szCs w:val="18"/>
                <w:lang w:val="en-US" w:eastAsia="zh-CN"/>
              </w:rPr>
              <w:t>2、</w:t>
            </w:r>
            <w:r>
              <w:rPr>
                <w:rFonts w:hint="eastAsia"/>
                <w:color w:val="000000"/>
                <w:sz w:val="18"/>
                <w:szCs w:val="18"/>
              </w:rPr>
              <w:t>限流保险：10A/250V</w:t>
            </w:r>
            <w:r>
              <w:rPr>
                <w:rFonts w:hint="eastAsia"/>
                <w:color w:val="000000"/>
                <w:sz w:val="18"/>
                <w:szCs w:val="18"/>
              </w:rPr>
              <w:br w:type="textWrapping"/>
            </w:r>
            <w:r>
              <w:rPr>
                <w:rFonts w:hint="eastAsia"/>
                <w:color w:val="000000"/>
                <w:sz w:val="18"/>
                <w:szCs w:val="18"/>
                <w:lang w:val="en-US" w:eastAsia="zh-CN"/>
              </w:rPr>
              <w:t>3、</w:t>
            </w:r>
            <w:r>
              <w:rPr>
                <w:rFonts w:hint="eastAsia"/>
                <w:color w:val="000000"/>
                <w:sz w:val="18"/>
                <w:szCs w:val="18"/>
              </w:rPr>
              <w:t>总功率：≧2000W</w:t>
            </w:r>
            <w:r>
              <w:rPr>
                <w:rFonts w:hint="eastAsia"/>
                <w:color w:val="000000"/>
                <w:sz w:val="18"/>
                <w:szCs w:val="18"/>
              </w:rPr>
              <w:br w:type="textWrapping"/>
            </w:r>
            <w:r>
              <w:rPr>
                <w:rFonts w:hint="eastAsia"/>
                <w:color w:val="000000"/>
                <w:sz w:val="18"/>
                <w:szCs w:val="18"/>
                <w:lang w:val="en-US" w:eastAsia="zh-CN"/>
              </w:rPr>
              <w:t>4、</w:t>
            </w:r>
            <w:r>
              <w:rPr>
                <w:rFonts w:hint="eastAsia"/>
                <w:color w:val="000000"/>
                <w:sz w:val="18"/>
                <w:szCs w:val="18"/>
              </w:rPr>
              <w:t>预热时间：大约4-5 min</w:t>
            </w:r>
            <w:r>
              <w:rPr>
                <w:rFonts w:hint="eastAsia"/>
                <w:color w:val="000000"/>
                <w:sz w:val="18"/>
                <w:szCs w:val="18"/>
              </w:rPr>
              <w:br w:type="textWrapping"/>
            </w:r>
            <w:r>
              <w:rPr>
                <w:rFonts w:hint="eastAsia"/>
                <w:color w:val="000000"/>
                <w:sz w:val="18"/>
                <w:szCs w:val="18"/>
                <w:lang w:val="en-US" w:eastAsia="zh-CN"/>
              </w:rPr>
              <w:t>5、</w:t>
            </w:r>
            <w:r>
              <w:rPr>
                <w:rFonts w:hint="eastAsia"/>
                <w:color w:val="000000"/>
                <w:sz w:val="18"/>
                <w:szCs w:val="18"/>
              </w:rPr>
              <w:t>最大输出烟雾量：大约15000cuft/min</w:t>
            </w:r>
            <w:r>
              <w:rPr>
                <w:rFonts w:hint="eastAsia"/>
                <w:color w:val="000000"/>
                <w:sz w:val="18"/>
                <w:szCs w:val="18"/>
              </w:rPr>
              <w:br w:type="textWrapping"/>
            </w:r>
            <w:r>
              <w:rPr>
                <w:rFonts w:hint="eastAsia"/>
                <w:color w:val="000000"/>
                <w:sz w:val="18"/>
                <w:szCs w:val="18"/>
                <w:lang w:val="en-US" w:eastAsia="zh-CN"/>
              </w:rPr>
              <w:t>6、</w:t>
            </w:r>
            <w:r>
              <w:rPr>
                <w:rFonts w:hint="eastAsia"/>
                <w:color w:val="000000"/>
                <w:sz w:val="18"/>
                <w:szCs w:val="18"/>
              </w:rPr>
              <w:t>最大输出耗油量：大约29min/L</w:t>
            </w:r>
            <w:r>
              <w:rPr>
                <w:rFonts w:hint="eastAsia"/>
                <w:color w:val="000000"/>
                <w:sz w:val="18"/>
                <w:szCs w:val="18"/>
              </w:rPr>
              <w:br w:type="textWrapping"/>
            </w:r>
            <w:r>
              <w:rPr>
                <w:rFonts w:hint="eastAsia"/>
                <w:color w:val="000000"/>
                <w:sz w:val="18"/>
                <w:szCs w:val="18"/>
                <w:lang w:val="en-US" w:eastAsia="zh-CN"/>
              </w:rPr>
              <w:t>7、</w:t>
            </w:r>
            <w:r>
              <w:rPr>
                <w:rFonts w:hint="eastAsia"/>
                <w:color w:val="000000"/>
                <w:sz w:val="18"/>
                <w:szCs w:val="18"/>
              </w:rPr>
              <w:t>最大覆盖面积：大约300㎡</w:t>
            </w:r>
            <w:r>
              <w:rPr>
                <w:rFonts w:hint="eastAsia"/>
                <w:color w:val="000000"/>
                <w:sz w:val="18"/>
                <w:szCs w:val="18"/>
              </w:rPr>
              <w:br w:type="textWrapping"/>
            </w:r>
            <w:r>
              <w:rPr>
                <w:rFonts w:hint="eastAsia"/>
                <w:color w:val="000000"/>
                <w:sz w:val="18"/>
                <w:szCs w:val="18"/>
                <w:lang w:val="en-US" w:eastAsia="zh-CN"/>
              </w:rPr>
              <w:t>8、</w:t>
            </w:r>
            <w:r>
              <w:rPr>
                <w:rFonts w:hint="eastAsia"/>
                <w:color w:val="000000"/>
                <w:sz w:val="18"/>
                <w:szCs w:val="18"/>
              </w:rPr>
              <w:t>无线遥控器</w:t>
            </w:r>
          </w:p>
        </w:tc>
      </w:tr>
      <w:tr w14:paraId="4B13C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5812F7A9">
            <w:pPr>
              <w:rPr>
                <w:rFonts w:ascii="宋体" w:hAnsi="宋体" w:cs="宋体"/>
                <w:sz w:val="18"/>
                <w:szCs w:val="18"/>
              </w:rPr>
            </w:pPr>
          </w:p>
        </w:tc>
        <w:tc>
          <w:tcPr>
            <w:tcW w:w="436" w:type="pct"/>
            <w:vAlign w:val="center"/>
          </w:tcPr>
          <w:p w14:paraId="65828311">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438" w:type="pct"/>
            <w:gridSpan w:val="2"/>
            <w:vAlign w:val="center"/>
          </w:tcPr>
          <w:p w14:paraId="285AAA98">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防水彩带机</w:t>
            </w:r>
          </w:p>
        </w:tc>
        <w:tc>
          <w:tcPr>
            <w:tcW w:w="445" w:type="pct"/>
            <w:vAlign w:val="center"/>
          </w:tcPr>
          <w:p w14:paraId="2DA98F9D">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彩带改为仿真花瓣</w:t>
            </w:r>
          </w:p>
        </w:tc>
        <w:tc>
          <w:tcPr>
            <w:tcW w:w="277" w:type="pct"/>
            <w:vAlign w:val="center"/>
          </w:tcPr>
          <w:p w14:paraId="2D3EF9E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244" w:type="pct"/>
            <w:vAlign w:val="center"/>
          </w:tcPr>
          <w:p w14:paraId="64D31DD0">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4"/>
            <w:vAlign w:val="center"/>
          </w:tcPr>
          <w:p w14:paraId="5D39AD61">
            <w:pPr>
              <w:rPr>
                <w:rFonts w:ascii="宋体" w:hAnsi="宋体" w:cs="宋体"/>
                <w:color w:val="000000"/>
                <w:sz w:val="18"/>
                <w:szCs w:val="18"/>
              </w:rPr>
            </w:pPr>
            <w:r>
              <w:rPr>
                <w:rFonts w:hint="eastAsia"/>
                <w:color w:val="000000"/>
                <w:sz w:val="18"/>
                <w:szCs w:val="18"/>
                <w:lang w:val="en-US" w:eastAsia="zh-CN"/>
              </w:rPr>
              <w:t>1、</w:t>
            </w:r>
            <w:r>
              <w:rPr>
                <w:rFonts w:hint="eastAsia"/>
                <w:color w:val="000000"/>
                <w:sz w:val="18"/>
                <w:szCs w:val="18"/>
              </w:rPr>
              <w:t>使用电压：AC 220V-240V 50/60HZ</w:t>
            </w:r>
            <w:r>
              <w:rPr>
                <w:rFonts w:hint="eastAsia"/>
                <w:color w:val="000000"/>
                <w:sz w:val="18"/>
                <w:szCs w:val="18"/>
              </w:rPr>
              <w:br w:type="textWrapping"/>
            </w:r>
            <w:r>
              <w:rPr>
                <w:rFonts w:hint="eastAsia"/>
                <w:color w:val="000000"/>
                <w:sz w:val="18"/>
                <w:szCs w:val="18"/>
                <w:lang w:val="en-US" w:eastAsia="zh-CN"/>
              </w:rPr>
              <w:t>2、</w:t>
            </w:r>
            <w:r>
              <w:rPr>
                <w:rFonts w:hint="eastAsia"/>
                <w:color w:val="000000"/>
                <w:sz w:val="18"/>
                <w:szCs w:val="18"/>
              </w:rPr>
              <w:t>限流保险：F2A/250V</w:t>
            </w:r>
            <w:r>
              <w:rPr>
                <w:rFonts w:hint="eastAsia"/>
                <w:color w:val="000000"/>
                <w:sz w:val="18"/>
                <w:szCs w:val="18"/>
              </w:rPr>
              <w:br w:type="textWrapping"/>
            </w:r>
            <w:r>
              <w:rPr>
                <w:rFonts w:hint="eastAsia"/>
                <w:color w:val="000000"/>
                <w:sz w:val="18"/>
                <w:szCs w:val="18"/>
                <w:lang w:val="en-US" w:eastAsia="zh-CN"/>
              </w:rPr>
              <w:t>3、</w:t>
            </w:r>
            <w:r>
              <w:rPr>
                <w:rFonts w:hint="eastAsia"/>
                <w:color w:val="000000"/>
                <w:sz w:val="18"/>
                <w:szCs w:val="18"/>
              </w:rPr>
              <w:t>功率：110W</w:t>
            </w:r>
            <w:r>
              <w:rPr>
                <w:rFonts w:hint="eastAsia"/>
                <w:color w:val="000000"/>
                <w:sz w:val="18"/>
                <w:szCs w:val="18"/>
              </w:rPr>
              <w:br w:type="textWrapping"/>
            </w:r>
            <w:r>
              <w:rPr>
                <w:rFonts w:hint="eastAsia"/>
                <w:color w:val="000000"/>
                <w:sz w:val="18"/>
                <w:szCs w:val="18"/>
                <w:lang w:val="en-US" w:eastAsia="zh-CN"/>
              </w:rPr>
              <w:t>4、</w:t>
            </w:r>
            <w:r>
              <w:rPr>
                <w:rFonts w:hint="eastAsia"/>
                <w:color w:val="000000"/>
                <w:sz w:val="18"/>
                <w:szCs w:val="18"/>
              </w:rPr>
              <w:t>控制方式：手动、DMX控制</w:t>
            </w:r>
            <w:r>
              <w:rPr>
                <w:rFonts w:hint="eastAsia"/>
                <w:color w:val="000000"/>
                <w:sz w:val="18"/>
                <w:szCs w:val="18"/>
              </w:rPr>
              <w:br w:type="textWrapping"/>
            </w:r>
            <w:r>
              <w:rPr>
                <w:rFonts w:hint="eastAsia"/>
                <w:color w:val="000000"/>
                <w:sz w:val="18"/>
                <w:szCs w:val="18"/>
                <w:lang w:val="en-US" w:eastAsia="zh-CN"/>
              </w:rPr>
              <w:t>5、</w:t>
            </w:r>
            <w:r>
              <w:rPr>
                <w:rFonts w:hint="eastAsia"/>
                <w:color w:val="000000"/>
                <w:sz w:val="18"/>
                <w:szCs w:val="18"/>
              </w:rPr>
              <w:t>彩纸最大覆盖面积：悬挂≧10米高洒落覆盖约80平方</w:t>
            </w:r>
            <w:r>
              <w:rPr>
                <w:rFonts w:hint="eastAsia"/>
                <w:color w:val="000000"/>
                <w:sz w:val="18"/>
                <w:szCs w:val="18"/>
              </w:rPr>
              <w:br w:type="textWrapping"/>
            </w:r>
            <w:r>
              <w:rPr>
                <w:rFonts w:hint="eastAsia"/>
                <w:color w:val="000000"/>
                <w:sz w:val="18"/>
                <w:szCs w:val="18"/>
                <w:lang w:val="en-US" w:eastAsia="zh-CN"/>
              </w:rPr>
              <w:t>6、</w:t>
            </w:r>
            <w:r>
              <w:rPr>
                <w:rFonts w:hint="eastAsia"/>
                <w:color w:val="000000"/>
                <w:sz w:val="18"/>
                <w:szCs w:val="18"/>
              </w:rPr>
              <w:t>彩纸容量：≧150g</w:t>
            </w:r>
            <w:r>
              <w:rPr>
                <w:rFonts w:hint="eastAsia"/>
                <w:color w:val="000000"/>
                <w:sz w:val="18"/>
                <w:szCs w:val="18"/>
              </w:rPr>
              <w:br w:type="textWrapping"/>
            </w:r>
            <w:r>
              <w:rPr>
                <w:rFonts w:hint="eastAsia"/>
                <w:color w:val="000000"/>
                <w:sz w:val="18"/>
                <w:szCs w:val="18"/>
                <w:lang w:val="en-US" w:eastAsia="zh-CN"/>
              </w:rPr>
              <w:t>7、</w:t>
            </w:r>
            <w:r>
              <w:rPr>
                <w:rFonts w:hint="eastAsia"/>
                <w:color w:val="000000"/>
                <w:sz w:val="18"/>
                <w:szCs w:val="18"/>
              </w:rPr>
              <w:t>最长连续喷纸时间：大约5s</w:t>
            </w:r>
          </w:p>
        </w:tc>
      </w:tr>
      <w:tr w14:paraId="6DAAC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7E990B92">
            <w:pPr>
              <w:rPr>
                <w:rFonts w:ascii="宋体" w:hAnsi="宋体" w:cs="宋体"/>
                <w:sz w:val="18"/>
                <w:szCs w:val="18"/>
              </w:rPr>
            </w:pPr>
          </w:p>
        </w:tc>
        <w:tc>
          <w:tcPr>
            <w:tcW w:w="436" w:type="pct"/>
            <w:vAlign w:val="center"/>
          </w:tcPr>
          <w:p w14:paraId="3AC80383">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11</w:t>
            </w:r>
          </w:p>
        </w:tc>
        <w:tc>
          <w:tcPr>
            <w:tcW w:w="438" w:type="pct"/>
            <w:gridSpan w:val="2"/>
            <w:vAlign w:val="center"/>
          </w:tcPr>
          <w:p w14:paraId="2079B236">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仿真花瓣</w:t>
            </w:r>
          </w:p>
        </w:tc>
        <w:tc>
          <w:tcPr>
            <w:tcW w:w="445" w:type="pct"/>
            <w:vAlign w:val="center"/>
          </w:tcPr>
          <w:p w14:paraId="0C329027">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定制仿真花瓣</w:t>
            </w:r>
          </w:p>
        </w:tc>
        <w:tc>
          <w:tcPr>
            <w:tcW w:w="277" w:type="pct"/>
            <w:vAlign w:val="center"/>
          </w:tcPr>
          <w:p w14:paraId="6E912AD8">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244" w:type="pct"/>
            <w:vAlign w:val="center"/>
          </w:tcPr>
          <w:p w14:paraId="73B58885">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箱</w:t>
            </w:r>
          </w:p>
        </w:tc>
        <w:tc>
          <w:tcPr>
            <w:tcW w:w="2801" w:type="pct"/>
            <w:gridSpan w:val="4"/>
            <w:vAlign w:val="center"/>
          </w:tcPr>
          <w:p w14:paraId="289079D6">
            <w:pPr>
              <w:rPr>
                <w:rFonts w:ascii="宋体" w:hAnsi="宋体" w:cs="宋体"/>
                <w:color w:val="000000"/>
                <w:sz w:val="18"/>
                <w:szCs w:val="18"/>
              </w:rPr>
            </w:pPr>
            <w:r>
              <w:rPr>
                <w:rFonts w:hint="eastAsia"/>
                <w:color w:val="000000"/>
                <w:sz w:val="18"/>
                <w:szCs w:val="18"/>
              </w:rPr>
              <w:t>根据舞美要求定制花瓣</w:t>
            </w:r>
          </w:p>
        </w:tc>
      </w:tr>
      <w:tr w14:paraId="2475A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restart"/>
          </w:tcPr>
          <w:p w14:paraId="38FC15D2">
            <w:pPr>
              <w:rPr>
                <w:rFonts w:ascii="宋体" w:hAnsi="宋体" w:cs="宋体"/>
                <w:sz w:val="18"/>
                <w:szCs w:val="18"/>
              </w:rPr>
            </w:pPr>
          </w:p>
        </w:tc>
        <w:tc>
          <w:tcPr>
            <w:tcW w:w="436" w:type="pct"/>
            <w:vAlign w:val="center"/>
          </w:tcPr>
          <w:p w14:paraId="22F23B22">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438" w:type="pct"/>
            <w:gridSpan w:val="2"/>
            <w:vAlign w:val="center"/>
          </w:tcPr>
          <w:p w14:paraId="5A911B9E">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防水三合一</w:t>
            </w:r>
          </w:p>
        </w:tc>
        <w:tc>
          <w:tcPr>
            <w:tcW w:w="445" w:type="pct"/>
            <w:vAlign w:val="center"/>
          </w:tcPr>
          <w:p w14:paraId="4F2FA52E">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380W三合一电脑灯</w:t>
            </w:r>
          </w:p>
        </w:tc>
        <w:tc>
          <w:tcPr>
            <w:tcW w:w="277" w:type="pct"/>
            <w:vAlign w:val="center"/>
          </w:tcPr>
          <w:p w14:paraId="5DF4BAA4">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244" w:type="pct"/>
            <w:vAlign w:val="center"/>
          </w:tcPr>
          <w:p w14:paraId="575F6BA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2801" w:type="pct"/>
            <w:gridSpan w:val="4"/>
          </w:tcPr>
          <w:p w14:paraId="1AC2A03F">
            <w:pPr>
              <w:rPr>
                <w:rFonts w:ascii="宋体" w:hAnsi="宋体" w:cs="宋体"/>
                <w:color w:val="000000"/>
                <w:sz w:val="18"/>
                <w:szCs w:val="18"/>
              </w:rPr>
            </w:pPr>
            <w:r>
              <w:rPr>
                <w:rFonts w:hint="eastAsia"/>
                <w:color w:val="000000"/>
                <w:sz w:val="18"/>
                <w:szCs w:val="18"/>
              </w:rPr>
              <w:t>光源</w:t>
            </w:r>
            <w:r>
              <w:rPr>
                <w:rFonts w:hint="eastAsia"/>
                <w:color w:val="000000"/>
                <w:sz w:val="18"/>
                <w:szCs w:val="18"/>
              </w:rPr>
              <w:br w:type="textWrapping"/>
            </w:r>
            <w:r>
              <w:rPr>
                <w:rFonts w:hint="eastAsia" w:ascii="宋体" w:hAnsi="宋体" w:cs="宋体"/>
                <w:color w:val="000000"/>
                <w:sz w:val="18"/>
                <w:szCs w:val="18"/>
                <w:lang w:val="en-US" w:eastAsia="zh-CN"/>
              </w:rPr>
              <w:t>1、</w:t>
            </w:r>
            <w:r>
              <w:rPr>
                <w:rFonts w:hint="eastAsia"/>
                <w:color w:val="000000"/>
                <w:sz w:val="18"/>
                <w:szCs w:val="18"/>
              </w:rPr>
              <w:t>灯泡：USHIO NSL 380 , 色温：8000 K， 寿命: 1500 H</w:t>
            </w:r>
            <w:r>
              <w:rPr>
                <w:rFonts w:hint="eastAsia"/>
                <w:color w:val="000000"/>
                <w:sz w:val="18"/>
                <w:szCs w:val="18"/>
              </w:rPr>
              <w:br w:type="textWrapping"/>
            </w:r>
            <w:r>
              <w:rPr>
                <w:rFonts w:hint="eastAsia"/>
                <w:color w:val="000000"/>
                <w:sz w:val="18"/>
                <w:szCs w:val="18"/>
              </w:rPr>
              <w:t>光学</w:t>
            </w:r>
            <w:r>
              <w:rPr>
                <w:rFonts w:hint="eastAsia"/>
                <w:color w:val="000000"/>
                <w:sz w:val="18"/>
                <w:szCs w:val="18"/>
              </w:rPr>
              <w:br w:type="textWrapping"/>
            </w:r>
            <w:r>
              <w:rPr>
                <w:rFonts w:hint="eastAsia" w:ascii="宋体" w:hAnsi="宋体" w:cs="宋体"/>
                <w:color w:val="000000"/>
                <w:sz w:val="18"/>
                <w:szCs w:val="18"/>
                <w:lang w:val="en-US" w:eastAsia="zh-CN"/>
              </w:rPr>
              <w:t>2、</w:t>
            </w:r>
            <w:r>
              <w:rPr>
                <w:rFonts w:hint="eastAsia"/>
                <w:color w:val="000000"/>
                <w:sz w:val="18"/>
                <w:szCs w:val="18"/>
              </w:rPr>
              <w:t>光束角度2 - 45°， 采用高透光镜头， 光束锐利,光束感强</w:t>
            </w:r>
            <w:r>
              <w:rPr>
                <w:rFonts w:hint="eastAsia"/>
                <w:color w:val="000000"/>
                <w:sz w:val="18"/>
                <w:szCs w:val="18"/>
              </w:rPr>
              <w:br w:type="textWrapping"/>
            </w:r>
            <w:r>
              <w:rPr>
                <w:rFonts w:hint="eastAsia"/>
                <w:color w:val="000000"/>
                <w:sz w:val="18"/>
                <w:szCs w:val="18"/>
              </w:rPr>
              <w:t>扫描</w:t>
            </w:r>
            <w:r>
              <w:rPr>
                <w:rFonts w:hint="eastAsia"/>
                <w:color w:val="000000"/>
                <w:sz w:val="18"/>
                <w:szCs w:val="18"/>
              </w:rPr>
              <w:br w:type="textWrapping"/>
            </w:r>
            <w:r>
              <w:rPr>
                <w:rFonts w:hint="eastAsia" w:ascii="宋体" w:hAnsi="宋体" w:cs="宋体"/>
                <w:color w:val="000000"/>
                <w:sz w:val="18"/>
                <w:szCs w:val="18"/>
                <w:lang w:val="en-US" w:eastAsia="zh-CN"/>
              </w:rPr>
              <w:t>1、</w:t>
            </w:r>
            <w:r>
              <w:rPr>
                <w:rFonts w:hint="eastAsia"/>
                <w:color w:val="000000"/>
                <w:sz w:val="18"/>
                <w:szCs w:val="18"/>
              </w:rPr>
              <w:t>水平扫描：540°或 630°( 16 bit精度扫描) 垂直扫描：270°( 16 bit精度扫描)</w:t>
            </w:r>
            <w:r>
              <w:rPr>
                <w:rFonts w:hint="eastAsia"/>
                <w:color w:val="000000"/>
                <w:sz w:val="18"/>
                <w:szCs w:val="18"/>
              </w:rPr>
              <w:br w:type="textWrapping"/>
            </w:r>
            <w:r>
              <w:rPr>
                <w:rFonts w:hint="eastAsia" w:ascii="宋体" w:hAnsi="宋体" w:cs="宋体"/>
                <w:color w:val="000000"/>
                <w:sz w:val="18"/>
                <w:szCs w:val="18"/>
                <w:lang w:val="en-US" w:eastAsia="zh-CN"/>
              </w:rPr>
              <w:t>2、</w:t>
            </w:r>
            <w:r>
              <w:rPr>
                <w:rFonts w:hint="eastAsia"/>
                <w:color w:val="000000"/>
                <w:sz w:val="18"/>
                <w:szCs w:val="18"/>
              </w:rPr>
              <w:t>先进的扫描系统更加快速， 稳定、安静， 具有自动纠错的复位功能色彩</w:t>
            </w:r>
            <w:r>
              <w:rPr>
                <w:rFonts w:hint="eastAsia"/>
                <w:color w:val="000000"/>
                <w:sz w:val="18"/>
                <w:szCs w:val="18"/>
              </w:rPr>
              <w:br w:type="textWrapping"/>
            </w:r>
            <w:r>
              <w:rPr>
                <w:rFonts w:hint="eastAsia" w:ascii="宋体" w:hAnsi="宋体" w:cs="宋体"/>
                <w:color w:val="000000"/>
                <w:sz w:val="18"/>
                <w:szCs w:val="18"/>
                <w:lang w:val="en-US" w:eastAsia="zh-CN"/>
              </w:rPr>
              <w:t>3、</w:t>
            </w:r>
            <w:r>
              <w:rPr>
                <w:rFonts w:hint="eastAsia"/>
                <w:color w:val="000000"/>
                <w:sz w:val="18"/>
                <w:szCs w:val="18"/>
              </w:rPr>
              <w:t>1个色片盘：13个色片+白光， 半色效果， 带双向旋转的彩虹效果图案</w:t>
            </w:r>
            <w:r>
              <w:rPr>
                <w:rFonts w:hint="eastAsia"/>
                <w:color w:val="000000"/>
                <w:sz w:val="18"/>
                <w:szCs w:val="18"/>
              </w:rPr>
              <w:br w:type="textWrapping"/>
            </w:r>
            <w:r>
              <w:rPr>
                <w:rFonts w:hint="eastAsia" w:ascii="宋体" w:hAnsi="宋体" w:cs="宋体"/>
                <w:color w:val="000000"/>
                <w:sz w:val="18"/>
                <w:szCs w:val="18"/>
                <w:lang w:val="en-US" w:eastAsia="zh-CN"/>
              </w:rPr>
              <w:t>4、</w:t>
            </w:r>
            <w:r>
              <w:rPr>
                <w:rFonts w:hint="eastAsia"/>
                <w:color w:val="000000"/>
                <w:sz w:val="18"/>
                <w:szCs w:val="18"/>
              </w:rPr>
              <w:t>1个旋转图案盘：7个插拔式的旋转图案片+白圆， 带图案任意定位功能可插拔式图案片系统， 方便更换图案片</w:t>
            </w:r>
            <w:r>
              <w:rPr>
                <w:rFonts w:hint="eastAsia"/>
                <w:color w:val="000000"/>
                <w:sz w:val="18"/>
                <w:szCs w:val="18"/>
              </w:rPr>
              <w:br w:type="textWrapping"/>
            </w:r>
            <w:r>
              <w:rPr>
                <w:rFonts w:hint="eastAsia" w:ascii="宋体" w:hAnsi="宋体" w:cs="宋体"/>
                <w:color w:val="000000"/>
                <w:sz w:val="18"/>
                <w:szCs w:val="18"/>
                <w:lang w:val="en-US" w:eastAsia="zh-CN"/>
              </w:rPr>
              <w:t>5、</w:t>
            </w:r>
            <w:r>
              <w:rPr>
                <w:rFonts w:hint="eastAsia"/>
                <w:color w:val="000000"/>
                <w:sz w:val="18"/>
                <w:szCs w:val="18"/>
              </w:rPr>
              <w:t>1个固定图案盘：14个图案片+白圆， 带图案抖动和图案任意定位棱镜</w:t>
            </w:r>
            <w:r>
              <w:rPr>
                <w:rFonts w:hint="eastAsia"/>
                <w:color w:val="000000"/>
                <w:sz w:val="18"/>
                <w:szCs w:val="18"/>
              </w:rPr>
              <w:br w:type="textWrapping"/>
            </w:r>
            <w:r>
              <w:rPr>
                <w:rFonts w:hint="eastAsia" w:ascii="宋体" w:hAnsi="宋体" w:cs="宋体"/>
                <w:color w:val="000000"/>
                <w:sz w:val="18"/>
                <w:szCs w:val="18"/>
                <w:lang w:val="en-US" w:eastAsia="zh-CN"/>
              </w:rPr>
              <w:t>1、</w:t>
            </w:r>
            <w:r>
              <w:rPr>
                <w:rFonts w:hint="eastAsia"/>
                <w:color w:val="000000"/>
                <w:sz w:val="18"/>
                <w:szCs w:val="18"/>
              </w:rPr>
              <w:t>一个旋转8棱镜</w:t>
            </w:r>
            <w:r>
              <w:rPr>
                <w:rFonts w:hint="eastAsia"/>
                <w:color w:val="000000"/>
                <w:sz w:val="18"/>
                <w:szCs w:val="18"/>
              </w:rPr>
              <w:br w:type="textWrapping"/>
            </w:r>
            <w:r>
              <w:rPr>
                <w:rFonts w:hint="eastAsia" w:ascii="宋体" w:hAnsi="宋体" w:cs="宋体"/>
                <w:color w:val="000000"/>
                <w:sz w:val="18"/>
                <w:szCs w:val="18"/>
                <w:lang w:val="en-US" w:eastAsia="zh-CN"/>
              </w:rPr>
              <w:t>2、</w:t>
            </w:r>
            <w:r>
              <w:rPr>
                <w:rFonts w:hint="eastAsia"/>
                <w:color w:val="000000"/>
                <w:sz w:val="18"/>
                <w:szCs w:val="18"/>
              </w:rPr>
              <w:t>调焦： 电子调焦， 超微顺滑调整焦距</w:t>
            </w:r>
            <w:r>
              <w:rPr>
                <w:rFonts w:hint="eastAsia"/>
                <w:color w:val="000000"/>
                <w:sz w:val="18"/>
                <w:szCs w:val="18"/>
              </w:rPr>
              <w:br w:type="textWrapping"/>
            </w:r>
            <w:r>
              <w:rPr>
                <w:rFonts w:hint="eastAsia" w:ascii="宋体" w:hAnsi="宋体" w:cs="宋体"/>
                <w:color w:val="000000"/>
                <w:sz w:val="18"/>
                <w:szCs w:val="18"/>
                <w:lang w:val="en-US" w:eastAsia="zh-CN"/>
              </w:rPr>
              <w:t>3、</w:t>
            </w:r>
            <w:r>
              <w:rPr>
                <w:rFonts w:hint="eastAsia"/>
                <w:color w:val="000000"/>
                <w:sz w:val="18"/>
                <w:szCs w:val="18"/>
              </w:rPr>
              <w:t>频闪： 频率最高可以25次每秒， 并可选择随机频闪及脉冲频闪</w:t>
            </w:r>
            <w:r>
              <w:rPr>
                <w:rFonts w:hint="eastAsia"/>
                <w:color w:val="000000"/>
                <w:sz w:val="18"/>
                <w:szCs w:val="18"/>
              </w:rPr>
              <w:br w:type="textWrapping"/>
            </w:r>
            <w:r>
              <w:rPr>
                <w:rFonts w:hint="eastAsia"/>
                <w:color w:val="000000"/>
                <w:sz w:val="18"/>
                <w:szCs w:val="18"/>
                <w:lang w:val="en-US" w:eastAsia="zh-CN"/>
              </w:rPr>
              <w:t>4、</w:t>
            </w:r>
            <w:r>
              <w:rPr>
                <w:rFonts w:hint="eastAsia"/>
                <w:color w:val="000000"/>
                <w:sz w:val="18"/>
                <w:szCs w:val="18"/>
              </w:rPr>
              <w:t>调光：0 - 100 %线性调光</w:t>
            </w:r>
            <w:r>
              <w:rPr>
                <w:rFonts w:hint="eastAsia"/>
                <w:color w:val="000000"/>
                <w:sz w:val="18"/>
                <w:szCs w:val="18"/>
              </w:rPr>
              <w:br w:type="textWrapping"/>
            </w:r>
            <w:r>
              <w:rPr>
                <w:rFonts w:hint="eastAsia"/>
                <w:color w:val="000000"/>
                <w:sz w:val="18"/>
                <w:szCs w:val="18"/>
              </w:rPr>
              <w:t>DMX通道：</w:t>
            </w:r>
            <w:r>
              <w:rPr>
                <w:rFonts w:hint="eastAsia"/>
                <w:color w:val="000000"/>
                <w:sz w:val="18"/>
                <w:szCs w:val="18"/>
              </w:rPr>
              <w:br w:type="textWrapping"/>
            </w:r>
            <w:r>
              <w:rPr>
                <w:rFonts w:hint="eastAsia" w:ascii="宋体" w:hAnsi="宋体" w:cs="宋体"/>
                <w:color w:val="000000"/>
                <w:sz w:val="18"/>
                <w:szCs w:val="18"/>
                <w:lang w:val="en-US" w:eastAsia="zh-CN"/>
              </w:rPr>
              <w:t>1、</w:t>
            </w:r>
            <w:r>
              <w:rPr>
                <w:rFonts w:hint="eastAsia"/>
                <w:color w:val="000000"/>
                <w:sz w:val="18"/>
                <w:szCs w:val="18"/>
              </w:rPr>
              <w:t>2种通道模式：18 / 22个国际DMX通道</w:t>
            </w:r>
            <w:r>
              <w:rPr>
                <w:rFonts w:hint="eastAsia"/>
                <w:color w:val="000000"/>
                <w:sz w:val="18"/>
                <w:szCs w:val="18"/>
              </w:rPr>
              <w:br w:type="textWrapping"/>
            </w:r>
            <w:r>
              <w:rPr>
                <w:rFonts w:hint="eastAsia"/>
                <w:color w:val="000000"/>
                <w:sz w:val="18"/>
                <w:szCs w:val="18"/>
              </w:rPr>
              <w:t>界面/控制/程序</w:t>
            </w:r>
            <w:r>
              <w:rPr>
                <w:rFonts w:hint="eastAsia"/>
                <w:color w:val="000000"/>
                <w:sz w:val="18"/>
                <w:szCs w:val="18"/>
              </w:rPr>
              <w:br w:type="textWrapping"/>
            </w:r>
            <w:r>
              <w:rPr>
                <w:rFonts w:hint="eastAsia" w:ascii="宋体" w:hAnsi="宋体" w:cs="宋体"/>
                <w:color w:val="000000"/>
                <w:sz w:val="18"/>
                <w:szCs w:val="18"/>
                <w:lang w:val="en-US" w:eastAsia="zh-CN"/>
              </w:rPr>
              <w:t>1、</w:t>
            </w:r>
            <w:r>
              <w:rPr>
                <w:rFonts w:hint="eastAsia"/>
                <w:color w:val="000000"/>
                <w:sz w:val="18"/>
                <w:szCs w:val="18"/>
              </w:rPr>
              <w:t>高亮彩色液晶显示屏</w:t>
            </w:r>
            <w:r>
              <w:rPr>
                <w:rFonts w:hint="eastAsia"/>
                <w:color w:val="000000"/>
                <w:sz w:val="18"/>
                <w:szCs w:val="18"/>
              </w:rPr>
              <w:br w:type="textWrapping"/>
            </w:r>
            <w:r>
              <w:rPr>
                <w:rFonts w:hint="eastAsia" w:ascii="宋体" w:hAnsi="宋体" w:cs="宋体"/>
                <w:color w:val="000000"/>
                <w:sz w:val="18"/>
                <w:szCs w:val="18"/>
                <w:lang w:val="en-US" w:eastAsia="zh-CN"/>
              </w:rPr>
              <w:t>2、</w:t>
            </w:r>
            <w:r>
              <w:rPr>
                <w:rFonts w:hint="eastAsia"/>
                <w:color w:val="000000"/>
                <w:sz w:val="18"/>
                <w:szCs w:val="18"/>
              </w:rPr>
              <w:t>4个触摸按键</w:t>
            </w:r>
            <w:r>
              <w:rPr>
                <w:rFonts w:hint="eastAsia"/>
                <w:color w:val="000000"/>
                <w:sz w:val="18"/>
                <w:szCs w:val="18"/>
              </w:rPr>
              <w:br w:type="textWrapping"/>
            </w:r>
            <w:r>
              <w:rPr>
                <w:rFonts w:hint="eastAsia" w:ascii="宋体" w:hAnsi="宋体" w:cs="宋体"/>
                <w:color w:val="000000"/>
                <w:sz w:val="18"/>
                <w:szCs w:val="18"/>
                <w:lang w:val="en-US" w:eastAsia="zh-CN"/>
              </w:rPr>
              <w:t>3、</w:t>
            </w:r>
            <w:r>
              <w:rPr>
                <w:rFonts w:hint="eastAsia"/>
                <w:color w:val="000000"/>
                <w:sz w:val="18"/>
                <w:szCs w:val="18"/>
              </w:rPr>
              <w:t>内置多种预设程序</w:t>
            </w:r>
            <w:r>
              <w:rPr>
                <w:rFonts w:hint="eastAsia"/>
                <w:color w:val="000000"/>
                <w:sz w:val="18"/>
                <w:szCs w:val="18"/>
              </w:rPr>
              <w:br w:type="textWrapping"/>
            </w:r>
            <w:r>
              <w:rPr>
                <w:rFonts w:hint="eastAsia"/>
                <w:color w:val="000000"/>
                <w:sz w:val="18"/>
                <w:szCs w:val="18"/>
                <w:lang w:val="en-US" w:eastAsia="zh-CN"/>
              </w:rPr>
              <w:t>4、</w:t>
            </w:r>
            <w:r>
              <w:rPr>
                <w:rFonts w:hint="eastAsia"/>
                <w:color w:val="000000"/>
                <w:sz w:val="18"/>
                <w:szCs w:val="18"/>
              </w:rPr>
              <w:t>输入信号隔离保护功能,保证信号传输稳定,不受干扰</w:t>
            </w:r>
            <w:r>
              <w:rPr>
                <w:rFonts w:hint="eastAsia"/>
                <w:color w:val="000000"/>
                <w:sz w:val="18"/>
                <w:szCs w:val="18"/>
              </w:rPr>
              <w:br w:type="textWrapping"/>
            </w:r>
            <w:r>
              <w:rPr>
                <w:rFonts w:hint="eastAsia"/>
                <w:color w:val="000000"/>
                <w:sz w:val="18"/>
                <w:szCs w:val="18"/>
                <w:lang w:val="en-US" w:eastAsia="zh-CN"/>
              </w:rPr>
              <w:t>5、</w:t>
            </w:r>
            <w:r>
              <w:rPr>
                <w:rFonts w:hint="eastAsia"/>
                <w:color w:val="000000"/>
                <w:sz w:val="18"/>
                <w:szCs w:val="18"/>
              </w:rPr>
              <w:t>可从控台完成更改地址码， 遥控开关灯泡， 机器重设</w:t>
            </w:r>
            <w:r>
              <w:rPr>
                <w:rFonts w:hint="eastAsia"/>
                <w:color w:val="000000"/>
                <w:sz w:val="18"/>
                <w:szCs w:val="18"/>
              </w:rPr>
              <w:br w:type="textWrapping"/>
            </w:r>
            <w:r>
              <w:rPr>
                <w:rFonts w:hint="eastAsia"/>
                <w:color w:val="000000"/>
                <w:sz w:val="18"/>
                <w:szCs w:val="18"/>
                <w:lang w:val="en-US" w:eastAsia="zh-CN"/>
              </w:rPr>
              <w:t>6、</w:t>
            </w:r>
            <w:r>
              <w:rPr>
                <w:rFonts w:hint="eastAsia"/>
                <w:color w:val="000000"/>
                <w:sz w:val="18"/>
                <w:szCs w:val="18"/>
              </w:rPr>
              <w:t>显示灯具、灯泡使用时间， 客户及时了解灯泡使用情况</w:t>
            </w:r>
            <w:r>
              <w:rPr>
                <w:rFonts w:hint="eastAsia"/>
                <w:color w:val="000000"/>
                <w:sz w:val="18"/>
                <w:szCs w:val="18"/>
              </w:rPr>
              <w:br w:type="textWrapping"/>
            </w:r>
            <w:r>
              <w:rPr>
                <w:rFonts w:hint="eastAsia"/>
                <w:color w:val="000000"/>
                <w:sz w:val="18"/>
                <w:szCs w:val="18"/>
              </w:rPr>
              <w:t>其他功能</w:t>
            </w:r>
            <w:r>
              <w:rPr>
                <w:rFonts w:hint="eastAsia"/>
                <w:color w:val="000000"/>
                <w:sz w:val="18"/>
                <w:szCs w:val="18"/>
              </w:rPr>
              <w:br w:type="textWrapping"/>
            </w:r>
            <w:r>
              <w:rPr>
                <w:rFonts w:hint="eastAsia"/>
                <w:color w:val="000000"/>
                <w:sz w:val="18"/>
                <w:szCs w:val="18"/>
                <w:lang w:val="en-US" w:eastAsia="zh-CN"/>
              </w:rPr>
              <w:t>1、</w:t>
            </w:r>
            <w:r>
              <w:rPr>
                <w:rFonts w:hint="eastAsia"/>
                <w:color w:val="000000"/>
                <w:sz w:val="18"/>
                <w:szCs w:val="18"/>
              </w:rPr>
              <w:t>输入信号隔离保护功能， 保证信号传输稳定， 不受干扰</w:t>
            </w:r>
            <w:r>
              <w:rPr>
                <w:rFonts w:hint="eastAsia"/>
                <w:color w:val="000000"/>
                <w:sz w:val="18"/>
                <w:szCs w:val="18"/>
              </w:rPr>
              <w:br w:type="textWrapping"/>
            </w:r>
            <w:r>
              <w:rPr>
                <w:rFonts w:hint="eastAsia"/>
                <w:color w:val="000000"/>
                <w:sz w:val="18"/>
                <w:szCs w:val="18"/>
                <w:lang w:val="en-US" w:eastAsia="zh-CN"/>
              </w:rPr>
              <w:t>2、</w:t>
            </w:r>
            <w:r>
              <w:rPr>
                <w:rFonts w:hint="eastAsia"/>
                <w:color w:val="000000"/>
                <w:sz w:val="18"/>
                <w:szCs w:val="18"/>
              </w:rPr>
              <w:t>高温自动保护， 智能感应温度过高的时候自动关闭灯泡使灯具冷却后再开泡， 保证灯具的安全使用</w:t>
            </w:r>
            <w:r>
              <w:rPr>
                <w:rFonts w:hint="eastAsia"/>
                <w:color w:val="000000"/>
                <w:sz w:val="18"/>
                <w:szCs w:val="18"/>
              </w:rPr>
              <w:br w:type="textWrapping"/>
            </w:r>
            <w:r>
              <w:rPr>
                <w:rFonts w:hint="eastAsia"/>
                <w:color w:val="000000"/>
                <w:sz w:val="18"/>
                <w:szCs w:val="18"/>
                <w:lang w:val="en-US" w:eastAsia="zh-CN"/>
              </w:rPr>
              <w:t>3、</w:t>
            </w:r>
            <w:r>
              <w:rPr>
                <w:rFonts w:hint="eastAsia"/>
                <w:color w:val="000000"/>
                <w:sz w:val="18"/>
                <w:szCs w:val="18"/>
              </w:rPr>
              <w:t>可选内置无线功能</w:t>
            </w:r>
            <w:r>
              <w:rPr>
                <w:rFonts w:hint="eastAsia"/>
                <w:color w:val="000000"/>
                <w:sz w:val="18"/>
                <w:szCs w:val="18"/>
              </w:rPr>
              <w:br w:type="textWrapping"/>
            </w:r>
            <w:r>
              <w:rPr>
                <w:rFonts w:hint="eastAsia"/>
                <w:color w:val="000000"/>
                <w:sz w:val="18"/>
                <w:szCs w:val="18"/>
                <w:lang w:val="en-US" w:eastAsia="zh-CN"/>
              </w:rPr>
              <w:t>4、</w:t>
            </w:r>
            <w:r>
              <w:rPr>
                <w:rFonts w:hint="eastAsia"/>
                <w:color w:val="000000"/>
                <w:sz w:val="18"/>
                <w:szCs w:val="18"/>
              </w:rPr>
              <w:t>先进的RDM功能</w:t>
            </w:r>
            <w:r>
              <w:rPr>
                <w:rFonts w:hint="eastAsia"/>
                <w:color w:val="000000"/>
                <w:sz w:val="18"/>
                <w:szCs w:val="18"/>
              </w:rPr>
              <w:br w:type="textWrapping"/>
            </w:r>
            <w:r>
              <w:rPr>
                <w:rFonts w:hint="eastAsia"/>
                <w:color w:val="000000"/>
                <w:sz w:val="18"/>
                <w:szCs w:val="18"/>
                <w:lang w:val="en-US" w:eastAsia="zh-CN"/>
              </w:rPr>
              <w:t>5、</w:t>
            </w:r>
            <w:r>
              <w:rPr>
                <w:rFonts w:hint="eastAsia"/>
                <w:color w:val="000000"/>
                <w:sz w:val="18"/>
                <w:szCs w:val="18"/>
              </w:rPr>
              <w:t>防水等级: Ip 65</w:t>
            </w:r>
          </w:p>
        </w:tc>
      </w:tr>
      <w:tr w14:paraId="1423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698CBA76">
            <w:pPr>
              <w:rPr>
                <w:rFonts w:ascii="宋体" w:hAnsi="宋体" w:cs="宋体"/>
                <w:sz w:val="18"/>
                <w:szCs w:val="18"/>
              </w:rPr>
            </w:pPr>
          </w:p>
        </w:tc>
        <w:tc>
          <w:tcPr>
            <w:tcW w:w="436" w:type="pct"/>
            <w:vAlign w:val="center"/>
          </w:tcPr>
          <w:p w14:paraId="1BFDC1E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438" w:type="pct"/>
            <w:gridSpan w:val="2"/>
            <w:vAlign w:val="center"/>
          </w:tcPr>
          <w:p w14:paraId="61AA110A">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DMX网络解码器</w:t>
            </w:r>
          </w:p>
        </w:tc>
        <w:tc>
          <w:tcPr>
            <w:tcW w:w="445" w:type="pct"/>
            <w:vAlign w:val="center"/>
          </w:tcPr>
          <w:p w14:paraId="2FE95C8C">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NPU</w:t>
            </w:r>
          </w:p>
        </w:tc>
        <w:tc>
          <w:tcPr>
            <w:tcW w:w="277" w:type="pct"/>
            <w:vAlign w:val="center"/>
          </w:tcPr>
          <w:p w14:paraId="483A5467">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244" w:type="pct"/>
            <w:vAlign w:val="center"/>
          </w:tcPr>
          <w:p w14:paraId="4B3F85BE">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4"/>
            <w:vAlign w:val="center"/>
          </w:tcPr>
          <w:p w14:paraId="5C4E2F29">
            <w:pPr>
              <w:rPr>
                <w:rFonts w:ascii="宋体" w:hAnsi="宋体" w:cs="宋体"/>
                <w:color w:val="000000"/>
                <w:sz w:val="18"/>
                <w:szCs w:val="18"/>
              </w:rPr>
            </w:pPr>
            <w:r>
              <w:rPr>
                <w:rFonts w:hint="eastAsia"/>
                <w:color w:val="000000"/>
                <w:sz w:val="18"/>
                <w:szCs w:val="18"/>
              </w:rPr>
              <w:t>实时计算，自带 8个DMX512输出口，可同时输出  4,096控制参数</w:t>
            </w:r>
            <w:r>
              <w:rPr>
                <w:rFonts w:hint="eastAsia"/>
                <w:color w:val="000000"/>
                <w:sz w:val="18"/>
                <w:szCs w:val="18"/>
              </w:rPr>
              <w:br w:type="textWrapping"/>
            </w:r>
            <w:r>
              <w:rPr>
                <w:rFonts w:hint="eastAsia"/>
                <w:color w:val="000000"/>
                <w:sz w:val="18"/>
                <w:szCs w:val="18"/>
                <w:lang w:val="en-US" w:eastAsia="zh-CN"/>
              </w:rPr>
              <w:t>1、</w:t>
            </w:r>
            <w:r>
              <w:rPr>
                <w:rFonts w:hint="eastAsia"/>
                <w:color w:val="000000"/>
                <w:sz w:val="18"/>
                <w:szCs w:val="18"/>
              </w:rPr>
              <w:t xml:space="preserve"> 1个内置触摸式指令屏幕(7”  SVGA)有 TFT触摸屏</w:t>
            </w:r>
            <w:r>
              <w:rPr>
                <w:rFonts w:hint="eastAsia"/>
                <w:color w:val="000000"/>
                <w:sz w:val="18"/>
                <w:szCs w:val="18"/>
              </w:rPr>
              <w:br w:type="textWrapping"/>
            </w:r>
            <w:r>
              <w:rPr>
                <w:rFonts w:hint="eastAsia"/>
                <w:color w:val="000000"/>
                <w:sz w:val="18"/>
                <w:szCs w:val="18"/>
                <w:lang w:val="en-US" w:eastAsia="zh-CN"/>
              </w:rPr>
              <w:t>2、</w:t>
            </w:r>
            <w:r>
              <w:rPr>
                <w:rFonts w:hint="eastAsia"/>
                <w:color w:val="000000"/>
                <w:sz w:val="18"/>
                <w:szCs w:val="18"/>
              </w:rPr>
              <w:t xml:space="preserve"> 1个千兆以太网接口，２个USB接口</w:t>
            </w:r>
          </w:p>
        </w:tc>
      </w:tr>
      <w:tr w14:paraId="2393D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3DD2641B">
            <w:pPr>
              <w:rPr>
                <w:rFonts w:ascii="宋体" w:hAnsi="宋体" w:cs="宋体"/>
                <w:sz w:val="18"/>
                <w:szCs w:val="18"/>
              </w:rPr>
            </w:pPr>
          </w:p>
        </w:tc>
        <w:tc>
          <w:tcPr>
            <w:tcW w:w="436" w:type="pct"/>
            <w:vAlign w:val="center"/>
          </w:tcPr>
          <w:p w14:paraId="65E6C5A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438" w:type="pct"/>
            <w:gridSpan w:val="2"/>
            <w:vAlign w:val="center"/>
          </w:tcPr>
          <w:p w14:paraId="4B3075A3">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信号放大器</w:t>
            </w:r>
          </w:p>
        </w:tc>
        <w:tc>
          <w:tcPr>
            <w:tcW w:w="445" w:type="pct"/>
            <w:vAlign w:val="center"/>
          </w:tcPr>
          <w:p w14:paraId="2F8EC731">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8路信号放大器</w:t>
            </w:r>
          </w:p>
        </w:tc>
        <w:tc>
          <w:tcPr>
            <w:tcW w:w="277" w:type="pct"/>
            <w:vAlign w:val="center"/>
          </w:tcPr>
          <w:p w14:paraId="43E60C91">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244" w:type="pct"/>
            <w:vAlign w:val="center"/>
          </w:tcPr>
          <w:p w14:paraId="34F46731">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2801" w:type="pct"/>
            <w:gridSpan w:val="4"/>
            <w:vAlign w:val="center"/>
          </w:tcPr>
          <w:p w14:paraId="2B239C88">
            <w:pPr>
              <w:rPr>
                <w:rFonts w:ascii="宋体" w:hAnsi="宋体" w:cs="宋体"/>
                <w:color w:val="000000"/>
                <w:sz w:val="18"/>
                <w:szCs w:val="18"/>
              </w:rPr>
            </w:pPr>
            <w:r>
              <w:rPr>
                <w:rFonts w:hint="eastAsia"/>
                <w:color w:val="000000"/>
                <w:sz w:val="18"/>
                <w:szCs w:val="18"/>
                <w:lang w:val="en-US" w:eastAsia="zh-CN"/>
              </w:rPr>
              <w:t>1、</w:t>
            </w:r>
            <w:r>
              <w:rPr>
                <w:rFonts w:hint="eastAsia"/>
                <w:color w:val="000000"/>
                <w:sz w:val="18"/>
                <w:szCs w:val="18"/>
              </w:rPr>
              <w:t>输入电压：AC90V-240V 50HZ/60HZ</w:t>
            </w:r>
            <w:r>
              <w:rPr>
                <w:rFonts w:hint="eastAsia"/>
                <w:color w:val="000000"/>
                <w:sz w:val="18"/>
                <w:szCs w:val="18"/>
              </w:rPr>
              <w:br w:type="textWrapping"/>
            </w:r>
            <w:r>
              <w:rPr>
                <w:rFonts w:hint="eastAsia"/>
                <w:color w:val="000000"/>
                <w:sz w:val="18"/>
                <w:szCs w:val="18"/>
                <w:lang w:val="en-US" w:eastAsia="zh-CN"/>
              </w:rPr>
              <w:t>2、</w:t>
            </w:r>
            <w:r>
              <w:rPr>
                <w:rFonts w:hint="eastAsia"/>
                <w:color w:val="000000"/>
                <w:sz w:val="18"/>
                <w:szCs w:val="18"/>
              </w:rPr>
              <w:t>每一路都是独立的变压器供电和八个光学隔离信号放大器来扩大DMX输出</w:t>
            </w:r>
            <w:r>
              <w:rPr>
                <w:rFonts w:hint="eastAsia"/>
                <w:color w:val="000000"/>
                <w:sz w:val="18"/>
                <w:szCs w:val="18"/>
              </w:rPr>
              <w:br w:type="textWrapping"/>
            </w:r>
            <w:r>
              <w:rPr>
                <w:rFonts w:hint="eastAsia"/>
                <w:color w:val="000000"/>
                <w:sz w:val="18"/>
                <w:szCs w:val="18"/>
                <w:lang w:val="en-US" w:eastAsia="zh-CN"/>
              </w:rPr>
              <w:t>3、</w:t>
            </w:r>
            <w:r>
              <w:rPr>
                <w:rFonts w:hint="eastAsia"/>
                <w:color w:val="000000"/>
                <w:sz w:val="18"/>
                <w:szCs w:val="18"/>
              </w:rPr>
              <w:t>放大功能可以令连接延长超过标准的DMX512长度</w:t>
            </w:r>
            <w:r>
              <w:rPr>
                <w:rFonts w:hint="eastAsia"/>
                <w:color w:val="000000"/>
                <w:sz w:val="18"/>
                <w:szCs w:val="18"/>
              </w:rPr>
              <w:br w:type="textWrapping"/>
            </w:r>
            <w:r>
              <w:rPr>
                <w:rFonts w:hint="eastAsia"/>
                <w:color w:val="000000"/>
                <w:sz w:val="18"/>
                <w:szCs w:val="18"/>
                <w:lang w:val="en-US" w:eastAsia="zh-CN"/>
              </w:rPr>
              <w:t>4、</w:t>
            </w:r>
            <w:r>
              <w:rPr>
                <w:rFonts w:hint="eastAsia"/>
                <w:color w:val="000000"/>
                <w:sz w:val="18"/>
                <w:szCs w:val="18"/>
              </w:rPr>
              <w:t>若需要额外的位置，可以在同一连接上使用多个信号放大器</w:t>
            </w:r>
            <w:r>
              <w:rPr>
                <w:rFonts w:hint="eastAsia"/>
                <w:color w:val="000000"/>
                <w:sz w:val="18"/>
                <w:szCs w:val="18"/>
              </w:rPr>
              <w:br w:type="textWrapping"/>
            </w:r>
            <w:r>
              <w:rPr>
                <w:rFonts w:hint="eastAsia"/>
                <w:color w:val="000000"/>
                <w:sz w:val="18"/>
                <w:szCs w:val="18"/>
                <w:lang w:val="en-US" w:eastAsia="zh-CN"/>
              </w:rPr>
              <w:t>5、</w:t>
            </w:r>
            <w:r>
              <w:rPr>
                <w:rFonts w:hint="eastAsia"/>
                <w:color w:val="000000"/>
                <w:sz w:val="18"/>
                <w:szCs w:val="18"/>
              </w:rPr>
              <w:t>每个连接的位置可以独立地连接，最多可达32台灯具</w:t>
            </w:r>
          </w:p>
        </w:tc>
      </w:tr>
      <w:tr w14:paraId="65585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2"/>
          </w:tcPr>
          <w:p w14:paraId="5E803CE0">
            <w:pPr>
              <w:rPr>
                <w:rFonts w:ascii="宋体" w:hAnsi="宋体" w:cs="宋体"/>
                <w:sz w:val="18"/>
                <w:szCs w:val="18"/>
              </w:rPr>
            </w:pPr>
            <w:r>
              <w:rPr>
                <w:rFonts w:hint="eastAsia" w:ascii="宋体" w:hAnsi="宋体" w:cs="宋体"/>
                <w:b/>
                <w:bCs/>
                <w:sz w:val="18"/>
                <w:szCs w:val="18"/>
              </w:rPr>
              <w:t>B特效部分</w:t>
            </w:r>
          </w:p>
        </w:tc>
      </w:tr>
      <w:tr w14:paraId="6F1DC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Align w:val="center"/>
          </w:tcPr>
          <w:p w14:paraId="0244980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湖边</w:t>
            </w:r>
          </w:p>
        </w:tc>
        <w:tc>
          <w:tcPr>
            <w:tcW w:w="436" w:type="pct"/>
            <w:vAlign w:val="center"/>
          </w:tcPr>
          <w:p w14:paraId="6EB3504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438" w:type="pct"/>
            <w:gridSpan w:val="2"/>
            <w:vAlign w:val="center"/>
          </w:tcPr>
          <w:p w14:paraId="75BE5BD4">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雾森</w:t>
            </w:r>
          </w:p>
        </w:tc>
        <w:tc>
          <w:tcPr>
            <w:tcW w:w="445" w:type="pct"/>
            <w:vAlign w:val="center"/>
          </w:tcPr>
          <w:p w14:paraId="35D34DE9">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荷花池周围预估100米200喷头</w:t>
            </w:r>
          </w:p>
        </w:tc>
        <w:tc>
          <w:tcPr>
            <w:tcW w:w="277" w:type="pct"/>
            <w:vAlign w:val="center"/>
          </w:tcPr>
          <w:p w14:paraId="7C06D8FD">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244" w:type="pct"/>
            <w:vAlign w:val="center"/>
          </w:tcPr>
          <w:p w14:paraId="2AFE0823">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套</w:t>
            </w:r>
          </w:p>
        </w:tc>
        <w:tc>
          <w:tcPr>
            <w:tcW w:w="2801" w:type="pct"/>
            <w:gridSpan w:val="4"/>
            <w:vAlign w:val="center"/>
          </w:tcPr>
          <w:p w14:paraId="7EC9751A">
            <w:pPr>
              <w:rPr>
                <w:rFonts w:hint="eastAsia"/>
                <w:color w:val="000000"/>
                <w:sz w:val="18"/>
                <w:szCs w:val="18"/>
              </w:rPr>
            </w:pPr>
            <w:r>
              <w:rPr>
                <w:rFonts w:hint="eastAsia"/>
                <w:color w:val="000000"/>
                <w:sz w:val="18"/>
                <w:szCs w:val="18"/>
                <w:lang w:val="en-US" w:eastAsia="zh-CN"/>
              </w:rPr>
              <w:t>1、</w:t>
            </w:r>
            <w:r>
              <w:rPr>
                <w:rFonts w:hint="eastAsia"/>
                <w:color w:val="000000"/>
                <w:sz w:val="18"/>
                <w:szCs w:val="18"/>
              </w:rPr>
              <w:t>工作压力:4-7MPA(40-70KG)</w:t>
            </w:r>
          </w:p>
          <w:p w14:paraId="0756DC9A">
            <w:pPr>
              <w:rPr>
                <w:rFonts w:hint="eastAsia"/>
                <w:color w:val="000000"/>
                <w:sz w:val="18"/>
                <w:szCs w:val="18"/>
              </w:rPr>
            </w:pPr>
            <w:r>
              <w:rPr>
                <w:rFonts w:hint="eastAsia"/>
                <w:color w:val="000000"/>
                <w:sz w:val="18"/>
                <w:szCs w:val="18"/>
                <w:lang w:val="en-US" w:eastAsia="zh-CN"/>
              </w:rPr>
              <w:t>2、</w:t>
            </w:r>
            <w:r>
              <w:rPr>
                <w:rFonts w:hint="eastAsia"/>
                <w:color w:val="000000"/>
                <w:sz w:val="18"/>
                <w:szCs w:val="18"/>
              </w:rPr>
              <w:t>可调测试压力:10 MPA(100KG)</w:t>
            </w:r>
          </w:p>
          <w:p w14:paraId="5D4AA9AC">
            <w:pPr>
              <w:rPr>
                <w:rFonts w:hint="eastAsia"/>
                <w:color w:val="000000"/>
                <w:sz w:val="18"/>
                <w:szCs w:val="18"/>
              </w:rPr>
            </w:pPr>
            <w:r>
              <w:rPr>
                <w:rFonts w:hint="eastAsia"/>
                <w:color w:val="000000"/>
                <w:sz w:val="18"/>
                <w:szCs w:val="18"/>
                <w:lang w:val="en-US" w:eastAsia="zh-CN"/>
              </w:rPr>
              <w:t>3、</w:t>
            </w:r>
            <w:r>
              <w:rPr>
                <w:rFonts w:hint="eastAsia"/>
                <w:color w:val="000000"/>
                <w:sz w:val="18"/>
                <w:szCs w:val="18"/>
              </w:rPr>
              <w:t>输入电源:AC 380V150HZ或AC220V/50HZ</w:t>
            </w:r>
          </w:p>
          <w:p w14:paraId="7FE8DF09">
            <w:pPr>
              <w:rPr>
                <w:rFonts w:hint="eastAsia"/>
                <w:color w:val="000000"/>
                <w:sz w:val="18"/>
                <w:szCs w:val="18"/>
              </w:rPr>
            </w:pPr>
            <w:r>
              <w:rPr>
                <w:rFonts w:hint="eastAsia"/>
                <w:color w:val="000000"/>
                <w:sz w:val="18"/>
                <w:szCs w:val="18"/>
                <w:lang w:val="en-US" w:eastAsia="zh-CN"/>
              </w:rPr>
              <w:t>4、</w:t>
            </w:r>
            <w:r>
              <w:rPr>
                <w:rFonts w:hint="eastAsia"/>
                <w:color w:val="000000"/>
                <w:sz w:val="18"/>
                <w:szCs w:val="18"/>
              </w:rPr>
              <w:t>进水压力:&gt;20KG/供水流量不低于1.5立方/小时</w:t>
            </w:r>
          </w:p>
          <w:p w14:paraId="2A388F9F">
            <w:pPr>
              <w:rPr>
                <w:rFonts w:ascii="宋体" w:hAnsi="宋体" w:cs="宋体"/>
                <w:color w:val="000000"/>
                <w:sz w:val="18"/>
                <w:szCs w:val="18"/>
              </w:rPr>
            </w:pPr>
            <w:r>
              <w:rPr>
                <w:rFonts w:hint="eastAsia"/>
                <w:color w:val="000000"/>
                <w:sz w:val="18"/>
                <w:szCs w:val="18"/>
                <w:lang w:val="en-US" w:eastAsia="zh-CN"/>
              </w:rPr>
              <w:t>5、</w:t>
            </w:r>
            <w:r>
              <w:rPr>
                <w:rFonts w:hint="eastAsia"/>
                <w:color w:val="000000"/>
                <w:sz w:val="18"/>
                <w:szCs w:val="18"/>
              </w:rPr>
              <w:t>实际尺寸:</w:t>
            </w:r>
            <w:r>
              <w:rPr>
                <w:rFonts w:hint="eastAsia"/>
                <w:color w:val="000000"/>
                <w:sz w:val="18"/>
                <w:szCs w:val="18"/>
                <w:lang w:eastAsia="zh-CN"/>
              </w:rPr>
              <w:t>大约</w:t>
            </w:r>
            <w:r>
              <w:rPr>
                <w:rFonts w:hint="eastAsia"/>
                <w:color w:val="000000"/>
                <w:sz w:val="18"/>
                <w:szCs w:val="18"/>
              </w:rPr>
              <w:t>750*630*1020MM /11006801100MM并沿湖安装不锈钢管道和</w:t>
            </w:r>
            <w:r>
              <w:rPr>
                <w:rFonts w:hint="eastAsia"/>
                <w:color w:val="000000"/>
                <w:sz w:val="18"/>
                <w:szCs w:val="18"/>
                <w:lang w:eastAsia="zh-CN"/>
              </w:rPr>
              <w:t>约</w:t>
            </w:r>
            <w:r>
              <w:rPr>
                <w:rFonts w:hint="eastAsia"/>
                <w:color w:val="000000"/>
                <w:sz w:val="18"/>
                <w:szCs w:val="18"/>
              </w:rPr>
              <w:t>２００个雾森喷头，</w:t>
            </w:r>
          </w:p>
        </w:tc>
      </w:tr>
      <w:tr w14:paraId="3B1BD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restart"/>
            <w:vAlign w:val="center"/>
          </w:tcPr>
          <w:p w14:paraId="1DA0629A">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耗材</w:t>
            </w:r>
          </w:p>
        </w:tc>
        <w:tc>
          <w:tcPr>
            <w:tcW w:w="436" w:type="pct"/>
            <w:vAlign w:val="center"/>
          </w:tcPr>
          <w:p w14:paraId="51F15C4A">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438" w:type="pct"/>
            <w:gridSpan w:val="2"/>
            <w:vAlign w:val="center"/>
          </w:tcPr>
          <w:p w14:paraId="2D4AB78E">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下雪机油</w:t>
            </w:r>
          </w:p>
        </w:tc>
        <w:tc>
          <w:tcPr>
            <w:tcW w:w="445" w:type="pct"/>
            <w:vAlign w:val="center"/>
          </w:tcPr>
          <w:p w14:paraId="5D0588D4">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耗材</w:t>
            </w:r>
          </w:p>
        </w:tc>
        <w:tc>
          <w:tcPr>
            <w:tcW w:w="277" w:type="pct"/>
            <w:vAlign w:val="center"/>
          </w:tcPr>
          <w:p w14:paraId="52A9B5F3">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18</w:t>
            </w:r>
          </w:p>
        </w:tc>
        <w:tc>
          <w:tcPr>
            <w:tcW w:w="244" w:type="pct"/>
            <w:vAlign w:val="center"/>
          </w:tcPr>
          <w:p w14:paraId="48B53BB4">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瓶</w:t>
            </w:r>
          </w:p>
        </w:tc>
        <w:tc>
          <w:tcPr>
            <w:tcW w:w="2801" w:type="pct"/>
            <w:gridSpan w:val="4"/>
            <w:vAlign w:val="center"/>
          </w:tcPr>
          <w:p w14:paraId="39BCAC44">
            <w:pPr>
              <w:rPr>
                <w:rFonts w:ascii="宋体" w:hAnsi="宋体" w:cs="宋体"/>
                <w:color w:val="000000"/>
                <w:sz w:val="18"/>
                <w:szCs w:val="18"/>
              </w:rPr>
            </w:pPr>
            <w:r>
              <w:rPr>
                <w:rFonts w:hint="eastAsia"/>
                <w:color w:val="000000"/>
                <w:sz w:val="18"/>
                <w:szCs w:val="18"/>
              </w:rPr>
              <w:t>雪花油无毒，非易燃性，速溶于水，可生物降解，环保；适用于舞台、演播室及其他需要效果的场合，4L/桶  4桶/箱</w:t>
            </w:r>
          </w:p>
        </w:tc>
      </w:tr>
      <w:tr w14:paraId="6C84B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29BBA0F5">
            <w:pPr>
              <w:rPr>
                <w:rFonts w:ascii="宋体" w:hAnsi="宋体" w:cs="宋体"/>
                <w:sz w:val="18"/>
                <w:szCs w:val="18"/>
              </w:rPr>
            </w:pPr>
          </w:p>
        </w:tc>
        <w:tc>
          <w:tcPr>
            <w:tcW w:w="436" w:type="pct"/>
            <w:vAlign w:val="center"/>
          </w:tcPr>
          <w:p w14:paraId="6A406FF7">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438" w:type="pct"/>
            <w:gridSpan w:val="2"/>
            <w:vAlign w:val="center"/>
          </w:tcPr>
          <w:p w14:paraId="30F98493">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烟机油</w:t>
            </w:r>
          </w:p>
        </w:tc>
        <w:tc>
          <w:tcPr>
            <w:tcW w:w="445" w:type="pct"/>
            <w:vAlign w:val="center"/>
          </w:tcPr>
          <w:p w14:paraId="0AE9F0A7">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耗材</w:t>
            </w:r>
          </w:p>
        </w:tc>
        <w:tc>
          <w:tcPr>
            <w:tcW w:w="277" w:type="pct"/>
            <w:vAlign w:val="center"/>
          </w:tcPr>
          <w:p w14:paraId="5038904A">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18</w:t>
            </w:r>
          </w:p>
        </w:tc>
        <w:tc>
          <w:tcPr>
            <w:tcW w:w="244" w:type="pct"/>
            <w:vAlign w:val="center"/>
          </w:tcPr>
          <w:p w14:paraId="5A71CBA8">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瓶</w:t>
            </w:r>
          </w:p>
        </w:tc>
        <w:tc>
          <w:tcPr>
            <w:tcW w:w="2801" w:type="pct"/>
            <w:gridSpan w:val="4"/>
            <w:vAlign w:val="center"/>
          </w:tcPr>
          <w:p w14:paraId="03223324">
            <w:pPr>
              <w:rPr>
                <w:rFonts w:ascii="宋体" w:hAnsi="宋体" w:cs="宋体"/>
                <w:color w:val="000000"/>
                <w:sz w:val="18"/>
                <w:szCs w:val="18"/>
              </w:rPr>
            </w:pPr>
            <w:r>
              <w:rPr>
                <w:rFonts w:hint="eastAsia"/>
                <w:color w:val="000000"/>
                <w:sz w:val="18"/>
                <w:szCs w:val="18"/>
              </w:rPr>
              <w:t>烟油无毒，非易燃性，速溶于水，可生物降解，环保；适用于舞台、演播室及其他需要效果的场合，4L/桶  4桶/箱</w:t>
            </w:r>
          </w:p>
        </w:tc>
      </w:tr>
      <w:tr w14:paraId="74F4F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5" w:type="pct"/>
            <w:gridSpan w:val="2"/>
            <w:vMerge w:val="continue"/>
          </w:tcPr>
          <w:p w14:paraId="31A4D075">
            <w:pPr>
              <w:rPr>
                <w:rFonts w:ascii="宋体" w:hAnsi="宋体" w:cs="宋体"/>
                <w:sz w:val="18"/>
                <w:szCs w:val="18"/>
              </w:rPr>
            </w:pPr>
          </w:p>
        </w:tc>
        <w:tc>
          <w:tcPr>
            <w:tcW w:w="436" w:type="pct"/>
            <w:vAlign w:val="center"/>
          </w:tcPr>
          <w:p w14:paraId="560548BE">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438" w:type="pct"/>
            <w:gridSpan w:val="2"/>
            <w:vAlign w:val="center"/>
          </w:tcPr>
          <w:p w14:paraId="3BAA19C4">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重烟油</w:t>
            </w:r>
          </w:p>
        </w:tc>
        <w:tc>
          <w:tcPr>
            <w:tcW w:w="445" w:type="pct"/>
            <w:vAlign w:val="center"/>
          </w:tcPr>
          <w:p w14:paraId="23B13CC7">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耗材</w:t>
            </w:r>
          </w:p>
        </w:tc>
        <w:tc>
          <w:tcPr>
            <w:tcW w:w="277" w:type="pct"/>
            <w:vAlign w:val="center"/>
          </w:tcPr>
          <w:p w14:paraId="388445C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18</w:t>
            </w:r>
          </w:p>
        </w:tc>
        <w:tc>
          <w:tcPr>
            <w:tcW w:w="244" w:type="pct"/>
            <w:vAlign w:val="center"/>
          </w:tcPr>
          <w:p w14:paraId="06A304F7">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瓶</w:t>
            </w:r>
          </w:p>
        </w:tc>
        <w:tc>
          <w:tcPr>
            <w:tcW w:w="2801" w:type="pct"/>
            <w:gridSpan w:val="4"/>
            <w:vAlign w:val="center"/>
          </w:tcPr>
          <w:p w14:paraId="0DBD5C91">
            <w:pPr>
              <w:rPr>
                <w:rFonts w:ascii="宋体" w:hAnsi="宋体" w:cs="宋体"/>
                <w:color w:val="000000"/>
                <w:sz w:val="18"/>
                <w:szCs w:val="18"/>
              </w:rPr>
            </w:pPr>
            <w:r>
              <w:rPr>
                <w:rFonts w:hint="eastAsia"/>
                <w:color w:val="000000"/>
                <w:sz w:val="18"/>
                <w:szCs w:val="18"/>
              </w:rPr>
              <w:t>离子烟油无毒，非易燃性，速溶于水，可生物降解，环保；适用于舞台、演播室及其他需要效果的场合，３L/桶  4桶/箱</w:t>
            </w:r>
          </w:p>
        </w:tc>
      </w:tr>
      <w:tr w14:paraId="519EA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63307370">
            <w:pPr>
              <w:rPr>
                <w:rFonts w:ascii="宋体" w:hAnsi="宋体" w:cs="宋体"/>
                <w:sz w:val="18"/>
                <w:szCs w:val="18"/>
              </w:rPr>
            </w:pPr>
          </w:p>
        </w:tc>
        <w:tc>
          <w:tcPr>
            <w:tcW w:w="436" w:type="pct"/>
            <w:vAlign w:val="center"/>
          </w:tcPr>
          <w:p w14:paraId="33A41F4C">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438" w:type="pct"/>
            <w:gridSpan w:val="2"/>
            <w:vAlign w:val="center"/>
          </w:tcPr>
          <w:p w14:paraId="159574F4">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更换灯笼光源</w:t>
            </w:r>
          </w:p>
        </w:tc>
        <w:tc>
          <w:tcPr>
            <w:tcW w:w="445" w:type="pct"/>
            <w:vAlign w:val="center"/>
          </w:tcPr>
          <w:p w14:paraId="4F7E08EB">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LED灯笼光源</w:t>
            </w:r>
          </w:p>
        </w:tc>
        <w:tc>
          <w:tcPr>
            <w:tcW w:w="277" w:type="pct"/>
            <w:vAlign w:val="center"/>
          </w:tcPr>
          <w:p w14:paraId="6711B41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40</w:t>
            </w:r>
          </w:p>
        </w:tc>
        <w:tc>
          <w:tcPr>
            <w:tcW w:w="244" w:type="pct"/>
            <w:vAlign w:val="center"/>
          </w:tcPr>
          <w:p w14:paraId="39B36D8C">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2801" w:type="pct"/>
            <w:gridSpan w:val="4"/>
            <w:vAlign w:val="center"/>
          </w:tcPr>
          <w:p w14:paraId="1D9CC222">
            <w:pPr>
              <w:rPr>
                <w:rFonts w:ascii="宋体" w:hAnsi="宋体" w:cs="宋体"/>
                <w:color w:val="000000"/>
                <w:sz w:val="18"/>
                <w:szCs w:val="18"/>
              </w:rPr>
            </w:pPr>
            <w:r>
              <w:rPr>
                <w:rFonts w:hint="eastAsia"/>
                <w:color w:val="000000"/>
                <w:sz w:val="18"/>
                <w:szCs w:val="18"/>
              </w:rPr>
              <w:t>１５WLED光源，替换原有灯笼光源</w:t>
            </w:r>
          </w:p>
        </w:tc>
      </w:tr>
      <w:tr w14:paraId="28EE5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07DD674A">
            <w:pPr>
              <w:rPr>
                <w:rFonts w:ascii="宋体" w:hAnsi="宋体" w:cs="宋体"/>
                <w:sz w:val="18"/>
                <w:szCs w:val="18"/>
              </w:rPr>
            </w:pPr>
          </w:p>
        </w:tc>
        <w:tc>
          <w:tcPr>
            <w:tcW w:w="436" w:type="pct"/>
            <w:vAlign w:val="center"/>
          </w:tcPr>
          <w:p w14:paraId="694E136F">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438" w:type="pct"/>
            <w:gridSpan w:val="2"/>
            <w:vAlign w:val="center"/>
          </w:tcPr>
          <w:p w14:paraId="45F72496">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灯带电源</w:t>
            </w:r>
          </w:p>
        </w:tc>
        <w:tc>
          <w:tcPr>
            <w:tcW w:w="445" w:type="pct"/>
            <w:vAlign w:val="center"/>
          </w:tcPr>
          <w:p w14:paraId="153E4D0E">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２４V安全电源</w:t>
            </w:r>
          </w:p>
        </w:tc>
        <w:tc>
          <w:tcPr>
            <w:tcW w:w="277" w:type="pct"/>
            <w:vAlign w:val="center"/>
          </w:tcPr>
          <w:p w14:paraId="5A7C2A0E">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244" w:type="pct"/>
            <w:vAlign w:val="center"/>
          </w:tcPr>
          <w:p w14:paraId="32D3BF3B">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2801" w:type="pct"/>
            <w:gridSpan w:val="4"/>
            <w:vAlign w:val="center"/>
          </w:tcPr>
          <w:p w14:paraId="4D20618B">
            <w:pPr>
              <w:rPr>
                <w:rFonts w:ascii="宋体" w:hAnsi="宋体" w:cs="宋体"/>
                <w:color w:val="000000"/>
                <w:sz w:val="18"/>
                <w:szCs w:val="18"/>
              </w:rPr>
            </w:pPr>
            <w:r>
              <w:rPr>
                <w:rFonts w:hint="eastAsia"/>
                <w:color w:val="000000"/>
                <w:sz w:val="18"/>
                <w:szCs w:val="18"/>
              </w:rPr>
              <w:t>２２０V转１２／２４V安全转换开关电源，给灯带配套</w:t>
            </w:r>
          </w:p>
        </w:tc>
      </w:tr>
      <w:tr w14:paraId="483AF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5C0D6030">
            <w:pPr>
              <w:rPr>
                <w:rFonts w:ascii="宋体" w:hAnsi="宋体" w:cs="宋体"/>
                <w:sz w:val="18"/>
                <w:szCs w:val="18"/>
              </w:rPr>
            </w:pPr>
          </w:p>
        </w:tc>
        <w:tc>
          <w:tcPr>
            <w:tcW w:w="436" w:type="pct"/>
            <w:vAlign w:val="center"/>
          </w:tcPr>
          <w:p w14:paraId="1DFA925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438" w:type="pct"/>
            <w:gridSpan w:val="2"/>
            <w:vAlign w:val="center"/>
          </w:tcPr>
          <w:p w14:paraId="2F6EEA3D">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台阶草坪灯定制</w:t>
            </w:r>
          </w:p>
        </w:tc>
        <w:tc>
          <w:tcPr>
            <w:tcW w:w="445" w:type="pct"/>
            <w:vAlign w:val="center"/>
          </w:tcPr>
          <w:p w14:paraId="3A64A537">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定制</w:t>
            </w:r>
          </w:p>
        </w:tc>
        <w:tc>
          <w:tcPr>
            <w:tcW w:w="277" w:type="pct"/>
            <w:vAlign w:val="center"/>
          </w:tcPr>
          <w:p w14:paraId="45E5AFCD">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30</w:t>
            </w:r>
          </w:p>
        </w:tc>
        <w:tc>
          <w:tcPr>
            <w:tcW w:w="244" w:type="pct"/>
            <w:vAlign w:val="center"/>
          </w:tcPr>
          <w:p w14:paraId="7C4CE26E">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2801" w:type="pct"/>
            <w:gridSpan w:val="4"/>
            <w:vAlign w:val="center"/>
          </w:tcPr>
          <w:p w14:paraId="12C0F465">
            <w:pPr>
              <w:rPr>
                <w:rFonts w:ascii="宋体" w:hAnsi="宋体" w:cs="宋体"/>
                <w:color w:val="000000"/>
                <w:sz w:val="18"/>
                <w:szCs w:val="18"/>
              </w:rPr>
            </w:pPr>
            <w:r>
              <w:rPr>
                <w:rFonts w:hint="eastAsia"/>
                <w:color w:val="000000"/>
                <w:sz w:val="18"/>
                <w:szCs w:val="18"/>
                <w:lang w:val="en-US" w:eastAsia="zh-CN"/>
              </w:rPr>
              <w:t>1、</w:t>
            </w:r>
            <w:r>
              <w:rPr>
                <w:rFonts w:hint="eastAsia"/>
                <w:color w:val="000000"/>
                <w:sz w:val="18"/>
                <w:szCs w:val="18"/>
              </w:rPr>
              <w:t>额定电压：AC100～240V 50/60Hz</w:t>
            </w:r>
            <w:r>
              <w:rPr>
                <w:rFonts w:hint="eastAsia"/>
                <w:color w:val="000000"/>
                <w:sz w:val="18"/>
                <w:szCs w:val="18"/>
              </w:rPr>
              <w:br w:type="textWrapping"/>
            </w:r>
            <w:r>
              <w:rPr>
                <w:rFonts w:hint="eastAsia"/>
                <w:color w:val="000000"/>
                <w:sz w:val="18"/>
                <w:szCs w:val="18"/>
                <w:lang w:val="en-US" w:eastAsia="zh-CN"/>
              </w:rPr>
              <w:t>2、</w:t>
            </w:r>
            <w:r>
              <w:rPr>
                <w:rFonts w:hint="eastAsia"/>
                <w:color w:val="000000"/>
                <w:sz w:val="18"/>
                <w:szCs w:val="18"/>
              </w:rPr>
              <w:t>额定功率：≧10W</w:t>
            </w:r>
            <w:r>
              <w:rPr>
                <w:rFonts w:hint="eastAsia"/>
                <w:color w:val="000000"/>
                <w:sz w:val="18"/>
                <w:szCs w:val="18"/>
              </w:rPr>
              <w:br w:type="textWrapping"/>
            </w:r>
            <w:r>
              <w:rPr>
                <w:rFonts w:hint="eastAsia"/>
                <w:color w:val="000000"/>
                <w:sz w:val="18"/>
                <w:szCs w:val="18"/>
                <w:lang w:val="en-US" w:eastAsia="zh-CN"/>
              </w:rPr>
              <w:t>3、</w:t>
            </w:r>
            <w:r>
              <w:rPr>
                <w:rFonts w:hint="eastAsia"/>
                <w:color w:val="000000"/>
                <w:sz w:val="18"/>
                <w:szCs w:val="18"/>
              </w:rPr>
              <w:t>灯泡寿命：≧20000小时</w:t>
            </w:r>
            <w:r>
              <w:rPr>
                <w:rFonts w:hint="eastAsia"/>
                <w:color w:val="000000"/>
                <w:sz w:val="18"/>
                <w:szCs w:val="18"/>
              </w:rPr>
              <w:br w:type="textWrapping"/>
            </w:r>
            <w:r>
              <w:rPr>
                <w:rFonts w:hint="eastAsia"/>
                <w:color w:val="000000"/>
                <w:sz w:val="18"/>
                <w:szCs w:val="18"/>
                <w:lang w:val="en-US" w:eastAsia="zh-CN"/>
              </w:rPr>
              <w:t>4、</w:t>
            </w:r>
            <w:r>
              <w:rPr>
                <w:rFonts w:hint="eastAsia"/>
                <w:color w:val="000000"/>
                <w:sz w:val="18"/>
                <w:szCs w:val="18"/>
              </w:rPr>
              <w:t>颜   色：暖光效果</w:t>
            </w:r>
          </w:p>
        </w:tc>
      </w:tr>
      <w:tr w14:paraId="12124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2"/>
          </w:tcPr>
          <w:p w14:paraId="21DD6A51">
            <w:pPr>
              <w:rPr>
                <w:rFonts w:hint="eastAsia" w:ascii="宋体" w:hAnsi="宋体" w:eastAsia="宋体" w:cs="宋体"/>
                <w:sz w:val="18"/>
                <w:szCs w:val="18"/>
                <w:lang w:val="en-US" w:eastAsia="zh-CN"/>
              </w:rPr>
            </w:pPr>
            <w:r>
              <w:rPr>
                <w:rFonts w:hint="eastAsia" w:ascii="宋体" w:hAnsi="宋体" w:cs="宋体"/>
                <w:b/>
                <w:bCs/>
                <w:sz w:val="18"/>
                <w:szCs w:val="18"/>
              </w:rPr>
              <w:t>C</w:t>
            </w:r>
            <w:r>
              <w:rPr>
                <w:rFonts w:hint="eastAsia" w:ascii="宋体" w:hAnsi="宋体" w:cs="宋体"/>
                <w:b/>
                <w:bCs/>
                <w:sz w:val="18"/>
                <w:szCs w:val="18"/>
                <w:lang w:val="en-US" w:eastAsia="zh-CN"/>
              </w:rPr>
              <w:t>辅材</w:t>
            </w:r>
          </w:p>
        </w:tc>
      </w:tr>
      <w:tr w14:paraId="6616B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restart"/>
            <w:vAlign w:val="center"/>
          </w:tcPr>
          <w:p w14:paraId="44C3A391">
            <w:pPr>
              <w:jc w:val="center"/>
              <w:rPr>
                <w:rFonts w:hint="eastAsia" w:ascii="宋体" w:hAnsi="宋体" w:eastAsia="宋体" w:cs="宋体"/>
                <w:sz w:val="18"/>
                <w:szCs w:val="18"/>
                <w:lang w:eastAsia="zh-CN"/>
              </w:rPr>
            </w:pPr>
            <w:r>
              <w:rPr>
                <w:rFonts w:hint="eastAsia" w:ascii="宋体" w:hAnsi="宋体" w:cs="宋体"/>
                <w:sz w:val="18"/>
                <w:szCs w:val="18"/>
                <w:lang w:val="en-US" w:eastAsia="zh-CN"/>
              </w:rPr>
              <w:t>辅材</w:t>
            </w:r>
          </w:p>
        </w:tc>
        <w:tc>
          <w:tcPr>
            <w:tcW w:w="436" w:type="pct"/>
            <w:vAlign w:val="center"/>
          </w:tcPr>
          <w:p w14:paraId="7AD1763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438" w:type="pct"/>
            <w:gridSpan w:val="2"/>
            <w:vAlign w:val="center"/>
          </w:tcPr>
          <w:p w14:paraId="770B949F">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供电电缆</w:t>
            </w:r>
          </w:p>
        </w:tc>
        <w:tc>
          <w:tcPr>
            <w:tcW w:w="445" w:type="pct"/>
            <w:vAlign w:val="center"/>
          </w:tcPr>
          <w:p w14:paraId="776E27C9">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４＊１０＋１＊６</w:t>
            </w:r>
          </w:p>
        </w:tc>
        <w:tc>
          <w:tcPr>
            <w:tcW w:w="277" w:type="pct"/>
            <w:vAlign w:val="center"/>
          </w:tcPr>
          <w:p w14:paraId="6F383B41">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260</w:t>
            </w:r>
          </w:p>
        </w:tc>
        <w:tc>
          <w:tcPr>
            <w:tcW w:w="244" w:type="pct"/>
            <w:vAlign w:val="center"/>
          </w:tcPr>
          <w:p w14:paraId="6F15C14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米</w:t>
            </w:r>
          </w:p>
        </w:tc>
        <w:tc>
          <w:tcPr>
            <w:tcW w:w="2801" w:type="pct"/>
            <w:gridSpan w:val="4"/>
            <w:vAlign w:val="center"/>
          </w:tcPr>
          <w:p w14:paraId="6FECD0A7">
            <w:pPr>
              <w:rPr>
                <w:rFonts w:ascii="宋体" w:hAnsi="宋体" w:cs="宋体"/>
                <w:color w:val="000000"/>
                <w:sz w:val="18"/>
                <w:szCs w:val="18"/>
              </w:rPr>
            </w:pPr>
            <w:r>
              <w:rPr>
                <w:rFonts w:hint="eastAsia"/>
                <w:color w:val="000000"/>
                <w:sz w:val="18"/>
                <w:szCs w:val="18"/>
              </w:rPr>
              <w:t>国标电缆５＊１０MM，根据舞美及灯光设计需要安装布设</w:t>
            </w:r>
          </w:p>
        </w:tc>
      </w:tr>
      <w:tr w14:paraId="12970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6C3E84BD">
            <w:pPr>
              <w:rPr>
                <w:rFonts w:ascii="宋体" w:hAnsi="宋体" w:cs="宋体"/>
                <w:sz w:val="18"/>
                <w:szCs w:val="18"/>
              </w:rPr>
            </w:pPr>
          </w:p>
        </w:tc>
        <w:tc>
          <w:tcPr>
            <w:tcW w:w="436" w:type="pct"/>
            <w:vAlign w:val="center"/>
          </w:tcPr>
          <w:p w14:paraId="12D9799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438" w:type="pct"/>
            <w:gridSpan w:val="2"/>
            <w:vAlign w:val="center"/>
          </w:tcPr>
          <w:p w14:paraId="6116F569">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供电电缆</w:t>
            </w:r>
          </w:p>
        </w:tc>
        <w:tc>
          <w:tcPr>
            <w:tcW w:w="445" w:type="pct"/>
            <w:vAlign w:val="center"/>
          </w:tcPr>
          <w:p w14:paraId="6B45CFE6">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3*2.5MM</w:t>
            </w:r>
          </w:p>
        </w:tc>
        <w:tc>
          <w:tcPr>
            <w:tcW w:w="277" w:type="pct"/>
            <w:vAlign w:val="center"/>
          </w:tcPr>
          <w:p w14:paraId="6CBDF7A4">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1500</w:t>
            </w:r>
          </w:p>
        </w:tc>
        <w:tc>
          <w:tcPr>
            <w:tcW w:w="244" w:type="pct"/>
            <w:vAlign w:val="center"/>
          </w:tcPr>
          <w:p w14:paraId="013B937E">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米</w:t>
            </w:r>
          </w:p>
        </w:tc>
        <w:tc>
          <w:tcPr>
            <w:tcW w:w="2801" w:type="pct"/>
            <w:gridSpan w:val="4"/>
            <w:vAlign w:val="center"/>
          </w:tcPr>
          <w:p w14:paraId="3D36420A">
            <w:pPr>
              <w:rPr>
                <w:rFonts w:ascii="宋体" w:hAnsi="宋体" w:cs="宋体"/>
                <w:color w:val="000000"/>
                <w:sz w:val="18"/>
                <w:szCs w:val="18"/>
              </w:rPr>
            </w:pPr>
            <w:r>
              <w:rPr>
                <w:rFonts w:hint="eastAsia"/>
                <w:color w:val="000000"/>
                <w:sz w:val="18"/>
                <w:szCs w:val="18"/>
              </w:rPr>
              <w:t>国标电缆３＊２.５MM，根据舞美及灯光设计需要安装布设</w:t>
            </w:r>
          </w:p>
        </w:tc>
      </w:tr>
      <w:tr w14:paraId="37499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3E91DA70">
            <w:pPr>
              <w:rPr>
                <w:rFonts w:ascii="宋体" w:hAnsi="宋体" w:cs="宋体"/>
                <w:sz w:val="18"/>
                <w:szCs w:val="18"/>
              </w:rPr>
            </w:pPr>
          </w:p>
        </w:tc>
        <w:tc>
          <w:tcPr>
            <w:tcW w:w="436" w:type="pct"/>
            <w:vAlign w:val="center"/>
          </w:tcPr>
          <w:p w14:paraId="191ECB89">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438" w:type="pct"/>
            <w:gridSpan w:val="2"/>
            <w:vAlign w:val="center"/>
          </w:tcPr>
          <w:p w14:paraId="53B2FAAF">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供电电缆</w:t>
            </w:r>
          </w:p>
        </w:tc>
        <w:tc>
          <w:tcPr>
            <w:tcW w:w="445" w:type="pct"/>
            <w:vAlign w:val="center"/>
          </w:tcPr>
          <w:p w14:paraId="70C1F254">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3*1.5MM</w:t>
            </w:r>
          </w:p>
        </w:tc>
        <w:tc>
          <w:tcPr>
            <w:tcW w:w="277" w:type="pct"/>
            <w:vAlign w:val="center"/>
          </w:tcPr>
          <w:p w14:paraId="0A58F25E">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1000</w:t>
            </w:r>
          </w:p>
        </w:tc>
        <w:tc>
          <w:tcPr>
            <w:tcW w:w="244" w:type="pct"/>
            <w:vAlign w:val="center"/>
          </w:tcPr>
          <w:p w14:paraId="06C0B042">
            <w:pPr>
              <w:jc w:val="center"/>
              <w:rPr>
                <w:rFonts w:ascii="宋体" w:hAnsi="宋体" w:cs="宋体"/>
                <w:sz w:val="18"/>
                <w:szCs w:val="18"/>
              </w:rPr>
            </w:pPr>
            <w:r>
              <w:rPr>
                <w:rFonts w:hint="eastAsia" w:ascii="宋体" w:hAnsi="宋体" w:cs="宋体"/>
                <w:sz w:val="18"/>
                <w:szCs w:val="18"/>
              </w:rPr>
              <w:t>米</w:t>
            </w:r>
          </w:p>
        </w:tc>
        <w:tc>
          <w:tcPr>
            <w:tcW w:w="2801" w:type="pct"/>
            <w:gridSpan w:val="4"/>
            <w:vAlign w:val="center"/>
          </w:tcPr>
          <w:p w14:paraId="47B4A1A0">
            <w:pPr>
              <w:rPr>
                <w:rFonts w:ascii="宋体" w:hAnsi="宋体" w:cs="宋体"/>
                <w:color w:val="000000"/>
                <w:sz w:val="18"/>
                <w:szCs w:val="18"/>
              </w:rPr>
            </w:pPr>
            <w:r>
              <w:rPr>
                <w:rFonts w:hint="eastAsia"/>
                <w:color w:val="000000"/>
                <w:sz w:val="18"/>
                <w:szCs w:val="18"/>
              </w:rPr>
              <w:t>国标电缆３＊１.５MM，根据舞美及灯光设计需要安装布设</w:t>
            </w:r>
          </w:p>
        </w:tc>
      </w:tr>
      <w:tr w14:paraId="35667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67B9DEFF">
            <w:pPr>
              <w:rPr>
                <w:rFonts w:ascii="宋体" w:hAnsi="宋体" w:cs="宋体"/>
                <w:sz w:val="18"/>
                <w:szCs w:val="18"/>
              </w:rPr>
            </w:pPr>
          </w:p>
        </w:tc>
        <w:tc>
          <w:tcPr>
            <w:tcW w:w="436" w:type="pct"/>
            <w:vAlign w:val="center"/>
          </w:tcPr>
          <w:p w14:paraId="7F821994">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438" w:type="pct"/>
            <w:gridSpan w:val="2"/>
            <w:vAlign w:val="center"/>
          </w:tcPr>
          <w:p w14:paraId="4D1E932E">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信号线</w:t>
            </w:r>
          </w:p>
        </w:tc>
        <w:tc>
          <w:tcPr>
            <w:tcW w:w="445" w:type="pct"/>
            <w:vAlign w:val="center"/>
          </w:tcPr>
          <w:p w14:paraId="5A699349">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DMX信号线</w:t>
            </w:r>
          </w:p>
        </w:tc>
        <w:tc>
          <w:tcPr>
            <w:tcW w:w="277" w:type="pct"/>
            <w:vAlign w:val="center"/>
          </w:tcPr>
          <w:p w14:paraId="3D2D018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900</w:t>
            </w:r>
          </w:p>
        </w:tc>
        <w:tc>
          <w:tcPr>
            <w:tcW w:w="244" w:type="pct"/>
            <w:vAlign w:val="center"/>
          </w:tcPr>
          <w:p w14:paraId="6AED681D">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米</w:t>
            </w:r>
          </w:p>
        </w:tc>
        <w:tc>
          <w:tcPr>
            <w:tcW w:w="2801" w:type="pct"/>
            <w:gridSpan w:val="4"/>
            <w:vAlign w:val="center"/>
          </w:tcPr>
          <w:p w14:paraId="24F364A1">
            <w:pPr>
              <w:rPr>
                <w:rFonts w:ascii="宋体" w:hAnsi="宋体" w:cs="宋体"/>
                <w:color w:val="000000"/>
                <w:sz w:val="18"/>
                <w:szCs w:val="18"/>
              </w:rPr>
            </w:pPr>
            <w:r>
              <w:rPr>
                <w:rFonts w:hint="eastAsia"/>
                <w:color w:val="000000"/>
                <w:sz w:val="18"/>
                <w:szCs w:val="18"/>
              </w:rPr>
              <w:t>国标DMX信号线，根据舞美及灯光设计需要安装布设</w:t>
            </w:r>
          </w:p>
        </w:tc>
      </w:tr>
      <w:tr w14:paraId="6E8A9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05EFE67B">
            <w:pPr>
              <w:rPr>
                <w:rFonts w:ascii="宋体" w:hAnsi="宋体" w:cs="宋体"/>
                <w:sz w:val="18"/>
                <w:szCs w:val="18"/>
              </w:rPr>
            </w:pPr>
          </w:p>
        </w:tc>
        <w:tc>
          <w:tcPr>
            <w:tcW w:w="436" w:type="pct"/>
            <w:vAlign w:val="center"/>
          </w:tcPr>
          <w:p w14:paraId="5D46B645">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438" w:type="pct"/>
            <w:gridSpan w:val="2"/>
            <w:vAlign w:val="center"/>
          </w:tcPr>
          <w:p w14:paraId="377481CB">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接插件</w:t>
            </w:r>
          </w:p>
        </w:tc>
        <w:tc>
          <w:tcPr>
            <w:tcW w:w="445" w:type="pct"/>
            <w:vAlign w:val="center"/>
          </w:tcPr>
          <w:p w14:paraId="3B5CB088">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电源接插件、信号接插件</w:t>
            </w:r>
          </w:p>
        </w:tc>
        <w:tc>
          <w:tcPr>
            <w:tcW w:w="277" w:type="pct"/>
            <w:vAlign w:val="center"/>
          </w:tcPr>
          <w:p w14:paraId="260AC498">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500</w:t>
            </w:r>
          </w:p>
        </w:tc>
        <w:tc>
          <w:tcPr>
            <w:tcW w:w="244" w:type="pct"/>
            <w:vAlign w:val="center"/>
          </w:tcPr>
          <w:p w14:paraId="5F0ED105">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套</w:t>
            </w:r>
          </w:p>
        </w:tc>
        <w:tc>
          <w:tcPr>
            <w:tcW w:w="2801" w:type="pct"/>
            <w:gridSpan w:val="4"/>
            <w:vAlign w:val="center"/>
          </w:tcPr>
          <w:p w14:paraId="393384B4">
            <w:pPr>
              <w:rPr>
                <w:rFonts w:ascii="宋体" w:hAnsi="宋体" w:cs="宋体"/>
                <w:color w:val="000000"/>
                <w:sz w:val="18"/>
                <w:szCs w:val="18"/>
              </w:rPr>
            </w:pPr>
            <w:r>
              <w:rPr>
                <w:rFonts w:hint="eastAsia"/>
                <w:color w:val="000000"/>
                <w:sz w:val="18"/>
                <w:szCs w:val="18"/>
              </w:rPr>
              <w:t>防水接插件电源接插件、信号接插件</w:t>
            </w:r>
          </w:p>
        </w:tc>
      </w:tr>
      <w:tr w14:paraId="38D7C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0EF7BF26">
            <w:pPr>
              <w:rPr>
                <w:rFonts w:ascii="宋体" w:hAnsi="宋体" w:cs="宋体"/>
                <w:sz w:val="18"/>
                <w:szCs w:val="18"/>
              </w:rPr>
            </w:pPr>
          </w:p>
        </w:tc>
        <w:tc>
          <w:tcPr>
            <w:tcW w:w="436" w:type="pct"/>
            <w:vAlign w:val="center"/>
          </w:tcPr>
          <w:p w14:paraId="291E3518">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438" w:type="pct"/>
            <w:gridSpan w:val="2"/>
            <w:vAlign w:val="center"/>
          </w:tcPr>
          <w:p w14:paraId="6A3EFAA2">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建筑阻燃管线</w:t>
            </w:r>
          </w:p>
        </w:tc>
        <w:tc>
          <w:tcPr>
            <w:tcW w:w="445" w:type="pct"/>
            <w:vAlign w:val="center"/>
          </w:tcPr>
          <w:p w14:paraId="119C23C1">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线槽＋线盒＋软管等</w:t>
            </w:r>
          </w:p>
        </w:tc>
        <w:tc>
          <w:tcPr>
            <w:tcW w:w="277" w:type="pct"/>
            <w:vAlign w:val="center"/>
          </w:tcPr>
          <w:p w14:paraId="0840B6D6">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244" w:type="pct"/>
            <w:vAlign w:val="center"/>
          </w:tcPr>
          <w:p w14:paraId="319B17E4">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套</w:t>
            </w:r>
          </w:p>
        </w:tc>
        <w:tc>
          <w:tcPr>
            <w:tcW w:w="2801" w:type="pct"/>
            <w:gridSpan w:val="4"/>
            <w:vAlign w:val="center"/>
          </w:tcPr>
          <w:p w14:paraId="51388D9B">
            <w:pPr>
              <w:rPr>
                <w:rFonts w:ascii="宋体" w:hAnsi="宋体" w:cs="宋体"/>
                <w:color w:val="000000"/>
                <w:sz w:val="18"/>
                <w:szCs w:val="18"/>
              </w:rPr>
            </w:pPr>
            <w:r>
              <w:rPr>
                <w:rFonts w:hint="eastAsia"/>
                <w:color w:val="000000"/>
                <w:sz w:val="18"/>
                <w:szCs w:val="18"/>
              </w:rPr>
              <w:t>国标阻燃线管及安装支架转接盒，根据舞美及灯光设计需要安装布设</w:t>
            </w:r>
          </w:p>
        </w:tc>
      </w:tr>
      <w:tr w14:paraId="50484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66B64A46">
            <w:pPr>
              <w:rPr>
                <w:rFonts w:ascii="宋体" w:hAnsi="宋体" w:cs="宋体"/>
                <w:sz w:val="18"/>
                <w:szCs w:val="18"/>
              </w:rPr>
            </w:pPr>
          </w:p>
        </w:tc>
        <w:tc>
          <w:tcPr>
            <w:tcW w:w="436" w:type="pct"/>
            <w:vAlign w:val="center"/>
          </w:tcPr>
          <w:p w14:paraId="2973C94E">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438" w:type="pct"/>
            <w:gridSpan w:val="2"/>
            <w:vAlign w:val="center"/>
          </w:tcPr>
          <w:p w14:paraId="49CF850B">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防水接线盒</w:t>
            </w:r>
          </w:p>
        </w:tc>
        <w:tc>
          <w:tcPr>
            <w:tcW w:w="445" w:type="pct"/>
            <w:vAlign w:val="center"/>
          </w:tcPr>
          <w:p w14:paraId="1A94F18C">
            <w:pPr>
              <w:jc w:val="left"/>
              <w:rPr>
                <w:rFonts w:ascii="宋体" w:hAnsi="宋体" w:cs="宋体"/>
                <w:sz w:val="18"/>
                <w:szCs w:val="18"/>
              </w:rPr>
            </w:pPr>
          </w:p>
        </w:tc>
        <w:tc>
          <w:tcPr>
            <w:tcW w:w="277" w:type="pct"/>
            <w:vAlign w:val="center"/>
          </w:tcPr>
          <w:p w14:paraId="444886F1">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15</w:t>
            </w:r>
          </w:p>
        </w:tc>
        <w:tc>
          <w:tcPr>
            <w:tcW w:w="244" w:type="pct"/>
            <w:vAlign w:val="center"/>
          </w:tcPr>
          <w:p w14:paraId="2408908E">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套</w:t>
            </w:r>
          </w:p>
        </w:tc>
        <w:tc>
          <w:tcPr>
            <w:tcW w:w="2801" w:type="pct"/>
            <w:gridSpan w:val="4"/>
            <w:vAlign w:val="center"/>
          </w:tcPr>
          <w:p w14:paraId="3F548373">
            <w:pPr>
              <w:rPr>
                <w:rFonts w:ascii="宋体" w:hAnsi="宋体" w:cs="宋体"/>
                <w:color w:val="000000"/>
                <w:sz w:val="18"/>
                <w:szCs w:val="18"/>
              </w:rPr>
            </w:pPr>
            <w:r>
              <w:rPr>
                <w:rFonts w:hint="eastAsia"/>
                <w:color w:val="000000"/>
                <w:sz w:val="18"/>
                <w:szCs w:val="18"/>
              </w:rPr>
              <w:t>国标防水接线盒</w:t>
            </w:r>
          </w:p>
        </w:tc>
      </w:tr>
      <w:tr w14:paraId="3FE4F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Merge w:val="continue"/>
          </w:tcPr>
          <w:p w14:paraId="4905D785">
            <w:pPr>
              <w:rPr>
                <w:rFonts w:ascii="宋体" w:hAnsi="宋体" w:cs="宋体"/>
                <w:sz w:val="18"/>
                <w:szCs w:val="18"/>
              </w:rPr>
            </w:pPr>
          </w:p>
        </w:tc>
        <w:tc>
          <w:tcPr>
            <w:tcW w:w="436" w:type="pct"/>
            <w:vAlign w:val="center"/>
          </w:tcPr>
          <w:p w14:paraId="1B03F7E8">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438" w:type="pct"/>
            <w:gridSpan w:val="2"/>
            <w:vAlign w:val="center"/>
          </w:tcPr>
          <w:p w14:paraId="35E8B02A">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不锈钢配电箱</w:t>
            </w:r>
          </w:p>
        </w:tc>
        <w:tc>
          <w:tcPr>
            <w:tcW w:w="445" w:type="pct"/>
            <w:vAlign w:val="center"/>
          </w:tcPr>
          <w:p w14:paraId="634C8936">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 </w:t>
            </w:r>
          </w:p>
        </w:tc>
        <w:tc>
          <w:tcPr>
            <w:tcW w:w="277" w:type="pct"/>
            <w:vAlign w:val="center"/>
          </w:tcPr>
          <w:p w14:paraId="788784BF">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244" w:type="pct"/>
            <w:vAlign w:val="center"/>
          </w:tcPr>
          <w:p w14:paraId="3ED9D0D1">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套</w:t>
            </w:r>
          </w:p>
        </w:tc>
        <w:tc>
          <w:tcPr>
            <w:tcW w:w="2801" w:type="pct"/>
            <w:gridSpan w:val="4"/>
            <w:vAlign w:val="center"/>
          </w:tcPr>
          <w:p w14:paraId="750AC9D9">
            <w:pPr>
              <w:rPr>
                <w:rFonts w:ascii="宋体" w:hAnsi="宋体" w:cs="宋体"/>
                <w:color w:val="000000"/>
                <w:sz w:val="18"/>
                <w:szCs w:val="18"/>
              </w:rPr>
            </w:pPr>
            <w:r>
              <w:rPr>
                <w:rFonts w:hint="eastAsia"/>
                <w:color w:val="000000"/>
                <w:sz w:val="18"/>
                <w:szCs w:val="18"/>
              </w:rPr>
              <w:t>国标不锈钢配电箱含空开，根据舞美及灯光设计需要安装布设</w:t>
            </w:r>
          </w:p>
        </w:tc>
      </w:tr>
      <w:tr w14:paraId="29872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Align w:val="center"/>
          </w:tcPr>
          <w:p w14:paraId="2B15187D">
            <w:pPr>
              <w:jc w:val="center"/>
              <w:rPr>
                <w:rFonts w:hint="default" w:ascii="宋体" w:hAnsi="宋体" w:eastAsia="宋体" w:cs="宋体"/>
                <w:color w:val="FF0000"/>
                <w:sz w:val="18"/>
                <w:szCs w:val="18"/>
                <w:lang w:val="en-US" w:eastAsia="zh-CN"/>
              </w:rPr>
            </w:pPr>
          </w:p>
        </w:tc>
        <w:tc>
          <w:tcPr>
            <w:tcW w:w="436" w:type="pct"/>
          </w:tcPr>
          <w:p w14:paraId="5F19D2BE">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9</w:t>
            </w:r>
          </w:p>
        </w:tc>
        <w:tc>
          <w:tcPr>
            <w:tcW w:w="884" w:type="pct"/>
            <w:gridSpan w:val="3"/>
          </w:tcPr>
          <w:p w14:paraId="3EF084B9">
            <w:pPr>
              <w:widowControl/>
              <w:jc w:val="left"/>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系统集成</w:t>
            </w:r>
          </w:p>
        </w:tc>
        <w:tc>
          <w:tcPr>
            <w:tcW w:w="277" w:type="pct"/>
          </w:tcPr>
          <w:p w14:paraId="1E836578">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244" w:type="pct"/>
          </w:tcPr>
          <w:p w14:paraId="64C83ECE">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项</w:t>
            </w:r>
          </w:p>
        </w:tc>
        <w:tc>
          <w:tcPr>
            <w:tcW w:w="2801" w:type="pct"/>
            <w:gridSpan w:val="4"/>
          </w:tcPr>
          <w:p w14:paraId="684FF45F">
            <w:pPr>
              <w:rPr>
                <w:rFonts w:hint="eastAsia" w:ascii="宋体" w:hAnsi="宋体" w:eastAsia="宋体" w:cs="宋体"/>
                <w:sz w:val="18"/>
                <w:szCs w:val="18"/>
                <w:lang w:eastAsia="zh-CN"/>
              </w:rPr>
            </w:pPr>
            <w:r>
              <w:rPr>
                <w:rFonts w:hint="eastAsia" w:ascii="宋体" w:hAnsi="宋体" w:cs="宋体"/>
                <w:sz w:val="18"/>
                <w:szCs w:val="18"/>
                <w:lang w:eastAsia="zh-CN"/>
              </w:rPr>
              <w:t>包括但不限于安装调试</w:t>
            </w:r>
          </w:p>
        </w:tc>
      </w:tr>
      <w:tr w14:paraId="30939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2"/>
          </w:tcPr>
          <w:p w14:paraId="5ED7CF30">
            <w:pPr>
              <w:rPr>
                <w:rFonts w:ascii="宋体" w:hAnsi="宋体" w:cs="宋体"/>
                <w:sz w:val="18"/>
                <w:szCs w:val="18"/>
              </w:rPr>
            </w:pPr>
            <w:r>
              <w:rPr>
                <w:rFonts w:hint="eastAsia" w:ascii="宋体" w:hAnsi="宋体" w:cs="宋体"/>
                <w:b/>
                <w:bCs/>
                <w:sz w:val="18"/>
                <w:szCs w:val="18"/>
              </w:rPr>
              <w:t>D音响部分</w:t>
            </w:r>
          </w:p>
        </w:tc>
      </w:tr>
      <w:tr w14:paraId="6F806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Align w:val="center"/>
          </w:tcPr>
          <w:p w14:paraId="0BCAB087">
            <w:pPr>
              <w:widowControl/>
              <w:jc w:val="center"/>
              <w:textAlignment w:val="center"/>
              <w:rPr>
                <w:sz w:val="24"/>
              </w:rPr>
            </w:pPr>
            <w:r>
              <w:rPr>
                <w:rFonts w:hint="eastAsia" w:ascii="宋体" w:hAnsi="宋体" w:cs="宋体"/>
                <w:b/>
                <w:bCs/>
                <w:color w:val="000000"/>
                <w:kern w:val="0"/>
                <w:sz w:val="20"/>
                <w:szCs w:val="20"/>
                <w:lang w:bidi="ar"/>
              </w:rPr>
              <w:t>序号</w:t>
            </w:r>
          </w:p>
        </w:tc>
        <w:tc>
          <w:tcPr>
            <w:tcW w:w="765" w:type="pct"/>
            <w:gridSpan w:val="2"/>
            <w:vAlign w:val="center"/>
          </w:tcPr>
          <w:p w14:paraId="23004E24">
            <w:pPr>
              <w:widowControl/>
              <w:jc w:val="center"/>
              <w:textAlignment w:val="center"/>
              <w:rPr>
                <w:sz w:val="24"/>
              </w:rPr>
            </w:pPr>
            <w:r>
              <w:rPr>
                <w:rFonts w:hint="eastAsia" w:ascii="宋体" w:hAnsi="宋体" w:cs="宋体"/>
                <w:b/>
                <w:bCs/>
                <w:color w:val="000000"/>
                <w:kern w:val="0"/>
                <w:sz w:val="20"/>
                <w:szCs w:val="20"/>
                <w:lang w:bidi="ar"/>
              </w:rPr>
              <w:t>设备名称</w:t>
            </w:r>
          </w:p>
        </w:tc>
        <w:tc>
          <w:tcPr>
            <w:tcW w:w="2929" w:type="pct"/>
            <w:gridSpan w:val="5"/>
            <w:vAlign w:val="center"/>
          </w:tcPr>
          <w:p w14:paraId="2CE27E43">
            <w:pPr>
              <w:widowControl/>
              <w:jc w:val="center"/>
              <w:textAlignment w:val="center"/>
              <w:rPr>
                <w:sz w:val="24"/>
              </w:rPr>
            </w:pPr>
            <w:r>
              <w:rPr>
                <w:rFonts w:hint="eastAsia" w:ascii="宋体" w:hAnsi="宋体" w:cs="宋体"/>
                <w:b/>
                <w:bCs/>
                <w:color w:val="000000"/>
                <w:kern w:val="0"/>
                <w:sz w:val="20"/>
                <w:szCs w:val="20"/>
                <w:highlight w:val="none"/>
                <w:lang w:bidi="ar"/>
              </w:rPr>
              <w:t>技术参数</w:t>
            </w:r>
          </w:p>
        </w:tc>
        <w:tc>
          <w:tcPr>
            <w:tcW w:w="404" w:type="pct"/>
            <w:vAlign w:val="center"/>
          </w:tcPr>
          <w:p w14:paraId="44D73A64">
            <w:pPr>
              <w:widowControl/>
              <w:jc w:val="center"/>
              <w:textAlignment w:val="center"/>
              <w:rPr>
                <w:rFonts w:hint="eastAsia" w:eastAsia="宋体"/>
                <w:sz w:val="24"/>
                <w:lang w:eastAsia="zh-CN"/>
              </w:rPr>
            </w:pPr>
            <w:r>
              <w:rPr>
                <w:rFonts w:hint="eastAsia" w:ascii="宋体" w:hAnsi="宋体" w:cs="宋体"/>
                <w:b/>
                <w:bCs/>
                <w:color w:val="000000"/>
                <w:kern w:val="0"/>
                <w:sz w:val="20"/>
                <w:szCs w:val="20"/>
                <w:lang w:val="en-US" w:eastAsia="zh-CN" w:bidi="ar"/>
              </w:rPr>
              <w:t>数量</w:t>
            </w:r>
          </w:p>
        </w:tc>
        <w:tc>
          <w:tcPr>
            <w:tcW w:w="185" w:type="pct"/>
            <w:vAlign w:val="center"/>
          </w:tcPr>
          <w:p w14:paraId="470E49C0">
            <w:pPr>
              <w:widowControl/>
              <w:jc w:val="center"/>
              <w:textAlignment w:val="center"/>
              <w:rPr>
                <w:sz w:val="24"/>
              </w:rPr>
            </w:pPr>
            <w:r>
              <w:rPr>
                <w:rFonts w:hint="eastAsia" w:ascii="宋体" w:hAnsi="宋体" w:cs="宋体"/>
                <w:b/>
                <w:bCs/>
                <w:color w:val="000000"/>
                <w:kern w:val="0"/>
                <w:sz w:val="20"/>
                <w:szCs w:val="20"/>
                <w:lang w:bidi="ar"/>
              </w:rPr>
              <w:t>单位</w:t>
            </w:r>
          </w:p>
        </w:tc>
        <w:tc>
          <w:tcPr>
            <w:tcW w:w="359" w:type="pct"/>
            <w:vAlign w:val="center"/>
          </w:tcPr>
          <w:p w14:paraId="19DCB683">
            <w:pPr>
              <w:widowControl/>
              <w:jc w:val="center"/>
              <w:textAlignment w:val="center"/>
              <w:rPr>
                <w:sz w:val="24"/>
              </w:rPr>
            </w:pPr>
            <w:r>
              <w:rPr>
                <w:rFonts w:hint="eastAsia" w:ascii="宋体" w:hAnsi="宋体" w:cs="宋体"/>
                <w:b/>
                <w:bCs/>
                <w:color w:val="000000"/>
                <w:kern w:val="0"/>
                <w:sz w:val="20"/>
                <w:szCs w:val="20"/>
                <w:lang w:bidi="ar"/>
              </w:rPr>
              <w:t xml:space="preserve">备注 </w:t>
            </w:r>
          </w:p>
        </w:tc>
      </w:tr>
      <w:tr w14:paraId="110BC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2"/>
          </w:tcPr>
          <w:p w14:paraId="17503013">
            <w:pPr>
              <w:rPr>
                <w:rFonts w:ascii="宋体" w:hAnsi="宋体" w:cs="宋体"/>
                <w:b/>
                <w:sz w:val="18"/>
                <w:szCs w:val="18"/>
              </w:rPr>
            </w:pPr>
            <w:r>
              <w:rPr>
                <w:rFonts w:hint="eastAsia" w:ascii="宋体" w:hAnsi="宋体" w:cs="宋体"/>
                <w:b/>
                <w:sz w:val="18"/>
                <w:szCs w:val="18"/>
              </w:rPr>
              <w:t>一、主扩系统</w:t>
            </w:r>
          </w:p>
        </w:tc>
      </w:tr>
      <w:tr w14:paraId="73023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Align w:val="center"/>
          </w:tcPr>
          <w:p w14:paraId="2368C68B">
            <w:pPr>
              <w:widowControl/>
              <w:jc w:val="center"/>
              <w:rPr>
                <w:rFonts w:ascii="宋体" w:hAnsi="宋体" w:cs="宋体"/>
                <w:sz w:val="18"/>
                <w:szCs w:val="18"/>
              </w:rPr>
            </w:pPr>
            <w:r>
              <w:rPr>
                <w:rFonts w:hint="eastAsia" w:ascii="宋体" w:hAnsi="宋体" w:cs="宋体"/>
                <w:color w:val="000000"/>
                <w:kern w:val="0"/>
                <w:sz w:val="18"/>
                <w:szCs w:val="18"/>
                <w:lang w:bidi="ar"/>
              </w:rPr>
              <w:t>1</w:t>
            </w:r>
          </w:p>
        </w:tc>
        <w:tc>
          <w:tcPr>
            <w:tcW w:w="436" w:type="pct"/>
            <w:vAlign w:val="center"/>
          </w:tcPr>
          <w:p w14:paraId="268231A5">
            <w:pPr>
              <w:widowControl/>
              <w:jc w:val="left"/>
              <w:rPr>
                <w:rFonts w:ascii="宋体" w:hAnsi="宋体" w:cs="宋体"/>
                <w:sz w:val="18"/>
                <w:szCs w:val="18"/>
              </w:rPr>
            </w:pPr>
            <w:r>
              <w:rPr>
                <w:rFonts w:hint="eastAsia" w:ascii="宋体" w:hAnsi="宋体" w:cs="宋体"/>
                <w:color w:val="000000"/>
                <w:kern w:val="0"/>
                <w:sz w:val="18"/>
                <w:szCs w:val="18"/>
                <w:lang w:bidi="ar"/>
              </w:rPr>
              <w:t>双10寸线阵全频扬声器</w:t>
            </w:r>
          </w:p>
        </w:tc>
        <w:tc>
          <w:tcPr>
            <w:tcW w:w="3258" w:type="pct"/>
            <w:gridSpan w:val="6"/>
            <w:vAlign w:val="center"/>
          </w:tcPr>
          <w:p w14:paraId="30A03797">
            <w:pPr>
              <w:rPr>
                <w:rFonts w:ascii="宋体" w:hAnsi="宋体" w:cs="宋体"/>
                <w:color w:val="000000"/>
                <w:sz w:val="20"/>
                <w:szCs w:val="20"/>
              </w:rPr>
            </w:pPr>
            <w:r>
              <w:rPr>
                <w:rFonts w:hint="eastAsia"/>
                <w:color w:val="000000"/>
                <w:sz w:val="20"/>
                <w:szCs w:val="20"/>
              </w:rPr>
              <w:t>1.单元类型：不少于2×10寸低音，1×1.4寸高音</w:t>
            </w:r>
            <w:r>
              <w:rPr>
                <w:rFonts w:hint="eastAsia"/>
                <w:color w:val="000000"/>
                <w:sz w:val="20"/>
                <w:szCs w:val="20"/>
              </w:rPr>
              <w:br w:type="textWrapping"/>
            </w:r>
            <w:r>
              <w:rPr>
                <w:rFonts w:hint="eastAsia"/>
                <w:color w:val="000000"/>
                <w:sz w:val="20"/>
                <w:szCs w:val="20"/>
              </w:rPr>
              <w:t>2.频率范围：70Hz-17kHz（或优于）</w:t>
            </w:r>
            <w:r>
              <w:rPr>
                <w:rFonts w:hint="eastAsia"/>
                <w:color w:val="000000"/>
                <w:sz w:val="20"/>
                <w:szCs w:val="20"/>
              </w:rPr>
              <w:br w:type="textWrapping"/>
            </w:r>
            <w:r>
              <w:rPr>
                <w:rFonts w:hint="eastAsia"/>
                <w:color w:val="000000"/>
                <w:sz w:val="20"/>
                <w:szCs w:val="20"/>
              </w:rPr>
              <w:t>3.额定阻抗：8</w:t>
            </w:r>
            <w:r>
              <w:rPr>
                <w:rFonts w:ascii="Calibri" w:hAnsi="Calibri" w:cs="Calibri"/>
                <w:color w:val="000000"/>
                <w:sz w:val="20"/>
                <w:szCs w:val="20"/>
              </w:rPr>
              <w:t>Ω</w:t>
            </w:r>
            <w:r>
              <w:rPr>
                <w:rFonts w:hint="eastAsia"/>
                <w:color w:val="000000"/>
                <w:sz w:val="20"/>
                <w:szCs w:val="20"/>
              </w:rPr>
              <w:br w:type="textWrapping"/>
            </w:r>
            <w:r>
              <w:rPr>
                <w:rFonts w:hint="eastAsia"/>
                <w:color w:val="000000"/>
                <w:sz w:val="20"/>
                <w:szCs w:val="20"/>
              </w:rPr>
              <w:t>4.额定功率：不小于500W</w:t>
            </w:r>
            <w:r>
              <w:rPr>
                <w:rFonts w:hint="eastAsia"/>
                <w:color w:val="000000"/>
                <w:sz w:val="20"/>
                <w:szCs w:val="20"/>
              </w:rPr>
              <w:br w:type="textWrapping"/>
            </w:r>
            <w:r>
              <w:rPr>
                <w:rFonts w:hint="eastAsia"/>
                <w:color w:val="000000"/>
                <w:sz w:val="20"/>
                <w:szCs w:val="20"/>
              </w:rPr>
              <w:t>5.覆盖角度（H×V）：不小于100°×10°</w:t>
            </w:r>
            <w:r>
              <w:rPr>
                <w:rFonts w:hint="eastAsia"/>
                <w:color w:val="000000"/>
                <w:sz w:val="20"/>
                <w:szCs w:val="20"/>
              </w:rPr>
              <w:br w:type="textWrapping"/>
            </w:r>
            <w:r>
              <w:rPr>
                <w:rFonts w:hint="eastAsia"/>
                <w:color w:val="000000"/>
                <w:sz w:val="20"/>
                <w:szCs w:val="20"/>
              </w:rPr>
              <w:t>6.灵敏度：不小于102dBw/m</w:t>
            </w:r>
            <w:r>
              <w:rPr>
                <w:rFonts w:hint="eastAsia"/>
                <w:color w:val="000000"/>
                <w:sz w:val="20"/>
                <w:szCs w:val="20"/>
              </w:rPr>
              <w:br w:type="textWrapping"/>
            </w:r>
            <w:r>
              <w:rPr>
                <w:rFonts w:hint="eastAsia"/>
                <w:color w:val="000000"/>
                <w:sz w:val="20"/>
                <w:szCs w:val="20"/>
              </w:rPr>
              <w:t>7.峰值声压级：≥135dB</w:t>
            </w:r>
            <w:r>
              <w:rPr>
                <w:rFonts w:hint="eastAsia"/>
                <w:color w:val="000000"/>
                <w:sz w:val="20"/>
                <w:szCs w:val="20"/>
              </w:rPr>
              <w:br w:type="textWrapping"/>
            </w:r>
            <w:r>
              <w:rPr>
                <w:rFonts w:hint="eastAsia"/>
                <w:color w:val="000000"/>
                <w:sz w:val="20"/>
                <w:szCs w:val="20"/>
              </w:rPr>
              <w:t>8.户外防水</w:t>
            </w:r>
          </w:p>
        </w:tc>
        <w:tc>
          <w:tcPr>
            <w:tcW w:w="404" w:type="pct"/>
            <w:vAlign w:val="center"/>
          </w:tcPr>
          <w:p w14:paraId="0252622E">
            <w:pPr>
              <w:widowControl/>
              <w:jc w:val="center"/>
              <w:rPr>
                <w:rFonts w:ascii="宋体" w:hAnsi="宋体" w:cs="宋体"/>
                <w:sz w:val="18"/>
                <w:szCs w:val="18"/>
              </w:rPr>
            </w:pPr>
            <w:r>
              <w:rPr>
                <w:rFonts w:hint="eastAsia" w:ascii="宋体" w:hAnsi="宋体" w:cs="宋体"/>
                <w:color w:val="000000"/>
                <w:kern w:val="0"/>
                <w:sz w:val="18"/>
                <w:szCs w:val="18"/>
                <w:lang w:bidi="ar"/>
              </w:rPr>
              <w:t>8</w:t>
            </w:r>
          </w:p>
        </w:tc>
        <w:tc>
          <w:tcPr>
            <w:tcW w:w="185" w:type="pct"/>
            <w:vAlign w:val="center"/>
          </w:tcPr>
          <w:p w14:paraId="3E72495B">
            <w:pPr>
              <w:widowControl/>
              <w:jc w:val="center"/>
              <w:rPr>
                <w:rFonts w:ascii="宋体" w:hAnsi="宋体" w:cs="宋体"/>
                <w:sz w:val="18"/>
                <w:szCs w:val="18"/>
              </w:rPr>
            </w:pPr>
            <w:r>
              <w:rPr>
                <w:rFonts w:hint="eastAsia" w:ascii="宋体" w:hAnsi="宋体" w:cs="宋体"/>
                <w:color w:val="000000"/>
                <w:kern w:val="0"/>
                <w:sz w:val="18"/>
                <w:szCs w:val="18"/>
                <w:lang w:bidi="ar"/>
              </w:rPr>
              <w:t>只</w:t>
            </w:r>
          </w:p>
        </w:tc>
        <w:tc>
          <w:tcPr>
            <w:tcW w:w="359" w:type="pct"/>
            <w:vAlign w:val="center"/>
          </w:tcPr>
          <w:p w14:paraId="53CBE0E0">
            <w:pPr>
              <w:widowControl/>
              <w:jc w:val="center"/>
              <w:rPr>
                <w:rFonts w:ascii="宋体" w:hAnsi="宋体" w:cs="宋体"/>
                <w:sz w:val="18"/>
                <w:szCs w:val="18"/>
              </w:rPr>
            </w:pPr>
            <w:r>
              <w:rPr>
                <w:rFonts w:hint="eastAsia" w:ascii="宋体" w:hAnsi="宋体" w:cs="宋体"/>
                <w:color w:val="000000"/>
                <w:kern w:val="0"/>
                <w:sz w:val="18"/>
                <w:szCs w:val="18"/>
                <w:lang w:bidi="ar"/>
              </w:rPr>
              <w:t>户外防水</w:t>
            </w:r>
          </w:p>
        </w:tc>
      </w:tr>
      <w:tr w14:paraId="3C7E6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Align w:val="center"/>
          </w:tcPr>
          <w:p w14:paraId="2F76353B">
            <w:pPr>
              <w:widowControl/>
              <w:jc w:val="center"/>
              <w:rPr>
                <w:rFonts w:ascii="宋体" w:hAnsi="宋体" w:cs="宋体"/>
                <w:sz w:val="18"/>
                <w:szCs w:val="18"/>
              </w:rPr>
            </w:pPr>
            <w:r>
              <w:rPr>
                <w:rFonts w:hint="eastAsia" w:ascii="宋体" w:hAnsi="宋体" w:cs="宋体"/>
                <w:color w:val="000000"/>
                <w:kern w:val="0"/>
                <w:sz w:val="18"/>
                <w:szCs w:val="18"/>
                <w:lang w:bidi="ar"/>
              </w:rPr>
              <w:t>2</w:t>
            </w:r>
          </w:p>
        </w:tc>
        <w:tc>
          <w:tcPr>
            <w:tcW w:w="436" w:type="pct"/>
            <w:vAlign w:val="center"/>
          </w:tcPr>
          <w:p w14:paraId="476EB3FD">
            <w:pPr>
              <w:widowControl/>
              <w:jc w:val="left"/>
              <w:rPr>
                <w:rFonts w:ascii="宋体" w:hAnsi="宋体" w:cs="宋体"/>
                <w:sz w:val="18"/>
                <w:szCs w:val="18"/>
              </w:rPr>
            </w:pPr>
            <w:r>
              <w:rPr>
                <w:rFonts w:hint="eastAsia" w:ascii="宋体" w:hAnsi="宋体" w:cs="宋体"/>
                <w:color w:val="000000"/>
                <w:kern w:val="0"/>
                <w:sz w:val="18"/>
                <w:szCs w:val="18"/>
                <w:lang w:bidi="ar"/>
              </w:rPr>
              <w:t>线阵低音扬声器</w:t>
            </w:r>
          </w:p>
        </w:tc>
        <w:tc>
          <w:tcPr>
            <w:tcW w:w="3258" w:type="pct"/>
            <w:gridSpan w:val="6"/>
            <w:vAlign w:val="center"/>
          </w:tcPr>
          <w:p w14:paraId="7C5C0DA7">
            <w:pPr>
              <w:rPr>
                <w:rFonts w:ascii="宋体" w:hAnsi="宋体" w:cs="宋体"/>
                <w:color w:val="000000"/>
                <w:sz w:val="20"/>
                <w:szCs w:val="20"/>
              </w:rPr>
            </w:pPr>
            <w:r>
              <w:rPr>
                <w:rFonts w:hint="eastAsia"/>
                <w:color w:val="000000"/>
                <w:sz w:val="20"/>
                <w:szCs w:val="20"/>
              </w:rPr>
              <w:t>1.类型:低频音箱</w:t>
            </w:r>
            <w:r>
              <w:rPr>
                <w:rFonts w:hint="eastAsia"/>
                <w:color w:val="000000"/>
                <w:sz w:val="20"/>
                <w:szCs w:val="20"/>
              </w:rPr>
              <w:br w:type="textWrapping"/>
            </w:r>
            <w:r>
              <w:rPr>
                <w:rFonts w:hint="eastAsia"/>
                <w:color w:val="000000"/>
                <w:sz w:val="20"/>
                <w:szCs w:val="20"/>
              </w:rPr>
              <w:t>2.频率范围：40Hz-500Hz（或优于）；</w:t>
            </w:r>
            <w:r>
              <w:rPr>
                <w:rFonts w:hint="eastAsia"/>
                <w:color w:val="000000"/>
                <w:sz w:val="20"/>
                <w:szCs w:val="20"/>
              </w:rPr>
              <w:br w:type="textWrapping"/>
            </w:r>
            <w:r>
              <w:rPr>
                <w:rFonts w:hint="eastAsia"/>
                <w:color w:val="000000"/>
                <w:sz w:val="20"/>
                <w:szCs w:val="20"/>
              </w:rPr>
              <w:t>3.单元类型：不小于1×18寸；</w:t>
            </w:r>
            <w:r>
              <w:rPr>
                <w:rFonts w:hint="eastAsia"/>
                <w:color w:val="000000"/>
                <w:sz w:val="20"/>
                <w:szCs w:val="20"/>
              </w:rPr>
              <w:br w:type="textWrapping"/>
            </w:r>
            <w:r>
              <w:rPr>
                <w:rFonts w:hint="eastAsia"/>
                <w:color w:val="000000"/>
                <w:sz w:val="20"/>
                <w:szCs w:val="20"/>
              </w:rPr>
              <w:t>4.灵敏度：不小于97dB/w/m；</w:t>
            </w:r>
            <w:r>
              <w:rPr>
                <w:rFonts w:hint="eastAsia"/>
                <w:color w:val="000000"/>
                <w:sz w:val="20"/>
                <w:szCs w:val="20"/>
              </w:rPr>
              <w:br w:type="textWrapping"/>
            </w:r>
            <w:r>
              <w:rPr>
                <w:rFonts w:hint="eastAsia"/>
                <w:color w:val="000000"/>
                <w:sz w:val="20"/>
                <w:szCs w:val="20"/>
              </w:rPr>
              <w:t>5.额定功率：不小于750W；</w:t>
            </w:r>
            <w:r>
              <w:rPr>
                <w:rFonts w:hint="eastAsia"/>
                <w:color w:val="000000"/>
                <w:sz w:val="20"/>
                <w:szCs w:val="20"/>
              </w:rPr>
              <w:br w:type="textWrapping"/>
            </w:r>
            <w:r>
              <w:rPr>
                <w:rFonts w:hint="eastAsia"/>
                <w:color w:val="000000"/>
                <w:sz w:val="20"/>
                <w:szCs w:val="20"/>
              </w:rPr>
              <w:t>6.峰值声压级：≥133dB；</w:t>
            </w:r>
            <w:r>
              <w:rPr>
                <w:rFonts w:hint="eastAsia"/>
                <w:color w:val="000000"/>
                <w:sz w:val="20"/>
                <w:szCs w:val="20"/>
              </w:rPr>
              <w:br w:type="textWrapping"/>
            </w:r>
            <w:r>
              <w:rPr>
                <w:rFonts w:hint="eastAsia"/>
                <w:color w:val="000000"/>
                <w:sz w:val="20"/>
                <w:szCs w:val="20"/>
              </w:rPr>
              <w:t>7.标称阻抗：8</w:t>
            </w:r>
            <w:r>
              <w:rPr>
                <w:rFonts w:ascii="Calibri" w:hAnsi="Calibri" w:cs="Calibri"/>
                <w:color w:val="000000"/>
                <w:sz w:val="20"/>
                <w:szCs w:val="20"/>
              </w:rPr>
              <w:t>Ω</w:t>
            </w:r>
            <w:r>
              <w:rPr>
                <w:rFonts w:ascii="Calibri" w:hAnsi="Calibri" w:cs="Calibri"/>
                <w:color w:val="000000"/>
                <w:sz w:val="20"/>
                <w:szCs w:val="20"/>
              </w:rPr>
              <w:br w:type="textWrapping"/>
            </w:r>
            <w:r>
              <w:rPr>
                <w:rFonts w:hint="eastAsia"/>
                <w:color w:val="000000"/>
                <w:sz w:val="20"/>
                <w:szCs w:val="20"/>
              </w:rPr>
              <w:t>8.户外防水</w:t>
            </w:r>
          </w:p>
        </w:tc>
        <w:tc>
          <w:tcPr>
            <w:tcW w:w="404" w:type="pct"/>
            <w:vAlign w:val="center"/>
          </w:tcPr>
          <w:p w14:paraId="63A4DD87">
            <w:pPr>
              <w:widowControl/>
              <w:jc w:val="center"/>
              <w:rPr>
                <w:rFonts w:ascii="宋体" w:hAnsi="宋体" w:cs="宋体"/>
                <w:sz w:val="18"/>
                <w:szCs w:val="18"/>
              </w:rPr>
            </w:pPr>
            <w:r>
              <w:rPr>
                <w:rFonts w:hint="eastAsia" w:ascii="宋体" w:hAnsi="宋体" w:cs="宋体"/>
                <w:color w:val="000000"/>
                <w:kern w:val="0"/>
                <w:sz w:val="18"/>
                <w:szCs w:val="18"/>
                <w:lang w:bidi="ar"/>
              </w:rPr>
              <w:t>4</w:t>
            </w:r>
          </w:p>
        </w:tc>
        <w:tc>
          <w:tcPr>
            <w:tcW w:w="185" w:type="pct"/>
            <w:vAlign w:val="center"/>
          </w:tcPr>
          <w:p w14:paraId="4AAC7B77">
            <w:pPr>
              <w:widowControl/>
              <w:jc w:val="center"/>
              <w:rPr>
                <w:rFonts w:ascii="宋体" w:hAnsi="宋体" w:cs="宋体"/>
                <w:sz w:val="18"/>
                <w:szCs w:val="18"/>
              </w:rPr>
            </w:pPr>
            <w:r>
              <w:rPr>
                <w:rFonts w:hint="eastAsia" w:ascii="宋体" w:hAnsi="宋体" w:cs="宋体"/>
                <w:color w:val="000000"/>
                <w:kern w:val="0"/>
                <w:sz w:val="18"/>
                <w:szCs w:val="18"/>
                <w:lang w:bidi="ar"/>
              </w:rPr>
              <w:t>只</w:t>
            </w:r>
          </w:p>
        </w:tc>
        <w:tc>
          <w:tcPr>
            <w:tcW w:w="359" w:type="pct"/>
            <w:vAlign w:val="center"/>
          </w:tcPr>
          <w:p w14:paraId="7FAD3FFC">
            <w:pPr>
              <w:widowControl/>
              <w:jc w:val="center"/>
              <w:rPr>
                <w:rFonts w:ascii="宋体" w:hAnsi="宋体" w:cs="宋体"/>
                <w:sz w:val="18"/>
                <w:szCs w:val="18"/>
              </w:rPr>
            </w:pPr>
            <w:r>
              <w:rPr>
                <w:rFonts w:hint="eastAsia" w:ascii="宋体" w:hAnsi="宋体" w:cs="宋体"/>
                <w:color w:val="000000"/>
                <w:kern w:val="0"/>
                <w:sz w:val="18"/>
                <w:szCs w:val="18"/>
                <w:lang w:bidi="ar"/>
              </w:rPr>
              <w:t>户外防水</w:t>
            </w:r>
          </w:p>
        </w:tc>
      </w:tr>
      <w:tr w14:paraId="6173E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Align w:val="center"/>
          </w:tcPr>
          <w:p w14:paraId="0399094E">
            <w:pPr>
              <w:widowControl/>
              <w:jc w:val="center"/>
              <w:rPr>
                <w:rFonts w:ascii="宋体" w:hAnsi="宋体" w:cs="宋体"/>
                <w:sz w:val="18"/>
                <w:szCs w:val="18"/>
              </w:rPr>
            </w:pPr>
            <w:r>
              <w:rPr>
                <w:rFonts w:hint="eastAsia" w:ascii="宋体" w:hAnsi="宋体" w:cs="宋体"/>
                <w:color w:val="000000"/>
                <w:kern w:val="0"/>
                <w:sz w:val="18"/>
                <w:szCs w:val="18"/>
                <w:lang w:bidi="ar"/>
              </w:rPr>
              <w:t>3</w:t>
            </w:r>
          </w:p>
        </w:tc>
        <w:tc>
          <w:tcPr>
            <w:tcW w:w="436" w:type="pct"/>
            <w:vAlign w:val="center"/>
          </w:tcPr>
          <w:p w14:paraId="38C9F0A5">
            <w:pPr>
              <w:widowControl/>
              <w:jc w:val="left"/>
              <w:rPr>
                <w:rFonts w:ascii="宋体" w:hAnsi="宋体" w:cs="宋体"/>
                <w:sz w:val="18"/>
                <w:szCs w:val="18"/>
              </w:rPr>
            </w:pPr>
            <w:r>
              <w:rPr>
                <w:rFonts w:hint="eastAsia" w:ascii="宋体" w:hAnsi="宋体" w:cs="宋体"/>
                <w:color w:val="000000"/>
                <w:kern w:val="0"/>
                <w:sz w:val="18"/>
                <w:szCs w:val="18"/>
                <w:lang w:bidi="ar"/>
              </w:rPr>
              <w:t>返听扬声器</w:t>
            </w:r>
          </w:p>
        </w:tc>
        <w:tc>
          <w:tcPr>
            <w:tcW w:w="3258" w:type="pct"/>
            <w:gridSpan w:val="6"/>
            <w:vAlign w:val="center"/>
          </w:tcPr>
          <w:p w14:paraId="69CDB63E">
            <w:pPr>
              <w:rPr>
                <w:rFonts w:ascii="宋体" w:hAnsi="宋体" w:cs="宋体"/>
                <w:color w:val="000000"/>
                <w:sz w:val="20"/>
                <w:szCs w:val="20"/>
              </w:rPr>
            </w:pPr>
            <w:r>
              <w:rPr>
                <w:rFonts w:hint="eastAsia"/>
                <w:color w:val="000000"/>
                <w:sz w:val="20"/>
                <w:szCs w:val="20"/>
              </w:rPr>
              <w:t>1.驱动器：不小于1×12寸低音</w:t>
            </w:r>
            <w:r>
              <w:rPr>
                <w:rFonts w:hint="eastAsia"/>
                <w:color w:val="000000"/>
                <w:sz w:val="20"/>
                <w:szCs w:val="20"/>
              </w:rPr>
              <w:br w:type="textWrapping"/>
            </w:r>
            <w:r>
              <w:rPr>
                <w:rFonts w:hint="eastAsia"/>
                <w:color w:val="000000"/>
                <w:sz w:val="20"/>
                <w:szCs w:val="20"/>
              </w:rPr>
              <w:t>2.频响范围：60Hz-19kHz（或优于）</w:t>
            </w:r>
            <w:r>
              <w:rPr>
                <w:rFonts w:hint="eastAsia"/>
                <w:color w:val="000000"/>
                <w:sz w:val="20"/>
                <w:szCs w:val="20"/>
              </w:rPr>
              <w:br w:type="textWrapping"/>
            </w:r>
            <w:r>
              <w:rPr>
                <w:rFonts w:hint="eastAsia"/>
                <w:color w:val="000000"/>
                <w:sz w:val="20"/>
                <w:szCs w:val="20"/>
              </w:rPr>
              <w:t>3.额定功率：不小于350w</w:t>
            </w:r>
            <w:r>
              <w:rPr>
                <w:rFonts w:hint="eastAsia"/>
                <w:color w:val="000000"/>
                <w:sz w:val="20"/>
                <w:szCs w:val="20"/>
              </w:rPr>
              <w:br w:type="textWrapping"/>
            </w:r>
            <w:r>
              <w:rPr>
                <w:rFonts w:hint="eastAsia"/>
                <w:color w:val="000000"/>
                <w:sz w:val="20"/>
                <w:szCs w:val="20"/>
              </w:rPr>
              <w:t>4.最大功率：不小于750w</w:t>
            </w:r>
            <w:r>
              <w:rPr>
                <w:rFonts w:hint="eastAsia"/>
                <w:color w:val="000000"/>
                <w:sz w:val="20"/>
                <w:szCs w:val="20"/>
              </w:rPr>
              <w:br w:type="textWrapping"/>
            </w:r>
            <w:r>
              <w:rPr>
                <w:rFonts w:hint="eastAsia"/>
                <w:color w:val="000000"/>
                <w:sz w:val="20"/>
                <w:szCs w:val="20"/>
              </w:rPr>
              <w:t>5.灵敏度：不小于94dB</w:t>
            </w:r>
            <w:r>
              <w:rPr>
                <w:rFonts w:hint="eastAsia"/>
                <w:color w:val="000000"/>
                <w:sz w:val="20"/>
                <w:szCs w:val="20"/>
              </w:rPr>
              <w:br w:type="textWrapping"/>
            </w:r>
            <w:r>
              <w:rPr>
                <w:rFonts w:hint="eastAsia"/>
                <w:color w:val="000000"/>
                <w:sz w:val="20"/>
                <w:szCs w:val="20"/>
              </w:rPr>
              <w:t>6.阻抗：8</w:t>
            </w:r>
            <w:r>
              <w:rPr>
                <w:rFonts w:ascii="Calibri" w:hAnsi="Calibri" w:cs="Calibri"/>
                <w:color w:val="000000"/>
                <w:sz w:val="20"/>
                <w:szCs w:val="20"/>
              </w:rPr>
              <w:t>Ω</w:t>
            </w:r>
            <w:r>
              <w:rPr>
                <w:rFonts w:ascii="Calibri" w:hAnsi="Calibri" w:cs="Calibri"/>
                <w:color w:val="000000"/>
                <w:sz w:val="20"/>
                <w:szCs w:val="20"/>
              </w:rPr>
              <w:br w:type="textWrapping"/>
            </w:r>
            <w:r>
              <w:rPr>
                <w:rFonts w:hint="eastAsia"/>
                <w:color w:val="000000"/>
                <w:sz w:val="20"/>
                <w:szCs w:val="20"/>
              </w:rPr>
              <w:t>7.户外防水</w:t>
            </w:r>
          </w:p>
        </w:tc>
        <w:tc>
          <w:tcPr>
            <w:tcW w:w="404" w:type="pct"/>
            <w:vAlign w:val="center"/>
          </w:tcPr>
          <w:p w14:paraId="5B2168D4">
            <w:pPr>
              <w:widowControl/>
              <w:jc w:val="center"/>
              <w:rPr>
                <w:rFonts w:ascii="宋体" w:hAnsi="宋体" w:cs="宋体"/>
                <w:sz w:val="18"/>
                <w:szCs w:val="18"/>
              </w:rPr>
            </w:pPr>
            <w:r>
              <w:rPr>
                <w:rFonts w:hint="eastAsia" w:ascii="宋体" w:hAnsi="宋体" w:cs="宋体"/>
                <w:color w:val="000000"/>
                <w:kern w:val="0"/>
                <w:sz w:val="18"/>
                <w:szCs w:val="18"/>
                <w:lang w:bidi="ar"/>
              </w:rPr>
              <w:t>6</w:t>
            </w:r>
          </w:p>
        </w:tc>
        <w:tc>
          <w:tcPr>
            <w:tcW w:w="185" w:type="pct"/>
            <w:vAlign w:val="center"/>
          </w:tcPr>
          <w:p w14:paraId="6801EFE7">
            <w:pPr>
              <w:widowControl/>
              <w:jc w:val="center"/>
              <w:rPr>
                <w:rFonts w:ascii="宋体" w:hAnsi="宋体" w:cs="宋体"/>
                <w:sz w:val="18"/>
                <w:szCs w:val="18"/>
              </w:rPr>
            </w:pPr>
            <w:r>
              <w:rPr>
                <w:rFonts w:hint="eastAsia" w:ascii="宋体" w:hAnsi="宋体" w:cs="宋体"/>
                <w:color w:val="000000"/>
                <w:kern w:val="0"/>
                <w:sz w:val="18"/>
                <w:szCs w:val="18"/>
                <w:lang w:bidi="ar"/>
              </w:rPr>
              <w:t>只</w:t>
            </w:r>
          </w:p>
        </w:tc>
        <w:tc>
          <w:tcPr>
            <w:tcW w:w="359" w:type="pct"/>
            <w:vAlign w:val="center"/>
          </w:tcPr>
          <w:p w14:paraId="15AB17B1">
            <w:pPr>
              <w:widowControl/>
              <w:jc w:val="center"/>
              <w:rPr>
                <w:rFonts w:ascii="宋体" w:hAnsi="宋体" w:cs="宋体"/>
                <w:sz w:val="18"/>
                <w:szCs w:val="18"/>
              </w:rPr>
            </w:pPr>
            <w:r>
              <w:rPr>
                <w:rFonts w:hint="eastAsia" w:ascii="宋体" w:hAnsi="宋体" w:cs="宋体"/>
                <w:color w:val="000000"/>
                <w:kern w:val="0"/>
                <w:sz w:val="18"/>
                <w:szCs w:val="18"/>
                <w:lang w:bidi="ar"/>
              </w:rPr>
              <w:t>户外防水</w:t>
            </w:r>
          </w:p>
        </w:tc>
      </w:tr>
      <w:tr w14:paraId="0860D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55" w:type="pct"/>
            <w:gridSpan w:val="2"/>
            <w:vAlign w:val="center"/>
          </w:tcPr>
          <w:p w14:paraId="1DCFFA4F">
            <w:pPr>
              <w:widowControl/>
              <w:jc w:val="center"/>
              <w:rPr>
                <w:rFonts w:ascii="宋体" w:hAnsi="宋体" w:cs="宋体"/>
                <w:sz w:val="18"/>
                <w:szCs w:val="18"/>
              </w:rPr>
            </w:pPr>
            <w:r>
              <w:rPr>
                <w:rFonts w:hint="eastAsia" w:ascii="宋体" w:hAnsi="宋体" w:cs="宋体"/>
                <w:color w:val="000000"/>
                <w:kern w:val="0"/>
                <w:sz w:val="18"/>
                <w:szCs w:val="18"/>
                <w:lang w:bidi="ar"/>
              </w:rPr>
              <w:t>4</w:t>
            </w:r>
          </w:p>
        </w:tc>
        <w:tc>
          <w:tcPr>
            <w:tcW w:w="436" w:type="pct"/>
            <w:vAlign w:val="center"/>
          </w:tcPr>
          <w:p w14:paraId="7653C0A5">
            <w:pPr>
              <w:widowControl/>
              <w:jc w:val="left"/>
              <w:rPr>
                <w:rFonts w:ascii="宋体" w:hAnsi="宋体" w:cs="宋体"/>
                <w:sz w:val="18"/>
                <w:szCs w:val="18"/>
              </w:rPr>
            </w:pPr>
            <w:r>
              <w:rPr>
                <w:rFonts w:hint="eastAsia" w:ascii="宋体" w:hAnsi="宋体" w:cs="宋体"/>
                <w:color w:val="000000"/>
                <w:kern w:val="0"/>
                <w:sz w:val="18"/>
                <w:szCs w:val="18"/>
                <w:lang w:bidi="ar"/>
              </w:rPr>
              <w:t>音箱安装架</w:t>
            </w:r>
          </w:p>
        </w:tc>
        <w:tc>
          <w:tcPr>
            <w:tcW w:w="3258" w:type="pct"/>
            <w:gridSpan w:val="6"/>
            <w:vAlign w:val="center"/>
          </w:tcPr>
          <w:p w14:paraId="47BD2F36">
            <w:pPr>
              <w:rPr>
                <w:rFonts w:ascii="宋体" w:hAnsi="宋体" w:cs="宋体"/>
                <w:color w:val="000000"/>
                <w:sz w:val="20"/>
                <w:szCs w:val="20"/>
              </w:rPr>
            </w:pPr>
            <w:r>
              <w:rPr>
                <w:rFonts w:hint="eastAsia"/>
                <w:color w:val="000000"/>
                <w:sz w:val="20"/>
                <w:szCs w:val="20"/>
              </w:rPr>
              <w:t>1.田字架，带4个U形扣</w:t>
            </w:r>
            <w:r>
              <w:rPr>
                <w:rFonts w:hint="eastAsia"/>
                <w:color w:val="000000"/>
                <w:sz w:val="20"/>
                <w:szCs w:val="20"/>
              </w:rPr>
              <w:br w:type="textWrapping"/>
            </w:r>
            <w:r>
              <w:rPr>
                <w:rFonts w:hint="eastAsia"/>
                <w:color w:val="000000"/>
                <w:sz w:val="20"/>
                <w:szCs w:val="20"/>
              </w:rPr>
              <w:t>2.户外防水</w:t>
            </w:r>
          </w:p>
        </w:tc>
        <w:tc>
          <w:tcPr>
            <w:tcW w:w="404" w:type="pct"/>
            <w:vAlign w:val="center"/>
          </w:tcPr>
          <w:p w14:paraId="402FCE60">
            <w:pPr>
              <w:widowControl/>
              <w:jc w:val="center"/>
              <w:rPr>
                <w:rFonts w:ascii="宋体" w:hAnsi="宋体" w:cs="宋体"/>
                <w:sz w:val="18"/>
                <w:szCs w:val="18"/>
              </w:rPr>
            </w:pPr>
            <w:r>
              <w:rPr>
                <w:rFonts w:hint="eastAsia" w:ascii="宋体" w:hAnsi="宋体" w:cs="宋体"/>
                <w:color w:val="000000"/>
                <w:kern w:val="0"/>
                <w:sz w:val="18"/>
                <w:szCs w:val="18"/>
                <w:lang w:bidi="ar"/>
              </w:rPr>
              <w:t>2</w:t>
            </w:r>
          </w:p>
        </w:tc>
        <w:tc>
          <w:tcPr>
            <w:tcW w:w="185" w:type="pct"/>
            <w:vAlign w:val="center"/>
          </w:tcPr>
          <w:p w14:paraId="0CFFF087">
            <w:pPr>
              <w:widowControl/>
              <w:jc w:val="center"/>
              <w:rPr>
                <w:rFonts w:ascii="宋体" w:hAnsi="宋体" w:cs="宋体"/>
                <w:sz w:val="18"/>
                <w:szCs w:val="18"/>
              </w:rPr>
            </w:pPr>
            <w:r>
              <w:rPr>
                <w:rFonts w:hint="eastAsia" w:ascii="宋体" w:hAnsi="宋体" w:cs="宋体"/>
                <w:color w:val="000000"/>
                <w:kern w:val="0"/>
                <w:sz w:val="18"/>
                <w:szCs w:val="18"/>
                <w:lang w:bidi="ar"/>
              </w:rPr>
              <w:t>套</w:t>
            </w:r>
          </w:p>
        </w:tc>
        <w:tc>
          <w:tcPr>
            <w:tcW w:w="359" w:type="pct"/>
            <w:vAlign w:val="center"/>
          </w:tcPr>
          <w:p w14:paraId="42F42F01">
            <w:pPr>
              <w:widowControl/>
              <w:jc w:val="center"/>
              <w:rPr>
                <w:rFonts w:ascii="宋体" w:hAnsi="宋体" w:cs="宋体"/>
                <w:sz w:val="18"/>
                <w:szCs w:val="18"/>
              </w:rPr>
            </w:pPr>
            <w:r>
              <w:rPr>
                <w:rFonts w:hint="eastAsia" w:ascii="宋体" w:hAnsi="宋体" w:cs="宋体"/>
                <w:color w:val="000000"/>
                <w:kern w:val="0"/>
                <w:sz w:val="18"/>
                <w:szCs w:val="18"/>
                <w:lang w:bidi="ar"/>
              </w:rPr>
              <w:t>户外防水</w:t>
            </w:r>
          </w:p>
        </w:tc>
      </w:tr>
      <w:tr w14:paraId="7EA4F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Align w:val="center"/>
          </w:tcPr>
          <w:p w14:paraId="2C53AAC5">
            <w:pPr>
              <w:widowControl/>
              <w:jc w:val="center"/>
              <w:rPr>
                <w:rFonts w:ascii="宋体" w:hAnsi="宋体" w:cs="宋体"/>
                <w:sz w:val="18"/>
                <w:szCs w:val="18"/>
              </w:rPr>
            </w:pPr>
            <w:r>
              <w:rPr>
                <w:rFonts w:hint="eastAsia" w:ascii="宋体" w:hAnsi="宋体" w:cs="宋体"/>
                <w:color w:val="000000"/>
                <w:kern w:val="0"/>
                <w:sz w:val="18"/>
                <w:szCs w:val="18"/>
                <w:lang w:bidi="ar"/>
              </w:rPr>
              <w:t>5</w:t>
            </w:r>
          </w:p>
        </w:tc>
        <w:tc>
          <w:tcPr>
            <w:tcW w:w="436" w:type="pct"/>
            <w:vAlign w:val="center"/>
          </w:tcPr>
          <w:p w14:paraId="0471F088">
            <w:pPr>
              <w:widowControl/>
              <w:jc w:val="left"/>
              <w:rPr>
                <w:rFonts w:ascii="宋体" w:hAnsi="宋体" w:cs="宋体"/>
                <w:sz w:val="18"/>
                <w:szCs w:val="18"/>
              </w:rPr>
            </w:pPr>
            <w:r>
              <w:rPr>
                <w:rFonts w:hint="eastAsia" w:ascii="宋体" w:hAnsi="宋体" w:cs="宋体"/>
                <w:color w:val="000000"/>
                <w:kern w:val="0"/>
                <w:sz w:val="18"/>
                <w:szCs w:val="18"/>
                <w:lang w:bidi="ar"/>
              </w:rPr>
              <w:t>线阵全频功放</w:t>
            </w:r>
          </w:p>
        </w:tc>
        <w:tc>
          <w:tcPr>
            <w:tcW w:w="3258" w:type="pct"/>
            <w:gridSpan w:val="6"/>
            <w:vAlign w:val="center"/>
          </w:tcPr>
          <w:p w14:paraId="6BF717C3">
            <w:pPr>
              <w:rPr>
                <w:rFonts w:ascii="宋体" w:hAnsi="宋体" w:cs="宋体"/>
                <w:color w:val="000000"/>
                <w:sz w:val="20"/>
                <w:szCs w:val="20"/>
              </w:rPr>
            </w:pPr>
            <w:r>
              <w:rPr>
                <w:rFonts w:hint="eastAsia"/>
                <w:color w:val="000000"/>
                <w:sz w:val="20"/>
                <w:szCs w:val="20"/>
              </w:rPr>
              <w:t>1.额定输出功率：不小于立体声800W×4 @8Ω</w:t>
            </w:r>
            <w:r>
              <w:rPr>
                <w:rFonts w:hint="eastAsia"/>
                <w:color w:val="000000"/>
                <w:sz w:val="20"/>
                <w:szCs w:val="20"/>
              </w:rPr>
              <w:br w:type="textWrapping"/>
            </w:r>
            <w:r>
              <w:rPr>
                <w:rFonts w:hint="eastAsia"/>
                <w:color w:val="000000"/>
                <w:sz w:val="20"/>
                <w:szCs w:val="20"/>
              </w:rPr>
              <w:t>2.额定输出功率：不小于立体声1300W×4 @4Ω</w:t>
            </w:r>
            <w:r>
              <w:rPr>
                <w:rFonts w:hint="eastAsia"/>
                <w:color w:val="000000"/>
                <w:sz w:val="20"/>
                <w:szCs w:val="20"/>
              </w:rPr>
              <w:br w:type="textWrapping"/>
            </w:r>
            <w:r>
              <w:rPr>
                <w:rFonts w:hint="eastAsia"/>
                <w:color w:val="000000"/>
                <w:sz w:val="20"/>
                <w:szCs w:val="20"/>
              </w:rPr>
              <w:t xml:space="preserve">3.谐波失真（1kHz,8ohms) ：&lt;0.1% </w:t>
            </w:r>
            <w:r>
              <w:rPr>
                <w:rFonts w:hint="eastAsia"/>
                <w:color w:val="000000"/>
                <w:sz w:val="20"/>
                <w:szCs w:val="20"/>
              </w:rPr>
              <w:br w:type="textWrapping"/>
            </w:r>
            <w:r>
              <w:rPr>
                <w:rFonts w:hint="eastAsia"/>
                <w:color w:val="000000"/>
                <w:sz w:val="20"/>
                <w:szCs w:val="20"/>
              </w:rPr>
              <w:t>4.频率响应：20Hz-20kHz</w:t>
            </w:r>
            <w:r>
              <w:rPr>
                <w:rFonts w:hint="eastAsia"/>
                <w:color w:val="000000"/>
                <w:sz w:val="20"/>
                <w:szCs w:val="20"/>
              </w:rPr>
              <w:br w:type="textWrapping"/>
            </w:r>
            <w:r>
              <w:rPr>
                <w:rFonts w:hint="eastAsia"/>
                <w:color w:val="000000"/>
                <w:sz w:val="20"/>
                <w:szCs w:val="20"/>
              </w:rPr>
              <w:t xml:space="preserve">5.输出级：Class-D </w:t>
            </w:r>
            <w:r>
              <w:rPr>
                <w:rFonts w:hint="eastAsia"/>
                <w:color w:val="000000"/>
                <w:sz w:val="20"/>
                <w:szCs w:val="20"/>
              </w:rPr>
              <w:br w:type="textWrapping"/>
            </w:r>
            <w:r>
              <w:rPr>
                <w:rFonts w:hint="eastAsia"/>
                <w:color w:val="000000"/>
                <w:sz w:val="20"/>
                <w:szCs w:val="20"/>
              </w:rPr>
              <w:t xml:space="preserve">6.保护功能：过热，短路，直流输出 </w:t>
            </w:r>
          </w:p>
        </w:tc>
        <w:tc>
          <w:tcPr>
            <w:tcW w:w="404" w:type="pct"/>
            <w:vAlign w:val="center"/>
          </w:tcPr>
          <w:p w14:paraId="731E3C84">
            <w:pPr>
              <w:widowControl/>
              <w:jc w:val="center"/>
              <w:rPr>
                <w:rFonts w:ascii="宋体" w:hAnsi="宋体" w:cs="宋体"/>
                <w:sz w:val="18"/>
                <w:szCs w:val="18"/>
              </w:rPr>
            </w:pPr>
            <w:r>
              <w:rPr>
                <w:rFonts w:hint="eastAsia" w:ascii="宋体" w:hAnsi="宋体" w:cs="宋体"/>
                <w:color w:val="000000"/>
                <w:kern w:val="0"/>
                <w:sz w:val="18"/>
                <w:szCs w:val="18"/>
                <w:lang w:bidi="ar"/>
              </w:rPr>
              <w:t>2</w:t>
            </w:r>
          </w:p>
        </w:tc>
        <w:tc>
          <w:tcPr>
            <w:tcW w:w="185" w:type="pct"/>
            <w:vAlign w:val="center"/>
          </w:tcPr>
          <w:p w14:paraId="7FE94819">
            <w:pPr>
              <w:widowControl/>
              <w:jc w:val="center"/>
              <w:rPr>
                <w:rFonts w:ascii="宋体" w:hAnsi="宋体" w:cs="宋体"/>
                <w:sz w:val="18"/>
                <w:szCs w:val="18"/>
              </w:rPr>
            </w:pPr>
            <w:r>
              <w:rPr>
                <w:rFonts w:hint="eastAsia" w:ascii="宋体" w:hAnsi="宋体" w:cs="宋体"/>
                <w:color w:val="000000"/>
                <w:kern w:val="0"/>
                <w:sz w:val="18"/>
                <w:szCs w:val="18"/>
                <w:lang w:bidi="ar"/>
              </w:rPr>
              <w:t>台</w:t>
            </w:r>
          </w:p>
        </w:tc>
        <w:tc>
          <w:tcPr>
            <w:tcW w:w="359" w:type="pct"/>
          </w:tcPr>
          <w:p w14:paraId="006525A0">
            <w:pPr>
              <w:rPr>
                <w:rFonts w:ascii="宋体" w:hAnsi="宋体" w:cs="宋体"/>
                <w:sz w:val="18"/>
                <w:szCs w:val="18"/>
              </w:rPr>
            </w:pPr>
          </w:p>
        </w:tc>
      </w:tr>
      <w:tr w14:paraId="72349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Align w:val="center"/>
          </w:tcPr>
          <w:p w14:paraId="2736758D">
            <w:pPr>
              <w:widowControl/>
              <w:jc w:val="center"/>
              <w:rPr>
                <w:rFonts w:ascii="宋体" w:hAnsi="宋体" w:cs="宋体"/>
                <w:sz w:val="18"/>
                <w:szCs w:val="18"/>
              </w:rPr>
            </w:pPr>
            <w:r>
              <w:rPr>
                <w:rFonts w:hint="eastAsia" w:ascii="宋体" w:hAnsi="宋体" w:cs="宋体"/>
                <w:color w:val="000000"/>
                <w:kern w:val="0"/>
                <w:sz w:val="18"/>
                <w:szCs w:val="18"/>
                <w:lang w:bidi="ar"/>
              </w:rPr>
              <w:t>6</w:t>
            </w:r>
          </w:p>
        </w:tc>
        <w:tc>
          <w:tcPr>
            <w:tcW w:w="436" w:type="pct"/>
            <w:vAlign w:val="center"/>
          </w:tcPr>
          <w:p w14:paraId="4BCC79A0">
            <w:pPr>
              <w:widowControl/>
              <w:jc w:val="left"/>
              <w:rPr>
                <w:rFonts w:ascii="宋体" w:hAnsi="宋体" w:cs="宋体"/>
                <w:sz w:val="18"/>
                <w:szCs w:val="18"/>
              </w:rPr>
            </w:pPr>
            <w:r>
              <w:rPr>
                <w:rFonts w:hint="eastAsia" w:ascii="宋体" w:hAnsi="宋体" w:cs="宋体"/>
                <w:color w:val="000000"/>
                <w:kern w:val="0"/>
                <w:sz w:val="18"/>
                <w:szCs w:val="18"/>
                <w:lang w:bidi="ar"/>
              </w:rPr>
              <w:t>线阵超低功放</w:t>
            </w:r>
          </w:p>
        </w:tc>
        <w:tc>
          <w:tcPr>
            <w:tcW w:w="3258" w:type="pct"/>
            <w:gridSpan w:val="6"/>
            <w:vAlign w:val="center"/>
          </w:tcPr>
          <w:p w14:paraId="506E7547">
            <w:pPr>
              <w:rPr>
                <w:rFonts w:ascii="宋体" w:hAnsi="宋体" w:cs="宋体"/>
                <w:color w:val="000000"/>
                <w:sz w:val="20"/>
                <w:szCs w:val="20"/>
              </w:rPr>
            </w:pPr>
            <w:r>
              <w:rPr>
                <w:rFonts w:hint="eastAsia"/>
                <w:color w:val="000000"/>
                <w:sz w:val="20"/>
                <w:szCs w:val="20"/>
              </w:rPr>
              <w:t>1.额定输出功率：不小于立体声1300W×4 @8Ω</w:t>
            </w:r>
            <w:r>
              <w:rPr>
                <w:rFonts w:hint="eastAsia"/>
                <w:color w:val="000000"/>
                <w:sz w:val="20"/>
                <w:szCs w:val="20"/>
              </w:rPr>
              <w:br w:type="textWrapping"/>
            </w:r>
            <w:r>
              <w:rPr>
                <w:rFonts w:hint="eastAsia"/>
                <w:color w:val="000000"/>
                <w:sz w:val="20"/>
                <w:szCs w:val="20"/>
              </w:rPr>
              <w:t>2.额定输出功率：不小于立体声2350W×4 @4Ω</w:t>
            </w:r>
            <w:r>
              <w:rPr>
                <w:rFonts w:hint="eastAsia"/>
                <w:color w:val="000000"/>
                <w:sz w:val="20"/>
                <w:szCs w:val="20"/>
              </w:rPr>
              <w:br w:type="textWrapping"/>
            </w:r>
            <w:r>
              <w:rPr>
                <w:rFonts w:hint="eastAsia"/>
                <w:color w:val="000000"/>
                <w:sz w:val="20"/>
                <w:szCs w:val="20"/>
              </w:rPr>
              <w:t xml:space="preserve">3.谐波失真（1kHz,8ohms) ：&lt;0.1% </w:t>
            </w:r>
            <w:r>
              <w:rPr>
                <w:rFonts w:hint="eastAsia"/>
                <w:color w:val="000000"/>
                <w:sz w:val="20"/>
                <w:szCs w:val="20"/>
              </w:rPr>
              <w:br w:type="textWrapping"/>
            </w:r>
            <w:r>
              <w:rPr>
                <w:rFonts w:hint="eastAsia"/>
                <w:color w:val="000000"/>
                <w:sz w:val="20"/>
                <w:szCs w:val="20"/>
              </w:rPr>
              <w:t>4.频率响应：20Hz-20kHz</w:t>
            </w:r>
            <w:r>
              <w:rPr>
                <w:rFonts w:hint="eastAsia"/>
                <w:color w:val="000000"/>
                <w:sz w:val="20"/>
                <w:szCs w:val="20"/>
              </w:rPr>
              <w:br w:type="textWrapping"/>
            </w:r>
            <w:r>
              <w:rPr>
                <w:rFonts w:hint="eastAsia"/>
                <w:color w:val="000000"/>
                <w:sz w:val="20"/>
                <w:szCs w:val="20"/>
              </w:rPr>
              <w:t xml:space="preserve">5.输出级：Class-D </w:t>
            </w:r>
            <w:r>
              <w:rPr>
                <w:rFonts w:hint="eastAsia"/>
                <w:color w:val="000000"/>
                <w:sz w:val="20"/>
                <w:szCs w:val="20"/>
              </w:rPr>
              <w:br w:type="textWrapping"/>
            </w:r>
            <w:r>
              <w:rPr>
                <w:rFonts w:hint="eastAsia"/>
                <w:color w:val="000000"/>
                <w:sz w:val="20"/>
                <w:szCs w:val="20"/>
              </w:rPr>
              <w:t>6.保护功能：过热，短路，直流输出</w:t>
            </w:r>
            <w:r>
              <w:rPr>
                <w:rFonts w:hint="eastAsia"/>
                <w:color w:val="000000"/>
                <w:sz w:val="20"/>
                <w:szCs w:val="20"/>
                <w:lang w:eastAsia="zh-CN"/>
              </w:rPr>
              <w:t>等</w:t>
            </w:r>
            <w:r>
              <w:rPr>
                <w:rFonts w:hint="eastAsia"/>
                <w:color w:val="000000"/>
                <w:sz w:val="20"/>
                <w:szCs w:val="20"/>
              </w:rPr>
              <w:t xml:space="preserve"> </w:t>
            </w:r>
          </w:p>
        </w:tc>
        <w:tc>
          <w:tcPr>
            <w:tcW w:w="404" w:type="pct"/>
            <w:vAlign w:val="center"/>
          </w:tcPr>
          <w:p w14:paraId="7684EADE">
            <w:pPr>
              <w:widowControl/>
              <w:jc w:val="center"/>
              <w:rPr>
                <w:rFonts w:ascii="宋体" w:hAnsi="宋体" w:cs="宋体"/>
                <w:sz w:val="18"/>
                <w:szCs w:val="18"/>
              </w:rPr>
            </w:pPr>
            <w:r>
              <w:rPr>
                <w:rFonts w:hint="eastAsia" w:ascii="宋体" w:hAnsi="宋体" w:cs="宋体"/>
                <w:color w:val="000000"/>
                <w:kern w:val="0"/>
                <w:sz w:val="18"/>
                <w:szCs w:val="18"/>
                <w:lang w:bidi="ar"/>
              </w:rPr>
              <w:t>1</w:t>
            </w:r>
          </w:p>
        </w:tc>
        <w:tc>
          <w:tcPr>
            <w:tcW w:w="185" w:type="pct"/>
            <w:vAlign w:val="center"/>
          </w:tcPr>
          <w:p w14:paraId="6726F662">
            <w:pPr>
              <w:widowControl/>
              <w:jc w:val="center"/>
              <w:rPr>
                <w:rFonts w:ascii="宋体" w:hAnsi="宋体" w:cs="宋体"/>
                <w:sz w:val="18"/>
                <w:szCs w:val="18"/>
              </w:rPr>
            </w:pPr>
            <w:r>
              <w:rPr>
                <w:rFonts w:hint="eastAsia" w:ascii="宋体" w:hAnsi="宋体" w:cs="宋体"/>
                <w:color w:val="000000"/>
                <w:kern w:val="0"/>
                <w:sz w:val="18"/>
                <w:szCs w:val="18"/>
                <w:lang w:bidi="ar"/>
              </w:rPr>
              <w:t>台</w:t>
            </w:r>
          </w:p>
        </w:tc>
        <w:tc>
          <w:tcPr>
            <w:tcW w:w="359" w:type="pct"/>
          </w:tcPr>
          <w:p w14:paraId="1C2A0406">
            <w:pPr>
              <w:rPr>
                <w:rFonts w:ascii="宋体" w:hAnsi="宋体" w:cs="宋体"/>
                <w:sz w:val="18"/>
                <w:szCs w:val="18"/>
              </w:rPr>
            </w:pPr>
          </w:p>
        </w:tc>
      </w:tr>
      <w:tr w14:paraId="1B891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Align w:val="center"/>
          </w:tcPr>
          <w:p w14:paraId="2AF85A5C">
            <w:pPr>
              <w:widowControl/>
              <w:jc w:val="center"/>
              <w:rPr>
                <w:rFonts w:ascii="宋体" w:hAnsi="宋体" w:cs="宋体"/>
                <w:sz w:val="18"/>
                <w:szCs w:val="18"/>
              </w:rPr>
            </w:pPr>
            <w:r>
              <w:rPr>
                <w:rFonts w:hint="eastAsia" w:ascii="宋体" w:hAnsi="宋体" w:cs="宋体"/>
                <w:color w:val="000000"/>
                <w:kern w:val="0"/>
                <w:sz w:val="18"/>
                <w:szCs w:val="18"/>
                <w:lang w:bidi="ar"/>
              </w:rPr>
              <w:t>7</w:t>
            </w:r>
          </w:p>
        </w:tc>
        <w:tc>
          <w:tcPr>
            <w:tcW w:w="436" w:type="pct"/>
            <w:vAlign w:val="center"/>
          </w:tcPr>
          <w:p w14:paraId="54745991">
            <w:pPr>
              <w:widowControl/>
              <w:jc w:val="left"/>
              <w:rPr>
                <w:rFonts w:ascii="宋体" w:hAnsi="宋体" w:cs="宋体"/>
                <w:sz w:val="18"/>
                <w:szCs w:val="18"/>
              </w:rPr>
            </w:pPr>
            <w:r>
              <w:rPr>
                <w:rFonts w:hint="eastAsia" w:ascii="宋体" w:hAnsi="宋体" w:cs="宋体"/>
                <w:color w:val="000000"/>
                <w:kern w:val="0"/>
                <w:sz w:val="18"/>
                <w:szCs w:val="18"/>
                <w:lang w:bidi="ar"/>
              </w:rPr>
              <w:t>返听扬声器功放</w:t>
            </w:r>
          </w:p>
        </w:tc>
        <w:tc>
          <w:tcPr>
            <w:tcW w:w="3258" w:type="pct"/>
            <w:gridSpan w:val="6"/>
            <w:vAlign w:val="center"/>
          </w:tcPr>
          <w:p w14:paraId="2E8B63DD">
            <w:pPr>
              <w:rPr>
                <w:rFonts w:hint="eastAsia" w:ascii="宋体" w:hAnsi="宋体" w:eastAsia="宋体" w:cs="宋体"/>
                <w:color w:val="000000"/>
                <w:sz w:val="20"/>
                <w:szCs w:val="20"/>
                <w:lang w:eastAsia="zh-CN"/>
              </w:rPr>
            </w:pPr>
            <w:r>
              <w:rPr>
                <w:rFonts w:hint="eastAsia"/>
                <w:color w:val="000000"/>
                <w:sz w:val="20"/>
                <w:szCs w:val="20"/>
              </w:rPr>
              <w:t>1.额定输出功率：不小于立体声800W×4 @8Ω</w:t>
            </w:r>
            <w:r>
              <w:rPr>
                <w:rFonts w:hint="eastAsia"/>
                <w:color w:val="000000"/>
                <w:sz w:val="20"/>
                <w:szCs w:val="20"/>
              </w:rPr>
              <w:br w:type="textWrapping"/>
            </w:r>
            <w:r>
              <w:rPr>
                <w:rFonts w:hint="eastAsia"/>
                <w:color w:val="000000"/>
                <w:sz w:val="20"/>
                <w:szCs w:val="20"/>
              </w:rPr>
              <w:t>2.额定输出功率：不小于立体声1300W×4 @4Ω</w:t>
            </w:r>
            <w:r>
              <w:rPr>
                <w:rFonts w:hint="eastAsia"/>
                <w:color w:val="000000"/>
                <w:sz w:val="20"/>
                <w:szCs w:val="20"/>
              </w:rPr>
              <w:br w:type="textWrapping"/>
            </w:r>
            <w:r>
              <w:rPr>
                <w:rFonts w:hint="eastAsia"/>
                <w:color w:val="000000"/>
                <w:sz w:val="20"/>
                <w:szCs w:val="20"/>
              </w:rPr>
              <w:t xml:space="preserve">3.谐波失真（1kHz,8ohms) ：&lt;0.1% </w:t>
            </w:r>
            <w:r>
              <w:rPr>
                <w:rFonts w:hint="eastAsia"/>
                <w:color w:val="000000"/>
                <w:sz w:val="20"/>
                <w:szCs w:val="20"/>
              </w:rPr>
              <w:br w:type="textWrapping"/>
            </w:r>
            <w:r>
              <w:rPr>
                <w:rFonts w:hint="eastAsia"/>
                <w:color w:val="000000"/>
                <w:sz w:val="20"/>
                <w:szCs w:val="20"/>
              </w:rPr>
              <w:t>4.频率响应：20Hz-20kHz</w:t>
            </w:r>
            <w:r>
              <w:rPr>
                <w:rFonts w:hint="eastAsia"/>
                <w:color w:val="000000"/>
                <w:sz w:val="20"/>
                <w:szCs w:val="20"/>
              </w:rPr>
              <w:br w:type="textWrapping"/>
            </w:r>
            <w:r>
              <w:rPr>
                <w:rFonts w:hint="eastAsia"/>
                <w:color w:val="000000"/>
                <w:sz w:val="20"/>
                <w:szCs w:val="20"/>
              </w:rPr>
              <w:t xml:space="preserve">5.输出级：Class-D </w:t>
            </w:r>
            <w:r>
              <w:rPr>
                <w:rFonts w:hint="eastAsia"/>
                <w:color w:val="000000"/>
                <w:sz w:val="20"/>
                <w:szCs w:val="20"/>
              </w:rPr>
              <w:br w:type="textWrapping"/>
            </w:r>
            <w:r>
              <w:rPr>
                <w:rFonts w:hint="eastAsia"/>
                <w:color w:val="000000"/>
                <w:sz w:val="20"/>
                <w:szCs w:val="20"/>
              </w:rPr>
              <w:t>6.保护功能：过热，短路，直流输出</w:t>
            </w:r>
            <w:r>
              <w:rPr>
                <w:rFonts w:hint="eastAsia"/>
                <w:color w:val="000000"/>
                <w:sz w:val="20"/>
                <w:szCs w:val="20"/>
                <w:lang w:eastAsia="zh-CN"/>
              </w:rPr>
              <w:t>等</w:t>
            </w:r>
          </w:p>
        </w:tc>
        <w:tc>
          <w:tcPr>
            <w:tcW w:w="404" w:type="pct"/>
            <w:vAlign w:val="center"/>
          </w:tcPr>
          <w:p w14:paraId="3A3A4A4F">
            <w:pPr>
              <w:widowControl/>
              <w:jc w:val="center"/>
              <w:rPr>
                <w:rFonts w:ascii="宋体" w:hAnsi="宋体" w:cs="宋体"/>
                <w:sz w:val="18"/>
                <w:szCs w:val="18"/>
              </w:rPr>
            </w:pPr>
            <w:r>
              <w:rPr>
                <w:rFonts w:hint="eastAsia" w:ascii="宋体" w:hAnsi="宋体" w:cs="宋体"/>
                <w:color w:val="000000"/>
                <w:kern w:val="0"/>
                <w:sz w:val="18"/>
                <w:szCs w:val="18"/>
                <w:lang w:bidi="ar"/>
              </w:rPr>
              <w:t>3</w:t>
            </w:r>
          </w:p>
        </w:tc>
        <w:tc>
          <w:tcPr>
            <w:tcW w:w="185" w:type="pct"/>
            <w:vAlign w:val="center"/>
          </w:tcPr>
          <w:p w14:paraId="2A87C93B">
            <w:pPr>
              <w:widowControl/>
              <w:jc w:val="center"/>
              <w:rPr>
                <w:rFonts w:ascii="宋体" w:hAnsi="宋体" w:cs="宋体"/>
                <w:sz w:val="18"/>
                <w:szCs w:val="18"/>
              </w:rPr>
            </w:pPr>
            <w:r>
              <w:rPr>
                <w:rFonts w:hint="eastAsia" w:ascii="宋体" w:hAnsi="宋体" w:cs="宋体"/>
                <w:color w:val="000000"/>
                <w:kern w:val="0"/>
                <w:sz w:val="18"/>
                <w:szCs w:val="18"/>
                <w:lang w:bidi="ar"/>
              </w:rPr>
              <w:t>台</w:t>
            </w:r>
          </w:p>
        </w:tc>
        <w:tc>
          <w:tcPr>
            <w:tcW w:w="359" w:type="pct"/>
          </w:tcPr>
          <w:p w14:paraId="1627E3E7">
            <w:pPr>
              <w:rPr>
                <w:rFonts w:ascii="宋体" w:hAnsi="宋体" w:cs="宋体"/>
                <w:sz w:val="18"/>
                <w:szCs w:val="18"/>
              </w:rPr>
            </w:pPr>
          </w:p>
        </w:tc>
      </w:tr>
      <w:tr w14:paraId="5A4E8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Align w:val="center"/>
          </w:tcPr>
          <w:p w14:paraId="4AE9F976">
            <w:pPr>
              <w:widowControl/>
              <w:jc w:val="center"/>
              <w:rPr>
                <w:rFonts w:ascii="宋体" w:hAnsi="宋体" w:cs="宋体"/>
                <w:sz w:val="18"/>
                <w:szCs w:val="18"/>
              </w:rPr>
            </w:pPr>
            <w:r>
              <w:rPr>
                <w:rFonts w:hint="eastAsia" w:ascii="宋体" w:hAnsi="宋体" w:cs="宋体"/>
                <w:color w:val="000000"/>
                <w:kern w:val="0"/>
                <w:sz w:val="18"/>
                <w:szCs w:val="18"/>
                <w:lang w:bidi="ar"/>
              </w:rPr>
              <w:t>8</w:t>
            </w:r>
          </w:p>
        </w:tc>
        <w:tc>
          <w:tcPr>
            <w:tcW w:w="436" w:type="pct"/>
            <w:vAlign w:val="center"/>
          </w:tcPr>
          <w:p w14:paraId="4DA4607F">
            <w:pPr>
              <w:widowControl/>
              <w:jc w:val="left"/>
              <w:rPr>
                <w:rFonts w:ascii="宋体" w:hAnsi="宋体" w:cs="宋体"/>
                <w:sz w:val="18"/>
                <w:szCs w:val="18"/>
              </w:rPr>
            </w:pPr>
            <w:r>
              <w:rPr>
                <w:rFonts w:hint="eastAsia" w:ascii="宋体" w:hAnsi="宋体" w:cs="宋体"/>
                <w:color w:val="000000"/>
                <w:kern w:val="0"/>
                <w:sz w:val="18"/>
                <w:szCs w:val="18"/>
                <w:lang w:bidi="ar"/>
              </w:rPr>
              <w:t>数字调音台</w:t>
            </w:r>
          </w:p>
        </w:tc>
        <w:tc>
          <w:tcPr>
            <w:tcW w:w="3258" w:type="pct"/>
            <w:gridSpan w:val="6"/>
            <w:vAlign w:val="center"/>
          </w:tcPr>
          <w:p w14:paraId="5E02B867">
            <w:pPr>
              <w:rPr>
                <w:rFonts w:ascii="宋体" w:hAnsi="宋体" w:cs="宋体"/>
                <w:color w:val="000000"/>
                <w:sz w:val="20"/>
                <w:szCs w:val="20"/>
              </w:rPr>
            </w:pPr>
            <w:r>
              <w:rPr>
                <w:rFonts w:hint="eastAsia"/>
                <w:color w:val="000000"/>
                <w:sz w:val="20"/>
                <w:szCs w:val="20"/>
              </w:rPr>
              <w:t>1.不少于40路通道处理</w:t>
            </w:r>
            <w:r>
              <w:rPr>
                <w:rFonts w:hint="eastAsia"/>
                <w:color w:val="000000"/>
                <w:sz w:val="20"/>
                <w:szCs w:val="20"/>
              </w:rPr>
              <w:br w:type="textWrapping"/>
            </w:r>
            <w:r>
              <w:rPr>
                <w:rFonts w:hint="eastAsia"/>
                <w:color w:val="000000"/>
                <w:sz w:val="20"/>
                <w:szCs w:val="20"/>
              </w:rPr>
              <w:t>2.不少于25条混音母线</w:t>
            </w:r>
            <w:r>
              <w:rPr>
                <w:rFonts w:hint="eastAsia"/>
                <w:color w:val="000000"/>
                <w:sz w:val="20"/>
                <w:szCs w:val="20"/>
              </w:rPr>
              <w:br w:type="textWrapping"/>
            </w:r>
            <w:r>
              <w:rPr>
                <w:rFonts w:hint="eastAsia"/>
                <w:color w:val="000000"/>
                <w:sz w:val="20"/>
                <w:szCs w:val="20"/>
              </w:rPr>
              <w:t>3.支持ADC/DAC采样率</w:t>
            </w:r>
            <w:r>
              <w:rPr>
                <w:rFonts w:hint="eastAsia"/>
                <w:color w:val="000000"/>
                <w:sz w:val="20"/>
                <w:szCs w:val="20"/>
              </w:rPr>
              <w:br w:type="textWrapping"/>
            </w:r>
            <w:r>
              <w:rPr>
                <w:rFonts w:hint="eastAsia"/>
                <w:color w:val="000000"/>
                <w:sz w:val="20"/>
                <w:szCs w:val="20"/>
              </w:rPr>
              <w:t>4.不少于17个100mm电动推子</w:t>
            </w:r>
            <w:r>
              <w:rPr>
                <w:rFonts w:hint="eastAsia"/>
                <w:color w:val="000000"/>
                <w:sz w:val="20"/>
                <w:szCs w:val="20"/>
              </w:rPr>
              <w:br w:type="textWrapping"/>
            </w:r>
            <w:r>
              <w:rPr>
                <w:rFonts w:hint="eastAsia"/>
                <w:color w:val="000000"/>
                <w:sz w:val="20"/>
                <w:szCs w:val="20"/>
              </w:rPr>
              <w:t>5.40bit浮点处理</w:t>
            </w:r>
            <w:r>
              <w:rPr>
                <w:rFonts w:hint="eastAsia"/>
                <w:color w:val="000000"/>
                <w:sz w:val="20"/>
                <w:szCs w:val="20"/>
              </w:rPr>
              <w:br w:type="textWrapping"/>
            </w:r>
            <w:r>
              <w:rPr>
                <w:rFonts w:hint="eastAsia"/>
                <w:color w:val="000000"/>
                <w:sz w:val="20"/>
                <w:szCs w:val="20"/>
              </w:rPr>
              <w:t>6.不少于16路输入通道</w:t>
            </w:r>
            <w:r>
              <w:rPr>
                <w:rFonts w:hint="eastAsia"/>
                <w:color w:val="000000"/>
                <w:sz w:val="20"/>
                <w:szCs w:val="20"/>
              </w:rPr>
              <w:br w:type="textWrapping"/>
            </w:r>
            <w:r>
              <w:rPr>
                <w:rFonts w:hint="eastAsia"/>
                <w:color w:val="000000"/>
                <w:sz w:val="20"/>
                <w:szCs w:val="20"/>
              </w:rPr>
              <w:t>7.不少于8个AUX输出</w:t>
            </w:r>
            <w:r>
              <w:rPr>
                <w:rFonts w:hint="eastAsia"/>
                <w:color w:val="000000"/>
                <w:sz w:val="20"/>
                <w:szCs w:val="20"/>
              </w:rPr>
              <w:br w:type="textWrapping"/>
            </w:r>
            <w:r>
              <w:rPr>
                <w:rFonts w:hint="eastAsia"/>
                <w:color w:val="000000"/>
                <w:sz w:val="20"/>
                <w:szCs w:val="20"/>
              </w:rPr>
              <w:t>8.不少于8个DCA编组</w:t>
            </w:r>
            <w:r>
              <w:rPr>
                <w:rFonts w:hint="eastAsia"/>
                <w:color w:val="000000"/>
                <w:sz w:val="20"/>
                <w:szCs w:val="20"/>
              </w:rPr>
              <w:br w:type="textWrapping"/>
            </w:r>
            <w:r>
              <w:rPr>
                <w:rFonts w:hint="eastAsia"/>
                <w:color w:val="000000"/>
                <w:sz w:val="20"/>
                <w:szCs w:val="20"/>
              </w:rPr>
              <w:t>9.不少于6个Mute Group静音编组</w:t>
            </w:r>
            <w:r>
              <w:rPr>
                <w:rFonts w:hint="eastAsia"/>
                <w:color w:val="000000"/>
                <w:sz w:val="20"/>
                <w:szCs w:val="20"/>
              </w:rPr>
              <w:br w:type="textWrapping"/>
            </w:r>
            <w:r>
              <w:rPr>
                <w:rFonts w:hint="eastAsia"/>
                <w:color w:val="000000"/>
                <w:sz w:val="20"/>
                <w:szCs w:val="20"/>
              </w:rPr>
              <w:t>10.不少于8个立体声效果器</w:t>
            </w:r>
            <w:r>
              <w:rPr>
                <w:rFonts w:hint="eastAsia"/>
                <w:color w:val="000000"/>
                <w:sz w:val="20"/>
                <w:szCs w:val="20"/>
              </w:rPr>
              <w:br w:type="textWrapping"/>
            </w:r>
            <w:r>
              <w:rPr>
                <w:rFonts w:hint="eastAsia"/>
                <w:color w:val="000000"/>
                <w:sz w:val="20"/>
                <w:szCs w:val="20"/>
              </w:rPr>
              <w:t xml:space="preserve">11.不少于1对MIDI输入输出 </w:t>
            </w:r>
            <w:r>
              <w:rPr>
                <w:rFonts w:hint="eastAsia"/>
                <w:color w:val="000000"/>
                <w:sz w:val="20"/>
                <w:szCs w:val="20"/>
              </w:rPr>
              <w:br w:type="textWrapping"/>
            </w:r>
            <w:r>
              <w:rPr>
                <w:rFonts w:hint="eastAsia"/>
                <w:color w:val="000000"/>
                <w:sz w:val="20"/>
                <w:szCs w:val="20"/>
              </w:rPr>
              <w:t>12.不少于5寸彩色显示屏</w:t>
            </w:r>
          </w:p>
        </w:tc>
        <w:tc>
          <w:tcPr>
            <w:tcW w:w="404" w:type="pct"/>
            <w:vAlign w:val="center"/>
          </w:tcPr>
          <w:p w14:paraId="7D7198E4">
            <w:pPr>
              <w:widowControl/>
              <w:jc w:val="center"/>
              <w:rPr>
                <w:rFonts w:ascii="宋体" w:hAnsi="宋体" w:cs="宋体"/>
                <w:sz w:val="18"/>
                <w:szCs w:val="18"/>
              </w:rPr>
            </w:pPr>
            <w:r>
              <w:rPr>
                <w:rFonts w:hint="eastAsia" w:ascii="宋体" w:hAnsi="宋体" w:cs="宋体"/>
                <w:color w:val="000000"/>
                <w:kern w:val="0"/>
                <w:sz w:val="18"/>
                <w:szCs w:val="18"/>
                <w:lang w:bidi="ar"/>
              </w:rPr>
              <w:t>1</w:t>
            </w:r>
          </w:p>
        </w:tc>
        <w:tc>
          <w:tcPr>
            <w:tcW w:w="185" w:type="pct"/>
            <w:vAlign w:val="center"/>
          </w:tcPr>
          <w:p w14:paraId="366E9561">
            <w:pPr>
              <w:widowControl/>
              <w:jc w:val="center"/>
              <w:rPr>
                <w:rFonts w:ascii="宋体" w:hAnsi="宋体" w:cs="宋体"/>
                <w:sz w:val="18"/>
                <w:szCs w:val="18"/>
              </w:rPr>
            </w:pPr>
            <w:r>
              <w:rPr>
                <w:rFonts w:hint="eastAsia" w:ascii="宋体" w:hAnsi="宋体" w:cs="宋体"/>
                <w:color w:val="000000"/>
                <w:kern w:val="0"/>
                <w:sz w:val="18"/>
                <w:szCs w:val="18"/>
                <w:lang w:bidi="ar"/>
              </w:rPr>
              <w:t>台</w:t>
            </w:r>
          </w:p>
        </w:tc>
        <w:tc>
          <w:tcPr>
            <w:tcW w:w="359" w:type="pct"/>
          </w:tcPr>
          <w:p w14:paraId="0979CE6E">
            <w:pPr>
              <w:rPr>
                <w:rFonts w:ascii="宋体" w:hAnsi="宋体" w:cs="宋体"/>
                <w:sz w:val="18"/>
                <w:szCs w:val="18"/>
              </w:rPr>
            </w:pPr>
          </w:p>
        </w:tc>
      </w:tr>
      <w:tr w14:paraId="22BA7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Align w:val="center"/>
          </w:tcPr>
          <w:p w14:paraId="406FBDE1">
            <w:pPr>
              <w:widowControl/>
              <w:jc w:val="center"/>
              <w:rPr>
                <w:rFonts w:ascii="宋体" w:hAnsi="宋体" w:cs="宋体"/>
                <w:sz w:val="18"/>
                <w:szCs w:val="18"/>
              </w:rPr>
            </w:pPr>
            <w:r>
              <w:rPr>
                <w:rFonts w:hint="eastAsia" w:ascii="宋体" w:hAnsi="宋体" w:cs="宋体"/>
                <w:color w:val="000000"/>
                <w:kern w:val="0"/>
                <w:sz w:val="18"/>
                <w:szCs w:val="18"/>
                <w:lang w:bidi="ar"/>
              </w:rPr>
              <w:t>9</w:t>
            </w:r>
          </w:p>
        </w:tc>
        <w:tc>
          <w:tcPr>
            <w:tcW w:w="436" w:type="pct"/>
            <w:vAlign w:val="center"/>
          </w:tcPr>
          <w:p w14:paraId="4EE9C901">
            <w:pPr>
              <w:widowControl/>
              <w:jc w:val="left"/>
              <w:rPr>
                <w:rFonts w:ascii="宋体" w:hAnsi="宋体" w:cs="宋体"/>
                <w:sz w:val="18"/>
                <w:szCs w:val="18"/>
              </w:rPr>
            </w:pPr>
            <w:r>
              <w:rPr>
                <w:rFonts w:hint="eastAsia" w:ascii="宋体" w:hAnsi="宋体" w:cs="宋体"/>
                <w:color w:val="000000"/>
                <w:kern w:val="0"/>
                <w:sz w:val="18"/>
                <w:szCs w:val="18"/>
                <w:lang w:bidi="ar"/>
              </w:rPr>
              <w:t>数字音频处理器</w:t>
            </w:r>
          </w:p>
        </w:tc>
        <w:tc>
          <w:tcPr>
            <w:tcW w:w="3258" w:type="pct"/>
            <w:gridSpan w:val="6"/>
            <w:vAlign w:val="center"/>
          </w:tcPr>
          <w:p w14:paraId="649B6E02">
            <w:pPr>
              <w:rPr>
                <w:rFonts w:ascii="宋体" w:hAnsi="宋体" w:cs="宋体"/>
                <w:color w:val="000000"/>
                <w:sz w:val="20"/>
                <w:szCs w:val="20"/>
              </w:rPr>
            </w:pPr>
            <w:r>
              <w:rPr>
                <w:rFonts w:hint="eastAsia"/>
                <w:color w:val="000000"/>
                <w:sz w:val="20"/>
                <w:szCs w:val="20"/>
              </w:rPr>
              <w:t>1.标准DANTE网络：≥16路；</w:t>
            </w:r>
            <w:r>
              <w:rPr>
                <w:rFonts w:hint="eastAsia"/>
                <w:color w:val="000000"/>
                <w:sz w:val="20"/>
                <w:szCs w:val="20"/>
              </w:rPr>
              <w:br w:type="textWrapping"/>
            </w:r>
            <w:r>
              <w:rPr>
                <w:rFonts w:hint="eastAsia"/>
                <w:color w:val="000000"/>
                <w:sz w:val="20"/>
                <w:szCs w:val="20"/>
              </w:rPr>
              <w:t>2.模拟通道：≥8个通道话筒/线路输入，≥8个通道线路输出；</w:t>
            </w:r>
            <w:r>
              <w:rPr>
                <w:rFonts w:hint="eastAsia"/>
                <w:color w:val="000000"/>
                <w:sz w:val="20"/>
                <w:szCs w:val="20"/>
              </w:rPr>
              <w:br w:type="textWrapping"/>
            </w:r>
            <w:r>
              <w:rPr>
                <w:rFonts w:hint="eastAsia"/>
                <w:color w:val="000000"/>
                <w:sz w:val="20"/>
                <w:szCs w:val="20"/>
              </w:rPr>
              <w:t>3.AEC处理能力：≥4路</w:t>
            </w:r>
            <w:r>
              <w:rPr>
                <w:rFonts w:hint="eastAsia"/>
                <w:color w:val="000000"/>
                <w:sz w:val="20"/>
                <w:szCs w:val="20"/>
              </w:rPr>
              <w:br w:type="textWrapping"/>
            </w:r>
            <w:r>
              <w:rPr>
                <w:rFonts w:hint="eastAsia"/>
                <w:color w:val="000000"/>
                <w:sz w:val="20"/>
                <w:szCs w:val="20"/>
              </w:rPr>
              <w:t>4.硬件端口：≥16个GPIO通道，1个485串口和1个通用串口RS-232，USB接口通道：≥4路</w:t>
            </w:r>
            <w:r>
              <w:rPr>
                <w:rFonts w:hint="eastAsia"/>
                <w:color w:val="000000"/>
                <w:sz w:val="20"/>
                <w:szCs w:val="20"/>
              </w:rPr>
              <w:br w:type="textWrapping"/>
            </w:r>
            <w:r>
              <w:rPr>
                <w:rFonts w:hint="eastAsia"/>
                <w:color w:val="000000"/>
                <w:sz w:val="20"/>
                <w:szCs w:val="20"/>
              </w:rPr>
              <w:t>5.支持拖拽式DSP模块，系统由一个处理软件界面统一调试及管理多台设备</w:t>
            </w:r>
            <w:r>
              <w:rPr>
                <w:rFonts w:hint="eastAsia"/>
                <w:color w:val="000000"/>
                <w:sz w:val="20"/>
                <w:szCs w:val="20"/>
              </w:rPr>
              <w:br w:type="textWrapping"/>
            </w:r>
            <w:r>
              <w:rPr>
                <w:rFonts w:hint="eastAsia"/>
                <w:color w:val="000000"/>
                <w:sz w:val="20"/>
                <w:szCs w:val="20"/>
              </w:rPr>
              <w:t>6.用户界面：可自定义房间模型界面，并和房间保持比例尺寸，按房间布局进行添加至管理软件进行控制管理。可按需求编辑的图形化中文用户界面，支持软件端，Web端，移动端控制</w:t>
            </w:r>
            <w:r>
              <w:rPr>
                <w:rFonts w:hint="eastAsia"/>
                <w:color w:val="000000"/>
                <w:sz w:val="20"/>
                <w:szCs w:val="20"/>
              </w:rPr>
              <w:br w:type="textWrapping"/>
            </w:r>
            <w:r>
              <w:rPr>
                <w:rFonts w:hint="eastAsia"/>
                <w:color w:val="000000"/>
                <w:sz w:val="20"/>
                <w:szCs w:val="20"/>
              </w:rPr>
              <w:t>7.双千兆网口备份</w:t>
            </w:r>
            <w:r>
              <w:rPr>
                <w:rFonts w:hint="eastAsia"/>
                <w:color w:val="000000"/>
                <w:sz w:val="20"/>
                <w:szCs w:val="20"/>
              </w:rPr>
              <w:br w:type="textWrapping"/>
            </w:r>
            <w:r>
              <w:rPr>
                <w:rFonts w:hint="eastAsia"/>
                <w:color w:val="000000"/>
                <w:sz w:val="20"/>
                <w:szCs w:val="20"/>
              </w:rPr>
              <w:t>8.</w:t>
            </w:r>
            <w:r>
              <w:rPr>
                <w:rFonts w:hint="eastAsia" w:ascii="宋体" w:hAnsi="宋体" w:eastAsia="宋体" w:cs="宋体"/>
                <w:color w:val="000000"/>
                <w:sz w:val="20"/>
                <w:szCs w:val="20"/>
              </w:rPr>
              <w:t>▲</w:t>
            </w:r>
            <w:r>
              <w:rPr>
                <w:rFonts w:hint="eastAsia"/>
                <w:b/>
                <w:bCs/>
                <w:color w:val="000000"/>
                <w:sz w:val="20"/>
                <w:szCs w:val="20"/>
              </w:rPr>
              <w:t>需提供CNAS、CMA、CAL、MRA认可的检测报告复印件</w:t>
            </w:r>
            <w:r>
              <w:rPr>
                <w:rFonts w:hint="eastAsia"/>
                <w:color w:val="000000"/>
                <w:sz w:val="20"/>
                <w:szCs w:val="20"/>
              </w:rPr>
              <w:t>。</w:t>
            </w:r>
          </w:p>
        </w:tc>
        <w:tc>
          <w:tcPr>
            <w:tcW w:w="404" w:type="pct"/>
            <w:vAlign w:val="center"/>
          </w:tcPr>
          <w:p w14:paraId="3D5B8144">
            <w:pPr>
              <w:widowControl/>
              <w:jc w:val="center"/>
              <w:rPr>
                <w:rFonts w:ascii="宋体" w:hAnsi="宋体" w:cs="宋体"/>
                <w:sz w:val="18"/>
                <w:szCs w:val="18"/>
              </w:rPr>
            </w:pPr>
            <w:r>
              <w:rPr>
                <w:rFonts w:hint="eastAsia" w:ascii="宋体" w:hAnsi="宋体" w:cs="宋体"/>
                <w:color w:val="000000"/>
                <w:kern w:val="0"/>
                <w:sz w:val="18"/>
                <w:szCs w:val="18"/>
                <w:lang w:bidi="ar"/>
              </w:rPr>
              <w:t>1</w:t>
            </w:r>
          </w:p>
        </w:tc>
        <w:tc>
          <w:tcPr>
            <w:tcW w:w="185" w:type="pct"/>
            <w:vAlign w:val="center"/>
          </w:tcPr>
          <w:p w14:paraId="0D2EBCBD">
            <w:pPr>
              <w:widowControl/>
              <w:jc w:val="center"/>
              <w:rPr>
                <w:rFonts w:ascii="宋体" w:hAnsi="宋体" w:cs="宋体"/>
                <w:sz w:val="18"/>
                <w:szCs w:val="18"/>
              </w:rPr>
            </w:pPr>
            <w:r>
              <w:rPr>
                <w:rFonts w:hint="eastAsia" w:ascii="宋体" w:hAnsi="宋体" w:cs="宋体"/>
                <w:color w:val="000000"/>
                <w:kern w:val="0"/>
                <w:sz w:val="18"/>
                <w:szCs w:val="18"/>
                <w:lang w:bidi="ar"/>
              </w:rPr>
              <w:t>个</w:t>
            </w:r>
          </w:p>
        </w:tc>
        <w:tc>
          <w:tcPr>
            <w:tcW w:w="359" w:type="pct"/>
          </w:tcPr>
          <w:p w14:paraId="0451B0E9">
            <w:pPr>
              <w:rPr>
                <w:rFonts w:ascii="宋体" w:hAnsi="宋体" w:cs="宋体"/>
                <w:sz w:val="18"/>
                <w:szCs w:val="18"/>
              </w:rPr>
            </w:pPr>
          </w:p>
        </w:tc>
      </w:tr>
      <w:tr w14:paraId="147C6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2"/>
            <w:vAlign w:val="center"/>
          </w:tcPr>
          <w:p w14:paraId="2764D4B6">
            <w:pPr>
              <w:rPr>
                <w:rFonts w:ascii="宋体" w:hAnsi="宋体" w:cs="宋体"/>
                <w:b/>
                <w:sz w:val="18"/>
                <w:szCs w:val="18"/>
              </w:rPr>
            </w:pPr>
            <w:r>
              <w:rPr>
                <w:rFonts w:hint="eastAsia" w:ascii="宋体" w:hAnsi="宋体" w:cs="宋体"/>
                <w:b/>
                <w:color w:val="000000"/>
                <w:kern w:val="0"/>
                <w:sz w:val="18"/>
                <w:szCs w:val="18"/>
                <w:lang w:bidi="ar"/>
              </w:rPr>
              <w:t>二、背景音乐系统</w:t>
            </w:r>
          </w:p>
        </w:tc>
      </w:tr>
      <w:tr w14:paraId="3026D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355" w:type="pct"/>
            <w:gridSpan w:val="2"/>
            <w:vAlign w:val="center"/>
          </w:tcPr>
          <w:p w14:paraId="129640A3">
            <w:pPr>
              <w:widowControl/>
              <w:jc w:val="center"/>
              <w:rPr>
                <w:rFonts w:ascii="宋体" w:hAnsi="宋体" w:cs="宋体"/>
                <w:sz w:val="18"/>
                <w:szCs w:val="18"/>
              </w:rPr>
            </w:pPr>
            <w:r>
              <w:rPr>
                <w:rFonts w:hint="eastAsia" w:ascii="宋体" w:hAnsi="宋体" w:cs="宋体"/>
                <w:color w:val="000000"/>
                <w:kern w:val="0"/>
                <w:sz w:val="18"/>
                <w:szCs w:val="18"/>
                <w:lang w:bidi="ar"/>
              </w:rPr>
              <w:t>1</w:t>
            </w:r>
          </w:p>
        </w:tc>
        <w:tc>
          <w:tcPr>
            <w:tcW w:w="436" w:type="pct"/>
            <w:vAlign w:val="center"/>
          </w:tcPr>
          <w:p w14:paraId="3E4C918F">
            <w:pPr>
              <w:widowControl/>
              <w:jc w:val="left"/>
              <w:rPr>
                <w:rFonts w:ascii="宋体" w:hAnsi="宋体" w:cs="宋体"/>
                <w:sz w:val="18"/>
                <w:szCs w:val="18"/>
              </w:rPr>
            </w:pPr>
            <w:r>
              <w:rPr>
                <w:rFonts w:hint="eastAsia" w:ascii="宋体" w:hAnsi="宋体" w:cs="宋体"/>
                <w:color w:val="000000"/>
                <w:kern w:val="0"/>
                <w:sz w:val="18"/>
                <w:szCs w:val="18"/>
                <w:lang w:bidi="ar"/>
              </w:rPr>
              <w:t>户外背景音乐扬声器</w:t>
            </w:r>
          </w:p>
        </w:tc>
        <w:tc>
          <w:tcPr>
            <w:tcW w:w="3258" w:type="pct"/>
            <w:gridSpan w:val="6"/>
            <w:vAlign w:val="center"/>
          </w:tcPr>
          <w:p w14:paraId="51DC5A82">
            <w:pPr>
              <w:rPr>
                <w:rFonts w:ascii="宋体" w:hAnsi="宋体" w:cs="宋体"/>
                <w:sz w:val="20"/>
                <w:szCs w:val="20"/>
              </w:rPr>
            </w:pPr>
            <w:r>
              <w:rPr>
                <w:rFonts w:hint="eastAsia"/>
                <w:sz w:val="20"/>
                <w:szCs w:val="20"/>
              </w:rPr>
              <w:t>1.定压音箱</w:t>
            </w:r>
            <w:r>
              <w:rPr>
                <w:rFonts w:hint="eastAsia"/>
                <w:sz w:val="20"/>
                <w:szCs w:val="20"/>
              </w:rPr>
              <w:br w:type="textWrapping"/>
            </w:r>
            <w:r>
              <w:rPr>
                <w:rFonts w:hint="eastAsia"/>
                <w:sz w:val="20"/>
                <w:szCs w:val="20"/>
              </w:rPr>
              <w:t>2.功率：0-40W</w:t>
            </w:r>
            <w:r>
              <w:rPr>
                <w:rFonts w:hint="eastAsia"/>
                <w:sz w:val="20"/>
                <w:szCs w:val="20"/>
              </w:rPr>
              <w:br w:type="textWrapping"/>
            </w:r>
            <w:r>
              <w:rPr>
                <w:rFonts w:hint="eastAsia"/>
                <w:sz w:val="20"/>
                <w:szCs w:val="20"/>
              </w:rPr>
              <w:t>3.频响范围：60-20kHz（或优于）</w:t>
            </w:r>
          </w:p>
        </w:tc>
        <w:tc>
          <w:tcPr>
            <w:tcW w:w="404" w:type="pct"/>
            <w:vAlign w:val="center"/>
          </w:tcPr>
          <w:p w14:paraId="79BCEA0E">
            <w:pPr>
              <w:widowControl/>
              <w:jc w:val="center"/>
              <w:rPr>
                <w:rFonts w:ascii="宋体" w:hAnsi="宋体" w:cs="宋体"/>
                <w:sz w:val="18"/>
                <w:szCs w:val="18"/>
              </w:rPr>
            </w:pPr>
            <w:r>
              <w:rPr>
                <w:rFonts w:hint="eastAsia" w:ascii="宋体" w:hAnsi="宋体" w:cs="宋体"/>
                <w:color w:val="000000"/>
                <w:kern w:val="0"/>
                <w:sz w:val="18"/>
                <w:szCs w:val="18"/>
                <w:lang w:bidi="ar"/>
              </w:rPr>
              <w:t>24</w:t>
            </w:r>
          </w:p>
        </w:tc>
        <w:tc>
          <w:tcPr>
            <w:tcW w:w="185" w:type="pct"/>
            <w:vAlign w:val="center"/>
          </w:tcPr>
          <w:p w14:paraId="2F9E0E3C">
            <w:pPr>
              <w:widowControl/>
              <w:jc w:val="center"/>
              <w:rPr>
                <w:rFonts w:ascii="宋体" w:hAnsi="宋体" w:cs="宋体"/>
                <w:sz w:val="18"/>
                <w:szCs w:val="18"/>
              </w:rPr>
            </w:pPr>
            <w:r>
              <w:rPr>
                <w:rFonts w:hint="eastAsia" w:ascii="宋体" w:hAnsi="宋体" w:cs="宋体"/>
                <w:color w:val="000000"/>
                <w:kern w:val="0"/>
                <w:sz w:val="18"/>
                <w:szCs w:val="18"/>
                <w:lang w:bidi="ar"/>
              </w:rPr>
              <w:t>只</w:t>
            </w:r>
          </w:p>
        </w:tc>
        <w:tc>
          <w:tcPr>
            <w:tcW w:w="359" w:type="pct"/>
          </w:tcPr>
          <w:p w14:paraId="3EB7AE79">
            <w:pPr>
              <w:rPr>
                <w:rFonts w:ascii="宋体" w:hAnsi="宋体" w:cs="宋体"/>
                <w:sz w:val="18"/>
                <w:szCs w:val="18"/>
              </w:rPr>
            </w:pPr>
          </w:p>
        </w:tc>
      </w:tr>
      <w:tr w14:paraId="66B60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Align w:val="center"/>
          </w:tcPr>
          <w:p w14:paraId="723B7CC9">
            <w:pPr>
              <w:widowControl/>
              <w:jc w:val="center"/>
              <w:rPr>
                <w:rFonts w:ascii="宋体" w:hAnsi="宋体" w:cs="宋体"/>
                <w:b/>
                <w:sz w:val="18"/>
                <w:szCs w:val="18"/>
              </w:rPr>
            </w:pPr>
            <w:r>
              <w:rPr>
                <w:rFonts w:hint="eastAsia" w:ascii="宋体" w:hAnsi="宋体" w:cs="宋体"/>
                <w:b/>
                <w:color w:val="000000"/>
                <w:kern w:val="0"/>
                <w:sz w:val="18"/>
                <w:szCs w:val="18"/>
                <w:lang w:bidi="ar"/>
              </w:rPr>
              <w:t>2</w:t>
            </w:r>
          </w:p>
        </w:tc>
        <w:tc>
          <w:tcPr>
            <w:tcW w:w="436" w:type="pct"/>
            <w:vAlign w:val="center"/>
          </w:tcPr>
          <w:p w14:paraId="61713123">
            <w:pPr>
              <w:widowControl/>
              <w:jc w:val="left"/>
              <w:rPr>
                <w:rFonts w:ascii="宋体" w:hAnsi="宋体" w:cs="宋体"/>
                <w:sz w:val="18"/>
                <w:szCs w:val="18"/>
              </w:rPr>
            </w:pPr>
            <w:r>
              <w:rPr>
                <w:rFonts w:hint="eastAsia" w:ascii="宋体" w:hAnsi="宋体" w:cs="宋体"/>
                <w:color w:val="000000"/>
                <w:kern w:val="0"/>
                <w:sz w:val="18"/>
                <w:szCs w:val="18"/>
                <w:lang w:bidi="ar"/>
              </w:rPr>
              <w:t>背景音乐功放</w:t>
            </w:r>
          </w:p>
        </w:tc>
        <w:tc>
          <w:tcPr>
            <w:tcW w:w="3258" w:type="pct"/>
            <w:gridSpan w:val="6"/>
            <w:vAlign w:val="center"/>
          </w:tcPr>
          <w:p w14:paraId="3F4A521B">
            <w:pPr>
              <w:rPr>
                <w:rFonts w:ascii="宋体" w:hAnsi="宋体" w:cs="宋体"/>
                <w:sz w:val="20"/>
                <w:szCs w:val="20"/>
              </w:rPr>
            </w:pPr>
            <w:r>
              <w:rPr>
                <w:rFonts w:hint="eastAsia"/>
                <w:sz w:val="20"/>
                <w:szCs w:val="20"/>
              </w:rPr>
              <w:t>1.立体声输出功率：不小于300W×4 @8Ω</w:t>
            </w:r>
            <w:r>
              <w:rPr>
                <w:rFonts w:hint="eastAsia"/>
                <w:sz w:val="20"/>
                <w:szCs w:val="20"/>
              </w:rPr>
              <w:br w:type="textWrapping"/>
            </w:r>
            <w:r>
              <w:rPr>
                <w:rFonts w:hint="eastAsia"/>
                <w:sz w:val="20"/>
                <w:szCs w:val="20"/>
              </w:rPr>
              <w:t>2.立体声输出功率：不小于500W×4 @4Ω</w:t>
            </w:r>
            <w:r>
              <w:rPr>
                <w:rFonts w:hint="eastAsia"/>
                <w:sz w:val="20"/>
                <w:szCs w:val="20"/>
              </w:rPr>
              <w:br w:type="textWrapping"/>
            </w:r>
            <w:r>
              <w:rPr>
                <w:rFonts w:hint="eastAsia"/>
                <w:sz w:val="20"/>
                <w:szCs w:val="20"/>
              </w:rPr>
              <w:t>3.70-100V线路：不小于800W×2</w:t>
            </w:r>
            <w:r>
              <w:rPr>
                <w:rFonts w:hint="eastAsia"/>
                <w:sz w:val="20"/>
                <w:szCs w:val="20"/>
              </w:rPr>
              <w:br w:type="textWrapping"/>
            </w:r>
            <w:r>
              <w:rPr>
                <w:rFonts w:hint="eastAsia"/>
                <w:sz w:val="20"/>
                <w:szCs w:val="20"/>
              </w:rPr>
              <w:t>4.失真度：&lt;0.2%</w:t>
            </w:r>
            <w:r>
              <w:rPr>
                <w:rFonts w:hint="eastAsia"/>
                <w:sz w:val="20"/>
                <w:szCs w:val="20"/>
              </w:rPr>
              <w:br w:type="textWrapping"/>
            </w:r>
            <w:r>
              <w:rPr>
                <w:rFonts w:hint="eastAsia"/>
                <w:sz w:val="20"/>
                <w:szCs w:val="20"/>
              </w:rPr>
              <w:t>5.频响范围：10Hz-20k Hz</w:t>
            </w:r>
            <w:r>
              <w:rPr>
                <w:rFonts w:hint="eastAsia"/>
                <w:sz w:val="20"/>
                <w:szCs w:val="20"/>
              </w:rPr>
              <w:br w:type="textWrapping"/>
            </w:r>
            <w:r>
              <w:rPr>
                <w:rFonts w:hint="eastAsia"/>
                <w:sz w:val="20"/>
                <w:szCs w:val="20"/>
              </w:rPr>
              <w:t>6.输出类别：Class D</w:t>
            </w:r>
            <w:r>
              <w:rPr>
                <w:rFonts w:hint="eastAsia"/>
                <w:sz w:val="20"/>
                <w:szCs w:val="20"/>
              </w:rPr>
              <w:br w:type="textWrapping"/>
            </w:r>
            <w:r>
              <w:rPr>
                <w:rFonts w:hint="eastAsia"/>
                <w:sz w:val="20"/>
                <w:szCs w:val="20"/>
              </w:rPr>
              <w:t>7.保护功能：短路，直流，过热等</w:t>
            </w:r>
          </w:p>
        </w:tc>
        <w:tc>
          <w:tcPr>
            <w:tcW w:w="404" w:type="pct"/>
            <w:vAlign w:val="center"/>
          </w:tcPr>
          <w:p w14:paraId="0E71663C">
            <w:pPr>
              <w:widowControl/>
              <w:jc w:val="center"/>
              <w:rPr>
                <w:rFonts w:ascii="宋体" w:hAnsi="宋体" w:cs="宋体"/>
                <w:sz w:val="18"/>
                <w:szCs w:val="18"/>
              </w:rPr>
            </w:pPr>
            <w:r>
              <w:rPr>
                <w:rFonts w:hint="eastAsia" w:ascii="宋体" w:hAnsi="宋体" w:cs="宋体"/>
                <w:color w:val="000000"/>
                <w:kern w:val="0"/>
                <w:sz w:val="18"/>
                <w:szCs w:val="18"/>
                <w:lang w:bidi="ar"/>
              </w:rPr>
              <w:t>1</w:t>
            </w:r>
          </w:p>
        </w:tc>
        <w:tc>
          <w:tcPr>
            <w:tcW w:w="185" w:type="pct"/>
            <w:vAlign w:val="center"/>
          </w:tcPr>
          <w:p w14:paraId="2E1468A1">
            <w:pPr>
              <w:widowControl/>
              <w:jc w:val="center"/>
              <w:rPr>
                <w:rFonts w:ascii="宋体" w:hAnsi="宋体" w:cs="宋体"/>
                <w:sz w:val="18"/>
                <w:szCs w:val="18"/>
              </w:rPr>
            </w:pPr>
            <w:r>
              <w:rPr>
                <w:rFonts w:hint="eastAsia" w:ascii="宋体" w:hAnsi="宋体" w:cs="宋体"/>
                <w:color w:val="000000"/>
                <w:kern w:val="0"/>
                <w:sz w:val="18"/>
                <w:szCs w:val="18"/>
                <w:lang w:bidi="ar"/>
              </w:rPr>
              <w:t>台</w:t>
            </w:r>
          </w:p>
        </w:tc>
        <w:tc>
          <w:tcPr>
            <w:tcW w:w="359" w:type="pct"/>
          </w:tcPr>
          <w:p w14:paraId="1C3A0B1D">
            <w:pPr>
              <w:rPr>
                <w:rFonts w:ascii="宋体" w:hAnsi="宋体" w:cs="宋体"/>
                <w:sz w:val="18"/>
                <w:szCs w:val="18"/>
              </w:rPr>
            </w:pPr>
          </w:p>
        </w:tc>
      </w:tr>
      <w:tr w14:paraId="3957F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2"/>
          </w:tcPr>
          <w:p w14:paraId="0F3D35A1">
            <w:pPr>
              <w:rPr>
                <w:rFonts w:ascii="宋体" w:hAnsi="宋体" w:cs="宋体"/>
                <w:b/>
                <w:sz w:val="18"/>
                <w:szCs w:val="18"/>
              </w:rPr>
            </w:pPr>
            <w:r>
              <w:rPr>
                <w:rFonts w:hint="eastAsia" w:ascii="宋体" w:hAnsi="宋体" w:cs="宋体"/>
                <w:b/>
                <w:sz w:val="18"/>
                <w:szCs w:val="18"/>
              </w:rPr>
              <w:t>三、辅材</w:t>
            </w:r>
          </w:p>
        </w:tc>
      </w:tr>
      <w:tr w14:paraId="53605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Align w:val="center"/>
          </w:tcPr>
          <w:p w14:paraId="63131A3B">
            <w:pPr>
              <w:widowControl/>
              <w:jc w:val="center"/>
              <w:rPr>
                <w:rFonts w:ascii="宋体" w:hAnsi="宋体" w:cs="宋体"/>
                <w:sz w:val="18"/>
                <w:szCs w:val="18"/>
              </w:rPr>
            </w:pPr>
            <w:r>
              <w:rPr>
                <w:rFonts w:hint="eastAsia" w:ascii="宋体" w:hAnsi="宋体" w:cs="宋体"/>
                <w:color w:val="000000"/>
                <w:kern w:val="0"/>
                <w:sz w:val="18"/>
                <w:szCs w:val="18"/>
                <w:lang w:bidi="ar"/>
              </w:rPr>
              <w:t>1</w:t>
            </w:r>
          </w:p>
        </w:tc>
        <w:tc>
          <w:tcPr>
            <w:tcW w:w="436" w:type="pct"/>
            <w:vAlign w:val="center"/>
          </w:tcPr>
          <w:p w14:paraId="01182FF7">
            <w:pPr>
              <w:widowControl/>
              <w:jc w:val="left"/>
              <w:rPr>
                <w:rFonts w:ascii="宋体" w:hAnsi="宋体" w:cs="宋体"/>
                <w:sz w:val="18"/>
                <w:szCs w:val="18"/>
              </w:rPr>
            </w:pPr>
            <w:r>
              <w:rPr>
                <w:rFonts w:hint="eastAsia" w:ascii="宋体" w:hAnsi="宋体" w:cs="宋体"/>
                <w:color w:val="000000"/>
                <w:kern w:val="0"/>
                <w:sz w:val="18"/>
                <w:szCs w:val="18"/>
                <w:lang w:bidi="ar"/>
              </w:rPr>
              <w:t>时序电源</w:t>
            </w:r>
          </w:p>
        </w:tc>
        <w:tc>
          <w:tcPr>
            <w:tcW w:w="3258" w:type="pct"/>
            <w:gridSpan w:val="6"/>
            <w:vAlign w:val="center"/>
          </w:tcPr>
          <w:p w14:paraId="0C3EA505">
            <w:pPr>
              <w:rPr>
                <w:rFonts w:ascii="宋体" w:hAnsi="宋体" w:cs="宋体"/>
                <w:color w:val="000000"/>
                <w:sz w:val="20"/>
                <w:szCs w:val="20"/>
              </w:rPr>
            </w:pPr>
            <w:r>
              <w:rPr>
                <w:rFonts w:hint="eastAsia"/>
                <w:color w:val="000000"/>
                <w:sz w:val="20"/>
                <w:szCs w:val="20"/>
              </w:rPr>
              <w:t>600*600*988mm</w:t>
            </w:r>
          </w:p>
        </w:tc>
        <w:tc>
          <w:tcPr>
            <w:tcW w:w="404" w:type="pct"/>
            <w:vAlign w:val="center"/>
          </w:tcPr>
          <w:p w14:paraId="5F599530">
            <w:pPr>
              <w:widowControl/>
              <w:jc w:val="center"/>
              <w:rPr>
                <w:rFonts w:ascii="宋体" w:hAnsi="宋体" w:cs="宋体"/>
                <w:sz w:val="18"/>
                <w:szCs w:val="18"/>
              </w:rPr>
            </w:pPr>
            <w:r>
              <w:rPr>
                <w:rFonts w:hint="eastAsia" w:ascii="宋体" w:hAnsi="宋体" w:cs="宋体"/>
                <w:color w:val="000000"/>
                <w:kern w:val="0"/>
                <w:sz w:val="18"/>
                <w:szCs w:val="18"/>
                <w:lang w:bidi="ar"/>
              </w:rPr>
              <w:t>2</w:t>
            </w:r>
          </w:p>
        </w:tc>
        <w:tc>
          <w:tcPr>
            <w:tcW w:w="185" w:type="pct"/>
            <w:vAlign w:val="center"/>
          </w:tcPr>
          <w:p w14:paraId="05CE1D36">
            <w:pPr>
              <w:widowControl/>
              <w:jc w:val="center"/>
              <w:rPr>
                <w:rFonts w:ascii="宋体" w:hAnsi="宋体" w:cs="宋体"/>
                <w:sz w:val="18"/>
                <w:szCs w:val="18"/>
              </w:rPr>
            </w:pPr>
            <w:r>
              <w:rPr>
                <w:rFonts w:hint="eastAsia" w:ascii="宋体" w:hAnsi="宋体" w:cs="宋体"/>
                <w:color w:val="000000"/>
                <w:kern w:val="0"/>
                <w:sz w:val="18"/>
                <w:szCs w:val="18"/>
                <w:lang w:bidi="ar"/>
              </w:rPr>
              <w:t>台</w:t>
            </w:r>
          </w:p>
        </w:tc>
        <w:tc>
          <w:tcPr>
            <w:tcW w:w="359" w:type="pct"/>
          </w:tcPr>
          <w:p w14:paraId="7C424DF3">
            <w:pPr>
              <w:rPr>
                <w:rFonts w:ascii="宋体" w:hAnsi="宋体" w:cs="宋体"/>
                <w:sz w:val="18"/>
                <w:szCs w:val="18"/>
              </w:rPr>
            </w:pPr>
          </w:p>
        </w:tc>
      </w:tr>
      <w:tr w14:paraId="21707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Align w:val="center"/>
          </w:tcPr>
          <w:p w14:paraId="1C902875">
            <w:pPr>
              <w:widowControl/>
              <w:jc w:val="center"/>
              <w:rPr>
                <w:rFonts w:ascii="宋体" w:hAnsi="宋体" w:cs="宋体"/>
                <w:sz w:val="18"/>
                <w:szCs w:val="18"/>
              </w:rPr>
            </w:pPr>
            <w:r>
              <w:rPr>
                <w:rFonts w:hint="eastAsia" w:ascii="宋体" w:hAnsi="宋体" w:cs="宋体"/>
                <w:color w:val="000000"/>
                <w:kern w:val="0"/>
                <w:sz w:val="18"/>
                <w:szCs w:val="18"/>
                <w:lang w:bidi="ar"/>
              </w:rPr>
              <w:t>2</w:t>
            </w:r>
          </w:p>
        </w:tc>
        <w:tc>
          <w:tcPr>
            <w:tcW w:w="436" w:type="pct"/>
            <w:vAlign w:val="center"/>
          </w:tcPr>
          <w:p w14:paraId="4F8F0D89">
            <w:pPr>
              <w:widowControl/>
              <w:jc w:val="left"/>
              <w:rPr>
                <w:rFonts w:ascii="宋体" w:hAnsi="宋体" w:cs="宋体"/>
                <w:sz w:val="18"/>
                <w:szCs w:val="18"/>
              </w:rPr>
            </w:pPr>
            <w:r>
              <w:rPr>
                <w:rFonts w:hint="eastAsia" w:ascii="宋体" w:hAnsi="宋体" w:cs="宋体"/>
                <w:color w:val="000000"/>
                <w:kern w:val="0"/>
                <w:sz w:val="18"/>
                <w:szCs w:val="18"/>
                <w:lang w:bidi="ar"/>
              </w:rPr>
              <w:t>机柜</w:t>
            </w:r>
          </w:p>
        </w:tc>
        <w:tc>
          <w:tcPr>
            <w:tcW w:w="3258" w:type="pct"/>
            <w:gridSpan w:val="6"/>
            <w:vAlign w:val="center"/>
          </w:tcPr>
          <w:p w14:paraId="7864E12B">
            <w:pPr>
              <w:rPr>
                <w:rFonts w:ascii="宋体" w:hAnsi="宋体" w:cs="宋体"/>
                <w:color w:val="000000"/>
                <w:sz w:val="20"/>
                <w:szCs w:val="20"/>
              </w:rPr>
            </w:pPr>
            <w:r>
              <w:rPr>
                <w:rFonts w:hint="eastAsia"/>
                <w:color w:val="000000"/>
                <w:sz w:val="20"/>
                <w:szCs w:val="20"/>
              </w:rPr>
              <w:t>EVJV2*2.5</w:t>
            </w:r>
          </w:p>
        </w:tc>
        <w:tc>
          <w:tcPr>
            <w:tcW w:w="404" w:type="pct"/>
            <w:vAlign w:val="center"/>
          </w:tcPr>
          <w:p w14:paraId="1C26E403">
            <w:pPr>
              <w:widowControl/>
              <w:jc w:val="center"/>
              <w:rPr>
                <w:rFonts w:ascii="宋体" w:hAnsi="宋体" w:cs="宋体"/>
                <w:sz w:val="18"/>
                <w:szCs w:val="18"/>
              </w:rPr>
            </w:pPr>
            <w:r>
              <w:rPr>
                <w:rFonts w:hint="eastAsia" w:ascii="宋体" w:hAnsi="宋体" w:cs="宋体"/>
                <w:color w:val="000000"/>
                <w:kern w:val="0"/>
                <w:sz w:val="18"/>
                <w:szCs w:val="18"/>
                <w:lang w:bidi="ar"/>
              </w:rPr>
              <w:t>1</w:t>
            </w:r>
          </w:p>
        </w:tc>
        <w:tc>
          <w:tcPr>
            <w:tcW w:w="185" w:type="pct"/>
            <w:vAlign w:val="center"/>
          </w:tcPr>
          <w:p w14:paraId="474F7C32">
            <w:pPr>
              <w:widowControl/>
              <w:jc w:val="center"/>
              <w:rPr>
                <w:rFonts w:ascii="宋体" w:hAnsi="宋体" w:cs="宋体"/>
                <w:sz w:val="18"/>
                <w:szCs w:val="18"/>
              </w:rPr>
            </w:pPr>
            <w:r>
              <w:rPr>
                <w:rFonts w:hint="eastAsia" w:ascii="宋体" w:hAnsi="宋体" w:cs="宋体"/>
                <w:color w:val="000000"/>
                <w:kern w:val="0"/>
                <w:sz w:val="18"/>
                <w:szCs w:val="18"/>
                <w:lang w:bidi="ar"/>
              </w:rPr>
              <w:t>台</w:t>
            </w:r>
          </w:p>
        </w:tc>
        <w:tc>
          <w:tcPr>
            <w:tcW w:w="359" w:type="pct"/>
          </w:tcPr>
          <w:p w14:paraId="4FC0AD3E">
            <w:pPr>
              <w:rPr>
                <w:rFonts w:ascii="宋体" w:hAnsi="宋体" w:cs="宋体"/>
                <w:sz w:val="18"/>
                <w:szCs w:val="18"/>
              </w:rPr>
            </w:pPr>
          </w:p>
        </w:tc>
      </w:tr>
      <w:tr w14:paraId="69C1B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Align w:val="center"/>
          </w:tcPr>
          <w:p w14:paraId="26DC071C">
            <w:pPr>
              <w:widowControl/>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w:t>
            </w:r>
          </w:p>
        </w:tc>
        <w:tc>
          <w:tcPr>
            <w:tcW w:w="436" w:type="pct"/>
            <w:vAlign w:val="center"/>
          </w:tcPr>
          <w:p w14:paraId="5678DBF5">
            <w:pPr>
              <w:widowControl/>
              <w:jc w:val="left"/>
              <w:rPr>
                <w:rFonts w:ascii="宋体" w:hAnsi="宋体" w:cs="宋体"/>
                <w:color w:val="000000"/>
                <w:kern w:val="0"/>
                <w:sz w:val="18"/>
                <w:szCs w:val="18"/>
                <w:lang w:bidi="ar"/>
              </w:rPr>
            </w:pPr>
            <w:r>
              <w:rPr>
                <w:rFonts w:hint="eastAsia" w:ascii="宋体" w:hAnsi="宋体" w:cs="宋体"/>
                <w:color w:val="000000"/>
                <w:kern w:val="0"/>
                <w:sz w:val="18"/>
                <w:szCs w:val="18"/>
                <w:lang w:bidi="ar"/>
              </w:rPr>
              <w:t>音箱线</w:t>
            </w:r>
          </w:p>
        </w:tc>
        <w:tc>
          <w:tcPr>
            <w:tcW w:w="3258" w:type="pct"/>
            <w:gridSpan w:val="6"/>
            <w:vAlign w:val="center"/>
          </w:tcPr>
          <w:p w14:paraId="7F85212C">
            <w:pPr>
              <w:rPr>
                <w:rFonts w:ascii="宋体" w:hAnsi="宋体" w:cs="宋体"/>
                <w:color w:val="000000"/>
                <w:sz w:val="20"/>
                <w:szCs w:val="20"/>
              </w:rPr>
            </w:pPr>
            <w:r>
              <w:rPr>
                <w:rFonts w:hint="eastAsia"/>
                <w:color w:val="000000"/>
                <w:sz w:val="20"/>
                <w:szCs w:val="20"/>
              </w:rPr>
              <w:t>RVS2*1.5</w:t>
            </w:r>
          </w:p>
        </w:tc>
        <w:tc>
          <w:tcPr>
            <w:tcW w:w="404" w:type="pct"/>
            <w:vAlign w:val="center"/>
          </w:tcPr>
          <w:p w14:paraId="703CD349">
            <w:pPr>
              <w:widowControl/>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500</w:t>
            </w:r>
          </w:p>
        </w:tc>
        <w:tc>
          <w:tcPr>
            <w:tcW w:w="185" w:type="pct"/>
            <w:vAlign w:val="center"/>
          </w:tcPr>
          <w:p w14:paraId="77533CCE">
            <w:pPr>
              <w:widowControl/>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米</w:t>
            </w:r>
          </w:p>
        </w:tc>
        <w:tc>
          <w:tcPr>
            <w:tcW w:w="359" w:type="pct"/>
            <w:vAlign w:val="center"/>
          </w:tcPr>
          <w:p w14:paraId="77968C5E">
            <w:pPr>
              <w:widowControl/>
              <w:jc w:val="center"/>
              <w:rPr>
                <w:rFonts w:ascii="宋体" w:hAnsi="宋体" w:cs="宋体"/>
                <w:sz w:val="18"/>
                <w:szCs w:val="18"/>
              </w:rPr>
            </w:pPr>
            <w:r>
              <w:rPr>
                <w:rFonts w:hint="eastAsia" w:ascii="宋体" w:hAnsi="宋体" w:cs="宋体"/>
                <w:color w:val="000000"/>
                <w:kern w:val="0"/>
                <w:sz w:val="18"/>
                <w:szCs w:val="18"/>
                <w:lang w:bidi="ar"/>
              </w:rPr>
              <w:t>定制</w:t>
            </w:r>
          </w:p>
        </w:tc>
      </w:tr>
      <w:tr w14:paraId="6A72C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Align w:val="center"/>
          </w:tcPr>
          <w:p w14:paraId="6DF1B7F9">
            <w:pPr>
              <w:widowControl/>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436" w:type="pct"/>
            <w:vAlign w:val="center"/>
          </w:tcPr>
          <w:p w14:paraId="2301E840">
            <w:pPr>
              <w:widowControl/>
              <w:jc w:val="left"/>
              <w:rPr>
                <w:rFonts w:ascii="宋体" w:hAnsi="宋体" w:cs="宋体"/>
                <w:color w:val="000000"/>
                <w:kern w:val="0"/>
                <w:sz w:val="18"/>
                <w:szCs w:val="18"/>
                <w:lang w:bidi="ar"/>
              </w:rPr>
            </w:pPr>
            <w:r>
              <w:rPr>
                <w:rFonts w:hint="eastAsia" w:ascii="宋体" w:hAnsi="宋体" w:cs="宋体"/>
                <w:color w:val="000000"/>
                <w:kern w:val="0"/>
                <w:sz w:val="18"/>
                <w:szCs w:val="18"/>
                <w:lang w:bidi="ar"/>
              </w:rPr>
              <w:t>电源线</w:t>
            </w:r>
          </w:p>
        </w:tc>
        <w:tc>
          <w:tcPr>
            <w:tcW w:w="3258" w:type="pct"/>
            <w:gridSpan w:val="6"/>
            <w:vAlign w:val="center"/>
          </w:tcPr>
          <w:p w14:paraId="25B89765">
            <w:pPr>
              <w:rPr>
                <w:rFonts w:ascii="宋体" w:hAnsi="宋体" w:cs="宋体"/>
                <w:color w:val="000000"/>
                <w:sz w:val="20"/>
                <w:szCs w:val="20"/>
              </w:rPr>
            </w:pPr>
            <w:r>
              <w:rPr>
                <w:rFonts w:hint="eastAsia"/>
                <w:color w:val="000000"/>
                <w:sz w:val="20"/>
                <w:szCs w:val="20"/>
              </w:rPr>
              <w:t>RVVPSN2*0.37</w:t>
            </w:r>
          </w:p>
        </w:tc>
        <w:tc>
          <w:tcPr>
            <w:tcW w:w="404" w:type="pct"/>
            <w:vAlign w:val="center"/>
          </w:tcPr>
          <w:p w14:paraId="3642D85D">
            <w:pPr>
              <w:widowControl/>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1000</w:t>
            </w:r>
          </w:p>
        </w:tc>
        <w:tc>
          <w:tcPr>
            <w:tcW w:w="185" w:type="pct"/>
            <w:vAlign w:val="center"/>
          </w:tcPr>
          <w:p w14:paraId="1BB6DC53">
            <w:pPr>
              <w:widowControl/>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米</w:t>
            </w:r>
          </w:p>
        </w:tc>
        <w:tc>
          <w:tcPr>
            <w:tcW w:w="359" w:type="pct"/>
            <w:vAlign w:val="center"/>
          </w:tcPr>
          <w:p w14:paraId="632E62F2">
            <w:pPr>
              <w:widowControl/>
              <w:jc w:val="center"/>
              <w:rPr>
                <w:rFonts w:ascii="宋体" w:hAnsi="宋体" w:cs="宋体"/>
                <w:sz w:val="18"/>
                <w:szCs w:val="18"/>
              </w:rPr>
            </w:pPr>
            <w:r>
              <w:rPr>
                <w:rFonts w:hint="eastAsia" w:ascii="宋体" w:hAnsi="宋体" w:cs="宋体"/>
                <w:color w:val="000000"/>
                <w:kern w:val="0"/>
                <w:sz w:val="18"/>
                <w:szCs w:val="18"/>
                <w:lang w:bidi="ar"/>
              </w:rPr>
              <w:t>定制</w:t>
            </w:r>
          </w:p>
        </w:tc>
      </w:tr>
      <w:tr w14:paraId="2C57D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Align w:val="center"/>
          </w:tcPr>
          <w:p w14:paraId="7D922818">
            <w:pPr>
              <w:widowControl/>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w:t>
            </w:r>
          </w:p>
        </w:tc>
        <w:tc>
          <w:tcPr>
            <w:tcW w:w="436" w:type="pct"/>
            <w:vAlign w:val="center"/>
          </w:tcPr>
          <w:p w14:paraId="458B7EC6">
            <w:pPr>
              <w:widowControl/>
              <w:jc w:val="left"/>
              <w:rPr>
                <w:rFonts w:ascii="宋体" w:hAnsi="宋体" w:cs="宋体"/>
                <w:color w:val="000000"/>
                <w:kern w:val="0"/>
                <w:sz w:val="18"/>
                <w:szCs w:val="18"/>
                <w:lang w:bidi="ar"/>
              </w:rPr>
            </w:pPr>
            <w:r>
              <w:rPr>
                <w:rFonts w:hint="eastAsia" w:ascii="宋体" w:hAnsi="宋体" w:cs="宋体"/>
                <w:color w:val="000000"/>
                <w:kern w:val="0"/>
                <w:sz w:val="18"/>
                <w:szCs w:val="18"/>
                <w:lang w:bidi="ar"/>
              </w:rPr>
              <w:t>音频线</w:t>
            </w:r>
          </w:p>
        </w:tc>
        <w:tc>
          <w:tcPr>
            <w:tcW w:w="3258" w:type="pct"/>
            <w:gridSpan w:val="6"/>
            <w:vAlign w:val="center"/>
          </w:tcPr>
          <w:p w14:paraId="3AF3AB69">
            <w:pPr>
              <w:rPr>
                <w:rFonts w:ascii="宋体" w:hAnsi="宋体" w:cs="宋体"/>
                <w:color w:val="000000"/>
                <w:sz w:val="20"/>
                <w:szCs w:val="20"/>
              </w:rPr>
            </w:pPr>
            <w:r>
              <w:rPr>
                <w:rFonts w:hint="eastAsia"/>
                <w:color w:val="000000"/>
                <w:sz w:val="20"/>
                <w:szCs w:val="20"/>
              </w:rPr>
              <w:t>JDG25，1.0厚</w:t>
            </w:r>
          </w:p>
        </w:tc>
        <w:tc>
          <w:tcPr>
            <w:tcW w:w="404" w:type="pct"/>
            <w:vAlign w:val="center"/>
          </w:tcPr>
          <w:p w14:paraId="26F95E8A">
            <w:pPr>
              <w:widowControl/>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300</w:t>
            </w:r>
          </w:p>
        </w:tc>
        <w:tc>
          <w:tcPr>
            <w:tcW w:w="185" w:type="pct"/>
            <w:vAlign w:val="center"/>
          </w:tcPr>
          <w:p w14:paraId="771870D7">
            <w:pPr>
              <w:widowControl/>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米</w:t>
            </w:r>
          </w:p>
        </w:tc>
        <w:tc>
          <w:tcPr>
            <w:tcW w:w="359" w:type="pct"/>
            <w:vAlign w:val="center"/>
          </w:tcPr>
          <w:p w14:paraId="2CAB89F2">
            <w:pPr>
              <w:widowControl/>
              <w:jc w:val="center"/>
              <w:rPr>
                <w:rFonts w:ascii="宋体" w:hAnsi="宋体" w:cs="宋体"/>
                <w:sz w:val="18"/>
                <w:szCs w:val="18"/>
              </w:rPr>
            </w:pPr>
            <w:r>
              <w:rPr>
                <w:rFonts w:hint="eastAsia" w:ascii="宋体" w:hAnsi="宋体" w:cs="宋体"/>
                <w:color w:val="000000"/>
                <w:kern w:val="0"/>
                <w:sz w:val="18"/>
                <w:szCs w:val="18"/>
                <w:lang w:bidi="ar"/>
              </w:rPr>
              <w:t>定制</w:t>
            </w:r>
          </w:p>
        </w:tc>
      </w:tr>
      <w:tr w14:paraId="70C88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Align w:val="center"/>
          </w:tcPr>
          <w:p w14:paraId="761853B5">
            <w:pPr>
              <w:widowControl/>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w:t>
            </w:r>
          </w:p>
        </w:tc>
        <w:tc>
          <w:tcPr>
            <w:tcW w:w="436" w:type="pct"/>
            <w:vAlign w:val="center"/>
          </w:tcPr>
          <w:p w14:paraId="5CE6D1AC">
            <w:pPr>
              <w:widowControl/>
              <w:jc w:val="left"/>
              <w:rPr>
                <w:rFonts w:ascii="宋体" w:hAnsi="宋体" w:cs="宋体"/>
                <w:color w:val="000000"/>
                <w:kern w:val="0"/>
                <w:sz w:val="18"/>
                <w:szCs w:val="18"/>
                <w:lang w:bidi="ar"/>
              </w:rPr>
            </w:pPr>
            <w:r>
              <w:rPr>
                <w:rFonts w:hint="eastAsia" w:ascii="宋体" w:hAnsi="宋体" w:cs="宋体"/>
                <w:color w:val="000000"/>
                <w:kern w:val="0"/>
                <w:sz w:val="18"/>
                <w:szCs w:val="18"/>
                <w:lang w:bidi="ar"/>
              </w:rPr>
              <w:t>管材</w:t>
            </w:r>
          </w:p>
        </w:tc>
        <w:tc>
          <w:tcPr>
            <w:tcW w:w="3258" w:type="pct"/>
            <w:gridSpan w:val="6"/>
            <w:vAlign w:val="center"/>
          </w:tcPr>
          <w:p w14:paraId="7B7985EF">
            <w:pPr>
              <w:rPr>
                <w:rFonts w:ascii="宋体" w:hAnsi="宋体" w:cs="宋体"/>
                <w:color w:val="000000"/>
                <w:sz w:val="20"/>
                <w:szCs w:val="20"/>
              </w:rPr>
            </w:pPr>
            <w:r>
              <w:rPr>
                <w:rFonts w:hint="eastAsia"/>
                <w:color w:val="000000"/>
                <w:sz w:val="20"/>
                <w:szCs w:val="20"/>
              </w:rPr>
              <w:t>音箱接插头，机柜跳线</w:t>
            </w:r>
          </w:p>
        </w:tc>
        <w:tc>
          <w:tcPr>
            <w:tcW w:w="404" w:type="pct"/>
            <w:vAlign w:val="center"/>
          </w:tcPr>
          <w:p w14:paraId="54EF130D">
            <w:pPr>
              <w:widowControl/>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300</w:t>
            </w:r>
          </w:p>
        </w:tc>
        <w:tc>
          <w:tcPr>
            <w:tcW w:w="185" w:type="pct"/>
            <w:vAlign w:val="center"/>
          </w:tcPr>
          <w:p w14:paraId="4658366A">
            <w:pPr>
              <w:widowControl/>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米</w:t>
            </w:r>
          </w:p>
        </w:tc>
        <w:tc>
          <w:tcPr>
            <w:tcW w:w="359" w:type="pct"/>
            <w:vAlign w:val="center"/>
          </w:tcPr>
          <w:p w14:paraId="52D21B4A">
            <w:pPr>
              <w:widowControl/>
              <w:jc w:val="center"/>
              <w:rPr>
                <w:rFonts w:ascii="宋体" w:hAnsi="宋体" w:cs="宋体"/>
                <w:sz w:val="18"/>
                <w:szCs w:val="18"/>
              </w:rPr>
            </w:pPr>
            <w:r>
              <w:rPr>
                <w:rFonts w:hint="eastAsia" w:ascii="宋体" w:hAnsi="宋体" w:cs="宋体"/>
                <w:color w:val="000000"/>
                <w:kern w:val="0"/>
                <w:sz w:val="18"/>
                <w:szCs w:val="18"/>
                <w:lang w:bidi="ar"/>
              </w:rPr>
              <w:t>定制</w:t>
            </w:r>
          </w:p>
        </w:tc>
      </w:tr>
      <w:tr w14:paraId="0F63C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Align w:val="center"/>
          </w:tcPr>
          <w:p w14:paraId="4B507F85">
            <w:pPr>
              <w:widowControl/>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w:t>
            </w:r>
          </w:p>
        </w:tc>
        <w:tc>
          <w:tcPr>
            <w:tcW w:w="436" w:type="pct"/>
            <w:vAlign w:val="center"/>
          </w:tcPr>
          <w:p w14:paraId="6999E126">
            <w:pPr>
              <w:widowControl/>
              <w:jc w:val="left"/>
              <w:rPr>
                <w:rFonts w:ascii="宋体" w:hAnsi="宋体" w:cs="宋体"/>
                <w:color w:val="000000"/>
                <w:kern w:val="0"/>
                <w:sz w:val="18"/>
                <w:szCs w:val="18"/>
                <w:lang w:bidi="ar"/>
              </w:rPr>
            </w:pPr>
            <w:r>
              <w:rPr>
                <w:rFonts w:hint="eastAsia" w:ascii="宋体" w:hAnsi="宋体" w:cs="宋体"/>
                <w:color w:val="000000"/>
                <w:kern w:val="0"/>
                <w:sz w:val="18"/>
                <w:szCs w:val="18"/>
                <w:lang w:bidi="ar"/>
              </w:rPr>
              <w:t>接插件</w:t>
            </w:r>
          </w:p>
        </w:tc>
        <w:tc>
          <w:tcPr>
            <w:tcW w:w="3258" w:type="pct"/>
            <w:gridSpan w:val="6"/>
            <w:vAlign w:val="center"/>
          </w:tcPr>
          <w:p w14:paraId="7C359A89">
            <w:pPr>
              <w:rPr>
                <w:rFonts w:ascii="宋体" w:hAnsi="宋体" w:cs="宋体"/>
                <w:color w:val="000000"/>
                <w:sz w:val="20"/>
                <w:szCs w:val="20"/>
              </w:rPr>
            </w:pPr>
            <w:r>
              <w:rPr>
                <w:rFonts w:hint="eastAsia"/>
                <w:color w:val="000000"/>
                <w:sz w:val="20"/>
                <w:szCs w:val="20"/>
              </w:rPr>
              <w:t>600*600*988mm</w:t>
            </w:r>
          </w:p>
        </w:tc>
        <w:tc>
          <w:tcPr>
            <w:tcW w:w="404" w:type="pct"/>
            <w:vAlign w:val="center"/>
          </w:tcPr>
          <w:p w14:paraId="0472E7FA">
            <w:pPr>
              <w:widowControl/>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185" w:type="pct"/>
            <w:vAlign w:val="center"/>
          </w:tcPr>
          <w:p w14:paraId="6D08B059">
            <w:pPr>
              <w:widowControl/>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批</w:t>
            </w:r>
          </w:p>
        </w:tc>
        <w:tc>
          <w:tcPr>
            <w:tcW w:w="359" w:type="pct"/>
            <w:vAlign w:val="center"/>
          </w:tcPr>
          <w:p w14:paraId="4252856E">
            <w:pPr>
              <w:widowControl/>
              <w:jc w:val="center"/>
              <w:rPr>
                <w:rFonts w:ascii="宋体" w:hAnsi="宋体" w:cs="宋体"/>
                <w:sz w:val="18"/>
                <w:szCs w:val="18"/>
              </w:rPr>
            </w:pPr>
            <w:r>
              <w:rPr>
                <w:rFonts w:hint="eastAsia" w:ascii="宋体" w:hAnsi="宋体" w:cs="宋体"/>
                <w:color w:val="000000"/>
                <w:kern w:val="0"/>
                <w:sz w:val="18"/>
                <w:szCs w:val="18"/>
                <w:lang w:bidi="ar"/>
              </w:rPr>
              <w:t>定制</w:t>
            </w:r>
          </w:p>
        </w:tc>
      </w:tr>
      <w:tr w14:paraId="258F2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gridSpan w:val="2"/>
            <w:vAlign w:val="center"/>
          </w:tcPr>
          <w:p w14:paraId="2BCFA912">
            <w:pPr>
              <w:widowControl/>
              <w:jc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8</w:t>
            </w:r>
          </w:p>
        </w:tc>
        <w:tc>
          <w:tcPr>
            <w:tcW w:w="436" w:type="pct"/>
            <w:vAlign w:val="center"/>
          </w:tcPr>
          <w:p w14:paraId="7822DAB3">
            <w:pPr>
              <w:widowControl/>
              <w:jc w:val="left"/>
              <w:rPr>
                <w:rFonts w:hint="eastAsia" w:ascii="宋体" w:hAnsi="宋体" w:cs="宋体"/>
                <w:color w:val="000000"/>
                <w:kern w:val="0"/>
                <w:sz w:val="18"/>
                <w:szCs w:val="18"/>
                <w:lang w:bidi="ar"/>
              </w:rPr>
            </w:pPr>
            <w:r>
              <w:rPr>
                <w:rFonts w:hint="eastAsia"/>
                <w:color w:val="000000"/>
                <w:sz w:val="20"/>
                <w:szCs w:val="20"/>
                <w:lang w:val="en-US" w:eastAsia="zh-CN"/>
              </w:rPr>
              <w:t>系统集成</w:t>
            </w:r>
          </w:p>
        </w:tc>
        <w:tc>
          <w:tcPr>
            <w:tcW w:w="3258" w:type="pct"/>
            <w:gridSpan w:val="6"/>
            <w:vAlign w:val="center"/>
          </w:tcPr>
          <w:p w14:paraId="2EA4A3A2">
            <w:pPr>
              <w:rPr>
                <w:rFonts w:hint="eastAsia"/>
                <w:color w:val="000000"/>
                <w:sz w:val="20"/>
                <w:szCs w:val="20"/>
              </w:rPr>
            </w:pPr>
            <w:r>
              <w:rPr>
                <w:rFonts w:hint="eastAsia"/>
                <w:color w:val="000000"/>
                <w:sz w:val="20"/>
                <w:szCs w:val="20"/>
                <w:lang w:val="en-US" w:eastAsia="zh-CN"/>
              </w:rPr>
              <w:t>系统集成</w:t>
            </w:r>
          </w:p>
        </w:tc>
        <w:tc>
          <w:tcPr>
            <w:tcW w:w="404" w:type="pct"/>
            <w:vAlign w:val="center"/>
          </w:tcPr>
          <w:p w14:paraId="600090B2">
            <w:pPr>
              <w:widowControl/>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1</w:t>
            </w:r>
          </w:p>
        </w:tc>
        <w:tc>
          <w:tcPr>
            <w:tcW w:w="185" w:type="pct"/>
            <w:vAlign w:val="center"/>
          </w:tcPr>
          <w:p w14:paraId="6D149E3B">
            <w:pPr>
              <w:widowControl/>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项</w:t>
            </w:r>
          </w:p>
        </w:tc>
        <w:tc>
          <w:tcPr>
            <w:tcW w:w="359" w:type="pct"/>
            <w:vAlign w:val="center"/>
          </w:tcPr>
          <w:p w14:paraId="4FBE7F0E">
            <w:pPr>
              <w:widowControl/>
              <w:jc w:val="center"/>
              <w:rPr>
                <w:rFonts w:hint="eastAsia" w:ascii="宋体" w:hAnsi="宋体" w:cs="宋体"/>
                <w:color w:val="000000"/>
                <w:kern w:val="0"/>
                <w:sz w:val="18"/>
                <w:szCs w:val="18"/>
                <w:lang w:bidi="ar"/>
              </w:rPr>
            </w:pPr>
          </w:p>
        </w:tc>
      </w:tr>
    </w:tbl>
    <w:p w14:paraId="6C8B0FF5">
      <w:pPr>
        <w:keepNext w:val="0"/>
        <w:keepLines w:val="0"/>
        <w:pageBreakBefore w:val="0"/>
        <w:tabs>
          <w:tab w:val="left" w:pos="971"/>
        </w:tabs>
        <w:kinsoku/>
        <w:wordWrap/>
        <w:overflowPunct/>
        <w:topLinePunct w:val="0"/>
        <w:autoSpaceDN/>
        <w:bidi w:val="0"/>
        <w:snapToGrid/>
        <w:spacing w:line="360" w:lineRule="auto"/>
        <w:ind w:left="0" w:leftChars="0" w:firstLine="0" w:firstLineChars="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三</w:t>
      </w:r>
      <w:r>
        <w:rPr>
          <w:rFonts w:hint="eastAsia" w:ascii="宋体" w:hAnsi="宋体" w:eastAsia="宋体" w:cs="宋体"/>
          <w:b/>
          <w:bCs/>
          <w:color w:val="auto"/>
          <w:kern w:val="2"/>
          <w:sz w:val="24"/>
          <w:szCs w:val="24"/>
          <w:highlight w:val="none"/>
          <w:lang w:val="en-US" w:eastAsia="zh-CN" w:bidi="ar-SA"/>
        </w:rPr>
        <w:t>、开标时需提供以下样品：</w:t>
      </w:r>
    </w:p>
    <w:tbl>
      <w:tblPr>
        <w:tblStyle w:val="3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4719"/>
        <w:gridCol w:w="1561"/>
        <w:gridCol w:w="1327"/>
      </w:tblGrid>
      <w:tr w14:paraId="08E57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28" w:type="pct"/>
            <w:vAlign w:val="center"/>
          </w:tcPr>
          <w:p w14:paraId="004A68F7">
            <w:pPr>
              <w:keepNext w:val="0"/>
              <w:keepLines w:val="0"/>
              <w:pageBreakBefore w:val="0"/>
              <w:widowControl/>
              <w:suppressLineNumbers w:val="0"/>
              <w:kinsoku/>
              <w:wordWrap/>
              <w:overflowPunct/>
              <w:topLinePunct w:val="0"/>
              <w:autoSpaceDE w:val="0"/>
              <w:autoSpaceDN/>
              <w:bidi w:val="0"/>
              <w:snapToGrid/>
              <w:spacing w:before="0" w:beforeAutospacing="0" w:after="0" w:afterAutospacing="0" w:line="360" w:lineRule="auto"/>
              <w:ind w:left="0" w:leftChars="0" w:right="0" w:rightChars="0" w:firstLine="0" w:firstLineChars="0"/>
              <w:jc w:val="center"/>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lang w:val="en-US" w:eastAsia="zh-CN" w:bidi="ar"/>
              </w:rPr>
              <w:t>序号</w:t>
            </w:r>
          </w:p>
        </w:tc>
        <w:tc>
          <w:tcPr>
            <w:tcW w:w="2649" w:type="pct"/>
            <w:vAlign w:val="center"/>
          </w:tcPr>
          <w:p w14:paraId="230A257F">
            <w:pPr>
              <w:keepNext w:val="0"/>
              <w:keepLines w:val="0"/>
              <w:pageBreakBefore w:val="0"/>
              <w:widowControl/>
              <w:suppressLineNumbers w:val="0"/>
              <w:kinsoku/>
              <w:wordWrap/>
              <w:overflowPunct/>
              <w:topLinePunct w:val="0"/>
              <w:autoSpaceDE w:val="0"/>
              <w:autoSpaceDN/>
              <w:bidi w:val="0"/>
              <w:snapToGrid/>
              <w:spacing w:before="0" w:beforeAutospacing="0" w:after="0" w:afterAutospacing="0" w:line="360" w:lineRule="auto"/>
              <w:ind w:left="0" w:leftChars="0" w:right="0" w:rightChars="0" w:firstLine="0" w:firstLineChars="0"/>
              <w:jc w:val="center"/>
              <w:textAlignment w:val="center"/>
              <w:rPr>
                <w:rFonts w:hint="eastAsia" w:ascii="宋体" w:hAnsi="宋体" w:eastAsia="宋体" w:cs="宋体"/>
                <w:sz w:val="24"/>
                <w:szCs w:val="24"/>
                <w:highlight w:val="none"/>
                <w:vertAlign w:val="baseline"/>
                <w:lang w:val="en-US" w:eastAsia="zh-CN"/>
              </w:rPr>
            </w:pPr>
            <w:r>
              <w:rPr>
                <w:rFonts w:hint="eastAsia" w:ascii="宋体" w:hAnsi="宋体" w:cs="宋体"/>
                <w:i w:val="0"/>
                <w:iCs w:val="0"/>
                <w:color w:val="000000"/>
                <w:kern w:val="0"/>
                <w:sz w:val="24"/>
                <w:szCs w:val="24"/>
                <w:highlight w:val="none"/>
                <w:lang w:val="en-US" w:eastAsia="zh-CN" w:bidi="ar"/>
              </w:rPr>
              <w:t>样品</w:t>
            </w:r>
          </w:p>
        </w:tc>
        <w:tc>
          <w:tcPr>
            <w:tcW w:w="876" w:type="pct"/>
            <w:vAlign w:val="center"/>
          </w:tcPr>
          <w:p w14:paraId="63091A2B">
            <w:pPr>
              <w:keepNext w:val="0"/>
              <w:keepLines w:val="0"/>
              <w:pageBreakBefore w:val="0"/>
              <w:widowControl/>
              <w:suppressLineNumbers w:val="0"/>
              <w:kinsoku/>
              <w:wordWrap/>
              <w:overflowPunct/>
              <w:topLinePunct w:val="0"/>
              <w:autoSpaceDE w:val="0"/>
              <w:autoSpaceDN/>
              <w:bidi w:val="0"/>
              <w:snapToGrid/>
              <w:spacing w:before="0" w:beforeAutospacing="0" w:after="0" w:afterAutospacing="0" w:line="360" w:lineRule="auto"/>
              <w:ind w:left="0" w:leftChars="0" w:right="0" w:rightChars="0" w:firstLine="0" w:firstLineChars="0"/>
              <w:jc w:val="center"/>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lang w:val="en-US" w:eastAsia="zh-CN" w:bidi="ar"/>
              </w:rPr>
              <w:t>单位</w:t>
            </w:r>
          </w:p>
        </w:tc>
        <w:tc>
          <w:tcPr>
            <w:tcW w:w="745" w:type="pct"/>
            <w:vAlign w:val="center"/>
          </w:tcPr>
          <w:p w14:paraId="232E31F3">
            <w:pPr>
              <w:keepNext w:val="0"/>
              <w:keepLines w:val="0"/>
              <w:pageBreakBefore w:val="0"/>
              <w:widowControl/>
              <w:suppressLineNumbers w:val="0"/>
              <w:kinsoku/>
              <w:wordWrap/>
              <w:overflowPunct/>
              <w:topLinePunct w:val="0"/>
              <w:autoSpaceDE w:val="0"/>
              <w:autoSpaceDN/>
              <w:bidi w:val="0"/>
              <w:snapToGrid/>
              <w:spacing w:before="0" w:beforeAutospacing="0" w:after="0" w:afterAutospacing="0" w:line="360" w:lineRule="auto"/>
              <w:ind w:left="0" w:leftChars="0" w:right="0" w:rightChars="0" w:firstLine="0" w:firstLineChars="0"/>
              <w:jc w:val="center"/>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lang w:val="en-US" w:eastAsia="zh-CN" w:bidi="ar"/>
              </w:rPr>
              <w:t>数量</w:t>
            </w:r>
          </w:p>
        </w:tc>
      </w:tr>
      <w:tr w14:paraId="53C88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28" w:type="pct"/>
            <w:vAlign w:val="center"/>
          </w:tcPr>
          <w:p w14:paraId="1857950E">
            <w:pPr>
              <w:keepNext w:val="0"/>
              <w:keepLines w:val="0"/>
              <w:pageBreakBefore w:val="0"/>
              <w:widowControl/>
              <w:suppressLineNumbers w:val="0"/>
              <w:kinsoku/>
              <w:wordWrap/>
              <w:overflowPunct/>
              <w:topLinePunct w:val="0"/>
              <w:autoSpaceDE w:val="0"/>
              <w:autoSpaceDN/>
              <w:bidi w:val="0"/>
              <w:snapToGrid/>
              <w:spacing w:before="0" w:beforeAutospacing="0" w:after="0" w:afterAutospacing="0" w:line="36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lang w:val="en-US" w:eastAsia="zh-CN" w:bidi="ar"/>
              </w:rPr>
              <w:t>1</w:t>
            </w:r>
          </w:p>
        </w:tc>
        <w:tc>
          <w:tcPr>
            <w:tcW w:w="2649" w:type="pct"/>
            <w:vAlign w:val="center"/>
          </w:tcPr>
          <w:p w14:paraId="5D4AE4FC">
            <w:pPr>
              <w:keepNext w:val="0"/>
              <w:keepLines w:val="0"/>
              <w:pageBreakBefore w:val="0"/>
              <w:widowControl/>
              <w:suppressLineNumbers w:val="0"/>
              <w:kinsoku/>
              <w:wordWrap/>
              <w:overflowPunct/>
              <w:topLinePunct w:val="0"/>
              <w:autoSpaceDE w:val="0"/>
              <w:autoSpaceDN/>
              <w:bidi w:val="0"/>
              <w:snapToGrid/>
              <w:spacing w:before="0" w:beforeAutospacing="0" w:after="0" w:afterAutospacing="0" w:line="36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lang w:val="en-US" w:eastAsia="zh-CN" w:bidi="ar"/>
              </w:rPr>
              <w:t>带摇头变焦条灯</w:t>
            </w:r>
          </w:p>
        </w:tc>
        <w:tc>
          <w:tcPr>
            <w:tcW w:w="876" w:type="pct"/>
            <w:vAlign w:val="center"/>
          </w:tcPr>
          <w:p w14:paraId="75E48CCA">
            <w:pPr>
              <w:keepNext w:val="0"/>
              <w:keepLines w:val="0"/>
              <w:pageBreakBefore w:val="0"/>
              <w:widowControl/>
              <w:suppressLineNumbers w:val="0"/>
              <w:kinsoku/>
              <w:wordWrap/>
              <w:overflowPunct/>
              <w:topLinePunct w:val="0"/>
              <w:autoSpaceDE w:val="0"/>
              <w:autoSpaceDN/>
              <w:bidi w:val="0"/>
              <w:snapToGrid/>
              <w:spacing w:before="0" w:beforeAutospacing="0" w:after="0" w:afterAutospacing="0" w:line="36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lang w:val="en-US" w:eastAsia="zh-CN" w:bidi="ar"/>
              </w:rPr>
            </w:pPr>
            <w:r>
              <w:rPr>
                <w:rFonts w:hint="eastAsia" w:ascii="宋体" w:hAnsi="宋体" w:cs="宋体"/>
                <w:i w:val="0"/>
                <w:iCs w:val="0"/>
                <w:color w:val="000000"/>
                <w:kern w:val="0"/>
                <w:sz w:val="24"/>
                <w:szCs w:val="24"/>
                <w:highlight w:val="none"/>
                <w:lang w:val="en-US" w:eastAsia="zh-CN" w:bidi="ar"/>
              </w:rPr>
              <w:t>台</w:t>
            </w:r>
          </w:p>
        </w:tc>
        <w:tc>
          <w:tcPr>
            <w:tcW w:w="745" w:type="pct"/>
            <w:vAlign w:val="center"/>
          </w:tcPr>
          <w:p w14:paraId="25B02C64">
            <w:pPr>
              <w:keepNext w:val="0"/>
              <w:keepLines w:val="0"/>
              <w:pageBreakBefore w:val="0"/>
              <w:widowControl/>
              <w:suppressLineNumbers w:val="0"/>
              <w:kinsoku/>
              <w:wordWrap/>
              <w:overflowPunct/>
              <w:topLinePunct w:val="0"/>
              <w:autoSpaceDE w:val="0"/>
              <w:autoSpaceDN/>
              <w:bidi w:val="0"/>
              <w:snapToGrid/>
              <w:spacing w:before="0" w:beforeAutospacing="0" w:after="0" w:afterAutospacing="0" w:line="36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lang w:val="en-US" w:eastAsia="zh-CN" w:bidi="ar"/>
              </w:rPr>
            </w:pPr>
            <w:r>
              <w:rPr>
                <w:rFonts w:hint="eastAsia" w:ascii="宋体" w:hAnsi="宋体" w:cs="宋体"/>
                <w:i w:val="0"/>
                <w:iCs w:val="0"/>
                <w:color w:val="000000"/>
                <w:kern w:val="0"/>
                <w:sz w:val="24"/>
                <w:szCs w:val="24"/>
                <w:highlight w:val="none"/>
                <w:lang w:val="en-US" w:eastAsia="zh-CN" w:bidi="ar"/>
              </w:rPr>
              <w:t>1</w:t>
            </w:r>
          </w:p>
        </w:tc>
      </w:tr>
      <w:tr w14:paraId="1F540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28" w:type="pct"/>
            <w:vAlign w:val="center"/>
          </w:tcPr>
          <w:p w14:paraId="62BA2C34">
            <w:pPr>
              <w:keepNext w:val="0"/>
              <w:keepLines w:val="0"/>
              <w:pageBreakBefore w:val="0"/>
              <w:widowControl/>
              <w:suppressLineNumbers w:val="0"/>
              <w:kinsoku/>
              <w:wordWrap/>
              <w:overflowPunct/>
              <w:topLinePunct w:val="0"/>
              <w:autoSpaceDE w:val="0"/>
              <w:autoSpaceDN/>
              <w:bidi w:val="0"/>
              <w:snapToGrid/>
              <w:spacing w:before="0" w:beforeAutospacing="0" w:after="0" w:afterAutospacing="0" w:line="36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lang w:val="en-US" w:eastAsia="zh-CN" w:bidi="ar"/>
              </w:rPr>
              <w:t>2</w:t>
            </w:r>
          </w:p>
        </w:tc>
        <w:tc>
          <w:tcPr>
            <w:tcW w:w="2649" w:type="pct"/>
            <w:vAlign w:val="center"/>
          </w:tcPr>
          <w:p w14:paraId="4A42D195">
            <w:pPr>
              <w:keepNext w:val="0"/>
              <w:keepLines w:val="0"/>
              <w:pageBreakBefore w:val="0"/>
              <w:widowControl/>
              <w:suppressLineNumbers w:val="0"/>
              <w:kinsoku/>
              <w:wordWrap/>
              <w:overflowPunct/>
              <w:topLinePunct w:val="0"/>
              <w:autoSpaceDE w:val="0"/>
              <w:autoSpaceDN/>
              <w:bidi w:val="0"/>
              <w:snapToGrid/>
              <w:spacing w:before="0" w:beforeAutospacing="0" w:after="0" w:afterAutospacing="0" w:line="36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lang w:val="en-US" w:eastAsia="zh-CN" w:bidi="ar"/>
              </w:rPr>
              <w:t>全彩84颗8W变焦帕灯</w:t>
            </w:r>
          </w:p>
        </w:tc>
        <w:tc>
          <w:tcPr>
            <w:tcW w:w="876" w:type="pct"/>
            <w:vAlign w:val="center"/>
          </w:tcPr>
          <w:p w14:paraId="3C126133">
            <w:pPr>
              <w:keepNext w:val="0"/>
              <w:keepLines w:val="0"/>
              <w:pageBreakBefore w:val="0"/>
              <w:widowControl/>
              <w:suppressLineNumbers w:val="0"/>
              <w:kinsoku/>
              <w:wordWrap/>
              <w:overflowPunct/>
              <w:topLinePunct w:val="0"/>
              <w:autoSpaceDE w:val="0"/>
              <w:autoSpaceDN/>
              <w:bidi w:val="0"/>
              <w:snapToGrid/>
              <w:spacing w:before="0" w:beforeAutospacing="0" w:after="0" w:afterAutospacing="0" w:line="36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lang w:val="en-US" w:eastAsia="zh-CN" w:bidi="ar"/>
              </w:rPr>
            </w:pPr>
            <w:r>
              <w:rPr>
                <w:rFonts w:hint="eastAsia" w:ascii="宋体" w:hAnsi="宋体" w:cs="宋体"/>
                <w:i w:val="0"/>
                <w:iCs w:val="0"/>
                <w:color w:val="000000"/>
                <w:kern w:val="0"/>
                <w:sz w:val="24"/>
                <w:szCs w:val="24"/>
                <w:highlight w:val="none"/>
                <w:lang w:val="en-US" w:eastAsia="zh-CN" w:bidi="ar"/>
              </w:rPr>
              <w:t>台</w:t>
            </w:r>
          </w:p>
        </w:tc>
        <w:tc>
          <w:tcPr>
            <w:tcW w:w="745" w:type="pct"/>
            <w:vAlign w:val="center"/>
          </w:tcPr>
          <w:p w14:paraId="6717B127">
            <w:pPr>
              <w:keepNext w:val="0"/>
              <w:keepLines w:val="0"/>
              <w:pageBreakBefore w:val="0"/>
              <w:widowControl/>
              <w:suppressLineNumbers w:val="0"/>
              <w:kinsoku/>
              <w:wordWrap/>
              <w:overflowPunct/>
              <w:topLinePunct w:val="0"/>
              <w:autoSpaceDE w:val="0"/>
              <w:autoSpaceDN/>
              <w:bidi w:val="0"/>
              <w:snapToGrid/>
              <w:spacing w:before="0" w:beforeAutospacing="0" w:after="0" w:afterAutospacing="0" w:line="36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lang w:val="en-US" w:eastAsia="zh-CN" w:bidi="ar"/>
              </w:rPr>
            </w:pPr>
            <w:r>
              <w:rPr>
                <w:rFonts w:hint="eastAsia" w:ascii="宋体" w:hAnsi="宋体" w:cs="宋体"/>
                <w:i w:val="0"/>
                <w:iCs w:val="0"/>
                <w:color w:val="000000"/>
                <w:kern w:val="0"/>
                <w:sz w:val="24"/>
                <w:szCs w:val="24"/>
                <w:highlight w:val="none"/>
                <w:lang w:val="en-US" w:eastAsia="zh-CN" w:bidi="ar"/>
              </w:rPr>
              <w:t>1</w:t>
            </w:r>
          </w:p>
        </w:tc>
      </w:tr>
    </w:tbl>
    <w:p w14:paraId="32050131">
      <w:pPr>
        <w:keepNext w:val="0"/>
        <w:keepLines w:val="0"/>
        <w:pageBreakBefore w:val="0"/>
        <w:kinsoku/>
        <w:wordWrap/>
        <w:overflowPunct/>
        <w:topLinePunct w:val="0"/>
        <w:autoSpaceDN/>
        <w:bidi w:val="0"/>
        <w:adjustRightInd/>
        <w:snapToGrid/>
        <w:spacing w:line="360" w:lineRule="auto"/>
        <w:ind w:firstLine="480" w:firstLineChars="200"/>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以上样品需要在开标前送达</w:t>
      </w:r>
      <w:r>
        <w:rPr>
          <w:rFonts w:hint="eastAsia" w:ascii="宋体" w:hAnsi="宋体" w:eastAsia="宋体" w:cs="宋体"/>
          <w:bCs/>
          <w:color w:val="auto"/>
          <w:sz w:val="24"/>
          <w:szCs w:val="24"/>
          <w:highlight w:val="none"/>
          <w:u w:val="single"/>
          <w:lang w:val="en-US" w:eastAsia="zh-CN"/>
        </w:rPr>
        <w:t>嵊州市三江街道官河南路555号</w:t>
      </w:r>
      <w:r>
        <w:rPr>
          <w:rFonts w:hint="eastAsia" w:ascii="宋体" w:hAnsi="宋体" w:cs="宋体"/>
          <w:bCs/>
          <w:color w:val="auto"/>
          <w:sz w:val="24"/>
          <w:szCs w:val="24"/>
          <w:highlight w:val="none"/>
          <w:u w:val="single"/>
          <w:lang w:val="en-US" w:eastAsia="zh-CN"/>
        </w:rPr>
        <w:t>天佳总部大楼</w:t>
      </w:r>
      <w:r>
        <w:rPr>
          <w:rFonts w:hint="eastAsia" w:ascii="宋体" w:hAnsi="宋体" w:eastAsia="宋体" w:cs="宋体"/>
          <w:bCs/>
          <w:color w:val="auto"/>
          <w:sz w:val="24"/>
          <w:szCs w:val="24"/>
          <w:highlight w:val="none"/>
          <w:u w:val="single"/>
          <w:lang w:val="en-US" w:eastAsia="zh-CN"/>
        </w:rPr>
        <w:t>2楼浙江商易项目管理有限公司</w:t>
      </w:r>
      <w:r>
        <w:rPr>
          <w:rFonts w:hint="eastAsia" w:ascii="宋体" w:hAnsi="宋体" w:eastAsia="宋体" w:cs="宋体"/>
          <w:bCs/>
          <w:color w:val="auto"/>
          <w:sz w:val="24"/>
          <w:szCs w:val="24"/>
          <w:highlight w:val="none"/>
          <w:lang w:val="en-US" w:eastAsia="zh-CN"/>
        </w:rPr>
        <w:t>，样品上不得出现与投标人相关信息，否则作废标处理，如投标人超过规定时间送达，采购人有权拒收。</w:t>
      </w:r>
      <w:r>
        <w:rPr>
          <w:rFonts w:hint="eastAsia" w:ascii="宋体" w:hAnsi="宋体" w:cs="宋体"/>
          <w:bCs/>
          <w:color w:val="auto"/>
          <w:sz w:val="24"/>
          <w:szCs w:val="24"/>
          <w:highlight w:val="none"/>
          <w:lang w:val="en-US" w:eastAsia="zh-CN"/>
        </w:rPr>
        <w:t>未</w:t>
      </w:r>
      <w:r>
        <w:rPr>
          <w:rFonts w:hint="eastAsia" w:ascii="宋体" w:hAnsi="宋体" w:eastAsia="宋体" w:cs="宋体"/>
          <w:bCs/>
          <w:color w:val="auto"/>
          <w:sz w:val="24"/>
          <w:szCs w:val="24"/>
          <w:highlight w:val="none"/>
          <w:lang w:val="en-US" w:eastAsia="zh-CN"/>
        </w:rPr>
        <w:t>中标单位的样品开标会议结束后退还，中标单位样品不予退回由采购单位封存，作为以后验收的标准和依据。</w:t>
      </w:r>
    </w:p>
    <w:p w14:paraId="346ADA98">
      <w:pPr>
        <w:keepNext w:val="0"/>
        <w:keepLines w:val="0"/>
        <w:pageBreakBefore w:val="0"/>
        <w:kinsoku/>
        <w:wordWrap/>
        <w:overflowPunct/>
        <w:topLinePunct w:val="0"/>
        <w:autoSpaceDN/>
        <w:bidi w:val="0"/>
        <w:adjustRightInd/>
        <w:snapToGrid/>
        <w:spacing w:line="360" w:lineRule="auto"/>
        <w:ind w:firstLine="480" w:firstLineChars="200"/>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如出现下列情况任意一项，样品分按零分处理：</w:t>
      </w:r>
    </w:p>
    <w:p w14:paraId="462F3F45">
      <w:pPr>
        <w:keepNext w:val="0"/>
        <w:keepLines w:val="0"/>
        <w:pageBreakBefore w:val="0"/>
        <w:kinsoku/>
        <w:wordWrap/>
        <w:overflowPunct/>
        <w:topLinePunct w:val="0"/>
        <w:autoSpaceDN/>
        <w:bidi w:val="0"/>
        <w:adjustRightInd/>
        <w:snapToGrid/>
        <w:spacing w:line="360" w:lineRule="auto"/>
        <w:ind w:firstLine="480" w:firstLineChars="200"/>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（1）未提供样品或提供样品不全的</w:t>
      </w:r>
      <w:r>
        <w:rPr>
          <w:rFonts w:hint="eastAsia" w:ascii="宋体" w:hAnsi="宋体" w:cs="宋体"/>
          <w:bCs/>
          <w:color w:val="auto"/>
          <w:sz w:val="24"/>
          <w:szCs w:val="24"/>
          <w:highlight w:val="none"/>
          <w:lang w:val="en-US" w:eastAsia="zh-CN"/>
        </w:rPr>
        <w:t>；</w:t>
      </w:r>
    </w:p>
    <w:p w14:paraId="7DF4D69E">
      <w:pPr>
        <w:keepNext w:val="0"/>
        <w:keepLines w:val="0"/>
        <w:pageBreakBefore w:val="0"/>
        <w:kinsoku/>
        <w:wordWrap/>
        <w:overflowPunct/>
        <w:topLinePunct w:val="0"/>
        <w:autoSpaceDN/>
        <w:bidi w:val="0"/>
        <w:adjustRightInd/>
        <w:snapToGrid/>
        <w:spacing w:line="360" w:lineRule="auto"/>
        <w:ind w:firstLine="480" w:firstLineChars="200"/>
        <w:textAlignment w:val="baseline"/>
        <w:rPr>
          <w:rStyle w:val="60"/>
          <w:rFonts w:hint="eastAsia" w:ascii="宋体" w:hAnsi="宋体" w:cs="宋体"/>
          <w:b/>
          <w:bCs/>
          <w:sz w:val="24"/>
          <w:szCs w:val="24"/>
        </w:rPr>
      </w:pPr>
      <w:r>
        <w:rPr>
          <w:rFonts w:hint="eastAsia" w:ascii="宋体" w:hAnsi="宋体" w:eastAsia="宋体" w:cs="宋体"/>
          <w:bCs/>
          <w:color w:val="auto"/>
          <w:sz w:val="24"/>
          <w:szCs w:val="24"/>
          <w:highlight w:val="none"/>
          <w:lang w:val="en-US" w:eastAsia="zh-CN"/>
        </w:rPr>
        <w:t>（2）投标人提供的样品与标书需求明显不符的</w:t>
      </w:r>
      <w:r>
        <w:rPr>
          <w:rFonts w:hint="eastAsia" w:ascii="宋体" w:hAnsi="宋体" w:cs="宋体"/>
          <w:bCs/>
          <w:color w:val="auto"/>
          <w:sz w:val="24"/>
          <w:szCs w:val="24"/>
          <w:highlight w:val="none"/>
          <w:lang w:val="en-US" w:eastAsia="zh-CN"/>
        </w:rPr>
        <w:t>。</w:t>
      </w:r>
    </w:p>
    <w:p w14:paraId="134626F6">
      <w:pPr>
        <w:spacing w:line="360" w:lineRule="auto"/>
        <w:rPr>
          <w:rStyle w:val="60"/>
          <w:rFonts w:ascii="宋体" w:hAnsi="宋体" w:cs="宋体"/>
          <w:b/>
          <w:bCs/>
          <w:sz w:val="24"/>
          <w:szCs w:val="24"/>
        </w:rPr>
      </w:pPr>
      <w:r>
        <w:rPr>
          <w:rStyle w:val="60"/>
          <w:rFonts w:hint="eastAsia" w:ascii="宋体" w:hAnsi="宋体" w:cs="宋体"/>
          <w:b/>
          <w:bCs/>
          <w:sz w:val="24"/>
          <w:szCs w:val="24"/>
          <w:lang w:val="en-US" w:eastAsia="zh-CN"/>
        </w:rPr>
        <w:t>四</w:t>
      </w:r>
      <w:r>
        <w:rPr>
          <w:rStyle w:val="60"/>
          <w:rFonts w:hint="eastAsia" w:ascii="宋体" w:hAnsi="宋体" w:cs="宋体"/>
          <w:b/>
          <w:bCs/>
          <w:sz w:val="24"/>
          <w:szCs w:val="24"/>
        </w:rPr>
        <w:t>、商务要求</w:t>
      </w:r>
    </w:p>
    <w:tbl>
      <w:tblPr>
        <w:tblStyle w:val="29"/>
        <w:tblW w:w="499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113" w:type="dxa"/>
          <w:left w:w="108" w:type="dxa"/>
          <w:bottom w:w="0" w:type="dxa"/>
          <w:right w:w="108" w:type="dxa"/>
        </w:tblCellMar>
      </w:tblPr>
      <w:tblGrid>
        <w:gridCol w:w="1749"/>
        <w:gridCol w:w="7157"/>
      </w:tblGrid>
      <w:tr w14:paraId="332BC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13" w:type="dxa"/>
            <w:left w:w="108" w:type="dxa"/>
            <w:bottom w:w="0" w:type="dxa"/>
            <w:right w:w="108" w:type="dxa"/>
          </w:tblCellMar>
        </w:tblPrEx>
        <w:trPr>
          <w:trHeight w:val="1393" w:hRule="atLeast"/>
          <w:jc w:val="center"/>
        </w:trPr>
        <w:tc>
          <w:tcPr>
            <w:tcW w:w="982" w:type="pct"/>
            <w:tcBorders>
              <w:top w:val="single" w:color="auto" w:sz="4" w:space="0"/>
              <w:left w:val="single" w:color="auto" w:sz="4" w:space="0"/>
              <w:right w:val="single" w:color="auto" w:sz="4" w:space="0"/>
            </w:tcBorders>
            <w:vAlign w:val="center"/>
          </w:tcPr>
          <w:p w14:paraId="11038BD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保质期与售后</w:t>
            </w:r>
          </w:p>
          <w:p w14:paraId="1E73A63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w:t>
            </w:r>
          </w:p>
        </w:tc>
        <w:tc>
          <w:tcPr>
            <w:tcW w:w="4017" w:type="pct"/>
            <w:tcBorders>
              <w:top w:val="single" w:color="auto" w:sz="4" w:space="0"/>
              <w:left w:val="single" w:color="auto" w:sz="4" w:space="0"/>
              <w:bottom w:val="single" w:color="auto" w:sz="4" w:space="0"/>
              <w:right w:val="single" w:color="auto" w:sz="4" w:space="0"/>
            </w:tcBorders>
            <w:vAlign w:val="center"/>
          </w:tcPr>
          <w:p w14:paraId="29D07D7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0" w:firstLineChars="0"/>
              <w:jc w:val="left"/>
              <w:textAlignment w:val="auto"/>
              <w:rPr>
                <w:rFonts w:hint="eastAsia" w:ascii="宋体" w:hAnsi="宋体" w:eastAsia="宋体" w:cs="宋体"/>
                <w:color w:val="FF0000"/>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项目完工</w:t>
            </w:r>
            <w:r>
              <w:rPr>
                <w:rFonts w:hint="eastAsia" w:ascii="宋体" w:hAnsi="宋体" w:eastAsia="宋体" w:cs="宋体"/>
                <w:color w:val="auto"/>
                <w:sz w:val="24"/>
                <w:szCs w:val="24"/>
                <w:highlight w:val="none"/>
              </w:rPr>
              <w:t>验收合格之日起提供</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年免费质保。</w:t>
            </w:r>
          </w:p>
          <w:p w14:paraId="316EB66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质量保修期内</w:t>
            </w:r>
            <w:r>
              <w:rPr>
                <w:rFonts w:hint="eastAsia" w:ascii="宋体" w:hAnsi="宋体" w:eastAsia="宋体" w:cs="宋体"/>
                <w:color w:val="auto"/>
                <w:sz w:val="24"/>
                <w:szCs w:val="24"/>
                <w:highlight w:val="none"/>
                <w:lang w:val="en-US" w:eastAsia="zh-CN"/>
              </w:rPr>
              <w:t>需</w:t>
            </w:r>
            <w:r>
              <w:rPr>
                <w:rFonts w:hint="eastAsia" w:ascii="宋体" w:hAnsi="宋体" w:eastAsia="宋体" w:cs="宋体"/>
                <w:color w:val="auto"/>
                <w:sz w:val="24"/>
                <w:szCs w:val="24"/>
                <w:highlight w:val="none"/>
              </w:rPr>
              <w:t>提供免费上门维护、修复服务，</w:t>
            </w:r>
            <w:r>
              <w:rPr>
                <w:rFonts w:hint="eastAsia" w:ascii="宋体" w:hAnsi="宋体" w:eastAsia="宋体" w:cs="宋体"/>
                <w:color w:val="auto"/>
                <w:sz w:val="24"/>
                <w:szCs w:val="24"/>
                <w:highlight w:val="none"/>
                <w:lang w:val="en-US" w:eastAsia="zh-CN"/>
              </w:rPr>
              <w:t>如因人为原因造成损坏供应商只收取材料费用。</w:t>
            </w:r>
          </w:p>
        </w:tc>
      </w:tr>
      <w:tr w14:paraId="2D278E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13" w:type="dxa"/>
            <w:left w:w="108" w:type="dxa"/>
            <w:bottom w:w="0" w:type="dxa"/>
            <w:right w:w="108" w:type="dxa"/>
          </w:tblCellMar>
        </w:tblPrEx>
        <w:trPr>
          <w:trHeight w:val="1875" w:hRule="atLeast"/>
          <w:jc w:val="center"/>
        </w:trPr>
        <w:tc>
          <w:tcPr>
            <w:tcW w:w="982" w:type="pct"/>
            <w:tcBorders>
              <w:top w:val="single" w:color="auto" w:sz="4" w:space="0"/>
              <w:left w:val="single" w:color="auto" w:sz="4" w:space="0"/>
              <w:right w:val="single" w:color="auto" w:sz="4" w:space="0"/>
            </w:tcBorders>
            <w:vAlign w:val="center"/>
          </w:tcPr>
          <w:p w14:paraId="3517C7F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项目实施及</w:t>
            </w:r>
            <w:r>
              <w:rPr>
                <w:rFonts w:hint="eastAsia" w:ascii="宋体" w:hAnsi="宋体" w:eastAsia="宋体" w:cs="宋体"/>
                <w:color w:val="auto"/>
                <w:sz w:val="24"/>
                <w:szCs w:val="24"/>
                <w:highlight w:val="none"/>
              </w:rPr>
              <w:t>验收</w:t>
            </w:r>
          </w:p>
        </w:tc>
        <w:tc>
          <w:tcPr>
            <w:tcW w:w="4017" w:type="pct"/>
            <w:tcBorders>
              <w:top w:val="single" w:color="auto" w:sz="4" w:space="0"/>
              <w:left w:val="single" w:color="auto" w:sz="4" w:space="0"/>
              <w:bottom w:val="single" w:color="auto" w:sz="4" w:space="0"/>
              <w:right w:val="single" w:color="auto" w:sz="4" w:space="0"/>
            </w:tcBorders>
            <w:vAlign w:val="center"/>
          </w:tcPr>
          <w:p w14:paraId="6EFBEC56">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供货商进场施工及货物到场前，施工方案需要采购方同意后方可进场；货物应经采购方清点确认无误后方可进场。</w:t>
            </w:r>
          </w:p>
          <w:p w14:paraId="55F113A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符合我国国家有关技术规范要求和技术标准</w:t>
            </w:r>
            <w:r>
              <w:rPr>
                <w:rFonts w:hint="eastAsia" w:ascii="宋体" w:hAnsi="宋体" w:cs="宋体"/>
                <w:color w:val="auto"/>
                <w:sz w:val="24"/>
                <w:szCs w:val="24"/>
                <w:highlight w:val="none"/>
                <w:lang w:eastAsia="zh-CN"/>
              </w:rPr>
              <w:t>。</w:t>
            </w:r>
          </w:p>
          <w:p w14:paraId="4D395F01">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验收由采购单位组织相关人员进行验收。</w:t>
            </w:r>
          </w:p>
        </w:tc>
      </w:tr>
      <w:tr w14:paraId="178CEA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13" w:type="dxa"/>
            <w:left w:w="108" w:type="dxa"/>
            <w:bottom w:w="0" w:type="dxa"/>
            <w:right w:w="108" w:type="dxa"/>
          </w:tblCellMar>
        </w:tblPrEx>
        <w:trPr>
          <w:trHeight w:val="886" w:hRule="atLeast"/>
          <w:jc w:val="center"/>
        </w:trPr>
        <w:tc>
          <w:tcPr>
            <w:tcW w:w="982" w:type="pct"/>
            <w:tcBorders>
              <w:top w:val="single" w:color="auto" w:sz="4" w:space="0"/>
              <w:left w:val="single" w:color="auto" w:sz="4" w:space="0"/>
              <w:bottom w:val="single" w:color="auto" w:sz="4" w:space="0"/>
              <w:right w:val="single" w:color="auto" w:sz="4" w:space="0"/>
            </w:tcBorders>
            <w:vAlign w:val="center"/>
          </w:tcPr>
          <w:p w14:paraId="46D14BA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实施地点及</w:t>
            </w:r>
          </w:p>
          <w:p w14:paraId="6CB67AD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实施期</w:t>
            </w:r>
          </w:p>
        </w:tc>
        <w:tc>
          <w:tcPr>
            <w:tcW w:w="4017" w:type="pct"/>
            <w:tcBorders>
              <w:top w:val="single" w:color="auto" w:sz="4" w:space="0"/>
              <w:left w:val="single" w:color="auto" w:sz="4" w:space="0"/>
              <w:bottom w:val="single" w:color="auto" w:sz="4" w:space="0"/>
              <w:right w:val="single" w:color="auto" w:sz="4" w:space="0"/>
            </w:tcBorders>
            <w:vAlign w:val="center"/>
          </w:tcPr>
          <w:p w14:paraId="4B68BB5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0" w:firstLineChars="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实施地点：</w:t>
            </w:r>
            <w:r>
              <w:rPr>
                <w:rFonts w:hint="eastAsia" w:ascii="宋体" w:hAnsi="宋体" w:cs="宋体"/>
                <w:sz w:val="24"/>
                <w:u w:val="none"/>
              </w:rPr>
              <w:t>嵊州越剧艺术学校</w:t>
            </w:r>
            <w:r>
              <w:rPr>
                <w:rFonts w:hint="eastAsia" w:ascii="宋体" w:hAnsi="宋体" w:eastAsia="宋体" w:cs="宋体"/>
                <w:color w:val="auto"/>
                <w:sz w:val="24"/>
                <w:szCs w:val="24"/>
                <w:highlight w:val="none"/>
                <w:lang w:val="en-US" w:eastAsia="zh-CN"/>
              </w:rPr>
              <w:t xml:space="preserve">   </w:t>
            </w:r>
          </w:p>
          <w:p w14:paraId="2D50836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实施期</w:t>
            </w:r>
            <w:r>
              <w:rPr>
                <w:rFonts w:hint="eastAsia" w:ascii="宋体" w:hAnsi="宋体" w:eastAsia="宋体" w:cs="宋体"/>
                <w:color w:val="auto"/>
                <w:sz w:val="24"/>
                <w:szCs w:val="24"/>
                <w:highlight w:val="none"/>
              </w:rPr>
              <w:t>：</w:t>
            </w:r>
            <w:r>
              <w:rPr>
                <w:rFonts w:hint="eastAsia" w:ascii="宋体" w:hAnsi="宋体" w:cs="宋体"/>
                <w:sz w:val="24"/>
              </w:rPr>
              <w:t>合同签订后</w:t>
            </w:r>
            <w:r>
              <w:rPr>
                <w:rFonts w:hint="eastAsia" w:ascii="宋体" w:hAnsi="宋体" w:cs="宋体"/>
                <w:b w:val="0"/>
                <w:bCs w:val="0"/>
                <w:sz w:val="24"/>
                <w:u w:val="none"/>
                <w:lang w:val="en-US" w:eastAsia="zh-CN"/>
              </w:rPr>
              <w:t>7</w:t>
            </w:r>
            <w:r>
              <w:rPr>
                <w:rFonts w:hint="eastAsia" w:ascii="宋体" w:hAnsi="宋体" w:cs="宋体"/>
                <w:b w:val="0"/>
                <w:bCs w:val="0"/>
                <w:sz w:val="24"/>
                <w:u w:val="none"/>
              </w:rPr>
              <w:t>天内</w:t>
            </w:r>
            <w:r>
              <w:rPr>
                <w:rFonts w:hint="eastAsia" w:ascii="宋体" w:hAnsi="宋体" w:eastAsia="宋体" w:cs="宋体"/>
                <w:color w:val="auto"/>
                <w:sz w:val="24"/>
                <w:szCs w:val="24"/>
                <w:highlight w:val="none"/>
                <w:lang w:val="en-US" w:eastAsia="zh-CN"/>
              </w:rPr>
              <w:t xml:space="preserve">  </w:t>
            </w:r>
          </w:p>
        </w:tc>
      </w:tr>
      <w:tr w14:paraId="5BA28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13" w:type="dxa"/>
            <w:left w:w="108" w:type="dxa"/>
            <w:bottom w:w="0" w:type="dxa"/>
            <w:right w:w="108" w:type="dxa"/>
          </w:tblCellMar>
        </w:tblPrEx>
        <w:trPr>
          <w:trHeight w:val="1368" w:hRule="atLeast"/>
          <w:jc w:val="center"/>
        </w:trPr>
        <w:tc>
          <w:tcPr>
            <w:tcW w:w="982" w:type="pct"/>
            <w:tcBorders>
              <w:top w:val="single" w:color="auto" w:sz="4" w:space="0"/>
              <w:left w:val="single" w:color="auto" w:sz="4" w:space="0"/>
              <w:bottom w:val="single" w:color="auto" w:sz="4" w:space="0"/>
              <w:right w:val="single" w:color="auto" w:sz="4" w:space="0"/>
            </w:tcBorders>
            <w:vAlign w:val="center"/>
          </w:tcPr>
          <w:p w14:paraId="2519EAE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培训</w:t>
            </w:r>
          </w:p>
        </w:tc>
        <w:tc>
          <w:tcPr>
            <w:tcW w:w="4017" w:type="pct"/>
            <w:tcBorders>
              <w:top w:val="single" w:color="auto" w:sz="4" w:space="0"/>
              <w:left w:val="single" w:color="auto" w:sz="4" w:space="0"/>
              <w:bottom w:val="single" w:color="auto" w:sz="4" w:space="0"/>
              <w:right w:val="single" w:color="auto" w:sz="4" w:space="0"/>
            </w:tcBorders>
            <w:vAlign w:val="center"/>
          </w:tcPr>
          <w:p w14:paraId="3A95306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sz w:val="24"/>
              </w:rPr>
              <w:t>中标人应按招标人安排对招标人的相关人员进行培训，培训目标为受训者能够独立、熟练地完成操作，实现依据本项目合同所规定的目标和功能。</w:t>
            </w:r>
          </w:p>
        </w:tc>
      </w:tr>
      <w:tr w14:paraId="19DCC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13" w:type="dxa"/>
            <w:left w:w="108" w:type="dxa"/>
            <w:bottom w:w="0" w:type="dxa"/>
            <w:right w:w="108" w:type="dxa"/>
          </w:tblCellMar>
        </w:tblPrEx>
        <w:trPr>
          <w:trHeight w:val="1635" w:hRule="atLeast"/>
          <w:jc w:val="center"/>
        </w:trPr>
        <w:tc>
          <w:tcPr>
            <w:tcW w:w="982" w:type="pct"/>
            <w:tcBorders>
              <w:top w:val="single" w:color="auto" w:sz="4" w:space="0"/>
              <w:left w:val="single" w:color="auto" w:sz="4" w:space="0"/>
              <w:bottom w:val="single" w:color="auto" w:sz="4" w:space="0"/>
              <w:right w:val="single" w:color="auto" w:sz="4" w:space="0"/>
            </w:tcBorders>
            <w:vAlign w:val="center"/>
          </w:tcPr>
          <w:p w14:paraId="763F3D8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p>
        </w:tc>
        <w:tc>
          <w:tcPr>
            <w:tcW w:w="4017" w:type="pct"/>
            <w:tcBorders>
              <w:top w:val="single" w:color="auto" w:sz="4" w:space="0"/>
              <w:left w:val="single" w:color="auto" w:sz="4" w:space="0"/>
              <w:bottom w:val="single" w:color="auto" w:sz="4" w:space="0"/>
              <w:right w:val="single" w:color="auto" w:sz="4" w:space="0"/>
            </w:tcBorders>
            <w:vAlign w:val="center"/>
          </w:tcPr>
          <w:p w14:paraId="58FB4482">
            <w:pPr>
              <w:keepNext w:val="0"/>
              <w:keepLines w:val="0"/>
              <w:pageBreakBefore w:val="0"/>
              <w:widowControl w:val="0"/>
              <w:kinsoku/>
              <w:wordWrap/>
              <w:overflowPunct/>
              <w:topLinePunct w:val="0"/>
              <w:autoSpaceDE w:val="0"/>
              <w:autoSpaceDN w:val="0"/>
              <w:bidi w:val="0"/>
              <w:snapToGrid w:val="0"/>
              <w:spacing w:line="400" w:lineRule="exact"/>
              <w:jc w:val="left"/>
              <w:textAlignment w:val="auto"/>
              <w:rPr>
                <w:rFonts w:ascii="宋体" w:hAnsi="宋体" w:cs="宋体"/>
                <w:kern w:val="0"/>
                <w:sz w:val="24"/>
              </w:rPr>
            </w:pPr>
            <w:r>
              <w:rPr>
                <w:rFonts w:hint="eastAsia" w:ascii="宋体" w:hAnsi="宋体" w:cs="宋体"/>
                <w:kern w:val="0"/>
                <w:sz w:val="24"/>
              </w:rPr>
              <w:t>（1）合同签订后10日内采购人向中标</w:t>
            </w:r>
            <w:r>
              <w:rPr>
                <w:rFonts w:hint="eastAsia" w:ascii="宋体" w:hAnsi="宋体" w:cs="宋体"/>
                <w:kern w:val="0"/>
                <w:sz w:val="24"/>
                <w:lang w:val="en-US" w:eastAsia="zh-CN"/>
              </w:rPr>
              <w:t>方</w:t>
            </w:r>
            <w:r>
              <w:rPr>
                <w:rFonts w:hint="eastAsia" w:ascii="宋体" w:hAnsi="宋体" w:cs="宋体"/>
                <w:kern w:val="0"/>
                <w:sz w:val="24"/>
              </w:rPr>
              <w:t>支付合同价的30%；</w:t>
            </w:r>
          </w:p>
          <w:p w14:paraId="67C6D19B">
            <w:pPr>
              <w:keepNext w:val="0"/>
              <w:keepLines w:val="0"/>
              <w:pageBreakBefore w:val="0"/>
              <w:widowControl w:val="0"/>
              <w:kinsoku/>
              <w:wordWrap/>
              <w:overflowPunct/>
              <w:topLinePunct w:val="0"/>
              <w:autoSpaceDE w:val="0"/>
              <w:autoSpaceDN w:val="0"/>
              <w:bidi w:val="0"/>
              <w:snapToGrid w:val="0"/>
              <w:spacing w:line="400" w:lineRule="exact"/>
              <w:jc w:val="left"/>
              <w:textAlignment w:val="auto"/>
              <w:rPr>
                <w:rFonts w:ascii="宋体" w:hAnsi="宋体" w:cs="宋体"/>
                <w:kern w:val="0"/>
                <w:sz w:val="24"/>
              </w:rPr>
            </w:pPr>
            <w:r>
              <w:rPr>
                <w:rFonts w:hint="eastAsia" w:ascii="宋体" w:hAnsi="宋体" w:cs="宋体"/>
                <w:kern w:val="0"/>
                <w:sz w:val="24"/>
              </w:rPr>
              <w:t>（2）全部安装完毕验收合格后10日内支付至合同价的80%；</w:t>
            </w:r>
          </w:p>
          <w:p w14:paraId="05BD16CB">
            <w:pPr>
              <w:keepNext w:val="0"/>
              <w:keepLines w:val="0"/>
              <w:pageBreakBefore w:val="0"/>
              <w:widowControl w:val="0"/>
              <w:kinsoku/>
              <w:wordWrap/>
              <w:overflowPunct/>
              <w:topLinePunct w:val="0"/>
              <w:autoSpaceDE w:val="0"/>
              <w:autoSpaceDN w:val="0"/>
              <w:bidi w:val="0"/>
              <w:snapToGrid w:val="0"/>
              <w:spacing w:line="400" w:lineRule="exact"/>
              <w:jc w:val="left"/>
              <w:textAlignment w:val="auto"/>
              <w:rPr>
                <w:rFonts w:ascii="宋体" w:hAnsi="宋体" w:cs="宋体"/>
                <w:kern w:val="0"/>
                <w:sz w:val="24"/>
              </w:rPr>
            </w:pPr>
            <w:r>
              <w:rPr>
                <w:rFonts w:hint="eastAsia" w:ascii="宋体" w:hAnsi="宋体" w:cs="宋体"/>
                <w:kern w:val="0"/>
                <w:sz w:val="24"/>
              </w:rPr>
              <w:t>（3）</w:t>
            </w:r>
            <w:r>
              <w:rPr>
                <w:rFonts w:hint="eastAsia" w:ascii="宋体" w:hAnsi="宋体" w:cs="宋体"/>
                <w:kern w:val="0"/>
                <w:sz w:val="24"/>
                <w:lang w:eastAsia="zh-CN"/>
              </w:rPr>
              <w:t>经第三方审计后支付至审定价的95%</w:t>
            </w:r>
            <w:r>
              <w:rPr>
                <w:rFonts w:hint="eastAsia" w:ascii="宋体" w:hAnsi="宋体" w:cs="宋体"/>
                <w:kern w:val="0"/>
                <w:sz w:val="24"/>
              </w:rPr>
              <w:t>；</w:t>
            </w:r>
          </w:p>
          <w:p w14:paraId="2E0076B2">
            <w:pPr>
              <w:keepNext w:val="0"/>
              <w:keepLines w:val="0"/>
              <w:pageBreakBefore w:val="0"/>
              <w:widowControl w:val="0"/>
              <w:kinsoku/>
              <w:wordWrap/>
              <w:overflowPunct/>
              <w:topLinePunct w:val="0"/>
              <w:autoSpaceDE w:val="0"/>
              <w:autoSpaceDN w:val="0"/>
              <w:bidi w:val="0"/>
              <w:snapToGrid w:val="0"/>
              <w:spacing w:line="400" w:lineRule="exact"/>
              <w:jc w:val="left"/>
              <w:textAlignment w:val="auto"/>
              <w:rPr>
                <w:rFonts w:hint="eastAsia" w:ascii="宋体" w:hAnsi="宋体" w:cs="宋体"/>
                <w:kern w:val="0"/>
                <w:sz w:val="24"/>
              </w:rPr>
            </w:pPr>
            <w:r>
              <w:rPr>
                <w:rFonts w:hint="eastAsia" w:ascii="宋体" w:hAnsi="宋体" w:cs="宋体"/>
                <w:kern w:val="0"/>
                <w:sz w:val="24"/>
              </w:rPr>
              <w:t>（4）</w:t>
            </w:r>
            <w:r>
              <w:rPr>
                <w:rFonts w:hint="eastAsia" w:ascii="宋体" w:hAnsi="宋体" w:cs="宋体"/>
                <w:kern w:val="0"/>
                <w:sz w:val="24"/>
                <w:lang w:eastAsia="zh-CN"/>
              </w:rPr>
              <w:t>质保金5%至质保期满后结清</w:t>
            </w:r>
            <w:r>
              <w:rPr>
                <w:rFonts w:hint="eastAsia" w:ascii="宋体" w:hAnsi="宋体" w:cs="宋体"/>
                <w:kern w:val="0"/>
                <w:sz w:val="24"/>
              </w:rPr>
              <w:t>。</w:t>
            </w:r>
          </w:p>
          <w:p w14:paraId="073C2076">
            <w:pPr>
              <w:keepNext w:val="0"/>
              <w:keepLines w:val="0"/>
              <w:pageBreakBefore w:val="0"/>
              <w:widowControl w:val="0"/>
              <w:kinsoku/>
              <w:wordWrap/>
              <w:overflowPunct/>
              <w:topLinePunct w:val="0"/>
              <w:autoSpaceDE w:val="0"/>
              <w:autoSpaceDN w:val="0"/>
              <w:bidi w:val="0"/>
              <w:snapToGrid w:val="0"/>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kern w:val="0"/>
                <w:sz w:val="24"/>
                <w:lang w:eastAsia="zh-CN"/>
              </w:rPr>
              <w:t>（</w:t>
            </w:r>
            <w:r>
              <w:rPr>
                <w:rFonts w:hint="eastAsia" w:ascii="宋体" w:hAnsi="宋体" w:cs="宋体"/>
                <w:kern w:val="0"/>
                <w:sz w:val="24"/>
                <w:lang w:val="en-US" w:eastAsia="zh-CN"/>
              </w:rPr>
              <w:t>5）</w:t>
            </w:r>
            <w:r>
              <w:rPr>
                <w:rFonts w:hint="eastAsia" w:ascii="宋体" w:hAnsi="宋体" w:cs="宋体"/>
                <w:kern w:val="0"/>
                <w:sz w:val="24"/>
              </w:rPr>
              <w:t>每次付款前成交供应商需提供相应金额合法的增值税专用发票，否则采购人有权暂不付款且不构成违约。</w:t>
            </w:r>
          </w:p>
        </w:tc>
      </w:tr>
      <w:tr w14:paraId="11FDBD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13" w:type="dxa"/>
            <w:left w:w="108" w:type="dxa"/>
            <w:bottom w:w="0" w:type="dxa"/>
            <w:right w:w="108" w:type="dxa"/>
          </w:tblCellMar>
        </w:tblPrEx>
        <w:trPr>
          <w:trHeight w:val="90" w:hRule="atLeast"/>
          <w:jc w:val="center"/>
        </w:trPr>
        <w:tc>
          <w:tcPr>
            <w:tcW w:w="982" w:type="pct"/>
            <w:tcBorders>
              <w:top w:val="single" w:color="auto" w:sz="4" w:space="0"/>
              <w:left w:val="single" w:color="auto" w:sz="4" w:space="0"/>
              <w:right w:val="single" w:color="auto" w:sz="4" w:space="0"/>
            </w:tcBorders>
            <w:vAlign w:val="center"/>
          </w:tcPr>
          <w:p w14:paraId="33F3185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
              </w:rPr>
              <w:t>履约保证金</w:t>
            </w:r>
          </w:p>
        </w:tc>
        <w:tc>
          <w:tcPr>
            <w:tcW w:w="4017" w:type="pct"/>
            <w:tcBorders>
              <w:top w:val="single" w:color="auto" w:sz="4" w:space="0"/>
              <w:left w:val="single" w:color="auto" w:sz="4" w:space="0"/>
              <w:bottom w:val="single" w:color="auto" w:sz="4" w:space="0"/>
              <w:right w:val="single" w:color="auto" w:sz="4" w:space="0"/>
            </w:tcBorders>
            <w:vAlign w:val="center"/>
          </w:tcPr>
          <w:p w14:paraId="4AD1DC3E">
            <w:pPr>
              <w:pStyle w:val="26"/>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color w:val="auto"/>
                <w:kern w:val="1"/>
                <w:sz w:val="24"/>
                <w:szCs w:val="24"/>
                <w:highlight w:val="none"/>
                <w:lang w:val="en-US" w:eastAsia="zh-CN" w:bidi="ar"/>
              </w:rPr>
            </w:pPr>
            <w:r>
              <w:rPr>
                <w:rFonts w:hint="eastAsia" w:ascii="宋体" w:hAnsi="宋体" w:eastAsia="宋体" w:cs="宋体"/>
                <w:color w:val="auto"/>
                <w:kern w:val="1"/>
                <w:sz w:val="24"/>
                <w:szCs w:val="24"/>
                <w:highlight w:val="none"/>
                <w:lang w:val="en-US" w:eastAsia="zh-CN" w:bidi="ar"/>
              </w:rPr>
              <w:t>履约保证金按合同金额的1%计取，中标单位在中标通知书发出后5个工作日内向采购人递交履约保证金，履约保证金待项目完工验收合格且无违约问题后30日内无息退回。</w:t>
            </w:r>
          </w:p>
          <w:p w14:paraId="7CF23D75">
            <w:pPr>
              <w:pStyle w:val="26"/>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sz w:val="24"/>
              </w:rPr>
              <w:t>履约保证金支付方式：保函、网上银行、电汇、汇票或转账形式。</w:t>
            </w:r>
          </w:p>
        </w:tc>
      </w:tr>
    </w:tbl>
    <w:p w14:paraId="19E43BDE">
      <w:pPr>
        <w:spacing w:line="360" w:lineRule="auto"/>
        <w:ind w:firstLine="482" w:firstLineChars="200"/>
        <w:rPr>
          <w:rFonts w:hint="eastAsia" w:ascii="宋体" w:hAnsi="宋体" w:cs="宋体"/>
          <w:b/>
          <w:bCs/>
          <w:sz w:val="24"/>
        </w:rPr>
      </w:pPr>
    </w:p>
    <w:p w14:paraId="7B4947C6">
      <w:pPr>
        <w:widowControl/>
        <w:spacing w:line="360" w:lineRule="auto"/>
        <w:jc w:val="left"/>
        <w:outlineLvl w:val="1"/>
        <w:rPr>
          <w:rStyle w:val="60"/>
          <w:rFonts w:ascii="宋体" w:hAnsi="宋体" w:cs="宋体"/>
          <w:b/>
          <w:bCs/>
          <w:sz w:val="24"/>
          <w:szCs w:val="24"/>
        </w:rPr>
      </w:pPr>
      <w:r>
        <w:rPr>
          <w:rFonts w:hint="eastAsia" w:ascii="宋体" w:hAnsi="宋体" w:cs="宋体"/>
          <w:b/>
          <w:bCs/>
          <w:sz w:val="24"/>
          <w:lang w:val="en-US" w:eastAsia="zh-CN"/>
        </w:rPr>
        <w:t>五</w:t>
      </w:r>
      <w:r>
        <w:rPr>
          <w:rFonts w:hint="eastAsia" w:ascii="宋体" w:hAnsi="宋体" w:cs="宋体"/>
          <w:b/>
          <w:bCs/>
          <w:sz w:val="24"/>
        </w:rPr>
        <w:t>、本章未尽之处见合同主要条款中的相关要求。</w:t>
      </w:r>
    </w:p>
    <w:p w14:paraId="2FB05813">
      <w:pPr>
        <w:rPr>
          <w:rFonts w:ascii="宋体" w:hAnsi="宋体" w:cs="宋体"/>
          <w:b/>
          <w:bCs/>
          <w:sz w:val="24"/>
        </w:rPr>
        <w:sectPr>
          <w:headerReference r:id="rId8" w:type="default"/>
          <w:footerReference r:id="rId9" w:type="default"/>
          <w:pgSz w:w="11906" w:h="16838"/>
          <w:pgMar w:top="1417" w:right="1797" w:bottom="1417" w:left="1417" w:header="851" w:footer="851" w:gutter="0"/>
          <w:pgNumType w:start="1"/>
          <w:cols w:space="720" w:num="1"/>
          <w:docGrid w:linePitch="312" w:charSpace="0"/>
        </w:sectPr>
      </w:pPr>
    </w:p>
    <w:bookmarkEnd w:id="61"/>
    <w:p w14:paraId="7DE8CD9A">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ascii="宋体" w:hAnsi="宋体" w:cs="宋体"/>
          <w:b/>
          <w:kern w:val="1"/>
          <w:sz w:val="24"/>
        </w:rPr>
      </w:pPr>
      <w:bookmarkStart w:id="62" w:name="_Toc13216"/>
      <w:bookmarkStart w:id="63" w:name="_Toc26542"/>
      <w:bookmarkStart w:id="64" w:name="_Toc1067"/>
      <w:r>
        <w:rPr>
          <w:rFonts w:hint="eastAsia" w:ascii="宋体" w:hAnsi="宋体" w:cs="宋体"/>
          <w:b/>
          <w:kern w:val="1"/>
          <w:sz w:val="32"/>
          <w:szCs w:val="32"/>
        </w:rPr>
        <w:t>第四章 评标办法</w:t>
      </w:r>
      <w:bookmarkEnd w:id="62"/>
      <w:bookmarkEnd w:id="63"/>
      <w:bookmarkEnd w:id="64"/>
    </w:p>
    <w:p w14:paraId="7D24030B">
      <w:pPr>
        <w:keepNext w:val="0"/>
        <w:keepLines w:val="0"/>
        <w:pageBreakBefore w:val="0"/>
        <w:widowControl w:val="0"/>
        <w:kinsoku/>
        <w:wordWrap/>
        <w:overflowPunct/>
        <w:topLinePunct w:val="0"/>
        <w:autoSpaceDE/>
        <w:autoSpaceDN/>
        <w:bidi w:val="0"/>
        <w:adjustRightInd w:val="0"/>
        <w:snapToGrid/>
        <w:spacing w:line="440" w:lineRule="exact"/>
        <w:ind w:firstLine="31680"/>
        <w:textAlignment w:val="auto"/>
        <w:outlineLvl w:val="1"/>
        <w:rPr>
          <w:rFonts w:ascii="宋体" w:hAnsi="宋体" w:cs="宋体"/>
          <w:b/>
          <w:kern w:val="1"/>
          <w:sz w:val="24"/>
        </w:rPr>
      </w:pPr>
      <w:r>
        <w:rPr>
          <w:rFonts w:hint="eastAsia" w:ascii="宋体" w:hAnsi="宋体" w:cs="宋体"/>
          <w:b/>
          <w:kern w:val="1"/>
          <w:sz w:val="24"/>
        </w:rPr>
        <w:t>一</w:t>
      </w:r>
      <w:bookmarkStart w:id="65" w:name="_Toc24743"/>
      <w:r>
        <w:rPr>
          <w:rFonts w:hint="eastAsia" w:ascii="宋体" w:hAnsi="宋体" w:cs="宋体"/>
          <w:b/>
          <w:sz w:val="24"/>
        </w:rPr>
        <w:t>一、评标办法及标准</w:t>
      </w:r>
    </w:p>
    <w:p w14:paraId="75255CDB">
      <w:pPr>
        <w:spacing w:line="440" w:lineRule="exact"/>
        <w:jc w:val="left"/>
        <w:rPr>
          <w:rFonts w:ascii="宋体" w:hAnsi="宋体" w:cs="宋体"/>
          <w:b/>
          <w:sz w:val="24"/>
        </w:rPr>
      </w:pPr>
      <w:r>
        <w:rPr>
          <w:rFonts w:hint="eastAsia" w:ascii="宋体" w:hAnsi="宋体" w:cs="宋体"/>
          <w:b/>
          <w:sz w:val="24"/>
        </w:rPr>
        <w:t>1、评标方法：</w:t>
      </w:r>
    </w:p>
    <w:p w14:paraId="166253D0">
      <w:pPr>
        <w:spacing w:line="440" w:lineRule="exact"/>
        <w:ind w:firstLine="480" w:firstLineChars="200"/>
        <w:jc w:val="left"/>
        <w:rPr>
          <w:rFonts w:ascii="宋体" w:hAnsi="宋体" w:cs="宋体"/>
          <w:sz w:val="24"/>
        </w:rPr>
      </w:pPr>
      <w:r>
        <w:rPr>
          <w:rFonts w:hint="eastAsia" w:ascii="宋体" w:hAnsi="宋体" w:cs="宋体"/>
          <w:sz w:val="24"/>
        </w:rPr>
        <w:t>本次评标采用综合评分法，评标结果按评审后得分由高到低顺序排列。得分相同的，按投标报价由低到高顺序排列。得分且投标报价相同的并列。投标文件满足采购文件全部实质性要求，且按照评审因素的量化指标评审得分最高的投标人为中标候选人。中标候选人并列的，采用随机抽取的方式确定。</w:t>
      </w:r>
    </w:p>
    <w:p w14:paraId="75F5F882">
      <w:pPr>
        <w:spacing w:line="440" w:lineRule="exact"/>
        <w:jc w:val="left"/>
        <w:rPr>
          <w:rFonts w:ascii="宋体" w:hAnsi="宋体" w:cs="宋体"/>
          <w:sz w:val="24"/>
        </w:rPr>
      </w:pPr>
      <w:r>
        <w:rPr>
          <w:rFonts w:hint="eastAsia" w:ascii="宋体" w:hAnsi="宋体" w:cs="宋体"/>
          <w:b/>
          <w:sz w:val="24"/>
        </w:rPr>
        <w:t>2.评分标准：</w:t>
      </w:r>
      <w:r>
        <w:rPr>
          <w:rFonts w:hint="eastAsia" w:ascii="宋体" w:hAnsi="宋体" w:cs="宋体"/>
          <w:sz w:val="24"/>
        </w:rPr>
        <w:t>共100分，其中资信技术分</w:t>
      </w:r>
      <w:r>
        <w:rPr>
          <w:rFonts w:hint="eastAsia" w:ascii="宋体" w:hAnsi="宋体" w:cs="宋体"/>
          <w:sz w:val="24"/>
          <w:lang w:val="en-US" w:eastAsia="zh-CN"/>
        </w:rPr>
        <w:t>5</w:t>
      </w:r>
      <w:r>
        <w:rPr>
          <w:rFonts w:hint="eastAsia" w:ascii="宋体" w:hAnsi="宋体" w:cs="宋体"/>
          <w:sz w:val="24"/>
        </w:rPr>
        <w:t>0分，价格分</w:t>
      </w:r>
      <w:r>
        <w:rPr>
          <w:rFonts w:hint="eastAsia" w:ascii="宋体" w:hAnsi="宋体" w:cs="宋体"/>
          <w:sz w:val="24"/>
          <w:lang w:val="en-US" w:eastAsia="zh-CN"/>
        </w:rPr>
        <w:t>5</w:t>
      </w:r>
      <w:r>
        <w:rPr>
          <w:rFonts w:hint="eastAsia" w:ascii="宋体" w:hAnsi="宋体" w:cs="宋体"/>
          <w:sz w:val="24"/>
        </w:rPr>
        <w:t>0分。评分依下述所列为评标评分依据，分值如下（计算分值时，按其算术平均值保留小数2位）。</w:t>
      </w:r>
    </w:p>
    <w:p w14:paraId="5467685C">
      <w:pPr>
        <w:pStyle w:val="3"/>
        <w:spacing w:line="400" w:lineRule="exact"/>
        <w:rPr>
          <w:rFonts w:ascii="宋体" w:hAnsi="宋体" w:eastAsia="宋体" w:cs="宋体"/>
          <w:bCs w:val="0"/>
          <w:kern w:val="1"/>
          <w:sz w:val="24"/>
          <w:szCs w:val="24"/>
        </w:rPr>
      </w:pPr>
      <w:r>
        <w:rPr>
          <w:rFonts w:hint="eastAsia" w:ascii="宋体" w:hAnsi="宋体" w:eastAsia="宋体" w:cs="宋体"/>
          <w:bCs w:val="0"/>
          <w:kern w:val="1"/>
          <w:sz w:val="24"/>
          <w:szCs w:val="24"/>
          <w:lang w:val="en-US"/>
        </w:rPr>
        <w:t>二</w:t>
      </w:r>
      <w:r>
        <w:rPr>
          <w:rFonts w:hint="eastAsia" w:ascii="宋体" w:hAnsi="宋体" w:eastAsia="宋体" w:cs="宋体"/>
          <w:bCs w:val="0"/>
          <w:kern w:val="1"/>
          <w:sz w:val="24"/>
          <w:szCs w:val="24"/>
        </w:rPr>
        <w:t>、评分细则</w:t>
      </w:r>
      <w:bookmarkEnd w:id="65"/>
    </w:p>
    <w:p w14:paraId="1949EE8D">
      <w:pPr>
        <w:spacing w:line="400" w:lineRule="exact"/>
        <w:ind w:firstLine="480" w:firstLineChars="200"/>
        <w:rPr>
          <w:rFonts w:ascii="宋体" w:hAnsi="宋体" w:cs="宋体"/>
          <w:b/>
          <w:bCs/>
          <w:sz w:val="24"/>
        </w:rPr>
      </w:pPr>
      <w:bookmarkStart w:id="66" w:name="_Toc25523"/>
      <w:bookmarkStart w:id="67" w:name="_Toc15877"/>
      <w:bookmarkStart w:id="68" w:name="_Toc8615"/>
      <w:bookmarkStart w:id="69" w:name="_Toc2190"/>
      <w:bookmarkStart w:id="70" w:name="_Toc5109"/>
      <w:bookmarkStart w:id="71" w:name="_Toc1494"/>
      <w:bookmarkStart w:id="72" w:name="_Toc5732"/>
      <w:bookmarkStart w:id="73" w:name="_Toc361685350"/>
      <w:bookmarkStart w:id="74" w:name="_Toc3954"/>
      <w:bookmarkStart w:id="75" w:name="_Toc22053"/>
      <w:bookmarkStart w:id="76" w:name="_Toc16967"/>
      <w:bookmarkStart w:id="77" w:name="_Toc31350"/>
      <w:r>
        <w:rPr>
          <w:rFonts w:hint="eastAsia" w:ascii="宋体" w:hAnsi="宋体" w:cs="宋体"/>
          <w:kern w:val="1"/>
          <w:sz w:val="24"/>
        </w:rPr>
        <w:t>1、资信技术分（</w:t>
      </w:r>
      <w:r>
        <w:rPr>
          <w:rFonts w:hint="eastAsia" w:ascii="宋体" w:hAnsi="宋体" w:cs="宋体"/>
          <w:kern w:val="1"/>
          <w:sz w:val="24"/>
          <w:lang w:val="en-US" w:eastAsia="zh-CN"/>
        </w:rPr>
        <w:t>5</w:t>
      </w:r>
      <w:r>
        <w:rPr>
          <w:rFonts w:hint="eastAsia" w:ascii="宋体" w:hAnsi="宋体" w:cs="宋体"/>
          <w:kern w:val="1"/>
          <w:sz w:val="24"/>
        </w:rPr>
        <w:t>0分）</w:t>
      </w:r>
    </w:p>
    <w:bookmarkEnd w:id="66"/>
    <w:bookmarkEnd w:id="67"/>
    <w:bookmarkEnd w:id="68"/>
    <w:bookmarkEnd w:id="69"/>
    <w:bookmarkEnd w:id="70"/>
    <w:bookmarkEnd w:id="71"/>
    <w:bookmarkEnd w:id="72"/>
    <w:bookmarkEnd w:id="73"/>
    <w:bookmarkEnd w:id="74"/>
    <w:bookmarkEnd w:id="75"/>
    <w:bookmarkEnd w:id="76"/>
    <w:bookmarkEnd w:id="77"/>
    <w:tbl>
      <w:tblPr>
        <w:tblStyle w:val="29"/>
        <w:tblW w:w="52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241"/>
        <w:gridCol w:w="6244"/>
        <w:gridCol w:w="726"/>
      </w:tblGrid>
      <w:tr w14:paraId="3E17B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93" w:type="pct"/>
            <w:vAlign w:val="center"/>
          </w:tcPr>
          <w:p w14:paraId="5E9ED7B9">
            <w:pPr>
              <w:keepNext w:val="0"/>
              <w:keepLines w:val="0"/>
              <w:pageBreakBefore w:val="0"/>
              <w:widowControl/>
              <w:kinsoku/>
              <w:wordWrap/>
              <w:overflowPunct/>
              <w:topLinePunct w:val="0"/>
              <w:bidi w:val="0"/>
              <w:adjustRightInd w:val="0"/>
              <w:spacing w:line="440" w:lineRule="exact"/>
              <w:jc w:val="center"/>
              <w:textAlignment w:val="auto"/>
              <w:rPr>
                <w:rFonts w:ascii="宋体" w:hAnsi="宋体" w:cs="宋体"/>
                <w:sz w:val="24"/>
              </w:rPr>
            </w:pPr>
            <w:bookmarkStart w:id="78" w:name="_Toc3938"/>
            <w:bookmarkStart w:id="79" w:name="_Toc2033"/>
            <w:r>
              <w:rPr>
                <w:rFonts w:hint="eastAsia" w:ascii="宋体" w:hAnsi="宋体" w:cs="宋体"/>
                <w:sz w:val="24"/>
              </w:rPr>
              <w:t>序号</w:t>
            </w:r>
          </w:p>
        </w:tc>
        <w:tc>
          <w:tcPr>
            <w:tcW w:w="696" w:type="pct"/>
            <w:vAlign w:val="center"/>
          </w:tcPr>
          <w:p w14:paraId="71BEFB3F">
            <w:pPr>
              <w:keepNext w:val="0"/>
              <w:keepLines w:val="0"/>
              <w:pageBreakBefore w:val="0"/>
              <w:widowControl/>
              <w:kinsoku/>
              <w:wordWrap/>
              <w:overflowPunct/>
              <w:topLinePunct w:val="0"/>
              <w:bidi w:val="0"/>
              <w:adjustRightInd w:val="0"/>
              <w:spacing w:line="440" w:lineRule="exact"/>
              <w:jc w:val="center"/>
              <w:textAlignment w:val="auto"/>
              <w:rPr>
                <w:rFonts w:ascii="宋体" w:hAnsi="宋体" w:cs="宋体"/>
                <w:sz w:val="24"/>
              </w:rPr>
            </w:pPr>
            <w:r>
              <w:rPr>
                <w:rFonts w:hint="eastAsia" w:ascii="宋体" w:hAnsi="宋体" w:cs="宋体"/>
                <w:sz w:val="24"/>
              </w:rPr>
              <w:t>评分项目</w:t>
            </w:r>
          </w:p>
        </w:tc>
        <w:tc>
          <w:tcPr>
            <w:tcW w:w="3502" w:type="pct"/>
            <w:vAlign w:val="center"/>
          </w:tcPr>
          <w:p w14:paraId="10CB7B39">
            <w:pPr>
              <w:keepNext w:val="0"/>
              <w:keepLines w:val="0"/>
              <w:pageBreakBefore w:val="0"/>
              <w:widowControl/>
              <w:kinsoku/>
              <w:wordWrap/>
              <w:overflowPunct/>
              <w:topLinePunct w:val="0"/>
              <w:bidi w:val="0"/>
              <w:adjustRightInd w:val="0"/>
              <w:spacing w:line="440" w:lineRule="exact"/>
              <w:jc w:val="center"/>
              <w:textAlignment w:val="auto"/>
              <w:rPr>
                <w:rFonts w:ascii="宋体" w:hAnsi="宋体" w:cs="宋体"/>
                <w:sz w:val="24"/>
              </w:rPr>
            </w:pPr>
            <w:r>
              <w:rPr>
                <w:rFonts w:hint="eastAsia" w:ascii="宋体" w:hAnsi="宋体" w:cs="宋体"/>
                <w:sz w:val="24"/>
              </w:rPr>
              <w:t>评标要点及说明</w:t>
            </w:r>
          </w:p>
        </w:tc>
        <w:tc>
          <w:tcPr>
            <w:tcW w:w="407" w:type="pct"/>
            <w:vAlign w:val="center"/>
          </w:tcPr>
          <w:p w14:paraId="3A77938B">
            <w:pPr>
              <w:keepNext w:val="0"/>
              <w:keepLines w:val="0"/>
              <w:pageBreakBefore w:val="0"/>
              <w:widowControl/>
              <w:kinsoku/>
              <w:wordWrap/>
              <w:overflowPunct/>
              <w:topLinePunct w:val="0"/>
              <w:bidi w:val="0"/>
              <w:adjustRightInd w:val="0"/>
              <w:spacing w:line="440" w:lineRule="exact"/>
              <w:jc w:val="center"/>
              <w:textAlignment w:val="auto"/>
              <w:rPr>
                <w:rFonts w:ascii="宋体" w:hAnsi="宋体" w:cs="宋体"/>
                <w:sz w:val="24"/>
              </w:rPr>
            </w:pPr>
            <w:r>
              <w:rPr>
                <w:rFonts w:hint="eastAsia" w:ascii="宋体" w:hAnsi="宋体" w:cs="宋体"/>
                <w:sz w:val="24"/>
              </w:rPr>
              <w:t>得分</w:t>
            </w:r>
          </w:p>
        </w:tc>
      </w:tr>
      <w:tr w14:paraId="5734B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393" w:type="pct"/>
            <w:shd w:val="clear" w:color="auto" w:fill="FFFFFF"/>
            <w:vAlign w:val="center"/>
          </w:tcPr>
          <w:p w14:paraId="705DCEE6">
            <w:pPr>
              <w:keepNext w:val="0"/>
              <w:keepLines w:val="0"/>
              <w:pageBreakBefore w:val="0"/>
              <w:widowControl/>
              <w:kinsoku/>
              <w:wordWrap/>
              <w:overflowPunct/>
              <w:topLinePunct w:val="0"/>
              <w:bidi w:val="0"/>
              <w:adjustRightInd w:val="0"/>
              <w:spacing w:line="440" w:lineRule="exact"/>
              <w:jc w:val="center"/>
              <w:textAlignment w:val="auto"/>
              <w:rPr>
                <w:rFonts w:ascii="宋体" w:hAnsi="宋体" w:cs="宋体"/>
                <w:sz w:val="24"/>
              </w:rPr>
            </w:pPr>
            <w:r>
              <w:rPr>
                <w:rFonts w:hint="eastAsia" w:ascii="宋体" w:hAnsi="宋体" w:cs="宋体"/>
                <w:sz w:val="24"/>
              </w:rPr>
              <w:t>1</w:t>
            </w:r>
          </w:p>
        </w:tc>
        <w:tc>
          <w:tcPr>
            <w:tcW w:w="696" w:type="pct"/>
            <w:shd w:val="clear" w:color="auto" w:fill="FFFFFF"/>
            <w:vAlign w:val="center"/>
          </w:tcPr>
          <w:p w14:paraId="5325E7BD">
            <w:pPr>
              <w:keepNext w:val="0"/>
              <w:keepLines w:val="0"/>
              <w:pageBreakBefore w:val="0"/>
              <w:widowControl/>
              <w:kinsoku/>
              <w:wordWrap/>
              <w:overflowPunct/>
              <w:topLinePunct w:val="0"/>
              <w:bidi w:val="0"/>
              <w:adjustRightInd w:val="0"/>
              <w:spacing w:line="440" w:lineRule="exact"/>
              <w:textAlignment w:val="auto"/>
              <w:rPr>
                <w:rFonts w:ascii="宋体" w:hAnsi="宋体" w:cs="宋体"/>
                <w:sz w:val="24"/>
              </w:rPr>
            </w:pPr>
            <w:r>
              <w:rPr>
                <w:rFonts w:ascii="宋体" w:hAnsi="宋体" w:cs="宋体"/>
                <w:sz w:val="24"/>
              </w:rPr>
              <w:t>企业资质</w:t>
            </w:r>
          </w:p>
        </w:tc>
        <w:tc>
          <w:tcPr>
            <w:tcW w:w="3502" w:type="pct"/>
            <w:shd w:val="clear" w:color="auto" w:fill="FFFFFF"/>
            <w:vAlign w:val="center"/>
          </w:tcPr>
          <w:p w14:paraId="3F10D0E9">
            <w:pPr>
              <w:keepNext w:val="0"/>
              <w:keepLines w:val="0"/>
              <w:pageBreakBefore w:val="0"/>
              <w:kinsoku/>
              <w:wordWrap/>
              <w:overflowPunct/>
              <w:topLinePunct w:val="0"/>
              <w:bidi w:val="0"/>
              <w:adjustRightInd w:val="0"/>
              <w:snapToGrid w:val="0"/>
              <w:spacing w:line="440" w:lineRule="exact"/>
              <w:jc w:val="left"/>
              <w:textAlignment w:val="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投标人具有且提供有效期内的</w:t>
            </w:r>
            <w:r>
              <w:rPr>
                <w:rFonts w:hint="eastAsia" w:ascii="宋体" w:hAnsi="宋体" w:cs="宋体"/>
                <w:b/>
                <w:bCs w:val="0"/>
                <w:color w:val="000000" w:themeColor="text1"/>
                <w:sz w:val="24"/>
                <w14:textFill>
                  <w14:solidFill>
                    <w14:schemeClr w14:val="tx1"/>
                  </w14:solidFill>
                </w14:textFill>
              </w:rPr>
              <w:t>业务连续性管理体系认证证书、数据安全能力成熟度符合标准认证证书</w:t>
            </w:r>
            <w:r>
              <w:rPr>
                <w:rFonts w:hint="eastAsia" w:ascii="宋体" w:hAnsi="宋体" w:cs="宋体"/>
                <w:b/>
                <w:bCs w:val="0"/>
                <w:color w:val="000000" w:themeColor="text1"/>
                <w:sz w:val="24"/>
                <w:lang w:eastAsia="zh-CN"/>
                <w14:textFill>
                  <w14:solidFill>
                    <w14:schemeClr w14:val="tx1"/>
                  </w14:solidFill>
                </w14:textFill>
              </w:rPr>
              <w:t>、</w:t>
            </w:r>
            <w:r>
              <w:rPr>
                <w:rFonts w:hint="eastAsia" w:ascii="宋体" w:hAnsi="宋体" w:cs="宋体"/>
                <w:b/>
                <w:bCs w:val="0"/>
                <w:color w:val="000000" w:themeColor="text1"/>
                <w:sz w:val="24"/>
                <w14:textFill>
                  <w14:solidFill>
                    <w14:schemeClr w14:val="tx1"/>
                  </w14:solidFill>
                </w14:textFill>
              </w:rPr>
              <w:t>信息技术服务标准符合性证书</w:t>
            </w:r>
            <w:r>
              <w:rPr>
                <w:rFonts w:hint="eastAsia" w:ascii="宋体" w:hAnsi="宋体" w:cs="宋体"/>
                <w:b w:val="0"/>
                <w:bCs/>
                <w:color w:val="000000" w:themeColor="text1"/>
                <w:sz w:val="24"/>
                <w14:textFill>
                  <w14:solidFill>
                    <w14:schemeClr w14:val="tx1"/>
                  </w14:solidFill>
                </w14:textFill>
              </w:rPr>
              <w:t>的，</w:t>
            </w:r>
            <w:r>
              <w:rPr>
                <w:rFonts w:hint="eastAsia" w:ascii="宋体" w:hAnsi="宋体" w:cs="宋体"/>
                <w:bCs/>
                <w:color w:val="000000" w:themeColor="text1"/>
                <w:sz w:val="24"/>
                <w14:textFill>
                  <w14:solidFill>
                    <w14:schemeClr w14:val="tx1"/>
                  </w14:solidFill>
                </w14:textFill>
              </w:rPr>
              <w:t>每提供1个得</w:t>
            </w:r>
            <w:r>
              <w:rPr>
                <w:rFonts w:hint="eastAsia" w:ascii="宋体" w:hAnsi="宋体" w:cs="宋体"/>
                <w:bCs/>
                <w:color w:val="000000" w:themeColor="text1"/>
                <w:sz w:val="24"/>
                <w:lang w:val="en-US" w:eastAsia="zh-CN"/>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分，</w:t>
            </w:r>
            <w:r>
              <w:rPr>
                <w:rFonts w:hint="eastAsia" w:ascii="宋体" w:hAnsi="宋体" w:cs="宋体"/>
                <w:bCs/>
                <w:color w:val="000000" w:themeColor="text1"/>
                <w:sz w:val="24"/>
                <w:lang w:val="en-US" w:eastAsia="zh-CN"/>
                <w14:textFill>
                  <w14:solidFill>
                    <w14:schemeClr w14:val="tx1"/>
                  </w14:solidFill>
                </w14:textFill>
              </w:rPr>
              <w:t>最高得6</w:t>
            </w:r>
            <w:r>
              <w:rPr>
                <w:rFonts w:hint="eastAsia" w:ascii="宋体" w:hAnsi="宋体" w:cs="宋体"/>
                <w:bCs/>
                <w:color w:val="000000" w:themeColor="text1"/>
                <w:sz w:val="24"/>
                <w14:textFill>
                  <w14:solidFill>
                    <w14:schemeClr w14:val="tx1"/>
                  </w14:solidFill>
                </w14:textFill>
              </w:rPr>
              <w:t>分。</w:t>
            </w:r>
          </w:p>
          <w:p w14:paraId="58673ADA">
            <w:pPr>
              <w:keepNext w:val="0"/>
              <w:keepLines w:val="0"/>
              <w:pageBreakBefore w:val="0"/>
              <w:kinsoku/>
              <w:wordWrap/>
              <w:overflowPunct/>
              <w:topLinePunct w:val="0"/>
              <w:bidi w:val="0"/>
              <w:adjustRightInd w:val="0"/>
              <w:snapToGrid w:val="0"/>
              <w:spacing w:line="440" w:lineRule="exact"/>
              <w:jc w:val="left"/>
              <w:textAlignment w:val="auto"/>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（提供证书扫描件并加盖公章，不提供不得分）</w:t>
            </w:r>
          </w:p>
        </w:tc>
        <w:tc>
          <w:tcPr>
            <w:tcW w:w="407" w:type="pct"/>
            <w:shd w:val="clear" w:color="auto" w:fill="FFFFFF"/>
            <w:vAlign w:val="center"/>
          </w:tcPr>
          <w:p w14:paraId="74575AD0">
            <w:pPr>
              <w:keepNext w:val="0"/>
              <w:keepLines w:val="0"/>
              <w:pageBreakBefore w:val="0"/>
              <w:widowControl/>
              <w:kinsoku/>
              <w:wordWrap/>
              <w:overflowPunct/>
              <w:topLinePunct w:val="0"/>
              <w:bidi w:val="0"/>
              <w:adjustRightInd w:val="0"/>
              <w:spacing w:line="440" w:lineRule="exact"/>
              <w:jc w:val="center"/>
              <w:textAlignment w:val="auto"/>
              <w:rPr>
                <w:rFonts w:hint="default" w:ascii="宋体" w:hAnsi="宋体" w:eastAsia="宋体" w:cs="宋体"/>
                <w:sz w:val="24"/>
                <w:lang w:val="en-US" w:eastAsia="zh-CN"/>
              </w:rPr>
            </w:pPr>
            <w:r>
              <w:rPr>
                <w:rFonts w:hint="eastAsia" w:ascii="宋体" w:hAnsi="宋体" w:cs="宋体"/>
                <w:sz w:val="24"/>
                <w:lang w:val="en-US" w:eastAsia="zh-CN"/>
              </w:rPr>
              <w:t>6</w:t>
            </w:r>
          </w:p>
        </w:tc>
      </w:tr>
      <w:tr w14:paraId="2E47A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393" w:type="pct"/>
            <w:shd w:val="clear" w:color="auto" w:fill="FFFFFF"/>
            <w:vAlign w:val="center"/>
          </w:tcPr>
          <w:p w14:paraId="296CA913">
            <w:pPr>
              <w:keepNext w:val="0"/>
              <w:keepLines w:val="0"/>
              <w:pageBreakBefore w:val="0"/>
              <w:widowControl/>
              <w:kinsoku/>
              <w:wordWrap/>
              <w:overflowPunct/>
              <w:topLinePunct w:val="0"/>
              <w:bidi w:val="0"/>
              <w:adjustRightInd w:val="0"/>
              <w:spacing w:line="440" w:lineRule="exact"/>
              <w:jc w:val="center"/>
              <w:textAlignment w:val="auto"/>
              <w:rPr>
                <w:rFonts w:ascii="宋体" w:hAnsi="宋体" w:cs="宋体"/>
                <w:sz w:val="24"/>
              </w:rPr>
            </w:pPr>
            <w:r>
              <w:rPr>
                <w:rFonts w:hint="eastAsia" w:ascii="宋体" w:hAnsi="宋体" w:cs="宋体"/>
                <w:sz w:val="24"/>
              </w:rPr>
              <w:t>2</w:t>
            </w:r>
          </w:p>
        </w:tc>
        <w:tc>
          <w:tcPr>
            <w:tcW w:w="696" w:type="pct"/>
            <w:shd w:val="clear" w:color="auto" w:fill="FFFFFF"/>
            <w:vAlign w:val="center"/>
          </w:tcPr>
          <w:p w14:paraId="76A85606">
            <w:pPr>
              <w:keepNext w:val="0"/>
              <w:keepLines w:val="0"/>
              <w:pageBreakBefore w:val="0"/>
              <w:widowControl/>
              <w:kinsoku/>
              <w:wordWrap/>
              <w:overflowPunct/>
              <w:topLinePunct w:val="0"/>
              <w:bidi w:val="0"/>
              <w:adjustRightInd w:val="0"/>
              <w:spacing w:line="440" w:lineRule="exact"/>
              <w:textAlignment w:val="auto"/>
              <w:rPr>
                <w:rFonts w:hint="default" w:ascii="宋体" w:hAnsi="宋体" w:eastAsia="宋体" w:cs="宋体"/>
                <w:sz w:val="24"/>
                <w:lang w:val="en-US" w:eastAsia="zh-CN"/>
              </w:rPr>
            </w:pPr>
            <w:r>
              <w:rPr>
                <w:rFonts w:hint="eastAsia" w:ascii="宋体" w:hAnsi="宋体" w:cs="宋体"/>
                <w:sz w:val="24"/>
                <w:lang w:val="en-US" w:eastAsia="zh-CN"/>
              </w:rPr>
              <w:t>团队配置</w:t>
            </w:r>
          </w:p>
        </w:tc>
        <w:tc>
          <w:tcPr>
            <w:tcW w:w="3502" w:type="pct"/>
            <w:shd w:val="clear" w:color="auto" w:fill="FFFFFF"/>
            <w:vAlign w:val="center"/>
          </w:tcPr>
          <w:p w14:paraId="413A1E17">
            <w:pPr>
              <w:keepNext w:val="0"/>
              <w:keepLines w:val="0"/>
              <w:pageBreakBefore w:val="0"/>
              <w:kinsoku/>
              <w:wordWrap/>
              <w:overflowPunct/>
              <w:topLinePunct w:val="0"/>
              <w:bidi w:val="0"/>
              <w:adjustRightInd w:val="0"/>
              <w:snapToGrid w:val="0"/>
              <w:spacing w:line="440" w:lineRule="exact"/>
              <w:jc w:val="left"/>
              <w:textAlignment w:val="auto"/>
              <w:rPr>
                <w:rFonts w:hint="eastAsia" w:ascii="宋体" w:hAnsi="宋体" w:eastAsia="宋体" w:cs="宋体"/>
                <w:bCs/>
                <w:color w:val="000000" w:themeColor="text1"/>
                <w:sz w:val="24"/>
                <w:lang w:val="en-US" w:eastAsia="zh-CN"/>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①投标人拟派项目负责人同时具有信息系统项目管理师证书</w:t>
            </w:r>
            <w:r>
              <w:rPr>
                <w:rFonts w:hint="eastAsia" w:ascii="宋体" w:hAnsi="宋体" w:eastAsia="宋体" w:cs="宋体"/>
                <w:b w:val="0"/>
                <w:bCs/>
                <w:color w:val="000000" w:themeColor="text1"/>
                <w:sz w:val="24"/>
                <w:lang w:val="en-US" w:eastAsia="zh-CN"/>
                <w14:textFill>
                  <w14:solidFill>
                    <w14:schemeClr w14:val="tx1"/>
                  </w14:solidFill>
                </w14:textFill>
              </w:rPr>
              <w:t>、信息技术（技术开发）工程师证书、</w:t>
            </w:r>
            <w:r>
              <w:rPr>
                <w:rFonts w:hint="eastAsia" w:ascii="宋体" w:hAnsi="宋体" w:eastAsia="宋体" w:cs="宋体"/>
                <w:bCs/>
                <w:color w:val="000000" w:themeColor="text1"/>
                <w:sz w:val="24"/>
                <w:lang w:val="en-US" w:eastAsia="zh-CN"/>
                <w14:textFill>
                  <w14:solidFill>
                    <w14:schemeClr w14:val="tx1"/>
                  </w14:solidFill>
                </w14:textFill>
              </w:rPr>
              <w:t>信息安全保障人员认证证书、IT服务管理证书，每提供一本得1分，最高得4分，不提供不得分。</w:t>
            </w:r>
          </w:p>
          <w:p w14:paraId="7C0794CE">
            <w:pPr>
              <w:keepNext w:val="0"/>
              <w:keepLines w:val="0"/>
              <w:pageBreakBefore w:val="0"/>
              <w:kinsoku/>
              <w:wordWrap/>
              <w:overflowPunct/>
              <w:topLinePunct w:val="0"/>
              <w:bidi w:val="0"/>
              <w:adjustRightInd w:val="0"/>
              <w:snapToGrid w:val="0"/>
              <w:spacing w:line="440" w:lineRule="exact"/>
              <w:jc w:val="left"/>
              <w:textAlignment w:val="auto"/>
              <w:rPr>
                <w:rFonts w:hint="eastAsia" w:ascii="宋体" w:hAnsi="宋体" w:eastAsia="宋体" w:cs="宋体"/>
                <w:bCs/>
                <w:color w:val="000000" w:themeColor="text1"/>
                <w:sz w:val="24"/>
                <w:lang w:val="en-US" w:eastAsia="zh-CN"/>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②投标人拟派项目技术负责人同时具有信息技术（系统集成）工程师、注册信息安全专业人员证书，每提供一本得1分，最高得2分，不提供不得分。</w:t>
            </w:r>
          </w:p>
          <w:p w14:paraId="1193F6AE">
            <w:pPr>
              <w:keepNext w:val="0"/>
              <w:keepLines w:val="0"/>
              <w:pageBreakBefore w:val="0"/>
              <w:kinsoku/>
              <w:wordWrap/>
              <w:overflowPunct/>
              <w:topLinePunct w:val="0"/>
              <w:bidi w:val="0"/>
              <w:adjustRightInd w:val="0"/>
              <w:snapToGrid w:val="0"/>
              <w:spacing w:line="440" w:lineRule="exact"/>
              <w:jc w:val="left"/>
              <w:textAlignment w:val="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
                <w:bCs w:val="0"/>
                <w:color w:val="000000" w:themeColor="text1"/>
                <w:sz w:val="24"/>
                <w:lang w:val="en-US" w:eastAsia="zh-CN"/>
                <w14:textFill>
                  <w14:solidFill>
                    <w14:schemeClr w14:val="tx1"/>
                  </w14:solidFill>
                </w14:textFill>
              </w:rPr>
              <w:t>（以上人员必须为投标人在职员工且不得一人身兼多职，投标时提供人员相关证书扫描件及近6个月社会保险参保证明，缺一不得分）</w:t>
            </w:r>
          </w:p>
        </w:tc>
        <w:tc>
          <w:tcPr>
            <w:tcW w:w="407" w:type="pct"/>
            <w:shd w:val="clear" w:color="auto" w:fill="FFFFFF"/>
            <w:vAlign w:val="center"/>
          </w:tcPr>
          <w:p w14:paraId="6ACAB9B1">
            <w:pPr>
              <w:keepNext w:val="0"/>
              <w:keepLines w:val="0"/>
              <w:pageBreakBefore w:val="0"/>
              <w:widowControl/>
              <w:kinsoku/>
              <w:wordWrap/>
              <w:overflowPunct/>
              <w:topLinePunct w:val="0"/>
              <w:bidi w:val="0"/>
              <w:adjustRightInd w:val="0"/>
              <w:spacing w:line="440" w:lineRule="exact"/>
              <w:jc w:val="center"/>
              <w:textAlignment w:val="auto"/>
              <w:rPr>
                <w:rFonts w:hint="eastAsia" w:ascii="宋体" w:hAnsi="宋体" w:eastAsia="宋体" w:cs="宋体"/>
                <w:sz w:val="24"/>
                <w:lang w:val="en-US" w:eastAsia="zh-CN"/>
              </w:rPr>
            </w:pPr>
            <w:r>
              <w:rPr>
                <w:rFonts w:hint="eastAsia" w:ascii="宋体" w:hAnsi="宋体" w:cs="宋体"/>
                <w:sz w:val="24"/>
                <w:lang w:val="en-US" w:eastAsia="zh-CN"/>
              </w:rPr>
              <w:t>6</w:t>
            </w:r>
          </w:p>
        </w:tc>
      </w:tr>
      <w:tr w14:paraId="7B029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393" w:type="pct"/>
            <w:shd w:val="clear" w:color="auto" w:fill="FFFFFF"/>
            <w:vAlign w:val="center"/>
          </w:tcPr>
          <w:p w14:paraId="7E689A62">
            <w:pPr>
              <w:keepNext w:val="0"/>
              <w:keepLines w:val="0"/>
              <w:pageBreakBefore w:val="0"/>
              <w:widowControl/>
              <w:kinsoku/>
              <w:wordWrap/>
              <w:overflowPunct/>
              <w:topLinePunct w:val="0"/>
              <w:bidi w:val="0"/>
              <w:adjustRightInd w:val="0"/>
              <w:spacing w:line="440" w:lineRule="exact"/>
              <w:jc w:val="center"/>
              <w:textAlignment w:val="auto"/>
              <w:rPr>
                <w:rFonts w:hint="eastAsia" w:ascii="宋体" w:hAnsi="宋体" w:eastAsia="宋体" w:cs="宋体"/>
                <w:sz w:val="24"/>
                <w:lang w:val="en-US" w:eastAsia="zh-CN"/>
              </w:rPr>
            </w:pPr>
            <w:r>
              <w:rPr>
                <w:rFonts w:hint="eastAsia" w:ascii="宋体" w:hAnsi="宋体" w:cs="宋体"/>
                <w:sz w:val="24"/>
                <w:lang w:val="en-US" w:eastAsia="zh-CN"/>
              </w:rPr>
              <w:t>3</w:t>
            </w:r>
          </w:p>
        </w:tc>
        <w:tc>
          <w:tcPr>
            <w:tcW w:w="696" w:type="pct"/>
            <w:shd w:val="clear" w:color="auto" w:fill="FFFFFF"/>
            <w:vAlign w:val="center"/>
          </w:tcPr>
          <w:p w14:paraId="1D10E329">
            <w:pPr>
              <w:keepNext w:val="0"/>
              <w:keepLines w:val="0"/>
              <w:pageBreakBefore w:val="0"/>
              <w:widowControl/>
              <w:kinsoku/>
              <w:wordWrap/>
              <w:overflowPunct/>
              <w:topLinePunct w:val="0"/>
              <w:bidi w:val="0"/>
              <w:adjustRightInd w:val="0"/>
              <w:spacing w:line="440" w:lineRule="exact"/>
              <w:textAlignment w:val="auto"/>
              <w:rPr>
                <w:rFonts w:ascii="宋体" w:hAnsi="宋体" w:cs="宋体"/>
                <w:sz w:val="24"/>
              </w:rPr>
            </w:pPr>
            <w:r>
              <w:rPr>
                <w:rFonts w:hint="eastAsia" w:ascii="宋体" w:hAnsi="宋体" w:cs="宋体"/>
                <w:sz w:val="24"/>
              </w:rPr>
              <w:t>技术参数</w:t>
            </w:r>
          </w:p>
        </w:tc>
        <w:tc>
          <w:tcPr>
            <w:tcW w:w="3502" w:type="pct"/>
            <w:shd w:val="clear" w:color="auto" w:fill="FFFFFF"/>
            <w:vAlign w:val="center"/>
          </w:tcPr>
          <w:p w14:paraId="640E0203">
            <w:pPr>
              <w:keepNext w:val="0"/>
              <w:keepLines w:val="0"/>
              <w:pageBreakBefore w:val="0"/>
              <w:kinsoku/>
              <w:wordWrap/>
              <w:overflowPunct/>
              <w:topLinePunct w:val="0"/>
              <w:bidi w:val="0"/>
              <w:adjustRightInd w:val="0"/>
              <w:snapToGrid w:val="0"/>
              <w:spacing w:line="440" w:lineRule="exact"/>
              <w:jc w:val="left"/>
              <w:textAlignment w:val="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提供投标产品的官方设备技术说明</w:t>
            </w:r>
            <w:r>
              <w:rPr>
                <w:rFonts w:hint="eastAsia" w:ascii="宋体" w:hAnsi="宋体" w:cs="宋体"/>
                <w:bCs/>
                <w:color w:val="000000" w:themeColor="text1"/>
                <w:sz w:val="24"/>
                <w:lang w:val="en-US" w:eastAsia="zh-CN"/>
                <w14:textFill>
                  <w14:solidFill>
                    <w14:schemeClr w14:val="tx1"/>
                  </w14:solidFill>
                </w14:textFill>
              </w:rPr>
              <w:t>截图</w:t>
            </w:r>
            <w:r>
              <w:rPr>
                <w:rFonts w:hint="eastAsia" w:ascii="宋体" w:hAnsi="宋体" w:cs="宋体"/>
                <w:bCs/>
                <w:color w:val="000000" w:themeColor="text1"/>
                <w:sz w:val="24"/>
                <w14:textFill>
                  <w14:solidFill>
                    <w14:schemeClr w14:val="tx1"/>
                  </w14:solidFill>
                </w14:textFill>
              </w:rPr>
              <w:t>或产品说明书</w:t>
            </w:r>
            <w:r>
              <w:rPr>
                <w:rFonts w:hint="eastAsia" w:ascii="宋体" w:hAnsi="宋体" w:cs="宋体"/>
                <w:bCs/>
                <w:color w:val="000000" w:themeColor="text1"/>
                <w:sz w:val="24"/>
                <w:lang w:val="en-US" w:eastAsia="zh-CN"/>
                <w14:textFill>
                  <w14:solidFill>
                    <w14:schemeClr w14:val="tx1"/>
                  </w14:solidFill>
                </w14:textFill>
              </w:rPr>
              <w:t>截图</w:t>
            </w:r>
            <w:r>
              <w:rPr>
                <w:rFonts w:hint="eastAsia" w:ascii="宋体" w:hAnsi="宋体" w:cs="宋体"/>
                <w:bCs/>
                <w:color w:val="000000" w:themeColor="text1"/>
                <w:sz w:val="24"/>
                <w14:textFill>
                  <w14:solidFill>
                    <w14:schemeClr w14:val="tx1"/>
                  </w14:solidFill>
                </w14:textFill>
              </w:rPr>
              <w:t>或检测报告</w:t>
            </w:r>
            <w:r>
              <w:rPr>
                <w:rFonts w:hint="eastAsia" w:ascii="宋体" w:hAnsi="宋体" w:cs="宋体"/>
                <w:bCs/>
                <w:color w:val="000000" w:themeColor="text1"/>
                <w:sz w:val="24"/>
                <w:lang w:val="en-US" w:eastAsia="zh-CN"/>
                <w14:textFill>
                  <w14:solidFill>
                    <w14:schemeClr w14:val="tx1"/>
                  </w14:solidFill>
                </w14:textFill>
              </w:rPr>
              <w:t>扫描件</w:t>
            </w:r>
            <w:r>
              <w:rPr>
                <w:rFonts w:hint="eastAsia" w:ascii="宋体" w:hAnsi="宋体" w:cs="宋体"/>
                <w:bCs/>
                <w:color w:val="000000" w:themeColor="text1"/>
                <w:sz w:val="24"/>
                <w14:textFill>
                  <w14:solidFill>
                    <w14:schemeClr w14:val="tx1"/>
                  </w14:solidFill>
                </w14:textFill>
              </w:rPr>
              <w:t>佐证投标产品的各项性能及技术指标的真实性，无佐证的视为负偏离，技术响应表与佐证材料不一致的，以佐证材料为准。</w:t>
            </w:r>
          </w:p>
          <w:p w14:paraId="3621B43A">
            <w:pPr>
              <w:keepNext w:val="0"/>
              <w:keepLines w:val="0"/>
              <w:pageBreakBefore w:val="0"/>
              <w:kinsoku/>
              <w:wordWrap/>
              <w:overflowPunct/>
              <w:topLinePunct w:val="0"/>
              <w:bidi w:val="0"/>
              <w:adjustRightInd w:val="0"/>
              <w:snapToGrid w:val="0"/>
              <w:spacing w:line="440" w:lineRule="exact"/>
              <w:jc w:val="left"/>
              <w:textAlignment w:val="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满足或明显优于招标文件明确的全部技术条款要求的该项得满分；</w:t>
            </w:r>
          </w:p>
          <w:p w14:paraId="2D8E46F6">
            <w:pPr>
              <w:keepNext w:val="0"/>
              <w:keepLines w:val="0"/>
              <w:pageBreakBefore w:val="0"/>
              <w:kinsoku/>
              <w:wordWrap/>
              <w:overflowPunct/>
              <w:topLinePunct w:val="0"/>
              <w:bidi w:val="0"/>
              <w:adjustRightInd w:val="0"/>
              <w:snapToGrid w:val="0"/>
              <w:spacing w:line="440" w:lineRule="exact"/>
              <w:jc w:val="left"/>
              <w:textAlignment w:val="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标记“▲”的指标低于采购需求（负偏离）的或未做出明确响应的每项扣</w:t>
            </w:r>
            <w:r>
              <w:rPr>
                <w:rFonts w:hint="eastAsia" w:ascii="宋体" w:hAnsi="宋体" w:cs="宋体"/>
                <w:bCs/>
                <w:color w:val="000000" w:themeColor="text1"/>
                <w:sz w:val="24"/>
                <w:lang w:val="en-US" w:eastAsia="zh-CN"/>
                <w14:textFill>
                  <w14:solidFill>
                    <w14:schemeClr w14:val="tx1"/>
                  </w14:solidFill>
                </w14:textFill>
              </w:rPr>
              <w:t>1</w:t>
            </w:r>
            <w:r>
              <w:rPr>
                <w:rFonts w:hint="eastAsia" w:ascii="宋体" w:hAnsi="宋体" w:cs="宋体"/>
                <w:bCs/>
                <w:color w:val="000000" w:themeColor="text1"/>
                <w:sz w:val="24"/>
                <w14:textFill>
                  <w14:solidFill>
                    <w14:schemeClr w14:val="tx1"/>
                  </w14:solidFill>
                </w14:textFill>
              </w:rPr>
              <w:t>分；</w:t>
            </w:r>
          </w:p>
          <w:p w14:paraId="11EDC76F">
            <w:pPr>
              <w:keepNext w:val="0"/>
              <w:keepLines w:val="0"/>
              <w:pageBreakBefore w:val="0"/>
              <w:kinsoku/>
              <w:wordWrap/>
              <w:overflowPunct/>
              <w:topLinePunct w:val="0"/>
              <w:bidi w:val="0"/>
              <w:adjustRightInd w:val="0"/>
              <w:snapToGrid w:val="0"/>
              <w:spacing w:line="440" w:lineRule="exact"/>
              <w:jc w:val="left"/>
              <w:textAlignment w:val="auto"/>
              <w:rPr>
                <w:rFonts w:ascii="宋体" w:hAnsi="宋体" w:cs="宋体"/>
                <w:sz w:val="24"/>
              </w:rPr>
            </w:pPr>
            <w:r>
              <w:rPr>
                <w:rFonts w:hint="eastAsia" w:ascii="宋体" w:hAnsi="宋体" w:cs="宋体"/>
                <w:bCs/>
                <w:color w:val="000000" w:themeColor="text1"/>
                <w:sz w:val="24"/>
                <w14:textFill>
                  <w14:solidFill>
                    <w14:schemeClr w14:val="tx1"/>
                  </w14:solidFill>
                </w14:textFill>
              </w:rPr>
              <w:t>技术条款低于技术要求（负偏离）的每项扣</w:t>
            </w:r>
            <w:r>
              <w:rPr>
                <w:rFonts w:hint="eastAsia" w:ascii="宋体" w:hAnsi="宋体" w:cs="宋体"/>
                <w:bCs/>
                <w:color w:val="000000" w:themeColor="text1"/>
                <w:sz w:val="24"/>
                <w:lang w:val="en-US" w:eastAsia="zh-CN"/>
                <w14:textFill>
                  <w14:solidFill>
                    <w14:schemeClr w14:val="tx1"/>
                  </w14:solidFill>
                </w14:textFill>
              </w:rPr>
              <w:t>0.5</w:t>
            </w:r>
            <w:r>
              <w:rPr>
                <w:rFonts w:hint="eastAsia" w:ascii="宋体" w:hAnsi="宋体" w:cs="宋体"/>
                <w:bCs/>
                <w:color w:val="000000" w:themeColor="text1"/>
                <w:sz w:val="24"/>
                <w14:textFill>
                  <w14:solidFill>
                    <w14:schemeClr w14:val="tx1"/>
                  </w14:solidFill>
                </w14:textFill>
              </w:rPr>
              <w:t>分；</w:t>
            </w:r>
            <w:r>
              <w:rPr>
                <w:rFonts w:hint="eastAsia" w:ascii="宋体" w:hAnsi="宋体" w:cs="宋体"/>
                <w:sz w:val="24"/>
              </w:rPr>
              <w:t>以此类推，</w:t>
            </w:r>
            <w:r>
              <w:rPr>
                <w:rFonts w:hint="eastAsia" w:ascii="宋体" w:hAnsi="宋体" w:cs="宋体"/>
                <w:bCs/>
                <w:color w:val="000000" w:themeColor="text1"/>
                <w:sz w:val="24"/>
                <w14:textFill>
                  <w14:solidFill>
                    <w14:schemeClr w14:val="tx1"/>
                  </w14:solidFill>
                </w14:textFill>
              </w:rPr>
              <w:t>扣完为止。</w:t>
            </w:r>
          </w:p>
        </w:tc>
        <w:tc>
          <w:tcPr>
            <w:tcW w:w="407" w:type="pct"/>
            <w:shd w:val="clear" w:color="auto" w:fill="FFFFFF"/>
            <w:vAlign w:val="center"/>
          </w:tcPr>
          <w:p w14:paraId="06B1FB6A">
            <w:pPr>
              <w:keepNext w:val="0"/>
              <w:keepLines w:val="0"/>
              <w:pageBreakBefore w:val="0"/>
              <w:widowControl/>
              <w:kinsoku/>
              <w:wordWrap/>
              <w:overflowPunct/>
              <w:topLinePunct w:val="0"/>
              <w:bidi w:val="0"/>
              <w:adjustRightInd w:val="0"/>
              <w:spacing w:line="440" w:lineRule="exact"/>
              <w:jc w:val="center"/>
              <w:textAlignment w:val="auto"/>
              <w:rPr>
                <w:rFonts w:hint="default" w:ascii="宋体" w:hAnsi="宋体" w:eastAsia="宋体" w:cs="宋体"/>
                <w:sz w:val="24"/>
                <w:lang w:val="en-US" w:eastAsia="zh-CN"/>
              </w:rPr>
            </w:pPr>
            <w:r>
              <w:rPr>
                <w:rFonts w:hint="eastAsia" w:ascii="宋体" w:hAnsi="宋体" w:cs="宋体"/>
                <w:sz w:val="24"/>
                <w:lang w:val="en-US" w:eastAsia="zh-CN"/>
              </w:rPr>
              <w:t>8</w:t>
            </w:r>
          </w:p>
        </w:tc>
      </w:tr>
      <w:tr w14:paraId="1F264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393" w:type="pct"/>
            <w:shd w:val="clear" w:color="auto" w:fill="FFFFFF"/>
            <w:vAlign w:val="center"/>
          </w:tcPr>
          <w:p w14:paraId="33DB1114">
            <w:pPr>
              <w:keepNext w:val="0"/>
              <w:keepLines w:val="0"/>
              <w:pageBreakBefore w:val="0"/>
              <w:widowControl/>
              <w:kinsoku/>
              <w:wordWrap/>
              <w:overflowPunct/>
              <w:topLinePunct w:val="0"/>
              <w:bidi w:val="0"/>
              <w:adjustRightInd w:val="0"/>
              <w:spacing w:line="440" w:lineRule="exact"/>
              <w:jc w:val="center"/>
              <w:textAlignment w:val="auto"/>
              <w:rPr>
                <w:rFonts w:hint="eastAsia" w:ascii="宋体" w:hAnsi="宋体" w:eastAsia="宋体" w:cs="宋体"/>
                <w:sz w:val="24"/>
                <w:lang w:val="en-US" w:eastAsia="zh-CN"/>
              </w:rPr>
            </w:pPr>
            <w:r>
              <w:rPr>
                <w:rFonts w:hint="eastAsia" w:ascii="宋体" w:hAnsi="宋体" w:cs="宋体"/>
                <w:sz w:val="24"/>
                <w:lang w:val="en-US" w:eastAsia="zh-CN"/>
              </w:rPr>
              <w:t>4</w:t>
            </w:r>
          </w:p>
        </w:tc>
        <w:tc>
          <w:tcPr>
            <w:tcW w:w="696" w:type="pct"/>
            <w:shd w:val="clear" w:color="auto" w:fill="FFFFFF"/>
            <w:vAlign w:val="center"/>
          </w:tcPr>
          <w:p w14:paraId="3AF31A67">
            <w:pPr>
              <w:keepNext w:val="0"/>
              <w:keepLines w:val="0"/>
              <w:pageBreakBefore w:val="0"/>
              <w:widowControl/>
              <w:kinsoku/>
              <w:wordWrap/>
              <w:overflowPunct/>
              <w:topLinePunct w:val="0"/>
              <w:bidi w:val="0"/>
              <w:adjustRightInd w:val="0"/>
              <w:spacing w:line="440" w:lineRule="exact"/>
              <w:textAlignment w:val="auto"/>
              <w:rPr>
                <w:rFonts w:ascii="宋体" w:hAnsi="宋体" w:cs="宋体"/>
                <w:sz w:val="24"/>
              </w:rPr>
            </w:pPr>
            <w:r>
              <w:rPr>
                <w:rFonts w:hint="eastAsia" w:ascii="宋体" w:hAnsi="宋体" w:cs="宋体"/>
                <w:sz w:val="24"/>
              </w:rPr>
              <w:t>优化设计方案及合理化建议</w:t>
            </w:r>
          </w:p>
        </w:tc>
        <w:tc>
          <w:tcPr>
            <w:tcW w:w="3502" w:type="pct"/>
            <w:shd w:val="clear" w:color="auto" w:fill="FFFFFF"/>
            <w:vAlign w:val="center"/>
          </w:tcPr>
          <w:p w14:paraId="5D0153F4">
            <w:pPr>
              <w:keepNext w:val="0"/>
              <w:keepLines w:val="0"/>
              <w:pageBreakBefore w:val="0"/>
              <w:widowControl/>
              <w:kinsoku/>
              <w:wordWrap/>
              <w:overflowPunct/>
              <w:topLinePunct w:val="0"/>
              <w:bidi w:val="0"/>
              <w:adjustRightInd w:val="0"/>
              <w:spacing w:line="440" w:lineRule="exact"/>
              <w:textAlignment w:val="auto"/>
              <w:rPr>
                <w:rFonts w:hint="eastAsia" w:ascii="宋体" w:hAnsi="宋体" w:cs="宋体"/>
                <w:sz w:val="24"/>
              </w:rPr>
            </w:pPr>
            <w:r>
              <w:rPr>
                <w:rFonts w:hint="eastAsia" w:ascii="宋体" w:hAnsi="宋体" w:cs="宋体"/>
                <w:sz w:val="24"/>
              </w:rPr>
              <w:t>投标人需根据采购清单自行实地勘察，提供本项目规划布局情况说明</w:t>
            </w:r>
            <w:r>
              <w:rPr>
                <w:rFonts w:hint="eastAsia" w:ascii="宋体" w:hAnsi="宋体" w:cs="宋体"/>
                <w:sz w:val="24"/>
                <w:lang w:eastAsia="zh-CN"/>
              </w:rPr>
              <w:t>，</w:t>
            </w:r>
            <w:r>
              <w:rPr>
                <w:rFonts w:hint="eastAsia" w:ascii="宋体" w:hAnsi="宋体" w:cs="宋体"/>
                <w:sz w:val="24"/>
              </w:rPr>
              <w:t>设备平面</w:t>
            </w:r>
            <w:r>
              <w:rPr>
                <w:rFonts w:hint="eastAsia" w:ascii="宋体" w:hAnsi="宋体" w:cs="宋体"/>
                <w:sz w:val="24"/>
                <w:lang w:val="en-US" w:eastAsia="zh-CN"/>
              </w:rPr>
              <w:t>布置</w:t>
            </w:r>
            <w:r>
              <w:rPr>
                <w:rFonts w:hint="eastAsia" w:ascii="宋体" w:hAnsi="宋体" w:cs="宋体"/>
                <w:sz w:val="24"/>
              </w:rPr>
              <w:t>图</w:t>
            </w:r>
            <w:r>
              <w:rPr>
                <w:rFonts w:hint="eastAsia" w:ascii="宋体" w:hAnsi="宋体" w:cs="宋体"/>
                <w:sz w:val="24"/>
                <w:lang w:eastAsia="zh-CN"/>
              </w:rPr>
              <w:t>，</w:t>
            </w:r>
            <w:r>
              <w:rPr>
                <w:rFonts w:hint="eastAsia" w:ascii="宋体" w:hAnsi="宋体" w:cs="宋体"/>
                <w:sz w:val="24"/>
              </w:rPr>
              <w:t>电、管线预埋等深化设计图纸</w:t>
            </w:r>
            <w:r>
              <w:rPr>
                <w:rFonts w:hint="eastAsia" w:ascii="宋体" w:hAnsi="宋体" w:cs="宋体"/>
                <w:sz w:val="24"/>
                <w:lang w:eastAsia="zh-CN"/>
              </w:rPr>
              <w:t>，</w:t>
            </w:r>
            <w:r>
              <w:rPr>
                <w:rFonts w:hint="eastAsia" w:ascii="宋体" w:hAnsi="宋体" w:cs="宋体"/>
                <w:sz w:val="24"/>
              </w:rPr>
              <w:t>具体实施要点</w:t>
            </w:r>
            <w:r>
              <w:rPr>
                <w:rFonts w:hint="eastAsia" w:ascii="宋体" w:hAnsi="宋体" w:cs="宋体"/>
                <w:sz w:val="24"/>
                <w:lang w:eastAsia="zh-CN"/>
              </w:rPr>
              <w:t>，</w:t>
            </w:r>
            <w:r>
              <w:rPr>
                <w:rFonts w:hint="eastAsia" w:ascii="宋体" w:hAnsi="宋体" w:cs="宋体"/>
                <w:sz w:val="24"/>
              </w:rPr>
              <w:t>操作细则等合理建议进行</w:t>
            </w:r>
            <w:r>
              <w:rPr>
                <w:rFonts w:hint="eastAsia" w:ascii="宋体" w:hAnsi="宋体" w:cs="宋体"/>
                <w:sz w:val="24"/>
                <w:lang w:val="en-US" w:eastAsia="zh-CN"/>
              </w:rPr>
              <w:t>打</w:t>
            </w:r>
            <w:r>
              <w:rPr>
                <w:rFonts w:hint="eastAsia" w:ascii="宋体" w:hAnsi="宋体" w:cs="宋体"/>
                <w:sz w:val="24"/>
              </w:rPr>
              <w:t>分。</w:t>
            </w:r>
          </w:p>
          <w:p w14:paraId="089C1B21">
            <w:pPr>
              <w:keepNext w:val="0"/>
              <w:keepLines w:val="0"/>
              <w:pageBreakBefore w:val="0"/>
              <w:widowControl/>
              <w:kinsoku/>
              <w:wordWrap/>
              <w:overflowPunct/>
              <w:topLinePunct w:val="0"/>
              <w:bidi w:val="0"/>
              <w:adjustRightInd w:val="0"/>
              <w:spacing w:line="440" w:lineRule="exact"/>
              <w:textAlignment w:val="auto"/>
              <w:rPr>
                <w:rFonts w:ascii="宋体" w:hAnsi="宋体" w:cs="宋体"/>
                <w:sz w:val="24"/>
              </w:rPr>
            </w:pPr>
            <w:r>
              <w:rPr>
                <w:rFonts w:hint="eastAsia" w:ascii="宋体" w:hAnsi="宋体" w:cs="宋体"/>
                <w:sz w:val="24"/>
              </w:rPr>
              <w:t>①规划布局情况说明（0-2分）；</w:t>
            </w:r>
          </w:p>
          <w:p w14:paraId="28B226F5">
            <w:pPr>
              <w:keepNext w:val="0"/>
              <w:keepLines w:val="0"/>
              <w:pageBreakBefore w:val="0"/>
              <w:widowControl/>
              <w:kinsoku/>
              <w:wordWrap/>
              <w:overflowPunct/>
              <w:topLinePunct w:val="0"/>
              <w:bidi w:val="0"/>
              <w:adjustRightInd w:val="0"/>
              <w:spacing w:line="440" w:lineRule="exact"/>
              <w:textAlignment w:val="auto"/>
              <w:rPr>
                <w:rFonts w:ascii="宋体" w:hAnsi="宋体" w:cs="宋体"/>
                <w:sz w:val="24"/>
              </w:rPr>
            </w:pPr>
            <w:r>
              <w:rPr>
                <w:rFonts w:hint="eastAsia" w:ascii="宋体" w:hAnsi="宋体" w:cs="宋体"/>
                <w:sz w:val="24"/>
              </w:rPr>
              <w:t>②深化设计图纸（0-2分）；</w:t>
            </w:r>
          </w:p>
          <w:p w14:paraId="7C9EE71D">
            <w:pPr>
              <w:keepNext w:val="0"/>
              <w:keepLines w:val="0"/>
              <w:pageBreakBefore w:val="0"/>
              <w:widowControl/>
              <w:kinsoku/>
              <w:wordWrap/>
              <w:overflowPunct/>
              <w:topLinePunct w:val="0"/>
              <w:bidi w:val="0"/>
              <w:adjustRightInd w:val="0"/>
              <w:spacing w:line="440" w:lineRule="exact"/>
              <w:textAlignment w:val="auto"/>
              <w:rPr>
                <w:rFonts w:ascii="宋体" w:hAnsi="宋体" w:cs="宋体"/>
                <w:sz w:val="24"/>
              </w:rPr>
            </w:pPr>
            <w:r>
              <w:rPr>
                <w:rFonts w:ascii="宋体" w:hAnsi="宋体" w:cs="宋体"/>
                <w:sz w:val="24"/>
              </w:rPr>
              <w:t>③</w:t>
            </w:r>
            <w:r>
              <w:rPr>
                <w:rFonts w:hint="eastAsia" w:ascii="宋体" w:hAnsi="宋体" w:cs="宋体"/>
                <w:sz w:val="24"/>
              </w:rPr>
              <w:t>实施要点</w:t>
            </w:r>
            <w:r>
              <w:rPr>
                <w:rFonts w:hint="eastAsia" w:ascii="宋体" w:hAnsi="宋体" w:cs="宋体"/>
                <w:sz w:val="24"/>
                <w:lang w:val="en-US" w:eastAsia="zh-CN"/>
              </w:rPr>
              <w:t>及</w:t>
            </w:r>
            <w:r>
              <w:rPr>
                <w:rFonts w:hint="eastAsia" w:ascii="宋体" w:hAnsi="宋体" w:cs="宋体"/>
                <w:sz w:val="24"/>
              </w:rPr>
              <w:t>操作细则（0-</w:t>
            </w:r>
            <w:r>
              <w:rPr>
                <w:rFonts w:hint="eastAsia" w:ascii="宋体" w:hAnsi="宋体" w:cs="宋体"/>
                <w:sz w:val="24"/>
                <w:lang w:val="en-US" w:eastAsia="zh-CN"/>
              </w:rPr>
              <w:t>2</w:t>
            </w:r>
            <w:r>
              <w:rPr>
                <w:rFonts w:hint="eastAsia" w:ascii="宋体" w:hAnsi="宋体" w:cs="宋体"/>
                <w:sz w:val="24"/>
              </w:rPr>
              <w:t>分）。</w:t>
            </w:r>
          </w:p>
        </w:tc>
        <w:tc>
          <w:tcPr>
            <w:tcW w:w="407" w:type="pct"/>
            <w:shd w:val="clear" w:color="auto" w:fill="FFFFFF"/>
            <w:vAlign w:val="center"/>
          </w:tcPr>
          <w:p w14:paraId="782B1FE3">
            <w:pPr>
              <w:keepNext w:val="0"/>
              <w:keepLines w:val="0"/>
              <w:pageBreakBefore w:val="0"/>
              <w:widowControl/>
              <w:kinsoku/>
              <w:wordWrap/>
              <w:overflowPunct/>
              <w:topLinePunct w:val="0"/>
              <w:bidi w:val="0"/>
              <w:adjustRightInd w:val="0"/>
              <w:spacing w:line="440" w:lineRule="exact"/>
              <w:jc w:val="center"/>
              <w:textAlignment w:val="auto"/>
              <w:rPr>
                <w:rFonts w:hint="eastAsia" w:ascii="宋体" w:hAnsi="宋体" w:eastAsia="宋体" w:cs="宋体"/>
                <w:sz w:val="24"/>
                <w:lang w:val="en-US" w:eastAsia="zh-CN"/>
              </w:rPr>
            </w:pPr>
            <w:r>
              <w:rPr>
                <w:rFonts w:hint="eastAsia" w:ascii="宋体" w:hAnsi="宋体" w:cs="宋体"/>
                <w:sz w:val="24"/>
                <w:lang w:val="en-US" w:eastAsia="zh-CN"/>
              </w:rPr>
              <w:t>6</w:t>
            </w:r>
          </w:p>
        </w:tc>
      </w:tr>
      <w:tr w14:paraId="49ACE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393" w:type="pct"/>
            <w:shd w:val="clear" w:color="auto" w:fill="FFFFFF"/>
            <w:vAlign w:val="center"/>
          </w:tcPr>
          <w:p w14:paraId="5A4FB62B">
            <w:pPr>
              <w:keepNext w:val="0"/>
              <w:keepLines w:val="0"/>
              <w:pageBreakBefore w:val="0"/>
              <w:widowControl/>
              <w:kinsoku/>
              <w:wordWrap/>
              <w:overflowPunct/>
              <w:topLinePunct w:val="0"/>
              <w:bidi w:val="0"/>
              <w:adjustRightInd w:val="0"/>
              <w:spacing w:line="440" w:lineRule="exact"/>
              <w:ind w:firstLine="240" w:firstLineChars="100"/>
              <w:textAlignment w:val="auto"/>
              <w:rPr>
                <w:rFonts w:hint="eastAsia" w:ascii="宋体" w:hAnsi="宋体" w:eastAsia="宋体" w:cs="宋体"/>
                <w:sz w:val="24"/>
                <w:lang w:val="en-US" w:eastAsia="zh-CN"/>
              </w:rPr>
            </w:pPr>
            <w:r>
              <w:rPr>
                <w:rFonts w:hint="eastAsia" w:ascii="宋体" w:hAnsi="宋体" w:cs="宋体"/>
                <w:sz w:val="24"/>
                <w:lang w:val="en-US" w:eastAsia="zh-CN"/>
              </w:rPr>
              <w:t>5</w:t>
            </w:r>
          </w:p>
        </w:tc>
        <w:tc>
          <w:tcPr>
            <w:tcW w:w="696" w:type="pct"/>
            <w:shd w:val="clear" w:color="auto" w:fill="FFFFFF"/>
            <w:vAlign w:val="center"/>
          </w:tcPr>
          <w:p w14:paraId="796E9C23">
            <w:pPr>
              <w:keepNext w:val="0"/>
              <w:keepLines w:val="0"/>
              <w:pageBreakBefore w:val="0"/>
              <w:widowControl/>
              <w:kinsoku/>
              <w:wordWrap/>
              <w:overflowPunct/>
              <w:topLinePunct w:val="0"/>
              <w:bidi w:val="0"/>
              <w:adjustRightInd w:val="0"/>
              <w:spacing w:line="440" w:lineRule="exact"/>
              <w:jc w:val="center"/>
              <w:textAlignment w:val="auto"/>
              <w:rPr>
                <w:rFonts w:ascii="宋体" w:hAnsi="宋体" w:cs="宋体"/>
                <w:sz w:val="24"/>
              </w:rPr>
            </w:pPr>
            <w:r>
              <w:rPr>
                <w:rFonts w:hint="eastAsia" w:ascii="宋体" w:hAnsi="宋体" w:cs="宋体"/>
                <w:sz w:val="24"/>
              </w:rPr>
              <w:t>实施方案</w:t>
            </w:r>
          </w:p>
        </w:tc>
        <w:tc>
          <w:tcPr>
            <w:tcW w:w="3502" w:type="pct"/>
            <w:shd w:val="clear" w:color="auto" w:fill="FFFFFF"/>
          </w:tcPr>
          <w:p w14:paraId="11E628A5">
            <w:pPr>
              <w:keepNext w:val="0"/>
              <w:keepLines w:val="0"/>
              <w:pageBreakBefore w:val="0"/>
              <w:widowControl/>
              <w:kinsoku/>
              <w:wordWrap/>
              <w:overflowPunct/>
              <w:topLinePunct w:val="0"/>
              <w:bidi w:val="0"/>
              <w:adjustRightInd w:val="0"/>
              <w:spacing w:line="440" w:lineRule="exact"/>
              <w:textAlignment w:val="auto"/>
              <w:rPr>
                <w:rFonts w:ascii="宋体" w:hAnsi="宋体" w:cs="宋体"/>
                <w:sz w:val="24"/>
              </w:rPr>
            </w:pPr>
            <w:r>
              <w:rPr>
                <w:rFonts w:hint="eastAsia" w:ascii="宋体" w:hAnsi="宋体" w:cs="宋体"/>
                <w:sz w:val="24"/>
              </w:rPr>
              <w:t>确保按期交付使用，根据投标人的安装服务实施方案，安装方案的制定，货物交付时间节点，落实送货安装时间和人员安排、验收方案等进行打分。</w:t>
            </w:r>
          </w:p>
          <w:p w14:paraId="784423DB">
            <w:pPr>
              <w:pStyle w:val="72"/>
              <w:keepNext w:val="0"/>
              <w:keepLines w:val="0"/>
              <w:pageBreakBefore w:val="0"/>
              <w:widowControl/>
              <w:numPr>
                <w:ilvl w:val="0"/>
                <w:numId w:val="0"/>
              </w:numPr>
              <w:kinsoku/>
              <w:wordWrap/>
              <w:overflowPunct/>
              <w:topLinePunct w:val="0"/>
              <w:bidi w:val="0"/>
              <w:adjustRightInd w:val="0"/>
              <w:spacing w:line="440" w:lineRule="exact"/>
              <w:ind w:leftChars="0"/>
              <w:textAlignment w:val="auto"/>
              <w:rPr>
                <w:rFonts w:ascii="宋体" w:hAnsi="宋体" w:cs="宋体"/>
                <w:sz w:val="24"/>
              </w:rPr>
            </w:pPr>
            <w:r>
              <w:rPr>
                <w:rFonts w:hint="eastAsia" w:ascii="宋体" w:hAnsi="宋体" w:eastAsia="宋体" w:cs="宋体"/>
                <w:bCs/>
                <w:color w:val="000000" w:themeColor="text1"/>
                <w:sz w:val="24"/>
                <w14:textFill>
                  <w14:solidFill>
                    <w14:schemeClr w14:val="tx1"/>
                  </w14:solidFill>
                </w14:textFill>
              </w:rPr>
              <w:t>①</w:t>
            </w:r>
            <w:r>
              <w:rPr>
                <w:rFonts w:hint="eastAsia" w:ascii="宋体" w:hAnsi="宋体" w:cs="宋体"/>
                <w:bCs/>
                <w:color w:val="000000" w:themeColor="text1"/>
                <w:sz w:val="24"/>
                <w14:textFill>
                  <w14:solidFill>
                    <w14:schemeClr w14:val="tx1"/>
                  </w14:solidFill>
                </w14:textFill>
              </w:rPr>
              <w:t>安装、调试方案和措施</w:t>
            </w:r>
            <w:r>
              <w:rPr>
                <w:rFonts w:hint="eastAsia" w:ascii="宋体" w:hAnsi="宋体" w:cs="宋体"/>
                <w:sz w:val="24"/>
              </w:rPr>
              <w:t>（0-2分）；</w:t>
            </w:r>
          </w:p>
          <w:p w14:paraId="048BCEFD">
            <w:pPr>
              <w:pStyle w:val="72"/>
              <w:keepNext w:val="0"/>
              <w:keepLines w:val="0"/>
              <w:pageBreakBefore w:val="0"/>
              <w:widowControl/>
              <w:numPr>
                <w:ilvl w:val="0"/>
                <w:numId w:val="0"/>
              </w:numPr>
              <w:kinsoku/>
              <w:wordWrap/>
              <w:overflowPunct/>
              <w:topLinePunct w:val="0"/>
              <w:bidi w:val="0"/>
              <w:adjustRightInd w:val="0"/>
              <w:spacing w:line="440" w:lineRule="exact"/>
              <w:ind w:leftChars="0"/>
              <w:textAlignment w:val="auto"/>
              <w:rPr>
                <w:rFonts w:ascii="宋体" w:hAnsi="宋体" w:cs="宋体"/>
                <w:sz w:val="24"/>
              </w:rPr>
            </w:pPr>
            <w:r>
              <w:rPr>
                <w:rFonts w:hint="eastAsia" w:ascii="宋体" w:hAnsi="宋体" w:eastAsia="宋体" w:cs="宋体"/>
                <w:sz w:val="24"/>
              </w:rPr>
              <w:t>②</w:t>
            </w:r>
            <w:r>
              <w:rPr>
                <w:rFonts w:hint="eastAsia" w:ascii="宋体" w:hAnsi="宋体" w:cs="宋体"/>
                <w:sz w:val="24"/>
              </w:rPr>
              <w:t>质量保证措施（0-2分）；</w:t>
            </w:r>
          </w:p>
          <w:p w14:paraId="0EEA0BAC">
            <w:pPr>
              <w:keepNext w:val="0"/>
              <w:keepLines w:val="0"/>
              <w:pageBreakBefore w:val="0"/>
              <w:widowControl/>
              <w:kinsoku/>
              <w:wordWrap/>
              <w:overflowPunct/>
              <w:topLinePunct w:val="0"/>
              <w:bidi w:val="0"/>
              <w:adjustRightInd w:val="0"/>
              <w:spacing w:line="440" w:lineRule="exact"/>
              <w:textAlignment w:val="auto"/>
              <w:rPr>
                <w:rFonts w:ascii="宋体" w:hAnsi="宋体" w:cs="宋体"/>
                <w:sz w:val="24"/>
              </w:rPr>
            </w:pPr>
            <w:r>
              <w:rPr>
                <w:rFonts w:ascii="宋体" w:hAnsi="宋体" w:cs="宋体"/>
                <w:sz w:val="24"/>
              </w:rPr>
              <w:t>③</w:t>
            </w:r>
            <w:r>
              <w:rPr>
                <w:rFonts w:hint="eastAsia" w:ascii="宋体" w:hAnsi="宋体" w:cs="宋体"/>
                <w:bCs/>
                <w:color w:val="000000" w:themeColor="text1"/>
                <w:sz w:val="24"/>
                <w14:textFill>
                  <w14:solidFill>
                    <w14:schemeClr w14:val="tx1"/>
                  </w14:solidFill>
                </w14:textFill>
              </w:rPr>
              <w:t>验收方案及确保验收结果用户满意的保障措施及技术服务保障优势</w:t>
            </w:r>
            <w:r>
              <w:rPr>
                <w:rFonts w:hint="eastAsia" w:ascii="宋体" w:hAnsi="宋体" w:cs="宋体"/>
                <w:sz w:val="24"/>
              </w:rPr>
              <w:t>（0-2分）；</w:t>
            </w:r>
          </w:p>
          <w:p w14:paraId="752AEC07">
            <w:pPr>
              <w:keepNext w:val="0"/>
              <w:keepLines w:val="0"/>
              <w:pageBreakBefore w:val="0"/>
              <w:widowControl/>
              <w:kinsoku/>
              <w:wordWrap/>
              <w:overflowPunct/>
              <w:topLinePunct w:val="0"/>
              <w:bidi w:val="0"/>
              <w:adjustRightInd w:val="0"/>
              <w:spacing w:line="440" w:lineRule="exact"/>
              <w:textAlignment w:val="auto"/>
              <w:rPr>
                <w:rFonts w:ascii="宋体" w:hAnsi="宋体" w:cs="宋体"/>
                <w:bCs/>
                <w:color w:val="000000" w:themeColor="text1"/>
                <w:sz w:val="24"/>
                <w14:textFill>
                  <w14:solidFill>
                    <w14:schemeClr w14:val="tx1"/>
                  </w14:solidFill>
                </w14:textFill>
              </w:rPr>
            </w:pPr>
            <w:r>
              <w:rPr>
                <w:rFonts w:hint="eastAsia" w:ascii="宋体" w:hAnsi="宋体" w:cs="宋体"/>
                <w:sz w:val="24"/>
              </w:rPr>
              <w:t>④</w:t>
            </w:r>
            <w:r>
              <w:rPr>
                <w:rFonts w:hint="eastAsia" w:ascii="宋体" w:hAnsi="宋体" w:cs="宋体"/>
                <w:bCs/>
                <w:color w:val="000000" w:themeColor="text1"/>
                <w:sz w:val="24"/>
                <w14:textFill>
                  <w14:solidFill>
                    <w14:schemeClr w14:val="tx1"/>
                  </w14:solidFill>
                </w14:textFill>
              </w:rPr>
              <w:t>培训计划内容、培训范围、实施方案</w:t>
            </w:r>
            <w:r>
              <w:rPr>
                <w:rFonts w:hint="eastAsia" w:ascii="宋体" w:hAnsi="宋体" w:cs="宋体"/>
                <w:sz w:val="24"/>
              </w:rPr>
              <w:t>（0-2分）。</w:t>
            </w:r>
          </w:p>
        </w:tc>
        <w:tc>
          <w:tcPr>
            <w:tcW w:w="407" w:type="pct"/>
            <w:vAlign w:val="center"/>
          </w:tcPr>
          <w:p w14:paraId="708EA51C">
            <w:pPr>
              <w:keepNext w:val="0"/>
              <w:keepLines w:val="0"/>
              <w:pageBreakBefore w:val="0"/>
              <w:widowControl/>
              <w:kinsoku/>
              <w:wordWrap/>
              <w:overflowPunct/>
              <w:topLinePunct w:val="0"/>
              <w:bidi w:val="0"/>
              <w:adjustRightInd w:val="0"/>
              <w:spacing w:line="440" w:lineRule="exact"/>
              <w:jc w:val="center"/>
              <w:textAlignment w:val="auto"/>
              <w:rPr>
                <w:rFonts w:ascii="宋体" w:hAnsi="宋体" w:cs="宋体"/>
                <w:sz w:val="24"/>
              </w:rPr>
            </w:pPr>
            <w:r>
              <w:rPr>
                <w:rFonts w:hint="eastAsia" w:ascii="宋体" w:hAnsi="宋体" w:cs="宋体"/>
                <w:sz w:val="24"/>
              </w:rPr>
              <w:t>8</w:t>
            </w:r>
          </w:p>
        </w:tc>
      </w:tr>
      <w:tr w14:paraId="068C4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393" w:type="pct"/>
            <w:shd w:val="clear" w:color="auto" w:fill="FFFFFF"/>
            <w:vAlign w:val="center"/>
          </w:tcPr>
          <w:p w14:paraId="0A18D3A4">
            <w:pPr>
              <w:keepNext w:val="0"/>
              <w:keepLines w:val="0"/>
              <w:pageBreakBefore w:val="0"/>
              <w:widowControl/>
              <w:kinsoku/>
              <w:wordWrap/>
              <w:overflowPunct/>
              <w:topLinePunct w:val="0"/>
              <w:bidi w:val="0"/>
              <w:adjustRightInd w:val="0"/>
              <w:spacing w:line="440" w:lineRule="exact"/>
              <w:jc w:val="center"/>
              <w:textAlignment w:val="auto"/>
              <w:rPr>
                <w:rFonts w:hint="eastAsia" w:ascii="宋体" w:hAnsi="宋体" w:eastAsia="宋体" w:cs="宋体"/>
                <w:sz w:val="24"/>
                <w:lang w:val="en-US" w:eastAsia="zh-CN"/>
              </w:rPr>
            </w:pPr>
            <w:r>
              <w:rPr>
                <w:rFonts w:hint="eastAsia" w:ascii="宋体" w:hAnsi="宋体" w:cs="宋体"/>
                <w:sz w:val="24"/>
                <w:lang w:val="en-US" w:eastAsia="zh-CN"/>
              </w:rPr>
              <w:t>6</w:t>
            </w:r>
          </w:p>
        </w:tc>
        <w:tc>
          <w:tcPr>
            <w:tcW w:w="696" w:type="pct"/>
            <w:shd w:val="clear" w:color="auto" w:fill="FFFFFF"/>
            <w:vAlign w:val="center"/>
          </w:tcPr>
          <w:p w14:paraId="52741C65">
            <w:pPr>
              <w:keepNext w:val="0"/>
              <w:keepLines w:val="0"/>
              <w:pageBreakBefore w:val="0"/>
              <w:widowControl/>
              <w:kinsoku/>
              <w:wordWrap/>
              <w:overflowPunct/>
              <w:topLinePunct w:val="0"/>
              <w:bidi w:val="0"/>
              <w:adjustRightInd w:val="0"/>
              <w:spacing w:line="440" w:lineRule="exact"/>
              <w:jc w:val="center"/>
              <w:textAlignment w:val="auto"/>
              <w:rPr>
                <w:rFonts w:ascii="宋体" w:hAnsi="宋体" w:cs="宋体"/>
                <w:sz w:val="24"/>
              </w:rPr>
            </w:pPr>
            <w:r>
              <w:rPr>
                <w:rFonts w:hint="eastAsia" w:ascii="宋体" w:hAnsi="宋体" w:cs="宋体"/>
                <w:sz w:val="24"/>
              </w:rPr>
              <w:t>售后服务及保障</w:t>
            </w:r>
          </w:p>
        </w:tc>
        <w:tc>
          <w:tcPr>
            <w:tcW w:w="3502" w:type="pct"/>
            <w:shd w:val="clear" w:color="auto" w:fill="FFFFFF"/>
            <w:vAlign w:val="center"/>
          </w:tcPr>
          <w:p w14:paraId="0E77DB20">
            <w:pPr>
              <w:keepNext w:val="0"/>
              <w:keepLines w:val="0"/>
              <w:pageBreakBefore w:val="0"/>
              <w:widowControl/>
              <w:kinsoku/>
              <w:wordWrap/>
              <w:overflowPunct/>
              <w:topLinePunct w:val="0"/>
              <w:bidi w:val="0"/>
              <w:adjustRightInd w:val="0"/>
              <w:spacing w:line="440" w:lineRule="exact"/>
              <w:textAlignment w:val="auto"/>
              <w:rPr>
                <w:rFonts w:ascii="宋体" w:hAnsi="宋体" w:cs="宋体"/>
                <w:sz w:val="24"/>
              </w:rPr>
            </w:pPr>
            <w:r>
              <w:rPr>
                <w:rFonts w:hint="eastAsia" w:ascii="宋体" w:hAnsi="宋体" w:cs="宋体"/>
                <w:sz w:val="24"/>
              </w:rPr>
              <w:t>根据售后服务方案和技术服务支持力量等进行打分。</w:t>
            </w:r>
          </w:p>
          <w:p w14:paraId="30D77B51">
            <w:pPr>
              <w:keepNext w:val="0"/>
              <w:keepLines w:val="0"/>
              <w:pageBreakBefore w:val="0"/>
              <w:widowControl/>
              <w:kinsoku/>
              <w:wordWrap/>
              <w:overflowPunct/>
              <w:topLinePunct w:val="0"/>
              <w:bidi w:val="0"/>
              <w:adjustRightInd w:val="0"/>
              <w:spacing w:line="440" w:lineRule="exact"/>
              <w:textAlignment w:val="auto"/>
              <w:rPr>
                <w:rFonts w:ascii="宋体" w:hAnsi="宋体" w:cs="宋体"/>
                <w:sz w:val="24"/>
              </w:rPr>
            </w:pPr>
            <w:r>
              <w:rPr>
                <w:rFonts w:hint="eastAsia" w:ascii="宋体" w:hAnsi="宋体" w:cs="宋体"/>
                <w:sz w:val="24"/>
              </w:rPr>
              <w:t>①售后服务方案及承诺（0-2分）；</w:t>
            </w:r>
          </w:p>
          <w:p w14:paraId="240D21F5">
            <w:pPr>
              <w:keepNext w:val="0"/>
              <w:keepLines w:val="0"/>
              <w:pageBreakBefore w:val="0"/>
              <w:widowControl/>
              <w:kinsoku/>
              <w:wordWrap/>
              <w:overflowPunct/>
              <w:topLinePunct w:val="0"/>
              <w:bidi w:val="0"/>
              <w:adjustRightInd w:val="0"/>
              <w:spacing w:line="440" w:lineRule="exact"/>
              <w:textAlignment w:val="auto"/>
              <w:rPr>
                <w:rFonts w:ascii="宋体" w:hAnsi="宋体" w:cs="宋体"/>
                <w:sz w:val="24"/>
              </w:rPr>
            </w:pPr>
            <w:r>
              <w:rPr>
                <w:rFonts w:hint="eastAsia" w:ascii="宋体" w:hAnsi="宋体" w:cs="宋体"/>
                <w:sz w:val="24"/>
              </w:rPr>
              <w:t>②技术服务支持力量（0-2分）；</w:t>
            </w:r>
          </w:p>
          <w:p w14:paraId="6532E478">
            <w:pPr>
              <w:keepNext w:val="0"/>
              <w:keepLines w:val="0"/>
              <w:pageBreakBefore w:val="0"/>
              <w:widowControl/>
              <w:kinsoku/>
              <w:wordWrap/>
              <w:overflowPunct/>
              <w:topLinePunct w:val="0"/>
              <w:bidi w:val="0"/>
              <w:adjustRightInd w:val="0"/>
              <w:spacing w:line="440" w:lineRule="exact"/>
              <w:textAlignment w:val="auto"/>
              <w:rPr>
                <w:rFonts w:ascii="宋体" w:hAnsi="宋体" w:cs="宋体"/>
                <w:sz w:val="24"/>
              </w:rPr>
            </w:pPr>
            <w:r>
              <w:rPr>
                <w:rFonts w:ascii="宋体" w:hAnsi="宋体" w:cs="宋体"/>
                <w:sz w:val="24"/>
              </w:rPr>
              <w:t>③</w:t>
            </w:r>
            <w:r>
              <w:rPr>
                <w:rFonts w:hint="eastAsia" w:ascii="宋体" w:hAnsi="宋体" w:cs="宋体"/>
                <w:sz w:val="24"/>
              </w:rPr>
              <w:t>故障响应时间（0-1分）。</w:t>
            </w:r>
          </w:p>
        </w:tc>
        <w:tc>
          <w:tcPr>
            <w:tcW w:w="407" w:type="pct"/>
            <w:shd w:val="clear" w:color="auto" w:fill="FFFFFF"/>
            <w:vAlign w:val="center"/>
          </w:tcPr>
          <w:p w14:paraId="5FF1892C">
            <w:pPr>
              <w:keepNext w:val="0"/>
              <w:keepLines w:val="0"/>
              <w:pageBreakBefore w:val="0"/>
              <w:kinsoku/>
              <w:wordWrap/>
              <w:overflowPunct/>
              <w:topLinePunct w:val="0"/>
              <w:autoSpaceDE w:val="0"/>
              <w:autoSpaceDN w:val="0"/>
              <w:bidi w:val="0"/>
              <w:adjustRightInd w:val="0"/>
              <w:spacing w:line="440" w:lineRule="exact"/>
              <w:jc w:val="center"/>
              <w:textAlignment w:val="auto"/>
              <w:rPr>
                <w:rFonts w:hint="eastAsia" w:ascii="宋体" w:hAnsi="宋体" w:eastAsia="宋体" w:cs="宋体"/>
                <w:sz w:val="24"/>
                <w:lang w:val="en-US" w:eastAsia="zh-CN"/>
              </w:rPr>
            </w:pPr>
            <w:r>
              <w:rPr>
                <w:rFonts w:hint="eastAsia" w:ascii="宋体" w:hAnsi="宋体" w:cs="宋体"/>
                <w:sz w:val="24"/>
                <w:lang w:val="en-US" w:eastAsia="zh-CN"/>
              </w:rPr>
              <w:t>5</w:t>
            </w:r>
          </w:p>
        </w:tc>
      </w:tr>
      <w:tr w14:paraId="77018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393" w:type="pct"/>
            <w:shd w:val="clear" w:color="auto" w:fill="FFFFFF"/>
            <w:vAlign w:val="center"/>
          </w:tcPr>
          <w:p w14:paraId="728DD4AA">
            <w:pPr>
              <w:keepNext w:val="0"/>
              <w:keepLines w:val="0"/>
              <w:pageBreakBefore w:val="0"/>
              <w:widowControl/>
              <w:kinsoku/>
              <w:wordWrap/>
              <w:overflowPunct/>
              <w:topLinePunct w:val="0"/>
              <w:bidi w:val="0"/>
              <w:adjustRightInd w:val="0"/>
              <w:spacing w:line="440" w:lineRule="exact"/>
              <w:jc w:val="center"/>
              <w:textAlignment w:val="auto"/>
              <w:rPr>
                <w:rFonts w:hint="eastAsia" w:ascii="宋体" w:hAnsi="宋体" w:eastAsia="宋体" w:cs="宋体"/>
                <w:sz w:val="24"/>
                <w:lang w:val="en-US" w:eastAsia="zh-CN"/>
              </w:rPr>
            </w:pPr>
            <w:r>
              <w:rPr>
                <w:rFonts w:hint="eastAsia" w:ascii="宋体" w:hAnsi="宋体" w:cs="宋体"/>
                <w:sz w:val="24"/>
                <w:lang w:val="en-US" w:eastAsia="zh-CN"/>
              </w:rPr>
              <w:t>7</w:t>
            </w:r>
          </w:p>
        </w:tc>
        <w:tc>
          <w:tcPr>
            <w:tcW w:w="696" w:type="pct"/>
            <w:shd w:val="clear" w:color="auto" w:fill="FFFFFF"/>
            <w:vAlign w:val="center"/>
          </w:tcPr>
          <w:p w14:paraId="5CA50985">
            <w:pPr>
              <w:keepNext w:val="0"/>
              <w:keepLines w:val="0"/>
              <w:pageBreakBefore w:val="0"/>
              <w:widowControl/>
              <w:kinsoku/>
              <w:wordWrap/>
              <w:overflowPunct/>
              <w:topLinePunct w:val="0"/>
              <w:bidi w:val="0"/>
              <w:adjustRightInd w:val="0"/>
              <w:spacing w:line="440" w:lineRule="exact"/>
              <w:jc w:val="center"/>
              <w:textAlignment w:val="auto"/>
              <w:rPr>
                <w:rFonts w:ascii="宋体" w:hAnsi="宋体" w:cs="宋体"/>
                <w:sz w:val="24"/>
              </w:rPr>
            </w:pPr>
            <w:r>
              <w:rPr>
                <w:rFonts w:hint="eastAsia" w:ascii="宋体" w:hAnsi="宋体" w:cs="宋体"/>
                <w:sz w:val="24"/>
              </w:rPr>
              <w:t>质保期</w:t>
            </w:r>
          </w:p>
        </w:tc>
        <w:tc>
          <w:tcPr>
            <w:tcW w:w="3502" w:type="pct"/>
            <w:shd w:val="clear" w:color="auto" w:fill="FFFFFF"/>
            <w:vAlign w:val="center"/>
          </w:tcPr>
          <w:p w14:paraId="364894D3">
            <w:pPr>
              <w:keepNext w:val="0"/>
              <w:keepLines w:val="0"/>
              <w:pageBreakBefore w:val="0"/>
              <w:widowControl/>
              <w:kinsoku/>
              <w:wordWrap/>
              <w:overflowPunct/>
              <w:topLinePunct w:val="0"/>
              <w:bidi w:val="0"/>
              <w:adjustRightInd w:val="0"/>
              <w:spacing w:line="440" w:lineRule="exact"/>
              <w:jc w:val="left"/>
              <w:textAlignment w:val="auto"/>
              <w:rPr>
                <w:rFonts w:ascii="宋体" w:hAnsi="宋体" w:cs="宋体"/>
                <w:sz w:val="24"/>
              </w:rPr>
            </w:pPr>
            <w:r>
              <w:rPr>
                <w:rFonts w:hint="eastAsia" w:ascii="宋体" w:hAnsi="宋体" w:cs="宋体"/>
                <w:sz w:val="24"/>
              </w:rPr>
              <w:t>质保期在采购文件规定的基础上，承诺每延长一年得</w:t>
            </w:r>
            <w:r>
              <w:rPr>
                <w:rFonts w:hint="eastAsia" w:ascii="宋体" w:hAnsi="宋体" w:cs="宋体"/>
                <w:sz w:val="24"/>
                <w:lang w:val="en-US" w:eastAsia="zh-CN"/>
              </w:rPr>
              <w:t>2</w:t>
            </w:r>
            <w:r>
              <w:rPr>
                <w:rFonts w:hint="eastAsia" w:ascii="宋体" w:hAnsi="宋体" w:cs="宋体"/>
                <w:sz w:val="24"/>
              </w:rPr>
              <w:t>分，最高得</w:t>
            </w:r>
            <w:r>
              <w:rPr>
                <w:rFonts w:hint="eastAsia" w:ascii="宋体" w:hAnsi="宋体" w:cs="宋体"/>
                <w:sz w:val="24"/>
                <w:lang w:val="en-US" w:eastAsia="zh-CN"/>
              </w:rPr>
              <w:t>6</w:t>
            </w:r>
            <w:r>
              <w:rPr>
                <w:rFonts w:hint="eastAsia" w:ascii="宋体" w:hAnsi="宋体" w:cs="宋体"/>
                <w:sz w:val="24"/>
              </w:rPr>
              <w:t>分。</w:t>
            </w:r>
          </w:p>
        </w:tc>
        <w:tc>
          <w:tcPr>
            <w:tcW w:w="407" w:type="pct"/>
            <w:shd w:val="clear" w:color="auto" w:fill="FFFFFF"/>
            <w:vAlign w:val="center"/>
          </w:tcPr>
          <w:p w14:paraId="24A8B4C8">
            <w:pPr>
              <w:keepNext w:val="0"/>
              <w:keepLines w:val="0"/>
              <w:pageBreakBefore w:val="0"/>
              <w:widowControl/>
              <w:kinsoku/>
              <w:wordWrap/>
              <w:overflowPunct/>
              <w:topLinePunct w:val="0"/>
              <w:bidi w:val="0"/>
              <w:adjustRightInd w:val="0"/>
              <w:spacing w:line="440" w:lineRule="exact"/>
              <w:jc w:val="center"/>
              <w:textAlignment w:val="auto"/>
              <w:rPr>
                <w:rFonts w:hint="eastAsia" w:ascii="宋体" w:hAnsi="宋体" w:eastAsia="宋体" w:cs="宋体"/>
                <w:sz w:val="24"/>
                <w:lang w:val="en-US" w:eastAsia="zh-CN"/>
              </w:rPr>
            </w:pPr>
            <w:r>
              <w:rPr>
                <w:rFonts w:hint="eastAsia" w:ascii="宋体" w:hAnsi="宋体" w:cs="宋体"/>
                <w:sz w:val="24"/>
                <w:lang w:val="en-US" w:eastAsia="zh-CN"/>
              </w:rPr>
              <w:t>6</w:t>
            </w:r>
          </w:p>
        </w:tc>
      </w:tr>
      <w:tr w14:paraId="66EA4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393" w:type="pct"/>
            <w:shd w:val="clear" w:color="auto" w:fill="FFFFFF"/>
            <w:vAlign w:val="center"/>
          </w:tcPr>
          <w:p w14:paraId="599A7666">
            <w:pPr>
              <w:keepNext w:val="0"/>
              <w:keepLines w:val="0"/>
              <w:pageBreakBefore w:val="0"/>
              <w:widowControl/>
              <w:kinsoku/>
              <w:wordWrap/>
              <w:overflowPunct/>
              <w:topLinePunct w:val="0"/>
              <w:bidi w:val="0"/>
              <w:adjustRightInd w:val="0"/>
              <w:spacing w:line="440" w:lineRule="exact"/>
              <w:jc w:val="center"/>
              <w:textAlignment w:val="auto"/>
              <w:rPr>
                <w:rFonts w:hint="eastAsia" w:ascii="宋体" w:hAnsi="宋体" w:eastAsia="宋体" w:cs="宋体"/>
                <w:sz w:val="24"/>
                <w:lang w:val="en-US" w:eastAsia="zh-CN"/>
              </w:rPr>
            </w:pPr>
            <w:r>
              <w:rPr>
                <w:rFonts w:hint="eastAsia" w:ascii="宋体" w:hAnsi="宋体" w:cs="宋体"/>
                <w:sz w:val="24"/>
                <w:lang w:val="en-US" w:eastAsia="zh-CN"/>
              </w:rPr>
              <w:t>8</w:t>
            </w:r>
          </w:p>
        </w:tc>
        <w:tc>
          <w:tcPr>
            <w:tcW w:w="696" w:type="pct"/>
            <w:shd w:val="clear" w:color="auto" w:fill="FFFFFF"/>
            <w:vAlign w:val="center"/>
          </w:tcPr>
          <w:p w14:paraId="51F02FB7">
            <w:pPr>
              <w:keepNext w:val="0"/>
              <w:keepLines w:val="0"/>
              <w:pageBreakBefore w:val="0"/>
              <w:widowControl/>
              <w:kinsoku/>
              <w:wordWrap/>
              <w:overflowPunct/>
              <w:topLinePunct w:val="0"/>
              <w:bidi w:val="0"/>
              <w:adjustRightInd w:val="0"/>
              <w:spacing w:line="440" w:lineRule="exact"/>
              <w:jc w:val="center"/>
              <w:textAlignment w:val="auto"/>
              <w:rPr>
                <w:rFonts w:hint="eastAsia" w:ascii="宋体" w:hAnsi="宋体" w:cs="宋体"/>
                <w:sz w:val="24"/>
              </w:rPr>
            </w:pPr>
            <w:r>
              <w:rPr>
                <w:rFonts w:hint="eastAsia" w:ascii="宋体" w:hAnsi="宋体" w:cs="宋体"/>
                <w:sz w:val="24"/>
                <w:lang w:val="en-US" w:eastAsia="zh-CN"/>
              </w:rPr>
              <w:t>演示</w:t>
            </w:r>
          </w:p>
        </w:tc>
        <w:tc>
          <w:tcPr>
            <w:tcW w:w="3502" w:type="pct"/>
            <w:shd w:val="clear" w:color="auto" w:fill="FFFFFF"/>
            <w:vAlign w:val="center"/>
          </w:tcPr>
          <w:p w14:paraId="610A0AAB">
            <w:pPr>
              <w:keepNext w:val="0"/>
              <w:keepLines w:val="0"/>
              <w:pageBreakBefore w:val="0"/>
              <w:widowControl/>
              <w:kinsoku/>
              <w:wordWrap/>
              <w:overflowPunct/>
              <w:topLinePunct w:val="0"/>
              <w:bidi w:val="0"/>
              <w:adjustRightInd w:val="0"/>
              <w:spacing w:line="440" w:lineRule="exact"/>
              <w:jc w:val="left"/>
              <w:textAlignment w:val="auto"/>
              <w:rPr>
                <w:rFonts w:hint="eastAsia" w:ascii="宋体" w:hAnsi="宋体" w:cs="宋体"/>
                <w:sz w:val="24"/>
                <w:lang w:val="en-US" w:eastAsia="zh-CN"/>
              </w:rPr>
            </w:pPr>
            <w:r>
              <w:rPr>
                <w:rFonts w:hint="eastAsia" w:ascii="宋体" w:hAnsi="宋体" w:cs="宋体"/>
                <w:sz w:val="24"/>
                <w:lang w:val="en-US" w:eastAsia="zh-CN"/>
              </w:rPr>
              <w:t>投标人根据样品进行现场演示：</w:t>
            </w:r>
          </w:p>
          <w:p w14:paraId="2B41C46D">
            <w:pPr>
              <w:keepNext w:val="0"/>
              <w:keepLines w:val="0"/>
              <w:pageBreakBefore w:val="0"/>
              <w:widowControl/>
              <w:kinsoku/>
              <w:wordWrap/>
              <w:overflowPunct/>
              <w:topLinePunct w:val="0"/>
              <w:bidi w:val="0"/>
              <w:adjustRightInd w:val="0"/>
              <w:spacing w:line="440" w:lineRule="exact"/>
              <w:jc w:val="left"/>
              <w:textAlignment w:val="auto"/>
              <w:rPr>
                <w:rFonts w:hint="eastAsia" w:ascii="宋体" w:hAnsi="宋体" w:cs="宋体"/>
                <w:sz w:val="24"/>
              </w:rPr>
            </w:pPr>
            <w:r>
              <w:rPr>
                <w:rFonts w:hint="eastAsia" w:ascii="宋体" w:hAnsi="宋体" w:eastAsia="宋体" w:cs="宋体"/>
                <w:sz w:val="24"/>
                <w:lang w:val="en-US" w:eastAsia="zh-CN"/>
              </w:rPr>
              <w:t>①</w:t>
            </w:r>
            <w:r>
              <w:rPr>
                <w:rFonts w:hint="eastAsia" w:ascii="宋体" w:hAnsi="宋体" w:cs="宋体"/>
                <w:sz w:val="24"/>
                <w:lang w:val="en-US" w:eastAsia="zh-CN"/>
              </w:rPr>
              <w:t>带摇头变焦条灯：演示亮度、调光线性、旋转角度、变焦范围、色温，符合采购要求的得</w:t>
            </w:r>
            <w:r>
              <w:rPr>
                <w:rFonts w:hint="eastAsia" w:ascii="宋体" w:hAnsi="宋体" w:cs="宋体"/>
                <w:sz w:val="24"/>
              </w:rPr>
              <w:t>（</w:t>
            </w:r>
            <w:r>
              <w:rPr>
                <w:rFonts w:hint="eastAsia" w:ascii="宋体" w:hAnsi="宋体" w:cs="宋体"/>
                <w:sz w:val="24"/>
                <w:lang w:val="en-US" w:eastAsia="zh-CN"/>
              </w:rPr>
              <w:t>0-2</w:t>
            </w:r>
            <w:r>
              <w:rPr>
                <w:rFonts w:hint="eastAsia" w:ascii="宋体" w:hAnsi="宋体" w:cs="宋体"/>
                <w:sz w:val="24"/>
              </w:rPr>
              <w:t>分）；</w:t>
            </w:r>
          </w:p>
          <w:p w14:paraId="41D406AA">
            <w:pPr>
              <w:keepNext w:val="0"/>
              <w:keepLines w:val="0"/>
              <w:pageBreakBefore w:val="0"/>
              <w:widowControl/>
              <w:kinsoku/>
              <w:wordWrap/>
              <w:overflowPunct/>
              <w:topLinePunct w:val="0"/>
              <w:bidi w:val="0"/>
              <w:adjustRightInd w:val="0"/>
              <w:spacing w:line="440" w:lineRule="exact"/>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②</w:t>
            </w:r>
            <w:r>
              <w:rPr>
                <w:rFonts w:hint="eastAsia" w:ascii="宋体" w:hAnsi="宋体" w:cs="宋体"/>
                <w:sz w:val="24"/>
                <w:lang w:val="en-US" w:eastAsia="zh-CN"/>
              </w:rPr>
              <w:t>全彩84颗8W变焦帕灯：演示亮度、调光线性、色温、内置宏功能，符合采购要求的得</w:t>
            </w:r>
            <w:r>
              <w:rPr>
                <w:rFonts w:hint="eastAsia" w:ascii="宋体" w:hAnsi="宋体" w:cs="宋体"/>
                <w:sz w:val="24"/>
              </w:rPr>
              <w:t>（0-</w:t>
            </w:r>
            <w:r>
              <w:rPr>
                <w:rFonts w:hint="eastAsia" w:ascii="宋体" w:hAnsi="宋体" w:cs="宋体"/>
                <w:sz w:val="24"/>
                <w:lang w:val="en-US" w:eastAsia="zh-CN"/>
              </w:rPr>
              <w:t>3</w:t>
            </w:r>
            <w:r>
              <w:rPr>
                <w:rFonts w:hint="eastAsia" w:ascii="宋体" w:hAnsi="宋体" w:cs="宋体"/>
                <w:sz w:val="24"/>
              </w:rPr>
              <w:t>分）</w:t>
            </w:r>
            <w:r>
              <w:rPr>
                <w:rFonts w:hint="eastAsia" w:ascii="宋体" w:hAnsi="宋体" w:cs="宋体"/>
                <w:sz w:val="24"/>
                <w:lang w:eastAsia="zh-CN"/>
              </w:rPr>
              <w:t>。</w:t>
            </w:r>
          </w:p>
        </w:tc>
        <w:tc>
          <w:tcPr>
            <w:tcW w:w="407" w:type="pct"/>
            <w:shd w:val="clear" w:color="auto" w:fill="FFFFFF"/>
            <w:vAlign w:val="center"/>
          </w:tcPr>
          <w:p w14:paraId="0F25C95B">
            <w:pPr>
              <w:keepNext w:val="0"/>
              <w:keepLines w:val="0"/>
              <w:pageBreakBefore w:val="0"/>
              <w:widowControl/>
              <w:kinsoku/>
              <w:wordWrap/>
              <w:overflowPunct/>
              <w:topLinePunct w:val="0"/>
              <w:bidi w:val="0"/>
              <w:adjustRightInd w:val="0"/>
              <w:spacing w:line="440" w:lineRule="exact"/>
              <w:jc w:val="center"/>
              <w:textAlignment w:val="auto"/>
              <w:rPr>
                <w:rFonts w:hint="default" w:ascii="宋体" w:hAnsi="宋体" w:eastAsia="宋体" w:cs="宋体"/>
                <w:sz w:val="24"/>
                <w:lang w:val="en-US" w:eastAsia="zh-CN"/>
              </w:rPr>
            </w:pPr>
            <w:r>
              <w:rPr>
                <w:rFonts w:hint="eastAsia" w:ascii="宋体" w:hAnsi="宋体" w:cs="宋体"/>
                <w:sz w:val="24"/>
                <w:lang w:val="en-US" w:eastAsia="zh-CN"/>
              </w:rPr>
              <w:t>5</w:t>
            </w:r>
          </w:p>
        </w:tc>
      </w:tr>
    </w:tbl>
    <w:p w14:paraId="6B87B3B8">
      <w:pPr>
        <w:spacing w:line="440" w:lineRule="exact"/>
        <w:rPr>
          <w:rFonts w:ascii="宋体" w:hAnsi="宋体" w:cs="宋体"/>
          <w:b/>
          <w:bCs/>
          <w:iCs/>
          <w:sz w:val="24"/>
        </w:rPr>
      </w:pPr>
      <w:r>
        <w:rPr>
          <w:rFonts w:hint="eastAsia" w:ascii="宋体" w:hAnsi="宋体" w:cs="宋体"/>
          <w:b/>
          <w:bCs/>
          <w:iCs/>
          <w:sz w:val="24"/>
        </w:rPr>
        <w:t>2、价格分（</w:t>
      </w:r>
      <w:r>
        <w:rPr>
          <w:rFonts w:hint="eastAsia" w:ascii="宋体" w:hAnsi="宋体" w:cs="宋体"/>
          <w:b/>
          <w:bCs/>
          <w:iCs/>
          <w:sz w:val="24"/>
          <w:u w:val="single"/>
          <w:lang w:val="en-US" w:eastAsia="zh-CN"/>
        </w:rPr>
        <w:t>5</w:t>
      </w:r>
      <w:r>
        <w:rPr>
          <w:rFonts w:hint="eastAsia" w:ascii="宋体" w:hAnsi="宋体" w:cs="宋体"/>
          <w:b/>
          <w:bCs/>
          <w:iCs/>
          <w:sz w:val="24"/>
          <w:u w:val="single"/>
        </w:rPr>
        <w:t>0</w:t>
      </w:r>
      <w:r>
        <w:rPr>
          <w:rFonts w:hint="eastAsia" w:ascii="宋体" w:hAnsi="宋体" w:cs="宋体"/>
          <w:b/>
          <w:bCs/>
          <w:iCs/>
          <w:sz w:val="24"/>
        </w:rPr>
        <w:t>分）</w:t>
      </w:r>
    </w:p>
    <w:p w14:paraId="2AAA264A">
      <w:pPr>
        <w:spacing w:line="500" w:lineRule="exact"/>
        <w:ind w:firstLine="480" w:firstLineChars="200"/>
        <w:rPr>
          <w:rFonts w:ascii="新宋体" w:hAnsi="新宋体" w:eastAsia="新宋体" w:cs="新宋体"/>
          <w:sz w:val="24"/>
        </w:rPr>
      </w:pPr>
      <w:r>
        <w:rPr>
          <w:rFonts w:hint="eastAsia" w:ascii="新宋体" w:hAnsi="新宋体" w:eastAsia="新宋体" w:cs="新宋体"/>
          <w:sz w:val="24"/>
        </w:rPr>
        <w:t xml:space="preserve">报价评分应在投标报价范围口径一致的基础上进行。投标人最终评标价为投标报价加上缺报的设备或项目的价格（以所有投标人中最高的报价作为其报价）。属投标人失误造成，如中标，缺报的设备或项目免费提供。             </w:t>
      </w:r>
    </w:p>
    <w:p w14:paraId="7D59CBB2">
      <w:pPr>
        <w:spacing w:line="500" w:lineRule="exact"/>
        <w:ind w:firstLine="480" w:firstLineChars="200"/>
        <w:rPr>
          <w:rFonts w:ascii="新宋体" w:hAnsi="新宋体" w:eastAsia="新宋体" w:cs="新宋体"/>
          <w:sz w:val="24"/>
        </w:rPr>
      </w:pPr>
      <w:r>
        <w:rPr>
          <w:rFonts w:hint="eastAsia" w:ascii="新宋体" w:hAnsi="新宋体" w:eastAsia="新宋体" w:cs="新宋体"/>
          <w:sz w:val="24"/>
        </w:rPr>
        <w:t>评标基准价：以有效投标人的最低投标报价为评标基准价，其价格分为满分。其他投标人的价格分统一按照下列公式计算：</w:t>
      </w:r>
    </w:p>
    <w:p w14:paraId="622BBAB9">
      <w:pPr>
        <w:spacing w:line="500" w:lineRule="exact"/>
        <w:ind w:firstLine="480" w:firstLineChars="200"/>
        <w:rPr>
          <w:rFonts w:ascii="新宋体" w:hAnsi="新宋体" w:eastAsia="新宋体" w:cs="新宋体"/>
          <w:sz w:val="24"/>
        </w:rPr>
      </w:pPr>
      <w:r>
        <w:rPr>
          <w:rFonts w:hint="eastAsia" w:ascii="新宋体" w:hAnsi="新宋体" w:eastAsia="新宋体" w:cs="新宋体"/>
          <w:sz w:val="24"/>
        </w:rPr>
        <w:t>投标报价得分=(评标基准价／投标报价)×价格权值×100</w:t>
      </w:r>
    </w:p>
    <w:p w14:paraId="734299FB">
      <w:pPr>
        <w:spacing w:line="500" w:lineRule="exact"/>
        <w:ind w:firstLine="480" w:firstLineChars="200"/>
        <w:rPr>
          <w:rFonts w:ascii="新宋体" w:hAnsi="新宋体" w:eastAsia="新宋体" w:cs="新宋体"/>
          <w:sz w:val="24"/>
        </w:rPr>
      </w:pPr>
      <w:r>
        <w:rPr>
          <w:rFonts w:hint="eastAsia" w:ascii="新宋体" w:hAnsi="新宋体" w:eastAsia="新宋体" w:cs="新宋体"/>
          <w:sz w:val="24"/>
        </w:rPr>
        <w:t>最高限价为</w:t>
      </w:r>
      <w:r>
        <w:rPr>
          <w:rFonts w:hint="eastAsia" w:ascii="新宋体" w:hAnsi="新宋体" w:eastAsia="新宋体" w:cs="新宋体"/>
          <w:sz w:val="24"/>
          <w:lang w:eastAsia="zh-CN"/>
        </w:rPr>
        <w:t>2200000</w:t>
      </w:r>
      <w:r>
        <w:rPr>
          <w:rFonts w:hint="eastAsia" w:ascii="新宋体" w:hAnsi="新宋体" w:eastAsia="新宋体" w:cs="新宋体"/>
          <w:sz w:val="24"/>
        </w:rPr>
        <w:t>元,投标报价超出最高限价的，作无效标处理。</w:t>
      </w:r>
      <w:r>
        <w:rPr>
          <w:rFonts w:hint="eastAsia" w:ascii="新宋体" w:hAnsi="新宋体" w:eastAsia="新宋体" w:cs="新宋体"/>
          <w:b/>
          <w:bCs/>
          <w:sz w:val="24"/>
        </w:rPr>
        <w:t>风险控制价为</w:t>
      </w:r>
      <w:r>
        <w:rPr>
          <w:rFonts w:hint="eastAsia" w:ascii="新宋体" w:hAnsi="新宋体" w:eastAsia="新宋体" w:cs="新宋体"/>
          <w:b/>
          <w:bCs/>
          <w:color w:val="auto"/>
          <w:sz w:val="24"/>
          <w:lang w:val="en-US" w:eastAsia="zh-CN"/>
        </w:rPr>
        <w:t>1760000</w:t>
      </w:r>
      <w:r>
        <w:rPr>
          <w:rFonts w:hint="eastAsia" w:ascii="新宋体" w:hAnsi="新宋体" w:eastAsia="新宋体" w:cs="新宋体"/>
          <w:b/>
          <w:bCs/>
          <w:sz w:val="24"/>
        </w:rPr>
        <w:t>元（即最高限价的80%）。凡低于该风险控制价的中标供应商在中标后5个工作日内提交履约保证金的同时必须额外补交中标总价与风险控制价之差额（</w:t>
      </w:r>
      <w:r>
        <w:rPr>
          <w:rFonts w:hint="eastAsia" w:ascii="宋体" w:hAnsi="宋体" w:cs="宋体"/>
          <w:b/>
          <w:bCs/>
          <w:sz w:val="24"/>
        </w:rPr>
        <w:t>网上银行、电汇、汇票或转帐形式</w:t>
      </w:r>
      <w:r>
        <w:rPr>
          <w:rFonts w:hint="eastAsia" w:ascii="新宋体" w:hAnsi="新宋体" w:eastAsia="新宋体" w:cs="新宋体"/>
          <w:b/>
          <w:bCs/>
          <w:sz w:val="24"/>
        </w:rPr>
        <w:t>），差额于质保期满后10个工作日内无息退还，中标供应商不提交的视为放弃中标，所产生的损失由违约的中标供应商承担。废标后，采购人应当重新招标。</w:t>
      </w:r>
    </w:p>
    <w:p w14:paraId="2882C57B">
      <w:pPr>
        <w:spacing w:line="500" w:lineRule="exact"/>
        <w:ind w:firstLine="482" w:firstLineChars="200"/>
        <w:rPr>
          <w:rFonts w:ascii="新宋体" w:hAnsi="新宋体" w:eastAsia="新宋体" w:cs="新宋体"/>
          <w:b/>
          <w:bCs/>
          <w:sz w:val="24"/>
        </w:rPr>
      </w:pPr>
      <w:r>
        <w:rPr>
          <w:rFonts w:hint="eastAsia" w:ascii="新宋体" w:hAnsi="新宋体" w:eastAsia="新宋体" w:cs="新宋体"/>
          <w:b/>
          <w:bCs/>
          <w:sz w:val="24"/>
        </w:rPr>
        <w:t>根据财政部87号令第六十条规定，评标委员会认为投标人的报价明显低于其他通过符合性审查投标人的报价，有可能影响产品质量或者不能诚信履约的，应当要求其在评标现场合理的时间内通过乐采云平台提供线上说明，必要时提交相关证明材料。投标人不能在规定时间内合理说明原因并提供证明材料的，评标委员会应当将该投标人的投标文件作无效处理，并在评审报告中说明。</w:t>
      </w:r>
    </w:p>
    <w:bookmarkEnd w:id="78"/>
    <w:bookmarkEnd w:id="79"/>
    <w:p w14:paraId="34422960">
      <w:pPr>
        <w:widowControl/>
        <w:adjustRightInd/>
        <w:jc w:val="left"/>
        <w:rPr>
          <w:rFonts w:ascii="宋体" w:hAnsi="宋体" w:cs="宋体"/>
          <w:b/>
          <w:bCs/>
          <w:sz w:val="32"/>
          <w:szCs w:val="32"/>
        </w:rPr>
      </w:pPr>
      <w:bookmarkStart w:id="80" w:name="_Toc28981"/>
      <w:bookmarkStart w:id="81" w:name="_Toc8096"/>
      <w:bookmarkStart w:id="82" w:name="_Toc29887"/>
      <w:r>
        <w:rPr>
          <w:rFonts w:ascii="宋体" w:hAnsi="宋体" w:cs="宋体"/>
          <w:b/>
          <w:bCs/>
          <w:sz w:val="32"/>
          <w:szCs w:val="32"/>
        </w:rPr>
        <w:br w:type="page"/>
      </w:r>
    </w:p>
    <w:p w14:paraId="6CC3B08A">
      <w:pPr>
        <w:jc w:val="center"/>
        <w:outlineLvl w:val="0"/>
        <w:rPr>
          <w:rFonts w:ascii="宋体" w:hAnsi="宋体" w:cs="宋体"/>
          <w:b/>
          <w:bCs/>
          <w:sz w:val="32"/>
          <w:szCs w:val="32"/>
        </w:rPr>
      </w:pPr>
      <w:r>
        <w:rPr>
          <w:rFonts w:hint="eastAsia" w:ascii="宋体" w:hAnsi="宋体" w:cs="宋体"/>
          <w:b/>
          <w:bCs/>
          <w:sz w:val="32"/>
          <w:szCs w:val="32"/>
        </w:rPr>
        <w:t>第五章  合同主要条款</w:t>
      </w:r>
      <w:bookmarkEnd w:id="80"/>
      <w:bookmarkEnd w:id="81"/>
      <w:bookmarkEnd w:id="82"/>
    </w:p>
    <w:p w14:paraId="559CF610">
      <w:pPr>
        <w:pStyle w:val="17"/>
        <w:spacing w:before="156" w:after="156"/>
        <w:jc w:val="center"/>
        <w:rPr>
          <w:rFonts w:hAnsi="宋体"/>
          <w:b/>
          <w:bCs/>
        </w:rPr>
      </w:pPr>
      <w:r>
        <w:rPr>
          <w:rFonts w:hint="eastAsia" w:hAnsi="宋体"/>
          <w:b/>
          <w:bCs/>
          <w:sz w:val="21"/>
          <w:szCs w:val="21"/>
        </w:rPr>
        <w:t>（</w:t>
      </w:r>
      <w:r>
        <w:rPr>
          <w:rFonts w:hint="eastAsia" w:hAnsi="宋体"/>
          <w:b/>
          <w:bCs/>
        </w:rPr>
        <w:t>本合同为合同样稿，最终稿由双方协商后确定）</w:t>
      </w:r>
    </w:p>
    <w:p w14:paraId="594F5052">
      <w:pPr>
        <w:keepNext w:val="0"/>
        <w:keepLines w:val="0"/>
        <w:pageBreakBefore w:val="0"/>
        <w:widowControl w:val="0"/>
        <w:kinsoku/>
        <w:wordWrap/>
        <w:overflowPunct/>
        <w:topLinePunct w:val="0"/>
        <w:bidi w:val="0"/>
        <w:spacing w:after="160" w:line="430" w:lineRule="exact"/>
        <w:rPr>
          <w:rFonts w:ascii="宋体" w:hAnsi="宋体" w:cs="宋体"/>
          <w:sz w:val="24"/>
        </w:rPr>
      </w:pPr>
      <w:bookmarkStart w:id="83" w:name="_Toc8187"/>
      <w:bookmarkStart w:id="84" w:name="_Toc1188"/>
      <w:r>
        <w:rPr>
          <w:rFonts w:hint="eastAsia" w:ascii="宋体" w:hAnsi="宋体" w:cs="宋体"/>
          <w:sz w:val="24"/>
        </w:rPr>
        <w:t>甲方（采购人）：嵊州市越风蕴秀影视传媒有限公司</w:t>
      </w:r>
    </w:p>
    <w:p w14:paraId="2A85F440">
      <w:pPr>
        <w:keepNext w:val="0"/>
        <w:keepLines w:val="0"/>
        <w:pageBreakBefore w:val="0"/>
        <w:widowControl w:val="0"/>
        <w:kinsoku/>
        <w:wordWrap/>
        <w:overflowPunct/>
        <w:topLinePunct w:val="0"/>
        <w:bidi w:val="0"/>
        <w:spacing w:after="160" w:line="430" w:lineRule="exact"/>
        <w:rPr>
          <w:rFonts w:ascii="宋体" w:hAnsi="宋体" w:cs="宋体"/>
          <w:sz w:val="24"/>
        </w:rPr>
      </w:pPr>
      <w:r>
        <w:rPr>
          <w:rFonts w:hint="eastAsia" w:ascii="宋体" w:hAnsi="宋体" w:cs="宋体"/>
          <w:sz w:val="24"/>
        </w:rPr>
        <w:t xml:space="preserve">乙方（供货方）： </w:t>
      </w:r>
    </w:p>
    <w:p w14:paraId="33220F51">
      <w:pPr>
        <w:keepNext w:val="0"/>
        <w:keepLines w:val="0"/>
        <w:pageBreakBefore w:val="0"/>
        <w:widowControl w:val="0"/>
        <w:kinsoku/>
        <w:wordWrap/>
        <w:overflowPunct/>
        <w:topLinePunct w:val="0"/>
        <w:bidi w:val="0"/>
        <w:spacing w:after="160" w:line="430" w:lineRule="exact"/>
        <w:ind w:left="105" w:firstLine="554" w:firstLineChars="231"/>
        <w:rPr>
          <w:rFonts w:ascii="宋体" w:hAnsi="宋体" w:cs="宋体"/>
          <w:sz w:val="24"/>
        </w:rPr>
      </w:pPr>
      <w:r>
        <w:rPr>
          <w:rFonts w:hint="eastAsia" w:ascii="宋体" w:hAnsi="宋体" w:cs="宋体"/>
          <w:sz w:val="24"/>
        </w:rPr>
        <w:t>甲乙双方本着通力合作的精神，根据中华人民共和国《民法典》以及</w:t>
      </w:r>
      <w:r>
        <w:rPr>
          <w:rFonts w:hint="eastAsia" w:ascii="宋体" w:hAnsi="宋体" w:cs="宋体"/>
          <w:sz w:val="24"/>
          <w:u w:val="single"/>
          <w:lang w:eastAsia="zh-CN"/>
        </w:rPr>
        <w:t>沉浸式演艺项目《幻境红楼梦》（暂名）配套设备及系统集成服务采购项目</w:t>
      </w:r>
      <w:r>
        <w:rPr>
          <w:rFonts w:hint="eastAsia" w:ascii="宋体" w:hAnsi="宋体" w:cs="宋体"/>
          <w:sz w:val="24"/>
        </w:rPr>
        <w:t>公开招标的结果，由</w:t>
      </w:r>
      <w:r>
        <w:rPr>
          <w:rFonts w:hint="eastAsia" w:ascii="宋体" w:hAnsi="宋体" w:cs="宋体"/>
          <w:sz w:val="24"/>
          <w:u w:val="single"/>
        </w:rPr>
        <w:t>嵊州市越风蕴秀影视传媒有限公司</w:t>
      </w:r>
      <w:r>
        <w:rPr>
          <w:rFonts w:hint="eastAsia" w:ascii="宋体" w:hAnsi="宋体" w:cs="宋体"/>
          <w:sz w:val="24"/>
        </w:rPr>
        <w:t>（以下简称甲方）与经评审最终确定的成交人</w:t>
      </w:r>
      <w:r>
        <w:rPr>
          <w:rFonts w:hint="eastAsia" w:ascii="宋体" w:hAnsi="宋体" w:cs="宋体"/>
          <w:sz w:val="24"/>
          <w:u w:val="single"/>
          <w:lang w:val="en-US" w:eastAsia="zh-CN"/>
        </w:rPr>
        <w:t xml:space="preserve">     </w:t>
      </w:r>
      <w:r>
        <w:rPr>
          <w:rFonts w:hint="eastAsia" w:ascii="宋体" w:hAnsi="宋体" w:cs="宋体"/>
          <w:sz w:val="24"/>
        </w:rPr>
        <w:t>（以下简称乙方）结合本项目具体情况协商后签署本合同。</w:t>
      </w:r>
    </w:p>
    <w:p w14:paraId="3BA59D56">
      <w:pPr>
        <w:keepNext w:val="0"/>
        <w:keepLines w:val="0"/>
        <w:pageBreakBefore w:val="0"/>
        <w:widowControl w:val="0"/>
        <w:kinsoku/>
        <w:wordWrap/>
        <w:overflowPunct/>
        <w:topLinePunct w:val="0"/>
        <w:autoSpaceDE w:val="0"/>
        <w:autoSpaceDN w:val="0"/>
        <w:bidi w:val="0"/>
        <w:snapToGrid w:val="0"/>
        <w:spacing w:line="430" w:lineRule="exact"/>
        <w:ind w:firstLine="482" w:firstLineChars="200"/>
        <w:jc w:val="left"/>
        <w:textAlignment w:val="bottom"/>
        <w:rPr>
          <w:rFonts w:ascii="宋体" w:hAnsi="宋体" w:cs="宋体"/>
          <w:b/>
          <w:sz w:val="24"/>
        </w:rPr>
      </w:pPr>
      <w:r>
        <w:rPr>
          <w:rFonts w:hint="eastAsia" w:ascii="宋体" w:hAnsi="宋体" w:cs="宋体"/>
          <w:b/>
          <w:sz w:val="24"/>
        </w:rPr>
        <w:t>一、采购内容（后附清单）</w:t>
      </w:r>
    </w:p>
    <w:tbl>
      <w:tblPr>
        <w:tblStyle w:val="29"/>
        <w:tblW w:w="4998" w:type="pct"/>
        <w:jc w:val="center"/>
        <w:tblLayout w:type="autofit"/>
        <w:tblCellMar>
          <w:top w:w="15" w:type="dxa"/>
          <w:left w:w="15" w:type="dxa"/>
          <w:bottom w:w="15" w:type="dxa"/>
          <w:right w:w="15" w:type="dxa"/>
        </w:tblCellMar>
      </w:tblPr>
      <w:tblGrid>
        <w:gridCol w:w="793"/>
        <w:gridCol w:w="1925"/>
        <w:gridCol w:w="2443"/>
        <w:gridCol w:w="1088"/>
        <w:gridCol w:w="992"/>
        <w:gridCol w:w="1092"/>
      </w:tblGrid>
      <w:tr w14:paraId="7A9187E7">
        <w:tblPrEx>
          <w:tblCellMar>
            <w:top w:w="15" w:type="dxa"/>
            <w:left w:w="15" w:type="dxa"/>
            <w:bottom w:w="15" w:type="dxa"/>
            <w:right w:w="15" w:type="dxa"/>
          </w:tblCellMar>
        </w:tblPrEx>
        <w:trPr>
          <w:trHeight w:val="683" w:hRule="atLeast"/>
          <w:jc w:val="center"/>
        </w:trPr>
        <w:tc>
          <w:tcPr>
            <w:tcW w:w="476" w:type="pct"/>
            <w:tcBorders>
              <w:top w:val="single" w:color="000000" w:sz="4" w:space="0"/>
              <w:left w:val="single" w:color="000000" w:sz="4" w:space="0"/>
              <w:bottom w:val="single" w:color="000000" w:sz="4" w:space="0"/>
              <w:right w:val="single" w:color="000000" w:sz="4" w:space="0"/>
            </w:tcBorders>
            <w:vAlign w:val="center"/>
          </w:tcPr>
          <w:p w14:paraId="4F88598F">
            <w:pPr>
              <w:keepNext w:val="0"/>
              <w:keepLines w:val="0"/>
              <w:pageBreakBefore w:val="0"/>
              <w:widowControl w:val="0"/>
              <w:kinsoku/>
              <w:wordWrap/>
              <w:overflowPunct/>
              <w:topLinePunct w:val="0"/>
              <w:bidi w:val="0"/>
              <w:snapToGrid w:val="0"/>
              <w:spacing w:line="430" w:lineRule="exact"/>
              <w:jc w:val="center"/>
              <w:rPr>
                <w:rFonts w:ascii="宋体" w:hAnsi="宋体" w:cs="宋体"/>
                <w:sz w:val="24"/>
              </w:rPr>
            </w:pPr>
            <w:r>
              <w:rPr>
                <w:rFonts w:hint="eastAsia" w:ascii="宋体" w:hAnsi="宋体" w:cs="宋体"/>
                <w:sz w:val="24"/>
              </w:rPr>
              <w:t>序号</w:t>
            </w:r>
          </w:p>
        </w:tc>
        <w:tc>
          <w:tcPr>
            <w:tcW w:w="1155" w:type="pct"/>
            <w:tcBorders>
              <w:top w:val="single" w:color="000000" w:sz="4" w:space="0"/>
              <w:left w:val="single" w:color="000000" w:sz="4" w:space="0"/>
              <w:bottom w:val="single" w:color="000000" w:sz="4" w:space="0"/>
              <w:right w:val="single" w:color="000000" w:sz="4" w:space="0"/>
            </w:tcBorders>
            <w:vAlign w:val="center"/>
          </w:tcPr>
          <w:p w14:paraId="5B2CCCE2">
            <w:pPr>
              <w:keepNext w:val="0"/>
              <w:keepLines w:val="0"/>
              <w:pageBreakBefore w:val="0"/>
              <w:widowControl w:val="0"/>
              <w:kinsoku/>
              <w:wordWrap/>
              <w:overflowPunct/>
              <w:topLinePunct w:val="0"/>
              <w:bidi w:val="0"/>
              <w:snapToGrid w:val="0"/>
              <w:spacing w:line="430" w:lineRule="exact"/>
              <w:jc w:val="center"/>
              <w:rPr>
                <w:rFonts w:ascii="宋体" w:hAnsi="宋体" w:cs="宋体"/>
                <w:sz w:val="24"/>
              </w:rPr>
            </w:pPr>
            <w:r>
              <w:rPr>
                <w:rFonts w:hint="eastAsia" w:ascii="宋体" w:hAnsi="宋体" w:cs="宋体"/>
                <w:sz w:val="24"/>
              </w:rPr>
              <w:t>采购内容</w:t>
            </w:r>
          </w:p>
        </w:tc>
        <w:tc>
          <w:tcPr>
            <w:tcW w:w="1466" w:type="pct"/>
            <w:tcBorders>
              <w:top w:val="single" w:color="000000" w:sz="4" w:space="0"/>
              <w:left w:val="single" w:color="000000" w:sz="4" w:space="0"/>
              <w:bottom w:val="single" w:color="000000" w:sz="4" w:space="0"/>
              <w:right w:val="single" w:color="auto" w:sz="4" w:space="0"/>
            </w:tcBorders>
            <w:vAlign w:val="center"/>
          </w:tcPr>
          <w:p w14:paraId="3520B154">
            <w:pPr>
              <w:keepNext w:val="0"/>
              <w:keepLines w:val="0"/>
              <w:pageBreakBefore w:val="0"/>
              <w:widowControl w:val="0"/>
              <w:kinsoku/>
              <w:wordWrap/>
              <w:overflowPunct/>
              <w:topLinePunct w:val="0"/>
              <w:bidi w:val="0"/>
              <w:snapToGrid w:val="0"/>
              <w:spacing w:line="430" w:lineRule="exact"/>
              <w:jc w:val="center"/>
              <w:rPr>
                <w:rFonts w:ascii="宋体" w:hAnsi="宋体" w:cs="宋体"/>
                <w:sz w:val="24"/>
              </w:rPr>
            </w:pPr>
            <w:r>
              <w:rPr>
                <w:rFonts w:hint="eastAsia" w:ascii="宋体" w:hAnsi="宋体" w:cs="宋体"/>
                <w:sz w:val="24"/>
              </w:rPr>
              <w:t>品牌型号规格</w:t>
            </w:r>
          </w:p>
        </w:tc>
        <w:tc>
          <w:tcPr>
            <w:tcW w:w="653" w:type="pct"/>
            <w:tcBorders>
              <w:top w:val="single" w:color="000000" w:sz="4" w:space="0"/>
              <w:left w:val="single" w:color="auto" w:sz="4" w:space="0"/>
              <w:bottom w:val="single" w:color="000000" w:sz="4" w:space="0"/>
              <w:right w:val="single" w:color="auto" w:sz="4" w:space="0"/>
            </w:tcBorders>
            <w:vAlign w:val="center"/>
          </w:tcPr>
          <w:p w14:paraId="62159EF9">
            <w:pPr>
              <w:keepNext w:val="0"/>
              <w:keepLines w:val="0"/>
              <w:pageBreakBefore w:val="0"/>
              <w:widowControl w:val="0"/>
              <w:kinsoku/>
              <w:wordWrap/>
              <w:overflowPunct/>
              <w:topLinePunct w:val="0"/>
              <w:bidi w:val="0"/>
              <w:snapToGrid w:val="0"/>
              <w:spacing w:line="430" w:lineRule="exact"/>
              <w:jc w:val="center"/>
              <w:rPr>
                <w:rFonts w:ascii="宋体" w:hAnsi="宋体" w:cs="宋体"/>
                <w:sz w:val="24"/>
              </w:rPr>
            </w:pPr>
            <w:r>
              <w:rPr>
                <w:rFonts w:hint="eastAsia" w:ascii="宋体" w:hAnsi="宋体" w:cs="宋体"/>
                <w:sz w:val="24"/>
              </w:rPr>
              <w:t>数量</w:t>
            </w:r>
          </w:p>
        </w:tc>
        <w:tc>
          <w:tcPr>
            <w:tcW w:w="595" w:type="pct"/>
            <w:tcBorders>
              <w:top w:val="single" w:color="000000" w:sz="4" w:space="0"/>
              <w:left w:val="single" w:color="000000" w:sz="4" w:space="0"/>
              <w:bottom w:val="single" w:color="000000" w:sz="4" w:space="0"/>
              <w:right w:val="single" w:color="000000" w:sz="4" w:space="0"/>
            </w:tcBorders>
            <w:vAlign w:val="center"/>
          </w:tcPr>
          <w:p w14:paraId="1B22B00B">
            <w:pPr>
              <w:keepNext w:val="0"/>
              <w:keepLines w:val="0"/>
              <w:pageBreakBefore w:val="0"/>
              <w:widowControl w:val="0"/>
              <w:kinsoku/>
              <w:wordWrap/>
              <w:overflowPunct/>
              <w:topLinePunct w:val="0"/>
              <w:bidi w:val="0"/>
              <w:snapToGrid w:val="0"/>
              <w:spacing w:line="430" w:lineRule="exact"/>
              <w:jc w:val="center"/>
              <w:rPr>
                <w:rFonts w:ascii="宋体" w:hAnsi="宋体" w:cs="宋体"/>
                <w:sz w:val="24"/>
              </w:rPr>
            </w:pPr>
            <w:r>
              <w:rPr>
                <w:rFonts w:hint="eastAsia" w:ascii="宋体" w:hAnsi="宋体" w:cs="宋体"/>
                <w:sz w:val="24"/>
              </w:rPr>
              <w:t>单价</w:t>
            </w:r>
          </w:p>
          <w:p w14:paraId="2461528F">
            <w:pPr>
              <w:keepNext w:val="0"/>
              <w:keepLines w:val="0"/>
              <w:pageBreakBefore w:val="0"/>
              <w:widowControl w:val="0"/>
              <w:kinsoku/>
              <w:wordWrap/>
              <w:overflowPunct/>
              <w:topLinePunct w:val="0"/>
              <w:bidi w:val="0"/>
              <w:snapToGrid w:val="0"/>
              <w:spacing w:line="430" w:lineRule="exact"/>
              <w:jc w:val="center"/>
              <w:rPr>
                <w:rFonts w:ascii="宋体" w:hAnsi="宋体" w:cs="宋体"/>
                <w:sz w:val="24"/>
              </w:rPr>
            </w:pPr>
            <w:r>
              <w:rPr>
                <w:rFonts w:hint="eastAsia" w:ascii="宋体" w:hAnsi="宋体" w:cs="宋体"/>
                <w:sz w:val="24"/>
              </w:rPr>
              <w:t>（元）</w:t>
            </w:r>
          </w:p>
        </w:tc>
        <w:tc>
          <w:tcPr>
            <w:tcW w:w="655" w:type="pct"/>
            <w:tcBorders>
              <w:top w:val="single" w:color="000000" w:sz="4" w:space="0"/>
              <w:left w:val="single" w:color="000000" w:sz="4" w:space="0"/>
              <w:bottom w:val="single" w:color="000000" w:sz="4" w:space="0"/>
              <w:right w:val="single" w:color="000000" w:sz="4" w:space="0"/>
            </w:tcBorders>
            <w:vAlign w:val="center"/>
          </w:tcPr>
          <w:p w14:paraId="79BB22D4">
            <w:pPr>
              <w:keepNext w:val="0"/>
              <w:keepLines w:val="0"/>
              <w:pageBreakBefore w:val="0"/>
              <w:widowControl w:val="0"/>
              <w:kinsoku/>
              <w:wordWrap/>
              <w:overflowPunct/>
              <w:topLinePunct w:val="0"/>
              <w:bidi w:val="0"/>
              <w:snapToGrid w:val="0"/>
              <w:spacing w:line="430" w:lineRule="exact"/>
              <w:jc w:val="center"/>
              <w:rPr>
                <w:rFonts w:ascii="宋体" w:hAnsi="宋体" w:cs="宋体"/>
                <w:sz w:val="24"/>
              </w:rPr>
            </w:pPr>
            <w:r>
              <w:rPr>
                <w:rFonts w:hint="eastAsia" w:ascii="宋体" w:hAnsi="宋体" w:cs="宋体"/>
                <w:sz w:val="24"/>
              </w:rPr>
              <w:t>小计</w:t>
            </w:r>
          </w:p>
          <w:p w14:paraId="585223B5">
            <w:pPr>
              <w:keepNext w:val="0"/>
              <w:keepLines w:val="0"/>
              <w:pageBreakBefore w:val="0"/>
              <w:widowControl w:val="0"/>
              <w:kinsoku/>
              <w:wordWrap/>
              <w:overflowPunct/>
              <w:topLinePunct w:val="0"/>
              <w:bidi w:val="0"/>
              <w:snapToGrid w:val="0"/>
              <w:spacing w:line="430" w:lineRule="exact"/>
              <w:jc w:val="center"/>
              <w:rPr>
                <w:rFonts w:ascii="宋体" w:hAnsi="宋体" w:cs="宋体"/>
                <w:sz w:val="24"/>
              </w:rPr>
            </w:pPr>
            <w:r>
              <w:rPr>
                <w:rFonts w:hint="eastAsia" w:ascii="宋体" w:hAnsi="宋体" w:cs="宋体"/>
                <w:sz w:val="24"/>
              </w:rPr>
              <w:t>（元）</w:t>
            </w:r>
          </w:p>
        </w:tc>
      </w:tr>
      <w:tr w14:paraId="455740F3">
        <w:tblPrEx>
          <w:tblCellMar>
            <w:top w:w="15" w:type="dxa"/>
            <w:left w:w="15" w:type="dxa"/>
            <w:bottom w:w="15" w:type="dxa"/>
            <w:right w:w="15" w:type="dxa"/>
          </w:tblCellMar>
        </w:tblPrEx>
        <w:trPr>
          <w:trHeight w:val="480" w:hRule="atLeast"/>
          <w:jc w:val="center"/>
        </w:trPr>
        <w:tc>
          <w:tcPr>
            <w:tcW w:w="476" w:type="pct"/>
            <w:tcBorders>
              <w:top w:val="single" w:color="000000" w:sz="4" w:space="0"/>
              <w:left w:val="single" w:color="000000" w:sz="4" w:space="0"/>
              <w:bottom w:val="single" w:color="000000" w:sz="4" w:space="0"/>
              <w:right w:val="single" w:color="000000" w:sz="4" w:space="0"/>
            </w:tcBorders>
            <w:vAlign w:val="center"/>
          </w:tcPr>
          <w:p w14:paraId="3427D980">
            <w:pPr>
              <w:keepNext w:val="0"/>
              <w:keepLines w:val="0"/>
              <w:pageBreakBefore w:val="0"/>
              <w:widowControl w:val="0"/>
              <w:kinsoku/>
              <w:wordWrap/>
              <w:overflowPunct/>
              <w:topLinePunct w:val="0"/>
              <w:bidi w:val="0"/>
              <w:snapToGrid w:val="0"/>
              <w:spacing w:line="430" w:lineRule="exact"/>
              <w:jc w:val="center"/>
              <w:rPr>
                <w:rFonts w:ascii="宋体" w:hAnsi="宋体" w:cs="宋体"/>
                <w:sz w:val="24"/>
              </w:rPr>
            </w:pPr>
            <w:r>
              <w:rPr>
                <w:rFonts w:hint="eastAsia" w:ascii="宋体" w:hAnsi="宋体" w:cs="宋体"/>
                <w:sz w:val="24"/>
              </w:rPr>
              <w:t>1</w:t>
            </w:r>
          </w:p>
        </w:tc>
        <w:tc>
          <w:tcPr>
            <w:tcW w:w="1155" w:type="pct"/>
            <w:tcBorders>
              <w:top w:val="single" w:color="000000" w:sz="4" w:space="0"/>
              <w:left w:val="single" w:color="000000" w:sz="4" w:space="0"/>
              <w:bottom w:val="single" w:color="000000" w:sz="4" w:space="0"/>
              <w:right w:val="single" w:color="000000" w:sz="4" w:space="0"/>
            </w:tcBorders>
            <w:vAlign w:val="center"/>
          </w:tcPr>
          <w:p w14:paraId="3ABC2063">
            <w:pPr>
              <w:keepNext w:val="0"/>
              <w:keepLines w:val="0"/>
              <w:pageBreakBefore w:val="0"/>
              <w:widowControl w:val="0"/>
              <w:kinsoku/>
              <w:wordWrap/>
              <w:overflowPunct/>
              <w:topLinePunct w:val="0"/>
              <w:bidi w:val="0"/>
              <w:snapToGrid w:val="0"/>
              <w:spacing w:line="430" w:lineRule="exact"/>
              <w:jc w:val="center"/>
              <w:rPr>
                <w:rFonts w:ascii="宋体" w:hAnsi="宋体" w:cs="宋体"/>
                <w:sz w:val="24"/>
              </w:rPr>
            </w:pPr>
          </w:p>
        </w:tc>
        <w:tc>
          <w:tcPr>
            <w:tcW w:w="1466" w:type="pct"/>
            <w:tcBorders>
              <w:top w:val="single" w:color="000000" w:sz="4" w:space="0"/>
              <w:left w:val="single" w:color="000000" w:sz="4" w:space="0"/>
              <w:bottom w:val="single" w:color="000000" w:sz="4" w:space="0"/>
              <w:right w:val="single" w:color="auto" w:sz="4" w:space="0"/>
            </w:tcBorders>
            <w:vAlign w:val="center"/>
          </w:tcPr>
          <w:p w14:paraId="34579391">
            <w:pPr>
              <w:keepNext w:val="0"/>
              <w:keepLines w:val="0"/>
              <w:pageBreakBefore w:val="0"/>
              <w:widowControl w:val="0"/>
              <w:kinsoku/>
              <w:wordWrap/>
              <w:overflowPunct/>
              <w:topLinePunct w:val="0"/>
              <w:bidi w:val="0"/>
              <w:spacing w:line="430" w:lineRule="exact"/>
              <w:jc w:val="center"/>
              <w:rPr>
                <w:rFonts w:ascii="宋体" w:hAnsi="宋体" w:cs="宋体"/>
                <w:sz w:val="24"/>
              </w:rPr>
            </w:pPr>
          </w:p>
        </w:tc>
        <w:tc>
          <w:tcPr>
            <w:tcW w:w="653" w:type="pct"/>
            <w:tcBorders>
              <w:top w:val="single" w:color="000000" w:sz="4" w:space="0"/>
              <w:left w:val="single" w:color="auto" w:sz="4" w:space="0"/>
              <w:bottom w:val="single" w:color="000000" w:sz="4" w:space="0"/>
              <w:right w:val="single" w:color="auto" w:sz="4" w:space="0"/>
            </w:tcBorders>
            <w:vAlign w:val="center"/>
          </w:tcPr>
          <w:p w14:paraId="3D80C5C9">
            <w:pPr>
              <w:keepNext w:val="0"/>
              <w:keepLines w:val="0"/>
              <w:pageBreakBefore w:val="0"/>
              <w:widowControl w:val="0"/>
              <w:kinsoku/>
              <w:wordWrap/>
              <w:overflowPunct/>
              <w:topLinePunct w:val="0"/>
              <w:bidi w:val="0"/>
              <w:snapToGrid w:val="0"/>
              <w:spacing w:line="430" w:lineRule="exact"/>
              <w:jc w:val="center"/>
              <w:rPr>
                <w:rFonts w:ascii="宋体" w:hAnsi="宋体" w:cs="宋体"/>
                <w:sz w:val="24"/>
              </w:rPr>
            </w:pPr>
          </w:p>
        </w:tc>
        <w:tc>
          <w:tcPr>
            <w:tcW w:w="595" w:type="pct"/>
            <w:tcBorders>
              <w:top w:val="single" w:color="000000" w:sz="4" w:space="0"/>
              <w:left w:val="single" w:color="000000" w:sz="4" w:space="0"/>
              <w:bottom w:val="single" w:color="000000" w:sz="4" w:space="0"/>
              <w:right w:val="single" w:color="000000" w:sz="4" w:space="0"/>
            </w:tcBorders>
            <w:vAlign w:val="center"/>
          </w:tcPr>
          <w:p w14:paraId="3C2132CB">
            <w:pPr>
              <w:keepNext w:val="0"/>
              <w:keepLines w:val="0"/>
              <w:pageBreakBefore w:val="0"/>
              <w:widowControl w:val="0"/>
              <w:kinsoku/>
              <w:wordWrap/>
              <w:overflowPunct/>
              <w:topLinePunct w:val="0"/>
              <w:bidi w:val="0"/>
              <w:snapToGrid w:val="0"/>
              <w:spacing w:line="430" w:lineRule="exact"/>
              <w:jc w:val="center"/>
              <w:rPr>
                <w:rFonts w:ascii="宋体" w:hAnsi="宋体" w:cs="宋体"/>
                <w:sz w:val="24"/>
              </w:rPr>
            </w:pPr>
          </w:p>
        </w:tc>
        <w:tc>
          <w:tcPr>
            <w:tcW w:w="655" w:type="pct"/>
            <w:tcBorders>
              <w:top w:val="single" w:color="000000" w:sz="4" w:space="0"/>
              <w:left w:val="single" w:color="000000" w:sz="4" w:space="0"/>
              <w:bottom w:val="single" w:color="000000" w:sz="4" w:space="0"/>
              <w:right w:val="single" w:color="000000" w:sz="4" w:space="0"/>
            </w:tcBorders>
            <w:vAlign w:val="center"/>
          </w:tcPr>
          <w:p w14:paraId="4DC2A020">
            <w:pPr>
              <w:keepNext w:val="0"/>
              <w:keepLines w:val="0"/>
              <w:pageBreakBefore w:val="0"/>
              <w:widowControl w:val="0"/>
              <w:kinsoku/>
              <w:wordWrap/>
              <w:overflowPunct/>
              <w:topLinePunct w:val="0"/>
              <w:bidi w:val="0"/>
              <w:snapToGrid w:val="0"/>
              <w:spacing w:line="430" w:lineRule="exact"/>
              <w:jc w:val="center"/>
              <w:rPr>
                <w:rFonts w:ascii="宋体" w:hAnsi="宋体" w:cs="宋体"/>
                <w:sz w:val="24"/>
              </w:rPr>
            </w:pPr>
          </w:p>
        </w:tc>
      </w:tr>
      <w:tr w14:paraId="59464893">
        <w:tblPrEx>
          <w:tblCellMar>
            <w:top w:w="15" w:type="dxa"/>
            <w:left w:w="15" w:type="dxa"/>
            <w:bottom w:w="15" w:type="dxa"/>
            <w:right w:w="15" w:type="dxa"/>
          </w:tblCellMar>
        </w:tblPrEx>
        <w:trPr>
          <w:trHeight w:val="480" w:hRule="atLeast"/>
          <w:jc w:val="center"/>
        </w:trPr>
        <w:tc>
          <w:tcPr>
            <w:tcW w:w="476" w:type="pct"/>
            <w:tcBorders>
              <w:top w:val="single" w:color="000000" w:sz="4" w:space="0"/>
              <w:left w:val="single" w:color="000000" w:sz="4" w:space="0"/>
              <w:bottom w:val="single" w:color="000000" w:sz="4" w:space="0"/>
              <w:right w:val="single" w:color="000000" w:sz="4" w:space="0"/>
            </w:tcBorders>
            <w:vAlign w:val="center"/>
          </w:tcPr>
          <w:p w14:paraId="69AA3527">
            <w:pPr>
              <w:keepNext w:val="0"/>
              <w:keepLines w:val="0"/>
              <w:pageBreakBefore w:val="0"/>
              <w:widowControl w:val="0"/>
              <w:kinsoku/>
              <w:wordWrap/>
              <w:overflowPunct/>
              <w:topLinePunct w:val="0"/>
              <w:bidi w:val="0"/>
              <w:snapToGrid w:val="0"/>
              <w:spacing w:line="430" w:lineRule="exact"/>
              <w:jc w:val="center"/>
              <w:rPr>
                <w:rFonts w:ascii="宋体" w:hAnsi="宋体" w:cs="宋体"/>
                <w:sz w:val="24"/>
              </w:rPr>
            </w:pPr>
            <w:r>
              <w:rPr>
                <w:rFonts w:hint="default" w:ascii="Arial" w:hAnsi="Arial" w:cs="Arial"/>
                <w:b/>
                <w:bCs/>
                <w:sz w:val="24"/>
              </w:rPr>
              <w:t>…</w:t>
            </w:r>
          </w:p>
        </w:tc>
        <w:tc>
          <w:tcPr>
            <w:tcW w:w="1155" w:type="pct"/>
            <w:tcBorders>
              <w:top w:val="single" w:color="000000" w:sz="4" w:space="0"/>
              <w:left w:val="single" w:color="000000" w:sz="4" w:space="0"/>
              <w:bottom w:val="single" w:color="000000" w:sz="4" w:space="0"/>
              <w:right w:val="single" w:color="000000" w:sz="4" w:space="0"/>
            </w:tcBorders>
            <w:vAlign w:val="center"/>
          </w:tcPr>
          <w:p w14:paraId="6AF9F9A4">
            <w:pPr>
              <w:keepNext w:val="0"/>
              <w:keepLines w:val="0"/>
              <w:pageBreakBefore w:val="0"/>
              <w:widowControl w:val="0"/>
              <w:kinsoku/>
              <w:wordWrap/>
              <w:overflowPunct/>
              <w:topLinePunct w:val="0"/>
              <w:bidi w:val="0"/>
              <w:snapToGrid w:val="0"/>
              <w:spacing w:line="430" w:lineRule="exact"/>
              <w:jc w:val="center"/>
              <w:rPr>
                <w:rFonts w:ascii="宋体" w:hAnsi="宋体" w:cs="宋体"/>
                <w:sz w:val="24"/>
              </w:rPr>
            </w:pPr>
          </w:p>
        </w:tc>
        <w:tc>
          <w:tcPr>
            <w:tcW w:w="1466" w:type="pct"/>
            <w:tcBorders>
              <w:top w:val="single" w:color="000000" w:sz="4" w:space="0"/>
              <w:left w:val="single" w:color="000000" w:sz="4" w:space="0"/>
              <w:bottom w:val="single" w:color="000000" w:sz="4" w:space="0"/>
              <w:right w:val="single" w:color="auto" w:sz="4" w:space="0"/>
            </w:tcBorders>
            <w:vAlign w:val="center"/>
          </w:tcPr>
          <w:p w14:paraId="2282E534">
            <w:pPr>
              <w:keepNext w:val="0"/>
              <w:keepLines w:val="0"/>
              <w:pageBreakBefore w:val="0"/>
              <w:widowControl w:val="0"/>
              <w:kinsoku/>
              <w:wordWrap/>
              <w:overflowPunct/>
              <w:topLinePunct w:val="0"/>
              <w:bidi w:val="0"/>
              <w:spacing w:line="430" w:lineRule="exact"/>
              <w:jc w:val="center"/>
              <w:rPr>
                <w:rFonts w:ascii="宋体" w:hAnsi="宋体" w:cs="宋体"/>
                <w:sz w:val="24"/>
              </w:rPr>
            </w:pPr>
          </w:p>
        </w:tc>
        <w:tc>
          <w:tcPr>
            <w:tcW w:w="653" w:type="pct"/>
            <w:tcBorders>
              <w:top w:val="single" w:color="000000" w:sz="4" w:space="0"/>
              <w:left w:val="single" w:color="auto" w:sz="4" w:space="0"/>
              <w:bottom w:val="single" w:color="000000" w:sz="4" w:space="0"/>
              <w:right w:val="single" w:color="auto" w:sz="4" w:space="0"/>
            </w:tcBorders>
            <w:vAlign w:val="center"/>
          </w:tcPr>
          <w:p w14:paraId="373C1798">
            <w:pPr>
              <w:keepNext w:val="0"/>
              <w:keepLines w:val="0"/>
              <w:pageBreakBefore w:val="0"/>
              <w:widowControl w:val="0"/>
              <w:kinsoku/>
              <w:wordWrap/>
              <w:overflowPunct/>
              <w:topLinePunct w:val="0"/>
              <w:bidi w:val="0"/>
              <w:spacing w:line="430" w:lineRule="exact"/>
              <w:jc w:val="center"/>
              <w:rPr>
                <w:rFonts w:ascii="宋体" w:hAnsi="宋体" w:cs="宋体"/>
                <w:sz w:val="24"/>
              </w:rPr>
            </w:pPr>
          </w:p>
        </w:tc>
        <w:tc>
          <w:tcPr>
            <w:tcW w:w="595" w:type="pct"/>
            <w:tcBorders>
              <w:top w:val="single" w:color="000000" w:sz="4" w:space="0"/>
              <w:left w:val="single" w:color="000000" w:sz="4" w:space="0"/>
              <w:bottom w:val="single" w:color="000000" w:sz="4" w:space="0"/>
              <w:right w:val="single" w:color="000000" w:sz="4" w:space="0"/>
            </w:tcBorders>
            <w:vAlign w:val="center"/>
          </w:tcPr>
          <w:p w14:paraId="061693EB">
            <w:pPr>
              <w:keepNext w:val="0"/>
              <w:keepLines w:val="0"/>
              <w:pageBreakBefore w:val="0"/>
              <w:widowControl w:val="0"/>
              <w:kinsoku/>
              <w:wordWrap/>
              <w:overflowPunct/>
              <w:topLinePunct w:val="0"/>
              <w:bidi w:val="0"/>
              <w:spacing w:line="430" w:lineRule="exact"/>
              <w:jc w:val="center"/>
              <w:rPr>
                <w:rFonts w:ascii="宋体" w:hAnsi="宋体" w:cs="宋体"/>
                <w:sz w:val="24"/>
              </w:rPr>
            </w:pPr>
          </w:p>
        </w:tc>
        <w:tc>
          <w:tcPr>
            <w:tcW w:w="655" w:type="pct"/>
            <w:tcBorders>
              <w:top w:val="single" w:color="000000" w:sz="4" w:space="0"/>
              <w:left w:val="single" w:color="000000" w:sz="4" w:space="0"/>
              <w:bottom w:val="single" w:color="000000" w:sz="4" w:space="0"/>
              <w:right w:val="single" w:color="000000" w:sz="4" w:space="0"/>
            </w:tcBorders>
            <w:vAlign w:val="center"/>
          </w:tcPr>
          <w:p w14:paraId="7997C13F">
            <w:pPr>
              <w:keepNext w:val="0"/>
              <w:keepLines w:val="0"/>
              <w:pageBreakBefore w:val="0"/>
              <w:widowControl w:val="0"/>
              <w:kinsoku/>
              <w:wordWrap/>
              <w:overflowPunct/>
              <w:topLinePunct w:val="0"/>
              <w:bidi w:val="0"/>
              <w:spacing w:line="430" w:lineRule="exact"/>
              <w:jc w:val="center"/>
              <w:rPr>
                <w:rFonts w:ascii="宋体" w:hAnsi="宋体" w:cs="宋体"/>
                <w:sz w:val="24"/>
              </w:rPr>
            </w:pPr>
          </w:p>
        </w:tc>
      </w:tr>
      <w:tr w14:paraId="62BDCE5C">
        <w:tblPrEx>
          <w:tblCellMar>
            <w:top w:w="15" w:type="dxa"/>
            <w:left w:w="15" w:type="dxa"/>
            <w:bottom w:w="15" w:type="dxa"/>
            <w:right w:w="15" w:type="dxa"/>
          </w:tblCellMar>
        </w:tblPrEx>
        <w:trPr>
          <w:trHeight w:val="480" w:hRule="atLeast"/>
          <w:jc w:val="center"/>
        </w:trPr>
        <w:tc>
          <w:tcPr>
            <w:tcW w:w="1631" w:type="pct"/>
            <w:gridSpan w:val="2"/>
            <w:tcBorders>
              <w:top w:val="single" w:color="000000" w:sz="4" w:space="0"/>
              <w:left w:val="single" w:color="000000" w:sz="4" w:space="0"/>
              <w:bottom w:val="single" w:color="000000" w:sz="4" w:space="0"/>
              <w:right w:val="single" w:color="000000" w:sz="4" w:space="0"/>
            </w:tcBorders>
            <w:vAlign w:val="center"/>
          </w:tcPr>
          <w:p w14:paraId="0CF954E6">
            <w:pPr>
              <w:keepNext w:val="0"/>
              <w:keepLines w:val="0"/>
              <w:pageBreakBefore w:val="0"/>
              <w:widowControl w:val="0"/>
              <w:kinsoku/>
              <w:wordWrap/>
              <w:overflowPunct/>
              <w:topLinePunct w:val="0"/>
              <w:bidi w:val="0"/>
              <w:snapToGrid w:val="0"/>
              <w:spacing w:line="430" w:lineRule="exact"/>
              <w:jc w:val="center"/>
              <w:rPr>
                <w:rFonts w:ascii="宋体" w:hAnsi="宋体" w:cs="宋体"/>
                <w:sz w:val="24"/>
              </w:rPr>
            </w:pPr>
            <w:r>
              <w:rPr>
                <w:rFonts w:hint="eastAsia" w:ascii="宋体" w:hAnsi="宋体" w:cs="宋体"/>
                <w:sz w:val="24"/>
              </w:rPr>
              <w:t>合计</w:t>
            </w:r>
          </w:p>
        </w:tc>
        <w:tc>
          <w:tcPr>
            <w:tcW w:w="3369" w:type="pct"/>
            <w:gridSpan w:val="4"/>
            <w:tcBorders>
              <w:top w:val="single" w:color="000000" w:sz="4" w:space="0"/>
              <w:left w:val="single" w:color="000000" w:sz="4" w:space="0"/>
              <w:bottom w:val="single" w:color="000000" w:sz="4" w:space="0"/>
              <w:right w:val="single" w:color="000000" w:sz="4" w:space="0"/>
            </w:tcBorders>
            <w:vAlign w:val="center"/>
          </w:tcPr>
          <w:p w14:paraId="6462F3EF">
            <w:pPr>
              <w:keepNext w:val="0"/>
              <w:keepLines w:val="0"/>
              <w:pageBreakBefore w:val="0"/>
              <w:widowControl w:val="0"/>
              <w:kinsoku/>
              <w:wordWrap/>
              <w:overflowPunct/>
              <w:topLinePunct w:val="0"/>
              <w:bidi w:val="0"/>
              <w:snapToGrid w:val="0"/>
              <w:spacing w:line="430" w:lineRule="exact"/>
              <w:jc w:val="center"/>
              <w:rPr>
                <w:rFonts w:ascii="宋体" w:hAnsi="宋体" w:cs="宋体"/>
                <w:sz w:val="24"/>
              </w:rPr>
            </w:pPr>
            <w:r>
              <w:rPr>
                <w:rFonts w:hint="eastAsia" w:ascii="宋体" w:hAnsi="宋体" w:cs="宋体"/>
                <w:sz w:val="24"/>
              </w:rPr>
              <w:t>大写：             小写：</w:t>
            </w:r>
          </w:p>
        </w:tc>
      </w:tr>
    </w:tbl>
    <w:p w14:paraId="5CF0DCDA">
      <w:pPr>
        <w:pStyle w:val="66"/>
        <w:keepNext w:val="0"/>
        <w:keepLines w:val="0"/>
        <w:pageBreakBefore w:val="0"/>
        <w:widowControl w:val="0"/>
        <w:kinsoku/>
        <w:wordWrap/>
        <w:overflowPunct/>
        <w:topLinePunct w:val="0"/>
        <w:bidi w:val="0"/>
        <w:spacing w:line="430" w:lineRule="exact"/>
        <w:ind w:firstLine="0" w:firstLineChars="0"/>
        <w:rPr>
          <w:rFonts w:ascii="宋体" w:hAnsi="宋体" w:cs="宋体"/>
          <w:sz w:val="24"/>
        </w:rPr>
      </w:pPr>
      <w:r>
        <w:rPr>
          <w:rFonts w:hint="eastAsia" w:ascii="宋体" w:hAnsi="宋体" w:cs="宋体"/>
          <w:sz w:val="24"/>
        </w:rPr>
        <w:t>注：1.乙方为履行本合同而发生的所有税、费均应包含在合同价中，甲方不再另行支付其它任何费用。</w:t>
      </w:r>
    </w:p>
    <w:p w14:paraId="691A2D59">
      <w:pPr>
        <w:pStyle w:val="66"/>
        <w:keepNext w:val="0"/>
        <w:keepLines w:val="0"/>
        <w:pageBreakBefore w:val="0"/>
        <w:widowControl w:val="0"/>
        <w:kinsoku/>
        <w:wordWrap/>
        <w:overflowPunct/>
        <w:topLinePunct w:val="0"/>
        <w:bidi w:val="0"/>
        <w:spacing w:line="430" w:lineRule="exact"/>
        <w:ind w:firstLine="417" w:firstLineChars="174"/>
        <w:rPr>
          <w:rFonts w:ascii="宋体" w:hAnsi="宋体" w:cs="宋体"/>
          <w:sz w:val="24"/>
        </w:rPr>
      </w:pPr>
      <w:r>
        <w:rPr>
          <w:rFonts w:hint="eastAsia" w:ascii="宋体" w:hAnsi="宋体" w:cs="宋体"/>
          <w:sz w:val="24"/>
        </w:rPr>
        <w:t>2.产权担保：乙方保证所交付的货物的所有权完全属于乙方且无任何抵押、查封等产权瑕疵。</w:t>
      </w:r>
    </w:p>
    <w:p w14:paraId="48F8E922">
      <w:pPr>
        <w:pStyle w:val="66"/>
        <w:keepNext w:val="0"/>
        <w:keepLines w:val="0"/>
        <w:pageBreakBefore w:val="0"/>
        <w:widowControl w:val="0"/>
        <w:kinsoku/>
        <w:wordWrap/>
        <w:overflowPunct/>
        <w:topLinePunct w:val="0"/>
        <w:bidi w:val="0"/>
        <w:spacing w:line="430" w:lineRule="exact"/>
        <w:ind w:firstLine="419" w:firstLineChars="174"/>
        <w:rPr>
          <w:rFonts w:ascii="宋体" w:hAnsi="宋体" w:cs="宋体"/>
          <w:b/>
        </w:rPr>
      </w:pPr>
      <w:r>
        <w:rPr>
          <w:rFonts w:hint="eastAsia" w:ascii="宋体" w:hAnsi="宋体" w:cs="宋体"/>
          <w:b/>
          <w:sz w:val="24"/>
        </w:rPr>
        <w:t>二、采购要求</w:t>
      </w:r>
    </w:p>
    <w:p w14:paraId="04A0C88F">
      <w:pPr>
        <w:pStyle w:val="66"/>
        <w:keepNext w:val="0"/>
        <w:keepLines w:val="0"/>
        <w:pageBreakBefore w:val="0"/>
        <w:widowControl w:val="0"/>
        <w:numPr>
          <w:ilvl w:val="0"/>
          <w:numId w:val="34"/>
        </w:numPr>
        <w:kinsoku/>
        <w:wordWrap/>
        <w:overflowPunct/>
        <w:topLinePunct w:val="0"/>
        <w:bidi w:val="0"/>
        <w:snapToGrid w:val="0"/>
        <w:spacing w:line="430" w:lineRule="exact"/>
        <w:ind w:left="0" w:firstLine="480"/>
        <w:jc w:val="left"/>
        <w:rPr>
          <w:rFonts w:ascii="宋体" w:hAnsi="宋体" w:cs="宋体"/>
        </w:rPr>
      </w:pPr>
      <w:r>
        <w:rPr>
          <w:rFonts w:hint="eastAsia" w:ascii="宋体" w:hAnsi="宋体" w:cs="宋体"/>
          <w:sz w:val="24"/>
        </w:rPr>
        <w:t>工期（包括安装调试）：合同签订后</w:t>
      </w:r>
      <w:r>
        <w:rPr>
          <w:rFonts w:hint="eastAsia" w:ascii="宋体" w:hAnsi="宋体" w:cs="宋体"/>
          <w:sz w:val="24"/>
          <w:u w:val="single"/>
        </w:rPr>
        <w:t xml:space="preserve"> </w:t>
      </w:r>
      <w:r>
        <w:rPr>
          <w:rFonts w:hint="eastAsia" w:ascii="宋体" w:hAnsi="宋体" w:cs="宋体"/>
          <w:sz w:val="24"/>
          <w:u w:val="single"/>
          <w:lang w:val="en-US" w:eastAsia="zh-CN"/>
        </w:rPr>
        <w:t>7</w:t>
      </w:r>
      <w:r>
        <w:rPr>
          <w:rFonts w:hint="eastAsia" w:ascii="宋体" w:hAnsi="宋体" w:cs="宋体"/>
          <w:sz w:val="24"/>
          <w:u w:val="single"/>
        </w:rPr>
        <w:t xml:space="preserve"> </w:t>
      </w:r>
      <w:r>
        <w:rPr>
          <w:rFonts w:hint="eastAsia" w:ascii="宋体" w:hAnsi="宋体" w:cs="宋体"/>
          <w:sz w:val="24"/>
        </w:rPr>
        <w:t>天内交付至嵊州越剧艺术学校。</w:t>
      </w:r>
    </w:p>
    <w:p w14:paraId="0A2C39A9">
      <w:pPr>
        <w:pStyle w:val="66"/>
        <w:keepNext w:val="0"/>
        <w:keepLines w:val="0"/>
        <w:pageBreakBefore w:val="0"/>
        <w:widowControl w:val="0"/>
        <w:numPr>
          <w:ilvl w:val="0"/>
          <w:numId w:val="34"/>
        </w:numPr>
        <w:kinsoku/>
        <w:wordWrap/>
        <w:overflowPunct/>
        <w:topLinePunct w:val="0"/>
        <w:bidi w:val="0"/>
        <w:snapToGrid w:val="0"/>
        <w:spacing w:line="430" w:lineRule="exact"/>
        <w:ind w:left="0" w:firstLine="480"/>
        <w:jc w:val="left"/>
        <w:rPr>
          <w:rFonts w:ascii="宋体" w:hAnsi="宋体" w:cs="宋体"/>
        </w:rPr>
      </w:pPr>
      <w:r>
        <w:rPr>
          <w:rFonts w:hint="eastAsia" w:ascii="宋体" w:hAnsi="宋体" w:cs="宋体"/>
          <w:sz w:val="24"/>
        </w:rPr>
        <w:t>质量保证：产品必须是全新的，型号数量等与要求相符。均须符合相应的国家标准和行业标准的要求。乙方随产品应提供质量证明文件、产品说明书、所供产品的检测报告、国家强制性认证证书、使用维修的专用工具、质保期内的全部备品配件等，其价格已包括在投标总价内。产品的质量/技术标准如在采购文件中无相应说明，则按照国家标准、行业标准、地方标准中的较高标准执行。</w:t>
      </w:r>
    </w:p>
    <w:p w14:paraId="135149CC">
      <w:pPr>
        <w:pStyle w:val="66"/>
        <w:keepNext w:val="0"/>
        <w:keepLines w:val="0"/>
        <w:pageBreakBefore w:val="0"/>
        <w:widowControl w:val="0"/>
        <w:numPr>
          <w:ilvl w:val="0"/>
          <w:numId w:val="34"/>
        </w:numPr>
        <w:kinsoku/>
        <w:wordWrap/>
        <w:overflowPunct/>
        <w:topLinePunct w:val="0"/>
        <w:bidi w:val="0"/>
        <w:snapToGrid w:val="0"/>
        <w:spacing w:line="430" w:lineRule="exact"/>
        <w:ind w:left="0" w:firstLine="480"/>
        <w:jc w:val="left"/>
        <w:rPr>
          <w:rFonts w:ascii="宋体" w:hAnsi="宋体" w:cs="宋体"/>
        </w:rPr>
      </w:pPr>
      <w:r>
        <w:rPr>
          <w:rFonts w:hint="eastAsia" w:ascii="宋体" w:hAnsi="宋体" w:cs="宋体"/>
          <w:sz w:val="24"/>
        </w:rPr>
        <w:t>质保：质保期（即免费保修期）为</w:t>
      </w:r>
      <w:r>
        <w:rPr>
          <w:rFonts w:hint="eastAsia" w:ascii="宋体" w:hAnsi="宋体" w:cs="宋体"/>
          <w:sz w:val="24"/>
          <w:u w:val="single"/>
        </w:rPr>
        <w:t xml:space="preserve">     </w:t>
      </w:r>
      <w:r>
        <w:rPr>
          <w:rFonts w:hint="eastAsia" w:ascii="宋体" w:hAnsi="宋体" w:cs="宋体"/>
          <w:sz w:val="24"/>
        </w:rPr>
        <w:t>年，自项目最终验收合格之日起计算。本次采购的产品如国家或行业已有标准规定质保期大于</w:t>
      </w:r>
      <w:r>
        <w:rPr>
          <w:rFonts w:hint="eastAsia" w:ascii="宋体" w:hAnsi="宋体" w:cs="宋体"/>
          <w:sz w:val="24"/>
          <w:u w:val="single"/>
        </w:rPr>
        <w:t xml:space="preserve">  </w:t>
      </w:r>
      <w:r>
        <w:rPr>
          <w:rFonts w:hint="eastAsia" w:ascii="宋体" w:hAnsi="宋体" w:cs="宋体"/>
          <w:sz w:val="24"/>
        </w:rPr>
        <w:t>年的，则在履行合同过程中乙方无条件按标准执行，无论是否在报价表中单列，所需的费用均已包含在总报价中。在质保期内运行发生故障或需要优化时，7x24 小时电话响应，乙方在接到甲方通知后小时内委派专业技术人员到现场免费提供咨询、维修等服务，</w:t>
      </w:r>
      <w:r>
        <w:rPr>
          <w:rFonts w:hint="eastAsia" w:ascii="宋体" w:hAnsi="宋体" w:cs="宋体"/>
          <w:sz w:val="24"/>
          <w:u w:val="single"/>
        </w:rPr>
        <w:t xml:space="preserve">  </w:t>
      </w:r>
      <w:r>
        <w:rPr>
          <w:rFonts w:hint="eastAsia" w:ascii="宋体" w:hAnsi="宋体" w:cs="宋体"/>
          <w:sz w:val="24"/>
        </w:rPr>
        <w:t>小时内解决，并及时填写报告（包括更改原因、处理情况及甲方意见等）报甲方备案。乙方按采购要求和响应承诺完成质保期内的全部维保等服务工作，并在质保期满前1个月内派技术人员到甲方项目现场对全部产品进行一次全面检修，免费更换损坏零部件及易损件，此工作所发生费用应由乙方自行承担。</w:t>
      </w:r>
    </w:p>
    <w:p w14:paraId="0D283BF8">
      <w:pPr>
        <w:pStyle w:val="66"/>
        <w:keepNext w:val="0"/>
        <w:keepLines w:val="0"/>
        <w:pageBreakBefore w:val="0"/>
        <w:widowControl w:val="0"/>
        <w:numPr>
          <w:ilvl w:val="0"/>
          <w:numId w:val="34"/>
        </w:numPr>
        <w:kinsoku/>
        <w:wordWrap/>
        <w:overflowPunct/>
        <w:topLinePunct w:val="0"/>
        <w:bidi w:val="0"/>
        <w:snapToGrid w:val="0"/>
        <w:spacing w:line="430" w:lineRule="exact"/>
        <w:ind w:left="0" w:firstLine="480"/>
        <w:jc w:val="left"/>
        <w:rPr>
          <w:rFonts w:ascii="宋体" w:hAnsi="宋体" w:cs="宋体"/>
        </w:rPr>
      </w:pPr>
      <w:r>
        <w:rPr>
          <w:rFonts w:hint="eastAsia" w:ascii="宋体" w:hAnsi="宋体" w:cs="宋体"/>
          <w:sz w:val="24"/>
        </w:rPr>
        <w:t>技术培训：乙方应及时对甲方的相关人员进行培训，培训目标为受训者能够独立、熟练地完成操作，实现依据本合同所规定的目标和功能。</w:t>
      </w:r>
    </w:p>
    <w:p w14:paraId="41F7FEC2">
      <w:pPr>
        <w:keepNext w:val="0"/>
        <w:keepLines w:val="0"/>
        <w:pageBreakBefore w:val="0"/>
        <w:widowControl w:val="0"/>
        <w:kinsoku/>
        <w:wordWrap/>
        <w:overflowPunct/>
        <w:topLinePunct w:val="0"/>
        <w:bidi w:val="0"/>
        <w:spacing w:line="430" w:lineRule="exact"/>
        <w:ind w:firstLine="482" w:firstLineChars="200"/>
        <w:rPr>
          <w:rFonts w:ascii="宋体" w:hAnsi="宋体" w:cs="宋体"/>
          <w:b/>
          <w:sz w:val="24"/>
        </w:rPr>
      </w:pPr>
      <w:r>
        <w:rPr>
          <w:rFonts w:hint="eastAsia" w:ascii="宋体" w:hAnsi="宋体" w:cs="宋体"/>
          <w:b/>
          <w:sz w:val="24"/>
        </w:rPr>
        <w:t>三、验收</w:t>
      </w:r>
    </w:p>
    <w:p w14:paraId="38CEA400">
      <w:pPr>
        <w:pStyle w:val="8"/>
        <w:keepNext w:val="0"/>
        <w:keepLines w:val="0"/>
        <w:pageBreakBefore w:val="0"/>
        <w:widowControl w:val="0"/>
        <w:kinsoku/>
        <w:wordWrap/>
        <w:overflowPunct/>
        <w:topLinePunct w:val="0"/>
        <w:bidi w:val="0"/>
        <w:adjustRightInd/>
        <w:spacing w:line="430" w:lineRule="exact"/>
        <w:ind w:firstLine="464" w:firstLineChars="200"/>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提供的验收材料有：</w:t>
      </w:r>
      <w:r>
        <w:rPr>
          <w:rFonts w:hint="eastAsia" w:hAnsi="宋体"/>
          <w:bCs/>
          <w:color w:val="000000" w:themeColor="text1"/>
          <w:sz w:val="24"/>
          <w:szCs w:val="24"/>
          <w:u w:val="single"/>
          <w14:textFill>
            <w14:solidFill>
              <w14:schemeClr w14:val="tx1"/>
            </w14:solidFill>
          </w14:textFill>
        </w:rPr>
        <w:t>供货签收单、序列号清单、产品合格证、产品照片、实施过程资料、培训记录等</w:t>
      </w:r>
      <w:r>
        <w:rPr>
          <w:rFonts w:hint="eastAsia" w:hAnsi="宋体"/>
          <w:bCs/>
          <w:color w:val="000000" w:themeColor="text1"/>
          <w:sz w:val="24"/>
          <w:szCs w:val="24"/>
          <w14:textFill>
            <w14:solidFill>
              <w14:schemeClr w14:val="tx1"/>
            </w14:solidFill>
          </w14:textFill>
        </w:rPr>
        <w:t>。由甲方</w:t>
      </w:r>
      <w:r>
        <w:rPr>
          <w:rFonts w:hint="eastAsia" w:hAnsi="宋体"/>
          <w:bCs/>
          <w:color w:val="000000" w:themeColor="text1"/>
          <w:sz w:val="24"/>
          <w:szCs w:val="24"/>
          <w:lang w:val="en-US" w:eastAsia="zh-CN"/>
          <w14:textFill>
            <w14:solidFill>
              <w14:schemeClr w14:val="tx1"/>
            </w14:solidFill>
          </w14:textFill>
        </w:rPr>
        <w:t>组织相关人员</w:t>
      </w:r>
      <w:r>
        <w:rPr>
          <w:rFonts w:hint="eastAsia" w:hAnsi="宋体"/>
          <w:bCs/>
          <w:color w:val="000000" w:themeColor="text1"/>
          <w:sz w:val="24"/>
          <w:szCs w:val="24"/>
          <w14:textFill>
            <w14:solidFill>
              <w14:schemeClr w14:val="tx1"/>
            </w14:solidFill>
          </w14:textFill>
        </w:rPr>
        <w:t>验收，签署验收意见。</w:t>
      </w:r>
    </w:p>
    <w:p w14:paraId="14AB0316">
      <w:pPr>
        <w:keepNext w:val="0"/>
        <w:keepLines w:val="0"/>
        <w:pageBreakBefore w:val="0"/>
        <w:widowControl w:val="0"/>
        <w:kinsoku/>
        <w:wordWrap/>
        <w:overflowPunct/>
        <w:topLinePunct w:val="0"/>
        <w:bidi w:val="0"/>
        <w:spacing w:line="430" w:lineRule="exact"/>
        <w:ind w:firstLine="482" w:firstLineChars="200"/>
        <w:rPr>
          <w:rFonts w:ascii="宋体" w:hAnsi="宋体" w:cs="宋体"/>
          <w:b/>
          <w:sz w:val="24"/>
        </w:rPr>
      </w:pPr>
      <w:r>
        <w:rPr>
          <w:rFonts w:hint="eastAsia" w:ascii="宋体" w:hAnsi="宋体" w:cs="宋体"/>
          <w:b/>
          <w:sz w:val="24"/>
        </w:rPr>
        <w:t>四、合同金额及付款方式</w:t>
      </w:r>
    </w:p>
    <w:p w14:paraId="247AC8D4">
      <w:pPr>
        <w:pStyle w:val="66"/>
        <w:keepNext w:val="0"/>
        <w:keepLines w:val="0"/>
        <w:pageBreakBefore w:val="0"/>
        <w:widowControl w:val="0"/>
        <w:numPr>
          <w:ilvl w:val="0"/>
          <w:numId w:val="35"/>
        </w:numPr>
        <w:kinsoku/>
        <w:wordWrap/>
        <w:overflowPunct/>
        <w:topLinePunct w:val="0"/>
        <w:bidi w:val="0"/>
        <w:snapToGrid w:val="0"/>
        <w:spacing w:line="430" w:lineRule="exact"/>
        <w:ind w:left="0" w:firstLine="480"/>
        <w:jc w:val="left"/>
        <w:rPr>
          <w:rFonts w:hint="eastAsia" w:ascii="宋体" w:hAnsi="宋体" w:cs="宋体"/>
          <w:sz w:val="24"/>
        </w:rPr>
      </w:pPr>
      <w:r>
        <w:rPr>
          <w:rFonts w:hint="eastAsia" w:ascii="宋体" w:hAnsi="宋体" w:cs="宋体"/>
          <w:sz w:val="24"/>
        </w:rPr>
        <w:t>履约保证金：</w:t>
      </w:r>
    </w:p>
    <w:p w14:paraId="3F780ADA">
      <w:pPr>
        <w:pStyle w:val="26"/>
        <w:keepNext w:val="0"/>
        <w:keepLines w:val="0"/>
        <w:widowControl w:val="0"/>
        <w:suppressLineNumbers w:val="0"/>
        <w:adjustRightInd w:val="0"/>
        <w:snapToGrid w:val="0"/>
        <w:spacing w:before="0" w:beforeAutospacing="0" w:after="0" w:afterAutospacing="0" w:line="440" w:lineRule="exact"/>
        <w:ind w:left="0" w:leftChars="0" w:right="0" w:rightChars="0" w:firstLine="480" w:firstLineChars="200"/>
        <w:jc w:val="left"/>
        <w:rPr>
          <w:rFonts w:hint="eastAsia" w:ascii="宋体" w:hAnsi="宋体" w:cs="宋体"/>
          <w:sz w:val="24"/>
        </w:rPr>
      </w:pPr>
      <w:r>
        <w:rPr>
          <w:rFonts w:hint="eastAsia" w:ascii="宋体" w:hAnsi="宋体" w:cs="宋体"/>
          <w:sz w:val="24"/>
        </w:rPr>
        <w:t>（1）</w:t>
      </w:r>
      <w:r>
        <w:rPr>
          <w:rFonts w:hint="eastAsia" w:ascii="宋体" w:hAnsi="宋体" w:eastAsia="宋体" w:cs="宋体"/>
          <w:color w:val="auto"/>
          <w:kern w:val="1"/>
          <w:sz w:val="24"/>
          <w:szCs w:val="24"/>
          <w:highlight w:val="none"/>
          <w:lang w:val="en-US" w:eastAsia="zh-CN" w:bidi="ar"/>
        </w:rPr>
        <w:t>按合同金额的1%计取，中标单位在中标通知书发出后5个工作日内向采购人递交履约保证金，履约保证金待项目完工验收合格且无违约问题后30日内无息退回。</w:t>
      </w:r>
    </w:p>
    <w:p w14:paraId="3D1AB43E">
      <w:pPr>
        <w:pStyle w:val="66"/>
        <w:keepNext w:val="0"/>
        <w:keepLines w:val="0"/>
        <w:pageBreakBefore w:val="0"/>
        <w:widowControl w:val="0"/>
        <w:numPr>
          <w:ilvl w:val="0"/>
          <w:numId w:val="0"/>
        </w:numPr>
        <w:kinsoku/>
        <w:wordWrap/>
        <w:overflowPunct/>
        <w:topLinePunct w:val="0"/>
        <w:bidi w:val="0"/>
        <w:snapToGrid w:val="0"/>
        <w:spacing w:line="430" w:lineRule="exact"/>
        <w:ind w:firstLine="480" w:firstLineChars="200"/>
        <w:jc w:val="left"/>
        <w:rPr>
          <w:rFonts w:ascii="宋体" w:hAnsi="宋体" w:cs="宋体"/>
        </w:rPr>
      </w:pPr>
      <w:r>
        <w:rPr>
          <w:rFonts w:hint="eastAsia" w:ascii="宋体" w:hAnsi="宋体" w:cs="宋体"/>
          <w:sz w:val="24"/>
        </w:rPr>
        <w:t>（2）履约保证金支付方式：保函、网上银行、电汇、汇票或转账形式。</w:t>
      </w:r>
    </w:p>
    <w:p w14:paraId="255B302F">
      <w:pPr>
        <w:pStyle w:val="66"/>
        <w:keepNext w:val="0"/>
        <w:keepLines w:val="0"/>
        <w:pageBreakBefore w:val="0"/>
        <w:widowControl w:val="0"/>
        <w:numPr>
          <w:ilvl w:val="0"/>
          <w:numId w:val="35"/>
        </w:numPr>
        <w:kinsoku/>
        <w:wordWrap/>
        <w:overflowPunct/>
        <w:topLinePunct w:val="0"/>
        <w:bidi w:val="0"/>
        <w:snapToGrid w:val="0"/>
        <w:spacing w:line="430" w:lineRule="exact"/>
        <w:ind w:left="0" w:firstLine="480"/>
        <w:jc w:val="left"/>
        <w:rPr>
          <w:rFonts w:ascii="宋体" w:hAnsi="宋体" w:cs="宋体"/>
        </w:rPr>
      </w:pPr>
      <w:r>
        <w:rPr>
          <w:rFonts w:hint="eastAsia" w:ascii="宋体" w:hAnsi="宋体" w:cs="宋体"/>
          <w:sz w:val="24"/>
        </w:rPr>
        <w:t>合同金额合计为大写人民币</w:t>
      </w:r>
      <w:r>
        <w:rPr>
          <w:rFonts w:hint="eastAsia" w:ascii="宋体" w:hAnsi="宋体" w:cs="宋体"/>
          <w:sz w:val="24"/>
          <w:u w:val="single"/>
        </w:rPr>
        <w:t xml:space="preserve">            </w:t>
      </w: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。单价和合价详见附件清单（签订合同时另附清单详细列明产品和相关服务的单价和合价）。报价包括设备、质保、税、利润等全部费用，此外甲方不再另行支付其他任何费用。</w:t>
      </w:r>
    </w:p>
    <w:p w14:paraId="600F346C">
      <w:pPr>
        <w:pStyle w:val="66"/>
        <w:keepNext w:val="0"/>
        <w:keepLines w:val="0"/>
        <w:pageBreakBefore w:val="0"/>
        <w:widowControl w:val="0"/>
        <w:numPr>
          <w:ilvl w:val="0"/>
          <w:numId w:val="35"/>
        </w:numPr>
        <w:kinsoku/>
        <w:wordWrap/>
        <w:overflowPunct/>
        <w:topLinePunct w:val="0"/>
        <w:bidi w:val="0"/>
        <w:snapToGrid w:val="0"/>
        <w:spacing w:line="430" w:lineRule="exact"/>
        <w:ind w:left="0" w:firstLine="480"/>
        <w:jc w:val="left"/>
        <w:rPr>
          <w:rFonts w:ascii="宋体" w:hAnsi="宋体" w:cs="宋体"/>
          <w:sz w:val="24"/>
        </w:rPr>
      </w:pPr>
      <w:r>
        <w:rPr>
          <w:rFonts w:hint="eastAsia" w:ascii="宋体" w:hAnsi="宋体" w:cs="宋体"/>
          <w:sz w:val="24"/>
        </w:rPr>
        <w:t>付款方式：</w:t>
      </w:r>
    </w:p>
    <w:p w14:paraId="3A094978">
      <w:pPr>
        <w:pStyle w:val="66"/>
        <w:keepNext w:val="0"/>
        <w:keepLines w:val="0"/>
        <w:pageBreakBefore w:val="0"/>
        <w:widowControl w:val="0"/>
        <w:kinsoku/>
        <w:wordWrap/>
        <w:overflowPunct/>
        <w:topLinePunct w:val="0"/>
        <w:bidi w:val="0"/>
        <w:snapToGrid w:val="0"/>
        <w:spacing w:line="430" w:lineRule="exact"/>
        <w:ind w:left="420" w:leftChars="200" w:firstLine="0" w:firstLineChars="0"/>
        <w:jc w:val="left"/>
        <w:rPr>
          <w:rFonts w:ascii="宋体" w:hAnsi="宋体" w:cs="宋体"/>
          <w:sz w:val="24"/>
        </w:rPr>
      </w:pPr>
      <w:r>
        <w:rPr>
          <w:rFonts w:hint="eastAsia" w:ascii="宋体" w:hAnsi="宋体" w:cs="宋体"/>
          <w:sz w:val="24"/>
        </w:rPr>
        <w:t>（1）合同签订后10日内采购人向中标</w:t>
      </w:r>
      <w:r>
        <w:rPr>
          <w:rFonts w:hint="eastAsia" w:ascii="宋体" w:hAnsi="宋体" w:cs="宋体"/>
          <w:sz w:val="24"/>
          <w:lang w:val="en-US" w:eastAsia="zh-CN"/>
        </w:rPr>
        <w:t>方</w:t>
      </w:r>
      <w:r>
        <w:rPr>
          <w:rFonts w:hint="eastAsia" w:ascii="宋体" w:hAnsi="宋体" w:cs="宋体"/>
          <w:sz w:val="24"/>
        </w:rPr>
        <w:t>支付合同价的30%；</w:t>
      </w:r>
    </w:p>
    <w:p w14:paraId="7A6F9C0F">
      <w:pPr>
        <w:pStyle w:val="66"/>
        <w:keepNext w:val="0"/>
        <w:keepLines w:val="0"/>
        <w:pageBreakBefore w:val="0"/>
        <w:widowControl w:val="0"/>
        <w:kinsoku/>
        <w:wordWrap/>
        <w:overflowPunct/>
        <w:topLinePunct w:val="0"/>
        <w:bidi w:val="0"/>
        <w:snapToGrid w:val="0"/>
        <w:spacing w:line="430" w:lineRule="exact"/>
        <w:ind w:left="420" w:leftChars="200" w:firstLine="0" w:firstLineChars="0"/>
        <w:jc w:val="left"/>
        <w:rPr>
          <w:rFonts w:ascii="宋体" w:hAnsi="宋体" w:cs="宋体"/>
          <w:sz w:val="24"/>
        </w:rPr>
      </w:pPr>
      <w:r>
        <w:rPr>
          <w:rFonts w:hint="eastAsia" w:ascii="宋体" w:hAnsi="宋体" w:cs="宋体"/>
          <w:sz w:val="24"/>
        </w:rPr>
        <w:t>（2）全部安装完毕验收合格后10日内支付至合同价的80%；</w:t>
      </w:r>
    </w:p>
    <w:p w14:paraId="2F8A6DB2">
      <w:pPr>
        <w:pStyle w:val="66"/>
        <w:keepNext w:val="0"/>
        <w:keepLines w:val="0"/>
        <w:pageBreakBefore w:val="0"/>
        <w:widowControl w:val="0"/>
        <w:kinsoku/>
        <w:wordWrap/>
        <w:overflowPunct/>
        <w:topLinePunct w:val="0"/>
        <w:bidi w:val="0"/>
        <w:snapToGrid w:val="0"/>
        <w:spacing w:line="430" w:lineRule="exact"/>
        <w:ind w:left="420" w:leftChars="200" w:firstLine="0" w:firstLineChars="0"/>
        <w:jc w:val="left"/>
        <w:rPr>
          <w:rFonts w:ascii="宋体" w:hAnsi="宋体" w:cs="宋体"/>
          <w:sz w:val="24"/>
        </w:rPr>
      </w:pPr>
      <w:r>
        <w:rPr>
          <w:rFonts w:hint="eastAsia" w:ascii="宋体" w:hAnsi="宋体" w:cs="宋体"/>
          <w:sz w:val="24"/>
        </w:rPr>
        <w:t>（3）</w:t>
      </w:r>
      <w:r>
        <w:rPr>
          <w:rFonts w:hint="eastAsia" w:ascii="宋体" w:hAnsi="宋体" w:cs="宋体"/>
          <w:sz w:val="24"/>
          <w:lang w:eastAsia="zh-CN"/>
        </w:rPr>
        <w:t>经第三方审计后支付至审定价的95%</w:t>
      </w:r>
      <w:r>
        <w:rPr>
          <w:rFonts w:hint="eastAsia" w:ascii="宋体" w:hAnsi="宋体" w:cs="宋体"/>
          <w:sz w:val="24"/>
        </w:rPr>
        <w:t>；</w:t>
      </w:r>
    </w:p>
    <w:p w14:paraId="3C52B204">
      <w:pPr>
        <w:pStyle w:val="66"/>
        <w:keepNext w:val="0"/>
        <w:keepLines w:val="0"/>
        <w:pageBreakBefore w:val="0"/>
        <w:widowControl w:val="0"/>
        <w:kinsoku/>
        <w:wordWrap/>
        <w:overflowPunct/>
        <w:topLinePunct w:val="0"/>
        <w:bidi w:val="0"/>
        <w:snapToGrid w:val="0"/>
        <w:spacing w:line="430" w:lineRule="exact"/>
        <w:ind w:left="420" w:leftChars="200" w:firstLine="0" w:firstLineChars="0"/>
        <w:jc w:val="left"/>
        <w:rPr>
          <w:rFonts w:hint="eastAsia" w:ascii="宋体" w:hAnsi="宋体" w:cs="宋体"/>
          <w:sz w:val="24"/>
        </w:rPr>
      </w:pPr>
      <w:r>
        <w:rPr>
          <w:rFonts w:hint="eastAsia" w:ascii="宋体" w:hAnsi="宋体" w:cs="宋体"/>
          <w:sz w:val="24"/>
        </w:rPr>
        <w:t>（4）</w:t>
      </w:r>
      <w:r>
        <w:rPr>
          <w:rFonts w:hint="eastAsia" w:ascii="宋体" w:hAnsi="宋体" w:cs="宋体"/>
          <w:sz w:val="24"/>
          <w:lang w:eastAsia="zh-CN"/>
        </w:rPr>
        <w:t>质保金5%至质保期满后结清</w:t>
      </w:r>
      <w:r>
        <w:rPr>
          <w:rFonts w:hint="eastAsia" w:ascii="宋体" w:hAnsi="宋体" w:cs="宋体"/>
          <w:sz w:val="24"/>
        </w:rPr>
        <w:t>。</w:t>
      </w:r>
    </w:p>
    <w:p w14:paraId="73EE2B27">
      <w:pPr>
        <w:pStyle w:val="66"/>
        <w:keepNext w:val="0"/>
        <w:keepLines w:val="0"/>
        <w:pageBreakBefore w:val="0"/>
        <w:widowControl w:val="0"/>
        <w:kinsoku/>
        <w:wordWrap/>
        <w:overflowPunct/>
        <w:topLinePunct w:val="0"/>
        <w:bidi w:val="0"/>
        <w:snapToGrid w:val="0"/>
        <w:spacing w:line="430" w:lineRule="exact"/>
        <w:ind w:left="420" w:leftChars="200" w:firstLine="0" w:firstLineChars="0"/>
        <w:jc w:val="left"/>
        <w:rPr>
          <w:rFonts w:ascii="宋体" w:hAnsi="宋体" w:cs="宋体"/>
          <w:sz w:val="24"/>
        </w:rPr>
      </w:pPr>
      <w:r>
        <w:rPr>
          <w:rFonts w:hint="eastAsia" w:ascii="宋体" w:hAnsi="宋体" w:cs="宋体"/>
          <w:kern w:val="0"/>
          <w:sz w:val="24"/>
          <w:lang w:eastAsia="zh-CN"/>
        </w:rPr>
        <w:t>（</w:t>
      </w:r>
      <w:r>
        <w:rPr>
          <w:rFonts w:hint="eastAsia" w:ascii="宋体" w:hAnsi="宋体" w:cs="宋体"/>
          <w:kern w:val="0"/>
          <w:sz w:val="24"/>
          <w:lang w:val="en-US" w:eastAsia="zh-CN"/>
        </w:rPr>
        <w:t>5）</w:t>
      </w:r>
      <w:r>
        <w:rPr>
          <w:rFonts w:hint="eastAsia" w:ascii="宋体" w:hAnsi="宋体" w:cs="宋体"/>
          <w:kern w:val="0"/>
          <w:sz w:val="24"/>
        </w:rPr>
        <w:t>每次付款前成交供应商需提供相应金额合法的增值税专用发票，否则采购人有权暂不付款且不构成违约。</w:t>
      </w:r>
    </w:p>
    <w:p w14:paraId="28A3C15B">
      <w:pPr>
        <w:keepNext w:val="0"/>
        <w:keepLines w:val="0"/>
        <w:pageBreakBefore w:val="0"/>
        <w:widowControl w:val="0"/>
        <w:kinsoku/>
        <w:wordWrap/>
        <w:overflowPunct/>
        <w:topLinePunct w:val="0"/>
        <w:bidi w:val="0"/>
        <w:spacing w:line="430" w:lineRule="exact"/>
        <w:ind w:firstLine="482" w:firstLineChars="200"/>
        <w:rPr>
          <w:rFonts w:ascii="宋体" w:hAnsi="宋体" w:cs="宋体"/>
          <w:b/>
          <w:sz w:val="24"/>
        </w:rPr>
      </w:pPr>
      <w:r>
        <w:rPr>
          <w:rFonts w:hint="eastAsia" w:ascii="宋体" w:hAnsi="宋体" w:cs="宋体"/>
          <w:b/>
          <w:sz w:val="24"/>
        </w:rPr>
        <w:t>五、甲方责任</w:t>
      </w:r>
    </w:p>
    <w:p w14:paraId="3D92FCE7">
      <w:pPr>
        <w:pStyle w:val="66"/>
        <w:keepNext w:val="0"/>
        <w:keepLines w:val="0"/>
        <w:pageBreakBefore w:val="0"/>
        <w:widowControl w:val="0"/>
        <w:numPr>
          <w:ilvl w:val="0"/>
          <w:numId w:val="36"/>
        </w:numPr>
        <w:kinsoku/>
        <w:wordWrap/>
        <w:overflowPunct/>
        <w:topLinePunct w:val="0"/>
        <w:bidi w:val="0"/>
        <w:snapToGrid w:val="0"/>
        <w:spacing w:line="430" w:lineRule="exact"/>
        <w:ind w:left="0" w:firstLine="480"/>
        <w:jc w:val="left"/>
        <w:rPr>
          <w:rFonts w:ascii="宋体" w:hAnsi="宋体" w:cs="宋体"/>
        </w:rPr>
      </w:pPr>
      <w:r>
        <w:rPr>
          <w:rFonts w:hint="eastAsia" w:ascii="宋体" w:hAnsi="宋体" w:cs="宋体"/>
          <w:sz w:val="24"/>
        </w:rPr>
        <w:t>本项目甲方指定联系人：姓名</w:t>
      </w:r>
      <w:r>
        <w:rPr>
          <w:rFonts w:hint="eastAsia" w:ascii="宋体" w:hAnsi="宋体" w:cs="宋体"/>
          <w:sz w:val="24"/>
          <w:u w:val="single"/>
        </w:rPr>
        <w:t xml:space="preserve">      </w:t>
      </w: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；负责与乙方进行联络沟通，并协助乙方开展各项工作。</w:t>
      </w:r>
    </w:p>
    <w:p w14:paraId="5CB1D528">
      <w:pPr>
        <w:pStyle w:val="66"/>
        <w:keepNext w:val="0"/>
        <w:keepLines w:val="0"/>
        <w:pageBreakBefore w:val="0"/>
        <w:widowControl w:val="0"/>
        <w:numPr>
          <w:ilvl w:val="0"/>
          <w:numId w:val="36"/>
        </w:numPr>
        <w:kinsoku/>
        <w:wordWrap/>
        <w:overflowPunct/>
        <w:topLinePunct w:val="0"/>
        <w:bidi w:val="0"/>
        <w:snapToGrid w:val="0"/>
        <w:spacing w:line="430" w:lineRule="exact"/>
        <w:ind w:left="0" w:firstLine="480"/>
        <w:jc w:val="left"/>
        <w:rPr>
          <w:rFonts w:ascii="宋体" w:hAnsi="宋体" w:cs="宋体"/>
        </w:rPr>
      </w:pPr>
      <w:r>
        <w:rPr>
          <w:rFonts w:hint="eastAsia" w:ascii="宋体" w:hAnsi="宋体" w:cs="宋体"/>
          <w:sz w:val="24"/>
        </w:rPr>
        <w:t>督促乙方按合同约定的要求及时进行履约。</w:t>
      </w:r>
    </w:p>
    <w:p w14:paraId="37BC4EE1">
      <w:pPr>
        <w:pStyle w:val="66"/>
        <w:keepNext w:val="0"/>
        <w:keepLines w:val="0"/>
        <w:pageBreakBefore w:val="0"/>
        <w:widowControl w:val="0"/>
        <w:numPr>
          <w:ilvl w:val="0"/>
          <w:numId w:val="36"/>
        </w:numPr>
        <w:kinsoku/>
        <w:wordWrap/>
        <w:overflowPunct/>
        <w:topLinePunct w:val="0"/>
        <w:bidi w:val="0"/>
        <w:snapToGrid w:val="0"/>
        <w:spacing w:line="430" w:lineRule="exact"/>
        <w:ind w:left="0" w:firstLine="480"/>
        <w:jc w:val="left"/>
        <w:rPr>
          <w:rFonts w:ascii="宋体" w:hAnsi="宋体" w:cs="宋体"/>
        </w:rPr>
      </w:pPr>
      <w:r>
        <w:rPr>
          <w:rFonts w:hint="eastAsia" w:ascii="宋体" w:hAnsi="宋体" w:cs="宋体"/>
          <w:sz w:val="24"/>
        </w:rPr>
        <w:t>乙方通知送货后，安排好接收场地，当场对货物进行签收。如与合同不符，应指明应改进的部分，督促乙方在</w:t>
      </w:r>
      <w:r>
        <w:rPr>
          <w:rFonts w:hint="eastAsia" w:ascii="宋体" w:hAnsi="宋体" w:cs="宋体"/>
          <w:sz w:val="24"/>
          <w:u w:val="single"/>
        </w:rPr>
        <w:t xml:space="preserve">   </w:t>
      </w:r>
      <w:r>
        <w:rPr>
          <w:rFonts w:hint="eastAsia" w:ascii="宋体" w:hAnsi="宋体" w:cs="宋体"/>
          <w:sz w:val="24"/>
        </w:rPr>
        <w:t>个工作日内纠正该缺陷，并再次进行签收。</w:t>
      </w:r>
    </w:p>
    <w:p w14:paraId="09578A50">
      <w:pPr>
        <w:pStyle w:val="66"/>
        <w:keepNext w:val="0"/>
        <w:keepLines w:val="0"/>
        <w:pageBreakBefore w:val="0"/>
        <w:widowControl w:val="0"/>
        <w:numPr>
          <w:ilvl w:val="0"/>
          <w:numId w:val="36"/>
        </w:numPr>
        <w:kinsoku/>
        <w:wordWrap/>
        <w:overflowPunct/>
        <w:topLinePunct w:val="0"/>
        <w:bidi w:val="0"/>
        <w:snapToGrid w:val="0"/>
        <w:spacing w:line="430" w:lineRule="exact"/>
        <w:ind w:left="0" w:firstLine="480"/>
        <w:jc w:val="left"/>
        <w:rPr>
          <w:rFonts w:ascii="宋体" w:hAnsi="宋体" w:cs="宋体"/>
        </w:rPr>
      </w:pPr>
      <w:r>
        <w:rPr>
          <w:rFonts w:hint="eastAsia" w:ascii="宋体" w:hAnsi="宋体" w:cs="宋体"/>
          <w:sz w:val="24"/>
        </w:rPr>
        <w:t>无正当理由拒收标的物的，应向乙方支付拒收标的物总值1%的违约金。</w:t>
      </w:r>
    </w:p>
    <w:p w14:paraId="4BEC1E64">
      <w:pPr>
        <w:pStyle w:val="66"/>
        <w:keepNext w:val="0"/>
        <w:keepLines w:val="0"/>
        <w:pageBreakBefore w:val="0"/>
        <w:widowControl w:val="0"/>
        <w:numPr>
          <w:ilvl w:val="0"/>
          <w:numId w:val="36"/>
        </w:numPr>
        <w:kinsoku/>
        <w:wordWrap/>
        <w:overflowPunct/>
        <w:topLinePunct w:val="0"/>
        <w:bidi w:val="0"/>
        <w:snapToGrid w:val="0"/>
        <w:spacing w:line="430" w:lineRule="exact"/>
        <w:ind w:left="0" w:firstLine="480"/>
        <w:jc w:val="left"/>
        <w:rPr>
          <w:rFonts w:ascii="宋体" w:hAnsi="宋体" w:cs="宋体"/>
        </w:rPr>
      </w:pPr>
      <w:r>
        <w:rPr>
          <w:rFonts w:hint="eastAsia" w:ascii="宋体" w:hAnsi="宋体" w:cs="宋体"/>
          <w:sz w:val="24"/>
        </w:rPr>
        <w:t>根据合同约定及时付款。甲方逾期付款的，每延迟1日，甲方向乙方支付逾期付款部分5‰的违约金（最高不超过合同金额的10%）。但因乙方原因、双方合同履行争议等非甲方过错造成的付款迟延除外。</w:t>
      </w:r>
    </w:p>
    <w:p w14:paraId="78FC3E55">
      <w:pPr>
        <w:keepNext w:val="0"/>
        <w:keepLines w:val="0"/>
        <w:pageBreakBefore w:val="0"/>
        <w:widowControl w:val="0"/>
        <w:kinsoku/>
        <w:wordWrap/>
        <w:overflowPunct/>
        <w:topLinePunct w:val="0"/>
        <w:bidi w:val="0"/>
        <w:spacing w:line="430" w:lineRule="exact"/>
        <w:ind w:firstLine="482" w:firstLineChars="200"/>
        <w:rPr>
          <w:rFonts w:ascii="宋体" w:hAnsi="宋体" w:cs="宋体"/>
          <w:b/>
          <w:sz w:val="24"/>
        </w:rPr>
      </w:pPr>
      <w:r>
        <w:rPr>
          <w:rFonts w:hint="eastAsia" w:ascii="宋体" w:hAnsi="宋体" w:cs="宋体"/>
          <w:b/>
          <w:sz w:val="24"/>
        </w:rPr>
        <w:t>六、乙方责任</w:t>
      </w:r>
    </w:p>
    <w:p w14:paraId="7739584F">
      <w:pPr>
        <w:pStyle w:val="66"/>
        <w:keepNext w:val="0"/>
        <w:keepLines w:val="0"/>
        <w:pageBreakBefore w:val="0"/>
        <w:widowControl w:val="0"/>
        <w:numPr>
          <w:ilvl w:val="0"/>
          <w:numId w:val="37"/>
        </w:numPr>
        <w:kinsoku/>
        <w:wordWrap/>
        <w:overflowPunct/>
        <w:topLinePunct w:val="0"/>
        <w:bidi w:val="0"/>
        <w:snapToGrid w:val="0"/>
        <w:spacing w:line="430" w:lineRule="exact"/>
        <w:ind w:left="0" w:firstLine="480"/>
        <w:jc w:val="left"/>
        <w:rPr>
          <w:rFonts w:ascii="宋体" w:hAnsi="宋体" w:cs="宋体"/>
        </w:rPr>
      </w:pPr>
      <w:r>
        <w:rPr>
          <w:rFonts w:hint="eastAsia" w:ascii="宋体" w:hAnsi="宋体" w:cs="宋体"/>
          <w:sz w:val="24"/>
        </w:rPr>
        <w:t>本项目乙方应固定项目联系人: 姓名</w:t>
      </w:r>
      <w:r>
        <w:rPr>
          <w:rFonts w:hint="eastAsia" w:ascii="宋体" w:hAnsi="宋体" w:cs="宋体"/>
          <w:sz w:val="24"/>
          <w:u w:val="single"/>
        </w:rPr>
        <w:t xml:space="preserve">      </w:t>
      </w: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。负责与甲方进行联络沟通，确保各项工作顺利开展。</w:t>
      </w:r>
    </w:p>
    <w:p w14:paraId="78CD577E">
      <w:pPr>
        <w:pStyle w:val="66"/>
        <w:keepNext w:val="0"/>
        <w:keepLines w:val="0"/>
        <w:pageBreakBefore w:val="0"/>
        <w:widowControl w:val="0"/>
        <w:numPr>
          <w:ilvl w:val="0"/>
          <w:numId w:val="37"/>
        </w:numPr>
        <w:kinsoku/>
        <w:wordWrap/>
        <w:overflowPunct/>
        <w:topLinePunct w:val="0"/>
        <w:bidi w:val="0"/>
        <w:snapToGrid w:val="0"/>
        <w:spacing w:line="430" w:lineRule="exact"/>
        <w:ind w:left="0" w:firstLine="480"/>
        <w:jc w:val="left"/>
        <w:rPr>
          <w:rFonts w:ascii="宋体" w:hAnsi="宋体" w:cs="宋体"/>
        </w:rPr>
      </w:pPr>
      <w:r>
        <w:rPr>
          <w:rFonts w:hint="eastAsia" w:ascii="宋体" w:hAnsi="宋体" w:cs="宋体"/>
          <w:sz w:val="24"/>
        </w:rPr>
        <w:t>合同签订后，乙方不履约，甲方有权解除合同，收回已支付费用，并收取乙方合同总价1%的违约金。</w:t>
      </w:r>
    </w:p>
    <w:p w14:paraId="71C14C3E">
      <w:pPr>
        <w:pStyle w:val="66"/>
        <w:keepNext w:val="0"/>
        <w:keepLines w:val="0"/>
        <w:pageBreakBefore w:val="0"/>
        <w:widowControl w:val="0"/>
        <w:numPr>
          <w:ilvl w:val="0"/>
          <w:numId w:val="37"/>
        </w:numPr>
        <w:kinsoku/>
        <w:wordWrap/>
        <w:overflowPunct/>
        <w:topLinePunct w:val="0"/>
        <w:bidi w:val="0"/>
        <w:snapToGrid w:val="0"/>
        <w:spacing w:line="430" w:lineRule="exact"/>
        <w:ind w:left="0" w:firstLine="480"/>
        <w:jc w:val="left"/>
        <w:rPr>
          <w:rFonts w:ascii="宋体" w:hAnsi="宋体" w:cs="宋体"/>
        </w:rPr>
      </w:pPr>
      <w:r>
        <w:rPr>
          <w:rFonts w:hint="eastAsia" w:ascii="宋体" w:hAnsi="宋体" w:cs="宋体"/>
          <w:sz w:val="24"/>
        </w:rPr>
        <w:t>因乙方原因引起的延期，每延期 1天，乙方应向甲方支付逾期交付标的物总值5‰的违约金，并继续履行本合同所规定的义务。如超出合同约定交付时间7天，甲方有权解除合同，并要求乙方支付合同总价的1％的违约金作为对甲方的赔偿。</w:t>
      </w:r>
    </w:p>
    <w:p w14:paraId="712A4C68">
      <w:pPr>
        <w:pStyle w:val="66"/>
        <w:keepNext w:val="0"/>
        <w:keepLines w:val="0"/>
        <w:pageBreakBefore w:val="0"/>
        <w:widowControl w:val="0"/>
        <w:numPr>
          <w:ilvl w:val="0"/>
          <w:numId w:val="37"/>
        </w:numPr>
        <w:kinsoku/>
        <w:wordWrap/>
        <w:overflowPunct/>
        <w:topLinePunct w:val="0"/>
        <w:bidi w:val="0"/>
        <w:snapToGrid w:val="0"/>
        <w:spacing w:line="430" w:lineRule="exact"/>
        <w:ind w:left="0" w:firstLine="480"/>
        <w:jc w:val="left"/>
        <w:rPr>
          <w:rFonts w:ascii="宋体" w:hAnsi="宋体" w:cs="宋体"/>
        </w:rPr>
      </w:pPr>
      <w:r>
        <w:rPr>
          <w:rFonts w:hint="eastAsia" w:ascii="宋体" w:hAnsi="宋体" w:cs="宋体"/>
          <w:sz w:val="24"/>
        </w:rPr>
        <w:t>验收时发现任何不合格之处，根据实际情况，经双方协商，可按以下办法处理：</w:t>
      </w:r>
    </w:p>
    <w:p w14:paraId="10CF83F6">
      <w:pPr>
        <w:keepNext w:val="0"/>
        <w:keepLines w:val="0"/>
        <w:pageBreakBefore w:val="0"/>
        <w:widowControl w:val="0"/>
        <w:numPr>
          <w:ilvl w:val="0"/>
          <w:numId w:val="0"/>
        </w:numPr>
        <w:kinsoku/>
        <w:wordWrap/>
        <w:overflowPunct/>
        <w:topLinePunct w:val="0"/>
        <w:bidi w:val="0"/>
        <w:spacing w:line="430" w:lineRule="exact"/>
        <w:ind w:firstLine="480" w:firstLineChars="200"/>
        <w:jc w:val="left"/>
        <w:rPr>
          <w:rFonts w:ascii="宋体" w:hAnsi="宋体" w:cs="宋体"/>
          <w:snapToGrid w:val="0"/>
          <w:kern w:val="0"/>
          <w:sz w:val="24"/>
        </w:rPr>
      </w:pPr>
      <w:r>
        <w:rPr>
          <w:rFonts w:hint="eastAsia" w:ascii="宋体" w:hAnsi="宋体" w:cs="宋体"/>
          <w:snapToGrid w:val="0"/>
          <w:kern w:val="0"/>
          <w:sz w:val="24"/>
          <w:lang w:eastAsia="zh-CN"/>
        </w:rPr>
        <w:t>（</w:t>
      </w:r>
      <w:r>
        <w:rPr>
          <w:rFonts w:hint="eastAsia" w:ascii="宋体" w:hAnsi="宋体" w:cs="宋体"/>
          <w:snapToGrid w:val="0"/>
          <w:kern w:val="0"/>
          <w:sz w:val="24"/>
          <w:lang w:val="en-US" w:eastAsia="zh-CN"/>
        </w:rPr>
        <w:t>1）</w:t>
      </w:r>
      <w:r>
        <w:rPr>
          <w:rFonts w:hint="eastAsia" w:ascii="宋体" w:hAnsi="宋体" w:cs="宋体"/>
          <w:snapToGrid w:val="0"/>
          <w:kern w:val="0"/>
          <w:sz w:val="24"/>
        </w:rPr>
        <w:t>更换：由乙方承担所发生的全部费用。如乙方累计三次整改仍验收不合格的，甲方有权单方面解除合同，并要求乙方支付合同总价的1％的违约金作为对甲方的赔偿。</w:t>
      </w:r>
    </w:p>
    <w:p w14:paraId="71225659">
      <w:pPr>
        <w:keepNext w:val="0"/>
        <w:keepLines w:val="0"/>
        <w:pageBreakBefore w:val="0"/>
        <w:widowControl w:val="0"/>
        <w:numPr>
          <w:ilvl w:val="0"/>
          <w:numId w:val="0"/>
        </w:numPr>
        <w:kinsoku/>
        <w:wordWrap/>
        <w:overflowPunct/>
        <w:topLinePunct w:val="0"/>
        <w:bidi w:val="0"/>
        <w:spacing w:line="430" w:lineRule="exact"/>
        <w:ind w:firstLine="480" w:firstLineChars="200"/>
        <w:jc w:val="left"/>
        <w:rPr>
          <w:rFonts w:ascii="宋体" w:hAnsi="宋体" w:cs="宋体"/>
          <w:sz w:val="24"/>
        </w:rPr>
      </w:pPr>
      <w:r>
        <w:rPr>
          <w:rFonts w:hint="eastAsia" w:ascii="宋体" w:hAnsi="宋体" w:cs="宋体"/>
          <w:snapToGrid w:val="0"/>
          <w:kern w:val="0"/>
          <w:sz w:val="24"/>
          <w:lang w:eastAsia="zh-CN"/>
        </w:rPr>
        <w:t>（</w:t>
      </w:r>
      <w:r>
        <w:rPr>
          <w:rFonts w:hint="eastAsia" w:ascii="宋体" w:hAnsi="宋体" w:cs="宋体"/>
          <w:snapToGrid w:val="0"/>
          <w:kern w:val="0"/>
          <w:sz w:val="24"/>
          <w:lang w:val="en-US" w:eastAsia="zh-CN"/>
        </w:rPr>
        <w:t>2）</w:t>
      </w:r>
      <w:r>
        <w:rPr>
          <w:rFonts w:hint="eastAsia" w:ascii="宋体" w:hAnsi="宋体" w:cs="宋体"/>
          <w:snapToGrid w:val="0"/>
          <w:kern w:val="0"/>
          <w:sz w:val="24"/>
        </w:rPr>
        <w:t>贬值处理：由甲乙双方合议定价。</w:t>
      </w:r>
    </w:p>
    <w:p w14:paraId="5E41864E">
      <w:pPr>
        <w:keepNext w:val="0"/>
        <w:keepLines w:val="0"/>
        <w:pageBreakBefore w:val="0"/>
        <w:widowControl w:val="0"/>
        <w:numPr>
          <w:ilvl w:val="0"/>
          <w:numId w:val="0"/>
        </w:numPr>
        <w:kinsoku/>
        <w:wordWrap/>
        <w:overflowPunct/>
        <w:topLinePunct w:val="0"/>
        <w:bidi w:val="0"/>
        <w:spacing w:line="430" w:lineRule="exact"/>
        <w:ind w:firstLine="480" w:firstLineChars="200"/>
        <w:jc w:val="left"/>
        <w:rPr>
          <w:rFonts w:ascii="宋体" w:hAnsi="宋体" w:cs="宋体"/>
          <w:sz w:val="24"/>
        </w:rPr>
      </w:pPr>
      <w:r>
        <w:rPr>
          <w:rFonts w:hint="eastAsia" w:ascii="宋体" w:hAnsi="宋体" w:cs="宋体"/>
          <w:snapToGrid w:val="0"/>
          <w:kern w:val="0"/>
          <w:sz w:val="24"/>
          <w:lang w:eastAsia="zh-CN"/>
        </w:rPr>
        <w:t>（</w:t>
      </w:r>
      <w:r>
        <w:rPr>
          <w:rFonts w:hint="eastAsia" w:ascii="宋体" w:hAnsi="宋体" w:cs="宋体"/>
          <w:snapToGrid w:val="0"/>
          <w:kern w:val="0"/>
          <w:sz w:val="24"/>
          <w:lang w:val="en-US" w:eastAsia="zh-CN"/>
        </w:rPr>
        <w:t>3）</w:t>
      </w:r>
      <w:r>
        <w:rPr>
          <w:rFonts w:hint="eastAsia" w:ascii="宋体" w:hAnsi="宋体" w:cs="宋体"/>
          <w:snapToGrid w:val="0"/>
          <w:kern w:val="0"/>
          <w:sz w:val="24"/>
        </w:rPr>
        <w:t>退货处理：乙方应退还甲方支付的合同款，同时应承担该货物总价</w:t>
      </w:r>
      <w:r>
        <w:rPr>
          <w:rFonts w:hint="eastAsia" w:ascii="宋体" w:hAnsi="宋体" w:cs="宋体"/>
          <w:sz w:val="24"/>
          <w:u w:val="single"/>
        </w:rPr>
        <w:t>1</w:t>
      </w:r>
      <w:r>
        <w:rPr>
          <w:rFonts w:hint="eastAsia" w:ascii="宋体" w:hAnsi="宋体" w:cs="宋体"/>
          <w:sz w:val="24"/>
        </w:rPr>
        <w:t>％的违约金</w:t>
      </w:r>
      <w:r>
        <w:rPr>
          <w:rFonts w:hint="eastAsia" w:ascii="宋体" w:hAnsi="宋体" w:cs="宋体"/>
          <w:snapToGrid w:val="0"/>
          <w:kern w:val="0"/>
          <w:sz w:val="24"/>
        </w:rPr>
        <w:t>。</w:t>
      </w:r>
    </w:p>
    <w:p w14:paraId="74F4599D">
      <w:pPr>
        <w:pStyle w:val="66"/>
        <w:keepNext w:val="0"/>
        <w:keepLines w:val="0"/>
        <w:pageBreakBefore w:val="0"/>
        <w:widowControl w:val="0"/>
        <w:numPr>
          <w:ilvl w:val="0"/>
          <w:numId w:val="37"/>
        </w:numPr>
        <w:kinsoku/>
        <w:wordWrap/>
        <w:overflowPunct/>
        <w:topLinePunct w:val="0"/>
        <w:bidi w:val="0"/>
        <w:snapToGrid w:val="0"/>
        <w:spacing w:line="430" w:lineRule="exact"/>
        <w:ind w:left="0" w:firstLine="480"/>
        <w:jc w:val="left"/>
        <w:rPr>
          <w:rFonts w:ascii="宋体" w:hAnsi="宋体" w:cs="宋体"/>
        </w:rPr>
      </w:pPr>
      <w:r>
        <w:rPr>
          <w:rFonts w:hint="eastAsia" w:ascii="宋体" w:hAnsi="宋体" w:cs="宋体"/>
          <w:sz w:val="24"/>
        </w:rPr>
        <w:t>质保期内如果发生停用48小时及以上的重大故障，在排除故障恢复运行之日开始重新计算质保期。乙方未依约履行质保期内的保修义务，甲方有权寻找其他维修服务单位，由此造成的费用由乙方承担，并应向甲方承担故障货物总价1％的违约金。</w:t>
      </w:r>
    </w:p>
    <w:p w14:paraId="2C339DF7">
      <w:pPr>
        <w:pStyle w:val="66"/>
        <w:keepNext w:val="0"/>
        <w:keepLines w:val="0"/>
        <w:pageBreakBefore w:val="0"/>
        <w:widowControl w:val="0"/>
        <w:numPr>
          <w:ilvl w:val="0"/>
          <w:numId w:val="37"/>
        </w:numPr>
        <w:kinsoku/>
        <w:wordWrap/>
        <w:overflowPunct/>
        <w:topLinePunct w:val="0"/>
        <w:bidi w:val="0"/>
        <w:snapToGrid w:val="0"/>
        <w:spacing w:line="430" w:lineRule="exact"/>
        <w:ind w:left="0" w:firstLine="480"/>
        <w:jc w:val="left"/>
        <w:rPr>
          <w:rFonts w:ascii="宋体" w:hAnsi="宋体" w:cs="宋体"/>
        </w:rPr>
      </w:pPr>
      <w:r>
        <w:rPr>
          <w:rFonts w:hint="eastAsia" w:ascii="宋体" w:hAnsi="宋体" w:cs="宋体"/>
          <w:sz w:val="24"/>
        </w:rPr>
        <w:t>对甲方造成的损失超过违约金的，超出部分由乙方继续承担赔偿责任。甲方有权从合同款项中扣除违约金及超出违约金部分的损失。</w:t>
      </w:r>
    </w:p>
    <w:p w14:paraId="5F5DF0E4">
      <w:pPr>
        <w:pStyle w:val="66"/>
        <w:keepNext w:val="0"/>
        <w:keepLines w:val="0"/>
        <w:pageBreakBefore w:val="0"/>
        <w:widowControl w:val="0"/>
        <w:kinsoku/>
        <w:wordWrap/>
        <w:overflowPunct/>
        <w:topLinePunct w:val="0"/>
        <w:bidi w:val="0"/>
        <w:spacing w:line="430" w:lineRule="exact"/>
        <w:ind w:firstLine="482"/>
        <w:rPr>
          <w:rFonts w:ascii="宋体" w:hAnsi="宋体" w:cs="宋体"/>
          <w:b/>
        </w:rPr>
      </w:pPr>
      <w:r>
        <w:rPr>
          <w:rFonts w:hint="eastAsia" w:ascii="宋体" w:hAnsi="宋体" w:cs="宋体"/>
          <w:b/>
          <w:sz w:val="24"/>
        </w:rPr>
        <w:t>七、其他约定</w:t>
      </w:r>
    </w:p>
    <w:p w14:paraId="6F1D4732">
      <w:pPr>
        <w:pStyle w:val="66"/>
        <w:keepNext w:val="0"/>
        <w:keepLines w:val="0"/>
        <w:pageBreakBefore w:val="0"/>
        <w:widowControl w:val="0"/>
        <w:numPr>
          <w:ilvl w:val="0"/>
          <w:numId w:val="38"/>
        </w:numPr>
        <w:kinsoku/>
        <w:wordWrap/>
        <w:overflowPunct/>
        <w:topLinePunct w:val="0"/>
        <w:bidi w:val="0"/>
        <w:snapToGrid w:val="0"/>
        <w:spacing w:line="430" w:lineRule="exact"/>
        <w:ind w:left="0" w:firstLine="480"/>
        <w:jc w:val="left"/>
        <w:rPr>
          <w:rFonts w:ascii="宋体" w:hAnsi="宋体" w:cs="宋体"/>
        </w:rPr>
      </w:pPr>
      <w:r>
        <w:rPr>
          <w:rFonts w:hint="eastAsia" w:ascii="宋体" w:hAnsi="宋体" w:cs="宋体"/>
          <w:sz w:val="24"/>
        </w:rPr>
        <w:t>其它条款违约：任何一方违反本合同所规定的义务，除本合同另有规定外，违约方应按合同总价</w:t>
      </w:r>
      <w:r>
        <w:rPr>
          <w:rFonts w:hint="eastAsia" w:ascii="宋体" w:hAnsi="宋体" w:cs="宋体"/>
          <w:sz w:val="24"/>
          <w:u w:val="single"/>
        </w:rPr>
        <w:t xml:space="preserve"> 1％ </w:t>
      </w:r>
      <w:r>
        <w:rPr>
          <w:rFonts w:hint="eastAsia" w:ascii="宋体" w:hAnsi="宋体" w:cs="宋体"/>
          <w:sz w:val="24"/>
        </w:rPr>
        <w:t>的金额向对方支付违约金。</w:t>
      </w:r>
    </w:p>
    <w:p w14:paraId="253B7CE7">
      <w:pPr>
        <w:pStyle w:val="66"/>
        <w:keepNext w:val="0"/>
        <w:keepLines w:val="0"/>
        <w:pageBreakBefore w:val="0"/>
        <w:widowControl w:val="0"/>
        <w:numPr>
          <w:ilvl w:val="0"/>
          <w:numId w:val="38"/>
        </w:numPr>
        <w:kinsoku/>
        <w:wordWrap/>
        <w:overflowPunct/>
        <w:topLinePunct w:val="0"/>
        <w:bidi w:val="0"/>
        <w:snapToGrid w:val="0"/>
        <w:spacing w:line="430" w:lineRule="exact"/>
        <w:ind w:left="0" w:firstLine="480"/>
        <w:jc w:val="left"/>
        <w:rPr>
          <w:rFonts w:ascii="宋体" w:hAnsi="宋体" w:cs="宋体"/>
        </w:rPr>
      </w:pPr>
      <w:r>
        <w:rPr>
          <w:rFonts w:hint="eastAsia" w:ascii="宋体" w:hAnsi="宋体" w:cs="宋体"/>
          <w:sz w:val="24"/>
        </w:rPr>
        <w:t>如发生违约事件，守约方要求违约方支付违约金时，应以书面方式通知违约方，内容包括违约事件、违约金、支付时间和方式等。违约方在收到上述通知后，应于15天内答复对方，并支付违约金。如双方不能就此达成一致意见，将按照本合同所规定的争议解决条款解决双方的纠纷，但任何一方不得采取非法手段或以损害本项目的方式。支付违约金并不免除相应义务，各方仍应当按照本合同约定履行相应义务。</w:t>
      </w:r>
    </w:p>
    <w:p w14:paraId="6B25800A">
      <w:pPr>
        <w:pStyle w:val="66"/>
        <w:keepNext w:val="0"/>
        <w:keepLines w:val="0"/>
        <w:pageBreakBefore w:val="0"/>
        <w:widowControl w:val="0"/>
        <w:numPr>
          <w:ilvl w:val="0"/>
          <w:numId w:val="38"/>
        </w:numPr>
        <w:kinsoku/>
        <w:wordWrap/>
        <w:overflowPunct/>
        <w:topLinePunct w:val="0"/>
        <w:bidi w:val="0"/>
        <w:snapToGrid w:val="0"/>
        <w:spacing w:line="430" w:lineRule="exact"/>
        <w:ind w:left="0" w:firstLine="480"/>
        <w:jc w:val="left"/>
        <w:rPr>
          <w:rFonts w:ascii="宋体" w:hAnsi="宋体" w:cs="宋体"/>
        </w:rPr>
      </w:pPr>
      <w:r>
        <w:rPr>
          <w:rFonts w:hint="eastAsia" w:ascii="宋体" w:hAnsi="宋体" w:cs="宋体"/>
          <w:sz w:val="24"/>
        </w:rPr>
        <w:t>违约方应承担非违约方为实现债权支出的合理费用，包括律师费、诉讼费、诉讼保全费、保全担保费、鉴定费、差旅费等。</w:t>
      </w:r>
    </w:p>
    <w:p w14:paraId="0F40F18C">
      <w:pPr>
        <w:pStyle w:val="66"/>
        <w:keepNext w:val="0"/>
        <w:keepLines w:val="0"/>
        <w:pageBreakBefore w:val="0"/>
        <w:widowControl w:val="0"/>
        <w:numPr>
          <w:ilvl w:val="0"/>
          <w:numId w:val="38"/>
        </w:numPr>
        <w:kinsoku/>
        <w:wordWrap/>
        <w:overflowPunct/>
        <w:topLinePunct w:val="0"/>
        <w:bidi w:val="0"/>
        <w:snapToGrid w:val="0"/>
        <w:spacing w:line="430" w:lineRule="exact"/>
        <w:ind w:left="0" w:firstLine="482"/>
        <w:jc w:val="left"/>
        <w:rPr>
          <w:rFonts w:ascii="宋体" w:hAnsi="宋体" w:cs="宋体"/>
        </w:rPr>
      </w:pPr>
      <w:r>
        <w:rPr>
          <w:rFonts w:hint="eastAsia" w:ascii="宋体" w:hAnsi="宋体" w:cs="宋体"/>
          <w:b/>
          <w:bCs/>
          <w:sz w:val="24"/>
        </w:rPr>
        <w:t>不可抗力：</w:t>
      </w:r>
      <w:r>
        <w:rPr>
          <w:rFonts w:hint="eastAsia" w:ascii="宋体" w:hAnsi="宋体" w:cs="宋体"/>
          <w:sz w:val="24"/>
        </w:rPr>
        <w:t>如果双方中任何一方由于战争、严重火灾、水灾、台风和地震以及其它经双方同意属于不可抗力的事故，致使合同履行受阻时，履行合同的期限应予延长，延长的期限应相当于事故所影响的时间。如果不可抗力影响时间待续120天以上的，双方应通过友好协商在合理的时间内达成进一步履行合同的协议。不可抗力期间，甲乙双方应尽力减少可能给对方带来的损失。</w:t>
      </w:r>
    </w:p>
    <w:p w14:paraId="2F3CDBD1">
      <w:pPr>
        <w:pStyle w:val="66"/>
        <w:keepNext w:val="0"/>
        <w:keepLines w:val="0"/>
        <w:pageBreakBefore w:val="0"/>
        <w:widowControl w:val="0"/>
        <w:numPr>
          <w:ilvl w:val="0"/>
          <w:numId w:val="38"/>
        </w:numPr>
        <w:kinsoku/>
        <w:wordWrap/>
        <w:overflowPunct/>
        <w:topLinePunct w:val="0"/>
        <w:bidi w:val="0"/>
        <w:snapToGrid w:val="0"/>
        <w:spacing w:line="430" w:lineRule="exact"/>
        <w:ind w:left="0" w:firstLine="482"/>
        <w:jc w:val="left"/>
        <w:rPr>
          <w:rFonts w:ascii="宋体" w:hAnsi="宋体" w:cs="宋体"/>
        </w:rPr>
      </w:pPr>
      <w:r>
        <w:rPr>
          <w:rFonts w:hint="eastAsia" w:ascii="宋体" w:hAnsi="宋体" w:cs="宋体"/>
          <w:b/>
          <w:bCs/>
          <w:sz w:val="24"/>
        </w:rPr>
        <w:t>争议解决：</w:t>
      </w:r>
      <w:r>
        <w:rPr>
          <w:rFonts w:hint="eastAsia" w:ascii="宋体" w:hAnsi="宋体" w:cs="宋体"/>
          <w:sz w:val="24"/>
        </w:rPr>
        <w:t>本合同发生争议，双方协商解决。协商不成，由甲方所在地有管辖权的人民法院管辖。</w:t>
      </w:r>
    </w:p>
    <w:p w14:paraId="4882971E">
      <w:pPr>
        <w:pStyle w:val="66"/>
        <w:keepNext w:val="0"/>
        <w:keepLines w:val="0"/>
        <w:pageBreakBefore w:val="0"/>
        <w:widowControl w:val="0"/>
        <w:numPr>
          <w:ilvl w:val="0"/>
          <w:numId w:val="38"/>
        </w:numPr>
        <w:kinsoku/>
        <w:wordWrap/>
        <w:overflowPunct/>
        <w:topLinePunct w:val="0"/>
        <w:bidi w:val="0"/>
        <w:snapToGrid w:val="0"/>
        <w:spacing w:line="430" w:lineRule="exact"/>
        <w:ind w:left="0" w:firstLine="482"/>
        <w:jc w:val="left"/>
        <w:rPr>
          <w:rFonts w:ascii="宋体" w:hAnsi="宋体" w:cs="宋体"/>
        </w:rPr>
      </w:pPr>
      <w:r>
        <w:rPr>
          <w:rFonts w:hint="eastAsia" w:ascii="宋体" w:hAnsi="宋体" w:cs="宋体"/>
          <w:b/>
          <w:bCs/>
          <w:sz w:val="24"/>
        </w:rPr>
        <w:t>合同生效：</w:t>
      </w:r>
      <w:r>
        <w:rPr>
          <w:rFonts w:hint="eastAsia" w:ascii="宋体" w:hAnsi="宋体" w:cs="宋体"/>
          <w:sz w:val="24"/>
        </w:rPr>
        <w:t>合同在双方法定代表人或授权代表签字并加盖公章或合同专用章后生效；本合同一式</w:t>
      </w:r>
      <w:r>
        <w:rPr>
          <w:rFonts w:hint="eastAsia" w:ascii="宋体" w:hAnsi="宋体" w:cs="宋体"/>
          <w:sz w:val="24"/>
          <w:u w:val="single"/>
        </w:rPr>
        <w:t xml:space="preserve">   </w:t>
      </w:r>
      <w:r>
        <w:rPr>
          <w:rFonts w:hint="eastAsia" w:ascii="宋体" w:hAnsi="宋体" w:cs="宋体"/>
          <w:sz w:val="24"/>
        </w:rPr>
        <w:t>份，甲方执</w:t>
      </w:r>
      <w:r>
        <w:rPr>
          <w:rFonts w:hint="eastAsia" w:ascii="宋体" w:hAnsi="宋体" w:cs="宋体"/>
          <w:sz w:val="24"/>
          <w:u w:val="single"/>
        </w:rPr>
        <w:t xml:space="preserve">   </w:t>
      </w:r>
      <w:r>
        <w:rPr>
          <w:rFonts w:hint="eastAsia" w:ascii="宋体" w:hAnsi="宋体" w:cs="宋体"/>
          <w:sz w:val="24"/>
        </w:rPr>
        <w:t>份、乙方执</w:t>
      </w:r>
      <w:r>
        <w:rPr>
          <w:rFonts w:hint="eastAsia" w:ascii="宋体" w:hAnsi="宋体" w:cs="宋体"/>
          <w:sz w:val="24"/>
          <w:u w:val="single"/>
        </w:rPr>
        <w:t xml:space="preserve">   </w:t>
      </w:r>
      <w:r>
        <w:rPr>
          <w:rFonts w:hint="eastAsia" w:ascii="宋体" w:hAnsi="宋体" w:cs="宋体"/>
          <w:sz w:val="24"/>
        </w:rPr>
        <w:t>份，代理机构执</w:t>
      </w:r>
      <w:r>
        <w:rPr>
          <w:rFonts w:hint="eastAsia" w:ascii="宋体" w:hAnsi="宋体" w:cs="宋体"/>
          <w:sz w:val="24"/>
          <w:u w:val="single"/>
        </w:rPr>
        <w:t>1</w:t>
      </w:r>
      <w:r>
        <w:rPr>
          <w:rFonts w:hint="eastAsia" w:ascii="宋体" w:hAnsi="宋体" w:cs="宋体"/>
          <w:sz w:val="24"/>
        </w:rPr>
        <w:t>份，均具同等效力。本合同未尽事宜，双方可以补充协议的形式加以补充。</w:t>
      </w:r>
    </w:p>
    <w:p w14:paraId="107626E2">
      <w:pPr>
        <w:pStyle w:val="66"/>
        <w:keepNext w:val="0"/>
        <w:keepLines w:val="0"/>
        <w:pageBreakBefore w:val="0"/>
        <w:widowControl w:val="0"/>
        <w:numPr>
          <w:ilvl w:val="0"/>
          <w:numId w:val="38"/>
        </w:numPr>
        <w:kinsoku/>
        <w:wordWrap/>
        <w:overflowPunct/>
        <w:topLinePunct w:val="0"/>
        <w:bidi w:val="0"/>
        <w:snapToGrid w:val="0"/>
        <w:spacing w:line="430" w:lineRule="exact"/>
        <w:ind w:left="0" w:firstLine="480"/>
        <w:jc w:val="left"/>
        <w:rPr>
          <w:rFonts w:ascii="宋体" w:hAnsi="宋体" w:cs="宋体"/>
          <w:sz w:val="24"/>
        </w:rPr>
      </w:pPr>
      <w:r>
        <w:rPr>
          <w:rFonts w:hint="eastAsia" w:ascii="宋体" w:hAnsi="宋体" w:cs="宋体"/>
          <w:sz w:val="24"/>
        </w:rPr>
        <w:t>本项目的招标文件、询标纪要、投标文件、标准、规范及有关技术文件、有关项目实施过程中的洽商、变更等书面文件共同作为本合同的组成部分。当文件有矛盾之处，以时间后者为准。</w:t>
      </w:r>
    </w:p>
    <w:p w14:paraId="4CE8FBDD">
      <w:pPr>
        <w:keepNext w:val="0"/>
        <w:keepLines w:val="0"/>
        <w:pageBreakBefore w:val="0"/>
        <w:widowControl w:val="0"/>
        <w:kinsoku/>
        <w:wordWrap/>
        <w:overflowPunct/>
        <w:topLinePunct w:val="0"/>
        <w:bidi w:val="0"/>
        <w:spacing w:after="160" w:line="430" w:lineRule="exact"/>
        <w:rPr>
          <w:rFonts w:ascii="宋体" w:hAnsi="宋体" w:cs="宋体"/>
          <w:szCs w:val="21"/>
        </w:rPr>
      </w:pPr>
    </w:p>
    <w:p w14:paraId="005D38C7">
      <w:pPr>
        <w:keepNext w:val="0"/>
        <w:keepLines w:val="0"/>
        <w:pageBreakBefore w:val="0"/>
        <w:widowControl w:val="0"/>
        <w:kinsoku/>
        <w:wordWrap/>
        <w:overflowPunct/>
        <w:topLinePunct w:val="0"/>
        <w:bidi w:val="0"/>
        <w:spacing w:after="160" w:line="430" w:lineRule="exact"/>
        <w:rPr>
          <w:rFonts w:ascii="宋体" w:hAnsi="宋体" w:cs="宋体"/>
          <w:szCs w:val="21"/>
        </w:rPr>
      </w:pPr>
      <w:r>
        <w:rPr>
          <w:rFonts w:hint="eastAsia" w:ascii="宋体" w:hAnsi="宋体" w:cs="宋体"/>
          <w:szCs w:val="21"/>
        </w:rPr>
        <w:t xml:space="preserve">甲方（盖章）：嵊州市越风蕴秀影视传媒有限公司  </w:t>
      </w:r>
      <w:r>
        <w:rPr>
          <w:rFonts w:ascii="宋体" w:hAnsi="宋体" w:cs="宋体"/>
          <w:szCs w:val="21"/>
        </w:rPr>
        <w:t xml:space="preserve"> </w:t>
      </w:r>
      <w:r>
        <w:rPr>
          <w:rFonts w:hint="eastAsia" w:ascii="宋体" w:hAnsi="宋体" w:cs="宋体"/>
          <w:szCs w:val="21"/>
        </w:rPr>
        <w:t xml:space="preserve">  乙方（盖章）： </w:t>
      </w:r>
    </w:p>
    <w:p w14:paraId="03EAD46E">
      <w:pPr>
        <w:keepNext w:val="0"/>
        <w:keepLines w:val="0"/>
        <w:pageBreakBefore w:val="0"/>
        <w:widowControl w:val="0"/>
        <w:kinsoku/>
        <w:wordWrap/>
        <w:overflowPunct/>
        <w:topLinePunct w:val="0"/>
        <w:bidi w:val="0"/>
        <w:spacing w:after="160" w:line="430" w:lineRule="exact"/>
        <w:jc w:val="left"/>
        <w:rPr>
          <w:rFonts w:ascii="宋体" w:hAnsi="宋体" w:cs="宋体"/>
          <w:szCs w:val="21"/>
        </w:rPr>
      </w:pPr>
      <w:r>
        <w:rPr>
          <w:rFonts w:hint="eastAsia" w:ascii="宋体" w:hAnsi="宋体" w:cs="宋体"/>
          <w:szCs w:val="21"/>
        </w:rPr>
        <w:t>联系地址：                                       联系地址：</w:t>
      </w:r>
    </w:p>
    <w:p w14:paraId="7ABF2639">
      <w:pPr>
        <w:keepNext w:val="0"/>
        <w:keepLines w:val="0"/>
        <w:pageBreakBefore w:val="0"/>
        <w:widowControl w:val="0"/>
        <w:kinsoku/>
        <w:wordWrap/>
        <w:overflowPunct/>
        <w:topLinePunct w:val="0"/>
        <w:bidi w:val="0"/>
        <w:spacing w:after="160" w:line="430" w:lineRule="exact"/>
        <w:jc w:val="left"/>
        <w:rPr>
          <w:rFonts w:ascii="宋体" w:hAnsi="宋体" w:cs="宋体"/>
          <w:szCs w:val="21"/>
        </w:rPr>
      </w:pPr>
      <w:r>
        <w:rPr>
          <w:rFonts w:hint="eastAsia" w:ascii="宋体" w:hAnsi="宋体" w:cs="宋体"/>
          <w:szCs w:val="21"/>
        </w:rPr>
        <w:t>法定代表人或其授权代表：                         法定代表人或其授权代表：</w:t>
      </w:r>
    </w:p>
    <w:p w14:paraId="2BA5A7FF">
      <w:pPr>
        <w:keepNext w:val="0"/>
        <w:keepLines w:val="0"/>
        <w:pageBreakBefore w:val="0"/>
        <w:widowControl w:val="0"/>
        <w:kinsoku/>
        <w:wordWrap/>
        <w:overflowPunct/>
        <w:topLinePunct w:val="0"/>
        <w:bidi w:val="0"/>
        <w:spacing w:after="160" w:line="430" w:lineRule="exact"/>
        <w:jc w:val="left"/>
        <w:rPr>
          <w:rFonts w:ascii="宋体" w:hAnsi="宋体" w:cs="宋体"/>
          <w:szCs w:val="21"/>
        </w:rPr>
      </w:pPr>
      <w:r>
        <w:rPr>
          <w:rFonts w:hint="eastAsia" w:ascii="宋体" w:hAnsi="宋体" w:cs="宋体"/>
          <w:szCs w:val="21"/>
        </w:rPr>
        <w:t>开户银行：                                     开户银行：</w:t>
      </w:r>
    </w:p>
    <w:p w14:paraId="480CC9C1">
      <w:pPr>
        <w:keepNext w:val="0"/>
        <w:keepLines w:val="0"/>
        <w:pageBreakBefore w:val="0"/>
        <w:widowControl w:val="0"/>
        <w:kinsoku/>
        <w:wordWrap/>
        <w:overflowPunct/>
        <w:topLinePunct w:val="0"/>
        <w:bidi w:val="0"/>
        <w:spacing w:after="160" w:line="430" w:lineRule="exact"/>
        <w:jc w:val="left"/>
        <w:rPr>
          <w:rFonts w:ascii="宋体" w:hAnsi="宋体" w:cs="宋体"/>
          <w:szCs w:val="21"/>
        </w:rPr>
      </w:pPr>
      <w:r>
        <w:rPr>
          <w:rFonts w:hint="eastAsia" w:ascii="宋体" w:hAnsi="宋体" w:cs="宋体"/>
          <w:szCs w:val="21"/>
        </w:rPr>
        <w:t>账  号：                                       账  号：</w:t>
      </w:r>
    </w:p>
    <w:p w14:paraId="71A6DF3B">
      <w:pPr>
        <w:keepNext w:val="0"/>
        <w:keepLines w:val="0"/>
        <w:pageBreakBefore w:val="0"/>
        <w:widowControl w:val="0"/>
        <w:kinsoku/>
        <w:wordWrap/>
        <w:overflowPunct/>
        <w:topLinePunct w:val="0"/>
        <w:bidi w:val="0"/>
        <w:spacing w:after="160" w:line="430" w:lineRule="exact"/>
        <w:jc w:val="left"/>
        <w:rPr>
          <w:rFonts w:ascii="宋体" w:hAnsi="宋体" w:cs="宋体"/>
          <w:b/>
          <w:bCs/>
          <w:szCs w:val="21"/>
        </w:rPr>
      </w:pPr>
      <w:r>
        <w:rPr>
          <w:rFonts w:hint="eastAsia" w:ascii="宋体" w:hAnsi="宋体" w:cs="宋体"/>
          <w:szCs w:val="21"/>
        </w:rPr>
        <w:t>签订日期：2024年 月   日                        签订日期：2024年  月   日</w:t>
      </w:r>
    </w:p>
    <w:p w14:paraId="3C9B6AC2">
      <w:pPr>
        <w:keepNext w:val="0"/>
        <w:keepLines w:val="0"/>
        <w:pageBreakBefore w:val="0"/>
        <w:widowControl w:val="0"/>
        <w:kinsoku/>
        <w:wordWrap/>
        <w:overflowPunct/>
        <w:topLinePunct w:val="0"/>
        <w:bidi w:val="0"/>
        <w:spacing w:line="430" w:lineRule="exact"/>
      </w:pPr>
      <w:r>
        <w:rPr>
          <w:rFonts w:hint="eastAsia" w:ascii="宋体" w:hAnsi="宋体" w:cs="宋体"/>
          <w:b/>
          <w:bCs/>
          <w:szCs w:val="21"/>
        </w:rPr>
        <w:t>注：具体以双方签定的正式合同为准，合同内容不得违背本采购文件实质性要求。</w:t>
      </w:r>
    </w:p>
    <w:p w14:paraId="33C13710">
      <w:pPr>
        <w:widowControl/>
        <w:adjustRightInd/>
        <w:jc w:val="left"/>
        <w:rPr>
          <w:rFonts w:ascii="宋体" w:hAnsi="宋体" w:cs="宋体"/>
          <w:b/>
          <w:bCs/>
          <w:sz w:val="32"/>
          <w:szCs w:val="32"/>
        </w:rPr>
      </w:pPr>
      <w:bookmarkStart w:id="85" w:name="_Toc26382"/>
      <w:r>
        <w:rPr>
          <w:rFonts w:ascii="宋体" w:hAnsi="宋体" w:cs="宋体"/>
          <w:sz w:val="32"/>
          <w:szCs w:val="32"/>
        </w:rPr>
        <w:br w:type="page"/>
      </w:r>
    </w:p>
    <w:p w14:paraId="0DBF045C">
      <w:pPr>
        <w:spacing w:line="460" w:lineRule="exact"/>
        <w:ind w:right="601"/>
        <w:jc w:val="center"/>
        <w:rPr>
          <w:rFonts w:ascii="宋体" w:hAnsi="宋体" w:cs="宋体"/>
          <w:sz w:val="32"/>
          <w:szCs w:val="32"/>
        </w:rPr>
      </w:pPr>
      <w:r>
        <w:rPr>
          <w:rFonts w:hint="eastAsia" w:ascii="宋体" w:hAnsi="宋体" w:cs="宋体"/>
          <w:sz w:val="32"/>
          <w:szCs w:val="32"/>
        </w:rPr>
        <w:t>第六章 投标文件格式</w:t>
      </w:r>
      <w:bookmarkEnd w:id="85"/>
    </w:p>
    <w:p w14:paraId="01C76E8A">
      <w:pPr>
        <w:spacing w:line="460" w:lineRule="exact"/>
        <w:ind w:right="601"/>
        <w:jc w:val="left"/>
        <w:rPr>
          <w:rFonts w:ascii="新宋体" w:hAnsi="新宋体" w:eastAsia="新宋体" w:cs="新宋体"/>
          <w:b/>
          <w:sz w:val="24"/>
        </w:rPr>
      </w:pPr>
    </w:p>
    <w:p w14:paraId="30915891">
      <w:pPr>
        <w:spacing w:line="460" w:lineRule="exact"/>
        <w:ind w:right="601"/>
        <w:jc w:val="left"/>
        <w:rPr>
          <w:rFonts w:ascii="新宋体" w:hAnsi="新宋体" w:eastAsia="新宋体" w:cs="新宋体"/>
          <w:b/>
          <w:sz w:val="24"/>
        </w:rPr>
      </w:pPr>
      <w:r>
        <w:rPr>
          <w:rFonts w:hint="eastAsia" w:ascii="新宋体" w:hAnsi="新宋体" w:eastAsia="新宋体" w:cs="新宋体"/>
          <w:b/>
          <w:sz w:val="24"/>
        </w:rPr>
        <w:t>附件1</w:t>
      </w:r>
    </w:p>
    <w:p w14:paraId="54F884F2">
      <w:pPr>
        <w:spacing w:line="360" w:lineRule="auto"/>
        <w:ind w:right="601"/>
        <w:jc w:val="center"/>
        <w:rPr>
          <w:rFonts w:ascii="新宋体" w:hAnsi="新宋体" w:eastAsia="新宋体" w:cs="新宋体"/>
          <w:b/>
          <w:sz w:val="28"/>
          <w:szCs w:val="28"/>
        </w:rPr>
      </w:pPr>
      <w:r>
        <w:rPr>
          <w:rFonts w:hint="eastAsia" w:ascii="新宋体" w:hAnsi="新宋体" w:eastAsia="新宋体" w:cs="新宋体"/>
          <w:b/>
          <w:bCs/>
          <w:sz w:val="28"/>
          <w:szCs w:val="28"/>
        </w:rPr>
        <w:t>符合参加采购活动应当具备的一般条件的承诺函</w:t>
      </w:r>
    </w:p>
    <w:p w14:paraId="4841DF02">
      <w:pPr>
        <w:adjustRightInd/>
        <w:spacing w:line="440" w:lineRule="exact"/>
        <w:rPr>
          <w:rFonts w:ascii="新宋体" w:hAnsi="新宋体" w:eastAsia="新宋体" w:cs="新宋体"/>
          <w:bCs/>
          <w:kern w:val="0"/>
          <w:sz w:val="24"/>
          <w:u w:val="single"/>
        </w:rPr>
      </w:pPr>
      <w:r>
        <w:rPr>
          <w:rFonts w:hint="eastAsia" w:ascii="新宋体" w:hAnsi="新宋体" w:eastAsia="新宋体" w:cs="新宋体"/>
          <w:sz w:val="24"/>
          <w:u w:val="single"/>
        </w:rPr>
        <w:t>嵊州市越风蕴秀影视传媒有限公司</w:t>
      </w:r>
      <w:r>
        <w:rPr>
          <w:rFonts w:hint="eastAsia" w:ascii="新宋体" w:hAnsi="新宋体" w:eastAsia="新宋体" w:cs="新宋体"/>
          <w:bCs/>
          <w:kern w:val="0"/>
          <w:sz w:val="24"/>
          <w:u w:val="single"/>
        </w:rPr>
        <w:t>、浙江商易项目管理有限公司：</w:t>
      </w:r>
    </w:p>
    <w:p w14:paraId="587E2681">
      <w:pPr>
        <w:adjustRightInd/>
        <w:spacing w:line="440" w:lineRule="exact"/>
        <w:ind w:firstLine="480" w:firstLineChars="200"/>
        <w:rPr>
          <w:rFonts w:ascii="新宋体" w:hAnsi="新宋体" w:eastAsia="新宋体" w:cs="新宋体"/>
          <w:b/>
          <w:kern w:val="0"/>
          <w:sz w:val="24"/>
        </w:rPr>
      </w:pPr>
      <w:r>
        <w:rPr>
          <w:rFonts w:hint="eastAsia" w:ascii="新宋体" w:hAnsi="新宋体" w:eastAsia="新宋体" w:cs="新宋体"/>
          <w:kern w:val="0"/>
          <w:sz w:val="24"/>
        </w:rPr>
        <w:t>我方参与</w:t>
      </w:r>
      <w:r>
        <w:rPr>
          <w:rFonts w:hint="eastAsia" w:ascii="新宋体" w:hAnsi="新宋体" w:eastAsia="新宋体" w:cs="新宋体"/>
          <w:kern w:val="0"/>
          <w:sz w:val="24"/>
          <w:u w:val="single"/>
          <w:lang w:eastAsia="zh-CN"/>
        </w:rPr>
        <w:t>沉浸式演艺项目《幻境红楼梦》（暂名）配套设备及系统集成服务采购项目</w:t>
      </w:r>
      <w:r>
        <w:rPr>
          <w:rFonts w:hint="eastAsia" w:ascii="新宋体" w:hAnsi="新宋体" w:eastAsia="新宋体" w:cs="新宋体"/>
          <w:sz w:val="24"/>
          <w:u w:val="single"/>
        </w:rPr>
        <w:t>(项目编号：ZJSY-SZ2024N21</w:t>
      </w:r>
      <w:r>
        <w:rPr>
          <w:rFonts w:hint="eastAsia" w:ascii="新宋体" w:hAnsi="新宋体" w:eastAsia="新宋体" w:cs="新宋体"/>
          <w:sz w:val="24"/>
          <w:u w:val="single"/>
          <w:lang w:val="zh-CN"/>
        </w:rPr>
        <w:t>)</w:t>
      </w:r>
      <w:r>
        <w:rPr>
          <w:rFonts w:hint="eastAsia" w:ascii="新宋体" w:hAnsi="新宋体" w:eastAsia="新宋体" w:cs="新宋体"/>
          <w:kern w:val="0"/>
          <w:sz w:val="24"/>
        </w:rPr>
        <w:t>的采购活动，郑重承诺：</w:t>
      </w:r>
      <w:r>
        <w:rPr>
          <w:rFonts w:hint="eastAsia" w:ascii="新宋体" w:hAnsi="新宋体" w:eastAsia="新宋体" w:cs="新宋体"/>
          <w:sz w:val="24"/>
        </w:rPr>
        <w:t xml:space="preserve">     </w:t>
      </w:r>
    </w:p>
    <w:p w14:paraId="1A12B254">
      <w:pPr>
        <w:adjustRightInd/>
        <w:spacing w:line="440" w:lineRule="exact"/>
        <w:ind w:firstLine="426" w:firstLineChars="177"/>
        <w:rPr>
          <w:rFonts w:ascii="新宋体" w:hAnsi="新宋体" w:eastAsia="新宋体" w:cs="新宋体"/>
          <w:b/>
          <w:kern w:val="0"/>
          <w:sz w:val="24"/>
        </w:rPr>
      </w:pPr>
      <w:r>
        <w:rPr>
          <w:rFonts w:hint="eastAsia" w:ascii="新宋体" w:hAnsi="新宋体" w:eastAsia="新宋体" w:cs="新宋体"/>
          <w:b/>
          <w:sz w:val="24"/>
        </w:rPr>
        <w:t>一、具备以下条件：</w:t>
      </w:r>
    </w:p>
    <w:p w14:paraId="77B0C344">
      <w:pPr>
        <w:adjustRightInd/>
        <w:spacing w:line="440" w:lineRule="exact"/>
        <w:ind w:firstLine="424" w:firstLineChars="177"/>
        <w:rPr>
          <w:rFonts w:ascii="新宋体" w:hAnsi="新宋体" w:eastAsia="新宋体" w:cs="新宋体"/>
          <w:kern w:val="0"/>
          <w:sz w:val="24"/>
        </w:rPr>
      </w:pPr>
      <w:r>
        <w:rPr>
          <w:rFonts w:hint="eastAsia" w:ascii="新宋体" w:hAnsi="新宋体" w:eastAsia="新宋体" w:cs="新宋体"/>
          <w:kern w:val="0"/>
          <w:sz w:val="24"/>
        </w:rPr>
        <w:t>1.具有独立承担民事责任的能力；</w:t>
      </w:r>
    </w:p>
    <w:p w14:paraId="435F1B60">
      <w:pPr>
        <w:adjustRightInd/>
        <w:spacing w:line="440" w:lineRule="exact"/>
        <w:ind w:firstLine="424" w:firstLineChars="177"/>
        <w:rPr>
          <w:rFonts w:ascii="新宋体" w:hAnsi="新宋体" w:eastAsia="新宋体" w:cs="新宋体"/>
          <w:kern w:val="0"/>
          <w:sz w:val="24"/>
        </w:rPr>
      </w:pPr>
      <w:r>
        <w:rPr>
          <w:rFonts w:hint="eastAsia" w:ascii="新宋体" w:hAnsi="新宋体" w:eastAsia="新宋体" w:cs="新宋体"/>
          <w:kern w:val="0"/>
          <w:sz w:val="24"/>
        </w:rPr>
        <w:t>2.具有良好的商业信誉和健全的财务会计制度；</w:t>
      </w:r>
    </w:p>
    <w:p w14:paraId="1277E40E">
      <w:pPr>
        <w:adjustRightInd/>
        <w:spacing w:line="440" w:lineRule="exact"/>
        <w:ind w:firstLine="424" w:firstLineChars="177"/>
        <w:rPr>
          <w:rFonts w:ascii="新宋体" w:hAnsi="新宋体" w:eastAsia="新宋体" w:cs="新宋体"/>
          <w:kern w:val="0"/>
          <w:sz w:val="24"/>
        </w:rPr>
      </w:pPr>
      <w:r>
        <w:rPr>
          <w:rFonts w:hint="eastAsia" w:ascii="新宋体" w:hAnsi="新宋体" w:eastAsia="新宋体" w:cs="新宋体"/>
          <w:kern w:val="0"/>
          <w:sz w:val="24"/>
        </w:rPr>
        <w:t>3.具有履行本项目合同所必需的设备和专业技术能力；</w:t>
      </w:r>
    </w:p>
    <w:p w14:paraId="7A085A5A">
      <w:pPr>
        <w:adjustRightInd/>
        <w:spacing w:line="440" w:lineRule="exact"/>
        <w:ind w:firstLine="424" w:firstLineChars="177"/>
        <w:rPr>
          <w:rFonts w:ascii="新宋体" w:hAnsi="新宋体" w:eastAsia="新宋体" w:cs="新宋体"/>
          <w:kern w:val="0"/>
          <w:sz w:val="24"/>
        </w:rPr>
      </w:pPr>
      <w:r>
        <w:rPr>
          <w:rFonts w:hint="eastAsia" w:ascii="新宋体" w:hAnsi="新宋体" w:eastAsia="新宋体" w:cs="新宋体"/>
          <w:kern w:val="0"/>
          <w:sz w:val="24"/>
        </w:rPr>
        <w:t>4.有依法缴纳税收和社会保障资金的良好记录；</w:t>
      </w:r>
    </w:p>
    <w:p w14:paraId="6CF28C4E">
      <w:pPr>
        <w:adjustRightInd/>
        <w:spacing w:line="440" w:lineRule="exact"/>
        <w:ind w:firstLine="424" w:firstLineChars="177"/>
        <w:rPr>
          <w:rFonts w:ascii="新宋体" w:hAnsi="新宋体" w:eastAsia="新宋体" w:cs="新宋体"/>
          <w:sz w:val="24"/>
        </w:rPr>
      </w:pPr>
      <w:r>
        <w:rPr>
          <w:rFonts w:hint="eastAsia" w:ascii="新宋体" w:hAnsi="新宋体" w:eastAsia="新宋体" w:cs="新宋体"/>
          <w:kern w:val="0"/>
          <w:sz w:val="24"/>
        </w:rPr>
        <w:t>5.在参加本次采购活动前三年内，经营活动中没有重大违法记录</w:t>
      </w:r>
      <w:r>
        <w:rPr>
          <w:rFonts w:hint="eastAsia" w:ascii="新宋体" w:hAnsi="新宋体" w:eastAsia="新宋体" w:cs="新宋体"/>
          <w:sz w:val="24"/>
        </w:rPr>
        <w:t>；</w:t>
      </w:r>
    </w:p>
    <w:p w14:paraId="5720A8C4">
      <w:pPr>
        <w:adjustRightInd/>
        <w:spacing w:line="440" w:lineRule="exact"/>
        <w:ind w:firstLine="424" w:firstLineChars="177"/>
        <w:rPr>
          <w:rFonts w:ascii="新宋体" w:hAnsi="新宋体" w:eastAsia="新宋体" w:cs="新宋体"/>
          <w:sz w:val="24"/>
        </w:rPr>
      </w:pPr>
      <w:r>
        <w:rPr>
          <w:rFonts w:hint="eastAsia" w:ascii="新宋体" w:hAnsi="新宋体" w:eastAsia="新宋体" w:cs="新宋体"/>
          <w:sz w:val="24"/>
        </w:rPr>
        <w:t>6.具有法律、行政法规规定的其他条件。</w:t>
      </w:r>
    </w:p>
    <w:p w14:paraId="2758F4A3">
      <w:pPr>
        <w:adjustRightInd/>
        <w:spacing w:line="440" w:lineRule="exact"/>
        <w:ind w:firstLine="426" w:firstLineChars="177"/>
        <w:rPr>
          <w:rFonts w:ascii="新宋体" w:hAnsi="新宋体" w:eastAsia="新宋体" w:cs="新宋体"/>
          <w:b/>
          <w:kern w:val="0"/>
          <w:sz w:val="24"/>
        </w:rPr>
      </w:pPr>
      <w:r>
        <w:rPr>
          <w:rFonts w:hint="eastAsia" w:ascii="新宋体" w:hAnsi="新宋体" w:eastAsia="新宋体" w:cs="新宋体"/>
          <w:b/>
          <w:sz w:val="24"/>
        </w:rPr>
        <w:t>二、</w:t>
      </w:r>
      <w:r>
        <w:rPr>
          <w:rFonts w:hint="eastAsia" w:ascii="新宋体" w:hAnsi="新宋体" w:eastAsia="新宋体" w:cs="新宋体"/>
          <w:b/>
          <w:kern w:val="0"/>
          <w:sz w:val="24"/>
        </w:rPr>
        <w:t>未被“信用中国”（www.creditchina.gov.cn）、“中国政府采购网”（www.ccgp.gov.cn）列入失信被执行人名单、重大税收违法案件当事人名单、政府采购严重违法失信行为记录名单。</w:t>
      </w:r>
    </w:p>
    <w:p w14:paraId="41FC50BB">
      <w:pPr>
        <w:adjustRightInd/>
        <w:spacing w:line="440" w:lineRule="exact"/>
        <w:ind w:firstLine="426" w:firstLineChars="177"/>
        <w:rPr>
          <w:rFonts w:ascii="新宋体" w:hAnsi="新宋体" w:eastAsia="新宋体" w:cs="新宋体"/>
          <w:b/>
          <w:kern w:val="0"/>
          <w:sz w:val="24"/>
        </w:rPr>
      </w:pPr>
      <w:r>
        <w:rPr>
          <w:rFonts w:hint="eastAsia" w:ascii="新宋体" w:hAnsi="新宋体" w:eastAsia="新宋体" w:cs="新宋体"/>
          <w:b/>
          <w:kern w:val="0"/>
          <w:sz w:val="24"/>
        </w:rPr>
        <w:t>三、不存在以下情况：</w:t>
      </w:r>
    </w:p>
    <w:p w14:paraId="3A712E51">
      <w:pPr>
        <w:adjustRightInd/>
        <w:snapToGrid w:val="0"/>
        <w:spacing w:line="440" w:lineRule="exact"/>
        <w:ind w:firstLine="424" w:firstLineChars="177"/>
        <w:rPr>
          <w:rFonts w:ascii="新宋体" w:hAnsi="新宋体" w:eastAsia="新宋体" w:cs="新宋体"/>
          <w:sz w:val="24"/>
        </w:rPr>
      </w:pPr>
      <w:r>
        <w:rPr>
          <w:rFonts w:hint="eastAsia" w:ascii="新宋体" w:hAnsi="新宋体" w:eastAsia="新宋体" w:cs="新宋体"/>
          <w:sz w:val="24"/>
        </w:rPr>
        <w:t>1.单位负责人为同一人或者存在直接控股、管理关系的不同供应商参加同一合同项下的采购活动的；</w:t>
      </w:r>
    </w:p>
    <w:p w14:paraId="5F1312B3">
      <w:pPr>
        <w:adjustRightInd/>
        <w:spacing w:line="440" w:lineRule="exact"/>
        <w:ind w:firstLine="424" w:firstLineChars="177"/>
        <w:rPr>
          <w:rFonts w:ascii="新宋体" w:hAnsi="新宋体" w:eastAsia="新宋体" w:cs="新宋体"/>
          <w:kern w:val="0"/>
          <w:sz w:val="24"/>
        </w:rPr>
      </w:pPr>
      <w:r>
        <w:rPr>
          <w:rFonts w:hint="eastAsia" w:ascii="新宋体" w:hAnsi="新宋体" w:eastAsia="新宋体" w:cs="新宋体"/>
          <w:sz w:val="24"/>
        </w:rPr>
        <w:t>2.为采购项目提供整体设计、规范编制或者项目管理、监理、检测等服务后再参加该采购项目的其他采购活动的。</w:t>
      </w:r>
    </w:p>
    <w:p w14:paraId="59188F72">
      <w:pPr>
        <w:adjustRightInd/>
        <w:spacing w:line="440" w:lineRule="exact"/>
        <w:ind w:firstLine="426" w:firstLineChars="177"/>
        <w:rPr>
          <w:rFonts w:ascii="新宋体" w:hAnsi="新宋体" w:eastAsia="新宋体" w:cs="新宋体"/>
          <w:sz w:val="24"/>
        </w:rPr>
      </w:pPr>
      <w:r>
        <w:rPr>
          <w:rFonts w:hint="eastAsia" w:ascii="新宋体" w:hAnsi="新宋体" w:eastAsia="新宋体" w:cs="新宋体"/>
          <w:b/>
          <w:bCs/>
          <w:sz w:val="24"/>
        </w:rPr>
        <w:t>以上承诺如有虚假或隐瞒，采购人可取消我方任何资格（投标/中标/签订合同），我方对此无任何异议，并愿意承担一切后果和责任。</w:t>
      </w:r>
    </w:p>
    <w:p w14:paraId="1853C608">
      <w:pPr>
        <w:ind w:right="-21" w:rightChars="-10" w:firstLine="5520" w:firstLineChars="2300"/>
        <w:rPr>
          <w:rFonts w:ascii="新宋体" w:hAnsi="新宋体" w:eastAsia="新宋体" w:cs="新宋体"/>
          <w:sz w:val="24"/>
        </w:rPr>
      </w:pPr>
    </w:p>
    <w:p w14:paraId="6C957367">
      <w:pPr>
        <w:ind w:right="-21" w:rightChars="-10" w:firstLine="5520" w:firstLineChars="2300"/>
        <w:rPr>
          <w:rFonts w:ascii="新宋体" w:hAnsi="新宋体" w:eastAsia="新宋体" w:cs="新宋体"/>
          <w:sz w:val="24"/>
        </w:rPr>
      </w:pPr>
    </w:p>
    <w:p w14:paraId="67E22A01">
      <w:pPr>
        <w:keepNext w:val="0"/>
        <w:keepLines w:val="0"/>
        <w:pageBreakBefore w:val="0"/>
        <w:widowControl w:val="0"/>
        <w:kinsoku/>
        <w:wordWrap/>
        <w:overflowPunct/>
        <w:topLinePunct w:val="0"/>
        <w:autoSpaceDE/>
        <w:autoSpaceDN/>
        <w:bidi w:val="0"/>
        <w:adjustRightInd w:val="0"/>
        <w:snapToGrid/>
        <w:spacing w:line="440" w:lineRule="exact"/>
        <w:ind w:right="-21" w:rightChars="-10" w:firstLine="5280" w:firstLineChars="2200"/>
        <w:textAlignment w:val="auto"/>
        <w:rPr>
          <w:rFonts w:ascii="新宋体" w:hAnsi="新宋体" w:eastAsia="新宋体" w:cs="新宋体"/>
          <w:sz w:val="24"/>
        </w:rPr>
      </w:pPr>
      <w:r>
        <w:rPr>
          <w:rFonts w:hint="eastAsia" w:ascii="新宋体" w:hAnsi="新宋体" w:eastAsia="新宋体" w:cs="新宋体"/>
          <w:sz w:val="24"/>
        </w:rPr>
        <w:t>投标人（盖章）：</w:t>
      </w:r>
    </w:p>
    <w:p w14:paraId="1DD24EA9">
      <w:pPr>
        <w:keepNext w:val="0"/>
        <w:keepLines w:val="0"/>
        <w:pageBreakBefore w:val="0"/>
        <w:widowControl w:val="0"/>
        <w:kinsoku/>
        <w:wordWrap/>
        <w:overflowPunct/>
        <w:topLinePunct w:val="0"/>
        <w:autoSpaceDE/>
        <w:autoSpaceDN/>
        <w:bidi w:val="0"/>
        <w:adjustRightInd w:val="0"/>
        <w:snapToGrid/>
        <w:spacing w:line="440" w:lineRule="exact"/>
        <w:ind w:right="-21" w:rightChars="-10" w:firstLine="480"/>
        <w:jc w:val="center"/>
        <w:textAlignment w:val="auto"/>
        <w:rPr>
          <w:rFonts w:ascii="新宋体" w:hAnsi="新宋体" w:eastAsia="新宋体" w:cs="新宋体"/>
          <w:sz w:val="24"/>
        </w:rPr>
      </w:pPr>
      <w:r>
        <w:rPr>
          <w:rFonts w:hint="eastAsia" w:ascii="新宋体" w:hAnsi="新宋体" w:eastAsia="新宋体" w:cs="新宋体"/>
          <w:sz w:val="24"/>
        </w:rPr>
        <w:t xml:space="preserve">                     法定代表人或授权代理人（签字或盖章）：</w:t>
      </w:r>
    </w:p>
    <w:p w14:paraId="60E82DFB">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ascii="新宋体" w:hAnsi="新宋体" w:eastAsia="新宋体" w:cs="新宋体"/>
          <w:b/>
          <w:bCs/>
          <w:sz w:val="24"/>
        </w:rPr>
      </w:pPr>
      <w:r>
        <w:rPr>
          <w:rFonts w:hint="eastAsia" w:ascii="新宋体" w:hAnsi="新宋体" w:eastAsia="新宋体" w:cs="新宋体"/>
          <w:sz w:val="24"/>
        </w:rPr>
        <w:t xml:space="preserve">                   日期：2024年  月  日</w:t>
      </w:r>
    </w:p>
    <w:p w14:paraId="7990D2D3">
      <w:pPr>
        <w:rPr>
          <w:rFonts w:ascii="新宋体" w:hAnsi="新宋体" w:eastAsia="新宋体" w:cs="新宋体"/>
          <w:bCs/>
          <w:sz w:val="24"/>
        </w:rPr>
      </w:pPr>
      <w:r>
        <w:rPr>
          <w:rFonts w:hint="eastAsia" w:ascii="新宋体" w:hAnsi="新宋体" w:eastAsia="新宋体" w:cs="新宋体"/>
          <w:bCs/>
          <w:sz w:val="24"/>
        </w:rPr>
        <w:br w:type="page"/>
      </w:r>
    </w:p>
    <w:p w14:paraId="08368D32">
      <w:pPr>
        <w:pStyle w:val="3"/>
        <w:tabs>
          <w:tab w:val="left" w:pos="358"/>
          <w:tab w:val="left" w:pos="420"/>
          <w:tab w:val="clear" w:pos="432"/>
        </w:tabs>
        <w:spacing w:before="400"/>
        <w:ind w:left="0" w:firstLine="0"/>
        <w:rPr>
          <w:rFonts w:ascii="新宋体" w:hAnsi="新宋体" w:eastAsia="新宋体" w:cs="新宋体"/>
          <w:sz w:val="24"/>
          <w:szCs w:val="24"/>
        </w:rPr>
      </w:pPr>
      <w:r>
        <w:rPr>
          <w:rFonts w:hint="eastAsia" w:ascii="新宋体" w:hAnsi="新宋体" w:eastAsia="新宋体" w:cs="新宋体"/>
          <w:sz w:val="24"/>
          <w:szCs w:val="24"/>
        </w:rPr>
        <w:t xml:space="preserve">附件2 </w:t>
      </w:r>
    </w:p>
    <w:p w14:paraId="5A54D4F7">
      <w:pPr>
        <w:pStyle w:val="7"/>
        <w:rPr>
          <w:rFonts w:ascii="新宋体" w:hAnsi="新宋体" w:eastAsia="新宋体" w:cs="新宋体"/>
          <w:sz w:val="24"/>
          <w:szCs w:val="24"/>
        </w:rPr>
      </w:pPr>
    </w:p>
    <w:p w14:paraId="335F3E5A">
      <w:pPr>
        <w:snapToGrid w:val="0"/>
        <w:spacing w:before="50" w:after="50"/>
        <w:ind w:firstLine="562"/>
        <w:jc w:val="center"/>
        <w:rPr>
          <w:rFonts w:ascii="新宋体" w:hAnsi="新宋体" w:eastAsia="新宋体" w:cs="新宋体"/>
          <w:b/>
          <w:bCs/>
          <w:sz w:val="28"/>
          <w:szCs w:val="28"/>
        </w:rPr>
      </w:pPr>
      <w:r>
        <w:rPr>
          <w:rFonts w:hint="eastAsia" w:ascii="新宋体" w:hAnsi="新宋体" w:eastAsia="新宋体" w:cs="新宋体"/>
          <w:b/>
          <w:bCs/>
          <w:sz w:val="28"/>
          <w:szCs w:val="28"/>
        </w:rPr>
        <w:t>具有履行合同所必需的设备和专业技术能力的承诺函</w:t>
      </w:r>
    </w:p>
    <w:p w14:paraId="1235E52B">
      <w:pPr>
        <w:snapToGrid w:val="0"/>
        <w:spacing w:before="156" w:beforeLines="50" w:after="50" w:line="480" w:lineRule="auto"/>
        <w:rPr>
          <w:rFonts w:ascii="新宋体" w:hAnsi="新宋体" w:eastAsia="新宋体" w:cs="新宋体"/>
          <w:sz w:val="24"/>
          <w:u w:val="single"/>
        </w:rPr>
      </w:pPr>
    </w:p>
    <w:p w14:paraId="7EC14315">
      <w:pPr>
        <w:snapToGrid w:val="0"/>
        <w:spacing w:before="156" w:beforeLines="50" w:after="50" w:line="480" w:lineRule="auto"/>
        <w:rPr>
          <w:rFonts w:ascii="新宋体" w:hAnsi="新宋体" w:eastAsia="新宋体" w:cs="新宋体"/>
          <w:kern w:val="0"/>
          <w:sz w:val="24"/>
        </w:rPr>
      </w:pPr>
      <w:r>
        <w:rPr>
          <w:rFonts w:hint="eastAsia" w:ascii="新宋体" w:hAnsi="新宋体" w:eastAsia="新宋体" w:cs="新宋体"/>
          <w:sz w:val="24"/>
          <w:u w:val="single"/>
        </w:rPr>
        <w:t>嵊州市越风蕴秀影视传媒有限公司、浙江商易项目管理有限公司：</w:t>
      </w:r>
    </w:p>
    <w:p w14:paraId="6273F50B">
      <w:pPr>
        <w:spacing w:line="480" w:lineRule="auto"/>
        <w:ind w:firstLine="480" w:firstLineChars="200"/>
        <w:rPr>
          <w:rFonts w:ascii="新宋体" w:hAnsi="新宋体" w:eastAsia="新宋体" w:cs="新宋体"/>
          <w:kern w:val="0"/>
          <w:sz w:val="24"/>
        </w:rPr>
      </w:pPr>
      <w:r>
        <w:rPr>
          <w:rFonts w:hint="eastAsia" w:ascii="新宋体" w:hAnsi="新宋体" w:eastAsia="新宋体" w:cs="新宋体"/>
          <w:kern w:val="0"/>
          <w:sz w:val="24"/>
        </w:rPr>
        <w:t>我方郑重声明，我方具有履行</w:t>
      </w:r>
      <w:r>
        <w:rPr>
          <w:rFonts w:hint="eastAsia" w:ascii="新宋体" w:hAnsi="新宋体" w:eastAsia="新宋体" w:cs="新宋体"/>
          <w:kern w:val="0"/>
          <w:sz w:val="24"/>
          <w:u w:val="single"/>
        </w:rPr>
        <w:t xml:space="preserve">          （项目编号：        ）</w:t>
      </w:r>
      <w:r>
        <w:rPr>
          <w:rFonts w:hint="eastAsia" w:ascii="新宋体" w:hAnsi="新宋体" w:eastAsia="新宋体" w:cs="新宋体"/>
          <w:kern w:val="0"/>
          <w:sz w:val="24"/>
        </w:rPr>
        <w:t>合同所必需的设备和专业技术能力，如中标，我方将按我方投标文件承诺，保证合同顺利履行。如有虚假或隐瞒，愿意承担一切后果。</w:t>
      </w:r>
    </w:p>
    <w:p w14:paraId="7D9BDCBB">
      <w:pPr>
        <w:spacing w:line="480" w:lineRule="auto"/>
        <w:ind w:firstLine="480" w:firstLineChars="200"/>
        <w:rPr>
          <w:rFonts w:ascii="新宋体" w:hAnsi="新宋体" w:eastAsia="新宋体" w:cs="新宋体"/>
          <w:kern w:val="0"/>
          <w:sz w:val="24"/>
        </w:rPr>
      </w:pPr>
    </w:p>
    <w:p w14:paraId="7944EB5E">
      <w:pPr>
        <w:spacing w:line="480" w:lineRule="auto"/>
        <w:ind w:firstLine="480" w:firstLineChars="200"/>
        <w:rPr>
          <w:rFonts w:ascii="新宋体" w:hAnsi="新宋体" w:eastAsia="新宋体" w:cs="新宋体"/>
          <w:kern w:val="0"/>
          <w:sz w:val="24"/>
        </w:rPr>
      </w:pPr>
      <w:r>
        <w:rPr>
          <w:rFonts w:hint="eastAsia" w:ascii="新宋体" w:hAnsi="新宋体" w:eastAsia="新宋体" w:cs="新宋体"/>
          <w:kern w:val="0"/>
          <w:sz w:val="24"/>
        </w:rPr>
        <w:t>特此承诺！</w:t>
      </w:r>
    </w:p>
    <w:p w14:paraId="0BE71EEB">
      <w:pPr>
        <w:spacing w:line="480" w:lineRule="auto"/>
        <w:rPr>
          <w:rFonts w:ascii="新宋体" w:hAnsi="新宋体" w:eastAsia="新宋体" w:cs="新宋体"/>
          <w:kern w:val="0"/>
          <w:sz w:val="24"/>
        </w:rPr>
      </w:pPr>
    </w:p>
    <w:p w14:paraId="6486B7E7">
      <w:pPr>
        <w:snapToGrid w:val="0"/>
        <w:spacing w:line="360" w:lineRule="auto"/>
        <w:textAlignment w:val="baseline"/>
        <w:rPr>
          <w:rFonts w:ascii="新宋体" w:hAnsi="新宋体" w:eastAsia="新宋体" w:cs="新宋体"/>
          <w:sz w:val="24"/>
        </w:rPr>
      </w:pPr>
      <w:r>
        <w:rPr>
          <w:rFonts w:hint="eastAsia" w:ascii="新宋体" w:hAnsi="新宋体" w:eastAsia="新宋体" w:cs="新宋体"/>
          <w:kern w:val="0"/>
          <w:sz w:val="24"/>
          <w:lang w:val="zh-CN"/>
        </w:rPr>
        <w:t>投标人名称（公章）</w:t>
      </w:r>
      <w:r>
        <w:rPr>
          <w:rFonts w:hint="eastAsia" w:ascii="新宋体" w:hAnsi="新宋体" w:eastAsia="新宋体" w:cs="新宋体"/>
          <w:sz w:val="24"/>
        </w:rPr>
        <w:t>：</w:t>
      </w:r>
      <w:r>
        <w:rPr>
          <w:rFonts w:hint="eastAsia" w:ascii="新宋体" w:hAnsi="新宋体" w:eastAsia="新宋体" w:cs="新宋体"/>
          <w:sz w:val="24"/>
          <w:u w:val="single"/>
        </w:rPr>
        <w:t xml:space="preserve">                                   </w:t>
      </w:r>
    </w:p>
    <w:p w14:paraId="4148B09D">
      <w:pPr>
        <w:snapToGrid w:val="0"/>
        <w:spacing w:line="360" w:lineRule="auto"/>
        <w:textAlignment w:val="baseline"/>
        <w:rPr>
          <w:rFonts w:ascii="新宋体" w:hAnsi="新宋体" w:eastAsia="新宋体" w:cs="新宋体"/>
          <w:sz w:val="24"/>
        </w:rPr>
      </w:pPr>
      <w:r>
        <w:rPr>
          <w:rFonts w:hint="eastAsia" w:ascii="新宋体" w:hAnsi="新宋体" w:eastAsia="新宋体" w:cs="新宋体"/>
          <w:sz w:val="24"/>
        </w:rPr>
        <w:t>法定代表人或授权代理人（签字或盖章）：</w:t>
      </w:r>
      <w:r>
        <w:rPr>
          <w:rFonts w:hint="eastAsia" w:ascii="新宋体" w:hAnsi="新宋体" w:eastAsia="新宋体" w:cs="新宋体"/>
          <w:sz w:val="24"/>
          <w:u w:val="single"/>
        </w:rPr>
        <w:t xml:space="preserve">                 </w:t>
      </w:r>
    </w:p>
    <w:p w14:paraId="514F8B1E">
      <w:pPr>
        <w:widowControl/>
        <w:wordWrap w:val="0"/>
        <w:jc w:val="left"/>
      </w:pPr>
      <w:r>
        <w:rPr>
          <w:rFonts w:hint="eastAsia" w:ascii="新宋体" w:hAnsi="新宋体" w:eastAsia="新宋体" w:cs="新宋体"/>
          <w:sz w:val="24"/>
        </w:rPr>
        <w:t>日期：  年   月   日</w:t>
      </w:r>
    </w:p>
    <w:p w14:paraId="3C045397">
      <w:pPr>
        <w:ind w:firstLine="480" w:firstLineChars="200"/>
        <w:jc w:val="center"/>
        <w:rPr>
          <w:rFonts w:ascii="新宋体" w:hAnsi="新宋体" w:eastAsia="新宋体" w:cs="新宋体"/>
          <w:sz w:val="24"/>
          <w:shd w:val="clear" w:color="FFFFFF" w:fill="D9D9D9"/>
        </w:rPr>
      </w:pPr>
    </w:p>
    <w:p w14:paraId="52F29979">
      <w:pPr>
        <w:rPr>
          <w:rFonts w:ascii="新宋体" w:hAnsi="新宋体" w:eastAsia="新宋体" w:cs="新宋体"/>
          <w:b/>
          <w:bCs/>
          <w:sz w:val="24"/>
        </w:rPr>
      </w:pPr>
      <w:r>
        <w:rPr>
          <w:rFonts w:hint="eastAsia" w:ascii="新宋体" w:hAnsi="新宋体" w:eastAsia="新宋体" w:cs="新宋体"/>
          <w:b/>
          <w:bCs/>
          <w:sz w:val="24"/>
        </w:rPr>
        <w:br w:type="page"/>
      </w:r>
    </w:p>
    <w:p w14:paraId="0BB5AFFC">
      <w:pPr>
        <w:pStyle w:val="3"/>
        <w:tabs>
          <w:tab w:val="left" w:pos="358"/>
          <w:tab w:val="left" w:pos="420"/>
          <w:tab w:val="clear" w:pos="432"/>
        </w:tabs>
        <w:spacing w:line="240" w:lineRule="auto"/>
        <w:ind w:left="0" w:firstLine="0"/>
        <w:rPr>
          <w:rFonts w:ascii="新宋体" w:hAnsi="新宋体" w:eastAsia="新宋体" w:cs="新宋体"/>
          <w:sz w:val="24"/>
          <w:szCs w:val="24"/>
        </w:rPr>
      </w:pPr>
      <w:bookmarkStart w:id="86" w:name="_Toc452965651"/>
      <w:r>
        <w:rPr>
          <w:rFonts w:hint="eastAsia" w:ascii="新宋体" w:hAnsi="新宋体" w:eastAsia="新宋体" w:cs="新宋体"/>
          <w:sz w:val="24"/>
          <w:szCs w:val="24"/>
        </w:rPr>
        <w:t>附件3 ：</w:t>
      </w:r>
    </w:p>
    <w:p w14:paraId="54B9834B">
      <w:pPr>
        <w:pStyle w:val="3"/>
        <w:tabs>
          <w:tab w:val="left" w:pos="358"/>
          <w:tab w:val="left" w:pos="420"/>
          <w:tab w:val="clear" w:pos="432"/>
        </w:tabs>
        <w:spacing w:line="240" w:lineRule="auto"/>
        <w:ind w:left="0" w:firstLine="0"/>
        <w:rPr>
          <w:rFonts w:ascii="新宋体" w:hAnsi="新宋体" w:eastAsia="新宋体" w:cs="新宋体"/>
          <w:sz w:val="24"/>
          <w:szCs w:val="24"/>
        </w:rPr>
      </w:pPr>
    </w:p>
    <w:p w14:paraId="6713E50C">
      <w:pPr>
        <w:pStyle w:val="3"/>
        <w:tabs>
          <w:tab w:val="left" w:pos="358"/>
          <w:tab w:val="left" w:pos="420"/>
          <w:tab w:val="clear" w:pos="432"/>
        </w:tabs>
        <w:spacing w:line="240" w:lineRule="auto"/>
        <w:ind w:left="0" w:firstLine="0"/>
        <w:jc w:val="center"/>
        <w:rPr>
          <w:rFonts w:ascii="新宋体" w:hAnsi="新宋体" w:eastAsia="新宋体" w:cs="新宋体"/>
          <w:sz w:val="28"/>
          <w:szCs w:val="28"/>
          <w:lang w:val="en-US"/>
        </w:rPr>
      </w:pPr>
      <w:r>
        <w:rPr>
          <w:rFonts w:hint="eastAsia" w:ascii="新宋体" w:hAnsi="新宋体" w:eastAsia="新宋体" w:cs="新宋体"/>
          <w:sz w:val="28"/>
          <w:szCs w:val="28"/>
          <w:lang w:val="en-US"/>
        </w:rPr>
        <w:t>评分索引表</w:t>
      </w:r>
      <w:bookmarkEnd w:id="86"/>
    </w:p>
    <w:bookmarkEnd w:id="83"/>
    <w:bookmarkEnd w:id="84"/>
    <w:tbl>
      <w:tblPr>
        <w:tblStyle w:val="29"/>
        <w:tblpPr w:leftFromText="180" w:rightFromText="180" w:vertAnchor="text" w:horzAnchor="page" w:tblpX="2070" w:tblpY="297"/>
        <w:tblOverlap w:val="never"/>
        <w:tblW w:w="8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283"/>
        <w:gridCol w:w="4254"/>
        <w:gridCol w:w="1038"/>
        <w:gridCol w:w="1336"/>
      </w:tblGrid>
      <w:tr w14:paraId="23DF2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763" w:type="dxa"/>
            <w:tcBorders>
              <w:top w:val="single" w:color="auto" w:sz="4" w:space="0"/>
              <w:left w:val="single" w:color="auto" w:sz="4" w:space="0"/>
              <w:bottom w:val="single" w:color="auto" w:sz="4" w:space="0"/>
              <w:right w:val="single" w:color="auto" w:sz="4" w:space="0"/>
            </w:tcBorders>
            <w:vAlign w:val="center"/>
          </w:tcPr>
          <w:p w14:paraId="118D9322">
            <w:pPr>
              <w:spacing w:line="300" w:lineRule="exact"/>
              <w:jc w:val="center"/>
              <w:rPr>
                <w:rFonts w:ascii="新宋体" w:hAnsi="新宋体" w:eastAsia="新宋体" w:cs="新宋体"/>
                <w:sz w:val="24"/>
              </w:rPr>
            </w:pPr>
            <w:r>
              <w:rPr>
                <w:rFonts w:hint="eastAsia" w:ascii="新宋体" w:hAnsi="新宋体" w:eastAsia="新宋体" w:cs="新宋体"/>
                <w:sz w:val="24"/>
              </w:rPr>
              <w:t>序号</w:t>
            </w:r>
          </w:p>
        </w:tc>
        <w:tc>
          <w:tcPr>
            <w:tcW w:w="1283" w:type="dxa"/>
            <w:tcBorders>
              <w:top w:val="single" w:color="auto" w:sz="4" w:space="0"/>
              <w:left w:val="single" w:color="auto" w:sz="4" w:space="0"/>
              <w:bottom w:val="single" w:color="auto" w:sz="4" w:space="0"/>
              <w:right w:val="single" w:color="auto" w:sz="4" w:space="0"/>
            </w:tcBorders>
            <w:vAlign w:val="center"/>
          </w:tcPr>
          <w:p w14:paraId="39646E3F">
            <w:pPr>
              <w:spacing w:line="300" w:lineRule="exact"/>
              <w:jc w:val="center"/>
              <w:rPr>
                <w:rFonts w:ascii="新宋体" w:hAnsi="新宋体" w:eastAsia="新宋体" w:cs="新宋体"/>
                <w:sz w:val="24"/>
              </w:rPr>
            </w:pPr>
            <w:r>
              <w:rPr>
                <w:rFonts w:hint="eastAsia" w:ascii="新宋体" w:hAnsi="新宋体" w:eastAsia="新宋体" w:cs="新宋体"/>
                <w:sz w:val="24"/>
              </w:rPr>
              <w:t>评分项目</w:t>
            </w:r>
          </w:p>
        </w:tc>
        <w:tc>
          <w:tcPr>
            <w:tcW w:w="4254" w:type="dxa"/>
            <w:tcBorders>
              <w:top w:val="single" w:color="auto" w:sz="4" w:space="0"/>
              <w:left w:val="single" w:color="auto" w:sz="4" w:space="0"/>
              <w:bottom w:val="single" w:color="auto" w:sz="4" w:space="0"/>
              <w:right w:val="single" w:color="auto" w:sz="4" w:space="0"/>
            </w:tcBorders>
            <w:vAlign w:val="center"/>
          </w:tcPr>
          <w:p w14:paraId="1EB9C892">
            <w:pPr>
              <w:spacing w:line="300" w:lineRule="exact"/>
              <w:jc w:val="center"/>
              <w:rPr>
                <w:rFonts w:ascii="新宋体" w:hAnsi="新宋体" w:eastAsia="新宋体" w:cs="新宋体"/>
                <w:sz w:val="24"/>
              </w:rPr>
            </w:pPr>
            <w:r>
              <w:rPr>
                <w:rFonts w:hint="eastAsia" w:ascii="新宋体" w:hAnsi="新宋体" w:eastAsia="新宋体" w:cs="新宋体"/>
                <w:sz w:val="24"/>
              </w:rPr>
              <w:t>评标标准及说明</w:t>
            </w:r>
          </w:p>
        </w:tc>
        <w:tc>
          <w:tcPr>
            <w:tcW w:w="1038" w:type="dxa"/>
            <w:tcBorders>
              <w:top w:val="single" w:color="auto" w:sz="4" w:space="0"/>
              <w:left w:val="single" w:color="auto" w:sz="4" w:space="0"/>
              <w:bottom w:val="single" w:color="auto" w:sz="4" w:space="0"/>
              <w:right w:val="single" w:color="auto" w:sz="4" w:space="0"/>
            </w:tcBorders>
            <w:vAlign w:val="center"/>
          </w:tcPr>
          <w:p w14:paraId="59A50360">
            <w:pPr>
              <w:spacing w:line="300" w:lineRule="exact"/>
              <w:jc w:val="center"/>
              <w:rPr>
                <w:rFonts w:ascii="新宋体" w:hAnsi="新宋体" w:eastAsia="新宋体" w:cs="新宋体"/>
                <w:sz w:val="24"/>
              </w:rPr>
            </w:pPr>
            <w:r>
              <w:rPr>
                <w:rFonts w:hint="eastAsia" w:ascii="新宋体" w:hAnsi="新宋体" w:eastAsia="新宋体" w:cs="新宋体"/>
                <w:sz w:val="24"/>
              </w:rPr>
              <w:t>分值</w:t>
            </w:r>
          </w:p>
        </w:tc>
        <w:tc>
          <w:tcPr>
            <w:tcW w:w="1336" w:type="dxa"/>
            <w:tcBorders>
              <w:top w:val="single" w:color="auto" w:sz="4" w:space="0"/>
              <w:left w:val="single" w:color="auto" w:sz="4" w:space="0"/>
              <w:bottom w:val="single" w:color="auto" w:sz="4" w:space="0"/>
              <w:right w:val="single" w:color="auto" w:sz="4" w:space="0"/>
            </w:tcBorders>
            <w:vAlign w:val="center"/>
          </w:tcPr>
          <w:p w14:paraId="4917A4DF">
            <w:pPr>
              <w:spacing w:line="300" w:lineRule="exact"/>
              <w:jc w:val="center"/>
              <w:rPr>
                <w:rFonts w:ascii="新宋体" w:hAnsi="新宋体" w:eastAsia="新宋体" w:cs="新宋体"/>
                <w:sz w:val="24"/>
              </w:rPr>
            </w:pPr>
            <w:r>
              <w:rPr>
                <w:rFonts w:hint="eastAsia" w:ascii="新宋体" w:hAnsi="新宋体" w:eastAsia="新宋体" w:cs="新宋体"/>
                <w:sz w:val="24"/>
              </w:rPr>
              <w:t>对应页码</w:t>
            </w:r>
          </w:p>
        </w:tc>
      </w:tr>
      <w:tr w14:paraId="2D483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763" w:type="dxa"/>
            <w:tcBorders>
              <w:top w:val="single" w:color="auto" w:sz="4" w:space="0"/>
              <w:left w:val="single" w:color="auto" w:sz="4" w:space="0"/>
              <w:right w:val="single" w:color="auto" w:sz="4" w:space="0"/>
            </w:tcBorders>
            <w:vAlign w:val="center"/>
          </w:tcPr>
          <w:p w14:paraId="593F3E1E">
            <w:pPr>
              <w:spacing w:line="300" w:lineRule="exact"/>
              <w:jc w:val="center"/>
              <w:rPr>
                <w:rFonts w:ascii="仿宋" w:hAnsi="仿宋" w:eastAsia="仿宋" w:cs="仿宋"/>
                <w:sz w:val="24"/>
              </w:rPr>
            </w:pPr>
            <w:r>
              <w:rPr>
                <w:rFonts w:hint="eastAsia" w:ascii="仿宋" w:hAnsi="仿宋" w:eastAsia="仿宋" w:cs="仿宋"/>
                <w:sz w:val="24"/>
              </w:rPr>
              <w:t>1</w:t>
            </w:r>
          </w:p>
        </w:tc>
        <w:tc>
          <w:tcPr>
            <w:tcW w:w="1283" w:type="dxa"/>
            <w:tcBorders>
              <w:top w:val="single" w:color="auto" w:sz="4" w:space="0"/>
              <w:left w:val="single" w:color="auto" w:sz="4" w:space="0"/>
              <w:right w:val="single" w:color="auto" w:sz="4" w:space="0"/>
            </w:tcBorders>
            <w:vAlign w:val="center"/>
          </w:tcPr>
          <w:p w14:paraId="70961EEC">
            <w:pPr>
              <w:spacing w:line="300" w:lineRule="exact"/>
              <w:rPr>
                <w:rFonts w:ascii="仿宋" w:hAnsi="仿宋" w:eastAsia="仿宋" w:cs="仿宋"/>
                <w:sz w:val="24"/>
              </w:rPr>
            </w:pPr>
          </w:p>
        </w:tc>
        <w:tc>
          <w:tcPr>
            <w:tcW w:w="4254" w:type="dxa"/>
            <w:tcBorders>
              <w:top w:val="single" w:color="auto" w:sz="4" w:space="0"/>
              <w:left w:val="single" w:color="auto" w:sz="4" w:space="0"/>
              <w:right w:val="single" w:color="auto" w:sz="4" w:space="0"/>
            </w:tcBorders>
            <w:vAlign w:val="center"/>
          </w:tcPr>
          <w:p w14:paraId="142D7CC7">
            <w:pPr>
              <w:spacing w:line="300" w:lineRule="exact"/>
              <w:ind w:firstLine="240" w:firstLineChars="100"/>
              <w:jc w:val="left"/>
              <w:rPr>
                <w:rFonts w:ascii="仿宋" w:hAnsi="仿宋" w:eastAsia="仿宋" w:cs="仿宋"/>
                <w:sz w:val="24"/>
              </w:rPr>
            </w:pPr>
          </w:p>
        </w:tc>
        <w:tc>
          <w:tcPr>
            <w:tcW w:w="1038" w:type="dxa"/>
            <w:tcBorders>
              <w:top w:val="single" w:color="auto" w:sz="4" w:space="0"/>
              <w:left w:val="single" w:color="auto" w:sz="4" w:space="0"/>
              <w:bottom w:val="single" w:color="auto" w:sz="4" w:space="0"/>
              <w:right w:val="single" w:color="auto" w:sz="4" w:space="0"/>
            </w:tcBorders>
            <w:vAlign w:val="center"/>
          </w:tcPr>
          <w:p w14:paraId="078E7F85">
            <w:pPr>
              <w:spacing w:line="300" w:lineRule="exact"/>
              <w:jc w:val="center"/>
              <w:rPr>
                <w:rFonts w:ascii="仿宋" w:hAnsi="仿宋" w:eastAsia="仿宋" w:cs="仿宋"/>
                <w:sz w:val="24"/>
              </w:rPr>
            </w:pPr>
          </w:p>
        </w:tc>
        <w:tc>
          <w:tcPr>
            <w:tcW w:w="1336" w:type="dxa"/>
            <w:tcBorders>
              <w:top w:val="single" w:color="auto" w:sz="4" w:space="0"/>
              <w:left w:val="single" w:color="auto" w:sz="4" w:space="0"/>
              <w:bottom w:val="single" w:color="auto" w:sz="4" w:space="0"/>
              <w:right w:val="single" w:color="auto" w:sz="4" w:space="0"/>
            </w:tcBorders>
            <w:vAlign w:val="center"/>
          </w:tcPr>
          <w:p w14:paraId="35A8E767">
            <w:pPr>
              <w:spacing w:line="300" w:lineRule="exact"/>
              <w:jc w:val="center"/>
              <w:rPr>
                <w:rFonts w:ascii="仿宋" w:hAnsi="仿宋" w:eastAsia="仿宋" w:cs="仿宋"/>
                <w:sz w:val="24"/>
              </w:rPr>
            </w:pPr>
          </w:p>
        </w:tc>
      </w:tr>
      <w:tr w14:paraId="0FD8C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763" w:type="dxa"/>
            <w:tcBorders>
              <w:top w:val="single" w:color="auto" w:sz="4" w:space="0"/>
              <w:left w:val="single" w:color="auto" w:sz="4" w:space="0"/>
              <w:right w:val="single" w:color="auto" w:sz="4" w:space="0"/>
            </w:tcBorders>
            <w:vAlign w:val="center"/>
          </w:tcPr>
          <w:p w14:paraId="462799AD">
            <w:pPr>
              <w:spacing w:line="300" w:lineRule="exact"/>
              <w:jc w:val="center"/>
              <w:rPr>
                <w:rFonts w:ascii="仿宋" w:hAnsi="仿宋" w:eastAsia="仿宋" w:cs="仿宋"/>
                <w:sz w:val="24"/>
              </w:rPr>
            </w:pPr>
            <w:r>
              <w:rPr>
                <w:rFonts w:hint="eastAsia" w:ascii="仿宋" w:hAnsi="仿宋" w:eastAsia="仿宋" w:cs="仿宋"/>
                <w:sz w:val="24"/>
              </w:rPr>
              <w:t>2</w:t>
            </w:r>
          </w:p>
        </w:tc>
        <w:tc>
          <w:tcPr>
            <w:tcW w:w="1283" w:type="dxa"/>
            <w:tcBorders>
              <w:top w:val="single" w:color="auto" w:sz="4" w:space="0"/>
              <w:left w:val="single" w:color="auto" w:sz="4" w:space="0"/>
              <w:right w:val="single" w:color="auto" w:sz="4" w:space="0"/>
            </w:tcBorders>
            <w:vAlign w:val="center"/>
          </w:tcPr>
          <w:p w14:paraId="1BBDEECE">
            <w:pPr>
              <w:spacing w:line="300" w:lineRule="exact"/>
              <w:jc w:val="center"/>
              <w:rPr>
                <w:rFonts w:ascii="仿宋" w:hAnsi="仿宋" w:eastAsia="仿宋" w:cs="仿宋"/>
                <w:sz w:val="24"/>
              </w:rPr>
            </w:pPr>
          </w:p>
        </w:tc>
        <w:tc>
          <w:tcPr>
            <w:tcW w:w="4254" w:type="dxa"/>
            <w:tcBorders>
              <w:top w:val="single" w:color="auto" w:sz="4" w:space="0"/>
              <w:left w:val="single" w:color="auto" w:sz="4" w:space="0"/>
              <w:right w:val="single" w:color="auto" w:sz="4" w:space="0"/>
            </w:tcBorders>
            <w:vAlign w:val="center"/>
          </w:tcPr>
          <w:p w14:paraId="0B552453">
            <w:pPr>
              <w:spacing w:line="300" w:lineRule="exact"/>
              <w:ind w:firstLine="240" w:firstLineChars="100"/>
              <w:jc w:val="left"/>
              <w:rPr>
                <w:rFonts w:ascii="仿宋" w:hAnsi="仿宋" w:eastAsia="仿宋" w:cs="仿宋"/>
                <w:sz w:val="24"/>
                <w:lang w:val="zh-CN"/>
              </w:rPr>
            </w:pPr>
          </w:p>
        </w:tc>
        <w:tc>
          <w:tcPr>
            <w:tcW w:w="1038" w:type="dxa"/>
            <w:tcBorders>
              <w:top w:val="single" w:color="auto" w:sz="4" w:space="0"/>
              <w:left w:val="single" w:color="auto" w:sz="4" w:space="0"/>
              <w:bottom w:val="single" w:color="auto" w:sz="4" w:space="0"/>
              <w:right w:val="single" w:color="auto" w:sz="4" w:space="0"/>
            </w:tcBorders>
            <w:vAlign w:val="center"/>
          </w:tcPr>
          <w:p w14:paraId="14A8CE77">
            <w:pPr>
              <w:spacing w:line="300" w:lineRule="exact"/>
              <w:jc w:val="center"/>
              <w:rPr>
                <w:rFonts w:ascii="仿宋" w:hAnsi="仿宋" w:eastAsia="仿宋" w:cs="仿宋"/>
                <w:sz w:val="24"/>
              </w:rPr>
            </w:pPr>
          </w:p>
        </w:tc>
        <w:tc>
          <w:tcPr>
            <w:tcW w:w="1336" w:type="dxa"/>
            <w:tcBorders>
              <w:top w:val="single" w:color="auto" w:sz="4" w:space="0"/>
              <w:left w:val="single" w:color="auto" w:sz="4" w:space="0"/>
              <w:bottom w:val="single" w:color="auto" w:sz="4" w:space="0"/>
              <w:right w:val="single" w:color="auto" w:sz="4" w:space="0"/>
            </w:tcBorders>
            <w:vAlign w:val="center"/>
          </w:tcPr>
          <w:p w14:paraId="4265EB24">
            <w:pPr>
              <w:spacing w:line="300" w:lineRule="exact"/>
              <w:jc w:val="center"/>
              <w:rPr>
                <w:rFonts w:ascii="仿宋" w:hAnsi="仿宋" w:eastAsia="仿宋" w:cs="仿宋"/>
                <w:sz w:val="24"/>
              </w:rPr>
            </w:pPr>
          </w:p>
        </w:tc>
      </w:tr>
      <w:tr w14:paraId="676B4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763" w:type="dxa"/>
            <w:tcBorders>
              <w:top w:val="single" w:color="auto" w:sz="4" w:space="0"/>
              <w:left w:val="single" w:color="auto" w:sz="4" w:space="0"/>
              <w:right w:val="single" w:color="auto" w:sz="4" w:space="0"/>
            </w:tcBorders>
            <w:vAlign w:val="center"/>
          </w:tcPr>
          <w:p w14:paraId="39689C20">
            <w:pPr>
              <w:spacing w:line="300" w:lineRule="exact"/>
              <w:jc w:val="center"/>
              <w:rPr>
                <w:rFonts w:ascii="仿宋" w:hAnsi="仿宋" w:eastAsia="仿宋" w:cs="仿宋"/>
                <w:sz w:val="24"/>
              </w:rPr>
            </w:pPr>
            <w:r>
              <w:rPr>
                <w:rFonts w:hint="eastAsia" w:ascii="仿宋" w:hAnsi="仿宋" w:eastAsia="仿宋" w:cs="仿宋"/>
                <w:sz w:val="24"/>
              </w:rPr>
              <w:t>3</w:t>
            </w:r>
          </w:p>
        </w:tc>
        <w:tc>
          <w:tcPr>
            <w:tcW w:w="1283" w:type="dxa"/>
            <w:tcBorders>
              <w:top w:val="single" w:color="auto" w:sz="4" w:space="0"/>
              <w:left w:val="single" w:color="auto" w:sz="4" w:space="0"/>
              <w:right w:val="single" w:color="auto" w:sz="4" w:space="0"/>
            </w:tcBorders>
            <w:vAlign w:val="center"/>
          </w:tcPr>
          <w:p w14:paraId="5E590C37">
            <w:pPr>
              <w:spacing w:line="300" w:lineRule="exact"/>
              <w:jc w:val="center"/>
              <w:rPr>
                <w:rFonts w:ascii="仿宋" w:hAnsi="仿宋" w:eastAsia="仿宋" w:cs="仿宋"/>
                <w:sz w:val="24"/>
              </w:rPr>
            </w:pPr>
          </w:p>
        </w:tc>
        <w:tc>
          <w:tcPr>
            <w:tcW w:w="4254" w:type="dxa"/>
            <w:tcBorders>
              <w:top w:val="single" w:color="auto" w:sz="4" w:space="0"/>
              <w:left w:val="single" w:color="auto" w:sz="4" w:space="0"/>
              <w:right w:val="single" w:color="auto" w:sz="4" w:space="0"/>
            </w:tcBorders>
            <w:vAlign w:val="center"/>
          </w:tcPr>
          <w:p w14:paraId="5F520431">
            <w:pPr>
              <w:spacing w:line="300" w:lineRule="exact"/>
              <w:ind w:firstLine="240" w:firstLineChars="100"/>
              <w:jc w:val="left"/>
              <w:rPr>
                <w:rFonts w:ascii="仿宋" w:hAnsi="仿宋" w:eastAsia="仿宋" w:cs="仿宋"/>
                <w:sz w:val="24"/>
              </w:rPr>
            </w:pPr>
          </w:p>
        </w:tc>
        <w:tc>
          <w:tcPr>
            <w:tcW w:w="1038" w:type="dxa"/>
            <w:tcBorders>
              <w:top w:val="single" w:color="auto" w:sz="4" w:space="0"/>
              <w:left w:val="single" w:color="auto" w:sz="4" w:space="0"/>
              <w:bottom w:val="single" w:color="auto" w:sz="4" w:space="0"/>
              <w:right w:val="single" w:color="auto" w:sz="4" w:space="0"/>
            </w:tcBorders>
            <w:vAlign w:val="center"/>
          </w:tcPr>
          <w:p w14:paraId="2517B18F">
            <w:pPr>
              <w:spacing w:line="300" w:lineRule="exact"/>
              <w:jc w:val="center"/>
              <w:rPr>
                <w:rFonts w:ascii="仿宋" w:hAnsi="仿宋" w:eastAsia="仿宋" w:cs="仿宋"/>
                <w:sz w:val="24"/>
              </w:rPr>
            </w:pPr>
          </w:p>
        </w:tc>
        <w:tc>
          <w:tcPr>
            <w:tcW w:w="1336" w:type="dxa"/>
            <w:tcBorders>
              <w:top w:val="single" w:color="auto" w:sz="4" w:space="0"/>
              <w:left w:val="single" w:color="auto" w:sz="4" w:space="0"/>
              <w:bottom w:val="single" w:color="auto" w:sz="4" w:space="0"/>
              <w:right w:val="single" w:color="auto" w:sz="4" w:space="0"/>
            </w:tcBorders>
            <w:vAlign w:val="center"/>
          </w:tcPr>
          <w:p w14:paraId="513D1FD4">
            <w:pPr>
              <w:spacing w:line="300" w:lineRule="exact"/>
              <w:jc w:val="center"/>
              <w:rPr>
                <w:rFonts w:ascii="仿宋" w:hAnsi="仿宋" w:eastAsia="仿宋" w:cs="仿宋"/>
                <w:sz w:val="24"/>
              </w:rPr>
            </w:pPr>
          </w:p>
        </w:tc>
      </w:tr>
      <w:tr w14:paraId="096E1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763" w:type="dxa"/>
            <w:tcBorders>
              <w:left w:val="single" w:color="auto" w:sz="4" w:space="0"/>
              <w:right w:val="single" w:color="auto" w:sz="4" w:space="0"/>
            </w:tcBorders>
            <w:vAlign w:val="center"/>
          </w:tcPr>
          <w:p w14:paraId="396C3AF3">
            <w:pPr>
              <w:spacing w:line="300" w:lineRule="exact"/>
              <w:jc w:val="center"/>
              <w:rPr>
                <w:rFonts w:ascii="仿宋" w:hAnsi="仿宋" w:eastAsia="仿宋" w:cs="仿宋"/>
                <w:sz w:val="24"/>
              </w:rPr>
            </w:pPr>
            <w:r>
              <w:rPr>
                <w:rFonts w:hint="eastAsia" w:ascii="仿宋" w:hAnsi="仿宋" w:eastAsia="仿宋" w:cs="仿宋"/>
                <w:sz w:val="24"/>
              </w:rPr>
              <w:t>4</w:t>
            </w:r>
          </w:p>
        </w:tc>
        <w:tc>
          <w:tcPr>
            <w:tcW w:w="1283" w:type="dxa"/>
            <w:tcBorders>
              <w:left w:val="single" w:color="auto" w:sz="4" w:space="0"/>
              <w:right w:val="single" w:color="auto" w:sz="4" w:space="0"/>
            </w:tcBorders>
            <w:vAlign w:val="center"/>
          </w:tcPr>
          <w:p w14:paraId="1BF312B8">
            <w:pPr>
              <w:spacing w:line="300" w:lineRule="exact"/>
              <w:jc w:val="center"/>
              <w:rPr>
                <w:rFonts w:ascii="仿宋" w:hAnsi="仿宋" w:eastAsia="仿宋" w:cs="仿宋"/>
                <w:sz w:val="24"/>
              </w:rPr>
            </w:pPr>
          </w:p>
        </w:tc>
        <w:tc>
          <w:tcPr>
            <w:tcW w:w="4254" w:type="dxa"/>
            <w:tcBorders>
              <w:top w:val="single" w:color="auto" w:sz="4" w:space="0"/>
              <w:left w:val="single" w:color="auto" w:sz="4" w:space="0"/>
              <w:right w:val="single" w:color="auto" w:sz="4" w:space="0"/>
            </w:tcBorders>
            <w:vAlign w:val="center"/>
          </w:tcPr>
          <w:p w14:paraId="49AD85AC">
            <w:pPr>
              <w:spacing w:line="320" w:lineRule="exact"/>
              <w:ind w:firstLine="240" w:firstLineChars="100"/>
              <w:jc w:val="left"/>
              <w:rPr>
                <w:rFonts w:ascii="仿宋" w:hAnsi="仿宋" w:eastAsia="仿宋" w:cs="仿宋"/>
                <w:sz w:val="24"/>
              </w:rPr>
            </w:pPr>
          </w:p>
        </w:tc>
        <w:tc>
          <w:tcPr>
            <w:tcW w:w="1038" w:type="dxa"/>
            <w:tcBorders>
              <w:top w:val="single" w:color="auto" w:sz="4" w:space="0"/>
              <w:left w:val="single" w:color="auto" w:sz="4" w:space="0"/>
              <w:bottom w:val="single" w:color="auto" w:sz="4" w:space="0"/>
              <w:right w:val="single" w:color="auto" w:sz="4" w:space="0"/>
            </w:tcBorders>
            <w:vAlign w:val="center"/>
          </w:tcPr>
          <w:p w14:paraId="74409F07">
            <w:pPr>
              <w:adjustRightInd/>
              <w:jc w:val="left"/>
              <w:rPr>
                <w:rFonts w:ascii="仿宋" w:hAnsi="仿宋" w:eastAsia="仿宋" w:cs="仿宋"/>
                <w:sz w:val="24"/>
              </w:rPr>
            </w:pPr>
          </w:p>
        </w:tc>
        <w:tc>
          <w:tcPr>
            <w:tcW w:w="1336" w:type="dxa"/>
            <w:tcBorders>
              <w:top w:val="single" w:color="auto" w:sz="4" w:space="0"/>
              <w:left w:val="single" w:color="auto" w:sz="4" w:space="0"/>
              <w:bottom w:val="single" w:color="auto" w:sz="4" w:space="0"/>
              <w:right w:val="single" w:color="auto" w:sz="4" w:space="0"/>
            </w:tcBorders>
            <w:vAlign w:val="center"/>
          </w:tcPr>
          <w:p w14:paraId="69946D77">
            <w:pPr>
              <w:adjustRightInd/>
              <w:jc w:val="left"/>
              <w:rPr>
                <w:rFonts w:ascii="仿宋" w:hAnsi="仿宋" w:eastAsia="仿宋" w:cs="仿宋"/>
                <w:sz w:val="24"/>
              </w:rPr>
            </w:pPr>
          </w:p>
        </w:tc>
      </w:tr>
      <w:tr w14:paraId="5ACF5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63" w:type="dxa"/>
            <w:tcBorders>
              <w:left w:val="single" w:color="auto" w:sz="4" w:space="0"/>
              <w:right w:val="single" w:color="auto" w:sz="4" w:space="0"/>
            </w:tcBorders>
            <w:vAlign w:val="center"/>
          </w:tcPr>
          <w:p w14:paraId="59A86804">
            <w:pPr>
              <w:spacing w:line="300" w:lineRule="exact"/>
              <w:jc w:val="center"/>
              <w:rPr>
                <w:rFonts w:ascii="仿宋" w:hAnsi="仿宋" w:eastAsia="仿宋" w:cs="仿宋"/>
                <w:sz w:val="24"/>
              </w:rPr>
            </w:pPr>
            <w:r>
              <w:rPr>
                <w:rFonts w:hint="eastAsia" w:ascii="仿宋" w:hAnsi="仿宋" w:eastAsia="仿宋" w:cs="仿宋"/>
                <w:sz w:val="24"/>
              </w:rPr>
              <w:t>5</w:t>
            </w:r>
          </w:p>
        </w:tc>
        <w:tc>
          <w:tcPr>
            <w:tcW w:w="1283" w:type="dxa"/>
            <w:tcBorders>
              <w:left w:val="single" w:color="auto" w:sz="4" w:space="0"/>
              <w:right w:val="single" w:color="auto" w:sz="4" w:space="0"/>
            </w:tcBorders>
            <w:vAlign w:val="center"/>
          </w:tcPr>
          <w:p w14:paraId="1EBA634D">
            <w:pPr>
              <w:spacing w:line="300" w:lineRule="exact"/>
              <w:jc w:val="center"/>
              <w:rPr>
                <w:rFonts w:ascii="仿宋" w:hAnsi="仿宋" w:eastAsia="仿宋" w:cs="仿宋"/>
                <w:sz w:val="24"/>
              </w:rPr>
            </w:pPr>
          </w:p>
        </w:tc>
        <w:tc>
          <w:tcPr>
            <w:tcW w:w="4254" w:type="dxa"/>
            <w:tcBorders>
              <w:top w:val="single" w:color="auto" w:sz="4" w:space="0"/>
              <w:left w:val="single" w:color="auto" w:sz="4" w:space="0"/>
              <w:right w:val="single" w:color="auto" w:sz="4" w:space="0"/>
            </w:tcBorders>
            <w:vAlign w:val="center"/>
          </w:tcPr>
          <w:p w14:paraId="46545D42">
            <w:pPr>
              <w:adjustRightInd/>
              <w:ind w:firstLine="240" w:firstLineChars="100"/>
              <w:jc w:val="left"/>
              <w:rPr>
                <w:rFonts w:ascii="仿宋" w:hAnsi="仿宋" w:eastAsia="仿宋" w:cs="仿宋"/>
                <w:sz w:val="24"/>
              </w:rPr>
            </w:pPr>
          </w:p>
        </w:tc>
        <w:tc>
          <w:tcPr>
            <w:tcW w:w="1038" w:type="dxa"/>
            <w:tcBorders>
              <w:top w:val="single" w:color="auto" w:sz="4" w:space="0"/>
              <w:left w:val="single" w:color="auto" w:sz="4" w:space="0"/>
              <w:bottom w:val="single" w:color="auto" w:sz="4" w:space="0"/>
              <w:right w:val="single" w:color="auto" w:sz="4" w:space="0"/>
            </w:tcBorders>
            <w:vAlign w:val="center"/>
          </w:tcPr>
          <w:p w14:paraId="5092B3A1">
            <w:pPr>
              <w:spacing w:line="300" w:lineRule="exact"/>
              <w:jc w:val="center"/>
              <w:rPr>
                <w:rFonts w:ascii="仿宋" w:hAnsi="仿宋" w:eastAsia="仿宋" w:cs="仿宋"/>
                <w:sz w:val="24"/>
              </w:rPr>
            </w:pPr>
          </w:p>
        </w:tc>
        <w:tc>
          <w:tcPr>
            <w:tcW w:w="1336" w:type="dxa"/>
            <w:tcBorders>
              <w:top w:val="single" w:color="auto" w:sz="4" w:space="0"/>
              <w:left w:val="single" w:color="auto" w:sz="4" w:space="0"/>
              <w:bottom w:val="single" w:color="auto" w:sz="4" w:space="0"/>
              <w:right w:val="single" w:color="auto" w:sz="4" w:space="0"/>
            </w:tcBorders>
            <w:vAlign w:val="center"/>
          </w:tcPr>
          <w:p w14:paraId="2B9F1420">
            <w:pPr>
              <w:spacing w:line="300" w:lineRule="exact"/>
              <w:jc w:val="center"/>
              <w:rPr>
                <w:rFonts w:ascii="仿宋" w:hAnsi="仿宋" w:eastAsia="仿宋" w:cs="仿宋"/>
                <w:sz w:val="24"/>
              </w:rPr>
            </w:pPr>
          </w:p>
        </w:tc>
      </w:tr>
      <w:tr w14:paraId="71BBC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63" w:type="dxa"/>
            <w:tcBorders>
              <w:left w:val="single" w:color="auto" w:sz="4" w:space="0"/>
              <w:right w:val="single" w:color="auto" w:sz="4" w:space="0"/>
            </w:tcBorders>
            <w:vAlign w:val="center"/>
          </w:tcPr>
          <w:p w14:paraId="4B19CAE8">
            <w:pPr>
              <w:spacing w:line="300" w:lineRule="exact"/>
              <w:jc w:val="center"/>
              <w:rPr>
                <w:rFonts w:ascii="仿宋" w:hAnsi="仿宋" w:eastAsia="仿宋" w:cs="仿宋"/>
                <w:sz w:val="24"/>
              </w:rPr>
            </w:pPr>
            <w:r>
              <w:rPr>
                <w:rFonts w:hint="eastAsia" w:ascii="仿宋" w:hAnsi="仿宋" w:eastAsia="仿宋" w:cs="仿宋"/>
                <w:sz w:val="24"/>
              </w:rPr>
              <w:t>....</w:t>
            </w:r>
          </w:p>
        </w:tc>
        <w:tc>
          <w:tcPr>
            <w:tcW w:w="1283" w:type="dxa"/>
            <w:tcBorders>
              <w:left w:val="single" w:color="auto" w:sz="4" w:space="0"/>
              <w:right w:val="single" w:color="auto" w:sz="4" w:space="0"/>
            </w:tcBorders>
            <w:vAlign w:val="center"/>
          </w:tcPr>
          <w:p w14:paraId="701228F9">
            <w:pPr>
              <w:spacing w:line="300" w:lineRule="exact"/>
              <w:jc w:val="center"/>
              <w:rPr>
                <w:rFonts w:ascii="仿宋" w:hAnsi="仿宋" w:eastAsia="仿宋" w:cs="仿宋"/>
                <w:sz w:val="24"/>
              </w:rPr>
            </w:pPr>
          </w:p>
        </w:tc>
        <w:tc>
          <w:tcPr>
            <w:tcW w:w="4254" w:type="dxa"/>
            <w:tcBorders>
              <w:top w:val="single" w:color="auto" w:sz="4" w:space="0"/>
              <w:left w:val="single" w:color="auto" w:sz="4" w:space="0"/>
              <w:right w:val="single" w:color="auto" w:sz="4" w:space="0"/>
            </w:tcBorders>
            <w:vAlign w:val="center"/>
          </w:tcPr>
          <w:p w14:paraId="418CAD56">
            <w:pPr>
              <w:adjustRightInd/>
              <w:ind w:firstLine="240" w:firstLineChars="100"/>
              <w:jc w:val="left"/>
              <w:rPr>
                <w:rFonts w:ascii="仿宋" w:hAnsi="仿宋" w:eastAsia="仿宋" w:cs="仿宋"/>
                <w:sz w:val="24"/>
              </w:rPr>
            </w:pPr>
          </w:p>
        </w:tc>
        <w:tc>
          <w:tcPr>
            <w:tcW w:w="1038" w:type="dxa"/>
            <w:tcBorders>
              <w:top w:val="single" w:color="auto" w:sz="4" w:space="0"/>
              <w:left w:val="single" w:color="auto" w:sz="4" w:space="0"/>
              <w:bottom w:val="single" w:color="auto" w:sz="4" w:space="0"/>
              <w:right w:val="single" w:color="auto" w:sz="4" w:space="0"/>
            </w:tcBorders>
            <w:vAlign w:val="center"/>
          </w:tcPr>
          <w:p w14:paraId="78F0E158">
            <w:pPr>
              <w:spacing w:line="300" w:lineRule="exact"/>
              <w:jc w:val="center"/>
              <w:rPr>
                <w:rFonts w:ascii="仿宋" w:hAnsi="仿宋" w:eastAsia="仿宋" w:cs="仿宋"/>
                <w:sz w:val="24"/>
              </w:rPr>
            </w:pPr>
          </w:p>
        </w:tc>
        <w:tc>
          <w:tcPr>
            <w:tcW w:w="1336" w:type="dxa"/>
            <w:tcBorders>
              <w:top w:val="single" w:color="auto" w:sz="4" w:space="0"/>
              <w:left w:val="single" w:color="auto" w:sz="4" w:space="0"/>
              <w:bottom w:val="single" w:color="auto" w:sz="4" w:space="0"/>
              <w:right w:val="single" w:color="auto" w:sz="4" w:space="0"/>
            </w:tcBorders>
            <w:vAlign w:val="center"/>
          </w:tcPr>
          <w:p w14:paraId="52AFC924">
            <w:pPr>
              <w:spacing w:line="300" w:lineRule="exact"/>
              <w:jc w:val="center"/>
              <w:rPr>
                <w:rFonts w:ascii="仿宋" w:hAnsi="仿宋" w:eastAsia="仿宋" w:cs="仿宋"/>
                <w:sz w:val="24"/>
              </w:rPr>
            </w:pPr>
          </w:p>
        </w:tc>
      </w:tr>
    </w:tbl>
    <w:p w14:paraId="6F850DA1">
      <w:pPr>
        <w:rPr>
          <w:rFonts w:ascii="新宋体" w:hAnsi="新宋体" w:eastAsia="新宋体" w:cs="新宋体"/>
          <w:sz w:val="24"/>
        </w:rPr>
      </w:pPr>
    </w:p>
    <w:p w14:paraId="1B83780A">
      <w:pPr>
        <w:widowControl/>
        <w:rPr>
          <w:rFonts w:ascii="新宋体" w:hAnsi="新宋体" w:eastAsia="新宋体" w:cs="新宋体"/>
          <w:kern w:val="0"/>
          <w:sz w:val="24"/>
        </w:rPr>
      </w:pPr>
    </w:p>
    <w:p w14:paraId="20770651">
      <w:pPr>
        <w:rPr>
          <w:rFonts w:ascii="新宋体" w:hAnsi="新宋体" w:eastAsia="新宋体" w:cs="新宋体"/>
          <w:b/>
          <w:sz w:val="24"/>
        </w:rPr>
      </w:pPr>
      <w:r>
        <w:rPr>
          <w:rFonts w:hint="eastAsia" w:ascii="新宋体" w:hAnsi="新宋体" w:eastAsia="新宋体" w:cs="新宋体"/>
          <w:b/>
          <w:sz w:val="24"/>
        </w:rPr>
        <w:br w:type="page"/>
      </w:r>
      <w:r>
        <w:rPr>
          <w:rFonts w:hint="eastAsia" w:ascii="新宋体" w:hAnsi="新宋体" w:eastAsia="新宋体" w:cs="新宋体"/>
          <w:b/>
          <w:sz w:val="24"/>
        </w:rPr>
        <w:t>附件4</w:t>
      </w:r>
    </w:p>
    <w:p w14:paraId="48CB53F6">
      <w:pPr>
        <w:jc w:val="center"/>
        <w:rPr>
          <w:rFonts w:ascii="新宋体" w:hAnsi="新宋体" w:eastAsia="新宋体" w:cs="新宋体"/>
          <w:b/>
          <w:sz w:val="28"/>
          <w:szCs w:val="28"/>
        </w:rPr>
      </w:pPr>
      <w:r>
        <w:rPr>
          <w:rFonts w:hint="eastAsia" w:ascii="新宋体" w:hAnsi="新宋体" w:eastAsia="新宋体" w:cs="新宋体"/>
          <w:b/>
          <w:sz w:val="28"/>
          <w:szCs w:val="28"/>
        </w:rPr>
        <w:t>投标函</w:t>
      </w:r>
    </w:p>
    <w:p w14:paraId="33702453">
      <w:pPr>
        <w:pStyle w:val="62"/>
        <w:adjustRightInd/>
        <w:spacing w:after="0" w:afterLines="0" w:line="400" w:lineRule="exact"/>
        <w:ind w:firstLine="0" w:firstLineChars="0"/>
        <w:rPr>
          <w:rFonts w:ascii="新宋体" w:hAnsi="新宋体" w:eastAsia="新宋体" w:cs="新宋体"/>
          <w:szCs w:val="24"/>
        </w:rPr>
      </w:pPr>
      <w:r>
        <w:rPr>
          <w:rFonts w:hint="eastAsia" w:ascii="新宋体" w:hAnsi="新宋体" w:eastAsia="新宋体" w:cs="新宋体"/>
          <w:szCs w:val="24"/>
        </w:rPr>
        <w:t>致：</w:t>
      </w:r>
      <w:r>
        <w:rPr>
          <w:rFonts w:hint="eastAsia" w:ascii="新宋体" w:hAnsi="新宋体" w:eastAsia="新宋体" w:cs="新宋体"/>
          <w:szCs w:val="24"/>
          <w:u w:val="single"/>
        </w:rPr>
        <w:t>嵊州市越风蕴秀影视传媒有限公司</w:t>
      </w:r>
      <w:r>
        <w:rPr>
          <w:rFonts w:hint="eastAsia" w:ascii="新宋体" w:hAnsi="新宋体" w:eastAsia="新宋体" w:cs="新宋体"/>
          <w:u w:val="single"/>
        </w:rPr>
        <w:t>、浙江商易项目管理有限公司</w:t>
      </w:r>
    </w:p>
    <w:p w14:paraId="623B1297">
      <w:pPr>
        <w:pStyle w:val="62"/>
        <w:spacing w:after="156" w:line="400" w:lineRule="exact"/>
        <w:ind w:firstLine="480"/>
        <w:rPr>
          <w:rFonts w:ascii="新宋体" w:hAnsi="新宋体" w:eastAsia="新宋体" w:cs="新宋体"/>
          <w:color w:val="000000" w:themeColor="text1"/>
          <w:szCs w:val="24"/>
          <w14:textFill>
            <w14:solidFill>
              <w14:schemeClr w14:val="tx1"/>
            </w14:solidFill>
          </w14:textFill>
        </w:rPr>
      </w:pPr>
      <w:r>
        <w:rPr>
          <w:rFonts w:hint="eastAsia" w:ascii="新宋体" w:hAnsi="新宋体" w:eastAsia="新宋体" w:cs="新宋体"/>
          <w:color w:val="000000" w:themeColor="text1"/>
          <w:szCs w:val="24"/>
          <w14:textFill>
            <w14:solidFill>
              <w14:schemeClr w14:val="tx1"/>
            </w14:solidFill>
          </w14:textFill>
        </w:rPr>
        <w:t>根据贵方招标文件（</w:t>
      </w:r>
      <w:r>
        <w:rPr>
          <w:rFonts w:hint="eastAsia" w:ascii="新宋体" w:hAnsi="新宋体" w:eastAsia="新宋体" w:cs="新宋体"/>
          <w:b/>
          <w:color w:val="000000" w:themeColor="text1"/>
          <w:szCs w:val="24"/>
          <w:u w:val="single"/>
          <w14:textFill>
            <w14:solidFill>
              <w14:schemeClr w14:val="tx1"/>
            </w14:solidFill>
          </w14:textFill>
        </w:rPr>
        <w:t>填写招标编号：</w:t>
      </w:r>
      <w:r>
        <w:rPr>
          <w:rFonts w:hint="eastAsia" w:ascii="新宋体" w:hAnsi="新宋体" w:eastAsia="新宋体" w:cs="新宋体"/>
          <w:color w:val="000000" w:themeColor="text1"/>
          <w:szCs w:val="24"/>
          <w14:textFill>
            <w14:solidFill>
              <w14:schemeClr w14:val="tx1"/>
            </w14:solidFill>
          </w14:textFill>
        </w:rPr>
        <w:t>）的要求，正式授权</w:t>
      </w:r>
      <w:r>
        <w:rPr>
          <w:rFonts w:hint="eastAsia" w:ascii="新宋体" w:hAnsi="新宋体" w:eastAsia="新宋体" w:cs="新宋体"/>
          <w:b/>
          <w:color w:val="000000" w:themeColor="text1"/>
          <w:szCs w:val="24"/>
          <w:u w:val="single"/>
          <w14:textFill>
            <w14:solidFill>
              <w14:schemeClr w14:val="tx1"/>
            </w14:solidFill>
          </w14:textFill>
        </w:rPr>
        <w:t>（全权代表姓名、单位、职务）</w:t>
      </w:r>
      <w:r>
        <w:rPr>
          <w:rFonts w:hint="eastAsia" w:ascii="新宋体" w:hAnsi="新宋体" w:eastAsia="新宋体" w:cs="新宋体"/>
          <w:color w:val="000000" w:themeColor="text1"/>
          <w:szCs w:val="24"/>
          <w14:textFill>
            <w14:solidFill>
              <w14:schemeClr w14:val="tx1"/>
            </w14:solidFill>
          </w14:textFill>
        </w:rPr>
        <w:t>代表投标人</w:t>
      </w:r>
      <w:r>
        <w:rPr>
          <w:rFonts w:hint="eastAsia" w:ascii="新宋体" w:hAnsi="新宋体" w:eastAsia="新宋体" w:cs="新宋体"/>
          <w:color w:val="000000" w:themeColor="text1"/>
          <w:szCs w:val="24"/>
          <w:u w:val="single"/>
          <w14:textFill>
            <w14:solidFill>
              <w14:schemeClr w14:val="tx1"/>
            </w14:solidFill>
          </w14:textFill>
        </w:rPr>
        <w:t>（</w:t>
      </w:r>
      <w:r>
        <w:rPr>
          <w:rFonts w:hint="eastAsia" w:ascii="新宋体" w:hAnsi="新宋体" w:eastAsia="新宋体" w:cs="新宋体"/>
          <w:b/>
          <w:color w:val="000000" w:themeColor="text1"/>
          <w:szCs w:val="24"/>
          <w:u w:val="single"/>
          <w14:textFill>
            <w14:solidFill>
              <w14:schemeClr w14:val="tx1"/>
            </w14:solidFill>
          </w14:textFill>
        </w:rPr>
        <w:t xml:space="preserve">填写单位    、地址   </w:t>
      </w:r>
      <w:r>
        <w:rPr>
          <w:rFonts w:hint="eastAsia" w:ascii="新宋体" w:hAnsi="新宋体" w:eastAsia="新宋体" w:cs="新宋体"/>
          <w:color w:val="000000" w:themeColor="text1"/>
          <w:szCs w:val="24"/>
          <w:u w:val="single"/>
          <w14:textFill>
            <w14:solidFill>
              <w14:schemeClr w14:val="tx1"/>
            </w14:solidFill>
          </w14:textFill>
        </w:rPr>
        <w:t>）</w:t>
      </w:r>
      <w:r>
        <w:rPr>
          <w:rFonts w:hint="eastAsia" w:ascii="新宋体" w:hAnsi="新宋体" w:eastAsia="新宋体" w:cs="新宋体"/>
          <w:color w:val="000000" w:themeColor="text1"/>
          <w:szCs w:val="24"/>
          <w14:textFill>
            <w14:solidFill>
              <w14:schemeClr w14:val="tx1"/>
            </w14:solidFill>
          </w14:textFill>
        </w:rPr>
        <w:t>提交投标文件。</w:t>
      </w:r>
    </w:p>
    <w:p w14:paraId="171F1BDA">
      <w:pPr>
        <w:pStyle w:val="62"/>
        <w:spacing w:after="156" w:line="400" w:lineRule="exact"/>
        <w:ind w:firstLine="480"/>
        <w:rPr>
          <w:rFonts w:ascii="新宋体" w:hAnsi="新宋体" w:eastAsia="新宋体" w:cs="新宋体"/>
          <w:color w:val="000000" w:themeColor="text1"/>
          <w:szCs w:val="24"/>
          <w14:textFill>
            <w14:solidFill>
              <w14:schemeClr w14:val="tx1"/>
            </w14:solidFill>
          </w14:textFill>
        </w:rPr>
      </w:pPr>
      <w:r>
        <w:rPr>
          <w:rFonts w:hint="eastAsia" w:ascii="新宋体" w:hAnsi="新宋体" w:eastAsia="新宋体" w:cs="新宋体"/>
          <w:color w:val="000000" w:themeColor="text1"/>
          <w:szCs w:val="24"/>
          <w14:textFill>
            <w14:solidFill>
              <w14:schemeClr w14:val="tx1"/>
            </w14:solidFill>
          </w14:textFill>
        </w:rPr>
        <w:t>我方已完全明白招标文件的所有条款要求，兹声明同意如下：</w:t>
      </w:r>
    </w:p>
    <w:p w14:paraId="32D13309">
      <w:pPr>
        <w:pStyle w:val="62"/>
        <w:spacing w:after="156" w:line="400" w:lineRule="exact"/>
        <w:ind w:firstLine="480"/>
        <w:rPr>
          <w:rFonts w:ascii="新宋体" w:hAnsi="新宋体" w:eastAsia="新宋体" w:cs="新宋体"/>
          <w:color w:val="000000" w:themeColor="text1"/>
          <w:szCs w:val="24"/>
          <w14:textFill>
            <w14:solidFill>
              <w14:schemeClr w14:val="tx1"/>
            </w14:solidFill>
          </w14:textFill>
        </w:rPr>
      </w:pPr>
      <w:r>
        <w:rPr>
          <w:rFonts w:hint="eastAsia" w:ascii="新宋体" w:hAnsi="新宋体" w:eastAsia="新宋体" w:cs="新宋体"/>
          <w:color w:val="000000" w:themeColor="text1"/>
          <w:szCs w:val="24"/>
          <w14:textFill>
            <w14:solidFill>
              <w14:schemeClr w14:val="tx1"/>
            </w14:solidFill>
          </w14:textFill>
        </w:rPr>
        <w:t>1.我方同意在投标人须知规定的开标日期起遵守本投标文件中的承诺且在投标有效期满之前均具有约束力。</w:t>
      </w:r>
    </w:p>
    <w:p w14:paraId="5AEEB862">
      <w:pPr>
        <w:pStyle w:val="62"/>
        <w:spacing w:after="156" w:line="400" w:lineRule="exact"/>
        <w:ind w:firstLine="480"/>
        <w:rPr>
          <w:rFonts w:ascii="新宋体" w:hAnsi="新宋体" w:eastAsia="新宋体" w:cs="新宋体"/>
          <w:color w:val="000000" w:themeColor="text1"/>
          <w:szCs w:val="24"/>
          <w14:textFill>
            <w14:solidFill>
              <w14:schemeClr w14:val="tx1"/>
            </w14:solidFill>
          </w14:textFill>
        </w:rPr>
      </w:pPr>
      <w:r>
        <w:rPr>
          <w:rFonts w:hint="eastAsia" w:ascii="新宋体" w:hAnsi="新宋体" w:eastAsia="新宋体" w:cs="新宋体"/>
          <w:color w:val="000000" w:themeColor="text1"/>
          <w:szCs w:val="24"/>
          <w14:textFill>
            <w14:solidFill>
              <w14:schemeClr w14:val="tx1"/>
            </w14:solidFill>
          </w14:textFill>
        </w:rPr>
        <w:t>2.我方承诺已经具备《中华人民共和国政府采购法》中规定的参加采购活动的供应商应当具备的条件。</w:t>
      </w:r>
    </w:p>
    <w:p w14:paraId="6637CA69">
      <w:pPr>
        <w:pStyle w:val="62"/>
        <w:spacing w:after="156" w:line="400" w:lineRule="exact"/>
        <w:ind w:firstLine="480"/>
        <w:rPr>
          <w:rFonts w:ascii="新宋体" w:hAnsi="新宋体" w:eastAsia="新宋体" w:cs="新宋体"/>
          <w:color w:val="000000" w:themeColor="text1"/>
          <w:szCs w:val="24"/>
          <w14:textFill>
            <w14:solidFill>
              <w14:schemeClr w14:val="tx1"/>
            </w14:solidFill>
          </w14:textFill>
        </w:rPr>
      </w:pPr>
      <w:r>
        <w:rPr>
          <w:rFonts w:hint="eastAsia" w:ascii="新宋体" w:hAnsi="新宋体" w:eastAsia="新宋体" w:cs="新宋体"/>
          <w:color w:val="000000" w:themeColor="text1"/>
          <w:szCs w:val="24"/>
          <w14:textFill>
            <w14:solidFill>
              <w14:schemeClr w14:val="tx1"/>
            </w14:solidFill>
          </w14:textFill>
        </w:rPr>
        <w:t>3.本公司投标文件中填列的技术参数、配置、服务、数量等相关内容都是真实、准确的。保证在本次项目中所提供的资料全部真实和合法。同意向采购代理机构提供可能另外要求的与投标有关的任何数据或资料。</w:t>
      </w:r>
    </w:p>
    <w:p w14:paraId="7350F6C9">
      <w:pPr>
        <w:pStyle w:val="62"/>
        <w:spacing w:after="156" w:line="400" w:lineRule="exact"/>
        <w:ind w:firstLine="480"/>
        <w:rPr>
          <w:rFonts w:ascii="新宋体" w:hAnsi="新宋体" w:eastAsia="新宋体" w:cs="新宋体"/>
          <w:color w:val="000000" w:themeColor="text1"/>
          <w:szCs w:val="24"/>
          <w14:textFill>
            <w14:solidFill>
              <w14:schemeClr w14:val="tx1"/>
            </w14:solidFill>
          </w14:textFill>
        </w:rPr>
      </w:pPr>
      <w:r>
        <w:rPr>
          <w:rFonts w:hint="eastAsia" w:ascii="新宋体" w:hAnsi="新宋体" w:eastAsia="新宋体" w:cs="新宋体"/>
          <w:color w:val="000000" w:themeColor="text1"/>
          <w:szCs w:val="24"/>
          <w14:textFill>
            <w14:solidFill>
              <w14:schemeClr w14:val="tx1"/>
            </w14:solidFill>
          </w14:textFill>
        </w:rPr>
        <w:t>4.我方理解贵方将不受你们所收到的最低报价的约束。</w:t>
      </w:r>
    </w:p>
    <w:p w14:paraId="3535EABB">
      <w:pPr>
        <w:pStyle w:val="5"/>
        <w:numPr>
          <w:ilvl w:val="0"/>
          <w:numId w:val="0"/>
        </w:numPr>
        <w:spacing w:after="120" w:line="400" w:lineRule="exact"/>
        <w:ind w:firstLine="480" w:firstLineChars="200"/>
        <w:rPr>
          <w:rFonts w:ascii="新宋体" w:hAnsi="新宋体" w:eastAsia="新宋体" w:cs="新宋体"/>
          <w:color w:val="000000" w:themeColor="text1"/>
          <w:sz w:val="24"/>
          <w14:textFill>
            <w14:solidFill>
              <w14:schemeClr w14:val="tx1"/>
            </w14:solidFill>
          </w14:textFill>
        </w:rPr>
      </w:pPr>
      <w:r>
        <w:rPr>
          <w:rFonts w:hint="eastAsia" w:ascii="新宋体" w:hAnsi="新宋体" w:eastAsia="新宋体" w:cs="新宋体"/>
          <w:color w:val="000000" w:themeColor="text1"/>
          <w:sz w:val="24"/>
          <w14:textFill>
            <w14:solidFill>
              <w14:schemeClr w14:val="tx1"/>
            </w14:solidFill>
          </w14:textFill>
        </w:rPr>
        <w:t>5.本投标自开标之日（投标截止之日）起90天内有效。</w:t>
      </w:r>
    </w:p>
    <w:p w14:paraId="3278D95F">
      <w:pPr>
        <w:pStyle w:val="62"/>
        <w:spacing w:after="156" w:line="400" w:lineRule="exact"/>
        <w:ind w:firstLine="480"/>
        <w:rPr>
          <w:rFonts w:ascii="新宋体" w:hAnsi="新宋体" w:eastAsia="新宋体" w:cs="新宋体"/>
          <w:color w:val="000000" w:themeColor="text1"/>
          <w:szCs w:val="24"/>
          <w14:textFill>
            <w14:solidFill>
              <w14:schemeClr w14:val="tx1"/>
            </w14:solidFill>
          </w14:textFill>
        </w:rPr>
      </w:pPr>
      <w:r>
        <w:rPr>
          <w:rFonts w:hint="eastAsia" w:ascii="新宋体" w:hAnsi="新宋体" w:eastAsia="新宋体" w:cs="新宋体"/>
          <w:color w:val="000000" w:themeColor="text1"/>
          <w:szCs w:val="24"/>
          <w14:textFill>
            <w14:solidFill>
              <w14:schemeClr w14:val="tx1"/>
            </w14:solidFill>
          </w14:textFill>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2FFFB9D7">
      <w:pPr>
        <w:snapToGrid w:val="0"/>
        <w:spacing w:line="400" w:lineRule="exact"/>
        <w:ind w:firstLine="480" w:firstLineChars="200"/>
        <w:rPr>
          <w:rFonts w:ascii="新宋体" w:hAnsi="新宋体" w:eastAsia="新宋体" w:cs="新宋体"/>
          <w:color w:val="000000" w:themeColor="text1"/>
          <w:sz w:val="24"/>
          <w14:textFill>
            <w14:solidFill>
              <w14:schemeClr w14:val="tx1"/>
            </w14:solidFill>
          </w14:textFill>
        </w:rPr>
      </w:pPr>
      <w:r>
        <w:rPr>
          <w:rFonts w:hint="eastAsia" w:ascii="新宋体" w:hAnsi="新宋体" w:eastAsia="新宋体" w:cs="新宋体"/>
          <w:color w:val="000000" w:themeColor="text1"/>
          <w:sz w:val="24"/>
          <w14:textFill>
            <w14:solidFill>
              <w14:schemeClr w14:val="tx1"/>
            </w14:solidFill>
          </w14:textFill>
        </w:rPr>
        <w:t>a)提供虚假材料谋取中标、成交的；</w:t>
      </w:r>
    </w:p>
    <w:p w14:paraId="68A93BE6">
      <w:pPr>
        <w:snapToGrid w:val="0"/>
        <w:spacing w:line="400" w:lineRule="exact"/>
        <w:ind w:firstLine="480" w:firstLineChars="200"/>
        <w:rPr>
          <w:rFonts w:ascii="新宋体" w:hAnsi="新宋体" w:eastAsia="新宋体" w:cs="新宋体"/>
          <w:color w:val="000000" w:themeColor="text1"/>
          <w:sz w:val="24"/>
          <w14:textFill>
            <w14:solidFill>
              <w14:schemeClr w14:val="tx1"/>
            </w14:solidFill>
          </w14:textFill>
        </w:rPr>
      </w:pPr>
      <w:r>
        <w:rPr>
          <w:rFonts w:hint="eastAsia" w:ascii="新宋体" w:hAnsi="新宋体" w:eastAsia="新宋体" w:cs="新宋体"/>
          <w:color w:val="000000" w:themeColor="text1"/>
          <w:sz w:val="24"/>
          <w14:textFill>
            <w14:solidFill>
              <w14:schemeClr w14:val="tx1"/>
            </w14:solidFill>
          </w14:textFill>
        </w:rPr>
        <w:t>b)采取不正当手段诋毁、排挤其他供应商的；</w:t>
      </w:r>
    </w:p>
    <w:p w14:paraId="750E934E">
      <w:pPr>
        <w:snapToGrid w:val="0"/>
        <w:spacing w:line="400" w:lineRule="exact"/>
        <w:ind w:firstLine="480" w:firstLineChars="200"/>
        <w:rPr>
          <w:rFonts w:ascii="新宋体" w:hAnsi="新宋体" w:eastAsia="新宋体" w:cs="新宋体"/>
          <w:color w:val="000000" w:themeColor="text1"/>
          <w:sz w:val="24"/>
          <w14:textFill>
            <w14:solidFill>
              <w14:schemeClr w14:val="tx1"/>
            </w14:solidFill>
          </w14:textFill>
        </w:rPr>
      </w:pPr>
      <w:r>
        <w:rPr>
          <w:rFonts w:hint="eastAsia" w:ascii="新宋体" w:hAnsi="新宋体" w:eastAsia="新宋体" w:cs="新宋体"/>
          <w:color w:val="000000" w:themeColor="text1"/>
          <w:sz w:val="24"/>
          <w14:textFill>
            <w14:solidFill>
              <w14:schemeClr w14:val="tx1"/>
            </w14:solidFill>
          </w14:textFill>
        </w:rPr>
        <w:t>c)与采购人、其它供应商或者采购代理机构恶意串通的；</w:t>
      </w:r>
    </w:p>
    <w:p w14:paraId="5E78ED03">
      <w:pPr>
        <w:snapToGrid w:val="0"/>
        <w:spacing w:line="400" w:lineRule="exact"/>
        <w:ind w:firstLine="480" w:firstLineChars="200"/>
        <w:rPr>
          <w:rFonts w:ascii="新宋体" w:hAnsi="新宋体" w:eastAsia="新宋体" w:cs="新宋体"/>
          <w:color w:val="000000" w:themeColor="text1"/>
          <w:sz w:val="24"/>
          <w14:textFill>
            <w14:solidFill>
              <w14:schemeClr w14:val="tx1"/>
            </w14:solidFill>
          </w14:textFill>
        </w:rPr>
      </w:pPr>
      <w:r>
        <w:rPr>
          <w:rFonts w:hint="eastAsia" w:ascii="新宋体" w:hAnsi="新宋体" w:eastAsia="新宋体" w:cs="新宋体"/>
          <w:color w:val="000000" w:themeColor="text1"/>
          <w:sz w:val="24"/>
          <w14:textFill>
            <w14:solidFill>
              <w14:schemeClr w14:val="tx1"/>
            </w14:solidFill>
          </w14:textFill>
        </w:rPr>
        <w:t>d)向采购人、采购代理机构行贿或者提供其他不正当利益的；</w:t>
      </w:r>
    </w:p>
    <w:p w14:paraId="154FF4B5">
      <w:pPr>
        <w:snapToGrid w:val="0"/>
        <w:spacing w:line="400" w:lineRule="exact"/>
        <w:ind w:firstLine="480" w:firstLineChars="200"/>
        <w:rPr>
          <w:rFonts w:ascii="新宋体" w:hAnsi="新宋体" w:eastAsia="新宋体" w:cs="新宋体"/>
          <w:color w:val="000000" w:themeColor="text1"/>
          <w:sz w:val="24"/>
          <w14:textFill>
            <w14:solidFill>
              <w14:schemeClr w14:val="tx1"/>
            </w14:solidFill>
          </w14:textFill>
        </w:rPr>
      </w:pPr>
      <w:r>
        <w:rPr>
          <w:rFonts w:hint="eastAsia" w:ascii="新宋体" w:hAnsi="新宋体" w:eastAsia="新宋体" w:cs="新宋体"/>
          <w:color w:val="000000" w:themeColor="text1"/>
          <w:sz w:val="24"/>
          <w14:textFill>
            <w14:solidFill>
              <w14:schemeClr w14:val="tx1"/>
            </w14:solidFill>
          </w14:textFill>
        </w:rPr>
        <w:t>e)在招标采购过程中与采购人进行协商谈判的；</w:t>
      </w:r>
    </w:p>
    <w:p w14:paraId="45F80763">
      <w:pPr>
        <w:snapToGrid w:val="0"/>
        <w:spacing w:line="400" w:lineRule="exact"/>
        <w:ind w:firstLine="480" w:firstLineChars="200"/>
        <w:rPr>
          <w:rFonts w:ascii="新宋体" w:hAnsi="新宋体" w:eastAsia="新宋体" w:cs="新宋体"/>
          <w:color w:val="000000" w:themeColor="text1"/>
          <w:sz w:val="24"/>
          <w14:textFill>
            <w14:solidFill>
              <w14:schemeClr w14:val="tx1"/>
            </w14:solidFill>
          </w14:textFill>
        </w:rPr>
      </w:pPr>
      <w:r>
        <w:rPr>
          <w:rFonts w:hint="eastAsia" w:ascii="新宋体" w:hAnsi="新宋体" w:eastAsia="新宋体" w:cs="新宋体"/>
          <w:color w:val="000000" w:themeColor="text1"/>
          <w:sz w:val="24"/>
          <w14:textFill>
            <w14:solidFill>
              <w14:schemeClr w14:val="tx1"/>
            </w14:solidFill>
          </w14:textFill>
        </w:rPr>
        <w:t>f)拒绝有关部门监督检查或提供虚假情况的。</w:t>
      </w:r>
    </w:p>
    <w:p w14:paraId="544C9E6B">
      <w:pPr>
        <w:spacing w:line="400" w:lineRule="exact"/>
        <w:ind w:firstLine="482"/>
        <w:rPr>
          <w:rFonts w:ascii="新宋体" w:hAnsi="新宋体" w:eastAsia="新宋体" w:cs="新宋体"/>
          <w:color w:val="000000" w:themeColor="text1"/>
          <w:sz w:val="24"/>
          <w14:textFill>
            <w14:solidFill>
              <w14:schemeClr w14:val="tx1"/>
            </w14:solidFill>
          </w14:textFill>
        </w:rPr>
      </w:pPr>
      <w:r>
        <w:rPr>
          <w:rFonts w:hint="eastAsia" w:ascii="新宋体" w:hAnsi="新宋体" w:eastAsia="新宋体" w:cs="新宋体"/>
          <w:color w:val="000000" w:themeColor="text1"/>
          <w:sz w:val="24"/>
          <w14:textFill>
            <w14:solidFill>
              <w14:schemeClr w14:val="tx1"/>
            </w14:solidFill>
          </w14:textFill>
        </w:rPr>
        <w:t>供应商有前款第a)至e)项情形之一的，中标、成交无效。</w:t>
      </w:r>
    </w:p>
    <w:p w14:paraId="47F5E384">
      <w:pPr>
        <w:spacing w:line="400" w:lineRule="exact"/>
        <w:ind w:firstLine="482"/>
        <w:rPr>
          <w:rFonts w:ascii="新宋体" w:hAnsi="新宋体" w:eastAsia="新宋体" w:cs="新宋体"/>
          <w:sz w:val="24"/>
        </w:rPr>
      </w:pPr>
    </w:p>
    <w:p w14:paraId="2ADC5B67">
      <w:pPr>
        <w:spacing w:line="400" w:lineRule="exact"/>
        <w:ind w:firstLine="5104" w:firstLineChars="2127"/>
        <w:rPr>
          <w:rFonts w:ascii="新宋体" w:hAnsi="新宋体" w:eastAsia="新宋体" w:cs="新宋体"/>
          <w:sz w:val="24"/>
        </w:rPr>
      </w:pPr>
      <w:r>
        <w:rPr>
          <w:rFonts w:hint="eastAsia" w:ascii="新宋体" w:hAnsi="新宋体" w:eastAsia="新宋体" w:cs="新宋体"/>
          <w:sz w:val="24"/>
        </w:rPr>
        <w:t>投标人:（盖章）</w:t>
      </w:r>
    </w:p>
    <w:p w14:paraId="37526DE3">
      <w:pPr>
        <w:spacing w:line="400" w:lineRule="exact"/>
        <w:ind w:firstLine="2880" w:firstLineChars="1200"/>
        <w:rPr>
          <w:rFonts w:ascii="新宋体" w:hAnsi="新宋体" w:eastAsia="新宋体" w:cs="新宋体"/>
          <w:sz w:val="24"/>
        </w:rPr>
      </w:pPr>
      <w:r>
        <w:rPr>
          <w:rFonts w:hint="eastAsia" w:ascii="新宋体" w:hAnsi="新宋体" w:eastAsia="新宋体" w:cs="新宋体"/>
          <w:sz w:val="24"/>
        </w:rPr>
        <w:t>法定代表人或授权代理人（签字或盖章）：</w:t>
      </w:r>
    </w:p>
    <w:p w14:paraId="05C2FC6B">
      <w:pPr>
        <w:spacing w:line="400" w:lineRule="exact"/>
        <w:ind w:firstLine="5280" w:firstLineChars="2200"/>
        <w:rPr>
          <w:rFonts w:ascii="新宋体" w:hAnsi="新宋体" w:eastAsia="新宋体" w:cs="新宋体"/>
        </w:rPr>
      </w:pPr>
      <w:r>
        <w:rPr>
          <w:rFonts w:hint="eastAsia" w:ascii="新宋体" w:hAnsi="新宋体" w:eastAsia="新宋体" w:cs="新宋体"/>
          <w:sz w:val="24"/>
        </w:rPr>
        <w:t>日  期:</w:t>
      </w:r>
    </w:p>
    <w:p w14:paraId="23F27691">
      <w:pPr>
        <w:spacing w:line="460" w:lineRule="exact"/>
        <w:ind w:right="601"/>
        <w:jc w:val="left"/>
        <w:rPr>
          <w:rFonts w:ascii="新宋体" w:hAnsi="新宋体" w:eastAsia="新宋体" w:cs="新宋体"/>
          <w:b/>
          <w:bCs/>
          <w:sz w:val="24"/>
        </w:rPr>
      </w:pPr>
      <w:r>
        <w:rPr>
          <w:rFonts w:hint="eastAsia" w:ascii="新宋体" w:hAnsi="新宋体" w:eastAsia="新宋体" w:cs="新宋体"/>
          <w:b/>
          <w:sz w:val="24"/>
        </w:rPr>
        <w:br w:type="page"/>
      </w:r>
    </w:p>
    <w:p w14:paraId="4BFF2F59">
      <w:pPr>
        <w:rPr>
          <w:rFonts w:ascii="新宋体" w:hAnsi="新宋体" w:eastAsia="新宋体" w:cs="新宋体"/>
          <w:b/>
          <w:sz w:val="28"/>
          <w:szCs w:val="28"/>
        </w:rPr>
      </w:pPr>
      <w:r>
        <w:rPr>
          <w:rFonts w:hint="eastAsia" w:ascii="新宋体" w:hAnsi="新宋体" w:eastAsia="新宋体" w:cs="新宋体"/>
          <w:b/>
          <w:bCs/>
          <w:sz w:val="24"/>
        </w:rPr>
        <w:t>附件5</w:t>
      </w:r>
    </w:p>
    <w:p w14:paraId="31679510">
      <w:pPr>
        <w:jc w:val="center"/>
        <w:rPr>
          <w:rFonts w:ascii="新宋体" w:hAnsi="新宋体" w:eastAsia="新宋体" w:cs="新宋体"/>
          <w:b/>
          <w:sz w:val="28"/>
          <w:szCs w:val="28"/>
        </w:rPr>
      </w:pPr>
      <w:r>
        <w:rPr>
          <w:rFonts w:hint="eastAsia" w:ascii="新宋体" w:hAnsi="新宋体" w:eastAsia="新宋体" w:cs="新宋体"/>
          <w:b/>
          <w:sz w:val="28"/>
          <w:szCs w:val="28"/>
        </w:rPr>
        <w:t>投标人基本情况表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7"/>
        <w:gridCol w:w="1534"/>
        <w:gridCol w:w="741"/>
        <w:gridCol w:w="1791"/>
        <w:gridCol w:w="1275"/>
        <w:gridCol w:w="1044"/>
      </w:tblGrid>
      <w:tr w14:paraId="652E9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254" w:type="pct"/>
            <w:vAlign w:val="center"/>
          </w:tcPr>
          <w:p w14:paraId="162727C2">
            <w:pPr>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投标人名称</w:t>
            </w:r>
          </w:p>
        </w:tc>
        <w:tc>
          <w:tcPr>
            <w:tcW w:w="3746" w:type="pct"/>
            <w:gridSpan w:val="5"/>
            <w:vAlign w:val="center"/>
          </w:tcPr>
          <w:p w14:paraId="64B34308">
            <w:pPr>
              <w:snapToGrid w:val="0"/>
              <w:spacing w:line="360" w:lineRule="auto"/>
              <w:rPr>
                <w:rFonts w:cs="仿宋" w:asciiTheme="majorEastAsia" w:hAnsiTheme="majorEastAsia" w:eastAsiaTheme="majorEastAsia"/>
                <w:kern w:val="0"/>
                <w:sz w:val="24"/>
                <w:lang w:val="zh-CN"/>
              </w:rPr>
            </w:pPr>
          </w:p>
        </w:tc>
      </w:tr>
      <w:tr w14:paraId="1890B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254" w:type="pct"/>
            <w:vAlign w:val="center"/>
          </w:tcPr>
          <w:p w14:paraId="6C0330C6">
            <w:pPr>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注册地址</w:t>
            </w:r>
          </w:p>
        </w:tc>
        <w:tc>
          <w:tcPr>
            <w:tcW w:w="1335" w:type="pct"/>
            <w:gridSpan w:val="2"/>
            <w:vAlign w:val="center"/>
          </w:tcPr>
          <w:p w14:paraId="51422B5E">
            <w:pPr>
              <w:snapToGrid w:val="0"/>
              <w:spacing w:line="360" w:lineRule="auto"/>
              <w:rPr>
                <w:rFonts w:cs="仿宋" w:asciiTheme="majorEastAsia" w:hAnsiTheme="majorEastAsia" w:eastAsiaTheme="majorEastAsia"/>
                <w:kern w:val="0"/>
                <w:sz w:val="24"/>
                <w:lang w:val="zh-CN"/>
              </w:rPr>
            </w:pPr>
          </w:p>
        </w:tc>
        <w:tc>
          <w:tcPr>
            <w:tcW w:w="1051" w:type="pct"/>
            <w:vAlign w:val="center"/>
          </w:tcPr>
          <w:p w14:paraId="1915E0BA">
            <w:pPr>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成立时间</w:t>
            </w:r>
          </w:p>
        </w:tc>
        <w:tc>
          <w:tcPr>
            <w:tcW w:w="1360" w:type="pct"/>
            <w:gridSpan w:val="2"/>
            <w:vAlign w:val="center"/>
          </w:tcPr>
          <w:p w14:paraId="74C21D8E">
            <w:pPr>
              <w:snapToGrid w:val="0"/>
              <w:spacing w:line="360" w:lineRule="auto"/>
              <w:rPr>
                <w:rFonts w:cs="仿宋" w:asciiTheme="majorEastAsia" w:hAnsiTheme="majorEastAsia" w:eastAsiaTheme="majorEastAsia"/>
                <w:kern w:val="0"/>
                <w:sz w:val="24"/>
                <w:lang w:val="zh-CN"/>
              </w:rPr>
            </w:pPr>
          </w:p>
        </w:tc>
      </w:tr>
      <w:tr w14:paraId="76742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254" w:type="pct"/>
            <w:vAlign w:val="center"/>
          </w:tcPr>
          <w:p w14:paraId="64F5E685">
            <w:pPr>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统一信用代码</w:t>
            </w:r>
          </w:p>
        </w:tc>
        <w:tc>
          <w:tcPr>
            <w:tcW w:w="1335" w:type="pct"/>
            <w:gridSpan w:val="2"/>
            <w:vAlign w:val="center"/>
          </w:tcPr>
          <w:p w14:paraId="3A92CE52">
            <w:pPr>
              <w:snapToGrid w:val="0"/>
              <w:spacing w:line="360" w:lineRule="auto"/>
              <w:rPr>
                <w:rFonts w:cs="仿宋" w:asciiTheme="majorEastAsia" w:hAnsiTheme="majorEastAsia" w:eastAsiaTheme="majorEastAsia"/>
                <w:kern w:val="0"/>
                <w:sz w:val="24"/>
                <w:lang w:val="zh-CN"/>
              </w:rPr>
            </w:pPr>
          </w:p>
        </w:tc>
        <w:tc>
          <w:tcPr>
            <w:tcW w:w="1051" w:type="pct"/>
            <w:vAlign w:val="center"/>
          </w:tcPr>
          <w:p w14:paraId="237863B5">
            <w:pPr>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注册资金</w:t>
            </w:r>
          </w:p>
        </w:tc>
        <w:tc>
          <w:tcPr>
            <w:tcW w:w="1360" w:type="pct"/>
            <w:gridSpan w:val="2"/>
            <w:vAlign w:val="center"/>
          </w:tcPr>
          <w:p w14:paraId="64C14536">
            <w:pPr>
              <w:snapToGrid w:val="0"/>
              <w:spacing w:line="360" w:lineRule="auto"/>
              <w:rPr>
                <w:rFonts w:cs="仿宋" w:asciiTheme="majorEastAsia" w:hAnsiTheme="majorEastAsia" w:eastAsiaTheme="majorEastAsia"/>
                <w:kern w:val="0"/>
                <w:sz w:val="24"/>
                <w:lang w:val="zh-CN"/>
              </w:rPr>
            </w:pPr>
          </w:p>
        </w:tc>
      </w:tr>
      <w:tr w14:paraId="142CB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254" w:type="pct"/>
            <w:vAlign w:val="center"/>
          </w:tcPr>
          <w:p w14:paraId="3DA125E7">
            <w:pPr>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投标联系人姓名</w:t>
            </w:r>
          </w:p>
        </w:tc>
        <w:tc>
          <w:tcPr>
            <w:tcW w:w="900" w:type="pct"/>
            <w:vAlign w:val="center"/>
          </w:tcPr>
          <w:p w14:paraId="7F7EF353">
            <w:pPr>
              <w:snapToGrid w:val="0"/>
              <w:spacing w:line="360" w:lineRule="auto"/>
              <w:rPr>
                <w:rFonts w:cs="仿宋" w:asciiTheme="majorEastAsia" w:hAnsiTheme="majorEastAsia" w:eastAsiaTheme="majorEastAsia"/>
                <w:kern w:val="0"/>
                <w:sz w:val="24"/>
                <w:lang w:val="zh-CN"/>
              </w:rPr>
            </w:pPr>
          </w:p>
        </w:tc>
        <w:tc>
          <w:tcPr>
            <w:tcW w:w="435" w:type="pct"/>
            <w:vAlign w:val="center"/>
          </w:tcPr>
          <w:p w14:paraId="73DD3D32">
            <w:pPr>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电话</w:t>
            </w:r>
          </w:p>
        </w:tc>
        <w:tc>
          <w:tcPr>
            <w:tcW w:w="1051" w:type="pct"/>
            <w:vAlign w:val="center"/>
          </w:tcPr>
          <w:p w14:paraId="42585A4F">
            <w:pPr>
              <w:snapToGrid w:val="0"/>
              <w:spacing w:line="360" w:lineRule="auto"/>
              <w:rPr>
                <w:rFonts w:cs="仿宋" w:asciiTheme="majorEastAsia" w:hAnsiTheme="majorEastAsia" w:eastAsiaTheme="majorEastAsia"/>
                <w:kern w:val="0"/>
                <w:sz w:val="24"/>
                <w:lang w:val="zh-CN"/>
              </w:rPr>
            </w:pPr>
          </w:p>
        </w:tc>
        <w:tc>
          <w:tcPr>
            <w:tcW w:w="748" w:type="pct"/>
            <w:vAlign w:val="center"/>
          </w:tcPr>
          <w:p w14:paraId="505CDD29">
            <w:pPr>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手机</w:t>
            </w:r>
          </w:p>
        </w:tc>
        <w:tc>
          <w:tcPr>
            <w:tcW w:w="612" w:type="pct"/>
            <w:vAlign w:val="center"/>
          </w:tcPr>
          <w:p w14:paraId="43991BE9">
            <w:pPr>
              <w:snapToGrid w:val="0"/>
              <w:spacing w:line="360" w:lineRule="auto"/>
              <w:rPr>
                <w:rFonts w:cs="仿宋" w:asciiTheme="majorEastAsia" w:hAnsiTheme="majorEastAsia" w:eastAsiaTheme="majorEastAsia"/>
                <w:kern w:val="0"/>
                <w:sz w:val="24"/>
                <w:lang w:val="zh-CN"/>
              </w:rPr>
            </w:pPr>
          </w:p>
        </w:tc>
      </w:tr>
      <w:tr w14:paraId="1141A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jc w:val="center"/>
        </w:trPr>
        <w:tc>
          <w:tcPr>
            <w:tcW w:w="1254" w:type="pct"/>
            <w:vAlign w:val="center"/>
          </w:tcPr>
          <w:p w14:paraId="0247EBB8">
            <w:pPr>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法定代表人姓名</w:t>
            </w:r>
          </w:p>
        </w:tc>
        <w:tc>
          <w:tcPr>
            <w:tcW w:w="900" w:type="pct"/>
            <w:vAlign w:val="center"/>
          </w:tcPr>
          <w:p w14:paraId="57DC5DD7">
            <w:pPr>
              <w:snapToGrid w:val="0"/>
              <w:spacing w:line="360" w:lineRule="auto"/>
              <w:rPr>
                <w:rFonts w:cs="仿宋" w:asciiTheme="majorEastAsia" w:hAnsiTheme="majorEastAsia" w:eastAsiaTheme="majorEastAsia"/>
                <w:kern w:val="0"/>
                <w:sz w:val="24"/>
                <w:lang w:val="zh-CN"/>
              </w:rPr>
            </w:pPr>
          </w:p>
        </w:tc>
        <w:tc>
          <w:tcPr>
            <w:tcW w:w="435" w:type="pct"/>
            <w:vAlign w:val="center"/>
          </w:tcPr>
          <w:p w14:paraId="40BFDC17">
            <w:pPr>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电话</w:t>
            </w:r>
          </w:p>
        </w:tc>
        <w:tc>
          <w:tcPr>
            <w:tcW w:w="1051" w:type="pct"/>
            <w:vAlign w:val="center"/>
          </w:tcPr>
          <w:p w14:paraId="5FB5EE72">
            <w:pPr>
              <w:snapToGrid w:val="0"/>
              <w:spacing w:line="360" w:lineRule="auto"/>
              <w:rPr>
                <w:rFonts w:cs="仿宋" w:asciiTheme="majorEastAsia" w:hAnsiTheme="majorEastAsia" w:eastAsiaTheme="majorEastAsia"/>
                <w:kern w:val="0"/>
                <w:sz w:val="24"/>
                <w:lang w:val="zh-CN"/>
              </w:rPr>
            </w:pPr>
          </w:p>
        </w:tc>
        <w:tc>
          <w:tcPr>
            <w:tcW w:w="748" w:type="pct"/>
            <w:vAlign w:val="center"/>
          </w:tcPr>
          <w:p w14:paraId="2CC9D684">
            <w:pPr>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手机</w:t>
            </w:r>
          </w:p>
        </w:tc>
        <w:tc>
          <w:tcPr>
            <w:tcW w:w="612" w:type="pct"/>
            <w:vAlign w:val="center"/>
          </w:tcPr>
          <w:p w14:paraId="315B45AA">
            <w:pPr>
              <w:snapToGrid w:val="0"/>
              <w:spacing w:line="360" w:lineRule="auto"/>
              <w:rPr>
                <w:rFonts w:cs="仿宋" w:asciiTheme="majorEastAsia" w:hAnsiTheme="majorEastAsia" w:eastAsiaTheme="majorEastAsia"/>
                <w:kern w:val="0"/>
                <w:sz w:val="24"/>
                <w:lang w:val="zh-CN"/>
              </w:rPr>
            </w:pPr>
          </w:p>
        </w:tc>
      </w:tr>
      <w:tr w14:paraId="40213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254" w:type="pct"/>
            <w:vAlign w:val="center"/>
          </w:tcPr>
          <w:p w14:paraId="2014B74A">
            <w:pPr>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项目负责人姓名</w:t>
            </w:r>
          </w:p>
        </w:tc>
        <w:tc>
          <w:tcPr>
            <w:tcW w:w="900" w:type="pct"/>
            <w:vAlign w:val="center"/>
          </w:tcPr>
          <w:p w14:paraId="31F675FB">
            <w:pPr>
              <w:snapToGrid w:val="0"/>
              <w:spacing w:line="360" w:lineRule="auto"/>
              <w:rPr>
                <w:rFonts w:cs="仿宋" w:asciiTheme="majorEastAsia" w:hAnsiTheme="majorEastAsia" w:eastAsiaTheme="majorEastAsia"/>
                <w:kern w:val="0"/>
                <w:sz w:val="24"/>
                <w:lang w:val="zh-CN"/>
              </w:rPr>
            </w:pPr>
          </w:p>
        </w:tc>
        <w:tc>
          <w:tcPr>
            <w:tcW w:w="435" w:type="pct"/>
            <w:vAlign w:val="center"/>
          </w:tcPr>
          <w:p w14:paraId="30E51E55">
            <w:pPr>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电话</w:t>
            </w:r>
          </w:p>
        </w:tc>
        <w:tc>
          <w:tcPr>
            <w:tcW w:w="1051" w:type="pct"/>
            <w:vAlign w:val="center"/>
          </w:tcPr>
          <w:p w14:paraId="3C90CA6F">
            <w:pPr>
              <w:snapToGrid w:val="0"/>
              <w:spacing w:line="360" w:lineRule="auto"/>
              <w:rPr>
                <w:rFonts w:cs="仿宋" w:asciiTheme="majorEastAsia" w:hAnsiTheme="majorEastAsia" w:eastAsiaTheme="majorEastAsia"/>
                <w:kern w:val="0"/>
                <w:sz w:val="24"/>
                <w:lang w:val="zh-CN"/>
              </w:rPr>
            </w:pPr>
          </w:p>
        </w:tc>
        <w:tc>
          <w:tcPr>
            <w:tcW w:w="748" w:type="pct"/>
            <w:vAlign w:val="center"/>
          </w:tcPr>
          <w:p w14:paraId="48AF75D5">
            <w:pPr>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技术职称</w:t>
            </w:r>
          </w:p>
        </w:tc>
        <w:tc>
          <w:tcPr>
            <w:tcW w:w="612" w:type="pct"/>
            <w:vAlign w:val="center"/>
          </w:tcPr>
          <w:p w14:paraId="094C11A3">
            <w:pPr>
              <w:snapToGrid w:val="0"/>
              <w:spacing w:line="360" w:lineRule="auto"/>
              <w:rPr>
                <w:rFonts w:cs="仿宋" w:asciiTheme="majorEastAsia" w:hAnsiTheme="majorEastAsia" w:eastAsiaTheme="majorEastAsia"/>
                <w:kern w:val="0"/>
                <w:sz w:val="24"/>
                <w:lang w:val="zh-CN"/>
              </w:rPr>
            </w:pPr>
          </w:p>
        </w:tc>
      </w:tr>
      <w:tr w14:paraId="5F9B8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254" w:type="pct"/>
            <w:vMerge w:val="restart"/>
            <w:vAlign w:val="center"/>
          </w:tcPr>
          <w:p w14:paraId="78256413">
            <w:pPr>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员工总人数：</w:t>
            </w:r>
          </w:p>
        </w:tc>
        <w:tc>
          <w:tcPr>
            <w:tcW w:w="900" w:type="pct"/>
            <w:vMerge w:val="restart"/>
            <w:vAlign w:val="center"/>
          </w:tcPr>
          <w:p w14:paraId="3A750484">
            <w:pPr>
              <w:snapToGrid w:val="0"/>
              <w:spacing w:line="360" w:lineRule="auto"/>
              <w:rPr>
                <w:rFonts w:cs="仿宋" w:asciiTheme="majorEastAsia" w:hAnsiTheme="majorEastAsia" w:eastAsiaTheme="majorEastAsia"/>
                <w:kern w:val="0"/>
                <w:sz w:val="24"/>
                <w:lang w:val="zh-CN"/>
              </w:rPr>
            </w:pPr>
          </w:p>
        </w:tc>
        <w:tc>
          <w:tcPr>
            <w:tcW w:w="435" w:type="pct"/>
            <w:vMerge w:val="restart"/>
            <w:vAlign w:val="center"/>
          </w:tcPr>
          <w:p w14:paraId="533299A6">
            <w:pPr>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其中</w:t>
            </w:r>
          </w:p>
        </w:tc>
        <w:tc>
          <w:tcPr>
            <w:tcW w:w="1051" w:type="pct"/>
            <w:vAlign w:val="center"/>
          </w:tcPr>
          <w:p w14:paraId="47798D98">
            <w:pPr>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高级职称</w:t>
            </w:r>
          </w:p>
        </w:tc>
        <w:tc>
          <w:tcPr>
            <w:tcW w:w="1360" w:type="pct"/>
            <w:gridSpan w:val="2"/>
            <w:vAlign w:val="center"/>
          </w:tcPr>
          <w:p w14:paraId="22C8C7C1">
            <w:pPr>
              <w:snapToGrid w:val="0"/>
              <w:spacing w:line="360" w:lineRule="auto"/>
              <w:rPr>
                <w:rFonts w:cs="仿宋" w:asciiTheme="majorEastAsia" w:hAnsiTheme="majorEastAsia" w:eastAsiaTheme="majorEastAsia"/>
                <w:kern w:val="0"/>
                <w:sz w:val="24"/>
                <w:lang w:val="zh-CN"/>
              </w:rPr>
            </w:pPr>
          </w:p>
        </w:tc>
      </w:tr>
      <w:tr w14:paraId="265E2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jc w:val="center"/>
        </w:trPr>
        <w:tc>
          <w:tcPr>
            <w:tcW w:w="1254" w:type="pct"/>
            <w:vMerge w:val="continue"/>
            <w:vAlign w:val="center"/>
          </w:tcPr>
          <w:p w14:paraId="4D448E90">
            <w:pPr>
              <w:snapToGrid w:val="0"/>
              <w:spacing w:line="360" w:lineRule="auto"/>
              <w:rPr>
                <w:rFonts w:cs="仿宋" w:asciiTheme="majorEastAsia" w:hAnsiTheme="majorEastAsia" w:eastAsiaTheme="majorEastAsia"/>
                <w:kern w:val="0"/>
                <w:sz w:val="24"/>
                <w:lang w:val="zh-CN"/>
              </w:rPr>
            </w:pPr>
          </w:p>
        </w:tc>
        <w:tc>
          <w:tcPr>
            <w:tcW w:w="900" w:type="pct"/>
            <w:vMerge w:val="continue"/>
            <w:vAlign w:val="center"/>
          </w:tcPr>
          <w:p w14:paraId="26D02648">
            <w:pPr>
              <w:snapToGrid w:val="0"/>
              <w:spacing w:line="360" w:lineRule="auto"/>
              <w:rPr>
                <w:rFonts w:cs="仿宋" w:asciiTheme="majorEastAsia" w:hAnsiTheme="majorEastAsia" w:eastAsiaTheme="majorEastAsia"/>
                <w:kern w:val="0"/>
                <w:sz w:val="24"/>
                <w:lang w:val="zh-CN"/>
              </w:rPr>
            </w:pPr>
          </w:p>
        </w:tc>
        <w:tc>
          <w:tcPr>
            <w:tcW w:w="435" w:type="pct"/>
            <w:vMerge w:val="continue"/>
            <w:vAlign w:val="center"/>
          </w:tcPr>
          <w:p w14:paraId="2B038A72">
            <w:pPr>
              <w:snapToGrid w:val="0"/>
              <w:spacing w:line="360" w:lineRule="auto"/>
              <w:rPr>
                <w:rFonts w:cs="仿宋" w:asciiTheme="majorEastAsia" w:hAnsiTheme="majorEastAsia" w:eastAsiaTheme="majorEastAsia"/>
                <w:kern w:val="0"/>
                <w:sz w:val="24"/>
                <w:lang w:val="zh-CN"/>
              </w:rPr>
            </w:pPr>
          </w:p>
        </w:tc>
        <w:tc>
          <w:tcPr>
            <w:tcW w:w="1051" w:type="pct"/>
            <w:vAlign w:val="center"/>
          </w:tcPr>
          <w:p w14:paraId="2C8646AB">
            <w:pPr>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中级职称</w:t>
            </w:r>
          </w:p>
        </w:tc>
        <w:tc>
          <w:tcPr>
            <w:tcW w:w="1360" w:type="pct"/>
            <w:gridSpan w:val="2"/>
            <w:vAlign w:val="center"/>
          </w:tcPr>
          <w:p w14:paraId="43E97994">
            <w:pPr>
              <w:snapToGrid w:val="0"/>
              <w:spacing w:line="360" w:lineRule="auto"/>
              <w:rPr>
                <w:rFonts w:cs="仿宋" w:asciiTheme="majorEastAsia" w:hAnsiTheme="majorEastAsia" w:eastAsiaTheme="majorEastAsia"/>
                <w:kern w:val="0"/>
                <w:sz w:val="24"/>
                <w:lang w:val="zh-CN"/>
              </w:rPr>
            </w:pPr>
          </w:p>
        </w:tc>
      </w:tr>
      <w:tr w14:paraId="14DE8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254" w:type="pct"/>
            <w:vMerge w:val="continue"/>
            <w:vAlign w:val="center"/>
          </w:tcPr>
          <w:p w14:paraId="75CEE568">
            <w:pPr>
              <w:snapToGrid w:val="0"/>
              <w:spacing w:line="360" w:lineRule="auto"/>
              <w:rPr>
                <w:rFonts w:cs="仿宋" w:asciiTheme="majorEastAsia" w:hAnsiTheme="majorEastAsia" w:eastAsiaTheme="majorEastAsia"/>
                <w:kern w:val="0"/>
                <w:sz w:val="24"/>
                <w:lang w:val="zh-CN"/>
              </w:rPr>
            </w:pPr>
          </w:p>
        </w:tc>
        <w:tc>
          <w:tcPr>
            <w:tcW w:w="900" w:type="pct"/>
            <w:vMerge w:val="continue"/>
            <w:vAlign w:val="center"/>
          </w:tcPr>
          <w:p w14:paraId="251AAD22">
            <w:pPr>
              <w:snapToGrid w:val="0"/>
              <w:spacing w:line="360" w:lineRule="auto"/>
              <w:rPr>
                <w:rFonts w:cs="仿宋" w:asciiTheme="majorEastAsia" w:hAnsiTheme="majorEastAsia" w:eastAsiaTheme="majorEastAsia"/>
                <w:kern w:val="0"/>
                <w:sz w:val="24"/>
                <w:lang w:val="zh-CN"/>
              </w:rPr>
            </w:pPr>
          </w:p>
        </w:tc>
        <w:tc>
          <w:tcPr>
            <w:tcW w:w="435" w:type="pct"/>
            <w:vMerge w:val="continue"/>
            <w:vAlign w:val="center"/>
          </w:tcPr>
          <w:p w14:paraId="47B8E3B0">
            <w:pPr>
              <w:snapToGrid w:val="0"/>
              <w:spacing w:line="360" w:lineRule="auto"/>
              <w:rPr>
                <w:rFonts w:cs="仿宋" w:asciiTheme="majorEastAsia" w:hAnsiTheme="majorEastAsia" w:eastAsiaTheme="majorEastAsia"/>
                <w:kern w:val="0"/>
                <w:sz w:val="24"/>
                <w:lang w:val="zh-CN"/>
              </w:rPr>
            </w:pPr>
          </w:p>
        </w:tc>
        <w:tc>
          <w:tcPr>
            <w:tcW w:w="1051" w:type="pct"/>
            <w:vAlign w:val="center"/>
          </w:tcPr>
          <w:p w14:paraId="62347ADC">
            <w:pPr>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各类注册人员</w:t>
            </w:r>
          </w:p>
        </w:tc>
        <w:tc>
          <w:tcPr>
            <w:tcW w:w="1360" w:type="pct"/>
            <w:gridSpan w:val="2"/>
            <w:vAlign w:val="center"/>
          </w:tcPr>
          <w:p w14:paraId="2E9417BA">
            <w:pPr>
              <w:snapToGrid w:val="0"/>
              <w:spacing w:line="360" w:lineRule="auto"/>
              <w:rPr>
                <w:rFonts w:cs="仿宋" w:asciiTheme="majorEastAsia" w:hAnsiTheme="majorEastAsia" w:eastAsiaTheme="majorEastAsia"/>
                <w:kern w:val="0"/>
                <w:sz w:val="24"/>
                <w:lang w:val="zh-CN"/>
              </w:rPr>
            </w:pPr>
          </w:p>
        </w:tc>
      </w:tr>
      <w:tr w14:paraId="5B7B4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254" w:type="pct"/>
            <w:vAlign w:val="center"/>
          </w:tcPr>
          <w:p w14:paraId="25C03468">
            <w:pPr>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基本账户开户银行</w:t>
            </w:r>
          </w:p>
        </w:tc>
        <w:tc>
          <w:tcPr>
            <w:tcW w:w="3746" w:type="pct"/>
            <w:gridSpan w:val="5"/>
            <w:vAlign w:val="center"/>
          </w:tcPr>
          <w:p w14:paraId="387A3F87">
            <w:pPr>
              <w:snapToGrid w:val="0"/>
              <w:spacing w:line="360" w:lineRule="auto"/>
              <w:rPr>
                <w:rFonts w:cs="仿宋" w:asciiTheme="majorEastAsia" w:hAnsiTheme="majorEastAsia" w:eastAsiaTheme="majorEastAsia"/>
                <w:kern w:val="0"/>
                <w:sz w:val="24"/>
                <w:lang w:val="zh-CN"/>
              </w:rPr>
            </w:pPr>
          </w:p>
        </w:tc>
      </w:tr>
      <w:tr w14:paraId="6D026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254" w:type="pct"/>
            <w:vAlign w:val="center"/>
          </w:tcPr>
          <w:p w14:paraId="3A6DFE23">
            <w:pPr>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基本账户账号</w:t>
            </w:r>
          </w:p>
        </w:tc>
        <w:tc>
          <w:tcPr>
            <w:tcW w:w="3746" w:type="pct"/>
            <w:gridSpan w:val="5"/>
            <w:vAlign w:val="center"/>
          </w:tcPr>
          <w:p w14:paraId="7487D843">
            <w:pPr>
              <w:snapToGrid w:val="0"/>
              <w:spacing w:line="360" w:lineRule="auto"/>
              <w:rPr>
                <w:rFonts w:cs="仿宋" w:asciiTheme="majorEastAsia" w:hAnsiTheme="majorEastAsia" w:eastAsiaTheme="majorEastAsia"/>
                <w:kern w:val="0"/>
                <w:sz w:val="24"/>
                <w:lang w:val="zh-CN"/>
              </w:rPr>
            </w:pPr>
          </w:p>
        </w:tc>
      </w:tr>
      <w:tr w14:paraId="4D6C1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76" w:hRule="atLeast"/>
          <w:jc w:val="center"/>
        </w:trPr>
        <w:tc>
          <w:tcPr>
            <w:tcW w:w="1254" w:type="pct"/>
            <w:vAlign w:val="center"/>
          </w:tcPr>
          <w:p w14:paraId="659D47C0">
            <w:pPr>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经营范围</w:t>
            </w:r>
          </w:p>
        </w:tc>
        <w:tc>
          <w:tcPr>
            <w:tcW w:w="3746" w:type="pct"/>
            <w:gridSpan w:val="5"/>
            <w:vAlign w:val="center"/>
          </w:tcPr>
          <w:p w14:paraId="4A6CA7A6">
            <w:pPr>
              <w:snapToGrid w:val="0"/>
              <w:spacing w:line="360" w:lineRule="auto"/>
              <w:rPr>
                <w:rFonts w:cs="仿宋" w:asciiTheme="majorEastAsia" w:hAnsiTheme="majorEastAsia" w:eastAsiaTheme="majorEastAsia"/>
                <w:kern w:val="0"/>
                <w:sz w:val="24"/>
                <w:lang w:val="zh-CN"/>
              </w:rPr>
            </w:pPr>
          </w:p>
        </w:tc>
      </w:tr>
      <w:tr w14:paraId="7041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254" w:type="pct"/>
            <w:vAlign w:val="center"/>
          </w:tcPr>
          <w:p w14:paraId="3FEB026C">
            <w:pPr>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备注</w:t>
            </w:r>
          </w:p>
        </w:tc>
        <w:tc>
          <w:tcPr>
            <w:tcW w:w="3746" w:type="pct"/>
            <w:gridSpan w:val="5"/>
            <w:vAlign w:val="center"/>
          </w:tcPr>
          <w:p w14:paraId="631092C2">
            <w:pPr>
              <w:snapToGrid w:val="0"/>
              <w:spacing w:line="360" w:lineRule="auto"/>
              <w:rPr>
                <w:rFonts w:cs="仿宋" w:asciiTheme="majorEastAsia" w:hAnsiTheme="majorEastAsia" w:eastAsiaTheme="majorEastAsia"/>
                <w:kern w:val="0"/>
                <w:sz w:val="24"/>
                <w:lang w:val="zh-CN"/>
              </w:rPr>
            </w:pPr>
          </w:p>
        </w:tc>
      </w:tr>
    </w:tbl>
    <w:p w14:paraId="6F697508">
      <w:pPr>
        <w:snapToGrid w:val="0"/>
        <w:spacing w:line="360" w:lineRule="auto"/>
        <w:ind w:firstLine="482" w:firstLineChars="200"/>
        <w:rPr>
          <w:rFonts w:cs="仿宋" w:asciiTheme="majorEastAsia" w:hAnsiTheme="majorEastAsia" w:eastAsiaTheme="majorEastAsia"/>
          <w:b/>
          <w:bCs/>
          <w:kern w:val="0"/>
          <w:sz w:val="24"/>
          <w:lang w:val="zh-CN"/>
        </w:rPr>
      </w:pPr>
      <w:r>
        <w:rPr>
          <w:rFonts w:hint="eastAsia" w:cs="仿宋" w:asciiTheme="majorEastAsia" w:hAnsiTheme="majorEastAsia" w:eastAsiaTheme="majorEastAsia"/>
          <w:b/>
          <w:bCs/>
          <w:kern w:val="0"/>
          <w:sz w:val="24"/>
          <w:lang w:val="zh-CN"/>
        </w:rPr>
        <w:t>兹证明上述声明是真实、正确的，并提供了全部能提供的资料和数据，我们同意遵照贵方要求出示有关证明文件。</w:t>
      </w:r>
    </w:p>
    <w:p w14:paraId="54334E35">
      <w:pPr>
        <w:snapToGrid w:val="0"/>
        <w:spacing w:line="360" w:lineRule="auto"/>
        <w:rPr>
          <w:rFonts w:cs="仿宋" w:asciiTheme="majorEastAsia" w:hAnsiTheme="majorEastAsia" w:eastAsiaTheme="majorEastAsia"/>
          <w:kern w:val="0"/>
          <w:sz w:val="24"/>
          <w:lang w:val="zh-CN"/>
        </w:rPr>
      </w:pPr>
    </w:p>
    <w:p w14:paraId="685A1FF6">
      <w:pPr>
        <w:snapToGrid w:val="0"/>
        <w:spacing w:line="360" w:lineRule="auto"/>
        <w:ind w:firstLine="5040" w:firstLineChars="2100"/>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投标人（盖章）：</w:t>
      </w:r>
    </w:p>
    <w:p w14:paraId="7BEB8105">
      <w:pPr>
        <w:snapToGrid w:val="0"/>
        <w:spacing w:line="360" w:lineRule="auto"/>
        <w:ind w:firstLine="3360" w:firstLineChars="1400"/>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法定代表人或授权代理人（签名或盖章）：</w:t>
      </w:r>
    </w:p>
    <w:p w14:paraId="61C43389">
      <w:pPr>
        <w:snapToGrid w:val="0"/>
        <w:spacing w:line="360" w:lineRule="auto"/>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kern w:val="0"/>
          <w:sz w:val="24"/>
          <w:lang w:val="zh-CN"/>
        </w:rPr>
        <w:t xml:space="preserve">                                             日期：</w:t>
      </w:r>
    </w:p>
    <w:p w14:paraId="02371DBB">
      <w:pPr>
        <w:spacing w:line="800" w:lineRule="exact"/>
        <w:rPr>
          <w:rFonts w:ascii="新宋体" w:hAnsi="新宋体" w:eastAsia="新宋体" w:cs="新宋体"/>
          <w:b/>
          <w:sz w:val="24"/>
        </w:rPr>
      </w:pPr>
      <w:r>
        <w:rPr>
          <w:rFonts w:hint="eastAsia" w:cs="仿宋" w:asciiTheme="majorEastAsia" w:hAnsiTheme="majorEastAsia" w:eastAsiaTheme="majorEastAsia"/>
          <w:b/>
          <w:kern w:val="0"/>
          <w:sz w:val="32"/>
          <w:szCs w:val="32"/>
          <w:lang w:val="zh-CN"/>
        </w:rPr>
        <w:br w:type="page"/>
      </w:r>
      <w:r>
        <w:rPr>
          <w:rFonts w:hint="eastAsia" w:ascii="新宋体" w:hAnsi="新宋体" w:eastAsia="新宋体" w:cs="新宋体"/>
          <w:b/>
          <w:bCs/>
          <w:sz w:val="24"/>
        </w:rPr>
        <w:t>附件6</w:t>
      </w:r>
    </w:p>
    <w:p w14:paraId="04AB54FB">
      <w:pPr>
        <w:jc w:val="center"/>
        <w:rPr>
          <w:rFonts w:ascii="新宋体" w:hAnsi="新宋体" w:eastAsia="新宋体" w:cs="新宋体"/>
          <w:b/>
          <w:sz w:val="24"/>
        </w:rPr>
      </w:pPr>
    </w:p>
    <w:p w14:paraId="5470AB77">
      <w:pPr>
        <w:jc w:val="center"/>
        <w:rPr>
          <w:rFonts w:ascii="新宋体" w:hAnsi="新宋体" w:eastAsia="新宋体" w:cs="新宋体"/>
          <w:b/>
          <w:sz w:val="28"/>
          <w:szCs w:val="28"/>
        </w:rPr>
      </w:pPr>
      <w:r>
        <w:rPr>
          <w:rFonts w:hint="eastAsia" w:ascii="新宋体" w:hAnsi="新宋体" w:eastAsia="新宋体" w:cs="新宋体"/>
          <w:b/>
          <w:sz w:val="28"/>
          <w:szCs w:val="28"/>
        </w:rPr>
        <w:t>法定代表人授权委托书</w:t>
      </w:r>
    </w:p>
    <w:p w14:paraId="0A82B82D">
      <w:pPr>
        <w:jc w:val="center"/>
        <w:rPr>
          <w:rFonts w:ascii="新宋体" w:hAnsi="新宋体" w:eastAsia="新宋体" w:cs="新宋体"/>
          <w:sz w:val="24"/>
        </w:rPr>
      </w:pPr>
    </w:p>
    <w:p w14:paraId="58B8A00A">
      <w:pPr>
        <w:rPr>
          <w:rFonts w:ascii="新宋体" w:hAnsi="新宋体" w:eastAsia="新宋体" w:cs="新宋体"/>
          <w:sz w:val="24"/>
        </w:rPr>
      </w:pPr>
    </w:p>
    <w:p w14:paraId="73D234A4">
      <w:pPr>
        <w:snapToGrid w:val="0"/>
        <w:spacing w:line="360" w:lineRule="auto"/>
        <w:rPr>
          <w:rFonts w:ascii="宋体" w:hAnsi="宋体" w:cs="宋体"/>
          <w:kern w:val="0"/>
          <w:sz w:val="24"/>
        </w:rPr>
      </w:pPr>
      <w:r>
        <w:rPr>
          <w:rFonts w:hint="eastAsia" w:ascii="宋体" w:hAnsi="宋体" w:cs="宋体"/>
          <w:sz w:val="24"/>
          <w:u w:val="single"/>
        </w:rPr>
        <w:t>致（采购人）、（采购代理机构）</w:t>
      </w:r>
      <w:r>
        <w:rPr>
          <w:rFonts w:hint="eastAsia" w:ascii="宋体" w:hAnsi="宋体" w:cs="宋体"/>
          <w:kern w:val="0"/>
          <w:sz w:val="24"/>
          <w:lang w:val="zh-CN"/>
        </w:rPr>
        <w:t>：</w:t>
      </w:r>
    </w:p>
    <w:p w14:paraId="00BF87D5">
      <w:pPr>
        <w:snapToGrid w:val="0"/>
        <w:spacing w:line="360" w:lineRule="auto"/>
        <w:ind w:firstLine="576"/>
        <w:rPr>
          <w:rFonts w:ascii="宋体" w:hAnsi="宋体" w:cs="宋体"/>
          <w:kern w:val="0"/>
          <w:sz w:val="24"/>
        </w:rPr>
      </w:pPr>
      <w:r>
        <w:rPr>
          <w:rFonts w:hint="eastAsia" w:ascii="宋体" w:hAnsi="宋体" w:cs="宋体"/>
          <w:kern w:val="0"/>
          <w:sz w:val="24"/>
          <w:lang w:val="zh-CN"/>
        </w:rPr>
        <w:t>兹委派我公司</w:t>
      </w:r>
      <w:r>
        <w:rPr>
          <w:rFonts w:hint="eastAsia" w:ascii="宋体" w:hAnsi="宋体" w:cs="宋体"/>
          <w:kern w:val="0"/>
          <w:sz w:val="24"/>
          <w:u w:val="single"/>
          <w:lang w:val="zh-CN"/>
        </w:rPr>
        <w:t xml:space="preserve">                </w:t>
      </w:r>
      <w:r>
        <w:rPr>
          <w:rFonts w:hint="eastAsia" w:ascii="宋体" w:hAnsi="宋体" w:cs="宋体"/>
          <w:kern w:val="0"/>
          <w:sz w:val="24"/>
          <w:lang w:val="zh-CN"/>
        </w:rPr>
        <w:t>先生/女士(其在本公司的职务是：</w:t>
      </w:r>
      <w:r>
        <w:rPr>
          <w:rFonts w:hint="eastAsia" w:ascii="宋体" w:hAnsi="宋体" w:cs="宋体"/>
          <w:kern w:val="0"/>
          <w:sz w:val="24"/>
          <w:u w:val="single"/>
          <w:lang w:val="zh-CN"/>
        </w:rPr>
        <w:t xml:space="preserve">                </w:t>
      </w:r>
      <w:r>
        <w:rPr>
          <w:rFonts w:hint="eastAsia" w:ascii="宋体" w:hAnsi="宋体" w:cs="宋体"/>
          <w:kern w:val="0"/>
          <w:sz w:val="24"/>
          <w:lang w:val="zh-CN"/>
        </w:rPr>
        <w:t xml:space="preserve"> ，联系电话：</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传真：</w:t>
      </w:r>
      <w:r>
        <w:rPr>
          <w:rFonts w:hint="eastAsia" w:ascii="宋体" w:hAnsi="宋体" w:cs="宋体"/>
          <w:kern w:val="0"/>
          <w:sz w:val="24"/>
          <w:u w:val="single"/>
          <w:lang w:val="zh-CN"/>
        </w:rPr>
        <w:t xml:space="preserve">           </w:t>
      </w:r>
      <w:r>
        <w:rPr>
          <w:rFonts w:hint="eastAsia" w:ascii="宋体" w:hAnsi="宋体" w:cs="宋体"/>
          <w:kern w:val="0"/>
          <w:sz w:val="24"/>
          <w:lang w:val="zh-CN"/>
        </w:rPr>
        <w:t>)，代表我公司全权处理</w:t>
      </w:r>
      <w:r>
        <w:rPr>
          <w:rFonts w:hint="eastAsia" w:ascii="宋体" w:hAnsi="宋体" w:cs="宋体"/>
          <w:sz w:val="24"/>
        </w:rPr>
        <w:t>（项目名称）【项目编号：（采购编号）】</w:t>
      </w:r>
      <w:r>
        <w:rPr>
          <w:rFonts w:hint="eastAsia" w:ascii="宋体" w:hAnsi="宋体" w:cs="宋体"/>
          <w:kern w:val="0"/>
          <w:sz w:val="24"/>
          <w:lang w:val="zh-CN"/>
        </w:rPr>
        <w:t>采购活动响应的一切事项，若</w:t>
      </w:r>
      <w:r>
        <w:rPr>
          <w:rFonts w:hint="eastAsia" w:ascii="宋体" w:hAnsi="宋体" w:cs="宋体"/>
          <w:kern w:val="0"/>
          <w:sz w:val="24"/>
        </w:rPr>
        <w:t>中标</w:t>
      </w:r>
      <w:r>
        <w:rPr>
          <w:rFonts w:hint="eastAsia" w:ascii="宋体" w:hAnsi="宋体" w:cs="宋体"/>
          <w:kern w:val="0"/>
          <w:sz w:val="24"/>
          <w:lang w:val="zh-CN"/>
        </w:rPr>
        <w:t>则全权代表本公司签订相关合同，并负责处理合同履行等事宜。</w:t>
      </w:r>
    </w:p>
    <w:p w14:paraId="235F5E9A">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本委托书有效期：自    年</w:t>
      </w:r>
      <w:r>
        <w:rPr>
          <w:rFonts w:hint="eastAsia" w:ascii="宋体" w:hAnsi="宋体" w:cs="宋体"/>
          <w:kern w:val="0"/>
          <w:sz w:val="24"/>
        </w:rPr>
        <w:t xml:space="preserve"> </w:t>
      </w:r>
      <w:r>
        <w:rPr>
          <w:rFonts w:hint="eastAsia" w:ascii="宋体" w:hAnsi="宋体" w:cs="宋体"/>
          <w:kern w:val="0"/>
          <w:sz w:val="24"/>
          <w:lang w:val="zh-CN"/>
        </w:rPr>
        <w:t xml:space="preserve"> 月  日起至    年  月  日止。</w:t>
      </w:r>
    </w:p>
    <w:p w14:paraId="5A8955B3">
      <w:pPr>
        <w:snapToGrid w:val="0"/>
        <w:spacing w:line="360" w:lineRule="auto"/>
        <w:rPr>
          <w:rFonts w:ascii="宋体" w:hAnsi="宋体" w:cs="宋体"/>
          <w:kern w:val="0"/>
          <w:sz w:val="24"/>
        </w:rPr>
      </w:pPr>
      <w:r>
        <w:rPr>
          <w:rFonts w:hint="eastAsia" w:ascii="宋体" w:hAnsi="宋体" w:cs="宋体"/>
          <w:kern w:val="0"/>
          <w:sz w:val="24"/>
          <w:lang w:val="zh-CN"/>
        </w:rPr>
        <w:t xml:space="preserve">    特此告知。</w:t>
      </w:r>
    </w:p>
    <w:p w14:paraId="2829691C">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p>
    <w:p w14:paraId="0FBF4767">
      <w:pPr>
        <w:snapToGrid w:val="0"/>
        <w:spacing w:line="360" w:lineRule="auto"/>
        <w:rPr>
          <w:rFonts w:ascii="宋体" w:hAnsi="宋体" w:cs="宋体"/>
          <w:kern w:val="0"/>
          <w:sz w:val="24"/>
        </w:rPr>
      </w:pPr>
    </w:p>
    <w:p w14:paraId="7C415A32">
      <w:pPr>
        <w:snapToGrid w:val="0"/>
        <w:spacing w:line="360" w:lineRule="auto"/>
        <w:ind w:firstLine="4800" w:firstLineChars="2000"/>
        <w:rPr>
          <w:rFonts w:ascii="宋体" w:hAnsi="宋体" w:cs="宋体"/>
          <w:kern w:val="0"/>
          <w:sz w:val="24"/>
        </w:rPr>
      </w:pPr>
      <w:r>
        <w:rPr>
          <w:rFonts w:hint="eastAsia" w:ascii="宋体" w:hAnsi="宋体" w:cs="宋体"/>
          <w:kern w:val="0"/>
          <w:sz w:val="24"/>
          <w:lang w:val="zh-CN"/>
        </w:rPr>
        <w:t xml:space="preserve"> 供应商名称(电子签章)：</w:t>
      </w:r>
    </w:p>
    <w:p w14:paraId="580B6003">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w:t>
      </w:r>
      <w:r>
        <w:rPr>
          <w:rFonts w:hint="eastAsia" w:ascii="宋体" w:hAnsi="宋体" w:cs="宋体"/>
          <w:kern w:val="0"/>
          <w:sz w:val="24"/>
        </w:rPr>
        <w:t xml:space="preserve"> </w:t>
      </w:r>
      <w:r>
        <w:rPr>
          <w:rFonts w:hint="eastAsia" w:ascii="宋体" w:hAnsi="宋体" w:cs="宋体"/>
          <w:kern w:val="0"/>
          <w:sz w:val="24"/>
          <w:lang w:val="zh-CN"/>
        </w:rPr>
        <w:t xml:space="preserve">年  </w:t>
      </w:r>
      <w:r>
        <w:rPr>
          <w:rFonts w:hint="eastAsia" w:ascii="宋体" w:hAnsi="宋体" w:cs="宋体"/>
          <w:kern w:val="0"/>
          <w:sz w:val="24"/>
        </w:rPr>
        <w:t xml:space="preserve"> </w:t>
      </w:r>
      <w:r>
        <w:rPr>
          <w:rFonts w:hint="eastAsia" w:ascii="宋体" w:hAnsi="宋体" w:cs="宋体"/>
          <w:kern w:val="0"/>
          <w:sz w:val="24"/>
          <w:lang w:val="zh-CN"/>
        </w:rPr>
        <w:t>月   日</w:t>
      </w:r>
    </w:p>
    <w:p w14:paraId="694A3AC0">
      <w:pPr>
        <w:snapToGrid w:val="0"/>
        <w:spacing w:line="360" w:lineRule="auto"/>
        <w:rPr>
          <w:rFonts w:ascii="宋体" w:hAnsi="宋体" w:cs="宋体"/>
          <w:kern w:val="0"/>
          <w:sz w:val="24"/>
          <w:lang w:val="zh-CN"/>
        </w:rPr>
      </w:pPr>
    </w:p>
    <w:p w14:paraId="22A5F8EC">
      <w:pPr>
        <w:autoSpaceDE w:val="0"/>
        <w:autoSpaceDN w:val="0"/>
        <w:spacing w:line="360" w:lineRule="auto"/>
        <w:jc w:val="center"/>
        <w:rPr>
          <w:rFonts w:ascii="宋体" w:hAnsi="宋体" w:cs="宋体"/>
          <w:sz w:val="24"/>
        </w:rPr>
      </w:pPr>
    </w:p>
    <w:p w14:paraId="0A7F8B6F">
      <w:pPr>
        <w:pStyle w:val="67"/>
        <w:spacing w:line="360" w:lineRule="auto"/>
        <w:ind w:firstLine="720" w:firstLineChars="300"/>
        <w:rPr>
          <w:rFonts w:hAnsi="宋体" w:cs="宋体"/>
          <w:bCs/>
          <w:sz w:val="24"/>
          <w:szCs w:val="24"/>
        </w:rPr>
      </w:pPr>
      <w:r>
        <w:rPr>
          <w:rFonts w:hint="eastAsia" w:hAnsi="宋体" w:cs="宋体"/>
          <w:bCs/>
          <w:sz w:val="24"/>
          <w:szCs w:val="24"/>
        </w:rPr>
        <w:t>附：法定代表人及授权代表身份证件扫描件：</w:t>
      </w:r>
    </w:p>
    <w:tbl>
      <w:tblPr>
        <w:tblStyle w:val="29"/>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4320"/>
      </w:tblGrid>
      <w:tr w14:paraId="0EA99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2" w:hRule="atLeast"/>
          <w:jc w:val="center"/>
        </w:trPr>
        <w:tc>
          <w:tcPr>
            <w:tcW w:w="4320" w:type="dxa"/>
          </w:tcPr>
          <w:p w14:paraId="0EB43F25">
            <w:pPr>
              <w:pStyle w:val="67"/>
              <w:spacing w:line="360" w:lineRule="auto"/>
              <w:jc w:val="left"/>
              <w:rPr>
                <w:rFonts w:hAnsi="宋体" w:cs="宋体"/>
                <w:bCs/>
                <w:sz w:val="24"/>
                <w:szCs w:val="24"/>
              </w:rPr>
            </w:pPr>
            <w:r>
              <w:rPr>
                <w:rFonts w:hint="eastAsia" w:hAnsi="宋体" w:cs="宋体"/>
                <w:bCs/>
                <w:sz w:val="24"/>
                <w:szCs w:val="24"/>
              </w:rPr>
              <w:t>正面：                        反面：</w:t>
            </w:r>
          </w:p>
          <w:p w14:paraId="25BA5D32">
            <w:pPr>
              <w:pStyle w:val="67"/>
              <w:spacing w:line="360" w:lineRule="auto"/>
              <w:rPr>
                <w:rFonts w:hAnsi="宋体" w:cs="宋体"/>
                <w:bCs/>
                <w:sz w:val="24"/>
                <w:szCs w:val="24"/>
              </w:rPr>
            </w:pPr>
          </w:p>
        </w:tc>
        <w:tc>
          <w:tcPr>
            <w:tcW w:w="4320" w:type="dxa"/>
          </w:tcPr>
          <w:p w14:paraId="337E0CF8">
            <w:pPr>
              <w:pStyle w:val="67"/>
              <w:spacing w:line="360" w:lineRule="auto"/>
              <w:jc w:val="left"/>
              <w:rPr>
                <w:rFonts w:hAnsi="宋体" w:cs="宋体"/>
                <w:bCs/>
                <w:sz w:val="24"/>
                <w:szCs w:val="24"/>
              </w:rPr>
            </w:pPr>
            <w:r>
              <w:rPr>
                <w:rFonts w:hint="eastAsia" w:hAnsi="宋体" w:cs="宋体"/>
                <w:bCs/>
                <w:sz w:val="24"/>
                <w:szCs w:val="24"/>
              </w:rPr>
              <w:t>正面：                        反面：</w:t>
            </w:r>
          </w:p>
          <w:p w14:paraId="5B0ECA42">
            <w:pPr>
              <w:pStyle w:val="67"/>
              <w:spacing w:line="360" w:lineRule="auto"/>
              <w:rPr>
                <w:rFonts w:hAnsi="宋体" w:cs="宋体"/>
                <w:bCs/>
                <w:sz w:val="24"/>
                <w:szCs w:val="24"/>
              </w:rPr>
            </w:pPr>
          </w:p>
        </w:tc>
      </w:tr>
    </w:tbl>
    <w:p w14:paraId="6D3D7B35">
      <w:pPr>
        <w:snapToGrid w:val="0"/>
        <w:spacing w:before="50" w:after="50"/>
        <w:jc w:val="center"/>
        <w:rPr>
          <w:rFonts w:ascii="新宋体" w:hAnsi="新宋体" w:eastAsia="新宋体" w:cs="新宋体"/>
          <w:b/>
          <w:bCs/>
          <w:kern w:val="0"/>
          <w:sz w:val="24"/>
        </w:rPr>
      </w:pPr>
      <w:r>
        <w:rPr>
          <w:rFonts w:hint="eastAsia" w:ascii="新宋体" w:hAnsi="新宋体" w:eastAsia="新宋体" w:cs="新宋体"/>
          <w:b/>
          <w:bCs/>
          <w:kern w:val="0"/>
          <w:sz w:val="24"/>
        </w:rPr>
        <w:t xml:space="preserve">                                                                                                                                                                                                                                                                                                                                                                                                                                                                                                                                                                                                                                                                                                                                                                                                                                                                                                                                                                                                                                                                                                                                                                                                                                                                                                                                                                                                                                                                                                                                                                                                                                                                                                                                                                                                                                                                                                                                                                                                                                                                                                                                                                                                                                                                                                                                                                                                                                                                                                                                                                                                                                                                                                                                                                                                                                                                                                                                                                                                                                                                                                                                                                                                                                                                                                                                                                                                                                                                                       </w:t>
      </w:r>
      <w:bookmarkStart w:id="87" w:name="_Toc384363150"/>
    </w:p>
    <w:p w14:paraId="66B6AC95">
      <w:pPr>
        <w:snapToGrid w:val="0"/>
        <w:spacing w:before="50" w:after="50"/>
        <w:jc w:val="center"/>
        <w:rPr>
          <w:rFonts w:ascii="新宋体" w:hAnsi="新宋体" w:eastAsia="新宋体" w:cs="新宋体"/>
          <w:b/>
          <w:bCs/>
          <w:kern w:val="0"/>
          <w:sz w:val="24"/>
        </w:rPr>
      </w:pPr>
    </w:p>
    <w:bookmarkEnd w:id="87"/>
    <w:p w14:paraId="3CE50596">
      <w:pPr>
        <w:spacing w:line="500" w:lineRule="exact"/>
        <w:jc w:val="center"/>
        <w:rPr>
          <w:rFonts w:ascii="宋体" w:hAnsi="宋体" w:cs="宋体"/>
          <w:b/>
          <w:bCs/>
          <w:kern w:val="0"/>
          <w:sz w:val="24"/>
        </w:rPr>
      </w:pPr>
      <w:bookmarkStart w:id="88" w:name="_Toc384363154"/>
    </w:p>
    <w:p w14:paraId="0C652C56">
      <w:pPr>
        <w:spacing w:line="500" w:lineRule="exact"/>
        <w:jc w:val="center"/>
        <w:rPr>
          <w:rFonts w:ascii="宋体" w:hAnsi="宋体" w:cs="宋体"/>
          <w:b/>
          <w:bCs/>
          <w:kern w:val="0"/>
          <w:sz w:val="24"/>
        </w:rPr>
      </w:pPr>
    </w:p>
    <w:p w14:paraId="043A0227">
      <w:pPr>
        <w:spacing w:line="500" w:lineRule="exact"/>
        <w:jc w:val="center"/>
        <w:rPr>
          <w:rFonts w:ascii="宋体" w:hAnsi="宋体" w:cs="宋体"/>
          <w:b/>
          <w:bCs/>
          <w:kern w:val="0"/>
          <w:sz w:val="24"/>
        </w:rPr>
      </w:pPr>
    </w:p>
    <w:p w14:paraId="55E28A6B">
      <w:pPr>
        <w:jc w:val="center"/>
        <w:rPr>
          <w:rFonts w:ascii="新宋体" w:hAnsi="新宋体" w:eastAsia="新宋体" w:cs="新宋体"/>
          <w:b/>
          <w:sz w:val="28"/>
          <w:szCs w:val="28"/>
        </w:rPr>
      </w:pPr>
      <w:r>
        <w:rPr>
          <w:rFonts w:hint="eastAsia" w:ascii="新宋体" w:hAnsi="新宋体" w:eastAsia="新宋体" w:cs="新宋体"/>
          <w:b/>
          <w:sz w:val="28"/>
          <w:szCs w:val="28"/>
        </w:rPr>
        <w:t>法定代表人身份证明</w:t>
      </w:r>
    </w:p>
    <w:p w14:paraId="1FDF9520">
      <w:pPr>
        <w:widowControl/>
        <w:spacing w:line="420" w:lineRule="atLeast"/>
        <w:jc w:val="center"/>
        <w:rPr>
          <w:rFonts w:ascii="宋体" w:hAnsi="宋体" w:cs="宋体"/>
          <w:b/>
          <w:bCs/>
          <w:kern w:val="0"/>
          <w:sz w:val="24"/>
        </w:rPr>
      </w:pPr>
      <w:r>
        <w:rPr>
          <w:rFonts w:hint="eastAsia" w:ascii="宋体" w:hAnsi="宋体" w:cs="宋体"/>
          <w:b/>
          <w:bCs/>
          <w:kern w:val="0"/>
          <w:sz w:val="24"/>
        </w:rPr>
        <w:t xml:space="preserve"> </w:t>
      </w:r>
    </w:p>
    <w:p w14:paraId="30FEB476">
      <w:pPr>
        <w:widowControl/>
        <w:spacing w:line="420" w:lineRule="atLeast"/>
        <w:ind w:firstLine="480"/>
        <w:jc w:val="left"/>
        <w:rPr>
          <w:rFonts w:ascii="宋体" w:hAnsi="宋体" w:cs="宋体"/>
          <w:kern w:val="0"/>
          <w:sz w:val="24"/>
        </w:rPr>
      </w:pPr>
      <w:r>
        <w:rPr>
          <w:rFonts w:hint="eastAsia" w:ascii="宋体" w:hAnsi="宋体" w:cs="宋体"/>
          <w:kern w:val="0"/>
          <w:sz w:val="24"/>
        </w:rPr>
        <w:t xml:space="preserve"> </w:t>
      </w:r>
    </w:p>
    <w:p w14:paraId="615F86BA">
      <w:pPr>
        <w:widowControl/>
        <w:adjustRightInd/>
        <w:spacing w:line="360" w:lineRule="auto"/>
        <w:ind w:firstLine="480" w:firstLineChars="200"/>
        <w:rPr>
          <w:rFonts w:ascii="宋体" w:hAnsi="宋体" w:cs="宋体"/>
          <w:kern w:val="0"/>
          <w:sz w:val="24"/>
          <w:u w:val="single"/>
        </w:rPr>
      </w:pPr>
      <w:r>
        <w:rPr>
          <w:rFonts w:hint="eastAsia" w:ascii="宋体" w:hAnsi="宋体" w:cs="宋体"/>
          <w:kern w:val="0"/>
          <w:sz w:val="24"/>
        </w:rPr>
        <w:t>投标人：</w:t>
      </w:r>
    </w:p>
    <w:p w14:paraId="1DAF8DC4">
      <w:pPr>
        <w:widowControl/>
        <w:adjustRightInd/>
        <w:spacing w:line="360" w:lineRule="auto"/>
        <w:ind w:firstLine="480" w:firstLineChars="200"/>
        <w:rPr>
          <w:rFonts w:ascii="宋体" w:hAnsi="宋体" w:cs="宋体"/>
          <w:kern w:val="0"/>
          <w:sz w:val="24"/>
        </w:rPr>
      </w:pPr>
      <w:r>
        <w:rPr>
          <w:rFonts w:hint="eastAsia" w:ascii="宋体" w:hAnsi="宋体" w:cs="宋体"/>
          <w:kern w:val="0"/>
          <w:sz w:val="24"/>
        </w:rPr>
        <w:t>地址：</w:t>
      </w:r>
    </w:p>
    <w:p w14:paraId="736AC443">
      <w:pPr>
        <w:widowControl/>
        <w:adjustRightInd/>
        <w:spacing w:line="360" w:lineRule="auto"/>
        <w:ind w:firstLine="480" w:firstLineChars="200"/>
        <w:rPr>
          <w:rFonts w:ascii="宋体" w:hAnsi="宋体" w:cs="宋体"/>
          <w:kern w:val="0"/>
          <w:sz w:val="24"/>
        </w:rPr>
      </w:pPr>
      <w:r>
        <w:rPr>
          <w:rFonts w:hint="eastAsia" w:ascii="宋体" w:hAnsi="宋体" w:cs="宋体"/>
          <w:kern w:val="0"/>
          <w:sz w:val="24"/>
        </w:rPr>
        <w:t>姓名：</w:t>
      </w:r>
    </w:p>
    <w:p w14:paraId="2D9D6EA0">
      <w:pPr>
        <w:widowControl/>
        <w:adjustRightInd/>
        <w:spacing w:line="360" w:lineRule="auto"/>
        <w:ind w:firstLine="480" w:firstLineChars="200"/>
        <w:rPr>
          <w:rFonts w:ascii="宋体" w:hAnsi="宋体" w:cs="宋体"/>
          <w:kern w:val="0"/>
          <w:sz w:val="24"/>
        </w:rPr>
      </w:pPr>
      <w:r>
        <w:rPr>
          <w:rFonts w:hint="eastAsia" w:ascii="宋体" w:hAnsi="宋体" w:cs="宋体"/>
          <w:kern w:val="0"/>
          <w:sz w:val="24"/>
        </w:rPr>
        <w:t>身份证号码：</w:t>
      </w:r>
    </w:p>
    <w:p w14:paraId="23F3D6C5">
      <w:pPr>
        <w:widowControl/>
        <w:adjustRightInd/>
        <w:spacing w:line="360" w:lineRule="auto"/>
        <w:ind w:firstLine="480" w:firstLineChars="200"/>
        <w:rPr>
          <w:rFonts w:ascii="宋体" w:hAnsi="宋体" w:cs="宋体"/>
          <w:kern w:val="0"/>
          <w:sz w:val="24"/>
        </w:rPr>
      </w:pPr>
      <w:r>
        <w:rPr>
          <w:rFonts w:hint="eastAsia" w:ascii="宋体" w:hAnsi="宋体" w:cs="宋体"/>
          <w:kern w:val="0"/>
          <w:sz w:val="24"/>
        </w:rPr>
        <w:t>职务：</w:t>
      </w:r>
    </w:p>
    <w:p w14:paraId="3AF5CCD8">
      <w:pPr>
        <w:widowControl/>
        <w:adjustRightInd/>
        <w:spacing w:line="360" w:lineRule="auto"/>
        <w:ind w:firstLine="480" w:firstLineChars="200"/>
        <w:rPr>
          <w:rFonts w:ascii="宋体" w:hAnsi="宋体" w:cs="宋体"/>
          <w:kern w:val="0"/>
          <w:sz w:val="24"/>
        </w:rPr>
      </w:pPr>
      <w:r>
        <w:rPr>
          <w:rFonts w:hint="eastAsia" w:ascii="宋体" w:hAnsi="宋体" w:cs="宋体"/>
          <w:kern w:val="0"/>
          <w:sz w:val="24"/>
        </w:rPr>
        <w:t>系</w:t>
      </w:r>
      <w:r>
        <w:rPr>
          <w:rFonts w:hint="eastAsia" w:ascii="宋体" w:hAnsi="宋体" w:cs="宋体"/>
          <w:kern w:val="0"/>
          <w:sz w:val="24"/>
          <w:u w:val="single"/>
        </w:rPr>
        <w:t xml:space="preserve">                           （填写投标人名称）</w:t>
      </w:r>
      <w:r>
        <w:rPr>
          <w:rFonts w:hint="eastAsia" w:ascii="宋体" w:hAnsi="宋体" w:cs="宋体"/>
          <w:kern w:val="0"/>
          <w:sz w:val="24"/>
        </w:rPr>
        <w:t>的法定代表人。</w:t>
      </w:r>
    </w:p>
    <w:p w14:paraId="34CB038A">
      <w:pPr>
        <w:widowControl/>
        <w:adjustRightInd/>
        <w:spacing w:line="360" w:lineRule="auto"/>
        <w:ind w:firstLine="1080"/>
        <w:rPr>
          <w:rFonts w:ascii="宋体" w:hAnsi="宋体" w:cs="宋体"/>
          <w:kern w:val="0"/>
          <w:sz w:val="24"/>
        </w:rPr>
      </w:pPr>
      <w:r>
        <w:rPr>
          <w:rFonts w:hint="eastAsia" w:ascii="宋体" w:hAnsi="宋体" w:cs="宋体"/>
          <w:kern w:val="0"/>
          <w:sz w:val="24"/>
        </w:rPr>
        <w:t>特此证明。</w:t>
      </w:r>
    </w:p>
    <w:p w14:paraId="4E31FB41">
      <w:pPr>
        <w:widowControl/>
        <w:adjustRightInd/>
        <w:spacing w:line="360" w:lineRule="auto"/>
        <w:rPr>
          <w:rFonts w:ascii="宋体" w:hAnsi="宋体" w:cs="宋体"/>
          <w:kern w:val="0"/>
          <w:sz w:val="24"/>
        </w:rPr>
      </w:pPr>
      <w:r>
        <w:rPr>
          <w:rFonts w:hint="eastAsia" w:ascii="宋体" w:hAnsi="宋体" w:cs="宋体"/>
          <w:kern w:val="0"/>
          <w:sz w:val="24"/>
        </w:rPr>
        <w:t xml:space="preserve"> </w:t>
      </w:r>
    </w:p>
    <w:p w14:paraId="3B220DD4">
      <w:pPr>
        <w:widowControl/>
        <w:adjustRightInd/>
        <w:spacing w:line="360" w:lineRule="auto"/>
        <w:rPr>
          <w:rFonts w:ascii="宋体" w:hAnsi="宋体" w:cs="宋体"/>
          <w:kern w:val="0"/>
          <w:sz w:val="24"/>
        </w:rPr>
      </w:pPr>
      <w:r>
        <w:rPr>
          <w:rFonts w:hint="eastAsia" w:ascii="宋体" w:hAnsi="宋体" w:cs="宋体"/>
          <w:kern w:val="0"/>
          <w:sz w:val="24"/>
        </w:rPr>
        <w:t xml:space="preserve"> </w:t>
      </w:r>
    </w:p>
    <w:p w14:paraId="0B19C580">
      <w:pPr>
        <w:widowControl/>
        <w:adjustRightInd/>
        <w:spacing w:line="360" w:lineRule="auto"/>
        <w:ind w:firstLine="5308" w:firstLineChars="2212"/>
        <w:rPr>
          <w:rFonts w:ascii="宋体" w:hAnsi="宋体" w:cs="宋体"/>
          <w:kern w:val="0"/>
          <w:sz w:val="24"/>
        </w:rPr>
      </w:pPr>
      <w:r>
        <w:rPr>
          <w:rFonts w:hint="eastAsia" w:ascii="宋体" w:hAnsi="宋体" w:cs="宋体"/>
          <w:kern w:val="0"/>
          <w:sz w:val="24"/>
          <w:lang w:val="zh-CN"/>
        </w:rPr>
        <w:t>供应商名称(电子签章)：</w:t>
      </w:r>
    </w:p>
    <w:p w14:paraId="346D7CD2">
      <w:pPr>
        <w:widowControl/>
        <w:adjustRightInd/>
        <w:spacing w:line="360" w:lineRule="auto"/>
        <w:rPr>
          <w:rFonts w:ascii="宋体" w:hAnsi="宋体" w:cs="宋体"/>
          <w:kern w:val="0"/>
          <w:sz w:val="24"/>
          <w:u w:val="single"/>
        </w:rPr>
      </w:pPr>
    </w:p>
    <w:p w14:paraId="30B1608B">
      <w:pPr>
        <w:widowControl/>
        <w:adjustRightInd/>
        <w:spacing w:line="360" w:lineRule="auto"/>
        <w:jc w:val="right"/>
        <w:rPr>
          <w:rFonts w:ascii="宋体" w:hAnsi="宋体" w:cs="宋体"/>
          <w:kern w:val="0"/>
          <w:sz w:val="24"/>
        </w:rPr>
      </w:pPr>
      <w:r>
        <w:rPr>
          <w:rFonts w:hint="eastAsia" w:ascii="宋体" w:hAnsi="宋体" w:cs="宋体"/>
          <w:kern w:val="0"/>
          <w:sz w:val="24"/>
        </w:rPr>
        <w:t>日期：</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 xml:space="preserve">日 </w:t>
      </w:r>
    </w:p>
    <w:p w14:paraId="697B2DD6">
      <w:pPr>
        <w:widowControl/>
        <w:spacing w:line="420" w:lineRule="atLeast"/>
        <w:jc w:val="center"/>
        <w:rPr>
          <w:rFonts w:ascii="宋体" w:hAnsi="宋体" w:cs="宋体"/>
          <w:kern w:val="0"/>
          <w:sz w:val="24"/>
        </w:rPr>
      </w:pPr>
    </w:p>
    <w:p w14:paraId="2E54E13C">
      <w:pPr>
        <w:pStyle w:val="17"/>
        <w:spacing w:before="156" w:after="156" w:line="440" w:lineRule="atLeast"/>
        <w:jc w:val="center"/>
        <w:rPr>
          <w:rFonts w:hAnsi="宋体"/>
          <w:b/>
        </w:rPr>
      </w:pPr>
    </w:p>
    <w:p w14:paraId="029748A7">
      <w:pPr>
        <w:pStyle w:val="17"/>
        <w:spacing w:before="156" w:after="156" w:line="440" w:lineRule="atLeast"/>
        <w:jc w:val="left"/>
        <w:rPr>
          <w:rFonts w:hAnsi="宋体"/>
          <w:bCs/>
        </w:rPr>
      </w:pPr>
      <w:r>
        <w:rPr>
          <w:rFonts w:hint="eastAsia" w:hAnsi="宋体"/>
          <w:bCs/>
        </w:rPr>
        <w:t>附：法定代表人身份证扫描件</w:t>
      </w:r>
    </w:p>
    <w:tbl>
      <w:tblPr>
        <w:tblStyle w:val="29"/>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14:paraId="512D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34" w:hRule="atLeast"/>
          <w:jc w:val="center"/>
        </w:trPr>
        <w:tc>
          <w:tcPr>
            <w:tcW w:w="8900" w:type="dxa"/>
          </w:tcPr>
          <w:p w14:paraId="3743A747">
            <w:pPr>
              <w:pStyle w:val="67"/>
              <w:spacing w:line="360" w:lineRule="auto"/>
              <w:rPr>
                <w:rFonts w:hAnsi="宋体" w:cs="宋体"/>
                <w:bCs/>
                <w:sz w:val="24"/>
                <w:szCs w:val="24"/>
              </w:rPr>
            </w:pPr>
            <w:r>
              <w:rPr>
                <w:rFonts w:hint="eastAsia" w:hAnsi="宋体" w:cs="宋体"/>
                <w:bCs/>
                <w:sz w:val="24"/>
                <w:szCs w:val="24"/>
              </w:rPr>
              <w:t>正面：                                 反面：</w:t>
            </w:r>
          </w:p>
          <w:p w14:paraId="5C1C59C0">
            <w:pPr>
              <w:pStyle w:val="67"/>
              <w:spacing w:line="360" w:lineRule="auto"/>
              <w:rPr>
                <w:rFonts w:hAnsi="宋体" w:cs="宋体"/>
                <w:bCs/>
                <w:sz w:val="24"/>
                <w:szCs w:val="24"/>
              </w:rPr>
            </w:pPr>
          </w:p>
        </w:tc>
      </w:tr>
    </w:tbl>
    <w:p w14:paraId="2FFD789F">
      <w:pPr>
        <w:spacing w:line="360" w:lineRule="auto"/>
        <w:rPr>
          <w:rFonts w:ascii="新宋体" w:hAnsi="新宋体" w:eastAsia="新宋体" w:cs="新宋体"/>
          <w:b/>
          <w:bCs/>
          <w:sz w:val="24"/>
        </w:rPr>
      </w:pPr>
    </w:p>
    <w:p w14:paraId="0CCACA5E">
      <w:pPr>
        <w:spacing w:line="360" w:lineRule="auto"/>
        <w:rPr>
          <w:rFonts w:ascii="新宋体" w:hAnsi="新宋体" w:eastAsia="新宋体" w:cs="新宋体"/>
          <w:b/>
          <w:bCs/>
          <w:sz w:val="24"/>
        </w:rPr>
      </w:pPr>
    </w:p>
    <w:p w14:paraId="3F8573B2">
      <w:pPr>
        <w:rPr>
          <w:rFonts w:ascii="新宋体" w:hAnsi="新宋体" w:eastAsia="新宋体" w:cs="新宋体"/>
          <w:b/>
          <w:sz w:val="24"/>
        </w:rPr>
      </w:pPr>
      <w:r>
        <w:rPr>
          <w:rFonts w:hint="eastAsia" w:ascii="新宋体" w:hAnsi="新宋体" w:eastAsia="新宋体" w:cs="新宋体"/>
          <w:b/>
          <w:sz w:val="24"/>
        </w:rPr>
        <w:br w:type="page"/>
      </w:r>
    </w:p>
    <w:p w14:paraId="1211465C">
      <w:pPr>
        <w:spacing w:line="360" w:lineRule="auto"/>
        <w:jc w:val="left"/>
        <w:rPr>
          <w:rFonts w:ascii="宋体" w:hAnsi="宋体"/>
          <w:b/>
          <w:bCs/>
          <w:szCs w:val="21"/>
        </w:rPr>
      </w:pPr>
      <w:r>
        <w:rPr>
          <w:rFonts w:hint="eastAsia" w:ascii="新宋体" w:hAnsi="新宋体" w:eastAsia="新宋体" w:cs="新宋体"/>
          <w:b/>
          <w:sz w:val="24"/>
        </w:rPr>
        <w:t>附件7</w:t>
      </w:r>
    </w:p>
    <w:p w14:paraId="78114866">
      <w:pPr>
        <w:spacing w:line="360" w:lineRule="auto"/>
        <w:jc w:val="center"/>
        <w:rPr>
          <w:rFonts w:ascii="宋体" w:hAnsi="宋体"/>
          <w:b/>
          <w:bCs/>
          <w:sz w:val="28"/>
          <w:szCs w:val="28"/>
        </w:rPr>
      </w:pPr>
      <w:r>
        <w:rPr>
          <w:rFonts w:hint="eastAsia" w:ascii="宋体" w:hAnsi="宋体"/>
          <w:b/>
          <w:bCs/>
          <w:sz w:val="28"/>
          <w:szCs w:val="28"/>
        </w:rPr>
        <w:t>投标标的清单</w:t>
      </w:r>
    </w:p>
    <w:tbl>
      <w:tblPr>
        <w:tblStyle w:val="29"/>
        <w:tblW w:w="8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898"/>
        <w:gridCol w:w="830"/>
      </w:tblGrid>
      <w:tr w14:paraId="1B9F3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05A826BC">
            <w:pPr>
              <w:spacing w:line="360" w:lineRule="auto"/>
              <w:jc w:val="center"/>
              <w:rPr>
                <w:rFonts w:ascii="宋体" w:hAnsi="宋体" w:cs="宋体"/>
                <w:b/>
                <w:szCs w:val="21"/>
              </w:rPr>
            </w:pPr>
            <w:r>
              <w:rPr>
                <w:rFonts w:hint="eastAsia" w:ascii="宋体" w:hAnsi="宋体" w:cs="宋体"/>
                <w:b/>
                <w:szCs w:val="21"/>
              </w:rPr>
              <w:t>序号</w:t>
            </w:r>
          </w:p>
        </w:tc>
        <w:tc>
          <w:tcPr>
            <w:tcW w:w="1531" w:type="dxa"/>
            <w:vAlign w:val="center"/>
          </w:tcPr>
          <w:p w14:paraId="59C74471">
            <w:pPr>
              <w:spacing w:line="360" w:lineRule="auto"/>
              <w:jc w:val="center"/>
              <w:rPr>
                <w:rFonts w:ascii="宋体" w:hAnsi="宋体" w:cs="宋体"/>
                <w:b/>
                <w:szCs w:val="21"/>
              </w:rPr>
            </w:pPr>
            <w:r>
              <w:rPr>
                <w:rFonts w:hint="eastAsia" w:ascii="宋体" w:hAnsi="宋体" w:cs="宋体"/>
                <w:b/>
                <w:szCs w:val="21"/>
              </w:rPr>
              <w:t>产品名称</w:t>
            </w:r>
          </w:p>
        </w:tc>
        <w:tc>
          <w:tcPr>
            <w:tcW w:w="2160" w:type="dxa"/>
            <w:vAlign w:val="center"/>
          </w:tcPr>
          <w:p w14:paraId="31DC8705">
            <w:pPr>
              <w:spacing w:line="360" w:lineRule="auto"/>
              <w:jc w:val="center"/>
              <w:rPr>
                <w:rFonts w:ascii="宋体" w:hAnsi="宋体" w:cs="宋体"/>
                <w:b/>
                <w:szCs w:val="21"/>
              </w:rPr>
            </w:pPr>
            <w:r>
              <w:rPr>
                <w:rFonts w:hint="eastAsia" w:ascii="宋体" w:hAnsi="宋体" w:cs="宋体"/>
                <w:b/>
                <w:szCs w:val="21"/>
              </w:rPr>
              <w:t>投标品牌及型号</w:t>
            </w:r>
          </w:p>
        </w:tc>
        <w:tc>
          <w:tcPr>
            <w:tcW w:w="2340" w:type="dxa"/>
            <w:vAlign w:val="center"/>
          </w:tcPr>
          <w:p w14:paraId="3A38A342">
            <w:pPr>
              <w:spacing w:line="360" w:lineRule="auto"/>
              <w:jc w:val="center"/>
              <w:rPr>
                <w:rFonts w:ascii="宋体" w:hAnsi="宋体" w:cs="宋体"/>
                <w:b/>
                <w:szCs w:val="21"/>
              </w:rPr>
            </w:pPr>
            <w:r>
              <w:rPr>
                <w:rFonts w:hint="eastAsia" w:ascii="宋体" w:hAnsi="宋体" w:cs="宋体"/>
                <w:b/>
                <w:szCs w:val="21"/>
              </w:rPr>
              <w:t>规格配置详细说明</w:t>
            </w:r>
          </w:p>
        </w:tc>
        <w:tc>
          <w:tcPr>
            <w:tcW w:w="898" w:type="dxa"/>
            <w:vAlign w:val="center"/>
          </w:tcPr>
          <w:p w14:paraId="6CD92313">
            <w:pPr>
              <w:spacing w:line="360" w:lineRule="auto"/>
              <w:jc w:val="center"/>
              <w:rPr>
                <w:rFonts w:ascii="宋体" w:hAnsi="宋体" w:cs="宋体"/>
                <w:b/>
                <w:szCs w:val="21"/>
              </w:rPr>
            </w:pPr>
            <w:r>
              <w:rPr>
                <w:rFonts w:hint="eastAsia" w:ascii="宋体" w:hAnsi="宋体" w:cs="宋体"/>
                <w:b/>
                <w:szCs w:val="21"/>
              </w:rPr>
              <w:t>数量</w:t>
            </w:r>
          </w:p>
        </w:tc>
        <w:tc>
          <w:tcPr>
            <w:tcW w:w="830" w:type="dxa"/>
            <w:vAlign w:val="center"/>
          </w:tcPr>
          <w:p w14:paraId="7ECCA849">
            <w:pPr>
              <w:spacing w:line="360" w:lineRule="auto"/>
              <w:jc w:val="center"/>
              <w:rPr>
                <w:rFonts w:ascii="宋体" w:hAnsi="宋体" w:cs="宋体"/>
                <w:b/>
                <w:szCs w:val="21"/>
              </w:rPr>
            </w:pPr>
            <w:r>
              <w:rPr>
                <w:rFonts w:hint="eastAsia" w:ascii="宋体" w:hAnsi="宋体" w:cs="宋体"/>
                <w:b/>
                <w:szCs w:val="21"/>
              </w:rPr>
              <w:t>备注</w:t>
            </w:r>
          </w:p>
        </w:tc>
      </w:tr>
      <w:tr w14:paraId="62E57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53DDCC89">
            <w:pPr>
              <w:spacing w:line="360" w:lineRule="auto"/>
              <w:jc w:val="center"/>
              <w:rPr>
                <w:rFonts w:ascii="宋体" w:hAnsi="宋体" w:cs="宋体"/>
                <w:szCs w:val="21"/>
              </w:rPr>
            </w:pPr>
            <w:r>
              <w:rPr>
                <w:rFonts w:hint="eastAsia" w:ascii="宋体" w:hAnsi="宋体" w:cs="宋体"/>
                <w:szCs w:val="21"/>
              </w:rPr>
              <w:t>1</w:t>
            </w:r>
          </w:p>
        </w:tc>
        <w:tc>
          <w:tcPr>
            <w:tcW w:w="1531" w:type="dxa"/>
            <w:vAlign w:val="center"/>
          </w:tcPr>
          <w:p w14:paraId="2EBDBC70">
            <w:pPr>
              <w:snapToGrid w:val="0"/>
              <w:spacing w:line="360" w:lineRule="auto"/>
              <w:jc w:val="center"/>
              <w:rPr>
                <w:rFonts w:ascii="宋体" w:hAnsi="宋体" w:cs="宋体"/>
                <w:szCs w:val="21"/>
              </w:rPr>
            </w:pPr>
          </w:p>
        </w:tc>
        <w:tc>
          <w:tcPr>
            <w:tcW w:w="2160" w:type="dxa"/>
            <w:vAlign w:val="center"/>
          </w:tcPr>
          <w:p w14:paraId="297955B6">
            <w:pPr>
              <w:snapToGrid w:val="0"/>
              <w:spacing w:line="360" w:lineRule="auto"/>
              <w:jc w:val="center"/>
              <w:rPr>
                <w:rFonts w:ascii="宋体" w:hAnsi="宋体" w:cs="宋体"/>
                <w:szCs w:val="21"/>
              </w:rPr>
            </w:pPr>
          </w:p>
        </w:tc>
        <w:tc>
          <w:tcPr>
            <w:tcW w:w="2340" w:type="dxa"/>
            <w:vAlign w:val="center"/>
          </w:tcPr>
          <w:p w14:paraId="29774BFB">
            <w:pPr>
              <w:spacing w:line="360" w:lineRule="auto"/>
              <w:jc w:val="center"/>
              <w:rPr>
                <w:rFonts w:ascii="宋体" w:hAnsi="宋体" w:cs="宋体"/>
                <w:szCs w:val="21"/>
              </w:rPr>
            </w:pPr>
          </w:p>
        </w:tc>
        <w:tc>
          <w:tcPr>
            <w:tcW w:w="898" w:type="dxa"/>
            <w:vAlign w:val="center"/>
          </w:tcPr>
          <w:p w14:paraId="3BBC4322">
            <w:pPr>
              <w:spacing w:line="360" w:lineRule="auto"/>
              <w:jc w:val="center"/>
              <w:rPr>
                <w:rFonts w:ascii="宋体" w:hAnsi="宋体" w:cs="宋体"/>
                <w:szCs w:val="21"/>
              </w:rPr>
            </w:pPr>
          </w:p>
        </w:tc>
        <w:tc>
          <w:tcPr>
            <w:tcW w:w="830" w:type="dxa"/>
            <w:vAlign w:val="center"/>
          </w:tcPr>
          <w:p w14:paraId="722BA9AC">
            <w:pPr>
              <w:spacing w:line="360" w:lineRule="auto"/>
              <w:jc w:val="center"/>
              <w:rPr>
                <w:rFonts w:ascii="宋体" w:hAnsi="宋体" w:cs="宋体"/>
                <w:szCs w:val="21"/>
              </w:rPr>
            </w:pPr>
          </w:p>
        </w:tc>
      </w:tr>
      <w:tr w14:paraId="62D17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5B401D0">
            <w:pPr>
              <w:spacing w:line="360" w:lineRule="auto"/>
              <w:jc w:val="center"/>
              <w:rPr>
                <w:rFonts w:ascii="宋体" w:hAnsi="宋体" w:cs="宋体"/>
                <w:szCs w:val="21"/>
              </w:rPr>
            </w:pPr>
            <w:r>
              <w:rPr>
                <w:rFonts w:hint="eastAsia" w:ascii="宋体" w:hAnsi="宋体" w:cs="宋体"/>
                <w:szCs w:val="21"/>
              </w:rPr>
              <w:t>2</w:t>
            </w:r>
          </w:p>
        </w:tc>
        <w:tc>
          <w:tcPr>
            <w:tcW w:w="1531" w:type="dxa"/>
            <w:vAlign w:val="center"/>
          </w:tcPr>
          <w:p w14:paraId="7342AB0B">
            <w:pPr>
              <w:snapToGrid w:val="0"/>
              <w:spacing w:line="360" w:lineRule="auto"/>
              <w:jc w:val="center"/>
              <w:rPr>
                <w:rFonts w:ascii="宋体" w:hAnsi="宋体" w:cs="宋体"/>
                <w:szCs w:val="21"/>
              </w:rPr>
            </w:pPr>
          </w:p>
        </w:tc>
        <w:tc>
          <w:tcPr>
            <w:tcW w:w="2160" w:type="dxa"/>
            <w:vAlign w:val="center"/>
          </w:tcPr>
          <w:p w14:paraId="71F26266">
            <w:pPr>
              <w:snapToGrid w:val="0"/>
              <w:spacing w:line="360" w:lineRule="auto"/>
              <w:jc w:val="center"/>
              <w:rPr>
                <w:rFonts w:ascii="宋体" w:hAnsi="宋体" w:cs="宋体"/>
                <w:szCs w:val="21"/>
              </w:rPr>
            </w:pPr>
          </w:p>
        </w:tc>
        <w:tc>
          <w:tcPr>
            <w:tcW w:w="2340" w:type="dxa"/>
            <w:vAlign w:val="center"/>
          </w:tcPr>
          <w:p w14:paraId="7613023C">
            <w:pPr>
              <w:spacing w:line="360" w:lineRule="auto"/>
              <w:jc w:val="center"/>
              <w:rPr>
                <w:rFonts w:ascii="宋体" w:hAnsi="宋体" w:cs="宋体"/>
                <w:szCs w:val="21"/>
              </w:rPr>
            </w:pPr>
          </w:p>
        </w:tc>
        <w:tc>
          <w:tcPr>
            <w:tcW w:w="898" w:type="dxa"/>
            <w:vAlign w:val="center"/>
          </w:tcPr>
          <w:p w14:paraId="05F99481">
            <w:pPr>
              <w:spacing w:line="360" w:lineRule="auto"/>
              <w:jc w:val="center"/>
              <w:rPr>
                <w:rFonts w:ascii="宋体" w:hAnsi="宋体" w:cs="宋体"/>
                <w:szCs w:val="21"/>
              </w:rPr>
            </w:pPr>
          </w:p>
        </w:tc>
        <w:tc>
          <w:tcPr>
            <w:tcW w:w="830" w:type="dxa"/>
            <w:vAlign w:val="center"/>
          </w:tcPr>
          <w:p w14:paraId="48424054">
            <w:pPr>
              <w:spacing w:line="360" w:lineRule="auto"/>
              <w:jc w:val="center"/>
              <w:rPr>
                <w:rFonts w:ascii="宋体" w:hAnsi="宋体" w:cs="宋体"/>
                <w:szCs w:val="21"/>
              </w:rPr>
            </w:pPr>
          </w:p>
        </w:tc>
      </w:tr>
      <w:tr w14:paraId="18207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5B2EC8F">
            <w:pPr>
              <w:spacing w:line="360" w:lineRule="auto"/>
              <w:jc w:val="center"/>
              <w:rPr>
                <w:rFonts w:ascii="宋体" w:hAnsi="宋体" w:cs="宋体"/>
                <w:szCs w:val="21"/>
              </w:rPr>
            </w:pPr>
            <w:r>
              <w:rPr>
                <w:rFonts w:hint="eastAsia" w:ascii="宋体" w:hAnsi="宋体" w:cs="宋体"/>
                <w:sz w:val="24"/>
              </w:rPr>
              <w:t>……</w:t>
            </w:r>
          </w:p>
        </w:tc>
        <w:tc>
          <w:tcPr>
            <w:tcW w:w="1531" w:type="dxa"/>
            <w:vAlign w:val="center"/>
          </w:tcPr>
          <w:p w14:paraId="6887263F">
            <w:pPr>
              <w:snapToGrid w:val="0"/>
              <w:spacing w:line="360" w:lineRule="auto"/>
              <w:jc w:val="center"/>
              <w:rPr>
                <w:rFonts w:ascii="宋体" w:hAnsi="宋体" w:cs="宋体"/>
                <w:szCs w:val="21"/>
              </w:rPr>
            </w:pPr>
          </w:p>
        </w:tc>
        <w:tc>
          <w:tcPr>
            <w:tcW w:w="2160" w:type="dxa"/>
            <w:vAlign w:val="center"/>
          </w:tcPr>
          <w:p w14:paraId="2A47C168">
            <w:pPr>
              <w:snapToGrid w:val="0"/>
              <w:spacing w:line="360" w:lineRule="auto"/>
              <w:jc w:val="center"/>
              <w:rPr>
                <w:rFonts w:ascii="宋体" w:hAnsi="宋体" w:cs="宋体"/>
                <w:szCs w:val="21"/>
              </w:rPr>
            </w:pPr>
          </w:p>
        </w:tc>
        <w:tc>
          <w:tcPr>
            <w:tcW w:w="2340" w:type="dxa"/>
            <w:vAlign w:val="center"/>
          </w:tcPr>
          <w:p w14:paraId="08250086">
            <w:pPr>
              <w:spacing w:line="360" w:lineRule="auto"/>
              <w:jc w:val="center"/>
              <w:rPr>
                <w:rFonts w:ascii="宋体" w:hAnsi="宋体" w:cs="宋体"/>
                <w:szCs w:val="21"/>
              </w:rPr>
            </w:pPr>
          </w:p>
        </w:tc>
        <w:tc>
          <w:tcPr>
            <w:tcW w:w="898" w:type="dxa"/>
            <w:vAlign w:val="center"/>
          </w:tcPr>
          <w:p w14:paraId="32BEA7C1">
            <w:pPr>
              <w:spacing w:line="360" w:lineRule="auto"/>
              <w:jc w:val="center"/>
              <w:rPr>
                <w:rFonts w:ascii="宋体" w:hAnsi="宋体" w:cs="宋体"/>
                <w:szCs w:val="21"/>
              </w:rPr>
            </w:pPr>
          </w:p>
        </w:tc>
        <w:tc>
          <w:tcPr>
            <w:tcW w:w="830" w:type="dxa"/>
            <w:vAlign w:val="center"/>
          </w:tcPr>
          <w:p w14:paraId="3C68E107">
            <w:pPr>
              <w:spacing w:line="360" w:lineRule="auto"/>
              <w:jc w:val="center"/>
              <w:rPr>
                <w:rFonts w:ascii="宋体" w:hAnsi="宋体" w:cs="宋体"/>
                <w:szCs w:val="21"/>
              </w:rPr>
            </w:pPr>
          </w:p>
        </w:tc>
      </w:tr>
      <w:tr w14:paraId="76C03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F6EFDAF">
            <w:pPr>
              <w:spacing w:line="360" w:lineRule="auto"/>
              <w:jc w:val="center"/>
              <w:rPr>
                <w:rFonts w:ascii="宋体" w:hAnsi="宋体" w:cs="宋体"/>
                <w:szCs w:val="21"/>
              </w:rPr>
            </w:pPr>
          </w:p>
        </w:tc>
        <w:tc>
          <w:tcPr>
            <w:tcW w:w="1531" w:type="dxa"/>
            <w:vAlign w:val="center"/>
          </w:tcPr>
          <w:p w14:paraId="0FE41459">
            <w:pPr>
              <w:snapToGrid w:val="0"/>
              <w:spacing w:line="360" w:lineRule="auto"/>
              <w:jc w:val="center"/>
              <w:rPr>
                <w:rFonts w:ascii="宋体" w:hAnsi="宋体" w:cs="宋体"/>
                <w:szCs w:val="21"/>
              </w:rPr>
            </w:pPr>
          </w:p>
        </w:tc>
        <w:tc>
          <w:tcPr>
            <w:tcW w:w="2160" w:type="dxa"/>
            <w:vAlign w:val="center"/>
          </w:tcPr>
          <w:p w14:paraId="3688B3D0">
            <w:pPr>
              <w:snapToGrid w:val="0"/>
              <w:spacing w:line="360" w:lineRule="auto"/>
              <w:jc w:val="center"/>
              <w:rPr>
                <w:rFonts w:ascii="宋体" w:hAnsi="宋体" w:cs="宋体"/>
                <w:szCs w:val="21"/>
              </w:rPr>
            </w:pPr>
          </w:p>
        </w:tc>
        <w:tc>
          <w:tcPr>
            <w:tcW w:w="2340" w:type="dxa"/>
            <w:vAlign w:val="center"/>
          </w:tcPr>
          <w:p w14:paraId="6B23A4B6">
            <w:pPr>
              <w:spacing w:line="360" w:lineRule="auto"/>
              <w:jc w:val="center"/>
              <w:rPr>
                <w:rFonts w:ascii="宋体" w:hAnsi="宋体" w:cs="宋体"/>
                <w:szCs w:val="21"/>
              </w:rPr>
            </w:pPr>
          </w:p>
        </w:tc>
        <w:tc>
          <w:tcPr>
            <w:tcW w:w="898" w:type="dxa"/>
            <w:vAlign w:val="center"/>
          </w:tcPr>
          <w:p w14:paraId="5AC82856">
            <w:pPr>
              <w:spacing w:line="360" w:lineRule="auto"/>
              <w:jc w:val="center"/>
              <w:rPr>
                <w:rFonts w:ascii="宋体" w:hAnsi="宋体" w:cs="宋体"/>
                <w:szCs w:val="21"/>
              </w:rPr>
            </w:pPr>
          </w:p>
        </w:tc>
        <w:tc>
          <w:tcPr>
            <w:tcW w:w="830" w:type="dxa"/>
            <w:vAlign w:val="center"/>
          </w:tcPr>
          <w:p w14:paraId="0FD33031">
            <w:pPr>
              <w:spacing w:line="360" w:lineRule="auto"/>
              <w:jc w:val="center"/>
              <w:rPr>
                <w:rFonts w:ascii="宋体" w:hAnsi="宋体" w:cs="宋体"/>
                <w:szCs w:val="21"/>
              </w:rPr>
            </w:pPr>
          </w:p>
        </w:tc>
      </w:tr>
      <w:tr w14:paraId="26803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9C8DBCC">
            <w:pPr>
              <w:spacing w:line="360" w:lineRule="auto"/>
              <w:jc w:val="center"/>
              <w:rPr>
                <w:rFonts w:ascii="宋体" w:hAnsi="宋体" w:cs="宋体"/>
                <w:szCs w:val="21"/>
              </w:rPr>
            </w:pPr>
          </w:p>
        </w:tc>
        <w:tc>
          <w:tcPr>
            <w:tcW w:w="1531" w:type="dxa"/>
            <w:vAlign w:val="center"/>
          </w:tcPr>
          <w:p w14:paraId="4F0F0403">
            <w:pPr>
              <w:snapToGrid w:val="0"/>
              <w:spacing w:line="360" w:lineRule="auto"/>
              <w:jc w:val="center"/>
              <w:rPr>
                <w:rFonts w:ascii="宋体" w:hAnsi="宋体" w:cs="宋体"/>
                <w:szCs w:val="21"/>
              </w:rPr>
            </w:pPr>
          </w:p>
        </w:tc>
        <w:tc>
          <w:tcPr>
            <w:tcW w:w="2160" w:type="dxa"/>
            <w:vAlign w:val="center"/>
          </w:tcPr>
          <w:p w14:paraId="54FA482E">
            <w:pPr>
              <w:snapToGrid w:val="0"/>
              <w:spacing w:line="360" w:lineRule="auto"/>
              <w:jc w:val="center"/>
              <w:rPr>
                <w:rFonts w:ascii="宋体" w:hAnsi="宋体" w:cs="宋体"/>
                <w:szCs w:val="21"/>
              </w:rPr>
            </w:pPr>
          </w:p>
        </w:tc>
        <w:tc>
          <w:tcPr>
            <w:tcW w:w="2340" w:type="dxa"/>
            <w:vAlign w:val="center"/>
          </w:tcPr>
          <w:p w14:paraId="115FAF2E">
            <w:pPr>
              <w:spacing w:line="360" w:lineRule="auto"/>
              <w:jc w:val="center"/>
              <w:rPr>
                <w:rFonts w:ascii="宋体" w:hAnsi="宋体" w:cs="宋体"/>
                <w:szCs w:val="21"/>
              </w:rPr>
            </w:pPr>
          </w:p>
        </w:tc>
        <w:tc>
          <w:tcPr>
            <w:tcW w:w="898" w:type="dxa"/>
            <w:vAlign w:val="center"/>
          </w:tcPr>
          <w:p w14:paraId="126DA520">
            <w:pPr>
              <w:spacing w:line="360" w:lineRule="auto"/>
              <w:jc w:val="center"/>
              <w:rPr>
                <w:rFonts w:ascii="宋体" w:hAnsi="宋体" w:cs="宋体"/>
                <w:szCs w:val="21"/>
              </w:rPr>
            </w:pPr>
          </w:p>
        </w:tc>
        <w:tc>
          <w:tcPr>
            <w:tcW w:w="830" w:type="dxa"/>
            <w:vAlign w:val="center"/>
          </w:tcPr>
          <w:p w14:paraId="1767F83F">
            <w:pPr>
              <w:spacing w:line="360" w:lineRule="auto"/>
              <w:jc w:val="center"/>
              <w:rPr>
                <w:rFonts w:ascii="宋体" w:hAnsi="宋体" w:cs="宋体"/>
                <w:szCs w:val="21"/>
              </w:rPr>
            </w:pPr>
          </w:p>
        </w:tc>
      </w:tr>
      <w:tr w14:paraId="1E902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6C92602">
            <w:pPr>
              <w:spacing w:line="360" w:lineRule="auto"/>
              <w:jc w:val="center"/>
              <w:rPr>
                <w:rFonts w:ascii="宋体" w:hAnsi="宋体" w:cs="宋体"/>
                <w:szCs w:val="21"/>
              </w:rPr>
            </w:pPr>
          </w:p>
        </w:tc>
        <w:tc>
          <w:tcPr>
            <w:tcW w:w="1531" w:type="dxa"/>
            <w:vAlign w:val="center"/>
          </w:tcPr>
          <w:p w14:paraId="6E4E46CA">
            <w:pPr>
              <w:snapToGrid w:val="0"/>
              <w:spacing w:line="360" w:lineRule="auto"/>
              <w:jc w:val="center"/>
              <w:rPr>
                <w:rFonts w:ascii="宋体" w:hAnsi="宋体" w:cs="宋体"/>
                <w:szCs w:val="21"/>
              </w:rPr>
            </w:pPr>
          </w:p>
        </w:tc>
        <w:tc>
          <w:tcPr>
            <w:tcW w:w="2160" w:type="dxa"/>
            <w:vAlign w:val="center"/>
          </w:tcPr>
          <w:p w14:paraId="32EF8BD6">
            <w:pPr>
              <w:snapToGrid w:val="0"/>
              <w:spacing w:line="360" w:lineRule="auto"/>
              <w:jc w:val="center"/>
              <w:rPr>
                <w:rFonts w:ascii="宋体" w:hAnsi="宋体" w:cs="宋体"/>
                <w:szCs w:val="21"/>
              </w:rPr>
            </w:pPr>
          </w:p>
        </w:tc>
        <w:tc>
          <w:tcPr>
            <w:tcW w:w="2340" w:type="dxa"/>
            <w:vAlign w:val="center"/>
          </w:tcPr>
          <w:p w14:paraId="1CB5A876">
            <w:pPr>
              <w:spacing w:line="360" w:lineRule="auto"/>
              <w:jc w:val="center"/>
              <w:rPr>
                <w:rFonts w:ascii="宋体" w:hAnsi="宋体" w:cs="宋体"/>
                <w:szCs w:val="21"/>
              </w:rPr>
            </w:pPr>
          </w:p>
        </w:tc>
        <w:tc>
          <w:tcPr>
            <w:tcW w:w="898" w:type="dxa"/>
            <w:vAlign w:val="center"/>
          </w:tcPr>
          <w:p w14:paraId="1284EEC4">
            <w:pPr>
              <w:spacing w:line="360" w:lineRule="auto"/>
              <w:jc w:val="center"/>
              <w:rPr>
                <w:rFonts w:ascii="宋体" w:hAnsi="宋体" w:cs="宋体"/>
                <w:szCs w:val="21"/>
              </w:rPr>
            </w:pPr>
          </w:p>
        </w:tc>
        <w:tc>
          <w:tcPr>
            <w:tcW w:w="830" w:type="dxa"/>
            <w:vAlign w:val="center"/>
          </w:tcPr>
          <w:p w14:paraId="6F99EAEE">
            <w:pPr>
              <w:spacing w:line="360" w:lineRule="auto"/>
              <w:jc w:val="center"/>
              <w:rPr>
                <w:rFonts w:ascii="宋体" w:hAnsi="宋体" w:cs="宋体"/>
                <w:szCs w:val="21"/>
              </w:rPr>
            </w:pPr>
          </w:p>
        </w:tc>
      </w:tr>
      <w:tr w14:paraId="1CB1D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6F14CAA">
            <w:pPr>
              <w:spacing w:line="360" w:lineRule="auto"/>
              <w:jc w:val="center"/>
              <w:rPr>
                <w:rFonts w:ascii="宋体" w:hAnsi="宋体" w:cs="宋体"/>
                <w:szCs w:val="21"/>
              </w:rPr>
            </w:pPr>
          </w:p>
        </w:tc>
        <w:tc>
          <w:tcPr>
            <w:tcW w:w="1531" w:type="dxa"/>
            <w:vAlign w:val="center"/>
          </w:tcPr>
          <w:p w14:paraId="03194FA3">
            <w:pPr>
              <w:snapToGrid w:val="0"/>
              <w:spacing w:line="360" w:lineRule="auto"/>
              <w:jc w:val="center"/>
              <w:rPr>
                <w:rFonts w:ascii="宋体" w:hAnsi="宋体" w:cs="宋体"/>
                <w:szCs w:val="21"/>
              </w:rPr>
            </w:pPr>
          </w:p>
        </w:tc>
        <w:tc>
          <w:tcPr>
            <w:tcW w:w="2160" w:type="dxa"/>
            <w:vAlign w:val="center"/>
          </w:tcPr>
          <w:p w14:paraId="345CA731">
            <w:pPr>
              <w:snapToGrid w:val="0"/>
              <w:spacing w:line="360" w:lineRule="auto"/>
              <w:jc w:val="center"/>
              <w:rPr>
                <w:rFonts w:ascii="宋体" w:hAnsi="宋体" w:cs="宋体"/>
                <w:szCs w:val="21"/>
              </w:rPr>
            </w:pPr>
          </w:p>
        </w:tc>
        <w:tc>
          <w:tcPr>
            <w:tcW w:w="2340" w:type="dxa"/>
            <w:vAlign w:val="center"/>
          </w:tcPr>
          <w:p w14:paraId="22A1ECCE">
            <w:pPr>
              <w:spacing w:line="360" w:lineRule="auto"/>
              <w:jc w:val="center"/>
              <w:rPr>
                <w:rFonts w:ascii="宋体" w:hAnsi="宋体" w:cs="宋体"/>
                <w:szCs w:val="21"/>
              </w:rPr>
            </w:pPr>
          </w:p>
        </w:tc>
        <w:tc>
          <w:tcPr>
            <w:tcW w:w="898" w:type="dxa"/>
            <w:vAlign w:val="center"/>
          </w:tcPr>
          <w:p w14:paraId="10032A06">
            <w:pPr>
              <w:spacing w:line="360" w:lineRule="auto"/>
              <w:jc w:val="center"/>
              <w:rPr>
                <w:rFonts w:ascii="宋体" w:hAnsi="宋体" w:cs="宋体"/>
                <w:szCs w:val="21"/>
              </w:rPr>
            </w:pPr>
          </w:p>
        </w:tc>
        <w:tc>
          <w:tcPr>
            <w:tcW w:w="830" w:type="dxa"/>
            <w:vAlign w:val="center"/>
          </w:tcPr>
          <w:p w14:paraId="55E21C8E">
            <w:pPr>
              <w:spacing w:line="360" w:lineRule="auto"/>
              <w:jc w:val="center"/>
              <w:rPr>
                <w:rFonts w:ascii="宋体" w:hAnsi="宋体" w:cs="宋体"/>
                <w:szCs w:val="21"/>
              </w:rPr>
            </w:pPr>
          </w:p>
        </w:tc>
      </w:tr>
      <w:tr w14:paraId="454F4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A73F85D">
            <w:pPr>
              <w:spacing w:line="360" w:lineRule="auto"/>
              <w:jc w:val="center"/>
              <w:rPr>
                <w:rFonts w:ascii="宋体" w:hAnsi="宋体" w:cs="宋体"/>
                <w:szCs w:val="21"/>
              </w:rPr>
            </w:pPr>
          </w:p>
        </w:tc>
        <w:tc>
          <w:tcPr>
            <w:tcW w:w="1531" w:type="dxa"/>
            <w:vAlign w:val="center"/>
          </w:tcPr>
          <w:p w14:paraId="38169590">
            <w:pPr>
              <w:snapToGrid w:val="0"/>
              <w:spacing w:line="360" w:lineRule="auto"/>
              <w:jc w:val="center"/>
              <w:rPr>
                <w:rFonts w:ascii="宋体" w:hAnsi="宋体" w:cs="宋体"/>
                <w:szCs w:val="21"/>
              </w:rPr>
            </w:pPr>
          </w:p>
        </w:tc>
        <w:tc>
          <w:tcPr>
            <w:tcW w:w="2160" w:type="dxa"/>
            <w:vAlign w:val="center"/>
          </w:tcPr>
          <w:p w14:paraId="2EF3D553">
            <w:pPr>
              <w:snapToGrid w:val="0"/>
              <w:spacing w:line="360" w:lineRule="auto"/>
              <w:jc w:val="center"/>
              <w:rPr>
                <w:rFonts w:ascii="宋体" w:hAnsi="宋体" w:cs="宋体"/>
                <w:szCs w:val="21"/>
              </w:rPr>
            </w:pPr>
          </w:p>
        </w:tc>
        <w:tc>
          <w:tcPr>
            <w:tcW w:w="2340" w:type="dxa"/>
            <w:vAlign w:val="center"/>
          </w:tcPr>
          <w:p w14:paraId="0695F871">
            <w:pPr>
              <w:spacing w:line="360" w:lineRule="auto"/>
              <w:jc w:val="center"/>
              <w:rPr>
                <w:rFonts w:ascii="宋体" w:hAnsi="宋体" w:cs="宋体"/>
                <w:szCs w:val="21"/>
              </w:rPr>
            </w:pPr>
          </w:p>
        </w:tc>
        <w:tc>
          <w:tcPr>
            <w:tcW w:w="898" w:type="dxa"/>
            <w:vAlign w:val="center"/>
          </w:tcPr>
          <w:p w14:paraId="0A514C3B">
            <w:pPr>
              <w:spacing w:line="360" w:lineRule="auto"/>
              <w:jc w:val="center"/>
              <w:rPr>
                <w:rFonts w:ascii="宋体" w:hAnsi="宋体" w:cs="宋体"/>
                <w:szCs w:val="21"/>
              </w:rPr>
            </w:pPr>
          </w:p>
        </w:tc>
        <w:tc>
          <w:tcPr>
            <w:tcW w:w="830" w:type="dxa"/>
            <w:vAlign w:val="center"/>
          </w:tcPr>
          <w:p w14:paraId="1B6112BB">
            <w:pPr>
              <w:spacing w:line="360" w:lineRule="auto"/>
              <w:jc w:val="center"/>
              <w:rPr>
                <w:rFonts w:ascii="宋体" w:hAnsi="宋体" w:cs="宋体"/>
                <w:szCs w:val="21"/>
              </w:rPr>
            </w:pPr>
          </w:p>
        </w:tc>
      </w:tr>
    </w:tbl>
    <w:p w14:paraId="1E8D742B">
      <w:pPr>
        <w:spacing w:line="360" w:lineRule="auto"/>
        <w:rPr>
          <w:rFonts w:ascii="宋体" w:hAnsi="宋体" w:cs="宋体"/>
          <w:b/>
          <w:bCs/>
          <w:sz w:val="24"/>
        </w:rPr>
      </w:pPr>
      <w:r>
        <w:rPr>
          <w:rFonts w:hint="eastAsia" w:ascii="宋体" w:hAnsi="宋体" w:cs="宋体"/>
          <w:b/>
          <w:bCs/>
          <w:sz w:val="24"/>
        </w:rPr>
        <w:t>注：此表仅提供了表格形式，由供应商根据采购需求及采购文件要求编制。</w:t>
      </w:r>
    </w:p>
    <w:p w14:paraId="40D7DDA9">
      <w:pPr>
        <w:autoSpaceDE w:val="0"/>
        <w:autoSpaceDN w:val="0"/>
        <w:spacing w:line="360" w:lineRule="auto"/>
        <w:rPr>
          <w:rFonts w:ascii="仿宋_GB2312" w:hAnsi="仿宋_GB2312" w:eastAsia="仿宋_GB2312" w:cs="仿宋_GB2312"/>
          <w:b/>
          <w:kern w:val="0"/>
          <w:szCs w:val="21"/>
        </w:rPr>
      </w:pPr>
    </w:p>
    <w:p w14:paraId="6876D799">
      <w:pPr>
        <w:snapToGrid w:val="0"/>
        <w:spacing w:line="360" w:lineRule="auto"/>
        <w:textAlignment w:val="baseline"/>
        <w:rPr>
          <w:rFonts w:ascii="新宋体" w:hAnsi="新宋体" w:eastAsia="新宋体" w:cs="新宋体"/>
          <w:kern w:val="0"/>
          <w:sz w:val="24"/>
          <w:lang w:val="zh-CN"/>
        </w:rPr>
      </w:pPr>
    </w:p>
    <w:p w14:paraId="65EFEF0D">
      <w:pPr>
        <w:snapToGrid w:val="0"/>
        <w:spacing w:line="360" w:lineRule="auto"/>
        <w:textAlignment w:val="baseline"/>
        <w:rPr>
          <w:rFonts w:ascii="新宋体" w:hAnsi="新宋体" w:eastAsia="新宋体" w:cs="新宋体"/>
          <w:kern w:val="0"/>
          <w:sz w:val="24"/>
          <w:lang w:val="zh-CN"/>
        </w:rPr>
      </w:pPr>
    </w:p>
    <w:p w14:paraId="77057E5B">
      <w:pPr>
        <w:snapToGrid w:val="0"/>
        <w:spacing w:line="360" w:lineRule="auto"/>
        <w:textAlignment w:val="baseline"/>
        <w:rPr>
          <w:rFonts w:ascii="新宋体" w:hAnsi="新宋体" w:eastAsia="新宋体" w:cs="新宋体"/>
          <w:sz w:val="24"/>
        </w:rPr>
      </w:pPr>
      <w:r>
        <w:rPr>
          <w:rFonts w:hint="eastAsia" w:ascii="新宋体" w:hAnsi="新宋体" w:eastAsia="新宋体" w:cs="新宋体"/>
          <w:kern w:val="0"/>
          <w:sz w:val="24"/>
          <w:lang w:val="zh-CN"/>
        </w:rPr>
        <w:t>投标人名称（公章）</w:t>
      </w:r>
      <w:r>
        <w:rPr>
          <w:rFonts w:hint="eastAsia" w:ascii="新宋体" w:hAnsi="新宋体" w:eastAsia="新宋体" w:cs="新宋体"/>
          <w:sz w:val="24"/>
        </w:rPr>
        <w:t>：</w:t>
      </w:r>
      <w:r>
        <w:rPr>
          <w:rFonts w:hint="eastAsia" w:ascii="新宋体" w:hAnsi="新宋体" w:eastAsia="新宋体" w:cs="新宋体"/>
          <w:sz w:val="24"/>
          <w:u w:val="single"/>
        </w:rPr>
        <w:t xml:space="preserve">                                   </w:t>
      </w:r>
    </w:p>
    <w:p w14:paraId="1D0EC917">
      <w:pPr>
        <w:snapToGrid w:val="0"/>
        <w:spacing w:line="360" w:lineRule="auto"/>
        <w:textAlignment w:val="baseline"/>
        <w:rPr>
          <w:rFonts w:ascii="新宋体" w:hAnsi="新宋体" w:eastAsia="新宋体" w:cs="新宋体"/>
          <w:sz w:val="24"/>
        </w:rPr>
      </w:pPr>
      <w:r>
        <w:rPr>
          <w:rFonts w:hint="eastAsia" w:ascii="新宋体" w:hAnsi="新宋体" w:eastAsia="新宋体" w:cs="新宋体"/>
          <w:sz w:val="24"/>
        </w:rPr>
        <w:t>法定代表人或授权代理人（签字或盖章）：</w:t>
      </w:r>
      <w:r>
        <w:rPr>
          <w:rFonts w:hint="eastAsia" w:ascii="新宋体" w:hAnsi="新宋体" w:eastAsia="新宋体" w:cs="新宋体"/>
          <w:sz w:val="24"/>
          <w:u w:val="single"/>
        </w:rPr>
        <w:t xml:space="preserve">                 </w:t>
      </w:r>
    </w:p>
    <w:p w14:paraId="786D00DB">
      <w:pPr>
        <w:widowControl/>
        <w:wordWrap w:val="0"/>
        <w:jc w:val="left"/>
        <w:rPr>
          <w:rFonts w:ascii="宋体" w:hAnsi="宋体"/>
          <w:spacing w:val="20"/>
          <w:szCs w:val="21"/>
          <w:u w:val="single"/>
          <w:lang w:bidi="ar"/>
        </w:rPr>
      </w:pPr>
      <w:r>
        <w:rPr>
          <w:rFonts w:hint="eastAsia" w:ascii="新宋体" w:hAnsi="新宋体" w:eastAsia="新宋体" w:cs="新宋体"/>
          <w:sz w:val="24"/>
        </w:rPr>
        <w:t>日期：  年   月   日</w:t>
      </w:r>
    </w:p>
    <w:p w14:paraId="319D0CFA">
      <w:pPr>
        <w:rPr>
          <w:rFonts w:ascii="宋体" w:hAnsi="宋体" w:cs="Arial"/>
          <w:b/>
          <w:bCs/>
          <w:szCs w:val="21"/>
        </w:rPr>
      </w:pPr>
      <w:r>
        <w:rPr>
          <w:rFonts w:ascii="宋体" w:hAnsi="宋体" w:cs="Arial"/>
          <w:b/>
          <w:bCs/>
          <w:szCs w:val="21"/>
        </w:rPr>
        <w:br w:type="page"/>
      </w:r>
    </w:p>
    <w:p w14:paraId="7E2F7B04">
      <w:pPr>
        <w:spacing w:line="360" w:lineRule="auto"/>
        <w:rPr>
          <w:rFonts w:ascii="宋体" w:hAnsi="宋体" w:cs="宋体"/>
          <w:b/>
          <w:bCs/>
          <w:szCs w:val="21"/>
        </w:rPr>
      </w:pPr>
      <w:r>
        <w:rPr>
          <w:rFonts w:hint="eastAsia" w:ascii="新宋体" w:hAnsi="新宋体" w:eastAsia="新宋体" w:cs="新宋体"/>
          <w:b/>
          <w:bCs/>
          <w:sz w:val="24"/>
        </w:rPr>
        <w:t>附件</w:t>
      </w:r>
      <w:bookmarkEnd w:id="88"/>
      <w:r>
        <w:rPr>
          <w:rFonts w:hint="eastAsia" w:ascii="新宋体" w:hAnsi="新宋体" w:eastAsia="新宋体" w:cs="新宋体"/>
          <w:b/>
          <w:bCs/>
          <w:sz w:val="24"/>
        </w:rPr>
        <w:t>8</w:t>
      </w:r>
    </w:p>
    <w:p w14:paraId="3E97A86B">
      <w:pPr>
        <w:snapToGrid w:val="0"/>
        <w:spacing w:before="50" w:after="50" w:line="360" w:lineRule="auto"/>
        <w:jc w:val="center"/>
        <w:rPr>
          <w:rFonts w:ascii="新宋体" w:hAnsi="新宋体" w:eastAsia="新宋体" w:cs="新宋体"/>
          <w:b/>
          <w:sz w:val="28"/>
          <w:szCs w:val="28"/>
        </w:rPr>
      </w:pPr>
      <w:r>
        <w:rPr>
          <w:rFonts w:hint="eastAsia" w:ascii="新宋体" w:hAnsi="新宋体" w:eastAsia="新宋体" w:cs="新宋体"/>
          <w:b/>
          <w:sz w:val="28"/>
          <w:szCs w:val="28"/>
        </w:rPr>
        <w:t>商务技术偏离表</w:t>
      </w:r>
    </w:p>
    <w:p w14:paraId="2E4137C6">
      <w:pPr>
        <w:rPr>
          <w:rFonts w:ascii="宋体" w:hAnsi="宋体" w:cs="宋体"/>
        </w:rPr>
      </w:pPr>
    </w:p>
    <w:tbl>
      <w:tblPr>
        <w:tblStyle w:val="30"/>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3318"/>
        <w:gridCol w:w="3195"/>
        <w:gridCol w:w="1382"/>
      </w:tblGrid>
      <w:tr w14:paraId="69AD9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pct"/>
            <w:vAlign w:val="center"/>
          </w:tcPr>
          <w:p w14:paraId="0EA70E80">
            <w:pPr>
              <w:jc w:val="center"/>
              <w:rPr>
                <w:rFonts w:ascii="宋体" w:hAnsi="宋体" w:cs="宋体"/>
                <w:b/>
                <w:bCs/>
                <w:sz w:val="24"/>
              </w:rPr>
            </w:pPr>
            <w:r>
              <w:rPr>
                <w:rFonts w:hint="eastAsia" w:ascii="宋体" w:hAnsi="宋体" w:cs="宋体"/>
                <w:b/>
                <w:bCs/>
                <w:sz w:val="24"/>
              </w:rPr>
              <w:t>序号</w:t>
            </w:r>
          </w:p>
        </w:tc>
        <w:tc>
          <w:tcPr>
            <w:tcW w:w="1894" w:type="pct"/>
            <w:vAlign w:val="center"/>
          </w:tcPr>
          <w:p w14:paraId="6F0F0DDD">
            <w:pPr>
              <w:jc w:val="center"/>
              <w:rPr>
                <w:rFonts w:ascii="宋体" w:hAnsi="宋体" w:cs="宋体"/>
                <w:b/>
                <w:bCs/>
                <w:sz w:val="24"/>
              </w:rPr>
            </w:pPr>
            <w:r>
              <w:rPr>
                <w:rFonts w:hint="eastAsia" w:ascii="宋体" w:hAnsi="宋体" w:cs="宋体"/>
                <w:b/>
                <w:bCs/>
                <w:sz w:val="24"/>
              </w:rPr>
              <w:t>招标文件章节及具体内容</w:t>
            </w:r>
          </w:p>
        </w:tc>
        <w:tc>
          <w:tcPr>
            <w:tcW w:w="1824" w:type="pct"/>
            <w:vAlign w:val="center"/>
          </w:tcPr>
          <w:p w14:paraId="7513E5FD">
            <w:pPr>
              <w:jc w:val="center"/>
              <w:rPr>
                <w:rFonts w:ascii="宋体" w:hAnsi="宋体" w:cs="宋体"/>
                <w:b/>
                <w:bCs/>
                <w:sz w:val="24"/>
              </w:rPr>
            </w:pPr>
            <w:r>
              <w:rPr>
                <w:rFonts w:hint="eastAsia" w:ascii="宋体" w:hAnsi="宋体" w:cs="宋体"/>
                <w:b/>
                <w:bCs/>
                <w:sz w:val="24"/>
              </w:rPr>
              <w:t>投标文件章节及具体内容</w:t>
            </w:r>
          </w:p>
        </w:tc>
        <w:tc>
          <w:tcPr>
            <w:tcW w:w="789" w:type="pct"/>
            <w:vAlign w:val="center"/>
          </w:tcPr>
          <w:p w14:paraId="10124D2A">
            <w:pPr>
              <w:jc w:val="center"/>
              <w:rPr>
                <w:rFonts w:ascii="宋体" w:hAnsi="宋体" w:cs="宋体"/>
                <w:b/>
                <w:bCs/>
                <w:sz w:val="24"/>
              </w:rPr>
            </w:pPr>
            <w:r>
              <w:rPr>
                <w:rFonts w:hint="eastAsia" w:ascii="宋体" w:hAnsi="宋体" w:cs="宋体"/>
                <w:b/>
                <w:bCs/>
                <w:sz w:val="24"/>
              </w:rPr>
              <w:t>偏离说明</w:t>
            </w:r>
          </w:p>
        </w:tc>
      </w:tr>
      <w:tr w14:paraId="3F8CF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pct"/>
            <w:vAlign w:val="center"/>
          </w:tcPr>
          <w:p w14:paraId="1761F323">
            <w:pPr>
              <w:jc w:val="center"/>
              <w:rPr>
                <w:rFonts w:ascii="宋体" w:hAnsi="宋体" w:cs="宋体"/>
                <w:kern w:val="0"/>
                <w:sz w:val="24"/>
              </w:rPr>
            </w:pPr>
            <w:r>
              <w:rPr>
                <w:rFonts w:hint="eastAsia" w:ascii="宋体" w:hAnsi="宋体" w:cs="宋体"/>
                <w:kern w:val="0"/>
                <w:sz w:val="24"/>
              </w:rPr>
              <w:t>1</w:t>
            </w:r>
          </w:p>
        </w:tc>
        <w:tc>
          <w:tcPr>
            <w:tcW w:w="1894" w:type="pct"/>
            <w:vAlign w:val="center"/>
          </w:tcPr>
          <w:p w14:paraId="2424C122">
            <w:pPr>
              <w:ind w:firstLine="643"/>
              <w:jc w:val="center"/>
              <w:rPr>
                <w:rFonts w:ascii="宋体" w:hAnsi="宋体" w:cs="宋体"/>
                <w:b/>
                <w:kern w:val="0"/>
                <w:sz w:val="32"/>
                <w:szCs w:val="32"/>
              </w:rPr>
            </w:pPr>
          </w:p>
        </w:tc>
        <w:tc>
          <w:tcPr>
            <w:tcW w:w="1824" w:type="pct"/>
            <w:vAlign w:val="center"/>
          </w:tcPr>
          <w:p w14:paraId="7D679A51">
            <w:pPr>
              <w:ind w:firstLine="643"/>
              <w:jc w:val="center"/>
              <w:rPr>
                <w:rFonts w:ascii="宋体" w:hAnsi="宋体" w:cs="宋体"/>
                <w:b/>
                <w:kern w:val="0"/>
                <w:sz w:val="32"/>
                <w:szCs w:val="32"/>
              </w:rPr>
            </w:pPr>
          </w:p>
        </w:tc>
        <w:tc>
          <w:tcPr>
            <w:tcW w:w="789" w:type="pct"/>
            <w:vAlign w:val="center"/>
          </w:tcPr>
          <w:p w14:paraId="048DD09C">
            <w:pPr>
              <w:ind w:firstLine="643"/>
              <w:jc w:val="center"/>
              <w:rPr>
                <w:rFonts w:ascii="宋体" w:hAnsi="宋体" w:cs="宋体"/>
                <w:b/>
                <w:kern w:val="0"/>
                <w:sz w:val="32"/>
                <w:szCs w:val="32"/>
              </w:rPr>
            </w:pPr>
          </w:p>
        </w:tc>
      </w:tr>
      <w:tr w14:paraId="22D6A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pct"/>
            <w:vAlign w:val="center"/>
          </w:tcPr>
          <w:p w14:paraId="7F571DD9">
            <w:pPr>
              <w:jc w:val="center"/>
              <w:rPr>
                <w:rFonts w:ascii="宋体" w:hAnsi="宋体" w:cs="宋体"/>
                <w:kern w:val="0"/>
                <w:sz w:val="24"/>
              </w:rPr>
            </w:pPr>
            <w:r>
              <w:rPr>
                <w:rFonts w:hint="eastAsia" w:ascii="宋体" w:hAnsi="宋体" w:cs="宋体"/>
                <w:kern w:val="0"/>
                <w:sz w:val="24"/>
              </w:rPr>
              <w:t>2</w:t>
            </w:r>
          </w:p>
        </w:tc>
        <w:tc>
          <w:tcPr>
            <w:tcW w:w="1894" w:type="pct"/>
            <w:vAlign w:val="center"/>
          </w:tcPr>
          <w:p w14:paraId="164DC5F5">
            <w:pPr>
              <w:ind w:firstLine="643"/>
              <w:jc w:val="center"/>
              <w:rPr>
                <w:rFonts w:ascii="宋体" w:hAnsi="宋体" w:cs="宋体"/>
                <w:b/>
                <w:kern w:val="0"/>
                <w:sz w:val="32"/>
                <w:szCs w:val="32"/>
              </w:rPr>
            </w:pPr>
          </w:p>
        </w:tc>
        <w:tc>
          <w:tcPr>
            <w:tcW w:w="1824" w:type="pct"/>
            <w:vAlign w:val="center"/>
          </w:tcPr>
          <w:p w14:paraId="4048F027">
            <w:pPr>
              <w:ind w:firstLine="643"/>
              <w:jc w:val="center"/>
              <w:rPr>
                <w:rFonts w:ascii="宋体" w:hAnsi="宋体" w:cs="宋体"/>
                <w:b/>
                <w:kern w:val="0"/>
                <w:sz w:val="32"/>
                <w:szCs w:val="32"/>
              </w:rPr>
            </w:pPr>
          </w:p>
        </w:tc>
        <w:tc>
          <w:tcPr>
            <w:tcW w:w="789" w:type="pct"/>
            <w:vAlign w:val="center"/>
          </w:tcPr>
          <w:p w14:paraId="41937D96">
            <w:pPr>
              <w:ind w:firstLine="643"/>
              <w:jc w:val="center"/>
              <w:rPr>
                <w:rFonts w:ascii="宋体" w:hAnsi="宋体" w:cs="宋体"/>
                <w:b/>
                <w:kern w:val="0"/>
                <w:sz w:val="32"/>
                <w:szCs w:val="32"/>
              </w:rPr>
            </w:pPr>
          </w:p>
        </w:tc>
      </w:tr>
      <w:tr w14:paraId="6DB98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pct"/>
            <w:vAlign w:val="center"/>
          </w:tcPr>
          <w:p w14:paraId="0E39C9C7">
            <w:pPr>
              <w:jc w:val="center"/>
              <w:rPr>
                <w:rFonts w:ascii="宋体" w:hAnsi="宋体" w:cs="宋体"/>
                <w:kern w:val="0"/>
                <w:sz w:val="24"/>
              </w:rPr>
            </w:pPr>
            <w:r>
              <w:rPr>
                <w:rFonts w:hint="eastAsia" w:ascii="宋体" w:hAnsi="宋体" w:cs="宋体"/>
                <w:kern w:val="0"/>
                <w:sz w:val="24"/>
              </w:rPr>
              <w:t>……</w:t>
            </w:r>
          </w:p>
        </w:tc>
        <w:tc>
          <w:tcPr>
            <w:tcW w:w="1894" w:type="pct"/>
            <w:vAlign w:val="center"/>
          </w:tcPr>
          <w:p w14:paraId="4BA1AB6D">
            <w:pPr>
              <w:ind w:firstLine="643"/>
              <w:jc w:val="center"/>
              <w:rPr>
                <w:rFonts w:ascii="宋体" w:hAnsi="宋体" w:cs="宋体"/>
                <w:b/>
                <w:kern w:val="0"/>
                <w:sz w:val="32"/>
                <w:szCs w:val="32"/>
              </w:rPr>
            </w:pPr>
          </w:p>
        </w:tc>
        <w:tc>
          <w:tcPr>
            <w:tcW w:w="1824" w:type="pct"/>
            <w:vAlign w:val="center"/>
          </w:tcPr>
          <w:p w14:paraId="5936FBBE">
            <w:pPr>
              <w:ind w:firstLine="643"/>
              <w:jc w:val="center"/>
              <w:rPr>
                <w:rFonts w:ascii="宋体" w:hAnsi="宋体" w:cs="宋体"/>
                <w:b/>
                <w:kern w:val="0"/>
                <w:sz w:val="32"/>
                <w:szCs w:val="32"/>
              </w:rPr>
            </w:pPr>
          </w:p>
        </w:tc>
        <w:tc>
          <w:tcPr>
            <w:tcW w:w="789" w:type="pct"/>
            <w:vAlign w:val="center"/>
          </w:tcPr>
          <w:p w14:paraId="242CEB8C">
            <w:pPr>
              <w:ind w:firstLine="643"/>
              <w:jc w:val="center"/>
              <w:rPr>
                <w:rFonts w:ascii="宋体" w:hAnsi="宋体" w:cs="宋体"/>
                <w:b/>
                <w:kern w:val="0"/>
                <w:sz w:val="32"/>
                <w:szCs w:val="32"/>
              </w:rPr>
            </w:pPr>
          </w:p>
        </w:tc>
      </w:tr>
    </w:tbl>
    <w:p w14:paraId="4EC29B98">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25DDA12D">
      <w:pPr>
        <w:pStyle w:val="3"/>
        <w:ind w:left="0" w:firstLine="0"/>
        <w:rPr>
          <w:b w:val="0"/>
          <w:lang w:val="en-US"/>
        </w:rPr>
      </w:pPr>
      <w:r>
        <w:rPr>
          <w:rFonts w:hint="eastAsia" w:ascii="宋体" w:hAnsi="宋体" w:eastAsia="宋体" w:cs="宋体"/>
          <w:b w:val="0"/>
          <w:sz w:val="24"/>
        </w:rPr>
        <w:t>注</w:t>
      </w:r>
      <w:r>
        <w:rPr>
          <w:rFonts w:hint="eastAsia" w:ascii="宋体" w:hAnsi="宋体" w:eastAsia="宋体" w:cs="宋体"/>
          <w:b w:val="0"/>
          <w:sz w:val="24"/>
          <w:lang w:val="en-US"/>
        </w:rPr>
        <w:t>：</w:t>
      </w:r>
      <w:r>
        <w:rPr>
          <w:rFonts w:hint="eastAsia" w:ascii="宋体" w:hAnsi="宋体" w:eastAsia="宋体" w:cs="宋体"/>
          <w:b w:val="0"/>
          <w:sz w:val="24"/>
        </w:rPr>
        <w:t>按本格式和要求提供。</w:t>
      </w:r>
    </w:p>
    <w:p w14:paraId="103A8268">
      <w:pPr>
        <w:snapToGrid w:val="0"/>
        <w:spacing w:line="360" w:lineRule="auto"/>
        <w:textAlignment w:val="baseline"/>
        <w:rPr>
          <w:rFonts w:ascii="新宋体" w:hAnsi="新宋体" w:eastAsia="新宋体" w:cs="新宋体"/>
          <w:kern w:val="0"/>
          <w:sz w:val="24"/>
        </w:rPr>
      </w:pPr>
    </w:p>
    <w:p w14:paraId="18F65DBB">
      <w:pPr>
        <w:snapToGrid w:val="0"/>
        <w:spacing w:line="360" w:lineRule="auto"/>
        <w:textAlignment w:val="baseline"/>
        <w:rPr>
          <w:rFonts w:ascii="新宋体" w:hAnsi="新宋体" w:eastAsia="新宋体" w:cs="新宋体"/>
          <w:kern w:val="0"/>
          <w:sz w:val="24"/>
        </w:rPr>
      </w:pPr>
    </w:p>
    <w:p w14:paraId="316CEE81">
      <w:pPr>
        <w:snapToGrid w:val="0"/>
        <w:spacing w:line="360" w:lineRule="auto"/>
        <w:textAlignment w:val="baseline"/>
        <w:rPr>
          <w:rFonts w:ascii="新宋体" w:hAnsi="新宋体" w:eastAsia="新宋体" w:cs="新宋体"/>
          <w:kern w:val="0"/>
          <w:sz w:val="24"/>
        </w:rPr>
      </w:pPr>
    </w:p>
    <w:p w14:paraId="12D5F9A5">
      <w:pPr>
        <w:snapToGrid w:val="0"/>
        <w:spacing w:line="360" w:lineRule="auto"/>
        <w:textAlignment w:val="baseline"/>
        <w:rPr>
          <w:rFonts w:ascii="新宋体" w:hAnsi="新宋体" w:eastAsia="新宋体" w:cs="新宋体"/>
          <w:kern w:val="0"/>
          <w:sz w:val="24"/>
        </w:rPr>
      </w:pPr>
    </w:p>
    <w:p w14:paraId="33C31CE7">
      <w:pPr>
        <w:snapToGrid w:val="0"/>
        <w:spacing w:line="360" w:lineRule="auto"/>
        <w:textAlignment w:val="baseline"/>
        <w:rPr>
          <w:rFonts w:ascii="新宋体" w:hAnsi="新宋体" w:eastAsia="新宋体" w:cs="新宋体"/>
          <w:kern w:val="0"/>
          <w:sz w:val="24"/>
        </w:rPr>
      </w:pPr>
    </w:p>
    <w:p w14:paraId="4E9F417C">
      <w:pPr>
        <w:snapToGrid w:val="0"/>
        <w:spacing w:line="360" w:lineRule="auto"/>
        <w:textAlignment w:val="baseline"/>
        <w:rPr>
          <w:rFonts w:ascii="新宋体" w:hAnsi="新宋体" w:eastAsia="新宋体" w:cs="新宋体"/>
          <w:kern w:val="0"/>
          <w:sz w:val="24"/>
        </w:rPr>
      </w:pPr>
    </w:p>
    <w:p w14:paraId="145C2793">
      <w:pPr>
        <w:snapToGrid w:val="0"/>
        <w:spacing w:line="360" w:lineRule="auto"/>
        <w:textAlignment w:val="baseline"/>
        <w:rPr>
          <w:rFonts w:ascii="新宋体" w:hAnsi="新宋体" w:eastAsia="新宋体" w:cs="新宋体"/>
          <w:sz w:val="24"/>
        </w:rPr>
      </w:pPr>
      <w:r>
        <w:rPr>
          <w:rFonts w:hint="eastAsia" w:ascii="新宋体" w:hAnsi="新宋体" w:eastAsia="新宋体" w:cs="新宋体"/>
          <w:kern w:val="0"/>
          <w:sz w:val="24"/>
          <w:lang w:val="zh-CN"/>
        </w:rPr>
        <w:t>投标人名称（公章）</w:t>
      </w:r>
      <w:r>
        <w:rPr>
          <w:rFonts w:hint="eastAsia" w:ascii="新宋体" w:hAnsi="新宋体" w:eastAsia="新宋体" w:cs="新宋体"/>
          <w:sz w:val="24"/>
        </w:rPr>
        <w:t>：</w:t>
      </w:r>
      <w:r>
        <w:rPr>
          <w:rFonts w:hint="eastAsia" w:ascii="新宋体" w:hAnsi="新宋体" w:eastAsia="新宋体" w:cs="新宋体"/>
          <w:sz w:val="24"/>
          <w:u w:val="single"/>
        </w:rPr>
        <w:t xml:space="preserve">                                   </w:t>
      </w:r>
    </w:p>
    <w:p w14:paraId="4810ED5B">
      <w:pPr>
        <w:snapToGrid w:val="0"/>
        <w:spacing w:line="360" w:lineRule="auto"/>
        <w:textAlignment w:val="baseline"/>
        <w:rPr>
          <w:rFonts w:ascii="新宋体" w:hAnsi="新宋体" w:eastAsia="新宋体" w:cs="新宋体"/>
          <w:sz w:val="24"/>
        </w:rPr>
      </w:pPr>
      <w:r>
        <w:rPr>
          <w:rFonts w:hint="eastAsia" w:ascii="新宋体" w:hAnsi="新宋体" w:eastAsia="新宋体" w:cs="新宋体"/>
          <w:sz w:val="24"/>
        </w:rPr>
        <w:t>法定代表人或授权代理人（签字或盖章）：</w:t>
      </w:r>
      <w:r>
        <w:rPr>
          <w:rFonts w:hint="eastAsia" w:ascii="新宋体" w:hAnsi="新宋体" w:eastAsia="新宋体" w:cs="新宋体"/>
          <w:sz w:val="24"/>
          <w:u w:val="single"/>
        </w:rPr>
        <w:t xml:space="preserve">                 </w:t>
      </w:r>
    </w:p>
    <w:p w14:paraId="3B06C081">
      <w:pPr>
        <w:widowControl/>
        <w:wordWrap w:val="0"/>
        <w:jc w:val="left"/>
        <w:rPr>
          <w:rFonts w:ascii="新宋体" w:hAnsi="新宋体" w:eastAsia="新宋体" w:cs="新宋体"/>
          <w:sz w:val="24"/>
        </w:rPr>
      </w:pPr>
      <w:r>
        <w:rPr>
          <w:rFonts w:hint="eastAsia" w:ascii="新宋体" w:hAnsi="新宋体" w:eastAsia="新宋体" w:cs="新宋体"/>
          <w:sz w:val="24"/>
        </w:rPr>
        <w:t>日期：  年   月   日</w:t>
      </w:r>
    </w:p>
    <w:p w14:paraId="7006ED8A">
      <w:pPr>
        <w:rPr>
          <w:rFonts w:ascii="新宋体" w:hAnsi="新宋体" w:eastAsia="新宋体" w:cs="新宋体"/>
          <w:sz w:val="24"/>
        </w:rPr>
      </w:pPr>
      <w:r>
        <w:rPr>
          <w:rFonts w:hint="eastAsia" w:ascii="新宋体" w:hAnsi="新宋体" w:eastAsia="新宋体" w:cs="新宋体"/>
          <w:sz w:val="24"/>
        </w:rPr>
        <w:br w:type="page"/>
      </w:r>
    </w:p>
    <w:p w14:paraId="164DF79C">
      <w:pPr>
        <w:pStyle w:val="63"/>
        <w:spacing w:line="480" w:lineRule="auto"/>
        <w:ind w:firstLine="0"/>
        <w:rPr>
          <w:rFonts w:ascii="新宋体" w:hAnsi="新宋体" w:eastAsia="新宋体" w:cs="新宋体"/>
          <w:b/>
          <w:sz w:val="24"/>
          <w:szCs w:val="24"/>
        </w:rPr>
      </w:pPr>
      <w:r>
        <w:rPr>
          <w:rFonts w:hint="eastAsia" w:ascii="新宋体" w:hAnsi="新宋体" w:eastAsia="新宋体" w:cs="新宋体"/>
          <w:b/>
          <w:sz w:val="24"/>
          <w:szCs w:val="24"/>
        </w:rPr>
        <w:t>附件9</w:t>
      </w:r>
    </w:p>
    <w:p w14:paraId="4F6838AB">
      <w:pPr>
        <w:autoSpaceDE w:val="0"/>
        <w:autoSpaceDN w:val="0"/>
        <w:spacing w:line="360" w:lineRule="auto"/>
        <w:ind w:left="2"/>
        <w:jc w:val="center"/>
        <w:rPr>
          <w:rFonts w:ascii="新宋体" w:hAnsi="新宋体" w:eastAsia="新宋体" w:cs="新宋体"/>
          <w:sz w:val="28"/>
          <w:szCs w:val="28"/>
        </w:rPr>
      </w:pPr>
      <w:r>
        <w:rPr>
          <w:rFonts w:hint="eastAsia" w:ascii="新宋体" w:hAnsi="新宋体" w:eastAsia="新宋体" w:cs="新宋体"/>
          <w:b/>
          <w:sz w:val="28"/>
          <w:szCs w:val="28"/>
        </w:rPr>
        <w:t>廉政承诺书</w:t>
      </w:r>
    </w:p>
    <w:p w14:paraId="2286E865">
      <w:pPr>
        <w:autoSpaceDE w:val="0"/>
        <w:autoSpaceDN w:val="0"/>
        <w:spacing w:line="360" w:lineRule="auto"/>
        <w:ind w:left="2"/>
        <w:jc w:val="left"/>
        <w:rPr>
          <w:rFonts w:ascii="新宋体" w:hAnsi="新宋体" w:eastAsia="新宋体" w:cs="新宋体"/>
          <w:kern w:val="0"/>
          <w:sz w:val="24"/>
          <w:lang w:val="zh-CN"/>
        </w:rPr>
      </w:pPr>
      <w:r>
        <w:rPr>
          <w:rFonts w:hint="eastAsia" w:ascii="新宋体" w:hAnsi="新宋体" w:eastAsia="新宋体" w:cs="新宋体"/>
          <w:kern w:val="0"/>
          <w:sz w:val="24"/>
          <w:lang w:val="zh-CN"/>
        </w:rPr>
        <w:t xml:space="preserve">嵊州市越风蕴秀影视传媒有限公司：    </w:t>
      </w:r>
    </w:p>
    <w:p w14:paraId="099870BC">
      <w:pPr>
        <w:autoSpaceDE w:val="0"/>
        <w:autoSpaceDN w:val="0"/>
        <w:spacing w:line="360" w:lineRule="auto"/>
        <w:ind w:left="2" w:leftChars="1" w:firstLine="480" w:firstLineChars="200"/>
        <w:jc w:val="left"/>
        <w:rPr>
          <w:rFonts w:ascii="新宋体" w:hAnsi="新宋体" w:eastAsia="新宋体" w:cs="新宋体"/>
          <w:kern w:val="0"/>
          <w:sz w:val="24"/>
          <w:lang w:val="zh-CN"/>
        </w:rPr>
      </w:pPr>
      <w:r>
        <w:rPr>
          <w:rFonts w:hint="eastAsia" w:ascii="新宋体" w:hAnsi="新宋体" w:eastAsia="新宋体" w:cs="新宋体"/>
          <w:kern w:val="0"/>
          <w:sz w:val="24"/>
          <w:lang w:val="zh-CN"/>
        </w:rPr>
        <w:t>我单位响应你</w:t>
      </w:r>
      <w:r>
        <w:rPr>
          <w:rFonts w:hint="eastAsia" w:ascii="新宋体" w:hAnsi="新宋体" w:eastAsia="新宋体" w:cs="新宋体"/>
          <w:sz w:val="24"/>
        </w:rPr>
        <w:t>单位</w:t>
      </w:r>
      <w:r>
        <w:rPr>
          <w:rFonts w:hint="eastAsia" w:ascii="新宋体" w:hAnsi="新宋体" w:eastAsia="新宋体" w:cs="新宋体"/>
          <w:kern w:val="0"/>
          <w:sz w:val="24"/>
          <w:lang w:val="zh-CN"/>
        </w:rPr>
        <w:t xml:space="preserve">项目招标要求参加投标。在这次投标过程中和中标后，我们将严格遵守国家法律法规要求，并郑重承诺：    </w:t>
      </w:r>
    </w:p>
    <w:p w14:paraId="7CD8BFA1">
      <w:pPr>
        <w:autoSpaceDE w:val="0"/>
        <w:autoSpaceDN w:val="0"/>
        <w:spacing w:line="360" w:lineRule="auto"/>
        <w:ind w:left="2" w:leftChars="1" w:firstLine="480" w:firstLineChars="200"/>
        <w:jc w:val="left"/>
        <w:rPr>
          <w:rFonts w:ascii="新宋体" w:hAnsi="新宋体" w:eastAsia="新宋体" w:cs="新宋体"/>
          <w:kern w:val="0"/>
          <w:sz w:val="24"/>
          <w:lang w:val="zh-CN"/>
        </w:rPr>
      </w:pPr>
      <w:r>
        <w:rPr>
          <w:rFonts w:hint="eastAsia" w:ascii="新宋体" w:hAnsi="新宋体" w:eastAsia="新宋体" w:cs="新宋体"/>
          <w:kern w:val="0"/>
          <w:sz w:val="24"/>
          <w:lang w:val="zh-CN"/>
        </w:rPr>
        <w:t xml:space="preserve">一、不向项目有关人员及部门赠送礼金礼物、有价证券、回扣以及中介费、介绍费、咨询费等好处费；    </w:t>
      </w:r>
    </w:p>
    <w:p w14:paraId="034C53FB">
      <w:pPr>
        <w:autoSpaceDE w:val="0"/>
        <w:autoSpaceDN w:val="0"/>
        <w:spacing w:line="360" w:lineRule="auto"/>
        <w:ind w:left="2" w:leftChars="1" w:firstLine="480" w:firstLineChars="200"/>
        <w:jc w:val="left"/>
        <w:rPr>
          <w:rFonts w:ascii="新宋体" w:hAnsi="新宋体" w:eastAsia="新宋体" w:cs="新宋体"/>
          <w:kern w:val="0"/>
          <w:sz w:val="24"/>
          <w:lang w:val="zh-CN"/>
        </w:rPr>
      </w:pPr>
      <w:r>
        <w:rPr>
          <w:rFonts w:hint="eastAsia" w:ascii="新宋体" w:hAnsi="新宋体" w:eastAsia="新宋体" w:cs="新宋体"/>
          <w:kern w:val="0"/>
          <w:sz w:val="24"/>
          <w:lang w:val="zh-CN"/>
        </w:rPr>
        <w:t xml:space="preserve">二、不为项目有关人员及部门报销应由你方单位或个人支付的费用；    </w:t>
      </w:r>
    </w:p>
    <w:p w14:paraId="7C5567B2">
      <w:pPr>
        <w:autoSpaceDE w:val="0"/>
        <w:autoSpaceDN w:val="0"/>
        <w:spacing w:line="360" w:lineRule="auto"/>
        <w:ind w:left="2" w:leftChars="1" w:firstLine="480" w:firstLineChars="200"/>
        <w:jc w:val="left"/>
        <w:rPr>
          <w:rFonts w:ascii="新宋体" w:hAnsi="新宋体" w:eastAsia="新宋体" w:cs="新宋体"/>
          <w:kern w:val="0"/>
          <w:sz w:val="24"/>
          <w:lang w:val="zh-CN"/>
        </w:rPr>
      </w:pPr>
      <w:r>
        <w:rPr>
          <w:rFonts w:hint="eastAsia" w:ascii="新宋体" w:hAnsi="新宋体" w:eastAsia="新宋体" w:cs="新宋体"/>
          <w:kern w:val="0"/>
          <w:sz w:val="24"/>
          <w:lang w:val="zh-CN"/>
        </w:rPr>
        <w:t xml:space="preserve">三、不向项目有关人员及部门提供有可能影响公正的宴请和健身娱乐等活动；    </w:t>
      </w:r>
    </w:p>
    <w:p w14:paraId="54AB893D">
      <w:pPr>
        <w:autoSpaceDE w:val="0"/>
        <w:autoSpaceDN w:val="0"/>
        <w:spacing w:line="360" w:lineRule="auto"/>
        <w:ind w:left="2" w:leftChars="1" w:firstLine="480" w:firstLineChars="200"/>
        <w:jc w:val="left"/>
        <w:rPr>
          <w:rFonts w:ascii="新宋体" w:hAnsi="新宋体" w:eastAsia="新宋体" w:cs="新宋体"/>
          <w:kern w:val="0"/>
          <w:sz w:val="24"/>
          <w:lang w:val="zh-CN"/>
        </w:rPr>
      </w:pPr>
      <w:r>
        <w:rPr>
          <w:rFonts w:hint="eastAsia" w:ascii="新宋体" w:hAnsi="新宋体" w:eastAsia="新宋体" w:cs="新宋体"/>
          <w:kern w:val="0"/>
          <w:sz w:val="24"/>
          <w:lang w:val="zh-CN"/>
        </w:rPr>
        <w:t xml:space="preserve">四、不为项目有关人员及部门出国（境）、旅游等提供方便；    </w:t>
      </w:r>
    </w:p>
    <w:p w14:paraId="19F427D6">
      <w:pPr>
        <w:autoSpaceDE w:val="0"/>
        <w:autoSpaceDN w:val="0"/>
        <w:spacing w:line="360" w:lineRule="auto"/>
        <w:ind w:firstLine="480" w:firstLineChars="200"/>
        <w:jc w:val="left"/>
        <w:rPr>
          <w:rFonts w:ascii="新宋体" w:hAnsi="新宋体" w:eastAsia="新宋体" w:cs="新宋体"/>
          <w:kern w:val="0"/>
          <w:sz w:val="24"/>
          <w:lang w:val="zh-CN"/>
        </w:rPr>
      </w:pPr>
      <w:r>
        <w:rPr>
          <w:rFonts w:hint="eastAsia" w:ascii="新宋体" w:hAnsi="新宋体" w:eastAsia="新宋体" w:cs="新宋体"/>
          <w:kern w:val="0"/>
          <w:sz w:val="24"/>
          <w:lang w:val="zh-CN"/>
        </w:rPr>
        <w:t xml:space="preserve">五、不为项目有关人员个人装修住房、婚丧嫁娶、配偶子女工作安排等提供好处；    </w:t>
      </w:r>
    </w:p>
    <w:p w14:paraId="26DC6258">
      <w:pPr>
        <w:autoSpaceDE w:val="0"/>
        <w:autoSpaceDN w:val="0"/>
        <w:spacing w:line="360" w:lineRule="auto"/>
        <w:ind w:firstLine="480" w:firstLineChars="200"/>
        <w:jc w:val="left"/>
        <w:rPr>
          <w:rFonts w:ascii="新宋体" w:hAnsi="新宋体" w:eastAsia="新宋体" w:cs="新宋体"/>
          <w:kern w:val="0"/>
          <w:sz w:val="24"/>
          <w:lang w:val="zh-CN"/>
        </w:rPr>
      </w:pPr>
      <w:r>
        <w:rPr>
          <w:rFonts w:hint="eastAsia" w:ascii="新宋体" w:hAnsi="新宋体" w:eastAsia="新宋体" w:cs="新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7BA23B3D">
      <w:pPr>
        <w:autoSpaceDE w:val="0"/>
        <w:autoSpaceDN w:val="0"/>
        <w:spacing w:line="360" w:lineRule="auto"/>
        <w:ind w:firstLine="480" w:firstLineChars="200"/>
        <w:jc w:val="left"/>
        <w:rPr>
          <w:rFonts w:ascii="新宋体" w:hAnsi="新宋体" w:eastAsia="新宋体" w:cs="新宋体"/>
          <w:kern w:val="0"/>
          <w:sz w:val="24"/>
          <w:lang w:val="zh-CN"/>
        </w:rPr>
      </w:pPr>
      <w:r>
        <w:rPr>
          <w:rFonts w:hint="eastAsia" w:ascii="新宋体" w:hAnsi="新宋体" w:eastAsia="新宋体" w:cs="新宋体"/>
          <w:kern w:val="0"/>
          <w:sz w:val="24"/>
          <w:lang w:val="zh-CN"/>
        </w:rPr>
        <w:t>如违反上述承诺，你</w:t>
      </w:r>
      <w:r>
        <w:rPr>
          <w:rFonts w:hint="eastAsia" w:ascii="新宋体" w:hAnsi="新宋体" w:eastAsia="新宋体" w:cs="新宋体"/>
          <w:sz w:val="24"/>
        </w:rPr>
        <w:t>单位</w:t>
      </w:r>
      <w:r>
        <w:rPr>
          <w:rFonts w:hint="eastAsia" w:ascii="新宋体" w:hAnsi="新宋体" w:eastAsia="新宋体" w:cs="新宋体"/>
          <w:kern w:val="0"/>
          <w:sz w:val="24"/>
          <w:lang w:val="zh-CN"/>
        </w:rPr>
        <w:t>有权立即取消我单位投标、中标或在建项目的建设资格，有权拒绝我单位在一定时期内进入你</w:t>
      </w:r>
      <w:r>
        <w:rPr>
          <w:rFonts w:hint="eastAsia" w:ascii="新宋体" w:hAnsi="新宋体" w:eastAsia="新宋体" w:cs="新宋体"/>
          <w:sz w:val="24"/>
        </w:rPr>
        <w:t>单位</w:t>
      </w:r>
      <w:r>
        <w:rPr>
          <w:rFonts w:hint="eastAsia" w:ascii="新宋体" w:hAnsi="新宋体" w:eastAsia="新宋体" w:cs="新宋体"/>
          <w:kern w:val="0"/>
          <w:sz w:val="24"/>
          <w:lang w:val="zh-CN"/>
        </w:rPr>
        <w:t>进行项目建设或其他经营活动，并通报市财政局。由此引起的相应损失均由我单位承担。</w:t>
      </w:r>
    </w:p>
    <w:p w14:paraId="44984758">
      <w:pPr>
        <w:autoSpaceDE w:val="0"/>
        <w:autoSpaceDN w:val="0"/>
        <w:spacing w:line="360" w:lineRule="auto"/>
        <w:jc w:val="left"/>
        <w:rPr>
          <w:rFonts w:ascii="新宋体" w:hAnsi="新宋体" w:eastAsia="新宋体" w:cs="新宋体"/>
          <w:kern w:val="0"/>
          <w:sz w:val="24"/>
          <w:lang w:val="zh-CN"/>
        </w:rPr>
      </w:pPr>
    </w:p>
    <w:p w14:paraId="28D24425">
      <w:pPr>
        <w:snapToGrid w:val="0"/>
        <w:spacing w:line="360" w:lineRule="auto"/>
        <w:textAlignment w:val="baseline"/>
        <w:rPr>
          <w:rFonts w:ascii="新宋体" w:hAnsi="新宋体" w:eastAsia="新宋体" w:cs="新宋体"/>
          <w:kern w:val="0"/>
          <w:sz w:val="24"/>
          <w:lang w:val="zh-CN"/>
        </w:rPr>
      </w:pPr>
    </w:p>
    <w:p w14:paraId="439263E4">
      <w:pPr>
        <w:snapToGrid w:val="0"/>
        <w:spacing w:line="360" w:lineRule="auto"/>
        <w:textAlignment w:val="baseline"/>
        <w:rPr>
          <w:rFonts w:ascii="新宋体" w:hAnsi="新宋体" w:eastAsia="新宋体" w:cs="新宋体"/>
          <w:kern w:val="0"/>
          <w:sz w:val="24"/>
          <w:lang w:val="zh-CN"/>
        </w:rPr>
      </w:pPr>
    </w:p>
    <w:p w14:paraId="5EB3D0CA">
      <w:pPr>
        <w:snapToGrid w:val="0"/>
        <w:spacing w:line="360" w:lineRule="auto"/>
        <w:textAlignment w:val="baseline"/>
        <w:rPr>
          <w:rFonts w:ascii="新宋体" w:hAnsi="新宋体" w:eastAsia="新宋体" w:cs="新宋体"/>
          <w:kern w:val="0"/>
          <w:sz w:val="24"/>
          <w:lang w:val="zh-CN"/>
        </w:rPr>
      </w:pPr>
    </w:p>
    <w:p w14:paraId="488F01B3">
      <w:pPr>
        <w:snapToGrid w:val="0"/>
        <w:spacing w:line="360" w:lineRule="auto"/>
        <w:textAlignment w:val="baseline"/>
        <w:rPr>
          <w:rFonts w:ascii="新宋体" w:hAnsi="新宋体" w:eastAsia="新宋体" w:cs="新宋体"/>
          <w:sz w:val="24"/>
        </w:rPr>
      </w:pPr>
      <w:r>
        <w:rPr>
          <w:rFonts w:hint="eastAsia" w:ascii="新宋体" w:hAnsi="新宋体" w:eastAsia="新宋体" w:cs="新宋体"/>
          <w:kern w:val="0"/>
          <w:sz w:val="24"/>
          <w:lang w:val="zh-CN"/>
        </w:rPr>
        <w:t>投标人名称（公章）</w:t>
      </w:r>
      <w:r>
        <w:rPr>
          <w:rFonts w:hint="eastAsia" w:ascii="新宋体" w:hAnsi="新宋体" w:eastAsia="新宋体" w:cs="新宋体"/>
          <w:sz w:val="24"/>
        </w:rPr>
        <w:t>：</w:t>
      </w:r>
      <w:r>
        <w:rPr>
          <w:rFonts w:hint="eastAsia" w:ascii="新宋体" w:hAnsi="新宋体" w:eastAsia="新宋体" w:cs="新宋体"/>
          <w:sz w:val="24"/>
          <w:u w:val="single"/>
        </w:rPr>
        <w:t xml:space="preserve">                                   </w:t>
      </w:r>
    </w:p>
    <w:p w14:paraId="25D209E4">
      <w:pPr>
        <w:snapToGrid w:val="0"/>
        <w:spacing w:line="360" w:lineRule="auto"/>
        <w:textAlignment w:val="baseline"/>
        <w:rPr>
          <w:rFonts w:ascii="新宋体" w:hAnsi="新宋体" w:eastAsia="新宋体" w:cs="新宋体"/>
          <w:sz w:val="24"/>
        </w:rPr>
      </w:pPr>
      <w:r>
        <w:rPr>
          <w:rFonts w:hint="eastAsia" w:ascii="新宋体" w:hAnsi="新宋体" w:eastAsia="新宋体" w:cs="新宋体"/>
          <w:sz w:val="24"/>
        </w:rPr>
        <w:t>法定代表人或授权代理人（签字或盖章）：</w:t>
      </w:r>
      <w:r>
        <w:rPr>
          <w:rFonts w:hint="eastAsia" w:ascii="新宋体" w:hAnsi="新宋体" w:eastAsia="新宋体" w:cs="新宋体"/>
          <w:sz w:val="24"/>
          <w:u w:val="single"/>
        </w:rPr>
        <w:t xml:space="preserve">                 </w:t>
      </w:r>
    </w:p>
    <w:p w14:paraId="1486CD31">
      <w:pPr>
        <w:widowControl/>
        <w:wordWrap w:val="0"/>
        <w:jc w:val="left"/>
      </w:pPr>
      <w:r>
        <w:rPr>
          <w:rFonts w:hint="eastAsia" w:ascii="新宋体" w:hAnsi="新宋体" w:eastAsia="新宋体" w:cs="新宋体"/>
          <w:sz w:val="24"/>
        </w:rPr>
        <w:t>日期：  年   月   日</w:t>
      </w:r>
    </w:p>
    <w:p w14:paraId="30CE395F">
      <w:pPr>
        <w:spacing w:line="440" w:lineRule="exact"/>
        <w:jc w:val="left"/>
        <w:rPr>
          <w:rFonts w:ascii="新宋体" w:hAnsi="新宋体" w:eastAsia="新宋体" w:cs="新宋体"/>
          <w:sz w:val="24"/>
          <w:shd w:val="clear" w:color="FFFFFF" w:fill="D9D9D9"/>
        </w:rPr>
      </w:pPr>
    </w:p>
    <w:p w14:paraId="400D7DC8">
      <w:pPr>
        <w:jc w:val="left"/>
        <w:rPr>
          <w:rFonts w:ascii="新宋体" w:hAnsi="新宋体" w:eastAsia="新宋体" w:cs="新宋体"/>
          <w:b/>
          <w:sz w:val="24"/>
        </w:rPr>
      </w:pPr>
    </w:p>
    <w:p w14:paraId="37DEC85A">
      <w:pPr>
        <w:jc w:val="left"/>
        <w:rPr>
          <w:rFonts w:ascii="新宋体" w:hAnsi="新宋体" w:eastAsia="新宋体" w:cs="新宋体"/>
          <w:b/>
          <w:sz w:val="24"/>
        </w:rPr>
      </w:pPr>
    </w:p>
    <w:p w14:paraId="24185ED2">
      <w:pPr>
        <w:rPr>
          <w:rFonts w:ascii="新宋体" w:hAnsi="新宋体" w:eastAsia="新宋体" w:cs="新宋体"/>
          <w:b/>
          <w:sz w:val="24"/>
        </w:rPr>
      </w:pPr>
      <w:r>
        <w:rPr>
          <w:rFonts w:hint="eastAsia" w:ascii="新宋体" w:hAnsi="新宋体" w:eastAsia="新宋体" w:cs="新宋体"/>
          <w:b/>
          <w:sz w:val="24"/>
        </w:rPr>
        <w:br w:type="page"/>
      </w:r>
    </w:p>
    <w:p w14:paraId="79A05556">
      <w:pPr>
        <w:pStyle w:val="62"/>
        <w:spacing w:after="0" w:afterLines="0" w:line="440" w:lineRule="exact"/>
        <w:ind w:firstLine="0" w:firstLineChars="0"/>
        <w:rPr>
          <w:rFonts w:ascii="新宋体" w:hAnsi="新宋体" w:eastAsia="新宋体" w:cs="新宋体"/>
          <w:b/>
          <w:szCs w:val="24"/>
        </w:rPr>
      </w:pPr>
      <w:r>
        <w:rPr>
          <w:rFonts w:hint="eastAsia" w:ascii="新宋体" w:hAnsi="新宋体" w:eastAsia="新宋体" w:cs="新宋体"/>
          <w:b/>
          <w:szCs w:val="24"/>
        </w:rPr>
        <w:t>附件10</w:t>
      </w:r>
    </w:p>
    <w:p w14:paraId="4BBA8278">
      <w:pPr>
        <w:snapToGrid w:val="0"/>
        <w:spacing w:line="400" w:lineRule="exact"/>
        <w:jc w:val="center"/>
        <w:rPr>
          <w:rFonts w:ascii="新宋体" w:hAnsi="新宋体" w:eastAsia="新宋体" w:cs="新宋体"/>
          <w:b/>
          <w:sz w:val="24"/>
        </w:rPr>
      </w:pPr>
    </w:p>
    <w:p w14:paraId="21AB5ED5">
      <w:pPr>
        <w:spacing w:line="400" w:lineRule="exact"/>
        <w:jc w:val="center"/>
        <w:rPr>
          <w:rFonts w:ascii="新宋体" w:hAnsi="新宋体" w:eastAsia="新宋体" w:cs="新宋体"/>
          <w:sz w:val="28"/>
          <w:szCs w:val="28"/>
        </w:rPr>
      </w:pPr>
      <w:r>
        <w:rPr>
          <w:rFonts w:hint="eastAsia" w:ascii="新宋体" w:hAnsi="新宋体" w:eastAsia="新宋体" w:cs="新宋体"/>
          <w:b/>
          <w:bCs/>
          <w:sz w:val="28"/>
          <w:szCs w:val="28"/>
        </w:rPr>
        <w:t xml:space="preserve">开标一览表（报价表）                            </w:t>
      </w:r>
    </w:p>
    <w:p w14:paraId="466CD0C8">
      <w:pPr>
        <w:snapToGrid w:val="0"/>
        <w:spacing w:line="400" w:lineRule="exact"/>
        <w:rPr>
          <w:rFonts w:ascii="新宋体" w:hAnsi="新宋体" w:eastAsia="新宋体" w:cs="新宋体"/>
          <w:sz w:val="24"/>
        </w:rPr>
      </w:pPr>
    </w:p>
    <w:p w14:paraId="6B74CBAF">
      <w:pPr>
        <w:snapToGrid w:val="0"/>
        <w:spacing w:line="400" w:lineRule="exact"/>
        <w:rPr>
          <w:rFonts w:ascii="新宋体" w:hAnsi="新宋体" w:eastAsia="新宋体" w:cs="新宋体"/>
          <w:sz w:val="24"/>
          <w:u w:val="single"/>
        </w:rPr>
      </w:pPr>
      <w:r>
        <w:rPr>
          <w:rFonts w:hint="eastAsia" w:ascii="新宋体" w:hAnsi="新宋体" w:eastAsia="新宋体" w:cs="新宋体"/>
          <w:sz w:val="24"/>
        </w:rPr>
        <w:t>项目名称：</w:t>
      </w:r>
      <w:r>
        <w:rPr>
          <w:rFonts w:hint="eastAsia" w:ascii="新宋体" w:hAnsi="新宋体" w:eastAsia="新宋体" w:cs="新宋体"/>
          <w:sz w:val="24"/>
          <w:u w:val="single"/>
        </w:rPr>
        <w:t xml:space="preserve"> </w:t>
      </w:r>
      <w:r>
        <w:rPr>
          <w:rFonts w:hint="eastAsia" w:ascii="新宋体" w:hAnsi="新宋体" w:eastAsia="新宋体" w:cs="新宋体"/>
          <w:sz w:val="24"/>
          <w:u w:val="single"/>
          <w:lang w:eastAsia="zh-CN"/>
        </w:rPr>
        <w:t>沉浸式演艺项目《幻境红楼梦》（暂名）配套设备及系统集成服务采购项目</w:t>
      </w:r>
      <w:r>
        <w:rPr>
          <w:rFonts w:hint="eastAsia" w:ascii="新宋体" w:hAnsi="新宋体" w:eastAsia="新宋体" w:cs="新宋体"/>
          <w:sz w:val="24"/>
          <w:u w:val="single"/>
        </w:rPr>
        <w:t xml:space="preserve"> </w:t>
      </w:r>
    </w:p>
    <w:p w14:paraId="4D5DDE43">
      <w:pPr>
        <w:snapToGrid w:val="0"/>
        <w:spacing w:line="400" w:lineRule="exact"/>
        <w:rPr>
          <w:rFonts w:ascii="新宋体" w:hAnsi="新宋体" w:eastAsia="新宋体" w:cs="新宋体"/>
          <w:sz w:val="24"/>
          <w:u w:val="single"/>
        </w:rPr>
      </w:pPr>
      <w:r>
        <w:rPr>
          <w:rFonts w:hint="eastAsia" w:ascii="新宋体" w:hAnsi="新宋体" w:eastAsia="新宋体" w:cs="新宋体"/>
          <w:sz w:val="24"/>
        </w:rPr>
        <w:t>项目编号：</w:t>
      </w:r>
      <w:r>
        <w:rPr>
          <w:rFonts w:hint="eastAsia" w:ascii="新宋体" w:hAnsi="新宋体" w:eastAsia="新宋体" w:cs="新宋体"/>
          <w:sz w:val="24"/>
          <w:u w:val="single"/>
        </w:rPr>
        <w:t xml:space="preserve">     ZJSY-SZ2024N21              </w:t>
      </w:r>
    </w:p>
    <w:p w14:paraId="00CB3614">
      <w:pPr>
        <w:snapToGrid w:val="0"/>
        <w:spacing w:line="400" w:lineRule="exact"/>
        <w:jc w:val="left"/>
        <w:rPr>
          <w:rFonts w:ascii="新宋体" w:hAnsi="新宋体" w:eastAsia="新宋体" w:cs="新宋体"/>
          <w:b/>
          <w:sz w:val="24"/>
        </w:rPr>
      </w:pPr>
      <w:r>
        <w:rPr>
          <w:rFonts w:hint="eastAsia" w:ascii="新宋体" w:hAnsi="新宋体" w:eastAsia="新宋体" w:cs="新宋体"/>
          <w:sz w:val="24"/>
        </w:rPr>
        <w:t xml:space="preserve">单位：人民币元                                              </w:t>
      </w:r>
    </w:p>
    <w:tbl>
      <w:tblPr>
        <w:tblStyle w:val="29"/>
        <w:tblW w:w="862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3736"/>
        <w:gridCol w:w="1042"/>
        <w:gridCol w:w="1890"/>
        <w:gridCol w:w="1208"/>
      </w:tblGrid>
      <w:tr w14:paraId="60D42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A7D6E2D">
            <w:pPr>
              <w:snapToGrid w:val="0"/>
              <w:spacing w:before="100" w:beforeAutospacing="1" w:after="100" w:afterAutospacing="1" w:line="500" w:lineRule="exact"/>
              <w:jc w:val="center"/>
              <w:rPr>
                <w:rFonts w:ascii="宋体" w:hAnsi="宋体"/>
                <w:b/>
                <w:szCs w:val="21"/>
              </w:rPr>
            </w:pPr>
            <w:r>
              <w:rPr>
                <w:rFonts w:hint="eastAsia" w:ascii="宋体" w:hAnsi="宋体"/>
                <w:b/>
                <w:szCs w:val="21"/>
              </w:rPr>
              <w:t>序号</w:t>
            </w:r>
          </w:p>
        </w:tc>
        <w:tc>
          <w:tcPr>
            <w:tcW w:w="3736" w:type="dxa"/>
            <w:tcBorders>
              <w:top w:val="single" w:color="auto" w:sz="4" w:space="0"/>
              <w:left w:val="single" w:color="auto" w:sz="4" w:space="0"/>
              <w:bottom w:val="single" w:color="auto" w:sz="4" w:space="0"/>
              <w:right w:val="single" w:color="auto" w:sz="4" w:space="0"/>
            </w:tcBorders>
            <w:vAlign w:val="center"/>
          </w:tcPr>
          <w:p w14:paraId="79B57028">
            <w:pPr>
              <w:snapToGrid w:val="0"/>
              <w:spacing w:before="100" w:beforeAutospacing="1" w:after="100" w:afterAutospacing="1" w:line="500" w:lineRule="exact"/>
              <w:jc w:val="center"/>
              <w:rPr>
                <w:rFonts w:ascii="宋体" w:hAnsi="宋体"/>
                <w:b/>
                <w:szCs w:val="21"/>
              </w:rPr>
            </w:pPr>
            <w:r>
              <w:rPr>
                <w:rFonts w:hint="eastAsia" w:ascii="宋体" w:hAnsi="宋体"/>
                <w:b/>
                <w:szCs w:val="21"/>
              </w:rPr>
              <w:t>标项名称</w:t>
            </w:r>
          </w:p>
        </w:tc>
        <w:tc>
          <w:tcPr>
            <w:tcW w:w="1042" w:type="dxa"/>
            <w:tcBorders>
              <w:top w:val="single" w:color="auto" w:sz="4" w:space="0"/>
              <w:left w:val="single" w:color="auto" w:sz="4" w:space="0"/>
              <w:bottom w:val="single" w:color="auto" w:sz="4" w:space="0"/>
              <w:right w:val="single" w:color="auto" w:sz="4" w:space="0"/>
            </w:tcBorders>
            <w:vAlign w:val="center"/>
          </w:tcPr>
          <w:p w14:paraId="25D971B2">
            <w:pPr>
              <w:snapToGrid w:val="0"/>
              <w:spacing w:before="100" w:beforeAutospacing="1" w:after="100" w:afterAutospacing="1" w:line="500" w:lineRule="exact"/>
              <w:jc w:val="center"/>
              <w:rPr>
                <w:rFonts w:ascii="宋体" w:hAnsi="宋体"/>
                <w:b/>
                <w:szCs w:val="21"/>
              </w:rPr>
            </w:pPr>
            <w:r>
              <w:rPr>
                <w:rFonts w:hint="eastAsia" w:ascii="宋体" w:hAnsi="宋体"/>
                <w:b/>
                <w:szCs w:val="21"/>
              </w:rPr>
              <w:t>数量</w:t>
            </w:r>
          </w:p>
        </w:tc>
        <w:tc>
          <w:tcPr>
            <w:tcW w:w="1890" w:type="dxa"/>
            <w:tcBorders>
              <w:top w:val="single" w:color="auto" w:sz="4" w:space="0"/>
              <w:left w:val="single" w:color="auto" w:sz="4" w:space="0"/>
              <w:bottom w:val="single" w:color="auto" w:sz="4" w:space="0"/>
              <w:right w:val="single" w:color="auto" w:sz="4" w:space="0"/>
            </w:tcBorders>
            <w:vAlign w:val="center"/>
          </w:tcPr>
          <w:p w14:paraId="73D1E9BB">
            <w:pPr>
              <w:snapToGrid w:val="0"/>
              <w:spacing w:before="100" w:beforeAutospacing="1" w:after="100" w:afterAutospacing="1" w:line="500" w:lineRule="exact"/>
              <w:jc w:val="center"/>
              <w:rPr>
                <w:rFonts w:ascii="宋体" w:hAnsi="宋体"/>
                <w:b/>
                <w:szCs w:val="21"/>
              </w:rPr>
            </w:pPr>
            <w:r>
              <w:rPr>
                <w:rFonts w:hint="eastAsia" w:ascii="宋体" w:hAnsi="宋体"/>
                <w:b/>
                <w:szCs w:val="21"/>
              </w:rPr>
              <w:t>投标报价（元）</w:t>
            </w:r>
          </w:p>
        </w:tc>
        <w:tc>
          <w:tcPr>
            <w:tcW w:w="1208" w:type="dxa"/>
            <w:tcBorders>
              <w:top w:val="single" w:color="auto" w:sz="4" w:space="0"/>
              <w:left w:val="single" w:color="auto" w:sz="4" w:space="0"/>
              <w:bottom w:val="single" w:color="auto" w:sz="4" w:space="0"/>
              <w:right w:val="single" w:color="auto" w:sz="4" w:space="0"/>
            </w:tcBorders>
            <w:vAlign w:val="center"/>
          </w:tcPr>
          <w:p w14:paraId="3FD2937E">
            <w:pPr>
              <w:snapToGrid w:val="0"/>
              <w:spacing w:before="100" w:beforeAutospacing="1" w:after="100" w:afterAutospacing="1" w:line="500" w:lineRule="exact"/>
              <w:jc w:val="center"/>
              <w:rPr>
                <w:rFonts w:ascii="宋体" w:hAnsi="宋体"/>
                <w:b/>
                <w:szCs w:val="21"/>
              </w:rPr>
            </w:pPr>
            <w:r>
              <w:rPr>
                <w:rFonts w:hint="eastAsia" w:ascii="宋体" w:hAnsi="宋体"/>
                <w:b/>
                <w:szCs w:val="21"/>
              </w:rPr>
              <w:t>备注</w:t>
            </w:r>
          </w:p>
        </w:tc>
      </w:tr>
      <w:tr w14:paraId="25D5D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0845309">
            <w:pPr>
              <w:snapToGrid w:val="0"/>
              <w:spacing w:before="100" w:beforeAutospacing="1" w:after="100" w:afterAutospacing="1" w:line="500" w:lineRule="exact"/>
              <w:jc w:val="center"/>
              <w:rPr>
                <w:rFonts w:ascii="宋体" w:hAnsi="宋体"/>
                <w:bCs/>
                <w:szCs w:val="21"/>
              </w:rPr>
            </w:pPr>
            <w:r>
              <w:rPr>
                <w:rFonts w:hint="eastAsia" w:ascii="宋体" w:hAnsi="宋体"/>
                <w:bCs/>
                <w:szCs w:val="21"/>
              </w:rPr>
              <w:t>1</w:t>
            </w:r>
          </w:p>
        </w:tc>
        <w:tc>
          <w:tcPr>
            <w:tcW w:w="3736" w:type="dxa"/>
            <w:tcBorders>
              <w:top w:val="single" w:color="auto" w:sz="4" w:space="0"/>
              <w:left w:val="single" w:color="auto" w:sz="4" w:space="0"/>
              <w:bottom w:val="single" w:color="auto" w:sz="4" w:space="0"/>
              <w:right w:val="single" w:color="auto" w:sz="4" w:space="0"/>
            </w:tcBorders>
            <w:vAlign w:val="center"/>
          </w:tcPr>
          <w:p w14:paraId="2B22ED6C">
            <w:pPr>
              <w:snapToGrid w:val="0"/>
              <w:spacing w:line="440" w:lineRule="exact"/>
              <w:jc w:val="center"/>
              <w:rPr>
                <w:rFonts w:ascii="宋体" w:hAnsi="宋体" w:cs="宋体"/>
                <w:bCs/>
                <w:szCs w:val="21"/>
              </w:rPr>
            </w:pPr>
            <w:r>
              <w:rPr>
                <w:rFonts w:hint="eastAsia" w:ascii="宋体" w:hAnsi="宋体" w:cs="宋体"/>
                <w:sz w:val="24"/>
                <w:lang w:eastAsia="zh-CN"/>
              </w:rPr>
              <w:t>沉浸式演艺项目《幻境红楼梦》（暂名）配套设备及系统集成服务采购</w:t>
            </w:r>
          </w:p>
        </w:tc>
        <w:tc>
          <w:tcPr>
            <w:tcW w:w="1042" w:type="dxa"/>
            <w:tcBorders>
              <w:top w:val="single" w:color="auto" w:sz="4" w:space="0"/>
              <w:left w:val="single" w:color="auto" w:sz="4" w:space="0"/>
              <w:bottom w:val="single" w:color="auto" w:sz="4" w:space="0"/>
              <w:right w:val="single" w:color="auto" w:sz="4" w:space="0"/>
            </w:tcBorders>
            <w:vAlign w:val="center"/>
          </w:tcPr>
          <w:p w14:paraId="639FDB9C">
            <w:pPr>
              <w:snapToGrid w:val="0"/>
              <w:spacing w:line="440" w:lineRule="exact"/>
              <w:jc w:val="center"/>
              <w:rPr>
                <w:rFonts w:ascii="宋体" w:hAnsi="宋体"/>
                <w:szCs w:val="21"/>
              </w:rPr>
            </w:pPr>
            <w:r>
              <w:rPr>
                <w:rFonts w:hint="eastAsia" w:ascii="宋体" w:hAnsi="宋体"/>
                <w:szCs w:val="21"/>
              </w:rPr>
              <w:t>1批</w:t>
            </w:r>
          </w:p>
        </w:tc>
        <w:tc>
          <w:tcPr>
            <w:tcW w:w="1890" w:type="dxa"/>
            <w:tcBorders>
              <w:top w:val="single" w:color="auto" w:sz="4" w:space="0"/>
              <w:left w:val="single" w:color="auto" w:sz="4" w:space="0"/>
              <w:bottom w:val="single" w:color="auto" w:sz="4" w:space="0"/>
              <w:right w:val="single" w:color="auto" w:sz="4" w:space="0"/>
            </w:tcBorders>
            <w:vAlign w:val="center"/>
          </w:tcPr>
          <w:p w14:paraId="4F750AA9">
            <w:pPr>
              <w:snapToGrid w:val="0"/>
              <w:spacing w:line="440" w:lineRule="exact"/>
              <w:jc w:val="center"/>
              <w:rPr>
                <w:rFonts w:ascii="宋体" w:hAnsi="宋体"/>
                <w:szCs w:val="21"/>
              </w:rPr>
            </w:pPr>
          </w:p>
        </w:tc>
        <w:tc>
          <w:tcPr>
            <w:tcW w:w="1208" w:type="dxa"/>
            <w:tcBorders>
              <w:top w:val="single" w:color="auto" w:sz="4" w:space="0"/>
              <w:left w:val="single" w:color="auto" w:sz="4" w:space="0"/>
              <w:bottom w:val="single" w:color="auto" w:sz="4" w:space="0"/>
              <w:right w:val="single" w:color="auto" w:sz="4" w:space="0"/>
            </w:tcBorders>
            <w:vAlign w:val="center"/>
          </w:tcPr>
          <w:p w14:paraId="518FB936">
            <w:pPr>
              <w:snapToGrid w:val="0"/>
              <w:spacing w:before="100" w:beforeAutospacing="1" w:after="100" w:afterAutospacing="1" w:line="500" w:lineRule="exact"/>
              <w:rPr>
                <w:rFonts w:ascii="宋体" w:hAnsi="宋体"/>
                <w:szCs w:val="21"/>
              </w:rPr>
            </w:pPr>
          </w:p>
        </w:tc>
      </w:tr>
      <w:tr w14:paraId="038A6A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jc w:val="center"/>
        </w:trPr>
        <w:tc>
          <w:tcPr>
            <w:tcW w:w="8626" w:type="dxa"/>
            <w:gridSpan w:val="5"/>
            <w:tcBorders>
              <w:top w:val="single" w:color="auto" w:sz="4" w:space="0"/>
              <w:left w:val="single" w:color="auto" w:sz="4" w:space="0"/>
              <w:bottom w:val="single" w:color="auto" w:sz="4" w:space="0"/>
              <w:right w:val="single" w:color="auto" w:sz="4" w:space="0"/>
            </w:tcBorders>
            <w:vAlign w:val="center"/>
          </w:tcPr>
          <w:p w14:paraId="7E2CB0B4">
            <w:pPr>
              <w:snapToGrid w:val="0"/>
              <w:spacing w:before="100" w:beforeAutospacing="1" w:after="100" w:afterAutospacing="1" w:line="500" w:lineRule="exact"/>
              <w:rPr>
                <w:rFonts w:ascii="宋体" w:hAnsi="宋体"/>
                <w:szCs w:val="21"/>
              </w:rPr>
            </w:pPr>
            <w:r>
              <w:rPr>
                <w:rFonts w:hint="eastAsia" w:ascii="宋体" w:hAnsi="宋体"/>
                <w:b/>
                <w:bCs/>
                <w:szCs w:val="21"/>
              </w:rPr>
              <w:t>投标总报价（大写）：               元整</w:t>
            </w:r>
          </w:p>
        </w:tc>
      </w:tr>
    </w:tbl>
    <w:p w14:paraId="139768EC">
      <w:pPr>
        <w:snapToGrid w:val="0"/>
        <w:spacing w:before="50" w:after="50" w:line="360" w:lineRule="auto"/>
        <w:ind w:firstLine="482" w:firstLineChars="200"/>
        <w:jc w:val="left"/>
        <w:rPr>
          <w:rFonts w:ascii="新宋体" w:hAnsi="新宋体" w:eastAsia="新宋体" w:cs="新宋体"/>
          <w:sz w:val="24"/>
        </w:rPr>
      </w:pPr>
      <w:r>
        <w:rPr>
          <w:rFonts w:hint="eastAsia" w:ascii="新宋体" w:hAnsi="新宋体" w:eastAsia="新宋体" w:cs="新宋体"/>
          <w:b/>
          <w:sz w:val="24"/>
        </w:rPr>
        <w:t xml:space="preserve">注: </w:t>
      </w:r>
      <w:r>
        <w:rPr>
          <w:rFonts w:hint="eastAsia" w:ascii="新宋体" w:hAnsi="新宋体" w:eastAsia="新宋体" w:cs="新宋体"/>
          <w:sz w:val="24"/>
        </w:rPr>
        <w:t>1、报价一经涂改，应在涂改处加盖单位公章或者由法定代表人或授权委托人签字或盖章，否则其投标作无效标处理。</w:t>
      </w:r>
    </w:p>
    <w:p w14:paraId="52F27B45">
      <w:pPr>
        <w:spacing w:line="360" w:lineRule="auto"/>
        <w:ind w:firstLine="482"/>
        <w:rPr>
          <w:rFonts w:ascii="新宋体" w:hAnsi="新宋体" w:eastAsia="新宋体" w:cs="新宋体"/>
          <w:sz w:val="24"/>
        </w:rPr>
      </w:pPr>
      <w:r>
        <w:rPr>
          <w:rFonts w:hint="eastAsia" w:ascii="新宋体" w:hAnsi="新宋体" w:eastAsia="新宋体" w:cs="新宋体"/>
          <w:sz w:val="24"/>
        </w:rPr>
        <w:t>2、以上报价应与“报价明细表”中的“</w:t>
      </w:r>
      <w:r>
        <w:rPr>
          <w:rFonts w:hint="eastAsia" w:ascii="新宋体" w:hAnsi="新宋体" w:eastAsia="新宋体" w:cs="新宋体"/>
          <w:sz w:val="24"/>
          <w:lang w:val="en-US" w:eastAsia="zh-CN"/>
        </w:rPr>
        <w:t>总价</w:t>
      </w:r>
      <w:r>
        <w:rPr>
          <w:rFonts w:hint="eastAsia" w:ascii="新宋体" w:hAnsi="新宋体" w:eastAsia="新宋体" w:cs="新宋体"/>
          <w:sz w:val="24"/>
        </w:rPr>
        <w:t>”相一致。。</w:t>
      </w:r>
    </w:p>
    <w:p w14:paraId="3ACB72AB">
      <w:pPr>
        <w:spacing w:line="360" w:lineRule="auto"/>
        <w:rPr>
          <w:rFonts w:ascii="新宋体" w:hAnsi="新宋体" w:eastAsia="新宋体" w:cs="新宋体"/>
          <w:sz w:val="24"/>
        </w:rPr>
      </w:pPr>
    </w:p>
    <w:p w14:paraId="5E3A6E94">
      <w:pPr>
        <w:spacing w:line="360" w:lineRule="auto"/>
        <w:ind w:firstLine="482"/>
        <w:rPr>
          <w:rFonts w:ascii="新宋体" w:hAnsi="新宋体" w:eastAsia="新宋体" w:cs="新宋体"/>
          <w:sz w:val="24"/>
        </w:rPr>
      </w:pPr>
    </w:p>
    <w:p w14:paraId="0C2C97D2">
      <w:pPr>
        <w:snapToGrid w:val="0"/>
        <w:spacing w:line="360" w:lineRule="auto"/>
        <w:textAlignment w:val="baseline"/>
        <w:rPr>
          <w:rFonts w:ascii="新宋体" w:hAnsi="新宋体" w:eastAsia="新宋体" w:cs="新宋体"/>
          <w:kern w:val="0"/>
          <w:sz w:val="24"/>
          <w:lang w:val="zh-CN"/>
        </w:rPr>
      </w:pPr>
    </w:p>
    <w:p w14:paraId="161B4349">
      <w:pPr>
        <w:snapToGrid w:val="0"/>
        <w:spacing w:line="360" w:lineRule="auto"/>
        <w:textAlignment w:val="baseline"/>
        <w:rPr>
          <w:rFonts w:ascii="新宋体" w:hAnsi="新宋体" w:eastAsia="新宋体" w:cs="新宋体"/>
          <w:sz w:val="24"/>
        </w:rPr>
      </w:pPr>
      <w:r>
        <w:rPr>
          <w:rFonts w:hint="eastAsia" w:ascii="新宋体" w:hAnsi="新宋体" w:eastAsia="新宋体" w:cs="新宋体"/>
          <w:kern w:val="0"/>
          <w:sz w:val="24"/>
          <w:lang w:val="zh-CN"/>
        </w:rPr>
        <w:t>投标人名称（公章）</w:t>
      </w:r>
      <w:r>
        <w:rPr>
          <w:rFonts w:hint="eastAsia" w:ascii="新宋体" w:hAnsi="新宋体" w:eastAsia="新宋体" w:cs="新宋体"/>
          <w:sz w:val="24"/>
        </w:rPr>
        <w:t>：</w:t>
      </w:r>
      <w:r>
        <w:rPr>
          <w:rFonts w:hint="eastAsia" w:ascii="新宋体" w:hAnsi="新宋体" w:eastAsia="新宋体" w:cs="新宋体"/>
          <w:sz w:val="24"/>
          <w:u w:val="single"/>
        </w:rPr>
        <w:t xml:space="preserve">                                   </w:t>
      </w:r>
    </w:p>
    <w:p w14:paraId="60B4FBF8">
      <w:pPr>
        <w:snapToGrid w:val="0"/>
        <w:spacing w:line="360" w:lineRule="auto"/>
        <w:textAlignment w:val="baseline"/>
        <w:rPr>
          <w:rFonts w:ascii="新宋体" w:hAnsi="新宋体" w:eastAsia="新宋体" w:cs="新宋体"/>
          <w:sz w:val="24"/>
        </w:rPr>
      </w:pPr>
      <w:r>
        <w:rPr>
          <w:rFonts w:hint="eastAsia" w:ascii="新宋体" w:hAnsi="新宋体" w:eastAsia="新宋体" w:cs="新宋体"/>
          <w:sz w:val="24"/>
        </w:rPr>
        <w:t>法定代表人或授权代理人（签字或盖章）：</w:t>
      </w:r>
      <w:r>
        <w:rPr>
          <w:rFonts w:hint="eastAsia" w:ascii="新宋体" w:hAnsi="新宋体" w:eastAsia="新宋体" w:cs="新宋体"/>
          <w:sz w:val="24"/>
          <w:u w:val="single"/>
        </w:rPr>
        <w:t xml:space="preserve">                 </w:t>
      </w:r>
    </w:p>
    <w:p w14:paraId="3DEBB08E">
      <w:pPr>
        <w:widowControl/>
        <w:wordWrap w:val="0"/>
        <w:jc w:val="left"/>
      </w:pPr>
      <w:r>
        <w:rPr>
          <w:rFonts w:hint="eastAsia" w:ascii="新宋体" w:hAnsi="新宋体" w:eastAsia="新宋体" w:cs="新宋体"/>
          <w:sz w:val="24"/>
        </w:rPr>
        <w:t>日期：  年   月   日</w:t>
      </w:r>
    </w:p>
    <w:p w14:paraId="46FA887D">
      <w:pPr>
        <w:snapToGrid w:val="0"/>
        <w:jc w:val="left"/>
        <w:textAlignment w:val="baseline"/>
        <w:rPr>
          <w:rFonts w:ascii="宋体" w:hAnsi="宋体" w:cs="宋体"/>
          <w:b/>
          <w:sz w:val="24"/>
        </w:rPr>
      </w:pPr>
      <w:r>
        <w:rPr>
          <w:rFonts w:hint="eastAsia" w:ascii="宋体" w:hAnsi="宋体" w:cs="宋体"/>
          <w:szCs w:val="21"/>
        </w:rPr>
        <w:br w:type="page"/>
      </w:r>
      <w:r>
        <w:rPr>
          <w:rFonts w:hint="eastAsia" w:ascii="宋体" w:hAnsi="宋体" w:cs="宋体"/>
          <w:b/>
          <w:sz w:val="24"/>
        </w:rPr>
        <w:t>附件11</w:t>
      </w:r>
    </w:p>
    <w:p w14:paraId="4D15EFDA">
      <w:pPr>
        <w:snapToGrid w:val="0"/>
        <w:jc w:val="center"/>
        <w:rPr>
          <w:rFonts w:ascii="新宋体" w:hAnsi="新宋体" w:eastAsia="新宋体" w:cs="新宋体"/>
          <w:b/>
          <w:sz w:val="28"/>
          <w:szCs w:val="28"/>
        </w:rPr>
      </w:pPr>
      <w:r>
        <w:rPr>
          <w:rFonts w:hint="eastAsia" w:ascii="新宋体" w:hAnsi="新宋体" w:eastAsia="新宋体" w:cs="新宋体"/>
          <w:b/>
          <w:sz w:val="28"/>
          <w:szCs w:val="28"/>
        </w:rPr>
        <w:t xml:space="preserve">报价明细表     </w:t>
      </w:r>
    </w:p>
    <w:p w14:paraId="08C5DC8F">
      <w:pPr>
        <w:snapToGrid w:val="0"/>
        <w:spacing w:line="500" w:lineRule="exact"/>
        <w:ind w:left="1200" w:hanging="1200" w:hangingChars="500"/>
        <w:rPr>
          <w:rFonts w:ascii="新宋体" w:hAnsi="新宋体" w:eastAsia="新宋体" w:cs="新宋体"/>
          <w:sz w:val="24"/>
        </w:rPr>
      </w:pPr>
      <w:r>
        <w:rPr>
          <w:rFonts w:hint="eastAsia" w:ascii="新宋体" w:hAnsi="新宋体" w:eastAsia="新宋体" w:cs="新宋体"/>
          <w:sz w:val="24"/>
        </w:rPr>
        <w:t>项目名称：</w:t>
      </w:r>
      <w:r>
        <w:rPr>
          <w:rFonts w:hint="eastAsia" w:ascii="新宋体" w:hAnsi="新宋体" w:eastAsia="新宋体" w:cs="新宋体"/>
          <w:sz w:val="24"/>
          <w:u w:val="single"/>
          <w:lang w:eastAsia="zh-CN"/>
        </w:rPr>
        <w:t>沉浸式演艺项目《幻境红楼梦》（暂名）配套设备及系统集成服务采购项目</w:t>
      </w:r>
      <w:r>
        <w:rPr>
          <w:rFonts w:hint="eastAsia" w:ascii="新宋体" w:hAnsi="新宋体" w:eastAsia="新宋体" w:cs="新宋体"/>
          <w:sz w:val="24"/>
        </w:rPr>
        <w:t xml:space="preserve">                           </w:t>
      </w:r>
    </w:p>
    <w:p w14:paraId="78F80ED2">
      <w:pPr>
        <w:snapToGrid w:val="0"/>
        <w:spacing w:line="500" w:lineRule="exact"/>
        <w:rPr>
          <w:rFonts w:ascii="新宋体" w:hAnsi="新宋体" w:eastAsia="新宋体" w:cs="新宋体"/>
          <w:sz w:val="24"/>
        </w:rPr>
      </w:pPr>
      <w:r>
        <w:rPr>
          <w:rFonts w:hint="eastAsia" w:ascii="新宋体" w:hAnsi="新宋体" w:eastAsia="新宋体" w:cs="新宋体"/>
          <w:sz w:val="24"/>
        </w:rPr>
        <w:t>项目编号：</w:t>
      </w:r>
      <w:r>
        <w:rPr>
          <w:rFonts w:hint="eastAsia" w:ascii="新宋体" w:hAnsi="新宋体" w:eastAsia="新宋体" w:cs="新宋体"/>
          <w:sz w:val="24"/>
          <w:u w:val="single"/>
        </w:rPr>
        <w:t>ZJSY-SZ2024N21</w:t>
      </w:r>
      <w:r>
        <w:rPr>
          <w:rFonts w:hint="eastAsia" w:ascii="新宋体" w:hAnsi="新宋体" w:eastAsia="新宋体" w:cs="新宋体"/>
          <w:sz w:val="24"/>
        </w:rPr>
        <w:t xml:space="preserve">                                  金额单位：元</w:t>
      </w:r>
    </w:p>
    <w:tbl>
      <w:tblPr>
        <w:tblStyle w:val="29"/>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914"/>
        <w:gridCol w:w="775"/>
        <w:gridCol w:w="1438"/>
        <w:gridCol w:w="800"/>
        <w:gridCol w:w="775"/>
        <w:gridCol w:w="787"/>
        <w:gridCol w:w="938"/>
        <w:gridCol w:w="836"/>
      </w:tblGrid>
      <w:tr w14:paraId="4B54A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2FA8516A">
            <w:pPr>
              <w:jc w:val="center"/>
              <w:rPr>
                <w:rFonts w:ascii="宋体" w:hAnsi="宋体" w:cs="宋体"/>
                <w:sz w:val="24"/>
              </w:rPr>
            </w:pPr>
            <w:r>
              <w:rPr>
                <w:rFonts w:hint="eastAsia" w:ascii="宋体" w:hAnsi="宋体" w:cs="宋体"/>
                <w:sz w:val="24"/>
              </w:rPr>
              <w:t>序号</w:t>
            </w:r>
          </w:p>
        </w:tc>
        <w:tc>
          <w:tcPr>
            <w:tcW w:w="1914" w:type="dxa"/>
            <w:tcBorders>
              <w:top w:val="single" w:color="auto" w:sz="4" w:space="0"/>
              <w:left w:val="nil"/>
              <w:bottom w:val="single" w:color="auto" w:sz="4" w:space="0"/>
              <w:right w:val="single" w:color="auto" w:sz="4" w:space="0"/>
            </w:tcBorders>
            <w:vAlign w:val="center"/>
          </w:tcPr>
          <w:p w14:paraId="56A791B5">
            <w:pPr>
              <w:jc w:val="center"/>
              <w:rPr>
                <w:rFonts w:ascii="宋体" w:hAnsi="宋体" w:cs="宋体"/>
                <w:sz w:val="24"/>
              </w:rPr>
            </w:pPr>
            <w:r>
              <w:rPr>
                <w:rFonts w:hint="eastAsia" w:ascii="宋体" w:hAnsi="宋体" w:cs="宋体"/>
                <w:sz w:val="24"/>
              </w:rPr>
              <w:t>名称</w:t>
            </w:r>
          </w:p>
        </w:tc>
        <w:tc>
          <w:tcPr>
            <w:tcW w:w="775" w:type="dxa"/>
            <w:tcBorders>
              <w:top w:val="single" w:color="auto" w:sz="4" w:space="0"/>
              <w:left w:val="nil"/>
              <w:bottom w:val="single" w:color="auto" w:sz="4" w:space="0"/>
              <w:right w:val="single" w:color="auto" w:sz="4" w:space="0"/>
            </w:tcBorders>
            <w:vAlign w:val="center"/>
          </w:tcPr>
          <w:p w14:paraId="079F0EF9">
            <w:pPr>
              <w:jc w:val="center"/>
              <w:rPr>
                <w:rFonts w:ascii="宋体" w:hAnsi="宋体" w:cs="宋体"/>
                <w:sz w:val="24"/>
              </w:rPr>
            </w:pPr>
            <w:r>
              <w:rPr>
                <w:rFonts w:hint="eastAsia" w:ascii="宋体" w:hAnsi="宋体" w:cs="宋体"/>
                <w:sz w:val="24"/>
              </w:rPr>
              <w:t>品牌</w:t>
            </w:r>
          </w:p>
        </w:tc>
        <w:tc>
          <w:tcPr>
            <w:tcW w:w="1438" w:type="dxa"/>
            <w:tcBorders>
              <w:top w:val="single" w:color="auto" w:sz="4" w:space="0"/>
              <w:left w:val="nil"/>
              <w:bottom w:val="single" w:color="auto" w:sz="4" w:space="0"/>
              <w:right w:val="single" w:color="auto" w:sz="4" w:space="0"/>
            </w:tcBorders>
            <w:vAlign w:val="center"/>
          </w:tcPr>
          <w:p w14:paraId="54992A6B">
            <w:pPr>
              <w:jc w:val="center"/>
              <w:rPr>
                <w:rFonts w:ascii="宋体" w:hAnsi="宋体" w:cs="宋体"/>
                <w:sz w:val="24"/>
              </w:rPr>
            </w:pPr>
            <w:r>
              <w:rPr>
                <w:rFonts w:hint="eastAsia" w:ascii="宋体" w:hAnsi="宋体" w:cs="宋体"/>
                <w:sz w:val="24"/>
              </w:rPr>
              <w:t>规格及型号</w:t>
            </w:r>
          </w:p>
        </w:tc>
        <w:tc>
          <w:tcPr>
            <w:tcW w:w="800" w:type="dxa"/>
            <w:tcBorders>
              <w:top w:val="single" w:color="auto" w:sz="4" w:space="0"/>
              <w:left w:val="nil"/>
              <w:bottom w:val="single" w:color="auto" w:sz="4" w:space="0"/>
              <w:right w:val="single" w:color="auto" w:sz="4" w:space="0"/>
            </w:tcBorders>
            <w:vAlign w:val="center"/>
          </w:tcPr>
          <w:p w14:paraId="46C6FD12">
            <w:pPr>
              <w:jc w:val="center"/>
              <w:rPr>
                <w:rFonts w:ascii="宋体" w:hAnsi="宋体" w:cs="宋体"/>
                <w:sz w:val="24"/>
              </w:rPr>
            </w:pPr>
            <w:r>
              <w:rPr>
                <w:rFonts w:hint="eastAsia" w:ascii="宋体" w:hAnsi="宋体" w:cs="宋体"/>
                <w:sz w:val="24"/>
              </w:rPr>
              <w:t>单位</w:t>
            </w:r>
          </w:p>
        </w:tc>
        <w:tc>
          <w:tcPr>
            <w:tcW w:w="775" w:type="dxa"/>
            <w:tcBorders>
              <w:top w:val="single" w:color="auto" w:sz="4" w:space="0"/>
              <w:left w:val="nil"/>
              <w:bottom w:val="single" w:color="auto" w:sz="4" w:space="0"/>
              <w:right w:val="single" w:color="auto" w:sz="4" w:space="0"/>
            </w:tcBorders>
            <w:vAlign w:val="center"/>
          </w:tcPr>
          <w:p w14:paraId="7AFE8660">
            <w:pPr>
              <w:jc w:val="center"/>
              <w:rPr>
                <w:rFonts w:ascii="宋体" w:hAnsi="宋体" w:cs="宋体"/>
                <w:sz w:val="24"/>
              </w:rPr>
            </w:pPr>
            <w:r>
              <w:rPr>
                <w:rFonts w:hint="eastAsia" w:ascii="宋体" w:hAnsi="宋体" w:cs="宋体"/>
                <w:sz w:val="24"/>
              </w:rPr>
              <w:t>数量</w:t>
            </w:r>
          </w:p>
        </w:tc>
        <w:tc>
          <w:tcPr>
            <w:tcW w:w="787" w:type="dxa"/>
            <w:tcBorders>
              <w:top w:val="single" w:color="auto" w:sz="4" w:space="0"/>
              <w:left w:val="nil"/>
              <w:bottom w:val="single" w:color="auto" w:sz="4" w:space="0"/>
              <w:right w:val="single" w:color="auto" w:sz="4" w:space="0"/>
            </w:tcBorders>
            <w:vAlign w:val="center"/>
          </w:tcPr>
          <w:p w14:paraId="45E553F2">
            <w:pPr>
              <w:jc w:val="center"/>
              <w:rPr>
                <w:rFonts w:ascii="宋体" w:hAnsi="宋体" w:cs="宋体"/>
                <w:sz w:val="24"/>
              </w:rPr>
            </w:pPr>
            <w:r>
              <w:rPr>
                <w:rFonts w:hint="eastAsia" w:ascii="宋体" w:hAnsi="宋体" w:cs="宋体"/>
                <w:sz w:val="24"/>
              </w:rPr>
              <w:t>单价</w:t>
            </w:r>
          </w:p>
        </w:tc>
        <w:tc>
          <w:tcPr>
            <w:tcW w:w="938" w:type="dxa"/>
            <w:tcBorders>
              <w:top w:val="single" w:color="auto" w:sz="4" w:space="0"/>
              <w:left w:val="nil"/>
              <w:bottom w:val="single" w:color="auto" w:sz="4" w:space="0"/>
              <w:right w:val="single" w:color="auto" w:sz="4" w:space="0"/>
            </w:tcBorders>
            <w:vAlign w:val="center"/>
          </w:tcPr>
          <w:p w14:paraId="19656D3D">
            <w:pPr>
              <w:jc w:val="center"/>
              <w:rPr>
                <w:rFonts w:ascii="宋体" w:hAnsi="宋体" w:cs="宋体"/>
                <w:sz w:val="24"/>
              </w:rPr>
            </w:pPr>
            <w:r>
              <w:rPr>
                <w:rFonts w:hint="eastAsia" w:ascii="宋体" w:hAnsi="宋体" w:cs="宋体"/>
                <w:sz w:val="24"/>
              </w:rPr>
              <w:t>总价</w:t>
            </w:r>
          </w:p>
        </w:tc>
        <w:tc>
          <w:tcPr>
            <w:tcW w:w="836" w:type="dxa"/>
            <w:tcBorders>
              <w:top w:val="single" w:color="auto" w:sz="4" w:space="0"/>
              <w:left w:val="nil"/>
              <w:bottom w:val="single" w:color="auto" w:sz="4" w:space="0"/>
              <w:right w:val="single" w:color="auto" w:sz="4" w:space="0"/>
            </w:tcBorders>
            <w:vAlign w:val="center"/>
          </w:tcPr>
          <w:p w14:paraId="3E12F5A9">
            <w:pPr>
              <w:jc w:val="center"/>
              <w:rPr>
                <w:rFonts w:ascii="宋体" w:hAnsi="宋体" w:cs="宋体"/>
                <w:sz w:val="24"/>
              </w:rPr>
            </w:pPr>
            <w:r>
              <w:rPr>
                <w:rFonts w:hint="eastAsia" w:ascii="宋体" w:hAnsi="宋体" w:cs="宋体"/>
                <w:sz w:val="24"/>
              </w:rPr>
              <w:t>备注</w:t>
            </w:r>
          </w:p>
        </w:tc>
      </w:tr>
      <w:tr w14:paraId="30B80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06C1A3A0">
            <w:pPr>
              <w:widowControl/>
              <w:jc w:val="center"/>
              <w:textAlignment w:val="center"/>
              <w:rPr>
                <w:rFonts w:ascii="宋体" w:hAnsi="宋体" w:cs="宋体"/>
                <w:sz w:val="24"/>
              </w:rPr>
            </w:pPr>
            <w:r>
              <w:rPr>
                <w:rFonts w:hint="eastAsia" w:ascii="宋体" w:hAnsi="宋体" w:cs="宋体"/>
                <w:sz w:val="24"/>
              </w:rPr>
              <w:t>1</w:t>
            </w:r>
          </w:p>
        </w:tc>
        <w:tc>
          <w:tcPr>
            <w:tcW w:w="1914" w:type="dxa"/>
            <w:tcBorders>
              <w:top w:val="single" w:color="auto" w:sz="4" w:space="0"/>
              <w:left w:val="nil"/>
              <w:bottom w:val="single" w:color="auto" w:sz="4" w:space="0"/>
              <w:right w:val="single" w:color="auto" w:sz="4" w:space="0"/>
            </w:tcBorders>
            <w:vAlign w:val="center"/>
          </w:tcPr>
          <w:p w14:paraId="3BA875B5">
            <w:pPr>
              <w:rPr>
                <w:rFonts w:ascii="宋体" w:hAnsi="宋体" w:cs="宋体"/>
                <w:sz w:val="24"/>
              </w:rPr>
            </w:pPr>
          </w:p>
        </w:tc>
        <w:tc>
          <w:tcPr>
            <w:tcW w:w="775" w:type="dxa"/>
            <w:tcBorders>
              <w:top w:val="single" w:color="auto" w:sz="4" w:space="0"/>
              <w:left w:val="nil"/>
              <w:bottom w:val="single" w:color="auto" w:sz="4" w:space="0"/>
              <w:right w:val="single" w:color="auto" w:sz="4" w:space="0"/>
            </w:tcBorders>
            <w:vAlign w:val="center"/>
          </w:tcPr>
          <w:p w14:paraId="1FD68F6E">
            <w:pPr>
              <w:jc w:val="center"/>
              <w:rPr>
                <w:rFonts w:ascii="宋体" w:hAnsi="宋体" w:cs="宋体"/>
                <w:sz w:val="24"/>
              </w:rPr>
            </w:pPr>
          </w:p>
        </w:tc>
        <w:tc>
          <w:tcPr>
            <w:tcW w:w="1438" w:type="dxa"/>
            <w:tcBorders>
              <w:top w:val="single" w:color="auto" w:sz="4" w:space="0"/>
              <w:left w:val="nil"/>
              <w:bottom w:val="single" w:color="auto" w:sz="4" w:space="0"/>
              <w:right w:val="single" w:color="auto" w:sz="4" w:space="0"/>
            </w:tcBorders>
            <w:vAlign w:val="center"/>
          </w:tcPr>
          <w:p w14:paraId="61BBDCDA">
            <w:pPr>
              <w:jc w:val="center"/>
              <w:rPr>
                <w:rFonts w:ascii="宋体" w:hAnsi="宋体" w:cs="宋体"/>
                <w:sz w:val="24"/>
              </w:rPr>
            </w:pPr>
          </w:p>
        </w:tc>
        <w:tc>
          <w:tcPr>
            <w:tcW w:w="800" w:type="dxa"/>
            <w:tcBorders>
              <w:top w:val="single" w:color="auto" w:sz="4" w:space="0"/>
              <w:left w:val="nil"/>
              <w:bottom w:val="single" w:color="auto" w:sz="4" w:space="0"/>
              <w:right w:val="single" w:color="auto" w:sz="4" w:space="0"/>
            </w:tcBorders>
            <w:vAlign w:val="center"/>
          </w:tcPr>
          <w:p w14:paraId="31115CC3">
            <w:pPr>
              <w:widowControl/>
              <w:jc w:val="center"/>
              <w:rPr>
                <w:rFonts w:ascii="宋体" w:hAnsi="宋体" w:cs="宋体"/>
                <w:sz w:val="24"/>
              </w:rPr>
            </w:pPr>
          </w:p>
        </w:tc>
        <w:tc>
          <w:tcPr>
            <w:tcW w:w="775" w:type="dxa"/>
            <w:tcBorders>
              <w:top w:val="single" w:color="auto" w:sz="4" w:space="0"/>
              <w:left w:val="nil"/>
              <w:bottom w:val="single" w:color="auto" w:sz="4" w:space="0"/>
              <w:right w:val="single" w:color="auto" w:sz="4" w:space="0"/>
            </w:tcBorders>
            <w:vAlign w:val="center"/>
          </w:tcPr>
          <w:p w14:paraId="0A66D3F8">
            <w:pPr>
              <w:widowControl/>
              <w:jc w:val="center"/>
              <w:rPr>
                <w:rFonts w:ascii="宋体" w:hAnsi="宋体" w:cs="宋体"/>
                <w:sz w:val="24"/>
              </w:rPr>
            </w:pPr>
          </w:p>
        </w:tc>
        <w:tc>
          <w:tcPr>
            <w:tcW w:w="787" w:type="dxa"/>
            <w:tcBorders>
              <w:top w:val="single" w:color="auto" w:sz="4" w:space="0"/>
              <w:left w:val="nil"/>
              <w:bottom w:val="single" w:color="auto" w:sz="4" w:space="0"/>
              <w:right w:val="single" w:color="auto" w:sz="4" w:space="0"/>
            </w:tcBorders>
            <w:vAlign w:val="center"/>
          </w:tcPr>
          <w:p w14:paraId="7E968C3B">
            <w:pPr>
              <w:jc w:val="center"/>
              <w:rPr>
                <w:rFonts w:ascii="宋体" w:hAnsi="宋体" w:cs="宋体"/>
                <w:sz w:val="24"/>
              </w:rPr>
            </w:pPr>
          </w:p>
        </w:tc>
        <w:tc>
          <w:tcPr>
            <w:tcW w:w="938" w:type="dxa"/>
            <w:tcBorders>
              <w:top w:val="single" w:color="auto" w:sz="4" w:space="0"/>
              <w:left w:val="nil"/>
              <w:bottom w:val="single" w:color="auto" w:sz="4" w:space="0"/>
              <w:right w:val="single" w:color="auto" w:sz="4" w:space="0"/>
            </w:tcBorders>
            <w:vAlign w:val="center"/>
          </w:tcPr>
          <w:p w14:paraId="0689F74F">
            <w:pPr>
              <w:jc w:val="center"/>
              <w:rPr>
                <w:rFonts w:ascii="宋体" w:hAnsi="宋体" w:cs="宋体"/>
                <w:sz w:val="24"/>
              </w:rPr>
            </w:pPr>
          </w:p>
        </w:tc>
        <w:tc>
          <w:tcPr>
            <w:tcW w:w="836" w:type="dxa"/>
            <w:tcBorders>
              <w:top w:val="single" w:color="auto" w:sz="4" w:space="0"/>
              <w:left w:val="nil"/>
              <w:bottom w:val="single" w:color="auto" w:sz="4" w:space="0"/>
              <w:right w:val="single" w:color="auto" w:sz="4" w:space="0"/>
            </w:tcBorders>
            <w:vAlign w:val="center"/>
          </w:tcPr>
          <w:p w14:paraId="088FB3A0">
            <w:pPr>
              <w:jc w:val="center"/>
              <w:rPr>
                <w:rFonts w:ascii="宋体" w:hAnsi="宋体" w:cs="宋体"/>
                <w:sz w:val="24"/>
              </w:rPr>
            </w:pPr>
          </w:p>
        </w:tc>
      </w:tr>
      <w:tr w14:paraId="3271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6743A52B">
            <w:pPr>
              <w:widowControl/>
              <w:jc w:val="center"/>
              <w:textAlignment w:val="center"/>
              <w:rPr>
                <w:rFonts w:ascii="宋体" w:hAnsi="宋体" w:cs="宋体"/>
                <w:sz w:val="24"/>
              </w:rPr>
            </w:pPr>
            <w:r>
              <w:rPr>
                <w:rFonts w:hint="eastAsia" w:ascii="宋体" w:hAnsi="宋体" w:cs="宋体"/>
                <w:sz w:val="24"/>
              </w:rPr>
              <w:t>2</w:t>
            </w:r>
          </w:p>
        </w:tc>
        <w:tc>
          <w:tcPr>
            <w:tcW w:w="1914" w:type="dxa"/>
            <w:tcBorders>
              <w:top w:val="single" w:color="auto" w:sz="4" w:space="0"/>
              <w:left w:val="nil"/>
              <w:bottom w:val="single" w:color="auto" w:sz="4" w:space="0"/>
              <w:right w:val="single" w:color="auto" w:sz="4" w:space="0"/>
            </w:tcBorders>
            <w:vAlign w:val="center"/>
          </w:tcPr>
          <w:p w14:paraId="4F8C1885">
            <w:pPr>
              <w:rPr>
                <w:rFonts w:ascii="宋体" w:hAnsi="宋体" w:cs="宋体"/>
                <w:sz w:val="24"/>
              </w:rPr>
            </w:pPr>
          </w:p>
        </w:tc>
        <w:tc>
          <w:tcPr>
            <w:tcW w:w="775" w:type="dxa"/>
            <w:tcBorders>
              <w:top w:val="single" w:color="auto" w:sz="4" w:space="0"/>
              <w:left w:val="nil"/>
              <w:bottom w:val="single" w:color="auto" w:sz="4" w:space="0"/>
              <w:right w:val="single" w:color="auto" w:sz="4" w:space="0"/>
            </w:tcBorders>
            <w:vAlign w:val="center"/>
          </w:tcPr>
          <w:p w14:paraId="2124626F">
            <w:pPr>
              <w:jc w:val="center"/>
              <w:rPr>
                <w:rFonts w:ascii="宋体" w:hAnsi="宋体" w:cs="宋体"/>
                <w:sz w:val="24"/>
              </w:rPr>
            </w:pPr>
          </w:p>
        </w:tc>
        <w:tc>
          <w:tcPr>
            <w:tcW w:w="1438" w:type="dxa"/>
            <w:tcBorders>
              <w:top w:val="single" w:color="auto" w:sz="4" w:space="0"/>
              <w:left w:val="nil"/>
              <w:bottom w:val="single" w:color="auto" w:sz="4" w:space="0"/>
              <w:right w:val="single" w:color="auto" w:sz="4" w:space="0"/>
            </w:tcBorders>
            <w:vAlign w:val="center"/>
          </w:tcPr>
          <w:p w14:paraId="71418AD3">
            <w:pPr>
              <w:jc w:val="center"/>
              <w:rPr>
                <w:rFonts w:ascii="宋体" w:hAnsi="宋体" w:cs="宋体"/>
                <w:sz w:val="24"/>
              </w:rPr>
            </w:pPr>
          </w:p>
        </w:tc>
        <w:tc>
          <w:tcPr>
            <w:tcW w:w="800" w:type="dxa"/>
            <w:tcBorders>
              <w:top w:val="single" w:color="auto" w:sz="4" w:space="0"/>
              <w:left w:val="nil"/>
              <w:bottom w:val="single" w:color="auto" w:sz="4" w:space="0"/>
              <w:right w:val="single" w:color="auto" w:sz="4" w:space="0"/>
            </w:tcBorders>
            <w:vAlign w:val="center"/>
          </w:tcPr>
          <w:p w14:paraId="43EB1C75">
            <w:pPr>
              <w:widowControl/>
              <w:jc w:val="center"/>
              <w:rPr>
                <w:rFonts w:ascii="宋体" w:hAnsi="宋体" w:cs="宋体"/>
                <w:sz w:val="24"/>
              </w:rPr>
            </w:pPr>
          </w:p>
        </w:tc>
        <w:tc>
          <w:tcPr>
            <w:tcW w:w="775" w:type="dxa"/>
            <w:tcBorders>
              <w:top w:val="single" w:color="auto" w:sz="4" w:space="0"/>
              <w:left w:val="nil"/>
              <w:bottom w:val="single" w:color="auto" w:sz="4" w:space="0"/>
              <w:right w:val="single" w:color="auto" w:sz="4" w:space="0"/>
            </w:tcBorders>
            <w:vAlign w:val="center"/>
          </w:tcPr>
          <w:p w14:paraId="57C66E7F">
            <w:pPr>
              <w:widowControl/>
              <w:jc w:val="center"/>
              <w:rPr>
                <w:rFonts w:ascii="宋体" w:hAnsi="宋体" w:cs="宋体"/>
                <w:sz w:val="24"/>
              </w:rPr>
            </w:pPr>
          </w:p>
        </w:tc>
        <w:tc>
          <w:tcPr>
            <w:tcW w:w="787" w:type="dxa"/>
            <w:tcBorders>
              <w:top w:val="single" w:color="auto" w:sz="4" w:space="0"/>
              <w:left w:val="nil"/>
              <w:bottom w:val="single" w:color="auto" w:sz="4" w:space="0"/>
              <w:right w:val="single" w:color="auto" w:sz="4" w:space="0"/>
            </w:tcBorders>
            <w:vAlign w:val="center"/>
          </w:tcPr>
          <w:p w14:paraId="35ACA186">
            <w:pPr>
              <w:jc w:val="center"/>
              <w:rPr>
                <w:rFonts w:ascii="宋体" w:hAnsi="宋体" w:cs="宋体"/>
                <w:sz w:val="24"/>
              </w:rPr>
            </w:pPr>
          </w:p>
        </w:tc>
        <w:tc>
          <w:tcPr>
            <w:tcW w:w="938" w:type="dxa"/>
            <w:tcBorders>
              <w:top w:val="single" w:color="auto" w:sz="4" w:space="0"/>
              <w:left w:val="nil"/>
              <w:bottom w:val="single" w:color="auto" w:sz="4" w:space="0"/>
              <w:right w:val="single" w:color="auto" w:sz="4" w:space="0"/>
            </w:tcBorders>
            <w:vAlign w:val="center"/>
          </w:tcPr>
          <w:p w14:paraId="32DA8B24">
            <w:pPr>
              <w:jc w:val="center"/>
              <w:rPr>
                <w:rFonts w:ascii="宋体" w:hAnsi="宋体" w:cs="宋体"/>
                <w:sz w:val="24"/>
              </w:rPr>
            </w:pPr>
          </w:p>
        </w:tc>
        <w:tc>
          <w:tcPr>
            <w:tcW w:w="836" w:type="dxa"/>
            <w:tcBorders>
              <w:top w:val="single" w:color="auto" w:sz="4" w:space="0"/>
              <w:left w:val="nil"/>
              <w:bottom w:val="single" w:color="auto" w:sz="4" w:space="0"/>
              <w:right w:val="single" w:color="auto" w:sz="4" w:space="0"/>
            </w:tcBorders>
            <w:vAlign w:val="center"/>
          </w:tcPr>
          <w:p w14:paraId="3768A5F7">
            <w:pPr>
              <w:jc w:val="center"/>
              <w:rPr>
                <w:rFonts w:ascii="宋体" w:hAnsi="宋体" w:cs="宋体"/>
                <w:sz w:val="24"/>
              </w:rPr>
            </w:pPr>
          </w:p>
        </w:tc>
      </w:tr>
      <w:tr w14:paraId="7BE53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6F0A2FE6">
            <w:pPr>
              <w:widowControl/>
              <w:jc w:val="center"/>
              <w:textAlignment w:val="center"/>
              <w:rPr>
                <w:rFonts w:ascii="宋体" w:hAnsi="宋体" w:cs="宋体"/>
                <w:sz w:val="24"/>
              </w:rPr>
            </w:pPr>
            <w:r>
              <w:rPr>
                <w:rFonts w:hint="eastAsia" w:ascii="宋体" w:hAnsi="宋体" w:cs="宋体"/>
                <w:sz w:val="24"/>
              </w:rPr>
              <w:t>3</w:t>
            </w:r>
          </w:p>
        </w:tc>
        <w:tc>
          <w:tcPr>
            <w:tcW w:w="1914" w:type="dxa"/>
            <w:tcBorders>
              <w:top w:val="single" w:color="auto" w:sz="4" w:space="0"/>
              <w:left w:val="nil"/>
              <w:bottom w:val="single" w:color="auto" w:sz="4" w:space="0"/>
              <w:right w:val="single" w:color="auto" w:sz="4" w:space="0"/>
            </w:tcBorders>
            <w:vAlign w:val="center"/>
          </w:tcPr>
          <w:p w14:paraId="775318B7">
            <w:pPr>
              <w:rPr>
                <w:rFonts w:ascii="宋体" w:hAnsi="宋体" w:cs="宋体"/>
                <w:sz w:val="24"/>
              </w:rPr>
            </w:pPr>
          </w:p>
        </w:tc>
        <w:tc>
          <w:tcPr>
            <w:tcW w:w="775" w:type="dxa"/>
            <w:tcBorders>
              <w:top w:val="single" w:color="auto" w:sz="4" w:space="0"/>
              <w:left w:val="nil"/>
              <w:bottom w:val="single" w:color="auto" w:sz="4" w:space="0"/>
              <w:right w:val="single" w:color="auto" w:sz="4" w:space="0"/>
            </w:tcBorders>
            <w:vAlign w:val="center"/>
          </w:tcPr>
          <w:p w14:paraId="48693F44">
            <w:pPr>
              <w:jc w:val="center"/>
              <w:rPr>
                <w:rFonts w:ascii="宋体" w:hAnsi="宋体" w:cs="宋体"/>
                <w:sz w:val="24"/>
              </w:rPr>
            </w:pPr>
          </w:p>
        </w:tc>
        <w:tc>
          <w:tcPr>
            <w:tcW w:w="1438" w:type="dxa"/>
            <w:tcBorders>
              <w:top w:val="single" w:color="auto" w:sz="4" w:space="0"/>
              <w:left w:val="nil"/>
              <w:bottom w:val="single" w:color="auto" w:sz="4" w:space="0"/>
              <w:right w:val="single" w:color="auto" w:sz="4" w:space="0"/>
            </w:tcBorders>
            <w:vAlign w:val="center"/>
          </w:tcPr>
          <w:p w14:paraId="7DC14B4A">
            <w:pPr>
              <w:jc w:val="center"/>
              <w:rPr>
                <w:rFonts w:ascii="宋体" w:hAnsi="宋体" w:cs="宋体"/>
                <w:sz w:val="24"/>
              </w:rPr>
            </w:pPr>
          </w:p>
        </w:tc>
        <w:tc>
          <w:tcPr>
            <w:tcW w:w="800" w:type="dxa"/>
            <w:tcBorders>
              <w:top w:val="single" w:color="auto" w:sz="4" w:space="0"/>
              <w:left w:val="nil"/>
              <w:bottom w:val="single" w:color="auto" w:sz="4" w:space="0"/>
              <w:right w:val="single" w:color="auto" w:sz="4" w:space="0"/>
            </w:tcBorders>
            <w:vAlign w:val="center"/>
          </w:tcPr>
          <w:p w14:paraId="086CF1A3">
            <w:pPr>
              <w:widowControl/>
              <w:jc w:val="center"/>
              <w:rPr>
                <w:rFonts w:ascii="宋体" w:hAnsi="宋体" w:cs="宋体"/>
                <w:sz w:val="24"/>
              </w:rPr>
            </w:pPr>
          </w:p>
        </w:tc>
        <w:tc>
          <w:tcPr>
            <w:tcW w:w="775" w:type="dxa"/>
            <w:tcBorders>
              <w:top w:val="single" w:color="auto" w:sz="4" w:space="0"/>
              <w:left w:val="nil"/>
              <w:bottom w:val="single" w:color="auto" w:sz="4" w:space="0"/>
              <w:right w:val="single" w:color="auto" w:sz="4" w:space="0"/>
            </w:tcBorders>
            <w:vAlign w:val="center"/>
          </w:tcPr>
          <w:p w14:paraId="31445CA6">
            <w:pPr>
              <w:widowControl/>
              <w:jc w:val="center"/>
              <w:rPr>
                <w:rFonts w:ascii="宋体" w:hAnsi="宋体" w:cs="宋体"/>
                <w:sz w:val="24"/>
              </w:rPr>
            </w:pPr>
          </w:p>
        </w:tc>
        <w:tc>
          <w:tcPr>
            <w:tcW w:w="787" w:type="dxa"/>
            <w:tcBorders>
              <w:top w:val="single" w:color="auto" w:sz="4" w:space="0"/>
              <w:left w:val="nil"/>
              <w:bottom w:val="single" w:color="auto" w:sz="4" w:space="0"/>
              <w:right w:val="single" w:color="auto" w:sz="4" w:space="0"/>
            </w:tcBorders>
            <w:vAlign w:val="center"/>
          </w:tcPr>
          <w:p w14:paraId="310CFC43">
            <w:pPr>
              <w:jc w:val="center"/>
              <w:rPr>
                <w:rFonts w:ascii="宋体" w:hAnsi="宋体" w:cs="宋体"/>
                <w:sz w:val="24"/>
              </w:rPr>
            </w:pPr>
          </w:p>
        </w:tc>
        <w:tc>
          <w:tcPr>
            <w:tcW w:w="938" w:type="dxa"/>
            <w:tcBorders>
              <w:top w:val="single" w:color="auto" w:sz="4" w:space="0"/>
              <w:left w:val="nil"/>
              <w:bottom w:val="single" w:color="auto" w:sz="4" w:space="0"/>
              <w:right w:val="single" w:color="auto" w:sz="4" w:space="0"/>
            </w:tcBorders>
            <w:vAlign w:val="center"/>
          </w:tcPr>
          <w:p w14:paraId="6E902D89">
            <w:pPr>
              <w:jc w:val="center"/>
              <w:rPr>
                <w:rFonts w:ascii="宋体" w:hAnsi="宋体" w:cs="宋体"/>
                <w:sz w:val="24"/>
              </w:rPr>
            </w:pPr>
          </w:p>
        </w:tc>
        <w:tc>
          <w:tcPr>
            <w:tcW w:w="836" w:type="dxa"/>
            <w:tcBorders>
              <w:top w:val="single" w:color="auto" w:sz="4" w:space="0"/>
              <w:left w:val="nil"/>
              <w:bottom w:val="single" w:color="auto" w:sz="4" w:space="0"/>
              <w:right w:val="single" w:color="auto" w:sz="4" w:space="0"/>
            </w:tcBorders>
            <w:vAlign w:val="center"/>
          </w:tcPr>
          <w:p w14:paraId="11DEA581">
            <w:pPr>
              <w:jc w:val="center"/>
              <w:rPr>
                <w:rFonts w:ascii="宋体" w:hAnsi="宋体" w:cs="宋体"/>
                <w:sz w:val="24"/>
              </w:rPr>
            </w:pPr>
          </w:p>
        </w:tc>
      </w:tr>
      <w:tr w14:paraId="2FD6D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7509CBCB">
            <w:pPr>
              <w:widowControl/>
              <w:jc w:val="center"/>
              <w:textAlignment w:val="center"/>
              <w:rPr>
                <w:rFonts w:ascii="宋体" w:hAnsi="宋体" w:cs="宋体"/>
                <w:sz w:val="24"/>
              </w:rPr>
            </w:pPr>
            <w:r>
              <w:rPr>
                <w:rFonts w:hint="eastAsia" w:ascii="宋体" w:hAnsi="宋体" w:cs="宋体"/>
                <w:sz w:val="24"/>
              </w:rPr>
              <w:t>4</w:t>
            </w:r>
          </w:p>
        </w:tc>
        <w:tc>
          <w:tcPr>
            <w:tcW w:w="1914" w:type="dxa"/>
            <w:tcBorders>
              <w:top w:val="single" w:color="auto" w:sz="4" w:space="0"/>
              <w:left w:val="nil"/>
              <w:bottom w:val="single" w:color="auto" w:sz="4" w:space="0"/>
              <w:right w:val="single" w:color="auto" w:sz="4" w:space="0"/>
            </w:tcBorders>
            <w:vAlign w:val="center"/>
          </w:tcPr>
          <w:p w14:paraId="01BB4CDF">
            <w:pPr>
              <w:rPr>
                <w:rFonts w:ascii="宋体" w:hAnsi="宋体" w:cs="宋体"/>
                <w:sz w:val="24"/>
              </w:rPr>
            </w:pPr>
          </w:p>
        </w:tc>
        <w:tc>
          <w:tcPr>
            <w:tcW w:w="775" w:type="dxa"/>
            <w:tcBorders>
              <w:top w:val="single" w:color="auto" w:sz="4" w:space="0"/>
              <w:left w:val="nil"/>
              <w:bottom w:val="single" w:color="auto" w:sz="4" w:space="0"/>
              <w:right w:val="single" w:color="auto" w:sz="4" w:space="0"/>
            </w:tcBorders>
            <w:vAlign w:val="center"/>
          </w:tcPr>
          <w:p w14:paraId="020D8551">
            <w:pPr>
              <w:jc w:val="center"/>
              <w:rPr>
                <w:rFonts w:ascii="宋体" w:hAnsi="宋体" w:cs="宋体"/>
                <w:sz w:val="24"/>
              </w:rPr>
            </w:pPr>
          </w:p>
        </w:tc>
        <w:tc>
          <w:tcPr>
            <w:tcW w:w="1438" w:type="dxa"/>
            <w:tcBorders>
              <w:top w:val="single" w:color="auto" w:sz="4" w:space="0"/>
              <w:left w:val="nil"/>
              <w:bottom w:val="single" w:color="auto" w:sz="4" w:space="0"/>
              <w:right w:val="single" w:color="auto" w:sz="4" w:space="0"/>
            </w:tcBorders>
            <w:vAlign w:val="center"/>
          </w:tcPr>
          <w:p w14:paraId="0B35FAAC">
            <w:pPr>
              <w:jc w:val="center"/>
              <w:rPr>
                <w:rFonts w:ascii="宋体" w:hAnsi="宋体" w:cs="宋体"/>
                <w:sz w:val="24"/>
              </w:rPr>
            </w:pPr>
          </w:p>
        </w:tc>
        <w:tc>
          <w:tcPr>
            <w:tcW w:w="800" w:type="dxa"/>
            <w:tcBorders>
              <w:top w:val="single" w:color="auto" w:sz="4" w:space="0"/>
              <w:left w:val="nil"/>
              <w:bottom w:val="single" w:color="auto" w:sz="4" w:space="0"/>
              <w:right w:val="single" w:color="auto" w:sz="4" w:space="0"/>
            </w:tcBorders>
            <w:vAlign w:val="center"/>
          </w:tcPr>
          <w:p w14:paraId="0E1D7145">
            <w:pPr>
              <w:widowControl/>
              <w:jc w:val="center"/>
              <w:rPr>
                <w:rFonts w:ascii="宋体" w:hAnsi="宋体" w:cs="宋体"/>
                <w:sz w:val="24"/>
              </w:rPr>
            </w:pPr>
          </w:p>
        </w:tc>
        <w:tc>
          <w:tcPr>
            <w:tcW w:w="775" w:type="dxa"/>
            <w:tcBorders>
              <w:top w:val="single" w:color="auto" w:sz="4" w:space="0"/>
              <w:left w:val="nil"/>
              <w:bottom w:val="single" w:color="auto" w:sz="4" w:space="0"/>
              <w:right w:val="single" w:color="auto" w:sz="4" w:space="0"/>
            </w:tcBorders>
            <w:vAlign w:val="center"/>
          </w:tcPr>
          <w:p w14:paraId="646CECEC">
            <w:pPr>
              <w:widowControl/>
              <w:jc w:val="center"/>
              <w:rPr>
                <w:rFonts w:ascii="宋体" w:hAnsi="宋体" w:cs="宋体"/>
                <w:sz w:val="24"/>
              </w:rPr>
            </w:pPr>
          </w:p>
        </w:tc>
        <w:tc>
          <w:tcPr>
            <w:tcW w:w="787" w:type="dxa"/>
            <w:tcBorders>
              <w:top w:val="single" w:color="auto" w:sz="4" w:space="0"/>
              <w:left w:val="nil"/>
              <w:bottom w:val="single" w:color="auto" w:sz="4" w:space="0"/>
              <w:right w:val="single" w:color="auto" w:sz="4" w:space="0"/>
            </w:tcBorders>
            <w:vAlign w:val="center"/>
          </w:tcPr>
          <w:p w14:paraId="016FF3C1">
            <w:pPr>
              <w:jc w:val="center"/>
              <w:rPr>
                <w:rFonts w:ascii="宋体" w:hAnsi="宋体" w:cs="宋体"/>
                <w:sz w:val="24"/>
              </w:rPr>
            </w:pPr>
          </w:p>
        </w:tc>
        <w:tc>
          <w:tcPr>
            <w:tcW w:w="938" w:type="dxa"/>
            <w:tcBorders>
              <w:top w:val="single" w:color="auto" w:sz="4" w:space="0"/>
              <w:left w:val="nil"/>
              <w:bottom w:val="single" w:color="auto" w:sz="4" w:space="0"/>
              <w:right w:val="single" w:color="auto" w:sz="4" w:space="0"/>
            </w:tcBorders>
            <w:vAlign w:val="center"/>
          </w:tcPr>
          <w:p w14:paraId="5911D6BF">
            <w:pPr>
              <w:jc w:val="center"/>
              <w:rPr>
                <w:rFonts w:ascii="宋体" w:hAnsi="宋体" w:cs="宋体"/>
                <w:sz w:val="24"/>
              </w:rPr>
            </w:pPr>
          </w:p>
        </w:tc>
        <w:tc>
          <w:tcPr>
            <w:tcW w:w="836" w:type="dxa"/>
            <w:tcBorders>
              <w:top w:val="single" w:color="auto" w:sz="4" w:space="0"/>
              <w:left w:val="nil"/>
              <w:bottom w:val="single" w:color="auto" w:sz="4" w:space="0"/>
              <w:right w:val="single" w:color="auto" w:sz="4" w:space="0"/>
            </w:tcBorders>
            <w:vAlign w:val="center"/>
          </w:tcPr>
          <w:p w14:paraId="06FE0CD0">
            <w:pPr>
              <w:jc w:val="center"/>
              <w:rPr>
                <w:rFonts w:ascii="宋体" w:hAnsi="宋体" w:cs="宋体"/>
                <w:sz w:val="24"/>
              </w:rPr>
            </w:pPr>
          </w:p>
        </w:tc>
      </w:tr>
      <w:tr w14:paraId="3CBAB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0E85D4C2">
            <w:pPr>
              <w:widowControl/>
              <w:jc w:val="center"/>
              <w:textAlignment w:val="center"/>
              <w:rPr>
                <w:rFonts w:ascii="宋体" w:hAnsi="宋体" w:cs="宋体"/>
                <w:sz w:val="24"/>
              </w:rPr>
            </w:pPr>
            <w:r>
              <w:rPr>
                <w:rFonts w:hint="eastAsia" w:ascii="宋体" w:hAnsi="宋体" w:cs="宋体"/>
                <w:sz w:val="24"/>
              </w:rPr>
              <w:t>5</w:t>
            </w:r>
          </w:p>
        </w:tc>
        <w:tc>
          <w:tcPr>
            <w:tcW w:w="1914" w:type="dxa"/>
            <w:tcBorders>
              <w:top w:val="single" w:color="auto" w:sz="4" w:space="0"/>
              <w:left w:val="nil"/>
              <w:bottom w:val="single" w:color="auto" w:sz="4" w:space="0"/>
              <w:right w:val="single" w:color="auto" w:sz="4" w:space="0"/>
            </w:tcBorders>
            <w:vAlign w:val="center"/>
          </w:tcPr>
          <w:p w14:paraId="57BBDD3A">
            <w:pPr>
              <w:rPr>
                <w:rFonts w:ascii="宋体" w:hAnsi="宋体" w:cs="宋体"/>
                <w:sz w:val="24"/>
              </w:rPr>
            </w:pPr>
          </w:p>
        </w:tc>
        <w:tc>
          <w:tcPr>
            <w:tcW w:w="775" w:type="dxa"/>
            <w:tcBorders>
              <w:top w:val="single" w:color="auto" w:sz="4" w:space="0"/>
              <w:left w:val="nil"/>
              <w:bottom w:val="single" w:color="auto" w:sz="4" w:space="0"/>
              <w:right w:val="single" w:color="auto" w:sz="4" w:space="0"/>
            </w:tcBorders>
            <w:vAlign w:val="center"/>
          </w:tcPr>
          <w:p w14:paraId="57C6BF4B">
            <w:pPr>
              <w:jc w:val="center"/>
              <w:rPr>
                <w:rFonts w:ascii="宋体" w:hAnsi="宋体" w:cs="宋体"/>
                <w:sz w:val="24"/>
              </w:rPr>
            </w:pPr>
          </w:p>
        </w:tc>
        <w:tc>
          <w:tcPr>
            <w:tcW w:w="1438" w:type="dxa"/>
            <w:tcBorders>
              <w:top w:val="single" w:color="auto" w:sz="4" w:space="0"/>
              <w:left w:val="nil"/>
              <w:bottom w:val="single" w:color="auto" w:sz="4" w:space="0"/>
              <w:right w:val="single" w:color="auto" w:sz="4" w:space="0"/>
            </w:tcBorders>
            <w:vAlign w:val="center"/>
          </w:tcPr>
          <w:p w14:paraId="186B891B">
            <w:pPr>
              <w:jc w:val="center"/>
              <w:rPr>
                <w:rFonts w:ascii="宋体" w:hAnsi="宋体" w:cs="宋体"/>
                <w:sz w:val="24"/>
              </w:rPr>
            </w:pPr>
          </w:p>
        </w:tc>
        <w:tc>
          <w:tcPr>
            <w:tcW w:w="800" w:type="dxa"/>
            <w:tcBorders>
              <w:top w:val="single" w:color="auto" w:sz="4" w:space="0"/>
              <w:left w:val="nil"/>
              <w:bottom w:val="single" w:color="auto" w:sz="4" w:space="0"/>
              <w:right w:val="single" w:color="auto" w:sz="4" w:space="0"/>
            </w:tcBorders>
            <w:vAlign w:val="center"/>
          </w:tcPr>
          <w:p w14:paraId="011C6031">
            <w:pPr>
              <w:widowControl/>
              <w:jc w:val="center"/>
              <w:rPr>
                <w:rFonts w:ascii="宋体" w:hAnsi="宋体" w:cs="宋体"/>
                <w:sz w:val="24"/>
              </w:rPr>
            </w:pPr>
          </w:p>
        </w:tc>
        <w:tc>
          <w:tcPr>
            <w:tcW w:w="775" w:type="dxa"/>
            <w:tcBorders>
              <w:top w:val="single" w:color="auto" w:sz="4" w:space="0"/>
              <w:left w:val="nil"/>
              <w:bottom w:val="single" w:color="auto" w:sz="4" w:space="0"/>
              <w:right w:val="single" w:color="auto" w:sz="4" w:space="0"/>
            </w:tcBorders>
            <w:vAlign w:val="center"/>
          </w:tcPr>
          <w:p w14:paraId="144FC187">
            <w:pPr>
              <w:widowControl/>
              <w:jc w:val="center"/>
              <w:rPr>
                <w:rFonts w:ascii="宋体" w:hAnsi="宋体" w:cs="宋体"/>
                <w:sz w:val="24"/>
              </w:rPr>
            </w:pPr>
          </w:p>
        </w:tc>
        <w:tc>
          <w:tcPr>
            <w:tcW w:w="787" w:type="dxa"/>
            <w:tcBorders>
              <w:top w:val="single" w:color="auto" w:sz="4" w:space="0"/>
              <w:left w:val="nil"/>
              <w:bottom w:val="single" w:color="auto" w:sz="4" w:space="0"/>
              <w:right w:val="single" w:color="auto" w:sz="4" w:space="0"/>
            </w:tcBorders>
            <w:vAlign w:val="center"/>
          </w:tcPr>
          <w:p w14:paraId="7863737C">
            <w:pPr>
              <w:jc w:val="center"/>
              <w:rPr>
                <w:rFonts w:ascii="宋体" w:hAnsi="宋体" w:cs="宋体"/>
                <w:sz w:val="24"/>
              </w:rPr>
            </w:pPr>
          </w:p>
        </w:tc>
        <w:tc>
          <w:tcPr>
            <w:tcW w:w="938" w:type="dxa"/>
            <w:tcBorders>
              <w:top w:val="single" w:color="auto" w:sz="4" w:space="0"/>
              <w:left w:val="nil"/>
              <w:bottom w:val="single" w:color="auto" w:sz="4" w:space="0"/>
              <w:right w:val="single" w:color="auto" w:sz="4" w:space="0"/>
            </w:tcBorders>
            <w:vAlign w:val="center"/>
          </w:tcPr>
          <w:p w14:paraId="01A482BE">
            <w:pPr>
              <w:jc w:val="center"/>
              <w:rPr>
                <w:rFonts w:ascii="宋体" w:hAnsi="宋体" w:cs="宋体"/>
                <w:sz w:val="24"/>
              </w:rPr>
            </w:pPr>
          </w:p>
        </w:tc>
        <w:tc>
          <w:tcPr>
            <w:tcW w:w="836" w:type="dxa"/>
            <w:tcBorders>
              <w:top w:val="single" w:color="auto" w:sz="4" w:space="0"/>
              <w:left w:val="nil"/>
              <w:bottom w:val="single" w:color="auto" w:sz="4" w:space="0"/>
              <w:right w:val="single" w:color="auto" w:sz="4" w:space="0"/>
            </w:tcBorders>
            <w:vAlign w:val="center"/>
          </w:tcPr>
          <w:p w14:paraId="5C6E54C6">
            <w:pPr>
              <w:jc w:val="center"/>
              <w:rPr>
                <w:rFonts w:ascii="宋体" w:hAnsi="宋体" w:cs="宋体"/>
                <w:sz w:val="24"/>
              </w:rPr>
            </w:pPr>
          </w:p>
        </w:tc>
      </w:tr>
      <w:tr w14:paraId="2B0F4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49149EB4">
            <w:pPr>
              <w:widowControl/>
              <w:jc w:val="center"/>
              <w:textAlignment w:val="center"/>
              <w:rPr>
                <w:rFonts w:ascii="宋体" w:hAnsi="宋体" w:cs="宋体"/>
                <w:sz w:val="24"/>
              </w:rPr>
            </w:pPr>
            <w:r>
              <w:rPr>
                <w:rFonts w:hint="eastAsia" w:ascii="宋体" w:hAnsi="宋体" w:cs="宋体"/>
                <w:sz w:val="24"/>
              </w:rPr>
              <w:t>6</w:t>
            </w:r>
          </w:p>
        </w:tc>
        <w:tc>
          <w:tcPr>
            <w:tcW w:w="1914" w:type="dxa"/>
            <w:tcBorders>
              <w:top w:val="single" w:color="auto" w:sz="4" w:space="0"/>
              <w:left w:val="nil"/>
              <w:bottom w:val="single" w:color="auto" w:sz="4" w:space="0"/>
              <w:right w:val="single" w:color="auto" w:sz="4" w:space="0"/>
            </w:tcBorders>
            <w:vAlign w:val="center"/>
          </w:tcPr>
          <w:p w14:paraId="09C0C8AE">
            <w:pPr>
              <w:rPr>
                <w:rFonts w:ascii="宋体" w:hAnsi="宋体" w:cs="宋体"/>
                <w:sz w:val="24"/>
              </w:rPr>
            </w:pPr>
          </w:p>
        </w:tc>
        <w:tc>
          <w:tcPr>
            <w:tcW w:w="775" w:type="dxa"/>
            <w:tcBorders>
              <w:top w:val="single" w:color="auto" w:sz="4" w:space="0"/>
              <w:left w:val="nil"/>
              <w:bottom w:val="single" w:color="auto" w:sz="4" w:space="0"/>
              <w:right w:val="single" w:color="auto" w:sz="4" w:space="0"/>
            </w:tcBorders>
            <w:vAlign w:val="center"/>
          </w:tcPr>
          <w:p w14:paraId="66C23B12">
            <w:pPr>
              <w:jc w:val="center"/>
              <w:rPr>
                <w:rFonts w:ascii="宋体" w:hAnsi="宋体" w:cs="宋体"/>
                <w:sz w:val="24"/>
              </w:rPr>
            </w:pPr>
          </w:p>
        </w:tc>
        <w:tc>
          <w:tcPr>
            <w:tcW w:w="1438" w:type="dxa"/>
            <w:tcBorders>
              <w:top w:val="single" w:color="auto" w:sz="4" w:space="0"/>
              <w:left w:val="nil"/>
              <w:bottom w:val="single" w:color="auto" w:sz="4" w:space="0"/>
              <w:right w:val="single" w:color="auto" w:sz="4" w:space="0"/>
            </w:tcBorders>
            <w:vAlign w:val="center"/>
          </w:tcPr>
          <w:p w14:paraId="4D549A76">
            <w:pPr>
              <w:jc w:val="center"/>
              <w:rPr>
                <w:rFonts w:ascii="宋体" w:hAnsi="宋体" w:cs="宋体"/>
                <w:sz w:val="24"/>
              </w:rPr>
            </w:pPr>
          </w:p>
        </w:tc>
        <w:tc>
          <w:tcPr>
            <w:tcW w:w="800" w:type="dxa"/>
            <w:tcBorders>
              <w:top w:val="single" w:color="auto" w:sz="4" w:space="0"/>
              <w:left w:val="nil"/>
              <w:bottom w:val="single" w:color="auto" w:sz="4" w:space="0"/>
              <w:right w:val="single" w:color="auto" w:sz="4" w:space="0"/>
            </w:tcBorders>
            <w:vAlign w:val="center"/>
          </w:tcPr>
          <w:p w14:paraId="44456A23">
            <w:pPr>
              <w:widowControl/>
              <w:jc w:val="center"/>
              <w:rPr>
                <w:rFonts w:ascii="宋体" w:hAnsi="宋体" w:cs="宋体"/>
                <w:sz w:val="24"/>
              </w:rPr>
            </w:pPr>
          </w:p>
        </w:tc>
        <w:tc>
          <w:tcPr>
            <w:tcW w:w="775" w:type="dxa"/>
            <w:tcBorders>
              <w:top w:val="single" w:color="auto" w:sz="4" w:space="0"/>
              <w:left w:val="nil"/>
              <w:bottom w:val="single" w:color="auto" w:sz="4" w:space="0"/>
              <w:right w:val="single" w:color="auto" w:sz="4" w:space="0"/>
            </w:tcBorders>
            <w:vAlign w:val="center"/>
          </w:tcPr>
          <w:p w14:paraId="72451816">
            <w:pPr>
              <w:widowControl/>
              <w:jc w:val="center"/>
              <w:rPr>
                <w:rFonts w:ascii="宋体" w:hAnsi="宋体" w:cs="宋体"/>
                <w:sz w:val="24"/>
              </w:rPr>
            </w:pPr>
          </w:p>
        </w:tc>
        <w:tc>
          <w:tcPr>
            <w:tcW w:w="787" w:type="dxa"/>
            <w:tcBorders>
              <w:top w:val="single" w:color="auto" w:sz="4" w:space="0"/>
              <w:left w:val="nil"/>
              <w:bottom w:val="single" w:color="auto" w:sz="4" w:space="0"/>
              <w:right w:val="single" w:color="auto" w:sz="4" w:space="0"/>
            </w:tcBorders>
            <w:vAlign w:val="center"/>
          </w:tcPr>
          <w:p w14:paraId="38554F12">
            <w:pPr>
              <w:jc w:val="center"/>
              <w:rPr>
                <w:rFonts w:ascii="宋体" w:hAnsi="宋体" w:cs="宋体"/>
                <w:sz w:val="24"/>
              </w:rPr>
            </w:pPr>
          </w:p>
        </w:tc>
        <w:tc>
          <w:tcPr>
            <w:tcW w:w="938" w:type="dxa"/>
            <w:tcBorders>
              <w:top w:val="single" w:color="auto" w:sz="4" w:space="0"/>
              <w:left w:val="nil"/>
              <w:bottom w:val="single" w:color="auto" w:sz="4" w:space="0"/>
              <w:right w:val="single" w:color="auto" w:sz="4" w:space="0"/>
            </w:tcBorders>
            <w:vAlign w:val="center"/>
          </w:tcPr>
          <w:p w14:paraId="14AC3378">
            <w:pPr>
              <w:jc w:val="center"/>
              <w:rPr>
                <w:rFonts w:ascii="宋体" w:hAnsi="宋体" w:cs="宋体"/>
                <w:sz w:val="24"/>
              </w:rPr>
            </w:pPr>
          </w:p>
        </w:tc>
        <w:tc>
          <w:tcPr>
            <w:tcW w:w="836" w:type="dxa"/>
            <w:tcBorders>
              <w:top w:val="single" w:color="auto" w:sz="4" w:space="0"/>
              <w:left w:val="nil"/>
              <w:bottom w:val="single" w:color="auto" w:sz="4" w:space="0"/>
              <w:right w:val="single" w:color="auto" w:sz="4" w:space="0"/>
            </w:tcBorders>
            <w:vAlign w:val="center"/>
          </w:tcPr>
          <w:p w14:paraId="0E5351B6">
            <w:pPr>
              <w:jc w:val="center"/>
              <w:rPr>
                <w:rFonts w:ascii="宋体" w:hAnsi="宋体" w:cs="宋体"/>
                <w:sz w:val="24"/>
              </w:rPr>
            </w:pPr>
          </w:p>
        </w:tc>
      </w:tr>
      <w:tr w14:paraId="77003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241DCD6F">
            <w:pPr>
              <w:widowControl/>
              <w:jc w:val="center"/>
              <w:textAlignment w:val="center"/>
              <w:rPr>
                <w:rFonts w:ascii="宋体" w:hAnsi="宋体" w:cs="宋体"/>
                <w:sz w:val="24"/>
              </w:rPr>
            </w:pPr>
            <w:r>
              <w:rPr>
                <w:rFonts w:hint="eastAsia" w:ascii="宋体" w:hAnsi="宋体" w:cs="宋体"/>
                <w:sz w:val="24"/>
              </w:rPr>
              <w:t>7</w:t>
            </w:r>
          </w:p>
        </w:tc>
        <w:tc>
          <w:tcPr>
            <w:tcW w:w="1914" w:type="dxa"/>
            <w:tcBorders>
              <w:top w:val="single" w:color="auto" w:sz="4" w:space="0"/>
              <w:left w:val="nil"/>
              <w:bottom w:val="single" w:color="auto" w:sz="4" w:space="0"/>
              <w:right w:val="single" w:color="auto" w:sz="4" w:space="0"/>
            </w:tcBorders>
            <w:vAlign w:val="center"/>
          </w:tcPr>
          <w:p w14:paraId="1DC00380">
            <w:pPr>
              <w:rPr>
                <w:rFonts w:ascii="宋体" w:hAnsi="宋体" w:cs="宋体"/>
                <w:sz w:val="24"/>
              </w:rPr>
            </w:pPr>
          </w:p>
        </w:tc>
        <w:tc>
          <w:tcPr>
            <w:tcW w:w="775" w:type="dxa"/>
            <w:tcBorders>
              <w:top w:val="single" w:color="auto" w:sz="4" w:space="0"/>
              <w:left w:val="nil"/>
              <w:bottom w:val="single" w:color="auto" w:sz="4" w:space="0"/>
              <w:right w:val="single" w:color="auto" w:sz="4" w:space="0"/>
            </w:tcBorders>
            <w:vAlign w:val="center"/>
          </w:tcPr>
          <w:p w14:paraId="39C0E76A">
            <w:pPr>
              <w:jc w:val="center"/>
              <w:rPr>
                <w:rFonts w:ascii="宋体" w:hAnsi="宋体" w:cs="宋体"/>
                <w:sz w:val="24"/>
              </w:rPr>
            </w:pPr>
          </w:p>
        </w:tc>
        <w:tc>
          <w:tcPr>
            <w:tcW w:w="1438" w:type="dxa"/>
            <w:tcBorders>
              <w:top w:val="single" w:color="auto" w:sz="4" w:space="0"/>
              <w:left w:val="nil"/>
              <w:bottom w:val="single" w:color="auto" w:sz="4" w:space="0"/>
              <w:right w:val="single" w:color="auto" w:sz="4" w:space="0"/>
            </w:tcBorders>
            <w:vAlign w:val="center"/>
          </w:tcPr>
          <w:p w14:paraId="29027A04">
            <w:pPr>
              <w:jc w:val="center"/>
              <w:rPr>
                <w:rFonts w:ascii="宋体" w:hAnsi="宋体" w:cs="宋体"/>
                <w:sz w:val="24"/>
              </w:rPr>
            </w:pPr>
          </w:p>
        </w:tc>
        <w:tc>
          <w:tcPr>
            <w:tcW w:w="800" w:type="dxa"/>
            <w:tcBorders>
              <w:top w:val="single" w:color="auto" w:sz="4" w:space="0"/>
              <w:left w:val="nil"/>
              <w:bottom w:val="single" w:color="auto" w:sz="4" w:space="0"/>
              <w:right w:val="single" w:color="auto" w:sz="4" w:space="0"/>
            </w:tcBorders>
            <w:vAlign w:val="center"/>
          </w:tcPr>
          <w:p w14:paraId="28D6AE4A">
            <w:pPr>
              <w:widowControl/>
              <w:jc w:val="center"/>
              <w:rPr>
                <w:rFonts w:ascii="宋体" w:hAnsi="宋体" w:cs="宋体"/>
                <w:sz w:val="24"/>
              </w:rPr>
            </w:pPr>
          </w:p>
        </w:tc>
        <w:tc>
          <w:tcPr>
            <w:tcW w:w="775" w:type="dxa"/>
            <w:tcBorders>
              <w:top w:val="single" w:color="auto" w:sz="4" w:space="0"/>
              <w:left w:val="nil"/>
              <w:bottom w:val="single" w:color="auto" w:sz="4" w:space="0"/>
              <w:right w:val="single" w:color="auto" w:sz="4" w:space="0"/>
            </w:tcBorders>
            <w:vAlign w:val="center"/>
          </w:tcPr>
          <w:p w14:paraId="153AD1D5">
            <w:pPr>
              <w:widowControl/>
              <w:jc w:val="center"/>
              <w:rPr>
                <w:rFonts w:ascii="宋体" w:hAnsi="宋体" w:cs="宋体"/>
                <w:sz w:val="24"/>
              </w:rPr>
            </w:pPr>
          </w:p>
        </w:tc>
        <w:tc>
          <w:tcPr>
            <w:tcW w:w="787" w:type="dxa"/>
            <w:tcBorders>
              <w:top w:val="single" w:color="auto" w:sz="4" w:space="0"/>
              <w:left w:val="nil"/>
              <w:bottom w:val="single" w:color="auto" w:sz="4" w:space="0"/>
              <w:right w:val="single" w:color="auto" w:sz="4" w:space="0"/>
            </w:tcBorders>
            <w:vAlign w:val="center"/>
          </w:tcPr>
          <w:p w14:paraId="1AD592BB">
            <w:pPr>
              <w:jc w:val="center"/>
              <w:rPr>
                <w:rFonts w:ascii="宋体" w:hAnsi="宋体" w:cs="宋体"/>
                <w:sz w:val="24"/>
              </w:rPr>
            </w:pPr>
          </w:p>
        </w:tc>
        <w:tc>
          <w:tcPr>
            <w:tcW w:w="938" w:type="dxa"/>
            <w:tcBorders>
              <w:top w:val="single" w:color="auto" w:sz="4" w:space="0"/>
              <w:left w:val="nil"/>
              <w:bottom w:val="single" w:color="auto" w:sz="4" w:space="0"/>
              <w:right w:val="single" w:color="auto" w:sz="4" w:space="0"/>
            </w:tcBorders>
            <w:vAlign w:val="center"/>
          </w:tcPr>
          <w:p w14:paraId="7D11DDDA">
            <w:pPr>
              <w:jc w:val="center"/>
              <w:rPr>
                <w:rFonts w:ascii="宋体" w:hAnsi="宋体" w:cs="宋体"/>
                <w:sz w:val="24"/>
              </w:rPr>
            </w:pPr>
          </w:p>
        </w:tc>
        <w:tc>
          <w:tcPr>
            <w:tcW w:w="836" w:type="dxa"/>
            <w:tcBorders>
              <w:top w:val="single" w:color="auto" w:sz="4" w:space="0"/>
              <w:left w:val="nil"/>
              <w:bottom w:val="single" w:color="auto" w:sz="4" w:space="0"/>
              <w:right w:val="single" w:color="auto" w:sz="4" w:space="0"/>
            </w:tcBorders>
            <w:vAlign w:val="center"/>
          </w:tcPr>
          <w:p w14:paraId="3DF5F535">
            <w:pPr>
              <w:jc w:val="center"/>
              <w:rPr>
                <w:rFonts w:ascii="宋体" w:hAnsi="宋体" w:cs="宋体"/>
                <w:sz w:val="24"/>
              </w:rPr>
            </w:pPr>
          </w:p>
        </w:tc>
      </w:tr>
      <w:tr w14:paraId="649AD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57F174FA">
            <w:pPr>
              <w:widowControl/>
              <w:jc w:val="center"/>
              <w:textAlignment w:val="center"/>
              <w:rPr>
                <w:rFonts w:ascii="宋体" w:hAnsi="宋体" w:cs="宋体"/>
                <w:sz w:val="24"/>
              </w:rPr>
            </w:pPr>
            <w:r>
              <w:rPr>
                <w:rFonts w:hint="eastAsia" w:ascii="宋体" w:hAnsi="宋体" w:cs="宋体"/>
                <w:sz w:val="24"/>
              </w:rPr>
              <w:t>…</w:t>
            </w:r>
          </w:p>
        </w:tc>
        <w:tc>
          <w:tcPr>
            <w:tcW w:w="1914" w:type="dxa"/>
            <w:tcBorders>
              <w:top w:val="single" w:color="auto" w:sz="4" w:space="0"/>
              <w:left w:val="nil"/>
              <w:bottom w:val="single" w:color="auto" w:sz="4" w:space="0"/>
              <w:right w:val="single" w:color="auto" w:sz="4" w:space="0"/>
            </w:tcBorders>
            <w:vAlign w:val="center"/>
          </w:tcPr>
          <w:p w14:paraId="75142A2D">
            <w:pPr>
              <w:rPr>
                <w:rFonts w:ascii="宋体" w:hAnsi="宋体" w:cs="宋体"/>
                <w:sz w:val="24"/>
              </w:rPr>
            </w:pPr>
          </w:p>
        </w:tc>
        <w:tc>
          <w:tcPr>
            <w:tcW w:w="775" w:type="dxa"/>
            <w:tcBorders>
              <w:top w:val="single" w:color="auto" w:sz="4" w:space="0"/>
              <w:left w:val="nil"/>
              <w:bottom w:val="single" w:color="auto" w:sz="4" w:space="0"/>
              <w:right w:val="single" w:color="auto" w:sz="4" w:space="0"/>
            </w:tcBorders>
            <w:vAlign w:val="center"/>
          </w:tcPr>
          <w:p w14:paraId="3C181D67">
            <w:pPr>
              <w:jc w:val="center"/>
              <w:rPr>
                <w:rFonts w:ascii="宋体" w:hAnsi="宋体" w:cs="宋体"/>
                <w:sz w:val="24"/>
              </w:rPr>
            </w:pPr>
          </w:p>
        </w:tc>
        <w:tc>
          <w:tcPr>
            <w:tcW w:w="1438" w:type="dxa"/>
            <w:tcBorders>
              <w:top w:val="single" w:color="auto" w:sz="4" w:space="0"/>
              <w:left w:val="nil"/>
              <w:bottom w:val="single" w:color="auto" w:sz="4" w:space="0"/>
              <w:right w:val="single" w:color="auto" w:sz="4" w:space="0"/>
            </w:tcBorders>
            <w:vAlign w:val="center"/>
          </w:tcPr>
          <w:p w14:paraId="6F169615">
            <w:pPr>
              <w:jc w:val="center"/>
              <w:rPr>
                <w:rFonts w:ascii="宋体" w:hAnsi="宋体" w:cs="宋体"/>
                <w:sz w:val="24"/>
              </w:rPr>
            </w:pPr>
          </w:p>
        </w:tc>
        <w:tc>
          <w:tcPr>
            <w:tcW w:w="800" w:type="dxa"/>
            <w:tcBorders>
              <w:top w:val="single" w:color="auto" w:sz="4" w:space="0"/>
              <w:left w:val="nil"/>
              <w:bottom w:val="single" w:color="auto" w:sz="4" w:space="0"/>
              <w:right w:val="single" w:color="auto" w:sz="4" w:space="0"/>
            </w:tcBorders>
            <w:vAlign w:val="center"/>
          </w:tcPr>
          <w:p w14:paraId="69B7D660">
            <w:pPr>
              <w:widowControl/>
              <w:jc w:val="center"/>
              <w:rPr>
                <w:rFonts w:ascii="宋体" w:hAnsi="宋体" w:cs="宋体"/>
                <w:sz w:val="24"/>
              </w:rPr>
            </w:pPr>
          </w:p>
        </w:tc>
        <w:tc>
          <w:tcPr>
            <w:tcW w:w="775" w:type="dxa"/>
            <w:tcBorders>
              <w:top w:val="single" w:color="auto" w:sz="4" w:space="0"/>
              <w:left w:val="nil"/>
              <w:bottom w:val="single" w:color="auto" w:sz="4" w:space="0"/>
              <w:right w:val="single" w:color="auto" w:sz="4" w:space="0"/>
            </w:tcBorders>
            <w:vAlign w:val="center"/>
          </w:tcPr>
          <w:p w14:paraId="0C8017C3">
            <w:pPr>
              <w:widowControl/>
              <w:jc w:val="center"/>
              <w:rPr>
                <w:rFonts w:ascii="宋体" w:hAnsi="宋体" w:cs="宋体"/>
                <w:sz w:val="24"/>
              </w:rPr>
            </w:pPr>
          </w:p>
        </w:tc>
        <w:tc>
          <w:tcPr>
            <w:tcW w:w="787" w:type="dxa"/>
            <w:tcBorders>
              <w:top w:val="single" w:color="auto" w:sz="4" w:space="0"/>
              <w:left w:val="nil"/>
              <w:bottom w:val="single" w:color="auto" w:sz="4" w:space="0"/>
              <w:right w:val="single" w:color="auto" w:sz="4" w:space="0"/>
            </w:tcBorders>
            <w:vAlign w:val="center"/>
          </w:tcPr>
          <w:p w14:paraId="097538DF">
            <w:pPr>
              <w:jc w:val="center"/>
              <w:rPr>
                <w:rFonts w:ascii="宋体" w:hAnsi="宋体" w:cs="宋体"/>
                <w:sz w:val="24"/>
              </w:rPr>
            </w:pPr>
          </w:p>
        </w:tc>
        <w:tc>
          <w:tcPr>
            <w:tcW w:w="938" w:type="dxa"/>
            <w:tcBorders>
              <w:top w:val="single" w:color="auto" w:sz="4" w:space="0"/>
              <w:left w:val="nil"/>
              <w:bottom w:val="single" w:color="auto" w:sz="4" w:space="0"/>
              <w:right w:val="single" w:color="auto" w:sz="4" w:space="0"/>
            </w:tcBorders>
            <w:vAlign w:val="center"/>
          </w:tcPr>
          <w:p w14:paraId="082F3BC1">
            <w:pPr>
              <w:jc w:val="center"/>
              <w:rPr>
                <w:rFonts w:ascii="宋体" w:hAnsi="宋体" w:cs="宋体"/>
                <w:sz w:val="24"/>
              </w:rPr>
            </w:pPr>
          </w:p>
        </w:tc>
        <w:tc>
          <w:tcPr>
            <w:tcW w:w="836" w:type="dxa"/>
            <w:tcBorders>
              <w:top w:val="single" w:color="auto" w:sz="4" w:space="0"/>
              <w:left w:val="nil"/>
              <w:bottom w:val="single" w:color="auto" w:sz="4" w:space="0"/>
              <w:right w:val="single" w:color="auto" w:sz="4" w:space="0"/>
            </w:tcBorders>
            <w:vAlign w:val="center"/>
          </w:tcPr>
          <w:p w14:paraId="4AC75CCB">
            <w:pPr>
              <w:jc w:val="center"/>
              <w:rPr>
                <w:rFonts w:ascii="宋体" w:hAnsi="宋体" w:cs="宋体"/>
                <w:sz w:val="24"/>
              </w:rPr>
            </w:pPr>
          </w:p>
        </w:tc>
      </w:tr>
      <w:tr w14:paraId="7DF48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19AFFD8B">
            <w:pPr>
              <w:jc w:val="center"/>
              <w:rPr>
                <w:rFonts w:ascii="宋体" w:hAnsi="宋体" w:cs="宋体"/>
                <w:sz w:val="24"/>
              </w:rPr>
            </w:pPr>
          </w:p>
        </w:tc>
        <w:tc>
          <w:tcPr>
            <w:tcW w:w="4127" w:type="dxa"/>
            <w:gridSpan w:val="3"/>
            <w:tcBorders>
              <w:top w:val="single" w:color="auto" w:sz="4" w:space="0"/>
              <w:left w:val="nil"/>
              <w:bottom w:val="single" w:color="auto" w:sz="4" w:space="0"/>
              <w:right w:val="single" w:color="auto" w:sz="4" w:space="0"/>
            </w:tcBorders>
            <w:vAlign w:val="center"/>
          </w:tcPr>
          <w:p w14:paraId="0397F6AF">
            <w:pPr>
              <w:jc w:val="center"/>
              <w:rPr>
                <w:rFonts w:ascii="宋体" w:hAnsi="宋体" w:cs="宋体"/>
                <w:sz w:val="24"/>
              </w:rPr>
            </w:pPr>
            <w:r>
              <w:rPr>
                <w:rFonts w:hint="eastAsia" w:ascii="宋体" w:hAnsi="宋体" w:cs="宋体"/>
                <w:sz w:val="24"/>
              </w:rPr>
              <w:t>合计（元）</w:t>
            </w:r>
          </w:p>
        </w:tc>
        <w:tc>
          <w:tcPr>
            <w:tcW w:w="3300" w:type="dxa"/>
            <w:gridSpan w:val="4"/>
            <w:tcBorders>
              <w:top w:val="single" w:color="auto" w:sz="4" w:space="0"/>
              <w:left w:val="nil"/>
              <w:bottom w:val="single" w:color="auto" w:sz="4" w:space="0"/>
              <w:right w:val="single" w:color="auto" w:sz="4" w:space="0"/>
            </w:tcBorders>
            <w:vAlign w:val="center"/>
          </w:tcPr>
          <w:p w14:paraId="786D6D72">
            <w:pPr>
              <w:rPr>
                <w:rFonts w:ascii="宋体" w:hAnsi="宋体" w:cs="宋体"/>
                <w:sz w:val="24"/>
              </w:rPr>
            </w:pPr>
          </w:p>
        </w:tc>
        <w:tc>
          <w:tcPr>
            <w:tcW w:w="836" w:type="dxa"/>
            <w:tcBorders>
              <w:top w:val="single" w:color="auto" w:sz="4" w:space="0"/>
              <w:left w:val="nil"/>
              <w:bottom w:val="single" w:color="auto" w:sz="4" w:space="0"/>
              <w:right w:val="single" w:color="auto" w:sz="4" w:space="0"/>
            </w:tcBorders>
            <w:vAlign w:val="center"/>
          </w:tcPr>
          <w:p w14:paraId="337CC684">
            <w:pPr>
              <w:rPr>
                <w:rFonts w:ascii="宋体" w:hAnsi="宋体" w:cs="宋体"/>
                <w:sz w:val="24"/>
              </w:rPr>
            </w:pPr>
          </w:p>
        </w:tc>
      </w:tr>
    </w:tbl>
    <w:p w14:paraId="099683C6">
      <w:pPr>
        <w:spacing w:line="360" w:lineRule="auto"/>
        <w:jc w:val="left"/>
        <w:rPr>
          <w:rFonts w:ascii="新宋体" w:hAnsi="新宋体" w:eastAsia="新宋体" w:cs="新宋体"/>
          <w:sz w:val="22"/>
          <w:szCs w:val="22"/>
        </w:rPr>
      </w:pPr>
      <w:r>
        <w:rPr>
          <w:rFonts w:hint="eastAsia" w:ascii="新宋体" w:hAnsi="新宋体" w:eastAsia="新宋体" w:cs="新宋体"/>
          <w:sz w:val="22"/>
          <w:szCs w:val="22"/>
        </w:rPr>
        <w:t>注：1、 投标报价应为投标人完成本项目全部内容所需费用的含税价（包括但不限于货款、标准附件、备品备件、专用工具、包装、运输、装卸、保险以及安装、施工、调试、培训、协助验收、保修、企业管理费、利润、税金、招投标代理费、深化设计费、各类税费及采购合同包含的所有风险、责任等在合同实施过程中应预见或不可预见费用等）。所有价格均应予人民币报价，金额单位为元。</w:t>
      </w:r>
    </w:p>
    <w:p w14:paraId="6FFB1E6E">
      <w:pPr>
        <w:spacing w:line="360" w:lineRule="auto"/>
        <w:ind w:left="143" w:leftChars="68" w:firstLine="321" w:firstLineChars="146"/>
        <w:jc w:val="left"/>
        <w:rPr>
          <w:rFonts w:ascii="新宋体" w:hAnsi="新宋体" w:eastAsia="新宋体" w:cs="新宋体"/>
          <w:sz w:val="22"/>
          <w:szCs w:val="22"/>
        </w:rPr>
      </w:pPr>
      <w:r>
        <w:rPr>
          <w:rFonts w:hint="eastAsia" w:ascii="新宋体" w:hAnsi="新宋体" w:eastAsia="新宋体" w:cs="新宋体"/>
          <w:sz w:val="22"/>
          <w:szCs w:val="22"/>
        </w:rPr>
        <w:t>2、此表是投标文件的必要文件，是投标文件的组成部分。</w:t>
      </w:r>
    </w:p>
    <w:p w14:paraId="129A514D">
      <w:pPr>
        <w:spacing w:line="360" w:lineRule="auto"/>
        <w:ind w:firstLine="440" w:firstLineChars="200"/>
        <w:rPr>
          <w:rFonts w:ascii="新宋体" w:hAnsi="新宋体" w:eastAsia="新宋体" w:cs="新宋体"/>
          <w:sz w:val="22"/>
          <w:szCs w:val="22"/>
        </w:rPr>
      </w:pPr>
      <w:r>
        <w:rPr>
          <w:rFonts w:hint="eastAsia" w:ascii="新宋体" w:hAnsi="新宋体" w:eastAsia="新宋体" w:cs="新宋体"/>
          <w:sz w:val="22"/>
          <w:szCs w:val="22"/>
        </w:rPr>
        <w:t>3、</w:t>
      </w:r>
      <w:r>
        <w:rPr>
          <w:rFonts w:hint="eastAsia" w:ascii="宋体" w:hAnsi="宋体" w:cs="宋体"/>
          <w:b/>
          <w:color w:val="000000"/>
          <w:sz w:val="22"/>
          <w:szCs w:val="22"/>
        </w:rPr>
        <w:t>以上投标总价不得超出最高限价，否则作无效标处理。</w:t>
      </w:r>
    </w:p>
    <w:p w14:paraId="26F16B85">
      <w:pPr>
        <w:snapToGrid w:val="0"/>
        <w:spacing w:line="440" w:lineRule="exact"/>
        <w:rPr>
          <w:rFonts w:ascii="新宋体" w:hAnsi="新宋体" w:eastAsia="新宋体" w:cs="新宋体"/>
          <w:sz w:val="24"/>
          <w:highlight w:val="yellow"/>
          <w:lang w:val="zh-CN"/>
        </w:rPr>
      </w:pPr>
    </w:p>
    <w:p w14:paraId="743F6DDA">
      <w:pPr>
        <w:snapToGrid w:val="0"/>
        <w:spacing w:line="360" w:lineRule="auto"/>
        <w:textAlignment w:val="baseline"/>
        <w:rPr>
          <w:rFonts w:ascii="新宋体" w:hAnsi="新宋体" w:eastAsia="新宋体" w:cs="新宋体"/>
          <w:sz w:val="24"/>
        </w:rPr>
      </w:pPr>
    </w:p>
    <w:p w14:paraId="011D28E3">
      <w:pPr>
        <w:snapToGrid w:val="0"/>
        <w:spacing w:line="360" w:lineRule="auto"/>
        <w:textAlignment w:val="baseline"/>
        <w:rPr>
          <w:rFonts w:ascii="新宋体" w:hAnsi="新宋体" w:eastAsia="新宋体" w:cs="新宋体"/>
          <w:sz w:val="24"/>
        </w:rPr>
      </w:pPr>
      <w:r>
        <w:rPr>
          <w:rFonts w:hint="eastAsia" w:ascii="新宋体" w:hAnsi="新宋体" w:eastAsia="新宋体" w:cs="新宋体"/>
          <w:kern w:val="0"/>
          <w:sz w:val="24"/>
          <w:lang w:val="zh-CN"/>
        </w:rPr>
        <w:t>投标人名称（公章）</w:t>
      </w:r>
      <w:r>
        <w:rPr>
          <w:rFonts w:hint="eastAsia" w:ascii="新宋体" w:hAnsi="新宋体" w:eastAsia="新宋体" w:cs="新宋体"/>
          <w:sz w:val="24"/>
        </w:rPr>
        <w:t>：</w:t>
      </w:r>
      <w:r>
        <w:rPr>
          <w:rFonts w:hint="eastAsia" w:ascii="新宋体" w:hAnsi="新宋体" w:eastAsia="新宋体" w:cs="新宋体"/>
          <w:sz w:val="24"/>
          <w:u w:val="single"/>
        </w:rPr>
        <w:t xml:space="preserve">                                   </w:t>
      </w:r>
    </w:p>
    <w:p w14:paraId="29B3106C">
      <w:pPr>
        <w:snapToGrid w:val="0"/>
        <w:spacing w:line="360" w:lineRule="auto"/>
        <w:textAlignment w:val="baseline"/>
        <w:rPr>
          <w:rFonts w:ascii="新宋体" w:hAnsi="新宋体" w:eastAsia="新宋体" w:cs="新宋体"/>
          <w:sz w:val="24"/>
        </w:rPr>
      </w:pPr>
      <w:r>
        <w:rPr>
          <w:rFonts w:hint="eastAsia" w:ascii="新宋体" w:hAnsi="新宋体" w:eastAsia="新宋体" w:cs="新宋体"/>
          <w:sz w:val="24"/>
        </w:rPr>
        <w:t>法定代表人或授权代理人（签字或盖章）：</w:t>
      </w:r>
      <w:r>
        <w:rPr>
          <w:rFonts w:hint="eastAsia" w:ascii="新宋体" w:hAnsi="新宋体" w:eastAsia="新宋体" w:cs="新宋体"/>
          <w:sz w:val="24"/>
          <w:u w:val="single"/>
        </w:rPr>
        <w:t xml:space="preserve">                 </w:t>
      </w:r>
    </w:p>
    <w:p w14:paraId="411ACE57">
      <w:pPr>
        <w:widowControl/>
        <w:wordWrap w:val="0"/>
        <w:jc w:val="left"/>
      </w:pPr>
      <w:r>
        <w:rPr>
          <w:rFonts w:hint="eastAsia" w:ascii="新宋体" w:hAnsi="新宋体" w:eastAsia="新宋体" w:cs="新宋体"/>
          <w:sz w:val="24"/>
        </w:rPr>
        <w:t>日期：  年   月   日</w:t>
      </w:r>
    </w:p>
    <w:p w14:paraId="7E90721F">
      <w:r>
        <w:rPr>
          <w:rFonts w:hint="eastAsia"/>
        </w:rPr>
        <w:br w:type="page"/>
      </w:r>
    </w:p>
    <w:p w14:paraId="4FEDB401">
      <w:pPr>
        <w:pStyle w:val="68"/>
        <w:snapToGrid w:val="0"/>
        <w:spacing w:line="480" w:lineRule="exact"/>
        <w:jc w:val="center"/>
        <w:rPr>
          <w:rFonts w:hAnsi="宋体" w:cs="宋体"/>
          <w:b/>
          <w:bCs/>
          <w:sz w:val="24"/>
          <w:szCs w:val="24"/>
        </w:rPr>
      </w:pPr>
      <w:r>
        <w:rPr>
          <w:rFonts w:hint="eastAsia" w:hAnsi="宋体" w:cs="宋体"/>
          <w:b/>
          <w:bCs/>
          <w:sz w:val="24"/>
          <w:szCs w:val="24"/>
        </w:rPr>
        <w:t>国企采购活动现场确认声明书</w:t>
      </w:r>
    </w:p>
    <w:p w14:paraId="31870F57">
      <w:pPr>
        <w:pStyle w:val="68"/>
        <w:snapToGrid w:val="0"/>
        <w:spacing w:line="480" w:lineRule="exact"/>
        <w:rPr>
          <w:rFonts w:hAnsi="宋体" w:cs="宋体"/>
          <w:spacing w:val="6"/>
          <w:sz w:val="24"/>
          <w:szCs w:val="24"/>
          <w:u w:val="single"/>
        </w:rPr>
      </w:pPr>
      <w:r>
        <w:rPr>
          <w:rFonts w:hint="eastAsia" w:hAnsi="宋体" w:cs="宋体"/>
          <w:sz w:val="24"/>
          <w:szCs w:val="24"/>
          <w:u w:val="single"/>
        </w:rPr>
        <w:t>浙江商易项目管理有限公司</w:t>
      </w:r>
      <w:r>
        <w:rPr>
          <w:rFonts w:hint="eastAsia" w:hAnsi="宋体" w:cs="宋体"/>
          <w:spacing w:val="6"/>
          <w:sz w:val="24"/>
          <w:szCs w:val="24"/>
        </w:rPr>
        <w:t>：</w:t>
      </w:r>
    </w:p>
    <w:p w14:paraId="749005AE">
      <w:pPr>
        <w:pStyle w:val="68"/>
        <w:snapToGrid w:val="0"/>
        <w:spacing w:line="480" w:lineRule="exact"/>
        <w:ind w:firstLine="504" w:firstLineChars="200"/>
        <w:rPr>
          <w:rFonts w:hAnsi="宋体" w:cs="宋体"/>
          <w:spacing w:val="6"/>
          <w:sz w:val="24"/>
          <w:szCs w:val="24"/>
        </w:rPr>
      </w:pPr>
      <w:r>
        <w:rPr>
          <w:rFonts w:hint="eastAsia" w:hAnsi="宋体" w:cs="宋体"/>
          <w:spacing w:val="6"/>
          <w:sz w:val="24"/>
          <w:szCs w:val="24"/>
          <w:u w:val="single"/>
        </w:rPr>
        <w:t>本人经由           （单位）负责人     （姓名）合法授权参加    （项目编号：     ）</w:t>
      </w:r>
      <w:r>
        <w:rPr>
          <w:rFonts w:hint="eastAsia" w:hAnsi="宋体" w:cs="宋体"/>
          <w:spacing w:val="6"/>
          <w:sz w:val="24"/>
          <w:szCs w:val="24"/>
        </w:rPr>
        <w:t xml:space="preserve">国企采购活动，经与本单位法人代表（负责人）联系确认，现就有关公平竞争事项郑重声明如下： </w:t>
      </w:r>
    </w:p>
    <w:p w14:paraId="5CBC5E7D">
      <w:pPr>
        <w:pStyle w:val="69"/>
        <w:widowControl/>
        <w:snapToGrid w:val="0"/>
        <w:spacing w:line="480" w:lineRule="exact"/>
        <w:ind w:firstLine="480" w:firstLineChars="200"/>
        <w:rPr>
          <w:rFonts w:ascii="宋体" w:hAnsi="宋体" w:eastAsia="宋体" w:cs="宋体"/>
          <w:szCs w:val="24"/>
        </w:rPr>
      </w:pPr>
      <w:r>
        <w:rPr>
          <w:rFonts w:hint="eastAsia" w:ascii="宋体" w:hAnsi="宋体" w:eastAsia="宋体" w:cs="宋体"/>
          <w:szCs w:val="24"/>
        </w:rPr>
        <w:t>一、本单位与甲方之间 □不存在利害关系 □存在下列利害关系</w:t>
      </w:r>
      <w:r>
        <w:rPr>
          <w:rFonts w:hint="eastAsia" w:ascii="宋体" w:hAnsi="宋体" w:eastAsia="宋体" w:cs="宋体"/>
          <w:szCs w:val="24"/>
          <w:u w:val="single"/>
        </w:rPr>
        <w:t xml:space="preserve">         </w:t>
      </w:r>
      <w:r>
        <w:rPr>
          <w:rFonts w:hint="eastAsia" w:ascii="宋体" w:hAnsi="宋体" w:eastAsia="宋体" w:cs="宋体"/>
          <w:szCs w:val="24"/>
        </w:rPr>
        <w:t>：</w:t>
      </w:r>
    </w:p>
    <w:p w14:paraId="397FAF5E">
      <w:pPr>
        <w:pStyle w:val="69"/>
        <w:widowControl/>
        <w:snapToGrid w:val="0"/>
        <w:spacing w:line="480" w:lineRule="exact"/>
        <w:rPr>
          <w:rFonts w:ascii="宋体" w:hAnsi="宋体" w:eastAsia="宋体" w:cs="宋体"/>
          <w:szCs w:val="24"/>
        </w:rPr>
      </w:pPr>
      <w:r>
        <w:rPr>
          <w:rFonts w:hint="eastAsia" w:ascii="宋体" w:hAnsi="宋体" w:eastAsia="宋体" w:cs="宋体"/>
          <w:szCs w:val="24"/>
        </w:rPr>
        <w:t xml:space="preserve">  A.投资关系    B.行政隶属关系    C.业务指导关系</w:t>
      </w:r>
    </w:p>
    <w:p w14:paraId="455D432F">
      <w:pPr>
        <w:pStyle w:val="69"/>
        <w:widowControl/>
        <w:snapToGrid w:val="0"/>
        <w:spacing w:line="480" w:lineRule="exact"/>
        <w:rPr>
          <w:rFonts w:ascii="宋体" w:hAnsi="宋体" w:eastAsia="宋体" w:cs="宋体"/>
          <w:szCs w:val="24"/>
        </w:rPr>
      </w:pPr>
      <w:r>
        <w:rPr>
          <w:rFonts w:hint="eastAsia" w:ascii="宋体" w:hAnsi="宋体" w:eastAsia="宋体" w:cs="宋体"/>
          <w:szCs w:val="24"/>
        </w:rPr>
        <w:t xml:space="preserve">  D.其他可能影响采购公正的利害关系</w:t>
      </w:r>
      <w:r>
        <w:rPr>
          <w:rFonts w:hint="eastAsia" w:ascii="宋体" w:hAnsi="宋体" w:eastAsia="宋体" w:cs="宋体"/>
          <w:szCs w:val="24"/>
          <w:u w:val="single"/>
        </w:rPr>
        <w:t xml:space="preserve">（如有，请如实说明）                 </w:t>
      </w:r>
      <w:r>
        <w:rPr>
          <w:rFonts w:hint="eastAsia" w:ascii="宋体" w:hAnsi="宋体" w:eastAsia="宋体" w:cs="宋体"/>
          <w:szCs w:val="24"/>
        </w:rPr>
        <w:t>。</w:t>
      </w:r>
    </w:p>
    <w:p w14:paraId="0E20DFF9">
      <w:pPr>
        <w:pStyle w:val="69"/>
        <w:widowControl/>
        <w:snapToGrid w:val="0"/>
        <w:spacing w:line="480" w:lineRule="exact"/>
        <w:rPr>
          <w:rFonts w:ascii="宋体" w:hAnsi="宋体" w:eastAsia="宋体" w:cs="宋体"/>
          <w:szCs w:val="24"/>
        </w:rPr>
      </w:pPr>
      <w:r>
        <w:rPr>
          <w:rFonts w:hint="eastAsia" w:ascii="宋体" w:hAnsi="宋体" w:eastAsia="宋体" w:cs="宋体"/>
          <w:spacing w:val="6"/>
          <w:szCs w:val="24"/>
        </w:rPr>
        <w:t xml:space="preserve">   二、</w:t>
      </w:r>
      <w:r>
        <w:rPr>
          <w:rFonts w:hint="eastAsia" w:ascii="宋体" w:hAnsi="宋体" w:eastAsia="宋体" w:cs="宋体"/>
          <w:szCs w:val="24"/>
        </w:rPr>
        <w:t>现已清楚知道参加本项目采购活动的其他所有供应商名称，本单位 □与其他所有供应商之间均不存在利害关系 □与</w:t>
      </w:r>
      <w:r>
        <w:rPr>
          <w:rFonts w:hint="eastAsia" w:ascii="宋体" w:hAnsi="宋体" w:eastAsia="宋体" w:cs="宋体"/>
          <w:szCs w:val="24"/>
          <w:u w:val="single"/>
        </w:rPr>
        <w:t xml:space="preserve">           （供应商名称）</w:t>
      </w:r>
      <w:r>
        <w:rPr>
          <w:rFonts w:hint="eastAsia" w:ascii="宋体" w:hAnsi="宋体" w:eastAsia="宋体" w:cs="宋体"/>
          <w:szCs w:val="24"/>
        </w:rPr>
        <w:t>之间存在下列利害关系</w:t>
      </w:r>
      <w:r>
        <w:rPr>
          <w:rFonts w:hint="eastAsia" w:ascii="宋体" w:hAnsi="宋体" w:eastAsia="宋体" w:cs="宋体"/>
          <w:szCs w:val="24"/>
          <w:u w:val="single"/>
        </w:rPr>
        <w:t xml:space="preserve">          </w:t>
      </w:r>
      <w:r>
        <w:rPr>
          <w:rFonts w:hint="eastAsia" w:ascii="宋体" w:hAnsi="宋体" w:eastAsia="宋体" w:cs="宋体"/>
          <w:szCs w:val="24"/>
        </w:rPr>
        <w:t>：</w:t>
      </w:r>
    </w:p>
    <w:p w14:paraId="3AA3FE45">
      <w:pPr>
        <w:pStyle w:val="68"/>
        <w:snapToGrid w:val="0"/>
        <w:spacing w:line="480" w:lineRule="exact"/>
        <w:rPr>
          <w:rFonts w:hAnsi="宋体" w:cs="宋体"/>
          <w:sz w:val="24"/>
          <w:szCs w:val="24"/>
        </w:rPr>
      </w:pPr>
      <w:r>
        <w:rPr>
          <w:rFonts w:hint="eastAsia" w:hAnsi="宋体" w:cs="宋体"/>
          <w:sz w:val="24"/>
          <w:szCs w:val="24"/>
        </w:rPr>
        <w:t xml:space="preserve">  A.法定代表人或负责人或实际控制人是同一人</w:t>
      </w:r>
    </w:p>
    <w:p w14:paraId="2F60678F">
      <w:pPr>
        <w:pStyle w:val="68"/>
        <w:snapToGrid w:val="0"/>
        <w:spacing w:line="480" w:lineRule="exact"/>
        <w:rPr>
          <w:rFonts w:hAnsi="宋体" w:cs="宋体"/>
          <w:spacing w:val="6"/>
          <w:sz w:val="24"/>
          <w:szCs w:val="24"/>
        </w:rPr>
      </w:pPr>
      <w:r>
        <w:rPr>
          <w:rFonts w:hint="eastAsia" w:hAnsi="宋体" w:cs="宋体"/>
          <w:sz w:val="24"/>
          <w:szCs w:val="24"/>
        </w:rPr>
        <w:t xml:space="preserve">  B.法定代表人或负责人或实际控制人是夫妻关系</w:t>
      </w:r>
    </w:p>
    <w:p w14:paraId="799ED8CA">
      <w:pPr>
        <w:pStyle w:val="68"/>
        <w:snapToGrid w:val="0"/>
        <w:spacing w:line="480" w:lineRule="exact"/>
        <w:rPr>
          <w:rFonts w:hAnsi="宋体" w:cs="宋体"/>
          <w:spacing w:val="6"/>
          <w:sz w:val="24"/>
          <w:szCs w:val="24"/>
        </w:rPr>
      </w:pPr>
      <w:r>
        <w:rPr>
          <w:rFonts w:hint="eastAsia" w:hAnsi="宋体" w:cs="宋体"/>
          <w:sz w:val="24"/>
          <w:szCs w:val="24"/>
        </w:rPr>
        <w:t xml:space="preserve">  C.法定代表人或负责人或实际控制人是直系血亲关系</w:t>
      </w:r>
    </w:p>
    <w:p w14:paraId="3515B044">
      <w:pPr>
        <w:pStyle w:val="68"/>
        <w:snapToGrid w:val="0"/>
        <w:spacing w:line="480" w:lineRule="exact"/>
        <w:rPr>
          <w:rFonts w:hAnsi="宋体" w:cs="宋体"/>
          <w:spacing w:val="6"/>
          <w:sz w:val="24"/>
          <w:szCs w:val="24"/>
        </w:rPr>
      </w:pPr>
      <w:r>
        <w:rPr>
          <w:rFonts w:hint="eastAsia" w:hAnsi="宋体" w:cs="宋体"/>
          <w:sz w:val="24"/>
          <w:szCs w:val="24"/>
        </w:rPr>
        <w:t xml:space="preserve">  D.法定代表人或负责人或实际控制人存在三代以内旁系血亲关系</w:t>
      </w:r>
    </w:p>
    <w:p w14:paraId="0B6C89F2">
      <w:pPr>
        <w:pStyle w:val="68"/>
        <w:snapToGrid w:val="0"/>
        <w:spacing w:line="480" w:lineRule="exact"/>
        <w:rPr>
          <w:rFonts w:hAnsi="宋体" w:cs="宋体"/>
          <w:sz w:val="24"/>
          <w:szCs w:val="24"/>
        </w:rPr>
      </w:pPr>
      <w:r>
        <w:rPr>
          <w:rFonts w:hint="eastAsia" w:hAnsi="宋体" w:cs="宋体"/>
          <w:sz w:val="24"/>
          <w:szCs w:val="24"/>
        </w:rPr>
        <w:t xml:space="preserve">  E.法定代表人或负责人或实际控制人存在近姻亲关系</w:t>
      </w:r>
    </w:p>
    <w:p w14:paraId="08A78AAD">
      <w:pPr>
        <w:pStyle w:val="68"/>
        <w:snapToGrid w:val="0"/>
        <w:spacing w:line="480" w:lineRule="exact"/>
        <w:rPr>
          <w:rFonts w:hAnsi="宋体" w:cs="宋体"/>
          <w:sz w:val="24"/>
          <w:szCs w:val="24"/>
        </w:rPr>
      </w:pPr>
      <w:r>
        <w:rPr>
          <w:rFonts w:hint="eastAsia" w:hAnsi="宋体" w:cs="宋体"/>
          <w:sz w:val="24"/>
          <w:szCs w:val="24"/>
        </w:rPr>
        <w:t xml:space="preserve">  F.法定代表人或负责人或实际控制人存在股份控制或实际控制关系</w:t>
      </w:r>
    </w:p>
    <w:p w14:paraId="6C4CB7C0">
      <w:pPr>
        <w:pStyle w:val="68"/>
        <w:snapToGrid w:val="0"/>
        <w:spacing w:line="480" w:lineRule="exact"/>
        <w:rPr>
          <w:rFonts w:hAnsi="宋体" w:cs="宋体"/>
          <w:sz w:val="24"/>
          <w:szCs w:val="24"/>
        </w:rPr>
      </w:pPr>
      <w:r>
        <w:rPr>
          <w:rFonts w:hint="eastAsia" w:hAnsi="宋体" w:cs="宋体"/>
          <w:sz w:val="24"/>
          <w:szCs w:val="24"/>
        </w:rPr>
        <w:t xml:space="preserve">  G.存在共同直接或间接投资设立子公司、联营企业和合营企业情况</w:t>
      </w:r>
    </w:p>
    <w:p w14:paraId="0E17D5CB">
      <w:pPr>
        <w:pStyle w:val="68"/>
        <w:snapToGrid w:val="0"/>
        <w:spacing w:line="480" w:lineRule="exact"/>
        <w:rPr>
          <w:rFonts w:hAnsi="宋体" w:cs="宋体"/>
          <w:sz w:val="24"/>
          <w:szCs w:val="24"/>
        </w:rPr>
      </w:pPr>
      <w:r>
        <w:rPr>
          <w:rFonts w:hint="eastAsia" w:hAnsi="宋体" w:cs="宋体"/>
          <w:sz w:val="24"/>
          <w:szCs w:val="24"/>
        </w:rPr>
        <w:t xml:space="preserve">  H.存在分级代理或代销关系、同一生产制造商关系、管理关系、重要业务（占主营业务收入50%以上）或重要财务往来关系（如融资）等其他实质性控制关系</w:t>
      </w:r>
    </w:p>
    <w:p w14:paraId="3B69A453">
      <w:pPr>
        <w:pStyle w:val="68"/>
        <w:snapToGrid w:val="0"/>
        <w:spacing w:line="480" w:lineRule="exact"/>
        <w:rPr>
          <w:rFonts w:hAnsi="宋体" w:cs="宋体"/>
          <w:spacing w:val="6"/>
          <w:sz w:val="24"/>
          <w:szCs w:val="24"/>
        </w:rPr>
      </w:pPr>
      <w:r>
        <w:rPr>
          <w:rFonts w:hint="eastAsia" w:hAnsi="宋体" w:cs="宋体"/>
          <w:sz w:val="24"/>
          <w:szCs w:val="24"/>
        </w:rPr>
        <w:t xml:space="preserve">    I.其他利害关系情况</w:t>
      </w:r>
      <w:r>
        <w:rPr>
          <w:rFonts w:hint="eastAsia" w:hAnsi="宋体" w:cs="宋体"/>
          <w:sz w:val="24"/>
          <w:szCs w:val="24"/>
          <w:u w:val="single"/>
        </w:rPr>
        <w:t xml:space="preserve">                              </w:t>
      </w:r>
      <w:r>
        <w:rPr>
          <w:rFonts w:hint="eastAsia" w:hAnsi="宋体" w:cs="宋体"/>
          <w:sz w:val="24"/>
          <w:szCs w:val="24"/>
        </w:rPr>
        <w:t>。</w:t>
      </w:r>
    </w:p>
    <w:p w14:paraId="2A9E2767">
      <w:pPr>
        <w:pStyle w:val="69"/>
        <w:widowControl/>
        <w:numPr>
          <w:ilvl w:val="0"/>
          <w:numId w:val="39"/>
        </w:numPr>
        <w:snapToGrid w:val="0"/>
        <w:spacing w:line="480" w:lineRule="exact"/>
        <w:ind w:firstLine="453" w:firstLineChars="189"/>
        <w:rPr>
          <w:rFonts w:ascii="宋体" w:hAnsi="宋体" w:eastAsia="宋体" w:cs="宋体"/>
          <w:szCs w:val="24"/>
        </w:rPr>
      </w:pPr>
      <w:r>
        <w:rPr>
          <w:rFonts w:hint="eastAsia" w:ascii="宋体" w:hAnsi="宋体" w:eastAsia="宋体" w:cs="宋体"/>
          <w:szCs w:val="24"/>
        </w:rPr>
        <w:t>现已清楚知道并严格遵守国企采购法律法规和现场纪律。</w:t>
      </w:r>
    </w:p>
    <w:p w14:paraId="65C3C4C3">
      <w:pPr>
        <w:pStyle w:val="69"/>
        <w:widowControl/>
        <w:numPr>
          <w:ilvl w:val="0"/>
          <w:numId w:val="39"/>
        </w:numPr>
        <w:snapToGrid w:val="0"/>
        <w:spacing w:line="480" w:lineRule="exact"/>
        <w:ind w:firstLine="453" w:firstLineChars="189"/>
        <w:rPr>
          <w:rFonts w:ascii="宋体" w:hAnsi="宋体" w:eastAsia="宋体" w:cs="宋体"/>
          <w:szCs w:val="24"/>
        </w:rPr>
      </w:pPr>
      <w:r>
        <w:rPr>
          <w:rFonts w:hint="eastAsia" w:ascii="宋体" w:hAnsi="宋体" w:eastAsia="宋体" w:cs="宋体"/>
          <w:szCs w:val="24"/>
        </w:rPr>
        <w:t>我发现</w:t>
      </w:r>
      <w:r>
        <w:rPr>
          <w:rFonts w:hint="eastAsia" w:ascii="宋体" w:hAnsi="宋体" w:eastAsia="宋体" w:cs="宋体"/>
          <w:szCs w:val="24"/>
          <w:u w:val="single"/>
        </w:rPr>
        <w:t xml:space="preserve">                    </w:t>
      </w:r>
      <w:r>
        <w:rPr>
          <w:rFonts w:hint="eastAsia" w:ascii="宋体" w:hAnsi="宋体" w:eastAsia="宋体" w:cs="宋体"/>
          <w:szCs w:val="24"/>
        </w:rPr>
        <w:t>供应商之间存在或可能存在上述第二条第</w:t>
      </w:r>
      <w:r>
        <w:rPr>
          <w:rFonts w:hint="eastAsia" w:ascii="宋体" w:hAnsi="宋体" w:eastAsia="宋体" w:cs="宋体"/>
          <w:szCs w:val="24"/>
          <w:u w:val="single"/>
        </w:rPr>
        <w:t xml:space="preserve">        </w:t>
      </w:r>
      <w:r>
        <w:rPr>
          <w:rFonts w:hint="eastAsia" w:ascii="宋体" w:hAnsi="宋体" w:eastAsia="宋体" w:cs="宋体"/>
          <w:szCs w:val="24"/>
        </w:rPr>
        <w:t>项利害关系</w:t>
      </w:r>
    </w:p>
    <w:p w14:paraId="0A1208FD">
      <w:pPr>
        <w:pStyle w:val="68"/>
        <w:snapToGrid w:val="0"/>
        <w:spacing w:line="480" w:lineRule="exact"/>
        <w:ind w:firstLine="5760" w:firstLineChars="2400"/>
        <w:rPr>
          <w:rFonts w:hAnsi="宋体" w:cs="宋体"/>
          <w:sz w:val="24"/>
          <w:szCs w:val="24"/>
        </w:rPr>
      </w:pPr>
      <w:r>
        <w:rPr>
          <w:rFonts w:hint="eastAsia" w:hAnsi="宋体" w:cs="宋体"/>
          <w:sz w:val="24"/>
          <w:szCs w:val="24"/>
        </w:rPr>
        <w:t>供应商代表签名：</w:t>
      </w:r>
    </w:p>
    <w:p w14:paraId="5AD58333">
      <w:pPr>
        <w:pStyle w:val="68"/>
        <w:snapToGrid w:val="0"/>
        <w:spacing w:line="480" w:lineRule="exact"/>
        <w:ind w:firstLine="480" w:firstLineChars="200"/>
        <w:rPr>
          <w:rFonts w:hAnsi="宋体" w:cs="宋体"/>
          <w:sz w:val="24"/>
          <w:szCs w:val="24"/>
        </w:rPr>
      </w:pPr>
      <w:r>
        <w:rPr>
          <w:rFonts w:hint="eastAsia" w:hAnsi="宋体" w:cs="宋体"/>
          <w:sz w:val="24"/>
          <w:szCs w:val="24"/>
        </w:rPr>
        <w:t xml:space="preserve">                                              年  月   日</w:t>
      </w:r>
    </w:p>
    <w:p w14:paraId="3B0EB55B">
      <w:pPr>
        <w:snapToGrid w:val="0"/>
        <w:ind w:firstLine="482" w:firstLineChars="200"/>
        <w:rPr>
          <w:rFonts w:ascii="宋体" w:hAnsi="宋体" w:cs="宋体"/>
          <w:b/>
          <w:bCs/>
          <w:sz w:val="24"/>
        </w:rPr>
      </w:pPr>
    </w:p>
    <w:p w14:paraId="45CB032D">
      <w:pPr>
        <w:pStyle w:val="34"/>
        <w:ind w:left="0" w:leftChars="0" w:firstLine="0" w:firstLineChars="0"/>
      </w:pPr>
      <w:r>
        <w:rPr>
          <w:rFonts w:hint="eastAsia" w:ascii="宋体" w:hAnsi="宋体" w:cs="宋体"/>
          <w:b/>
          <w:bCs/>
          <w:sz w:val="24"/>
          <w:szCs w:val="24"/>
        </w:rPr>
        <w:t>注：响应文件解密结束后，各投标供应商签署《国企采购活动现场确认声明书》，并在30分钟内以扫描件方式发送至代理机构邮箱：1793526080@qq.com。</w:t>
      </w:r>
    </w:p>
    <w:sectPr>
      <w:headerReference r:id="rId10" w:type="default"/>
      <w:foot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53DFE">
    <w:pPr>
      <w:pStyle w:val="21"/>
      <w:framePr w:wrap="around" w:vAnchor="text" w:hAnchor="margin" w:xAlign="right" w:y="1"/>
      <w:rPr>
        <w:rStyle w:val="32"/>
      </w:rPr>
    </w:pPr>
    <w:r>
      <w:fldChar w:fldCharType="begin"/>
    </w:r>
    <w:r>
      <w:rPr>
        <w:rStyle w:val="32"/>
      </w:rPr>
      <w:instrText xml:space="preserve">PAGE  </w:instrText>
    </w:r>
    <w:r>
      <w:fldChar w:fldCharType="end"/>
    </w:r>
  </w:p>
  <w:p w14:paraId="32C4036B">
    <w:pPr>
      <w:pStyle w:val="2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8F583">
    <w:pPr>
      <w:pStyle w:val="21"/>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F3D8D">
    <w:pPr>
      <w:pStyle w:val="21"/>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5AC47D">
                          <w:pPr>
                            <w:pStyle w:val="21"/>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F5AC47D">
                    <w:pPr>
                      <w:pStyle w:val="21"/>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5C7DB">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6425DA">
                          <w:pPr>
                            <w:pStyle w:val="21"/>
                          </w:pPr>
                          <w:r>
                            <w:t xml:space="preserve">第 </w:t>
                          </w:r>
                          <w:r>
                            <w:fldChar w:fldCharType="begin"/>
                          </w:r>
                          <w:r>
                            <w:instrText xml:space="preserve"> PAGE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6F6425DA">
                    <w:pPr>
                      <w:pStyle w:val="21"/>
                    </w:pPr>
                    <w:r>
                      <w:t xml:space="preserve">第 </w:t>
                    </w:r>
                    <w:r>
                      <w:fldChar w:fldCharType="begin"/>
                    </w:r>
                    <w:r>
                      <w:instrText xml:space="preserve"> PAGE  \* MERGEFORMAT </w:instrText>
                    </w:r>
                    <w:r>
                      <w:fldChar w:fldCharType="separate"/>
                    </w:r>
                    <w:r>
                      <w:t>53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64D18">
    <w:pPr>
      <w:pStyle w:val="21"/>
      <w:tabs>
        <w:tab w:val="clear" w:pos="4153"/>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A20DA7">
                          <w:pPr>
                            <w:pStyle w:val="21"/>
                          </w:pPr>
                          <w:r>
                            <w:t xml:space="preserve">第 </w:t>
                          </w:r>
                          <w:r>
                            <w:fldChar w:fldCharType="begin"/>
                          </w:r>
                          <w:r>
                            <w:instrText xml:space="preserve"> PAGE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75A20DA7">
                    <w:pPr>
                      <w:pStyle w:val="21"/>
                    </w:pPr>
                    <w:r>
                      <w:t xml:space="preserve">第 </w:t>
                    </w:r>
                    <w:r>
                      <w:fldChar w:fldCharType="begin"/>
                    </w:r>
                    <w:r>
                      <w:instrText xml:space="preserve"> PAGE  \* MERGEFORMAT </w:instrText>
                    </w:r>
                    <w:r>
                      <w:fldChar w:fldCharType="separate"/>
                    </w:r>
                    <w:r>
                      <w:t>76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4B719">
    <w:pPr>
      <w:pStyle w:val="22"/>
      <w:pBdr>
        <w:bottom w:val="none" w:color="auto" w:sz="0" w:space="4"/>
      </w:pBdr>
      <w:tabs>
        <w:tab w:val="left" w:pos="1394"/>
        <w:tab w:val="right" w:pos="9190"/>
      </w:tabs>
      <w:jc w:val="left"/>
      <w:rPr>
        <w:rFonts w:ascii="仿宋_GB2312" w:eastAsia="仿宋_GB2312"/>
        <w:i/>
        <w:u w:val="single"/>
      </w:rPr>
    </w:pPr>
    <w:r>
      <w:rPr>
        <w:rFonts w:hint="eastAsia"/>
      </w:rPr>
      <w:tab/>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905EB">
    <w:pPr>
      <w:pStyle w:val="22"/>
      <w:pBdr>
        <w:bottom w:val="none" w:color="auto" w:sz="0" w:space="0"/>
      </w:pBdr>
      <w:tabs>
        <w:tab w:val="center" w:pos="4535"/>
        <w:tab w:val="right" w:pos="9070"/>
        <w:tab w:val="clear" w:pos="4153"/>
        <w:tab w:val="clear" w:pos="8306"/>
      </w:tabs>
      <w:jc w:val="right"/>
    </w:pPr>
    <w:r>
      <w:rPr>
        <w:lang w:val="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E9B10">
    <w:pPr>
      <w:pStyle w:val="2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E12E2">
    <w:pPr>
      <w:pStyle w:val="22"/>
      <w:pBdr>
        <w:bottom w:val="none" w:color="auto" w:sz="0" w:space="0"/>
      </w:pBdr>
      <w:tabs>
        <w:tab w:val="center" w:pos="4535"/>
        <w:tab w:val="right" w:pos="9070"/>
        <w:tab w:val="clear" w:pos="4153"/>
        <w:tab w:val="clear" w:pos="8306"/>
      </w:tabs>
    </w:pPr>
    <w:r>
      <w:rPr>
        <w:lang w:val="zh-CN"/>
      </w:rPr>
      <w:t></w:t>
    </w:r>
  </w:p>
  <w:p w14:paraId="0F1F1340">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7D19A"/>
    <w:multiLevelType w:val="singleLevel"/>
    <w:tmpl w:val="8077D19A"/>
    <w:lvl w:ilvl="0" w:tentative="0">
      <w:start w:val="1"/>
      <w:numFmt w:val="decimal"/>
      <w:pStyle w:val="5"/>
      <w:lvlText w:val="%1."/>
      <w:lvlJc w:val="left"/>
      <w:pPr>
        <w:tabs>
          <w:tab w:val="left" w:pos="780"/>
        </w:tabs>
        <w:ind w:left="780" w:hanging="360"/>
      </w:pPr>
    </w:lvl>
  </w:abstractNum>
  <w:abstractNum w:abstractNumId="1">
    <w:nsid w:val="823E7A4A"/>
    <w:multiLevelType w:val="singleLevel"/>
    <w:tmpl w:val="823E7A4A"/>
    <w:lvl w:ilvl="0" w:tentative="0">
      <w:start w:val="1"/>
      <w:numFmt w:val="decimal"/>
      <w:suff w:val="nothing"/>
      <w:lvlText w:val="%1、"/>
      <w:lvlJc w:val="left"/>
    </w:lvl>
  </w:abstractNum>
  <w:abstractNum w:abstractNumId="2">
    <w:nsid w:val="86E11C4F"/>
    <w:multiLevelType w:val="singleLevel"/>
    <w:tmpl w:val="86E11C4F"/>
    <w:lvl w:ilvl="0" w:tentative="0">
      <w:start w:val="1"/>
      <w:numFmt w:val="decimal"/>
      <w:suff w:val="nothing"/>
      <w:lvlText w:val="%1、"/>
      <w:lvlJc w:val="left"/>
    </w:lvl>
  </w:abstractNum>
  <w:abstractNum w:abstractNumId="3">
    <w:nsid w:val="8F3BA66C"/>
    <w:multiLevelType w:val="singleLevel"/>
    <w:tmpl w:val="8F3BA66C"/>
    <w:lvl w:ilvl="0" w:tentative="0">
      <w:start w:val="1"/>
      <w:numFmt w:val="decimal"/>
      <w:suff w:val="nothing"/>
      <w:lvlText w:val="%1、"/>
      <w:lvlJc w:val="left"/>
    </w:lvl>
  </w:abstractNum>
  <w:abstractNum w:abstractNumId="4">
    <w:nsid w:val="ADCC94A5"/>
    <w:multiLevelType w:val="singleLevel"/>
    <w:tmpl w:val="ADCC94A5"/>
    <w:lvl w:ilvl="0" w:tentative="0">
      <w:start w:val="1"/>
      <w:numFmt w:val="decimal"/>
      <w:suff w:val="nothing"/>
      <w:lvlText w:val="%1、"/>
      <w:lvlJc w:val="left"/>
    </w:lvl>
  </w:abstractNum>
  <w:abstractNum w:abstractNumId="5">
    <w:nsid w:val="BA7509FF"/>
    <w:multiLevelType w:val="singleLevel"/>
    <w:tmpl w:val="BA7509FF"/>
    <w:lvl w:ilvl="0" w:tentative="0">
      <w:start w:val="1"/>
      <w:numFmt w:val="decimal"/>
      <w:suff w:val="nothing"/>
      <w:lvlText w:val="%1、"/>
      <w:lvlJc w:val="left"/>
    </w:lvl>
  </w:abstractNum>
  <w:abstractNum w:abstractNumId="6">
    <w:nsid w:val="BAF67257"/>
    <w:multiLevelType w:val="singleLevel"/>
    <w:tmpl w:val="BAF67257"/>
    <w:lvl w:ilvl="0" w:tentative="0">
      <w:start w:val="1"/>
      <w:numFmt w:val="decimal"/>
      <w:suff w:val="nothing"/>
      <w:lvlText w:val="%1、"/>
      <w:lvlJc w:val="left"/>
    </w:lvl>
  </w:abstractNum>
  <w:abstractNum w:abstractNumId="7">
    <w:nsid w:val="D3C4BF83"/>
    <w:multiLevelType w:val="singleLevel"/>
    <w:tmpl w:val="D3C4BF83"/>
    <w:lvl w:ilvl="0" w:tentative="0">
      <w:start w:val="1"/>
      <w:numFmt w:val="decimal"/>
      <w:suff w:val="nothing"/>
      <w:lvlText w:val="%1、"/>
      <w:lvlJc w:val="left"/>
    </w:lvl>
  </w:abstractNum>
  <w:abstractNum w:abstractNumId="8">
    <w:nsid w:val="DBB2DBF4"/>
    <w:multiLevelType w:val="singleLevel"/>
    <w:tmpl w:val="DBB2DBF4"/>
    <w:lvl w:ilvl="0" w:tentative="0">
      <w:start w:val="1"/>
      <w:numFmt w:val="decimal"/>
      <w:suff w:val="nothing"/>
      <w:lvlText w:val="%1、"/>
      <w:lvlJc w:val="left"/>
    </w:lvl>
  </w:abstractNum>
  <w:abstractNum w:abstractNumId="9">
    <w:nsid w:val="E662D8E1"/>
    <w:multiLevelType w:val="singleLevel"/>
    <w:tmpl w:val="E662D8E1"/>
    <w:lvl w:ilvl="0" w:tentative="0">
      <w:start w:val="1"/>
      <w:numFmt w:val="decimal"/>
      <w:lvlText w:val="%1"/>
      <w:lvlJc w:val="left"/>
      <w:pPr>
        <w:tabs>
          <w:tab w:val="left" w:pos="420"/>
        </w:tabs>
        <w:ind w:left="425" w:hanging="425"/>
      </w:pPr>
      <w:rPr>
        <w:rFonts w:hint="default"/>
      </w:rPr>
    </w:lvl>
  </w:abstractNum>
  <w:abstractNum w:abstractNumId="10">
    <w:nsid w:val="F3E0EDF8"/>
    <w:multiLevelType w:val="singleLevel"/>
    <w:tmpl w:val="F3E0EDF8"/>
    <w:lvl w:ilvl="0" w:tentative="0">
      <w:start w:val="1"/>
      <w:numFmt w:val="decimal"/>
      <w:suff w:val="nothing"/>
      <w:lvlText w:val="%1、"/>
      <w:lvlJc w:val="left"/>
    </w:lvl>
  </w:abstractNum>
  <w:abstractNum w:abstractNumId="11">
    <w:nsid w:val="F4A89319"/>
    <w:multiLevelType w:val="multilevel"/>
    <w:tmpl w:val="F4A89319"/>
    <w:lvl w:ilvl="0" w:tentative="0">
      <w:start w:val="1"/>
      <w:numFmt w:val="decimal"/>
      <w:suff w:val="nothing"/>
      <w:lvlText w:val="%1、"/>
      <w:lvlJc w:val="left"/>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2">
    <w:nsid w:val="F815E59C"/>
    <w:multiLevelType w:val="singleLevel"/>
    <w:tmpl w:val="F815E59C"/>
    <w:lvl w:ilvl="0" w:tentative="0">
      <w:start w:val="1"/>
      <w:numFmt w:val="decimal"/>
      <w:pStyle w:val="6"/>
      <w:lvlText w:val="%1."/>
      <w:lvlJc w:val="left"/>
      <w:pPr>
        <w:tabs>
          <w:tab w:val="left" w:pos="360"/>
        </w:tabs>
        <w:ind w:left="360" w:hanging="360"/>
      </w:pPr>
    </w:lvl>
  </w:abstractNum>
  <w:abstractNum w:abstractNumId="13">
    <w:nsid w:val="00000002"/>
    <w:multiLevelType w:val="singleLevel"/>
    <w:tmpl w:val="00000002"/>
    <w:lvl w:ilvl="0" w:tentative="0">
      <w:start w:val="1"/>
      <w:numFmt w:val="decimal"/>
      <w:pStyle w:val="4"/>
      <w:lvlText w:val="%1."/>
      <w:lvlJc w:val="left"/>
      <w:pPr>
        <w:tabs>
          <w:tab w:val="left" w:pos="1200"/>
        </w:tabs>
        <w:ind w:left="1200" w:hanging="360"/>
      </w:pPr>
    </w:lvl>
  </w:abstractNum>
  <w:abstractNum w:abstractNumId="14">
    <w:nsid w:val="06341D39"/>
    <w:multiLevelType w:val="singleLevel"/>
    <w:tmpl w:val="06341D39"/>
    <w:lvl w:ilvl="0" w:tentative="0">
      <w:start w:val="1"/>
      <w:numFmt w:val="decimal"/>
      <w:suff w:val="nothing"/>
      <w:lvlText w:val="%1、"/>
      <w:lvlJc w:val="left"/>
    </w:lvl>
  </w:abstractNum>
  <w:abstractNum w:abstractNumId="15">
    <w:nsid w:val="137BFC45"/>
    <w:multiLevelType w:val="singleLevel"/>
    <w:tmpl w:val="137BFC45"/>
    <w:lvl w:ilvl="0" w:tentative="0">
      <w:start w:val="1"/>
      <w:numFmt w:val="decimal"/>
      <w:suff w:val="nothing"/>
      <w:lvlText w:val="%1、"/>
      <w:lvlJc w:val="left"/>
    </w:lvl>
  </w:abstractNum>
  <w:abstractNum w:abstractNumId="16">
    <w:nsid w:val="149BAF1E"/>
    <w:multiLevelType w:val="singleLevel"/>
    <w:tmpl w:val="149BAF1E"/>
    <w:lvl w:ilvl="0" w:tentative="0">
      <w:start w:val="1"/>
      <w:numFmt w:val="decimal"/>
      <w:suff w:val="nothing"/>
      <w:lvlText w:val="%1、"/>
      <w:lvlJc w:val="left"/>
    </w:lvl>
  </w:abstractNum>
  <w:abstractNum w:abstractNumId="17">
    <w:nsid w:val="15ED6C9D"/>
    <w:multiLevelType w:val="multilevel"/>
    <w:tmpl w:val="15ED6C9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18F020EF"/>
    <w:multiLevelType w:val="singleLevel"/>
    <w:tmpl w:val="18F020EF"/>
    <w:lvl w:ilvl="0" w:tentative="0">
      <w:start w:val="1"/>
      <w:numFmt w:val="decimal"/>
      <w:suff w:val="nothing"/>
      <w:lvlText w:val="%1、"/>
      <w:lvlJc w:val="left"/>
    </w:lvl>
  </w:abstractNum>
  <w:abstractNum w:abstractNumId="19">
    <w:nsid w:val="1A02C0F8"/>
    <w:multiLevelType w:val="singleLevel"/>
    <w:tmpl w:val="1A02C0F8"/>
    <w:lvl w:ilvl="0" w:tentative="0">
      <w:start w:val="1"/>
      <w:numFmt w:val="decimal"/>
      <w:lvlText w:val="%1."/>
      <w:lvlJc w:val="left"/>
      <w:pPr>
        <w:ind w:left="425" w:hanging="425"/>
      </w:pPr>
      <w:rPr>
        <w:rFonts w:hint="default"/>
      </w:rPr>
    </w:lvl>
  </w:abstractNum>
  <w:abstractNum w:abstractNumId="20">
    <w:nsid w:val="1D0B3CE5"/>
    <w:multiLevelType w:val="singleLevel"/>
    <w:tmpl w:val="1D0B3CE5"/>
    <w:lvl w:ilvl="0" w:tentative="0">
      <w:start w:val="1"/>
      <w:numFmt w:val="decimal"/>
      <w:lvlText w:val="%1."/>
      <w:lvlJc w:val="left"/>
      <w:pPr>
        <w:ind w:left="425" w:hanging="425"/>
      </w:pPr>
      <w:rPr>
        <w:rFonts w:hint="default"/>
      </w:rPr>
    </w:lvl>
  </w:abstractNum>
  <w:abstractNum w:abstractNumId="21">
    <w:nsid w:val="24A69E93"/>
    <w:multiLevelType w:val="singleLevel"/>
    <w:tmpl w:val="24A69E93"/>
    <w:lvl w:ilvl="0" w:tentative="0">
      <w:start w:val="1"/>
      <w:numFmt w:val="decimal"/>
      <w:suff w:val="nothing"/>
      <w:lvlText w:val="%1、"/>
      <w:lvlJc w:val="left"/>
    </w:lvl>
  </w:abstractNum>
  <w:abstractNum w:abstractNumId="22">
    <w:nsid w:val="280DBC8A"/>
    <w:multiLevelType w:val="singleLevel"/>
    <w:tmpl w:val="280DBC8A"/>
    <w:lvl w:ilvl="0" w:tentative="0">
      <w:start w:val="1"/>
      <w:numFmt w:val="decimal"/>
      <w:suff w:val="nothing"/>
      <w:lvlText w:val="%1、"/>
      <w:lvlJc w:val="left"/>
    </w:lvl>
  </w:abstractNum>
  <w:abstractNum w:abstractNumId="23">
    <w:nsid w:val="2E98A387"/>
    <w:multiLevelType w:val="singleLevel"/>
    <w:tmpl w:val="2E98A387"/>
    <w:lvl w:ilvl="0" w:tentative="0">
      <w:start w:val="1"/>
      <w:numFmt w:val="decimal"/>
      <w:suff w:val="nothing"/>
      <w:lvlText w:val="%1、"/>
      <w:lvlJc w:val="left"/>
    </w:lvl>
  </w:abstractNum>
  <w:abstractNum w:abstractNumId="24">
    <w:nsid w:val="2F2538CE"/>
    <w:multiLevelType w:val="singleLevel"/>
    <w:tmpl w:val="2F2538CE"/>
    <w:lvl w:ilvl="0" w:tentative="0">
      <w:start w:val="1"/>
      <w:numFmt w:val="decimal"/>
      <w:lvlText w:val="%1"/>
      <w:lvlJc w:val="left"/>
      <w:pPr>
        <w:tabs>
          <w:tab w:val="left" w:pos="420"/>
        </w:tabs>
        <w:ind w:left="425" w:hanging="425"/>
      </w:pPr>
      <w:rPr>
        <w:rFonts w:hint="default"/>
      </w:rPr>
    </w:lvl>
  </w:abstractNum>
  <w:abstractNum w:abstractNumId="25">
    <w:nsid w:val="3278B70D"/>
    <w:multiLevelType w:val="singleLevel"/>
    <w:tmpl w:val="3278B70D"/>
    <w:lvl w:ilvl="0" w:tentative="0">
      <w:start w:val="1"/>
      <w:numFmt w:val="decimal"/>
      <w:suff w:val="nothing"/>
      <w:lvlText w:val="%1、"/>
      <w:lvlJc w:val="left"/>
    </w:lvl>
  </w:abstractNum>
  <w:abstractNum w:abstractNumId="26">
    <w:nsid w:val="36A477D0"/>
    <w:multiLevelType w:val="singleLevel"/>
    <w:tmpl w:val="36A477D0"/>
    <w:lvl w:ilvl="0" w:tentative="0">
      <w:start w:val="1"/>
      <w:numFmt w:val="decimal"/>
      <w:suff w:val="nothing"/>
      <w:lvlText w:val="%1、"/>
      <w:lvlJc w:val="left"/>
    </w:lvl>
  </w:abstractNum>
  <w:abstractNum w:abstractNumId="27">
    <w:nsid w:val="3BCDA4F9"/>
    <w:multiLevelType w:val="singleLevel"/>
    <w:tmpl w:val="3BCDA4F9"/>
    <w:lvl w:ilvl="0" w:tentative="0">
      <w:start w:val="1"/>
      <w:numFmt w:val="decimal"/>
      <w:suff w:val="nothing"/>
      <w:lvlText w:val="%1、"/>
      <w:lvlJc w:val="left"/>
    </w:lvl>
  </w:abstractNum>
  <w:abstractNum w:abstractNumId="28">
    <w:nsid w:val="46B50BC4"/>
    <w:multiLevelType w:val="singleLevel"/>
    <w:tmpl w:val="46B50BC4"/>
    <w:lvl w:ilvl="0" w:tentative="0">
      <w:start w:val="1"/>
      <w:numFmt w:val="decimal"/>
      <w:suff w:val="nothing"/>
      <w:lvlText w:val="%1、"/>
      <w:lvlJc w:val="left"/>
    </w:lvl>
  </w:abstractNum>
  <w:abstractNum w:abstractNumId="29">
    <w:nsid w:val="4B596C6C"/>
    <w:multiLevelType w:val="singleLevel"/>
    <w:tmpl w:val="4B596C6C"/>
    <w:lvl w:ilvl="0" w:tentative="0">
      <w:start w:val="1"/>
      <w:numFmt w:val="decimal"/>
      <w:lvlText w:val="%1."/>
      <w:lvlJc w:val="left"/>
      <w:pPr>
        <w:ind w:left="425" w:hanging="425"/>
      </w:pPr>
      <w:rPr>
        <w:rFonts w:hint="default"/>
      </w:rPr>
    </w:lvl>
  </w:abstractNum>
  <w:abstractNum w:abstractNumId="30">
    <w:nsid w:val="50D250D9"/>
    <w:multiLevelType w:val="singleLevel"/>
    <w:tmpl w:val="50D250D9"/>
    <w:lvl w:ilvl="0" w:tentative="0">
      <w:start w:val="1"/>
      <w:numFmt w:val="decimal"/>
      <w:suff w:val="nothing"/>
      <w:lvlText w:val="%1、"/>
      <w:lvlJc w:val="left"/>
    </w:lvl>
  </w:abstractNum>
  <w:abstractNum w:abstractNumId="31">
    <w:nsid w:val="545A512C"/>
    <w:multiLevelType w:val="multilevel"/>
    <w:tmpl w:val="545A512C"/>
    <w:lvl w:ilvl="0" w:tentative="0">
      <w:start w:val="1"/>
      <w:numFmt w:val="chineseCountingThousand"/>
      <w:pStyle w:val="57"/>
      <w:lvlText w:val="%1、"/>
      <w:lvlJc w:val="left"/>
      <w:pPr>
        <w:ind w:left="980" w:hanging="420"/>
      </w:pPr>
      <w:rPr>
        <w:sz w:val="32"/>
        <w:szCs w:val="32"/>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2">
    <w:nsid w:val="557FD3DA"/>
    <w:multiLevelType w:val="singleLevel"/>
    <w:tmpl w:val="557FD3DA"/>
    <w:lvl w:ilvl="0" w:tentative="0">
      <w:start w:val="3"/>
      <w:numFmt w:val="chineseCounting"/>
      <w:suff w:val="nothing"/>
      <w:lvlText w:val="%1、"/>
      <w:lvlJc w:val="left"/>
    </w:lvl>
  </w:abstractNum>
  <w:abstractNum w:abstractNumId="33">
    <w:nsid w:val="55E1DDB0"/>
    <w:multiLevelType w:val="singleLevel"/>
    <w:tmpl w:val="55E1DDB0"/>
    <w:lvl w:ilvl="0" w:tentative="0">
      <w:start w:val="1"/>
      <w:numFmt w:val="decimal"/>
      <w:suff w:val="nothing"/>
      <w:lvlText w:val="%1、"/>
      <w:lvlJc w:val="left"/>
    </w:lvl>
  </w:abstractNum>
  <w:abstractNum w:abstractNumId="34">
    <w:nsid w:val="675B45AA"/>
    <w:multiLevelType w:val="singleLevel"/>
    <w:tmpl w:val="675B45AA"/>
    <w:lvl w:ilvl="0" w:tentative="0">
      <w:start w:val="1"/>
      <w:numFmt w:val="decimal"/>
      <w:lvlText w:val="%1."/>
      <w:lvlJc w:val="left"/>
      <w:pPr>
        <w:ind w:left="425" w:hanging="425"/>
      </w:pPr>
      <w:rPr>
        <w:rFonts w:hint="default"/>
      </w:rPr>
    </w:lvl>
  </w:abstractNum>
  <w:abstractNum w:abstractNumId="35">
    <w:nsid w:val="67CE6EE1"/>
    <w:multiLevelType w:val="singleLevel"/>
    <w:tmpl w:val="67CE6EE1"/>
    <w:lvl w:ilvl="0" w:tentative="0">
      <w:start w:val="1"/>
      <w:numFmt w:val="decimal"/>
      <w:suff w:val="nothing"/>
      <w:lvlText w:val="%1、"/>
      <w:lvlJc w:val="left"/>
    </w:lvl>
  </w:abstractNum>
  <w:abstractNum w:abstractNumId="36">
    <w:nsid w:val="74D5BED2"/>
    <w:multiLevelType w:val="singleLevel"/>
    <w:tmpl w:val="74D5BED2"/>
    <w:lvl w:ilvl="0" w:tentative="0">
      <w:start w:val="1"/>
      <w:numFmt w:val="decimal"/>
      <w:suff w:val="nothing"/>
      <w:lvlText w:val="%1、"/>
      <w:lvlJc w:val="left"/>
    </w:lvl>
  </w:abstractNum>
  <w:abstractNum w:abstractNumId="37">
    <w:nsid w:val="75B51B01"/>
    <w:multiLevelType w:val="singleLevel"/>
    <w:tmpl w:val="75B51B01"/>
    <w:lvl w:ilvl="0" w:tentative="0">
      <w:start w:val="1"/>
      <w:numFmt w:val="decimal"/>
      <w:suff w:val="nothing"/>
      <w:lvlText w:val="%1、"/>
      <w:lvlJc w:val="left"/>
    </w:lvl>
  </w:abstractNum>
  <w:abstractNum w:abstractNumId="38">
    <w:nsid w:val="77A170D3"/>
    <w:multiLevelType w:val="singleLevel"/>
    <w:tmpl w:val="77A170D3"/>
    <w:lvl w:ilvl="0" w:tentative="0">
      <w:start w:val="1"/>
      <w:numFmt w:val="decimal"/>
      <w:lvlText w:val="%1."/>
      <w:lvlJc w:val="left"/>
      <w:pPr>
        <w:ind w:left="425" w:hanging="425"/>
      </w:pPr>
      <w:rPr>
        <w:rFonts w:hint="default"/>
      </w:rPr>
    </w:lvl>
  </w:abstractNum>
  <w:num w:numId="1">
    <w:abstractNumId w:val="13"/>
  </w:num>
  <w:num w:numId="2">
    <w:abstractNumId w:val="0"/>
  </w:num>
  <w:num w:numId="3">
    <w:abstractNumId w:val="12"/>
  </w:num>
  <w:num w:numId="4">
    <w:abstractNumId w:val="31"/>
  </w:num>
  <w:num w:numId="5">
    <w:abstractNumId w:val="17"/>
  </w:num>
  <w:num w:numId="6">
    <w:abstractNumId w:val="9"/>
  </w:num>
  <w:num w:numId="7">
    <w:abstractNumId w:val="24"/>
  </w:num>
  <w:num w:numId="8">
    <w:abstractNumId w:val="6"/>
  </w:num>
  <w:num w:numId="9">
    <w:abstractNumId w:val="33"/>
  </w:num>
  <w:num w:numId="10">
    <w:abstractNumId w:val="27"/>
  </w:num>
  <w:num w:numId="11">
    <w:abstractNumId w:val="28"/>
  </w:num>
  <w:num w:numId="12">
    <w:abstractNumId w:val="4"/>
  </w:num>
  <w:num w:numId="13">
    <w:abstractNumId w:val="14"/>
  </w:num>
  <w:num w:numId="14">
    <w:abstractNumId w:val="8"/>
  </w:num>
  <w:num w:numId="15">
    <w:abstractNumId w:val="37"/>
  </w:num>
  <w:num w:numId="16">
    <w:abstractNumId w:val="7"/>
  </w:num>
  <w:num w:numId="17">
    <w:abstractNumId w:val="30"/>
  </w:num>
  <w:num w:numId="18">
    <w:abstractNumId w:val="36"/>
  </w:num>
  <w:num w:numId="19">
    <w:abstractNumId w:val="18"/>
  </w:num>
  <w:num w:numId="20">
    <w:abstractNumId w:val="23"/>
  </w:num>
  <w:num w:numId="21">
    <w:abstractNumId w:val="3"/>
  </w:num>
  <w:num w:numId="22">
    <w:abstractNumId w:val="11"/>
  </w:num>
  <w:num w:numId="23">
    <w:abstractNumId w:val="10"/>
  </w:num>
  <w:num w:numId="24">
    <w:abstractNumId w:val="25"/>
  </w:num>
  <w:num w:numId="25">
    <w:abstractNumId w:val="21"/>
  </w:num>
  <w:num w:numId="26">
    <w:abstractNumId w:val="35"/>
  </w:num>
  <w:num w:numId="27">
    <w:abstractNumId w:val="15"/>
  </w:num>
  <w:num w:numId="28">
    <w:abstractNumId w:val="22"/>
  </w:num>
  <w:num w:numId="29">
    <w:abstractNumId w:val="2"/>
  </w:num>
  <w:num w:numId="30">
    <w:abstractNumId w:val="5"/>
  </w:num>
  <w:num w:numId="31">
    <w:abstractNumId w:val="16"/>
  </w:num>
  <w:num w:numId="32">
    <w:abstractNumId w:val="26"/>
  </w:num>
  <w:num w:numId="33">
    <w:abstractNumId w:val="1"/>
  </w:num>
  <w:num w:numId="34">
    <w:abstractNumId w:val="19"/>
  </w:num>
  <w:num w:numId="35">
    <w:abstractNumId w:val="20"/>
  </w:num>
  <w:num w:numId="36">
    <w:abstractNumId w:val="34"/>
  </w:num>
  <w:num w:numId="37">
    <w:abstractNumId w:val="38"/>
  </w:num>
  <w:num w:numId="38">
    <w:abstractNumId w:val="29"/>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GVlOWQzZGExZmQ1OWQ2YTU1YmNmNWViMjdmMmMifQ=="/>
  </w:docVars>
  <w:rsids>
    <w:rsidRoot w:val="00172A27"/>
    <w:rsid w:val="000017FA"/>
    <w:rsid w:val="00024BC6"/>
    <w:rsid w:val="0009519C"/>
    <w:rsid w:val="000A782E"/>
    <w:rsid w:val="000D6EF7"/>
    <w:rsid w:val="000E02A6"/>
    <w:rsid w:val="000E1306"/>
    <w:rsid w:val="000E7228"/>
    <w:rsid w:val="0015250C"/>
    <w:rsid w:val="00160CA2"/>
    <w:rsid w:val="00172A27"/>
    <w:rsid w:val="00177F35"/>
    <w:rsid w:val="001B5B98"/>
    <w:rsid w:val="001D5318"/>
    <w:rsid w:val="001E20C4"/>
    <w:rsid w:val="00201621"/>
    <w:rsid w:val="002275A4"/>
    <w:rsid w:val="0024790F"/>
    <w:rsid w:val="00262EEB"/>
    <w:rsid w:val="002725F8"/>
    <w:rsid w:val="002834F8"/>
    <w:rsid w:val="00287F66"/>
    <w:rsid w:val="00296057"/>
    <w:rsid w:val="002B3D5F"/>
    <w:rsid w:val="002E16D2"/>
    <w:rsid w:val="002E5830"/>
    <w:rsid w:val="002F33D1"/>
    <w:rsid w:val="00312876"/>
    <w:rsid w:val="00340604"/>
    <w:rsid w:val="00346C6E"/>
    <w:rsid w:val="00350BE3"/>
    <w:rsid w:val="0036659E"/>
    <w:rsid w:val="00390BD1"/>
    <w:rsid w:val="003917E4"/>
    <w:rsid w:val="0039585A"/>
    <w:rsid w:val="003A6A1F"/>
    <w:rsid w:val="003B2E30"/>
    <w:rsid w:val="003B641E"/>
    <w:rsid w:val="003D0B24"/>
    <w:rsid w:val="003D3CE2"/>
    <w:rsid w:val="003E6735"/>
    <w:rsid w:val="00427692"/>
    <w:rsid w:val="00430CAC"/>
    <w:rsid w:val="004544B2"/>
    <w:rsid w:val="0049281E"/>
    <w:rsid w:val="004A6A9A"/>
    <w:rsid w:val="004C1763"/>
    <w:rsid w:val="004C3971"/>
    <w:rsid w:val="004D4E0F"/>
    <w:rsid w:val="004E6367"/>
    <w:rsid w:val="004F4146"/>
    <w:rsid w:val="00536A9A"/>
    <w:rsid w:val="0054538E"/>
    <w:rsid w:val="00553AFC"/>
    <w:rsid w:val="00585276"/>
    <w:rsid w:val="00594865"/>
    <w:rsid w:val="005B4D98"/>
    <w:rsid w:val="005D6B03"/>
    <w:rsid w:val="005E6B04"/>
    <w:rsid w:val="00643B74"/>
    <w:rsid w:val="006A0E17"/>
    <w:rsid w:val="006B1A6B"/>
    <w:rsid w:val="006B5E32"/>
    <w:rsid w:val="006D1709"/>
    <w:rsid w:val="006D5A79"/>
    <w:rsid w:val="00702405"/>
    <w:rsid w:val="0072245F"/>
    <w:rsid w:val="00753375"/>
    <w:rsid w:val="00777575"/>
    <w:rsid w:val="00782E63"/>
    <w:rsid w:val="007A6D06"/>
    <w:rsid w:val="007A6F63"/>
    <w:rsid w:val="007C628E"/>
    <w:rsid w:val="007D135D"/>
    <w:rsid w:val="007D1F4A"/>
    <w:rsid w:val="007F526A"/>
    <w:rsid w:val="008A4C6F"/>
    <w:rsid w:val="008B0C51"/>
    <w:rsid w:val="008B4D00"/>
    <w:rsid w:val="008C489E"/>
    <w:rsid w:val="008E558C"/>
    <w:rsid w:val="00954B68"/>
    <w:rsid w:val="00957E82"/>
    <w:rsid w:val="009B65B3"/>
    <w:rsid w:val="00A04E00"/>
    <w:rsid w:val="00A11407"/>
    <w:rsid w:val="00A82B9B"/>
    <w:rsid w:val="00A85152"/>
    <w:rsid w:val="00AA32F9"/>
    <w:rsid w:val="00AB1B15"/>
    <w:rsid w:val="00AC3DD8"/>
    <w:rsid w:val="00AC3F63"/>
    <w:rsid w:val="00AE75C6"/>
    <w:rsid w:val="00B05D2F"/>
    <w:rsid w:val="00B12D95"/>
    <w:rsid w:val="00B1515A"/>
    <w:rsid w:val="00B301E8"/>
    <w:rsid w:val="00B32F86"/>
    <w:rsid w:val="00B4170A"/>
    <w:rsid w:val="00B51FA0"/>
    <w:rsid w:val="00B60EBA"/>
    <w:rsid w:val="00B63D3F"/>
    <w:rsid w:val="00B859FD"/>
    <w:rsid w:val="00B97BD7"/>
    <w:rsid w:val="00BC1012"/>
    <w:rsid w:val="00BC49E0"/>
    <w:rsid w:val="00BE18E2"/>
    <w:rsid w:val="00BF0D8E"/>
    <w:rsid w:val="00C03193"/>
    <w:rsid w:val="00C47EEC"/>
    <w:rsid w:val="00CD71F9"/>
    <w:rsid w:val="00D77733"/>
    <w:rsid w:val="00D91CE8"/>
    <w:rsid w:val="00D96795"/>
    <w:rsid w:val="00DB6AFD"/>
    <w:rsid w:val="00DD350E"/>
    <w:rsid w:val="00DE03F0"/>
    <w:rsid w:val="00DE3D53"/>
    <w:rsid w:val="00E2784E"/>
    <w:rsid w:val="00EA239B"/>
    <w:rsid w:val="00EA4141"/>
    <w:rsid w:val="00ED40FA"/>
    <w:rsid w:val="00F1263F"/>
    <w:rsid w:val="00F139B8"/>
    <w:rsid w:val="00F26435"/>
    <w:rsid w:val="00F34D2F"/>
    <w:rsid w:val="00F62ECD"/>
    <w:rsid w:val="00FD27BC"/>
    <w:rsid w:val="00FF7FE0"/>
    <w:rsid w:val="01D17056"/>
    <w:rsid w:val="01D64ED1"/>
    <w:rsid w:val="02653DB2"/>
    <w:rsid w:val="029C6123"/>
    <w:rsid w:val="02C31095"/>
    <w:rsid w:val="03174EFC"/>
    <w:rsid w:val="03FD4132"/>
    <w:rsid w:val="040D3E7A"/>
    <w:rsid w:val="046F232F"/>
    <w:rsid w:val="04724BDB"/>
    <w:rsid w:val="048C3708"/>
    <w:rsid w:val="05235DD9"/>
    <w:rsid w:val="05AB7E42"/>
    <w:rsid w:val="063B7194"/>
    <w:rsid w:val="066E30C6"/>
    <w:rsid w:val="068D11C9"/>
    <w:rsid w:val="068F128E"/>
    <w:rsid w:val="06B92903"/>
    <w:rsid w:val="072C6C80"/>
    <w:rsid w:val="07750484"/>
    <w:rsid w:val="07E55609"/>
    <w:rsid w:val="08137BB3"/>
    <w:rsid w:val="08255E29"/>
    <w:rsid w:val="08C13889"/>
    <w:rsid w:val="08E73AC8"/>
    <w:rsid w:val="091617A9"/>
    <w:rsid w:val="09717902"/>
    <w:rsid w:val="0995305F"/>
    <w:rsid w:val="09A17B42"/>
    <w:rsid w:val="09B56422"/>
    <w:rsid w:val="09D65937"/>
    <w:rsid w:val="09F33027"/>
    <w:rsid w:val="0A2D06B5"/>
    <w:rsid w:val="0A3035BA"/>
    <w:rsid w:val="0A821835"/>
    <w:rsid w:val="0ADF29D6"/>
    <w:rsid w:val="0B2051ED"/>
    <w:rsid w:val="0B5A00BC"/>
    <w:rsid w:val="0B5F1B77"/>
    <w:rsid w:val="0B640F3B"/>
    <w:rsid w:val="0B957097"/>
    <w:rsid w:val="0C6077F4"/>
    <w:rsid w:val="0C7D22B4"/>
    <w:rsid w:val="0C9870EE"/>
    <w:rsid w:val="0CB27D3F"/>
    <w:rsid w:val="0CC61301"/>
    <w:rsid w:val="0D742C3A"/>
    <w:rsid w:val="0DFA16E3"/>
    <w:rsid w:val="0E574324"/>
    <w:rsid w:val="0F160D00"/>
    <w:rsid w:val="0F492922"/>
    <w:rsid w:val="0F917E25"/>
    <w:rsid w:val="0FB75ADD"/>
    <w:rsid w:val="10252FC2"/>
    <w:rsid w:val="105262AE"/>
    <w:rsid w:val="10613C9B"/>
    <w:rsid w:val="122D652B"/>
    <w:rsid w:val="123A1761"/>
    <w:rsid w:val="125504D8"/>
    <w:rsid w:val="127057E2"/>
    <w:rsid w:val="12D96480"/>
    <w:rsid w:val="136F1FAB"/>
    <w:rsid w:val="13E250F3"/>
    <w:rsid w:val="1436279F"/>
    <w:rsid w:val="14813B92"/>
    <w:rsid w:val="15D27671"/>
    <w:rsid w:val="15E50ECA"/>
    <w:rsid w:val="16736123"/>
    <w:rsid w:val="16997282"/>
    <w:rsid w:val="17AE5F69"/>
    <w:rsid w:val="17E045F0"/>
    <w:rsid w:val="18A961DF"/>
    <w:rsid w:val="18C82B09"/>
    <w:rsid w:val="19063631"/>
    <w:rsid w:val="199B0DF1"/>
    <w:rsid w:val="19CE71CF"/>
    <w:rsid w:val="1A076713"/>
    <w:rsid w:val="1A420D63"/>
    <w:rsid w:val="1A9C3B54"/>
    <w:rsid w:val="1AC53CEC"/>
    <w:rsid w:val="1AD31C39"/>
    <w:rsid w:val="1B2C18EF"/>
    <w:rsid w:val="1B377A06"/>
    <w:rsid w:val="1B3F540B"/>
    <w:rsid w:val="1B495CB6"/>
    <w:rsid w:val="1BC079CB"/>
    <w:rsid w:val="1BDB6D28"/>
    <w:rsid w:val="1C0830AE"/>
    <w:rsid w:val="1C340CC6"/>
    <w:rsid w:val="1C601375"/>
    <w:rsid w:val="1C6E5776"/>
    <w:rsid w:val="1CC51E11"/>
    <w:rsid w:val="1CDA72AF"/>
    <w:rsid w:val="1D025BE3"/>
    <w:rsid w:val="1D724D29"/>
    <w:rsid w:val="1E8B4FE5"/>
    <w:rsid w:val="1F2041A1"/>
    <w:rsid w:val="1F2733E1"/>
    <w:rsid w:val="1F394761"/>
    <w:rsid w:val="1FBB33C8"/>
    <w:rsid w:val="1FC5792F"/>
    <w:rsid w:val="1FE419F9"/>
    <w:rsid w:val="1FE84425"/>
    <w:rsid w:val="1FFE5062"/>
    <w:rsid w:val="20623F6B"/>
    <w:rsid w:val="207003FC"/>
    <w:rsid w:val="20CC6D30"/>
    <w:rsid w:val="20E073AC"/>
    <w:rsid w:val="219C2D85"/>
    <w:rsid w:val="21D365DE"/>
    <w:rsid w:val="22AD3BC7"/>
    <w:rsid w:val="22FE5C89"/>
    <w:rsid w:val="23052BAC"/>
    <w:rsid w:val="23715468"/>
    <w:rsid w:val="23CD191B"/>
    <w:rsid w:val="23DD29C2"/>
    <w:rsid w:val="24613E12"/>
    <w:rsid w:val="24661428"/>
    <w:rsid w:val="246E6D2A"/>
    <w:rsid w:val="24F529AD"/>
    <w:rsid w:val="24F9398B"/>
    <w:rsid w:val="2510304E"/>
    <w:rsid w:val="25172F64"/>
    <w:rsid w:val="255816B9"/>
    <w:rsid w:val="257068B4"/>
    <w:rsid w:val="258B7119"/>
    <w:rsid w:val="259E4FCB"/>
    <w:rsid w:val="25DA20CE"/>
    <w:rsid w:val="261D1FBA"/>
    <w:rsid w:val="265E0AC9"/>
    <w:rsid w:val="26C4386A"/>
    <w:rsid w:val="26FB3F19"/>
    <w:rsid w:val="272B2A55"/>
    <w:rsid w:val="2774773A"/>
    <w:rsid w:val="27FA0EB0"/>
    <w:rsid w:val="282473FD"/>
    <w:rsid w:val="28610884"/>
    <w:rsid w:val="287265EE"/>
    <w:rsid w:val="288E4399"/>
    <w:rsid w:val="28AB1AFF"/>
    <w:rsid w:val="28B46C06"/>
    <w:rsid w:val="28C606E7"/>
    <w:rsid w:val="28F17E5A"/>
    <w:rsid w:val="291A3901"/>
    <w:rsid w:val="2936586D"/>
    <w:rsid w:val="297840D8"/>
    <w:rsid w:val="298A250D"/>
    <w:rsid w:val="29C54E43"/>
    <w:rsid w:val="2B053749"/>
    <w:rsid w:val="2B515E95"/>
    <w:rsid w:val="2B717030"/>
    <w:rsid w:val="2B7F765C"/>
    <w:rsid w:val="2B983E5B"/>
    <w:rsid w:val="2BCA36FB"/>
    <w:rsid w:val="2BE75AE8"/>
    <w:rsid w:val="2C086430"/>
    <w:rsid w:val="2CC307D7"/>
    <w:rsid w:val="2CF02E0A"/>
    <w:rsid w:val="2D7C7310"/>
    <w:rsid w:val="2DB50591"/>
    <w:rsid w:val="2E1C5E48"/>
    <w:rsid w:val="2E536EC1"/>
    <w:rsid w:val="2E6B2346"/>
    <w:rsid w:val="2E8A60D5"/>
    <w:rsid w:val="2E8B40A5"/>
    <w:rsid w:val="2E9B6E1D"/>
    <w:rsid w:val="2EF75A9F"/>
    <w:rsid w:val="2F480FED"/>
    <w:rsid w:val="31040592"/>
    <w:rsid w:val="314A69E3"/>
    <w:rsid w:val="31CD0D39"/>
    <w:rsid w:val="31E179A2"/>
    <w:rsid w:val="322070BA"/>
    <w:rsid w:val="336851BD"/>
    <w:rsid w:val="33887F26"/>
    <w:rsid w:val="33997124"/>
    <w:rsid w:val="346E4CE5"/>
    <w:rsid w:val="34993154"/>
    <w:rsid w:val="349C4A25"/>
    <w:rsid w:val="34B00F04"/>
    <w:rsid w:val="35095DD3"/>
    <w:rsid w:val="35AB3FE0"/>
    <w:rsid w:val="35CF548D"/>
    <w:rsid w:val="35D00C8D"/>
    <w:rsid w:val="36170CCE"/>
    <w:rsid w:val="369D4A7E"/>
    <w:rsid w:val="371533DB"/>
    <w:rsid w:val="37203720"/>
    <w:rsid w:val="374A1FCB"/>
    <w:rsid w:val="37667C65"/>
    <w:rsid w:val="380F20AB"/>
    <w:rsid w:val="38DF76EC"/>
    <w:rsid w:val="39B83C7A"/>
    <w:rsid w:val="39BC5981"/>
    <w:rsid w:val="39DD01C6"/>
    <w:rsid w:val="3A4B6F56"/>
    <w:rsid w:val="3AF51FAE"/>
    <w:rsid w:val="3B013F51"/>
    <w:rsid w:val="3B481E05"/>
    <w:rsid w:val="3B663788"/>
    <w:rsid w:val="3B693880"/>
    <w:rsid w:val="3C035D77"/>
    <w:rsid w:val="3C155F84"/>
    <w:rsid w:val="3C1B4E74"/>
    <w:rsid w:val="3C6F5846"/>
    <w:rsid w:val="3CBA349C"/>
    <w:rsid w:val="3CD36E09"/>
    <w:rsid w:val="3D4B737E"/>
    <w:rsid w:val="3D7D1865"/>
    <w:rsid w:val="3DED5018"/>
    <w:rsid w:val="3EE020AB"/>
    <w:rsid w:val="3F6E2034"/>
    <w:rsid w:val="3F7C65CA"/>
    <w:rsid w:val="3F894D05"/>
    <w:rsid w:val="401D2E8B"/>
    <w:rsid w:val="406B3A5D"/>
    <w:rsid w:val="40F26DC2"/>
    <w:rsid w:val="4102302D"/>
    <w:rsid w:val="41485C02"/>
    <w:rsid w:val="418D3461"/>
    <w:rsid w:val="41D52A01"/>
    <w:rsid w:val="42461484"/>
    <w:rsid w:val="42A11B51"/>
    <w:rsid w:val="430F7403"/>
    <w:rsid w:val="43BC51C5"/>
    <w:rsid w:val="43C867AC"/>
    <w:rsid w:val="440B2BD3"/>
    <w:rsid w:val="44564D67"/>
    <w:rsid w:val="45350C77"/>
    <w:rsid w:val="4609787D"/>
    <w:rsid w:val="463827CD"/>
    <w:rsid w:val="46EB7AE7"/>
    <w:rsid w:val="47201F5D"/>
    <w:rsid w:val="4746792E"/>
    <w:rsid w:val="47FA5D4E"/>
    <w:rsid w:val="49B602E6"/>
    <w:rsid w:val="49DA7357"/>
    <w:rsid w:val="4A01737A"/>
    <w:rsid w:val="4A8C758B"/>
    <w:rsid w:val="4ADF2496"/>
    <w:rsid w:val="4AE159AE"/>
    <w:rsid w:val="4B6127C6"/>
    <w:rsid w:val="4B707C68"/>
    <w:rsid w:val="4B9806D2"/>
    <w:rsid w:val="4BEF0206"/>
    <w:rsid w:val="4C0A4515"/>
    <w:rsid w:val="4C336E64"/>
    <w:rsid w:val="4C451360"/>
    <w:rsid w:val="4C883BFB"/>
    <w:rsid w:val="4D5F7B9D"/>
    <w:rsid w:val="4D957FFE"/>
    <w:rsid w:val="4D9C5EC7"/>
    <w:rsid w:val="4E5C7398"/>
    <w:rsid w:val="4E956242"/>
    <w:rsid w:val="4F2B4960"/>
    <w:rsid w:val="4F2D3FC6"/>
    <w:rsid w:val="4F8548EE"/>
    <w:rsid w:val="4F902856"/>
    <w:rsid w:val="4FAD3644"/>
    <w:rsid w:val="502362F9"/>
    <w:rsid w:val="50386F7E"/>
    <w:rsid w:val="51324E68"/>
    <w:rsid w:val="51CE5AD4"/>
    <w:rsid w:val="52291B63"/>
    <w:rsid w:val="52A1794C"/>
    <w:rsid w:val="52DC26C4"/>
    <w:rsid w:val="53163E96"/>
    <w:rsid w:val="532145A8"/>
    <w:rsid w:val="53737017"/>
    <w:rsid w:val="53882C65"/>
    <w:rsid w:val="53C03E02"/>
    <w:rsid w:val="54E14CEB"/>
    <w:rsid w:val="54E3655F"/>
    <w:rsid w:val="54F105A7"/>
    <w:rsid w:val="54FD6C70"/>
    <w:rsid w:val="55214DA8"/>
    <w:rsid w:val="5526220B"/>
    <w:rsid w:val="55986DE4"/>
    <w:rsid w:val="55B278D2"/>
    <w:rsid w:val="562A1811"/>
    <w:rsid w:val="566D0271"/>
    <w:rsid w:val="569E52E2"/>
    <w:rsid w:val="56B26FB6"/>
    <w:rsid w:val="570556BE"/>
    <w:rsid w:val="57174DF3"/>
    <w:rsid w:val="572D2011"/>
    <w:rsid w:val="57BD4234"/>
    <w:rsid w:val="57D12A81"/>
    <w:rsid w:val="57FB7AFE"/>
    <w:rsid w:val="57FF7026"/>
    <w:rsid w:val="583E171C"/>
    <w:rsid w:val="58801DB1"/>
    <w:rsid w:val="589F1AC6"/>
    <w:rsid w:val="59437066"/>
    <w:rsid w:val="59E15CAF"/>
    <w:rsid w:val="5A1153B7"/>
    <w:rsid w:val="5A3B68D8"/>
    <w:rsid w:val="5A5E1183"/>
    <w:rsid w:val="5A865DA5"/>
    <w:rsid w:val="5ACE6B45"/>
    <w:rsid w:val="5ADE2363"/>
    <w:rsid w:val="5B1C3014"/>
    <w:rsid w:val="5BA263E8"/>
    <w:rsid w:val="5BC70423"/>
    <w:rsid w:val="5BDA7583"/>
    <w:rsid w:val="5CBB5B7C"/>
    <w:rsid w:val="5D0F4AF1"/>
    <w:rsid w:val="5D3B6F2A"/>
    <w:rsid w:val="5D7A1503"/>
    <w:rsid w:val="5DA430DC"/>
    <w:rsid w:val="5E413691"/>
    <w:rsid w:val="5E8B7A2B"/>
    <w:rsid w:val="5F0177C0"/>
    <w:rsid w:val="5F420880"/>
    <w:rsid w:val="5F4E26F5"/>
    <w:rsid w:val="5FFB2595"/>
    <w:rsid w:val="600E76A2"/>
    <w:rsid w:val="601C4AE4"/>
    <w:rsid w:val="60561946"/>
    <w:rsid w:val="60C84F68"/>
    <w:rsid w:val="611F2CEE"/>
    <w:rsid w:val="613F3A29"/>
    <w:rsid w:val="614343AD"/>
    <w:rsid w:val="618B3D19"/>
    <w:rsid w:val="61A46067"/>
    <w:rsid w:val="61C45305"/>
    <w:rsid w:val="61D221A3"/>
    <w:rsid w:val="62346A7A"/>
    <w:rsid w:val="62806E69"/>
    <w:rsid w:val="63DB1720"/>
    <w:rsid w:val="641E1B13"/>
    <w:rsid w:val="6468132B"/>
    <w:rsid w:val="648669A1"/>
    <w:rsid w:val="64AC465A"/>
    <w:rsid w:val="65395319"/>
    <w:rsid w:val="657607C4"/>
    <w:rsid w:val="66557ECD"/>
    <w:rsid w:val="66580148"/>
    <w:rsid w:val="66EC059D"/>
    <w:rsid w:val="67566EED"/>
    <w:rsid w:val="675863D3"/>
    <w:rsid w:val="67774AB8"/>
    <w:rsid w:val="67790886"/>
    <w:rsid w:val="67B94AD4"/>
    <w:rsid w:val="67E16AD1"/>
    <w:rsid w:val="68150768"/>
    <w:rsid w:val="68182925"/>
    <w:rsid w:val="68297D70"/>
    <w:rsid w:val="68515321"/>
    <w:rsid w:val="68E83572"/>
    <w:rsid w:val="68F4037D"/>
    <w:rsid w:val="699833FF"/>
    <w:rsid w:val="69EC54F9"/>
    <w:rsid w:val="69F745C9"/>
    <w:rsid w:val="6AAC4BFD"/>
    <w:rsid w:val="6B2146DE"/>
    <w:rsid w:val="6B3929BF"/>
    <w:rsid w:val="6B3E3B32"/>
    <w:rsid w:val="6B773E86"/>
    <w:rsid w:val="6C145DE0"/>
    <w:rsid w:val="6C4018A9"/>
    <w:rsid w:val="6C7A175D"/>
    <w:rsid w:val="6CB57E24"/>
    <w:rsid w:val="6CE3452E"/>
    <w:rsid w:val="6D4F2026"/>
    <w:rsid w:val="6DB4323D"/>
    <w:rsid w:val="6DF05AB1"/>
    <w:rsid w:val="6DFB0400"/>
    <w:rsid w:val="6EBA7973"/>
    <w:rsid w:val="6EBB22D2"/>
    <w:rsid w:val="6EF11E06"/>
    <w:rsid w:val="6F4831D1"/>
    <w:rsid w:val="704240C4"/>
    <w:rsid w:val="705F50D2"/>
    <w:rsid w:val="7136383E"/>
    <w:rsid w:val="717C3606"/>
    <w:rsid w:val="71A93FA1"/>
    <w:rsid w:val="71B477D2"/>
    <w:rsid w:val="71C42D2E"/>
    <w:rsid w:val="71E11998"/>
    <w:rsid w:val="71F71E6B"/>
    <w:rsid w:val="72ED101B"/>
    <w:rsid w:val="735D0897"/>
    <w:rsid w:val="738467A2"/>
    <w:rsid w:val="738A4257"/>
    <w:rsid w:val="73D56FFD"/>
    <w:rsid w:val="74602D6B"/>
    <w:rsid w:val="74A92964"/>
    <w:rsid w:val="74BE7A92"/>
    <w:rsid w:val="74C33505"/>
    <w:rsid w:val="75071439"/>
    <w:rsid w:val="75297601"/>
    <w:rsid w:val="754E350B"/>
    <w:rsid w:val="75D45C09"/>
    <w:rsid w:val="75E35A02"/>
    <w:rsid w:val="76A47C80"/>
    <w:rsid w:val="76C27D0D"/>
    <w:rsid w:val="770816CA"/>
    <w:rsid w:val="77C11D73"/>
    <w:rsid w:val="782D11B6"/>
    <w:rsid w:val="787978AF"/>
    <w:rsid w:val="78875D8E"/>
    <w:rsid w:val="78EE2F1F"/>
    <w:rsid w:val="792739D7"/>
    <w:rsid w:val="79375783"/>
    <w:rsid w:val="793A614E"/>
    <w:rsid w:val="7A111764"/>
    <w:rsid w:val="7A652E89"/>
    <w:rsid w:val="7AC322EA"/>
    <w:rsid w:val="7AFC6F42"/>
    <w:rsid w:val="7B5B0FFC"/>
    <w:rsid w:val="7C75137E"/>
    <w:rsid w:val="7C7D5C10"/>
    <w:rsid w:val="7C860123"/>
    <w:rsid w:val="7C97291A"/>
    <w:rsid w:val="7D4770FB"/>
    <w:rsid w:val="7E603A39"/>
    <w:rsid w:val="7E6E5EDC"/>
    <w:rsid w:val="7F2A6DE2"/>
    <w:rsid w:val="7F351391"/>
    <w:rsid w:val="7F860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b/>
      <w:bCs/>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0"/>
        <w:numId w:val="1"/>
      </w:numPr>
      <w:tabs>
        <w:tab w:val="left" w:pos="2651"/>
      </w:tabs>
      <w:spacing w:before="260" w:after="260" w:line="416" w:lineRule="auto"/>
      <w:outlineLvl w:val="2"/>
    </w:pPr>
    <w:rPr>
      <w:rFonts w:eastAsia="仿宋_GB2312"/>
      <w:b/>
      <w:sz w:val="32"/>
      <w:szCs w:val="20"/>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5">
    <w:name w:val="List Number 2"/>
    <w:basedOn w:val="1"/>
    <w:qFormat/>
    <w:uiPriority w:val="0"/>
    <w:pPr>
      <w:numPr>
        <w:ilvl w:val="0"/>
        <w:numId w:val="2"/>
      </w:numPr>
    </w:pPr>
  </w:style>
  <w:style w:type="paragraph" w:styleId="6">
    <w:name w:val="List Number"/>
    <w:basedOn w:val="1"/>
    <w:qFormat/>
    <w:uiPriority w:val="0"/>
    <w:pPr>
      <w:numPr>
        <w:ilvl w:val="0"/>
        <w:numId w:val="3"/>
      </w:numPr>
    </w:pPr>
  </w:style>
  <w:style w:type="paragraph" w:styleId="7">
    <w:name w:val="Normal Indent"/>
    <w:basedOn w:val="1"/>
    <w:next w:val="8"/>
    <w:qFormat/>
    <w:uiPriority w:val="0"/>
    <w:pPr>
      <w:widowControl/>
      <w:snapToGrid w:val="0"/>
      <w:spacing w:line="480" w:lineRule="exact"/>
      <w:ind w:firstLine="567"/>
    </w:pPr>
    <w:rPr>
      <w:rFonts w:ascii="宋体"/>
      <w:snapToGrid w:val="0"/>
      <w:color w:val="000000"/>
      <w:kern w:val="28"/>
      <w:sz w:val="28"/>
      <w:szCs w:val="20"/>
    </w:rPr>
  </w:style>
  <w:style w:type="paragraph" w:styleId="8">
    <w:name w:val="Body Text Indent"/>
    <w:basedOn w:val="1"/>
    <w:next w:val="1"/>
    <w:qFormat/>
    <w:uiPriority w:val="0"/>
    <w:pPr>
      <w:spacing w:line="200" w:lineRule="exact"/>
      <w:ind w:firstLine="301"/>
    </w:pPr>
    <w:rPr>
      <w:rFonts w:ascii="宋体" w:hAnsi="Courier New" w:cs="宋体"/>
      <w:spacing w:val="-4"/>
      <w:sz w:val="18"/>
      <w:szCs w:val="18"/>
    </w:rPr>
  </w:style>
  <w:style w:type="paragraph" w:styleId="9">
    <w:name w:val="caption"/>
    <w:basedOn w:val="1"/>
    <w:next w:val="1"/>
    <w:qFormat/>
    <w:uiPriority w:val="0"/>
    <w:pPr>
      <w:spacing w:before="152" w:after="160"/>
    </w:pPr>
    <w:rPr>
      <w:rFonts w:ascii="Arial" w:hAnsi="Arial" w:eastAsia="黑体"/>
      <w:sz w:val="20"/>
      <w:szCs w:val="20"/>
    </w:rPr>
  </w:style>
  <w:style w:type="paragraph" w:styleId="10">
    <w:name w:val="Body Text 3"/>
    <w:basedOn w:val="1"/>
    <w:qFormat/>
    <w:uiPriority w:val="0"/>
    <w:pPr>
      <w:snapToGrid w:val="0"/>
      <w:spacing w:before="50" w:after="50"/>
    </w:pPr>
    <w:rPr>
      <w:rFonts w:hAnsi="宋体" w:eastAsia="仿宋_GB2312"/>
      <w:b/>
      <w:bCs/>
      <w:sz w:val="24"/>
    </w:rPr>
  </w:style>
  <w:style w:type="paragraph" w:styleId="11">
    <w:name w:val="Body Text"/>
    <w:basedOn w:val="1"/>
    <w:next w:val="12"/>
    <w:qFormat/>
    <w:uiPriority w:val="0"/>
    <w:pPr>
      <w:spacing w:before="100" w:beforeAutospacing="1" w:after="120"/>
    </w:pPr>
    <w:rPr>
      <w:sz w:val="28"/>
      <w:szCs w:val="28"/>
    </w:rPr>
  </w:style>
  <w:style w:type="paragraph" w:customStyle="1" w:styleId="12">
    <w:name w:val="样式 表格正文 + 两端对齐"/>
    <w:basedOn w:val="1"/>
    <w:next w:val="13"/>
    <w:qFormat/>
    <w:uiPriority w:val="99"/>
    <w:pPr>
      <w:spacing w:line="300" w:lineRule="auto"/>
    </w:pPr>
    <w:rPr>
      <w:sz w:val="24"/>
    </w:rPr>
  </w:style>
  <w:style w:type="paragraph" w:customStyle="1" w:styleId="13">
    <w:name w:val="正文1"/>
    <w:basedOn w:val="14"/>
    <w:autoRedefine/>
    <w:qFormat/>
    <w:uiPriority w:val="0"/>
    <w:pPr>
      <w:tabs>
        <w:tab w:val="right" w:leader="dot" w:pos="8268"/>
      </w:tabs>
    </w:pPr>
    <w:rPr>
      <w:rFonts w:hint="eastAsia" w:ascii="Times New Roman" w:hAnsi="Times New Roman"/>
      <w:szCs w:val="22"/>
    </w:rPr>
  </w:style>
  <w:style w:type="paragraph" w:styleId="1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15">
    <w:name w:val="List 2"/>
    <w:basedOn w:val="1"/>
    <w:qFormat/>
    <w:uiPriority w:val="0"/>
    <w:pPr>
      <w:ind w:left="100" w:leftChars="200" w:hanging="200" w:hangingChars="200"/>
    </w:pPr>
    <w:rPr>
      <w:sz w:val="28"/>
    </w:rPr>
  </w:style>
  <w:style w:type="paragraph" w:styleId="16">
    <w:name w:val="Block Text"/>
    <w:basedOn w:val="1"/>
    <w:qFormat/>
    <w:uiPriority w:val="0"/>
    <w:pPr>
      <w:snapToGrid w:val="0"/>
      <w:spacing w:line="300" w:lineRule="auto"/>
      <w:ind w:left="958" w:right="-120" w:rightChars="-120"/>
      <w:jc w:val="left"/>
      <w:textAlignment w:val="baseline"/>
    </w:pPr>
    <w:rPr>
      <w:rFonts w:hint="eastAsia" w:ascii="宋体" w:hAnsi="宋体"/>
      <w:sz w:val="28"/>
      <w:szCs w:val="20"/>
    </w:rPr>
  </w:style>
  <w:style w:type="paragraph" w:styleId="17">
    <w:name w:val="Plain Text"/>
    <w:basedOn w:val="1"/>
    <w:next w:val="18"/>
    <w:qFormat/>
    <w:uiPriority w:val="0"/>
    <w:pPr>
      <w:spacing w:beforeLines="50" w:afterLines="50" w:line="400" w:lineRule="exact"/>
    </w:pPr>
    <w:rPr>
      <w:rFonts w:ascii="宋体" w:hAnsi="Courier New" w:cs="宋体"/>
      <w:sz w:val="24"/>
    </w:rPr>
  </w:style>
  <w:style w:type="paragraph" w:styleId="18">
    <w:name w:val="Date"/>
    <w:basedOn w:val="1"/>
    <w:next w:val="1"/>
    <w:qFormat/>
    <w:uiPriority w:val="0"/>
    <w:pPr>
      <w:ind w:left="2500" w:leftChars="2500"/>
    </w:pPr>
    <w:rPr>
      <w:rFonts w:eastAsia="楷体_GB2312"/>
      <w:sz w:val="32"/>
      <w:szCs w:val="20"/>
    </w:rPr>
  </w:style>
  <w:style w:type="paragraph" w:styleId="19">
    <w:name w:val="Body Text Indent 2"/>
    <w:basedOn w:val="1"/>
    <w:qFormat/>
    <w:uiPriority w:val="0"/>
    <w:pPr>
      <w:spacing w:line="480" w:lineRule="auto"/>
      <w:ind w:left="420" w:leftChars="200"/>
    </w:pPr>
  </w:style>
  <w:style w:type="paragraph" w:styleId="20">
    <w:name w:val="Balloon Text"/>
    <w:basedOn w:val="1"/>
    <w:link w:val="71"/>
    <w:qFormat/>
    <w:uiPriority w:val="0"/>
    <w:rPr>
      <w:sz w:val="18"/>
      <w:szCs w:val="18"/>
    </w:rPr>
  </w:style>
  <w:style w:type="paragraph" w:styleId="21">
    <w:name w:val="footer"/>
    <w:basedOn w:val="1"/>
    <w:qFormat/>
    <w:uiPriority w:val="0"/>
    <w:pPr>
      <w:tabs>
        <w:tab w:val="center" w:pos="4153"/>
        <w:tab w:val="right" w:pos="8306"/>
      </w:tabs>
      <w:snapToGrid w:val="0"/>
      <w:jc w:val="left"/>
    </w:pPr>
    <w:rPr>
      <w:sz w:val="18"/>
    </w:rPr>
  </w:style>
  <w:style w:type="paragraph" w:styleId="2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3">
    <w:name w:val="toc 1"/>
    <w:basedOn w:val="1"/>
    <w:next w:val="1"/>
    <w:qFormat/>
    <w:uiPriority w:val="0"/>
  </w:style>
  <w:style w:type="paragraph" w:styleId="24">
    <w:name w:val="toc 4"/>
    <w:basedOn w:val="1"/>
    <w:next w:val="1"/>
    <w:qFormat/>
    <w:uiPriority w:val="0"/>
    <w:pPr>
      <w:wordWrap w:val="0"/>
      <w:ind w:left="850"/>
    </w:pPr>
    <w:rPr>
      <w:rFonts w:ascii="Calibri" w:hAnsi="Calibri"/>
    </w:rPr>
  </w:style>
  <w:style w:type="paragraph" w:styleId="25">
    <w:name w:val="toc 6"/>
    <w:basedOn w:val="1"/>
    <w:next w:val="1"/>
    <w:unhideWhenUsed/>
    <w:qFormat/>
    <w:uiPriority w:val="39"/>
    <w:pPr>
      <w:ind w:left="2100" w:leftChars="1000"/>
    </w:pPr>
    <w:rPr>
      <w:rFonts w:ascii="等线" w:hAnsi="等线" w:eastAsia="等线"/>
      <w:szCs w:val="22"/>
    </w:rPr>
  </w:style>
  <w:style w:type="paragraph" w:styleId="26">
    <w:name w:val="Normal (Web)"/>
    <w:basedOn w:val="1"/>
    <w:qFormat/>
    <w:uiPriority w:val="0"/>
    <w:pPr>
      <w:spacing w:before="100" w:beforeAutospacing="1" w:after="100" w:afterAutospacing="1"/>
      <w:jc w:val="left"/>
    </w:pPr>
    <w:rPr>
      <w:kern w:val="0"/>
      <w:sz w:val="24"/>
    </w:rPr>
  </w:style>
  <w:style w:type="paragraph" w:styleId="27">
    <w:name w:val="Body Text First Indent"/>
    <w:basedOn w:val="11"/>
    <w:next w:val="25"/>
    <w:qFormat/>
    <w:uiPriority w:val="0"/>
    <w:pPr>
      <w:widowControl/>
      <w:spacing w:before="120" w:beforeAutospacing="0"/>
      <w:ind w:firstLine="100" w:firstLineChars="100"/>
    </w:pPr>
    <w:rPr>
      <w:color w:val="000000"/>
    </w:rPr>
  </w:style>
  <w:style w:type="paragraph" w:styleId="28">
    <w:name w:val="Body Text First Indent 2"/>
    <w:basedOn w:val="8"/>
    <w:next w:val="1"/>
    <w:qFormat/>
    <w:uiPriority w:val="0"/>
    <w:pPr>
      <w:ind w:firstLine="420"/>
    </w:pPr>
    <w:rPr>
      <w:sz w:val="21"/>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page number"/>
    <w:basedOn w:val="31"/>
    <w:qFormat/>
    <w:uiPriority w:val="0"/>
    <w:rPr>
      <w:rFonts w:ascii="Arial" w:hAnsi="Arial" w:eastAsia="黑体" w:cs="Arial"/>
      <w:snapToGrid w:val="0"/>
      <w:kern w:val="0"/>
      <w:szCs w:val="21"/>
    </w:rPr>
  </w:style>
  <w:style w:type="character" w:styleId="33">
    <w:name w:val="Hyperlink"/>
    <w:qFormat/>
    <w:uiPriority w:val="99"/>
    <w:rPr>
      <w:rFonts w:ascii="Arial" w:hAnsi="Arial" w:eastAsia="黑体" w:cs="Arial"/>
      <w:snapToGrid w:val="0"/>
      <w:color w:val="000000"/>
      <w:kern w:val="0"/>
      <w:sz w:val="18"/>
      <w:szCs w:val="18"/>
      <w:u w:val="none"/>
    </w:rPr>
  </w:style>
  <w:style w:type="paragraph" w:customStyle="1" w:styleId="34">
    <w:name w:val="BodyText1I2"/>
    <w:basedOn w:val="35"/>
    <w:qFormat/>
    <w:uiPriority w:val="0"/>
    <w:pPr>
      <w:spacing w:after="120" w:line="240" w:lineRule="auto"/>
      <w:ind w:left="200" w:leftChars="200" w:firstLine="200" w:firstLineChars="200"/>
      <w:textAlignment w:val="baseline"/>
    </w:pPr>
    <w:rPr>
      <w:rFonts w:ascii="Calibri" w:hAnsi="Calibri"/>
      <w:sz w:val="21"/>
      <w:szCs w:val="22"/>
    </w:rPr>
  </w:style>
  <w:style w:type="paragraph" w:customStyle="1" w:styleId="35">
    <w:name w:val="BodyTextIndent"/>
    <w:basedOn w:val="1"/>
    <w:qFormat/>
    <w:uiPriority w:val="0"/>
    <w:pPr>
      <w:spacing w:line="200" w:lineRule="exact"/>
      <w:ind w:firstLine="301"/>
    </w:pPr>
    <w:rPr>
      <w:rFonts w:ascii="宋体" w:hAnsi="Courier New"/>
      <w:spacing w:val="-4"/>
      <w:sz w:val="18"/>
    </w:rPr>
  </w:style>
  <w:style w:type="paragraph" w:customStyle="1" w:styleId="3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7">
    <w:name w:val="正文2"/>
    <w:basedOn w:val="1"/>
    <w:qFormat/>
    <w:uiPriority w:val="0"/>
    <w:pPr>
      <w:spacing w:before="156" w:line="360" w:lineRule="auto"/>
      <w:ind w:firstLine="510" w:firstLineChars="200"/>
    </w:pPr>
    <w:rPr>
      <w:sz w:val="24"/>
      <w:szCs w:val="20"/>
    </w:rPr>
  </w:style>
  <w:style w:type="character" w:customStyle="1" w:styleId="38">
    <w:name w:val="NormalCharacter"/>
    <w:qFormat/>
    <w:uiPriority w:val="0"/>
  </w:style>
  <w:style w:type="paragraph" w:customStyle="1" w:styleId="3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41">
    <w:name w:val="font01"/>
    <w:basedOn w:val="31"/>
    <w:qFormat/>
    <w:uiPriority w:val="0"/>
    <w:rPr>
      <w:rFonts w:hint="eastAsia" w:ascii="仿宋" w:hAnsi="仿宋" w:eastAsia="仿宋" w:cs="仿宋"/>
      <w:color w:val="000000"/>
      <w:sz w:val="20"/>
      <w:szCs w:val="20"/>
      <w:u w:val="none"/>
    </w:rPr>
  </w:style>
  <w:style w:type="paragraph" w:customStyle="1" w:styleId="42">
    <w:name w:val="_正文"/>
    <w:basedOn w:val="1"/>
    <w:autoRedefine/>
    <w:qFormat/>
    <w:uiPriority w:val="0"/>
    <w:pPr>
      <w:tabs>
        <w:tab w:val="left" w:pos="540"/>
      </w:tabs>
      <w:spacing w:line="360" w:lineRule="auto"/>
      <w:ind w:firstLine="200" w:firstLineChars="200"/>
    </w:pPr>
    <w:rPr>
      <w:rFonts w:cs="Arial"/>
      <w:sz w:val="24"/>
    </w:rPr>
  </w:style>
  <w:style w:type="paragraph" w:customStyle="1" w:styleId="43">
    <w:name w:val="样式 列表编号 + 段后: 0.5 行"/>
    <w:basedOn w:val="6"/>
    <w:qFormat/>
    <w:uiPriority w:val="0"/>
    <w:pPr>
      <w:ind w:left="720"/>
    </w:pPr>
  </w:style>
  <w:style w:type="paragraph" w:customStyle="1" w:styleId="44">
    <w:name w:val="Table caption|1"/>
    <w:basedOn w:val="1"/>
    <w:qFormat/>
    <w:uiPriority w:val="0"/>
    <w:pPr>
      <w:spacing w:line="463" w:lineRule="auto"/>
      <w:ind w:firstLine="400"/>
    </w:pPr>
    <w:rPr>
      <w:sz w:val="20"/>
      <w:szCs w:val="20"/>
      <w:lang w:val="zh-TW" w:eastAsia="zh-TW" w:bidi="zh-TW"/>
    </w:rPr>
  </w:style>
  <w:style w:type="paragraph" w:customStyle="1" w:styleId="45">
    <w:name w:val="Table Paragraph"/>
    <w:basedOn w:val="1"/>
    <w:autoRedefine/>
    <w:qFormat/>
    <w:uiPriority w:val="1"/>
  </w:style>
  <w:style w:type="paragraph" w:customStyle="1" w:styleId="46">
    <w:name w:val="DG正文"/>
    <w:basedOn w:val="1"/>
    <w:autoRedefine/>
    <w:qFormat/>
    <w:uiPriority w:val="99"/>
    <w:pPr>
      <w:widowControl/>
      <w:spacing w:line="360" w:lineRule="auto"/>
      <w:ind w:right="142" w:firstLine="640"/>
      <w:jc w:val="left"/>
    </w:pPr>
    <w:rPr>
      <w:rFonts w:ascii="Calibri" w:hAnsi="Calibri" w:cs="Calibri"/>
    </w:rPr>
  </w:style>
  <w:style w:type="paragraph" w:customStyle="1" w:styleId="47">
    <w:name w:val="WPSOffice手动目录 1"/>
    <w:autoRedefine/>
    <w:qFormat/>
    <w:uiPriority w:val="0"/>
    <w:rPr>
      <w:rFonts w:asciiTheme="minorHAnsi" w:hAnsiTheme="minorHAnsi" w:eastAsiaTheme="minorEastAsia" w:cstheme="minorBidi"/>
      <w:lang w:val="en-US" w:eastAsia="zh-CN" w:bidi="ar-SA"/>
    </w:rPr>
  </w:style>
  <w:style w:type="character" w:customStyle="1" w:styleId="48">
    <w:name w:val="font11"/>
    <w:basedOn w:val="31"/>
    <w:autoRedefine/>
    <w:qFormat/>
    <w:uiPriority w:val="0"/>
    <w:rPr>
      <w:rFonts w:hint="eastAsia" w:ascii="宋体" w:hAnsi="宋体" w:eastAsia="宋体" w:cs="宋体"/>
      <w:color w:val="FF0000"/>
      <w:sz w:val="24"/>
      <w:szCs w:val="24"/>
      <w:u w:val="none"/>
    </w:rPr>
  </w:style>
  <w:style w:type="character" w:customStyle="1" w:styleId="49">
    <w:name w:val="font71"/>
    <w:basedOn w:val="31"/>
    <w:qFormat/>
    <w:uiPriority w:val="0"/>
    <w:rPr>
      <w:rFonts w:hint="eastAsia" w:ascii="宋体" w:hAnsi="宋体" w:eastAsia="宋体" w:cs="宋体"/>
      <w:color w:val="FF0000"/>
      <w:sz w:val="24"/>
      <w:szCs w:val="24"/>
      <w:u w:val="none"/>
    </w:rPr>
  </w:style>
  <w:style w:type="character" w:customStyle="1" w:styleId="50">
    <w:name w:val="font61"/>
    <w:basedOn w:val="31"/>
    <w:autoRedefine/>
    <w:qFormat/>
    <w:uiPriority w:val="0"/>
    <w:rPr>
      <w:rFonts w:hint="eastAsia" w:ascii="宋体" w:hAnsi="宋体" w:eastAsia="宋体" w:cs="宋体"/>
      <w:color w:val="000000"/>
      <w:sz w:val="24"/>
      <w:szCs w:val="24"/>
      <w:u w:val="none"/>
    </w:rPr>
  </w:style>
  <w:style w:type="character" w:customStyle="1" w:styleId="51">
    <w:name w:val="font21"/>
    <w:basedOn w:val="31"/>
    <w:qFormat/>
    <w:uiPriority w:val="0"/>
    <w:rPr>
      <w:rFonts w:hint="eastAsia" w:ascii="宋体" w:hAnsi="宋体" w:eastAsia="宋体" w:cs="宋体"/>
      <w:color w:val="FF0000"/>
      <w:sz w:val="24"/>
      <w:szCs w:val="24"/>
      <w:u w:val="none"/>
    </w:rPr>
  </w:style>
  <w:style w:type="character" w:customStyle="1" w:styleId="52">
    <w:name w:val="font41"/>
    <w:basedOn w:val="31"/>
    <w:autoRedefine/>
    <w:qFormat/>
    <w:uiPriority w:val="0"/>
    <w:rPr>
      <w:rFonts w:hint="eastAsia" w:ascii="宋体" w:hAnsi="宋体" w:eastAsia="宋体" w:cs="宋体"/>
      <w:color w:val="000000"/>
      <w:sz w:val="24"/>
      <w:szCs w:val="24"/>
      <w:u w:val="none"/>
    </w:rPr>
  </w:style>
  <w:style w:type="character" w:customStyle="1" w:styleId="53">
    <w:name w:val="font51"/>
    <w:basedOn w:val="31"/>
    <w:autoRedefine/>
    <w:qFormat/>
    <w:uiPriority w:val="0"/>
    <w:rPr>
      <w:rFonts w:hint="eastAsia" w:ascii="宋体" w:hAnsi="宋体" w:eastAsia="宋体" w:cs="宋体"/>
      <w:color w:val="FF0000"/>
      <w:sz w:val="24"/>
      <w:szCs w:val="24"/>
      <w:u w:val="none"/>
    </w:rPr>
  </w:style>
  <w:style w:type="paragraph" w:customStyle="1" w:styleId="54">
    <w:name w:val="样式 宋体"/>
    <w:basedOn w:val="1"/>
    <w:next w:val="1"/>
    <w:qFormat/>
    <w:uiPriority w:val="0"/>
    <w:pPr>
      <w:widowControl/>
    </w:pPr>
    <w:rPr>
      <w:rFonts w:ascii="宋体"/>
      <w:color w:val="000000"/>
      <w:sz w:val="24"/>
      <w:szCs w:val="20"/>
    </w:rPr>
  </w:style>
  <w:style w:type="paragraph" w:customStyle="1" w:styleId="55">
    <w:name w:val="Default"/>
    <w:next w:val="5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56">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57">
    <w:name w:val="纯文本1"/>
    <w:basedOn w:val="13"/>
    <w:autoRedefine/>
    <w:qFormat/>
    <w:uiPriority w:val="0"/>
    <w:pPr>
      <w:numPr>
        <w:ilvl w:val="0"/>
        <w:numId w:val="4"/>
      </w:numPr>
      <w:autoSpaceDE w:val="0"/>
      <w:autoSpaceDN w:val="0"/>
      <w:ind w:left="0" w:firstLine="0"/>
      <w:textAlignment w:val="baseline"/>
    </w:pPr>
    <w:rPr>
      <w:rFonts w:ascii="宋体" w:hAnsi="Tms Rmn"/>
      <w:kern w:val="0"/>
    </w:rPr>
  </w:style>
  <w:style w:type="paragraph" w:customStyle="1" w:styleId="58">
    <w:name w:val="UserStyle_187"/>
    <w:autoRedefine/>
    <w:qFormat/>
    <w:uiPriority w:val="0"/>
    <w:pPr>
      <w:spacing w:line="360" w:lineRule="auto"/>
      <w:jc w:val="both"/>
      <w:textAlignment w:val="baseline"/>
    </w:pPr>
    <w:rPr>
      <w:rFonts w:ascii="Calibri" w:hAnsi="Calibri" w:eastAsia="宋体" w:cs="Times New Roman"/>
      <w:kern w:val="2"/>
      <w:sz w:val="24"/>
      <w:szCs w:val="21"/>
      <w:lang w:val="en-US" w:eastAsia="zh-CN" w:bidi="ar-SA"/>
    </w:rPr>
  </w:style>
  <w:style w:type="paragraph" w:customStyle="1" w:styleId="59">
    <w:name w:val="NormalIndent"/>
    <w:basedOn w:val="1"/>
    <w:next w:val="35"/>
    <w:autoRedefine/>
    <w:qFormat/>
    <w:uiPriority w:val="0"/>
    <w:pPr>
      <w:ind w:firstLine="420"/>
    </w:pPr>
  </w:style>
  <w:style w:type="character" w:customStyle="1" w:styleId="60">
    <w:name w:val="textfont1"/>
    <w:basedOn w:val="31"/>
    <w:autoRedefine/>
    <w:qFormat/>
    <w:uiPriority w:val="0"/>
    <w:rPr>
      <w:rFonts w:ascii="Times New Roman" w:hAnsi="Times New Roman" w:eastAsia="宋体" w:cs="Times New Roman"/>
      <w:sz w:val="22"/>
      <w:szCs w:val="22"/>
    </w:rPr>
  </w:style>
  <w:style w:type="paragraph" w:customStyle="1" w:styleId="61">
    <w:name w:val="p0"/>
    <w:basedOn w:val="1"/>
    <w:autoRedefine/>
    <w:qFormat/>
    <w:uiPriority w:val="0"/>
    <w:pPr>
      <w:widowControl/>
    </w:pPr>
    <w:rPr>
      <w:kern w:val="0"/>
      <w:szCs w:val="21"/>
    </w:rPr>
  </w:style>
  <w:style w:type="paragraph" w:customStyle="1" w:styleId="62">
    <w:name w:val="正文段"/>
    <w:basedOn w:val="1"/>
    <w:autoRedefine/>
    <w:qFormat/>
    <w:uiPriority w:val="0"/>
    <w:pPr>
      <w:widowControl/>
      <w:snapToGrid w:val="0"/>
      <w:spacing w:after="50" w:afterLines="50"/>
      <w:ind w:firstLine="200" w:firstLineChars="200"/>
    </w:pPr>
    <w:rPr>
      <w:kern w:val="0"/>
      <w:sz w:val="24"/>
      <w:szCs w:val="20"/>
    </w:rPr>
  </w:style>
  <w:style w:type="paragraph" w:customStyle="1" w:styleId="63">
    <w:name w:val="样式4"/>
    <w:basedOn w:val="8"/>
    <w:autoRedefine/>
    <w:qFormat/>
    <w:uiPriority w:val="0"/>
    <w:pPr>
      <w:snapToGrid w:val="0"/>
      <w:ind w:firstLine="539"/>
    </w:pPr>
    <w:rPr>
      <w:rFonts w:ascii="Times New Roman" w:hAnsi="Times New Roman" w:cs="Times New Roman"/>
    </w:rPr>
  </w:style>
  <w:style w:type="paragraph" w:customStyle="1" w:styleId="64">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_Style 3"/>
    <w:basedOn w:val="1"/>
    <w:autoRedefine/>
    <w:qFormat/>
    <w:uiPriority w:val="0"/>
    <w:pPr>
      <w:ind w:firstLine="420" w:firstLineChars="200"/>
    </w:pPr>
    <w:rPr>
      <w:rFonts w:eastAsia="仿宋_GB2312"/>
      <w:sz w:val="28"/>
    </w:rPr>
  </w:style>
  <w:style w:type="paragraph" w:customStyle="1" w:styleId="66">
    <w:name w:val="列出段落1"/>
    <w:basedOn w:val="1"/>
    <w:autoRedefine/>
    <w:qFormat/>
    <w:uiPriority w:val="0"/>
    <w:pPr>
      <w:ind w:firstLine="420" w:firstLineChars="200"/>
    </w:pPr>
  </w:style>
  <w:style w:type="paragraph" w:customStyle="1" w:styleId="67">
    <w:name w:val="纯文本_0_0"/>
    <w:basedOn w:val="1"/>
    <w:autoRedefine/>
    <w:qFormat/>
    <w:uiPriority w:val="0"/>
    <w:pPr>
      <w:adjustRightInd/>
    </w:pPr>
    <w:rPr>
      <w:rFonts w:ascii="宋体" w:hAnsi="Courier New"/>
      <w:szCs w:val="21"/>
    </w:rPr>
  </w:style>
  <w:style w:type="paragraph" w:customStyle="1" w:styleId="68">
    <w:name w:val="纯文本11"/>
    <w:basedOn w:val="1"/>
    <w:qFormat/>
    <w:uiPriority w:val="0"/>
    <w:rPr>
      <w:rFonts w:ascii="宋体" w:hAnsi="Courier New"/>
      <w:kern w:val="0"/>
      <w:sz w:val="20"/>
      <w:szCs w:val="20"/>
    </w:rPr>
  </w:style>
  <w:style w:type="paragraph" w:customStyle="1" w:styleId="69">
    <w:name w:val="正文11"/>
    <w:basedOn w:val="1"/>
    <w:qFormat/>
    <w:uiPriority w:val="0"/>
    <w:pPr>
      <w:spacing w:line="360" w:lineRule="atLeast"/>
      <w:jc w:val="left"/>
    </w:pPr>
    <w:rPr>
      <w:rFonts w:eastAsia="Tahoma"/>
      <w:kern w:val="0"/>
      <w:sz w:val="24"/>
      <w:szCs w:val="20"/>
    </w:rPr>
  </w:style>
  <w:style w:type="character" w:customStyle="1" w:styleId="70">
    <w:name w:val="font31"/>
    <w:basedOn w:val="31"/>
    <w:qFormat/>
    <w:uiPriority w:val="0"/>
    <w:rPr>
      <w:rFonts w:ascii="Arial" w:hAnsi="Arial" w:cs="Arial"/>
      <w:color w:val="000000"/>
      <w:sz w:val="32"/>
      <w:szCs w:val="32"/>
      <w:u w:val="none"/>
    </w:rPr>
  </w:style>
  <w:style w:type="character" w:customStyle="1" w:styleId="71">
    <w:name w:val="批注框文本 Char"/>
    <w:basedOn w:val="31"/>
    <w:link w:val="20"/>
    <w:qFormat/>
    <w:uiPriority w:val="0"/>
    <w:rPr>
      <w:kern w:val="2"/>
      <w:sz w:val="18"/>
      <w:szCs w:val="18"/>
    </w:rPr>
  </w:style>
  <w:style w:type="paragraph" w:styleId="7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37920</Words>
  <Characters>43030</Characters>
  <Lines>507</Lines>
  <Paragraphs>142</Paragraphs>
  <TotalTime>30</TotalTime>
  <ScaleCrop>false</ScaleCrop>
  <LinksUpToDate>false</LinksUpToDate>
  <CharactersWithSpaces>53294</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2023-06-28T01:50:00Z</dcterms:created>
  <dc:creator>心雨</dc:creator>
  <cp:lastModifiedBy>龙哥消防装饰</cp:lastModifiedBy>
  <cp:lastPrinted>2024-12-02T03:10:00Z</cp:lastPrinted>
  <dcterms:modified xsi:type="dcterms:W3CDTF">2024-12-04T10:48:16Z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B5F5E1AA25534E439711BEF70E3E3311_13</vt:lpwstr>
  </property>
</Properties>
</file>