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3898828">
      <w:pPr>
        <w:spacing w:before="156" w:beforeLines="50" w:line="312" w:lineRule="auto"/>
        <w:jc w:val="center"/>
        <w:rPr>
          <w:rFonts w:ascii="宋体" w:hAnsi="宋体" w:cs="宋体"/>
          <w:b/>
          <w:color w:val="000000"/>
          <w:sz w:val="44"/>
          <w:szCs w:val="44"/>
          <w:highlight w:val="none"/>
        </w:rPr>
      </w:pPr>
    </w:p>
    <w:p w14:paraId="5BAE787C">
      <w:pPr>
        <w:spacing w:before="156" w:beforeLines="50" w:line="312" w:lineRule="auto"/>
        <w:jc w:val="center"/>
        <w:rPr>
          <w:rFonts w:hint="eastAsia" w:ascii="宋体" w:hAnsi="宋体" w:cs="宋体"/>
          <w:b/>
          <w:bCs/>
          <w:color w:val="000000"/>
          <w:sz w:val="44"/>
          <w:szCs w:val="44"/>
          <w:highlight w:val="none"/>
          <w:lang w:eastAsia="zh-CN"/>
        </w:rPr>
      </w:pPr>
      <w:r>
        <w:rPr>
          <w:rFonts w:hint="eastAsia" w:ascii="宋体" w:hAnsi="宋体" w:cs="宋体"/>
          <w:b/>
          <w:bCs/>
          <w:color w:val="000000"/>
          <w:sz w:val="44"/>
          <w:szCs w:val="44"/>
          <w:highlight w:val="none"/>
          <w:lang w:eastAsia="zh-CN"/>
        </w:rPr>
        <w:t>新昌高新技术产业园区化工园区突发水污染</w:t>
      </w:r>
    </w:p>
    <w:p w14:paraId="2D6AAC4D">
      <w:pPr>
        <w:spacing w:before="156" w:beforeLines="50" w:line="312" w:lineRule="auto"/>
        <w:jc w:val="center"/>
        <w:rPr>
          <w:rFonts w:hint="eastAsia" w:ascii="宋体" w:hAnsi="宋体" w:cs="宋体"/>
          <w:b/>
          <w:bCs/>
          <w:color w:val="000000"/>
          <w:sz w:val="44"/>
          <w:szCs w:val="44"/>
          <w:highlight w:val="none"/>
          <w:lang w:eastAsia="zh-CN"/>
        </w:rPr>
      </w:pPr>
      <w:r>
        <w:rPr>
          <w:rFonts w:hint="eastAsia" w:ascii="宋体" w:hAnsi="宋体" w:cs="宋体"/>
          <w:b/>
          <w:bCs/>
          <w:color w:val="000000"/>
          <w:sz w:val="44"/>
          <w:szCs w:val="44"/>
          <w:highlight w:val="none"/>
          <w:lang w:eastAsia="zh-CN"/>
        </w:rPr>
        <w:t xml:space="preserve">事件多级防控体系建设项目 </w:t>
      </w:r>
    </w:p>
    <w:p w14:paraId="267D2FF4">
      <w:pPr>
        <w:spacing w:before="156" w:beforeLines="50" w:line="312" w:lineRule="auto"/>
        <w:jc w:val="center"/>
        <w:rPr>
          <w:rFonts w:hint="eastAsia" w:ascii="宋体" w:hAnsi="宋体" w:cs="宋体"/>
          <w:b/>
          <w:bCs/>
          <w:color w:val="000000"/>
          <w:sz w:val="36"/>
          <w:szCs w:val="36"/>
          <w:highlight w:val="none"/>
        </w:rPr>
      </w:pPr>
    </w:p>
    <w:p w14:paraId="04744716">
      <w:pPr>
        <w:spacing w:before="156" w:beforeLines="50" w:line="312" w:lineRule="auto"/>
        <w:jc w:val="center"/>
        <w:rPr>
          <w:rFonts w:ascii="宋体" w:hAnsi="宋体" w:cs="宋体"/>
          <w:color w:val="000000"/>
          <w:sz w:val="36"/>
          <w:szCs w:val="36"/>
          <w:highlight w:val="none"/>
        </w:rPr>
      </w:pPr>
      <w:r>
        <w:rPr>
          <w:rFonts w:hint="eastAsia" w:ascii="宋体" w:hAnsi="宋体" w:cs="宋体"/>
          <w:b/>
          <w:bCs/>
          <w:color w:val="000000"/>
          <w:sz w:val="36"/>
          <w:szCs w:val="36"/>
          <w:highlight w:val="none"/>
          <w:lang w:val="en-US" w:eastAsia="zh-CN"/>
        </w:rPr>
        <w:t xml:space="preserve"> </w:t>
      </w:r>
      <w:r>
        <w:rPr>
          <w:rFonts w:hint="eastAsia" w:ascii="宋体" w:hAnsi="宋体" w:cs="宋体"/>
          <w:b/>
          <w:bCs/>
          <w:color w:val="000000"/>
          <w:sz w:val="36"/>
          <w:szCs w:val="36"/>
          <w:highlight w:val="none"/>
        </w:rPr>
        <w:t>公开招标文件</w:t>
      </w:r>
    </w:p>
    <w:p w14:paraId="076BFFC5">
      <w:pPr>
        <w:widowControl/>
        <w:spacing w:line="360" w:lineRule="auto"/>
        <w:ind w:right="-2"/>
        <w:jc w:val="center"/>
        <w:rPr>
          <w:rFonts w:ascii="宋体" w:hAnsi="宋体" w:cs="宋体"/>
          <w:b/>
          <w:color w:val="000000"/>
          <w:sz w:val="44"/>
          <w:szCs w:val="44"/>
          <w:highlight w:val="none"/>
        </w:rPr>
      </w:pPr>
      <w:r>
        <w:rPr>
          <w:rFonts w:hint="eastAsia" w:ascii="宋体" w:hAnsi="宋体" w:cs="宋体"/>
          <w:b/>
          <w:color w:val="000000"/>
          <w:sz w:val="36"/>
          <w:szCs w:val="20"/>
          <w:highlight w:val="none"/>
        </w:rPr>
        <w:t>（线上电子招投标）</w:t>
      </w:r>
    </w:p>
    <w:p w14:paraId="59F4C4F2">
      <w:pPr>
        <w:spacing w:before="156" w:beforeLines="50" w:line="312" w:lineRule="auto"/>
        <w:jc w:val="center"/>
        <w:rPr>
          <w:rFonts w:ascii="宋体" w:hAnsi="宋体" w:cs="宋体"/>
          <w:color w:val="000000"/>
          <w:sz w:val="32"/>
          <w:szCs w:val="32"/>
          <w:highlight w:val="none"/>
        </w:rPr>
      </w:pPr>
    </w:p>
    <w:p w14:paraId="224138EB">
      <w:pPr>
        <w:spacing w:before="156" w:beforeLines="50" w:line="312" w:lineRule="auto"/>
        <w:jc w:val="center"/>
        <w:rPr>
          <w:rFonts w:hint="eastAsia" w:ascii="宋体" w:hAnsi="宋体" w:cs="宋体"/>
          <w:color w:val="auto"/>
          <w:sz w:val="32"/>
          <w:szCs w:val="32"/>
          <w:highlight w:val="none"/>
        </w:rPr>
      </w:pPr>
      <w:r>
        <w:rPr>
          <w:rFonts w:hint="eastAsia" w:ascii="宋体" w:hAnsi="宋体" w:cs="宋体"/>
          <w:color w:val="auto"/>
          <w:sz w:val="32"/>
          <w:szCs w:val="32"/>
          <w:highlight w:val="none"/>
        </w:rPr>
        <w:t>项目编号：XCtq2025018</w:t>
      </w:r>
    </w:p>
    <w:p w14:paraId="3B84F60A">
      <w:pPr>
        <w:spacing w:before="156" w:beforeLines="50" w:line="312" w:lineRule="auto"/>
        <w:jc w:val="center"/>
        <w:rPr>
          <w:rFonts w:hint="eastAsia" w:ascii="宋体" w:hAnsi="宋体" w:eastAsia="宋体" w:cs="宋体"/>
          <w:b/>
          <w:bCs/>
          <w:color w:val="auto"/>
          <w:sz w:val="32"/>
          <w:szCs w:val="32"/>
          <w:highlight w:val="none"/>
          <w:lang w:eastAsia="zh-CN"/>
        </w:rPr>
      </w:pPr>
    </w:p>
    <w:p w14:paraId="57BB74F4">
      <w:pPr>
        <w:spacing w:before="156" w:beforeLines="50" w:line="312" w:lineRule="auto"/>
        <w:jc w:val="center"/>
        <w:rPr>
          <w:rFonts w:ascii="宋体" w:hAnsi="宋体" w:cs="宋体"/>
          <w:b/>
          <w:bCs/>
          <w:color w:val="auto"/>
          <w:sz w:val="44"/>
          <w:szCs w:val="20"/>
          <w:highlight w:val="none"/>
        </w:rPr>
      </w:pPr>
    </w:p>
    <w:p w14:paraId="6D95B211">
      <w:pPr>
        <w:pStyle w:val="3"/>
        <w:rPr>
          <w:color w:val="auto"/>
          <w:highlight w:val="none"/>
        </w:rPr>
      </w:pPr>
    </w:p>
    <w:p w14:paraId="36207AEA">
      <w:pPr>
        <w:spacing w:before="156" w:beforeLines="50" w:line="312" w:lineRule="auto"/>
        <w:ind w:left="2702" w:leftChars="534" w:hanging="1581" w:hangingChars="492"/>
        <w:rPr>
          <w:rFonts w:ascii="宋体" w:hAnsi="宋体" w:cs="宋体"/>
          <w:b/>
          <w:bCs/>
          <w:color w:val="auto"/>
          <w:sz w:val="32"/>
          <w:szCs w:val="32"/>
          <w:highlight w:val="none"/>
        </w:rPr>
      </w:pPr>
    </w:p>
    <w:p w14:paraId="0576E2D6">
      <w:pPr>
        <w:spacing w:before="156" w:beforeLines="50" w:line="312" w:lineRule="auto"/>
        <w:ind w:left="2702" w:leftChars="534" w:hanging="1581" w:hangingChars="492"/>
        <w:rPr>
          <w:rFonts w:ascii="宋体" w:hAnsi="宋体" w:cs="宋体"/>
          <w:b/>
          <w:bCs/>
          <w:color w:val="auto"/>
          <w:sz w:val="32"/>
          <w:szCs w:val="32"/>
          <w:highlight w:val="none"/>
        </w:rPr>
      </w:pPr>
    </w:p>
    <w:p w14:paraId="15547F9C">
      <w:pPr>
        <w:pStyle w:val="3"/>
        <w:rPr>
          <w:color w:val="auto"/>
          <w:highlight w:val="none"/>
        </w:rPr>
      </w:pPr>
    </w:p>
    <w:p w14:paraId="4ECA1A2C">
      <w:pPr>
        <w:spacing w:before="156" w:beforeLines="50" w:line="312" w:lineRule="auto"/>
        <w:ind w:left="2702" w:leftChars="534" w:hanging="1581" w:hangingChars="492"/>
        <w:rPr>
          <w:rFonts w:ascii="宋体" w:hAnsi="宋体" w:cs="宋体"/>
          <w:b/>
          <w:bCs/>
          <w:color w:val="auto"/>
          <w:sz w:val="32"/>
          <w:szCs w:val="32"/>
          <w:highlight w:val="none"/>
        </w:rPr>
      </w:pPr>
    </w:p>
    <w:p w14:paraId="55A66EBC">
      <w:pPr>
        <w:spacing w:before="156" w:beforeLines="50" w:line="312" w:lineRule="auto"/>
        <w:ind w:left="2702" w:leftChars="534" w:hanging="1581" w:hangingChars="492"/>
        <w:rPr>
          <w:rFonts w:hint="eastAsia" w:ascii="宋体" w:hAnsi="宋体" w:eastAsia="宋体" w:cs="宋体"/>
          <w:b/>
          <w:bCs/>
          <w:color w:val="auto"/>
          <w:sz w:val="32"/>
          <w:szCs w:val="32"/>
          <w:highlight w:val="none"/>
          <w:lang w:eastAsia="zh-CN"/>
        </w:rPr>
      </w:pPr>
      <w:r>
        <w:rPr>
          <w:rFonts w:hint="eastAsia" w:ascii="宋体" w:hAnsi="宋体" w:cs="宋体"/>
          <w:b/>
          <w:bCs/>
          <w:color w:val="auto"/>
          <w:sz w:val="32"/>
          <w:szCs w:val="32"/>
          <w:highlight w:val="none"/>
        </w:rPr>
        <w:t>采购单位：</w:t>
      </w:r>
      <w:r>
        <w:rPr>
          <w:rFonts w:hint="eastAsia" w:ascii="宋体" w:hAnsi="宋体" w:cs="宋体"/>
          <w:color w:val="auto"/>
          <w:sz w:val="32"/>
          <w:szCs w:val="32"/>
          <w:highlight w:val="none"/>
          <w:u w:val="single"/>
          <w:lang w:eastAsia="zh-CN"/>
        </w:rPr>
        <w:t>新昌县工业园区投资发展集团有限公司</w:t>
      </w:r>
    </w:p>
    <w:p w14:paraId="1517A560">
      <w:pPr>
        <w:spacing w:before="156" w:beforeLines="50" w:line="312" w:lineRule="auto"/>
        <w:ind w:left="2702" w:leftChars="534" w:hanging="1581" w:hangingChars="492"/>
        <w:rPr>
          <w:rFonts w:hint="eastAsia" w:ascii="宋体" w:hAnsi="宋体" w:eastAsia="宋体" w:cs="宋体"/>
          <w:b/>
          <w:bCs/>
          <w:color w:val="auto"/>
          <w:sz w:val="32"/>
          <w:szCs w:val="32"/>
          <w:highlight w:val="none"/>
          <w:lang w:eastAsia="zh-CN"/>
        </w:rPr>
      </w:pPr>
      <w:r>
        <w:rPr>
          <w:rFonts w:hint="eastAsia" w:ascii="宋体" w:hAnsi="宋体" w:cs="宋体"/>
          <w:b/>
          <w:bCs/>
          <w:color w:val="auto"/>
          <w:sz w:val="32"/>
          <w:szCs w:val="32"/>
          <w:highlight w:val="none"/>
        </w:rPr>
        <w:t>代理机构：</w:t>
      </w:r>
      <w:r>
        <w:rPr>
          <w:rFonts w:hint="eastAsia" w:ascii="宋体" w:hAnsi="宋体" w:cs="宋体"/>
          <w:color w:val="auto"/>
          <w:sz w:val="32"/>
          <w:szCs w:val="32"/>
          <w:highlight w:val="none"/>
          <w:u w:val="single"/>
          <w:lang w:eastAsia="zh-CN"/>
        </w:rPr>
        <w:t>新昌县同启项目管理有限公司</w:t>
      </w:r>
    </w:p>
    <w:p w14:paraId="20AD91C9">
      <w:pPr>
        <w:spacing w:before="156" w:beforeLines="50" w:line="312" w:lineRule="auto"/>
        <w:ind w:left="2702" w:leftChars="534" w:hanging="1581" w:hangingChars="492"/>
        <w:rPr>
          <w:rFonts w:ascii="宋体" w:hAnsi="宋体" w:cs="宋体"/>
          <w:color w:val="auto"/>
          <w:sz w:val="32"/>
          <w:szCs w:val="32"/>
          <w:highlight w:val="none"/>
          <w:u w:val="single"/>
        </w:rPr>
      </w:pPr>
      <w:r>
        <w:rPr>
          <w:rFonts w:hint="eastAsia" w:ascii="宋体" w:hAnsi="宋体" w:cs="宋体"/>
          <w:b/>
          <w:bCs/>
          <w:color w:val="auto"/>
          <w:sz w:val="32"/>
          <w:szCs w:val="32"/>
          <w:highlight w:val="none"/>
        </w:rPr>
        <w:t>日    期：</w:t>
      </w:r>
      <w:r>
        <w:rPr>
          <w:rFonts w:hint="eastAsia" w:ascii="宋体" w:hAnsi="宋体" w:cs="宋体"/>
          <w:color w:val="auto"/>
          <w:sz w:val="32"/>
          <w:szCs w:val="32"/>
          <w:highlight w:val="none"/>
          <w:u w:val="single"/>
        </w:rPr>
        <w:t xml:space="preserve">  202</w:t>
      </w:r>
      <w:r>
        <w:rPr>
          <w:rFonts w:hint="eastAsia" w:ascii="宋体" w:hAnsi="宋体" w:cs="宋体"/>
          <w:color w:val="auto"/>
          <w:sz w:val="32"/>
          <w:szCs w:val="32"/>
          <w:highlight w:val="none"/>
          <w:u w:val="single"/>
          <w:lang w:val="en-US" w:eastAsia="zh-CN"/>
        </w:rPr>
        <w:t>5</w:t>
      </w:r>
      <w:r>
        <w:rPr>
          <w:rFonts w:hint="eastAsia" w:ascii="宋体" w:hAnsi="宋体" w:cs="宋体"/>
          <w:color w:val="auto"/>
          <w:sz w:val="32"/>
          <w:szCs w:val="32"/>
          <w:highlight w:val="none"/>
          <w:u w:val="single"/>
        </w:rPr>
        <w:t xml:space="preserve">  </w:t>
      </w:r>
      <w:r>
        <w:rPr>
          <w:rFonts w:hint="eastAsia" w:ascii="宋体" w:hAnsi="宋体" w:cs="宋体"/>
          <w:color w:val="auto"/>
          <w:sz w:val="32"/>
          <w:szCs w:val="32"/>
          <w:highlight w:val="none"/>
        </w:rPr>
        <w:t>年</w:t>
      </w:r>
      <w:r>
        <w:rPr>
          <w:rFonts w:hint="eastAsia" w:ascii="宋体" w:hAnsi="宋体" w:cs="宋体"/>
          <w:color w:val="auto"/>
          <w:sz w:val="32"/>
          <w:szCs w:val="32"/>
          <w:highlight w:val="none"/>
          <w:u w:val="single"/>
        </w:rPr>
        <w:t xml:space="preserve">  </w:t>
      </w:r>
      <w:r>
        <w:rPr>
          <w:rFonts w:hint="eastAsia" w:ascii="宋体" w:hAnsi="宋体" w:cs="宋体"/>
          <w:color w:val="auto"/>
          <w:sz w:val="32"/>
          <w:szCs w:val="32"/>
          <w:highlight w:val="none"/>
          <w:u w:val="single"/>
          <w:lang w:val="en-US" w:eastAsia="zh-CN"/>
        </w:rPr>
        <w:t>4</w:t>
      </w:r>
      <w:bookmarkStart w:id="105" w:name="_GoBack"/>
      <w:bookmarkEnd w:id="105"/>
      <w:r>
        <w:rPr>
          <w:rFonts w:hint="eastAsia" w:ascii="宋体" w:hAnsi="宋体" w:cs="宋体"/>
          <w:color w:val="auto"/>
          <w:sz w:val="32"/>
          <w:szCs w:val="32"/>
          <w:highlight w:val="none"/>
          <w:u w:val="single"/>
          <w:lang w:val="en-US" w:eastAsia="zh-CN"/>
        </w:rPr>
        <w:t xml:space="preserve"> </w:t>
      </w:r>
      <w:r>
        <w:rPr>
          <w:rFonts w:hint="eastAsia" w:ascii="宋体" w:hAnsi="宋体" w:cs="宋体"/>
          <w:color w:val="auto"/>
          <w:sz w:val="32"/>
          <w:szCs w:val="32"/>
          <w:highlight w:val="none"/>
          <w:u w:val="single"/>
        </w:rPr>
        <w:t xml:space="preserve"> </w:t>
      </w:r>
      <w:r>
        <w:rPr>
          <w:rFonts w:hint="eastAsia" w:ascii="宋体" w:hAnsi="宋体" w:cs="宋体"/>
          <w:color w:val="auto"/>
          <w:sz w:val="32"/>
          <w:szCs w:val="32"/>
          <w:highlight w:val="none"/>
        </w:rPr>
        <w:t>月</w:t>
      </w:r>
    </w:p>
    <w:p w14:paraId="60B3BA8A">
      <w:pPr>
        <w:pStyle w:val="22"/>
        <w:rPr>
          <w:rFonts w:ascii="宋体" w:hAnsi="宋体" w:cs="宋体"/>
          <w:color w:val="0000FF"/>
          <w:highlight w:val="none"/>
        </w:rPr>
        <w:sectPr>
          <w:headerReference r:id="rId3" w:type="default"/>
          <w:footerReference r:id="rId4" w:type="default"/>
          <w:pgSz w:w="11906" w:h="16838"/>
          <w:pgMar w:top="1440" w:right="1440" w:bottom="1440" w:left="1440" w:header="851" w:footer="992" w:gutter="0"/>
          <w:pgNumType w:start="1"/>
          <w:cols w:space="425" w:num="1"/>
          <w:titlePg/>
          <w:docGrid w:type="lines" w:linePitch="312" w:charSpace="0"/>
        </w:sectPr>
      </w:pPr>
    </w:p>
    <w:p w14:paraId="3101C250">
      <w:pPr>
        <w:pStyle w:val="34"/>
        <w:rPr>
          <w:rFonts w:ascii="宋体" w:hAnsi="宋体" w:eastAsia="宋体" w:cs="宋体"/>
          <w:highlight w:val="none"/>
        </w:rPr>
      </w:pPr>
    </w:p>
    <w:p w14:paraId="02347346">
      <w:pPr>
        <w:jc w:val="center"/>
        <w:rPr>
          <w:rFonts w:ascii="宋体" w:hAnsi="宋体" w:cs="宋体"/>
          <w:b/>
          <w:bCs/>
          <w:sz w:val="44"/>
          <w:szCs w:val="44"/>
          <w:highlight w:val="none"/>
        </w:rPr>
      </w:pPr>
      <w:r>
        <w:rPr>
          <w:rFonts w:hint="eastAsia" w:ascii="宋体" w:hAnsi="宋体" w:cs="宋体"/>
          <w:b/>
          <w:bCs/>
          <w:sz w:val="44"/>
          <w:szCs w:val="44"/>
          <w:highlight w:val="none"/>
        </w:rPr>
        <w:t>目  录</w:t>
      </w:r>
    </w:p>
    <w:p w14:paraId="28E6B8D9">
      <w:pPr>
        <w:pStyle w:val="19"/>
        <w:rPr>
          <w:rFonts w:ascii="宋体" w:hAnsi="宋体" w:eastAsia="宋体" w:cs="宋体"/>
          <w:b/>
          <w:bCs/>
          <w:sz w:val="44"/>
          <w:szCs w:val="44"/>
          <w:highlight w:val="none"/>
        </w:rPr>
      </w:pPr>
    </w:p>
    <w:p w14:paraId="5FBA468B">
      <w:pPr>
        <w:pStyle w:val="20"/>
        <w:rPr>
          <w:rFonts w:ascii="宋体" w:hAnsi="宋体" w:eastAsia="宋体" w:cs="宋体"/>
          <w:highlight w:val="none"/>
        </w:rPr>
      </w:pPr>
    </w:p>
    <w:p w14:paraId="77961685">
      <w:pPr>
        <w:pStyle w:val="42"/>
        <w:spacing w:line="480" w:lineRule="auto"/>
        <w:ind w:left="0" w:leftChars="0"/>
        <w:jc w:val="both"/>
        <w:rPr>
          <w:rFonts w:eastAsia="宋体"/>
          <w:b w:val="0"/>
          <w:bCs w:val="0"/>
          <w:sz w:val="21"/>
          <w:szCs w:val="21"/>
          <w:highlight w:val="none"/>
        </w:rPr>
      </w:pPr>
      <w:r>
        <w:rPr>
          <w:rStyle w:val="59"/>
          <w:rFonts w:hint="eastAsia" w:eastAsia="宋体"/>
          <w:b w:val="0"/>
          <w:bCs w:val="0"/>
          <w:color w:val="auto"/>
          <w:sz w:val="21"/>
          <w:szCs w:val="21"/>
          <w:highlight w:val="none"/>
        </w:rPr>
        <w:fldChar w:fldCharType="begin"/>
      </w:r>
      <w:r>
        <w:rPr>
          <w:rStyle w:val="59"/>
          <w:rFonts w:hint="eastAsia" w:eastAsia="宋体"/>
          <w:b w:val="0"/>
          <w:bCs w:val="0"/>
          <w:color w:val="auto"/>
          <w:sz w:val="21"/>
          <w:szCs w:val="21"/>
          <w:highlight w:val="none"/>
        </w:rPr>
        <w:instrText xml:space="preserve"> TOC \o "1-3" \h \z </w:instrText>
      </w:r>
      <w:r>
        <w:rPr>
          <w:rStyle w:val="59"/>
          <w:rFonts w:hint="eastAsia" w:eastAsia="宋体"/>
          <w:b w:val="0"/>
          <w:bCs w:val="0"/>
          <w:color w:val="auto"/>
          <w:sz w:val="21"/>
          <w:szCs w:val="21"/>
          <w:highlight w:val="none"/>
        </w:rPr>
        <w:fldChar w:fldCharType="separate"/>
      </w:r>
      <w:r>
        <w:rPr>
          <w:highlight w:val="none"/>
        </w:rPr>
        <w:fldChar w:fldCharType="begin"/>
      </w:r>
      <w:r>
        <w:rPr>
          <w:highlight w:val="none"/>
        </w:rPr>
        <w:instrText xml:space="preserve"> HYPERLINK \l "_Toc43498217" </w:instrText>
      </w:r>
      <w:r>
        <w:rPr>
          <w:highlight w:val="none"/>
        </w:rPr>
        <w:fldChar w:fldCharType="separate"/>
      </w:r>
      <w:r>
        <w:rPr>
          <w:rStyle w:val="59"/>
          <w:rFonts w:hint="eastAsia" w:eastAsia="宋体"/>
          <w:sz w:val="21"/>
          <w:szCs w:val="21"/>
          <w:highlight w:val="none"/>
        </w:rPr>
        <w:t>第一部分 招标公告</w:t>
      </w:r>
      <w:r>
        <w:rPr>
          <w:rFonts w:hint="eastAsia" w:eastAsia="宋体"/>
          <w:sz w:val="21"/>
          <w:szCs w:val="21"/>
          <w:highlight w:val="none"/>
        </w:rPr>
        <w:tab/>
      </w:r>
      <w:r>
        <w:rPr>
          <w:rFonts w:hint="eastAsia" w:eastAsia="宋体"/>
          <w:sz w:val="21"/>
          <w:szCs w:val="21"/>
          <w:highlight w:val="none"/>
        </w:rPr>
        <w:t>1</w:t>
      </w:r>
      <w:r>
        <w:rPr>
          <w:rFonts w:hint="eastAsia" w:eastAsia="宋体"/>
          <w:sz w:val="21"/>
          <w:szCs w:val="21"/>
          <w:highlight w:val="none"/>
        </w:rPr>
        <w:fldChar w:fldCharType="end"/>
      </w:r>
    </w:p>
    <w:p w14:paraId="2996DCD8">
      <w:pPr>
        <w:pStyle w:val="42"/>
        <w:spacing w:line="480" w:lineRule="auto"/>
        <w:ind w:left="0" w:leftChars="0"/>
        <w:jc w:val="both"/>
        <w:rPr>
          <w:rFonts w:hint="eastAsia" w:eastAsia="宋体"/>
          <w:sz w:val="21"/>
          <w:szCs w:val="21"/>
          <w:highlight w:val="none"/>
        </w:rPr>
      </w:pPr>
      <w:r>
        <w:rPr>
          <w:rFonts w:hint="eastAsia" w:eastAsia="宋体"/>
          <w:sz w:val="21"/>
          <w:szCs w:val="21"/>
          <w:highlight w:val="none"/>
        </w:rPr>
        <w:fldChar w:fldCharType="begin"/>
      </w:r>
      <w:r>
        <w:rPr>
          <w:rFonts w:hint="eastAsia" w:eastAsia="宋体"/>
          <w:sz w:val="21"/>
          <w:szCs w:val="21"/>
          <w:highlight w:val="none"/>
        </w:rPr>
        <w:instrText xml:space="preserve"> HYPERLINK \l "_Toc43498218" </w:instrText>
      </w:r>
      <w:r>
        <w:rPr>
          <w:rFonts w:hint="eastAsia" w:eastAsia="宋体"/>
          <w:sz w:val="21"/>
          <w:szCs w:val="21"/>
          <w:highlight w:val="none"/>
        </w:rPr>
        <w:fldChar w:fldCharType="separate"/>
      </w:r>
      <w:r>
        <w:rPr>
          <w:rFonts w:hint="eastAsia" w:eastAsia="宋体"/>
          <w:sz w:val="21"/>
          <w:szCs w:val="21"/>
          <w:highlight w:val="none"/>
        </w:rPr>
        <w:t>第二部分 投标人须知</w:t>
      </w:r>
      <w:r>
        <w:rPr>
          <w:rFonts w:hint="eastAsia" w:eastAsia="宋体"/>
          <w:sz w:val="21"/>
          <w:szCs w:val="21"/>
          <w:highlight w:val="none"/>
        </w:rPr>
        <w:tab/>
      </w:r>
      <w:r>
        <w:rPr>
          <w:rFonts w:hint="eastAsia" w:eastAsia="宋体"/>
          <w:sz w:val="21"/>
          <w:szCs w:val="21"/>
          <w:highlight w:val="none"/>
          <w:lang w:val="en-US" w:eastAsia="zh-CN"/>
        </w:rPr>
        <w:t>3</w:t>
      </w:r>
      <w:r>
        <w:rPr>
          <w:rFonts w:hint="eastAsia" w:eastAsia="宋体"/>
          <w:sz w:val="21"/>
          <w:szCs w:val="21"/>
          <w:highlight w:val="none"/>
        </w:rPr>
        <w:fldChar w:fldCharType="end"/>
      </w:r>
    </w:p>
    <w:p w14:paraId="1BE04383">
      <w:pPr>
        <w:pStyle w:val="42"/>
        <w:spacing w:line="480" w:lineRule="auto"/>
        <w:ind w:left="0" w:leftChars="0"/>
        <w:jc w:val="both"/>
        <w:rPr>
          <w:rFonts w:hint="eastAsia" w:eastAsia="宋体"/>
          <w:sz w:val="21"/>
          <w:szCs w:val="21"/>
          <w:highlight w:val="none"/>
          <w:lang w:eastAsia="zh-CN"/>
        </w:rPr>
      </w:pPr>
      <w:r>
        <w:rPr>
          <w:rFonts w:hint="eastAsia" w:eastAsia="宋体"/>
          <w:sz w:val="21"/>
          <w:szCs w:val="21"/>
          <w:highlight w:val="none"/>
        </w:rPr>
        <w:fldChar w:fldCharType="begin"/>
      </w:r>
      <w:r>
        <w:rPr>
          <w:rFonts w:hint="eastAsia" w:eastAsia="宋体"/>
          <w:sz w:val="21"/>
          <w:szCs w:val="21"/>
          <w:highlight w:val="none"/>
        </w:rPr>
        <w:instrText xml:space="preserve"> HYPERLINK \l "_Toc43498234" </w:instrText>
      </w:r>
      <w:r>
        <w:rPr>
          <w:rFonts w:hint="eastAsia" w:eastAsia="宋体"/>
          <w:sz w:val="21"/>
          <w:szCs w:val="21"/>
          <w:highlight w:val="none"/>
        </w:rPr>
        <w:fldChar w:fldCharType="separate"/>
      </w:r>
      <w:r>
        <w:rPr>
          <w:rFonts w:hint="eastAsia" w:eastAsia="宋体"/>
          <w:sz w:val="21"/>
          <w:szCs w:val="21"/>
          <w:highlight w:val="none"/>
        </w:rPr>
        <w:t>第三部分 采购需求</w:t>
      </w:r>
      <w:r>
        <w:rPr>
          <w:rFonts w:hint="eastAsia" w:eastAsia="宋体"/>
          <w:sz w:val="21"/>
          <w:szCs w:val="21"/>
          <w:highlight w:val="none"/>
        </w:rPr>
        <w:tab/>
      </w:r>
      <w:r>
        <w:rPr>
          <w:rFonts w:hint="eastAsia" w:eastAsia="宋体"/>
          <w:sz w:val="21"/>
          <w:szCs w:val="21"/>
          <w:highlight w:val="none"/>
          <w:lang w:val="en-US" w:eastAsia="zh-CN"/>
        </w:rPr>
        <w:t>1</w:t>
      </w:r>
      <w:r>
        <w:rPr>
          <w:rFonts w:hint="eastAsia" w:eastAsia="宋体"/>
          <w:sz w:val="21"/>
          <w:szCs w:val="21"/>
          <w:highlight w:val="none"/>
        </w:rPr>
        <w:fldChar w:fldCharType="end"/>
      </w:r>
      <w:r>
        <w:rPr>
          <w:rFonts w:hint="eastAsia" w:eastAsia="宋体"/>
          <w:sz w:val="21"/>
          <w:szCs w:val="21"/>
          <w:highlight w:val="none"/>
          <w:lang w:val="en-US" w:eastAsia="zh-CN"/>
        </w:rPr>
        <w:t>5</w:t>
      </w:r>
    </w:p>
    <w:p w14:paraId="38F0A2A0">
      <w:pPr>
        <w:pStyle w:val="42"/>
        <w:spacing w:line="480" w:lineRule="auto"/>
        <w:ind w:left="0" w:leftChars="0"/>
        <w:jc w:val="both"/>
        <w:rPr>
          <w:rFonts w:hint="eastAsia" w:eastAsia="宋体"/>
          <w:sz w:val="21"/>
          <w:szCs w:val="21"/>
          <w:highlight w:val="none"/>
          <w:lang w:eastAsia="zh-CN"/>
        </w:rPr>
      </w:pPr>
      <w:r>
        <w:rPr>
          <w:rFonts w:hint="eastAsia" w:eastAsia="宋体"/>
          <w:sz w:val="21"/>
          <w:szCs w:val="21"/>
          <w:highlight w:val="none"/>
        </w:rPr>
        <w:fldChar w:fldCharType="begin"/>
      </w:r>
      <w:r>
        <w:rPr>
          <w:rFonts w:hint="eastAsia" w:eastAsia="宋体"/>
          <w:sz w:val="21"/>
          <w:szCs w:val="21"/>
          <w:highlight w:val="none"/>
        </w:rPr>
        <w:instrText xml:space="preserve"> HYPERLINK \l "_Toc43498235" </w:instrText>
      </w:r>
      <w:r>
        <w:rPr>
          <w:rFonts w:hint="eastAsia" w:eastAsia="宋体"/>
          <w:sz w:val="21"/>
          <w:szCs w:val="21"/>
          <w:highlight w:val="none"/>
        </w:rPr>
        <w:fldChar w:fldCharType="separate"/>
      </w:r>
      <w:r>
        <w:rPr>
          <w:rFonts w:hint="eastAsia" w:eastAsia="宋体"/>
          <w:sz w:val="21"/>
          <w:szCs w:val="21"/>
          <w:highlight w:val="none"/>
        </w:rPr>
        <w:t>第四部分 合同格式（范本）</w:t>
      </w:r>
      <w:r>
        <w:rPr>
          <w:rFonts w:hint="eastAsia" w:eastAsia="宋体"/>
          <w:sz w:val="21"/>
          <w:szCs w:val="21"/>
          <w:highlight w:val="none"/>
        </w:rPr>
        <w:tab/>
      </w:r>
      <w:r>
        <w:rPr>
          <w:rFonts w:hint="eastAsia" w:eastAsia="宋体"/>
          <w:sz w:val="21"/>
          <w:szCs w:val="21"/>
          <w:highlight w:val="none"/>
          <w:lang w:val="en-US" w:eastAsia="zh-CN"/>
        </w:rPr>
        <w:t>2</w:t>
      </w:r>
      <w:r>
        <w:rPr>
          <w:rFonts w:hint="eastAsia" w:eastAsia="宋体"/>
          <w:sz w:val="21"/>
          <w:szCs w:val="21"/>
          <w:highlight w:val="none"/>
        </w:rPr>
        <w:fldChar w:fldCharType="end"/>
      </w:r>
      <w:r>
        <w:rPr>
          <w:rFonts w:hint="eastAsia" w:eastAsia="宋体"/>
          <w:sz w:val="21"/>
          <w:szCs w:val="21"/>
          <w:highlight w:val="none"/>
          <w:lang w:val="en-US" w:eastAsia="zh-CN"/>
        </w:rPr>
        <w:t>2</w:t>
      </w:r>
    </w:p>
    <w:p w14:paraId="3DDE5201">
      <w:pPr>
        <w:pStyle w:val="42"/>
        <w:spacing w:line="480" w:lineRule="auto"/>
        <w:ind w:left="0" w:leftChars="0"/>
        <w:jc w:val="both"/>
        <w:rPr>
          <w:rFonts w:hint="eastAsia" w:eastAsia="宋体"/>
          <w:sz w:val="21"/>
          <w:szCs w:val="21"/>
          <w:highlight w:val="none"/>
          <w:lang w:val="en-US" w:eastAsia="zh-CN"/>
        </w:rPr>
      </w:pPr>
      <w:r>
        <w:rPr>
          <w:rFonts w:hint="eastAsia" w:eastAsia="宋体"/>
          <w:sz w:val="21"/>
          <w:szCs w:val="21"/>
          <w:highlight w:val="none"/>
        </w:rPr>
        <w:fldChar w:fldCharType="begin"/>
      </w:r>
      <w:r>
        <w:rPr>
          <w:rFonts w:hint="eastAsia" w:eastAsia="宋体"/>
          <w:sz w:val="21"/>
          <w:szCs w:val="21"/>
          <w:highlight w:val="none"/>
        </w:rPr>
        <w:instrText xml:space="preserve"> HYPERLINK \l "_Toc43498236" </w:instrText>
      </w:r>
      <w:r>
        <w:rPr>
          <w:rFonts w:hint="eastAsia" w:eastAsia="宋体"/>
          <w:sz w:val="21"/>
          <w:szCs w:val="21"/>
          <w:highlight w:val="none"/>
        </w:rPr>
        <w:fldChar w:fldCharType="separate"/>
      </w:r>
      <w:r>
        <w:rPr>
          <w:rFonts w:hint="eastAsia" w:eastAsia="宋体"/>
          <w:sz w:val="21"/>
          <w:szCs w:val="21"/>
          <w:highlight w:val="none"/>
        </w:rPr>
        <w:t>第五部分 投标相关文件格式</w:t>
      </w:r>
      <w:r>
        <w:rPr>
          <w:rFonts w:hint="eastAsia" w:eastAsia="宋体"/>
          <w:sz w:val="21"/>
          <w:szCs w:val="21"/>
          <w:highlight w:val="none"/>
        </w:rPr>
        <w:tab/>
      </w:r>
      <w:r>
        <w:rPr>
          <w:rFonts w:hint="eastAsia" w:eastAsia="宋体"/>
          <w:sz w:val="21"/>
          <w:szCs w:val="21"/>
          <w:highlight w:val="none"/>
          <w:lang w:val="en-US" w:eastAsia="zh-CN"/>
        </w:rPr>
        <w:t>2</w:t>
      </w:r>
      <w:r>
        <w:rPr>
          <w:rFonts w:hint="eastAsia" w:eastAsia="宋体"/>
          <w:sz w:val="21"/>
          <w:szCs w:val="21"/>
          <w:highlight w:val="none"/>
        </w:rPr>
        <w:fldChar w:fldCharType="end"/>
      </w:r>
      <w:r>
        <w:rPr>
          <w:rFonts w:hint="eastAsia" w:eastAsia="宋体"/>
          <w:sz w:val="21"/>
          <w:szCs w:val="21"/>
          <w:highlight w:val="none"/>
          <w:lang w:val="en-US" w:eastAsia="zh-CN"/>
        </w:rPr>
        <w:t>8</w:t>
      </w:r>
    </w:p>
    <w:p w14:paraId="739DFCDF">
      <w:pPr>
        <w:pStyle w:val="42"/>
        <w:spacing w:line="480" w:lineRule="auto"/>
        <w:ind w:left="0" w:leftChars="0"/>
        <w:jc w:val="both"/>
        <w:rPr>
          <w:rFonts w:hint="default" w:eastAsia="宋体"/>
          <w:b w:val="0"/>
          <w:bCs w:val="0"/>
          <w:sz w:val="21"/>
          <w:szCs w:val="21"/>
          <w:highlight w:val="none"/>
          <w:lang w:val="en-US" w:eastAsia="zh-CN"/>
        </w:rPr>
      </w:pPr>
      <w:r>
        <w:rPr>
          <w:rFonts w:hint="eastAsia" w:eastAsia="宋体"/>
          <w:sz w:val="21"/>
          <w:szCs w:val="21"/>
          <w:highlight w:val="none"/>
        </w:rPr>
        <w:fldChar w:fldCharType="begin"/>
      </w:r>
      <w:r>
        <w:rPr>
          <w:rFonts w:hint="eastAsia" w:eastAsia="宋体"/>
          <w:sz w:val="21"/>
          <w:szCs w:val="21"/>
          <w:highlight w:val="none"/>
        </w:rPr>
        <w:instrText xml:space="preserve"> HYPERLINK \l "_Toc43498241" </w:instrText>
      </w:r>
      <w:r>
        <w:rPr>
          <w:rFonts w:hint="eastAsia" w:eastAsia="宋体"/>
          <w:sz w:val="21"/>
          <w:szCs w:val="21"/>
          <w:highlight w:val="none"/>
        </w:rPr>
        <w:fldChar w:fldCharType="separate"/>
      </w:r>
      <w:r>
        <w:rPr>
          <w:rFonts w:hint="eastAsia" w:eastAsia="宋体"/>
          <w:sz w:val="21"/>
          <w:szCs w:val="21"/>
          <w:highlight w:val="none"/>
        </w:rPr>
        <w:t>第六部分 评标办法和细则</w:t>
      </w:r>
      <w:r>
        <w:rPr>
          <w:rFonts w:hint="eastAsia" w:eastAsia="宋体"/>
          <w:sz w:val="21"/>
          <w:szCs w:val="21"/>
          <w:highlight w:val="none"/>
        </w:rPr>
        <w:tab/>
      </w:r>
      <w:r>
        <w:rPr>
          <w:rFonts w:hint="eastAsia" w:eastAsia="宋体"/>
          <w:sz w:val="21"/>
          <w:szCs w:val="21"/>
          <w:highlight w:val="none"/>
        </w:rPr>
        <w:fldChar w:fldCharType="end"/>
      </w:r>
      <w:r>
        <w:rPr>
          <w:rFonts w:hint="eastAsia" w:eastAsia="宋体"/>
          <w:sz w:val="21"/>
          <w:szCs w:val="21"/>
          <w:highlight w:val="none"/>
          <w:lang w:val="en-US" w:eastAsia="zh-CN"/>
        </w:rPr>
        <w:t>42</w:t>
      </w:r>
    </w:p>
    <w:p w14:paraId="25997F48">
      <w:pPr>
        <w:pStyle w:val="27"/>
        <w:spacing w:line="480" w:lineRule="auto"/>
        <w:ind w:left="105" w:leftChars="0" w:hanging="105"/>
        <w:rPr>
          <w:rFonts w:ascii="宋体" w:hAnsi="宋体" w:eastAsia="宋体" w:cs="宋体"/>
          <w:sz w:val="21"/>
          <w:szCs w:val="21"/>
          <w:highlight w:val="none"/>
        </w:rPr>
      </w:pPr>
    </w:p>
    <w:p w14:paraId="47BF21D5">
      <w:pPr>
        <w:pStyle w:val="27"/>
        <w:spacing w:line="480" w:lineRule="auto"/>
        <w:ind w:left="105" w:leftChars="0" w:hanging="105"/>
        <w:rPr>
          <w:rFonts w:ascii="宋体" w:hAnsi="宋体" w:eastAsia="宋体" w:cs="宋体"/>
          <w:sz w:val="28"/>
          <w:szCs w:val="28"/>
          <w:highlight w:val="none"/>
        </w:rPr>
      </w:pPr>
      <w:r>
        <w:rPr>
          <w:rStyle w:val="59"/>
          <w:rFonts w:hint="eastAsia" w:ascii="宋体" w:hAnsi="宋体" w:eastAsia="宋体" w:cs="宋体"/>
          <w:b/>
          <w:bCs/>
          <w:color w:val="auto"/>
          <w:sz w:val="21"/>
          <w:szCs w:val="21"/>
          <w:highlight w:val="none"/>
        </w:rPr>
        <w:fldChar w:fldCharType="end"/>
      </w:r>
    </w:p>
    <w:p w14:paraId="4D4AE173">
      <w:pPr>
        <w:pStyle w:val="4"/>
        <w:spacing w:line="560" w:lineRule="exact"/>
        <w:rPr>
          <w:rFonts w:ascii="宋体" w:hAnsi="宋体" w:eastAsia="宋体" w:cs="宋体"/>
          <w:sz w:val="21"/>
          <w:szCs w:val="21"/>
          <w:highlight w:val="none"/>
        </w:rPr>
        <w:sectPr>
          <w:footerReference r:id="rId6" w:type="first"/>
          <w:footerReference r:id="rId5" w:type="default"/>
          <w:pgSz w:w="11906" w:h="16838"/>
          <w:pgMar w:top="1361" w:right="1440" w:bottom="1361" w:left="1440" w:header="851" w:footer="992" w:gutter="0"/>
          <w:pgNumType w:start="1"/>
          <w:cols w:space="425" w:num="1"/>
          <w:titlePg/>
          <w:docGrid w:type="lines" w:linePitch="312" w:charSpace="0"/>
        </w:sectPr>
      </w:pPr>
      <w:bookmarkStart w:id="0" w:name="_Toc43498217"/>
    </w:p>
    <w:p w14:paraId="278A8FCC">
      <w:pPr>
        <w:pStyle w:val="4"/>
        <w:spacing w:line="560" w:lineRule="exact"/>
        <w:rPr>
          <w:rFonts w:ascii="宋体" w:hAnsi="宋体" w:eastAsia="宋体" w:cs="宋体"/>
          <w:sz w:val="21"/>
          <w:szCs w:val="21"/>
          <w:highlight w:val="none"/>
        </w:rPr>
      </w:pPr>
      <w:r>
        <w:rPr>
          <w:rFonts w:hint="eastAsia" w:ascii="宋体" w:hAnsi="宋体" w:eastAsia="宋体" w:cs="宋体"/>
          <w:sz w:val="21"/>
          <w:szCs w:val="21"/>
          <w:highlight w:val="none"/>
        </w:rPr>
        <w:t>第一部分  招标</w:t>
      </w:r>
      <w:bookmarkEnd w:id="0"/>
      <w:r>
        <w:rPr>
          <w:rFonts w:hint="eastAsia" w:ascii="宋体" w:hAnsi="宋体" w:eastAsia="宋体" w:cs="宋体"/>
          <w:sz w:val="21"/>
          <w:szCs w:val="21"/>
          <w:highlight w:val="none"/>
        </w:rPr>
        <w:t>公告</w:t>
      </w:r>
    </w:p>
    <w:p w14:paraId="63E2C84E">
      <w:pPr>
        <w:pBdr>
          <w:top w:val="single" w:color="auto" w:sz="4" w:space="1"/>
          <w:left w:val="single" w:color="auto" w:sz="4" w:space="4"/>
          <w:bottom w:val="single" w:color="auto" w:sz="4" w:space="1"/>
          <w:right w:val="single" w:color="auto" w:sz="4" w:space="2"/>
        </w:pBdr>
        <w:spacing w:line="420" w:lineRule="exact"/>
        <w:rPr>
          <w:rFonts w:ascii="宋体" w:hAnsi="宋体" w:cs="宋体"/>
          <w:highlight w:val="none"/>
        </w:rPr>
      </w:pPr>
      <w:bookmarkStart w:id="1" w:name="_Toc28359002"/>
      <w:bookmarkStart w:id="2" w:name="_Toc28359079"/>
      <w:bookmarkStart w:id="3" w:name="_Toc35393790"/>
      <w:bookmarkStart w:id="4" w:name="_Toc35393621"/>
      <w:bookmarkStart w:id="5" w:name="_Hlk24379207"/>
      <w:bookmarkStart w:id="6" w:name="EBf1e27c6183244f4a8f3fc355defd653e"/>
      <w:r>
        <w:rPr>
          <w:rFonts w:hint="eastAsia" w:ascii="宋体" w:hAnsi="宋体" w:cs="宋体"/>
          <w:highlight w:val="none"/>
        </w:rPr>
        <w:t>项目概况：</w:t>
      </w:r>
    </w:p>
    <w:p w14:paraId="7ABB3488">
      <w:pPr>
        <w:pBdr>
          <w:top w:val="single" w:color="auto" w:sz="4" w:space="1"/>
          <w:left w:val="single" w:color="auto" w:sz="4" w:space="4"/>
          <w:bottom w:val="single" w:color="auto" w:sz="4" w:space="1"/>
          <w:right w:val="single" w:color="auto" w:sz="4" w:space="2"/>
        </w:pBdr>
        <w:spacing w:line="420" w:lineRule="exact"/>
        <w:ind w:firstLine="420" w:firstLineChars="200"/>
        <w:jc w:val="both"/>
        <w:rPr>
          <w:rFonts w:ascii="宋体" w:hAnsi="宋体" w:cs="宋体"/>
          <w:color w:val="auto"/>
          <w:highlight w:val="none"/>
        </w:rPr>
      </w:pPr>
      <w:r>
        <w:rPr>
          <w:rFonts w:hint="eastAsia" w:ascii="宋体" w:hAnsi="宋体" w:cs="宋体"/>
          <w:highlight w:val="none"/>
          <w:u w:val="single"/>
          <w:lang w:eastAsia="zh-CN"/>
        </w:rPr>
        <w:t>新昌高新技术产业园区化工园区突发水污染事件多级防控体系建设项目</w:t>
      </w:r>
      <w:r>
        <w:rPr>
          <w:rFonts w:hint="eastAsia" w:ascii="宋体" w:hAnsi="宋体" w:cs="宋体"/>
          <w:highlight w:val="none"/>
        </w:rPr>
        <w:t>的潜在供应商应在</w:t>
      </w:r>
      <w:r>
        <w:rPr>
          <w:rFonts w:hint="eastAsia" w:ascii="宋体" w:hAnsi="宋体" w:cs="宋体"/>
          <w:highlight w:val="none"/>
          <w:lang w:eastAsia="zh-CN"/>
        </w:rPr>
        <w:t>乐采云平台(www.lecaiyun.com)</w:t>
      </w:r>
      <w:r>
        <w:rPr>
          <w:rFonts w:hint="eastAsia" w:ascii="宋体" w:hAnsi="宋体" w:cs="宋体"/>
          <w:highlight w:val="none"/>
        </w:rPr>
        <w:t>获取（下载）招标文件，</w:t>
      </w:r>
      <w:r>
        <w:rPr>
          <w:rFonts w:hint="eastAsia" w:ascii="宋体" w:hAnsi="宋体" w:cs="宋体"/>
          <w:color w:val="auto"/>
          <w:highlight w:val="none"/>
        </w:rPr>
        <w:t>并于</w:t>
      </w:r>
      <w:r>
        <w:rPr>
          <w:rFonts w:hint="eastAsia" w:ascii="宋体" w:hAnsi="宋体" w:cs="宋体"/>
          <w:bCs/>
          <w:snapToGrid w:val="0"/>
          <w:color w:val="auto"/>
          <w:highlight w:val="none"/>
          <w:u w:val="single"/>
          <w:lang w:val="en-US" w:eastAsia="zh-CN"/>
        </w:rPr>
        <w:t xml:space="preserve"> 2025 </w:t>
      </w:r>
      <w:r>
        <w:rPr>
          <w:rFonts w:hint="eastAsia" w:ascii="宋体" w:hAnsi="宋体" w:cs="宋体"/>
          <w:bCs/>
          <w:color w:val="auto"/>
          <w:highlight w:val="none"/>
        </w:rPr>
        <w:t>年</w:t>
      </w:r>
      <w:r>
        <w:rPr>
          <w:rFonts w:hint="eastAsia" w:ascii="宋体" w:hAnsi="宋体" w:cs="宋体"/>
          <w:bCs/>
          <w:snapToGrid w:val="0"/>
          <w:color w:val="auto"/>
          <w:highlight w:val="none"/>
          <w:u w:val="single"/>
        </w:rPr>
        <w:t xml:space="preserve"> </w:t>
      </w:r>
      <w:r>
        <w:rPr>
          <w:rFonts w:hint="eastAsia" w:ascii="宋体" w:hAnsi="宋体" w:cs="宋体"/>
          <w:bCs/>
          <w:snapToGrid w:val="0"/>
          <w:color w:val="auto"/>
          <w:highlight w:val="none"/>
          <w:u w:val="single"/>
          <w:lang w:val="en-US" w:eastAsia="zh-CN"/>
        </w:rPr>
        <w:t>5</w:t>
      </w:r>
      <w:r>
        <w:rPr>
          <w:rFonts w:hint="eastAsia" w:ascii="宋体" w:hAnsi="宋体" w:cs="宋体"/>
          <w:bCs/>
          <w:snapToGrid w:val="0"/>
          <w:color w:val="auto"/>
          <w:highlight w:val="none"/>
          <w:u w:val="single"/>
        </w:rPr>
        <w:t xml:space="preserve"> </w:t>
      </w:r>
      <w:r>
        <w:rPr>
          <w:rFonts w:hint="eastAsia" w:ascii="宋体" w:hAnsi="宋体" w:cs="宋体"/>
          <w:bCs/>
          <w:color w:val="auto"/>
          <w:highlight w:val="none"/>
        </w:rPr>
        <w:t>月</w:t>
      </w:r>
      <w:r>
        <w:rPr>
          <w:rFonts w:hint="eastAsia" w:ascii="宋体" w:hAnsi="宋体" w:cs="宋体"/>
          <w:bCs/>
          <w:color w:val="auto"/>
          <w:highlight w:val="none"/>
          <w:u w:val="single"/>
        </w:rPr>
        <w:t xml:space="preserve"> </w:t>
      </w:r>
      <w:r>
        <w:rPr>
          <w:rFonts w:hint="eastAsia" w:ascii="宋体" w:hAnsi="宋体" w:cs="宋体"/>
          <w:bCs/>
          <w:color w:val="auto"/>
          <w:highlight w:val="none"/>
          <w:u w:val="single"/>
          <w:lang w:val="en-US" w:eastAsia="zh-CN"/>
        </w:rPr>
        <w:t>8</w:t>
      </w:r>
      <w:r>
        <w:rPr>
          <w:rFonts w:hint="eastAsia" w:ascii="宋体" w:hAnsi="宋体" w:cs="宋体"/>
          <w:bCs/>
          <w:color w:val="auto"/>
          <w:highlight w:val="none"/>
          <w:u w:val="single"/>
        </w:rPr>
        <w:t xml:space="preserve"> </w:t>
      </w:r>
      <w:r>
        <w:rPr>
          <w:rFonts w:hint="eastAsia" w:ascii="宋体" w:hAnsi="宋体" w:cs="宋体"/>
          <w:bCs/>
          <w:color w:val="auto"/>
          <w:highlight w:val="none"/>
        </w:rPr>
        <w:t>日</w:t>
      </w:r>
      <w:r>
        <w:rPr>
          <w:rFonts w:hint="eastAsia" w:ascii="宋体" w:hAnsi="宋体" w:cs="宋体"/>
          <w:bCs/>
          <w:snapToGrid w:val="0"/>
          <w:color w:val="auto"/>
          <w:highlight w:val="none"/>
          <w:u w:val="single"/>
          <w:lang w:val="en-US" w:eastAsia="zh-CN"/>
        </w:rPr>
        <w:t>9</w:t>
      </w:r>
      <w:r>
        <w:rPr>
          <w:rFonts w:hint="eastAsia" w:ascii="宋体" w:hAnsi="宋体" w:cs="宋体"/>
          <w:bCs/>
          <w:snapToGrid w:val="0"/>
          <w:color w:val="auto"/>
          <w:highlight w:val="none"/>
          <w:u w:val="single"/>
        </w:rPr>
        <w:t>:30</w:t>
      </w:r>
      <w:r>
        <w:rPr>
          <w:rFonts w:hint="eastAsia" w:ascii="宋体" w:hAnsi="宋体" w:cs="宋体"/>
          <w:bCs/>
          <w:color w:val="auto"/>
          <w:highlight w:val="none"/>
        </w:rPr>
        <w:t>（北京时间）前提交（上传）响应文件。</w:t>
      </w:r>
    </w:p>
    <w:p w14:paraId="470EBCE8">
      <w:pPr>
        <w:spacing w:line="400" w:lineRule="exact"/>
        <w:jc w:val="left"/>
        <w:rPr>
          <w:rFonts w:ascii="宋体" w:hAnsi="宋体" w:cs="宋体"/>
          <w:b/>
          <w:highlight w:val="none"/>
        </w:rPr>
      </w:pPr>
      <w:r>
        <w:rPr>
          <w:rFonts w:hint="eastAsia" w:ascii="宋体" w:hAnsi="宋体" w:cs="宋体"/>
          <w:b/>
          <w:highlight w:val="none"/>
        </w:rPr>
        <w:t>一、项目基本情况</w:t>
      </w:r>
      <w:bookmarkEnd w:id="1"/>
      <w:bookmarkEnd w:id="2"/>
      <w:bookmarkEnd w:id="3"/>
      <w:bookmarkEnd w:id="4"/>
    </w:p>
    <w:bookmarkEnd w:id="5"/>
    <w:p w14:paraId="60D5B2D3">
      <w:pPr>
        <w:spacing w:line="400" w:lineRule="exact"/>
        <w:ind w:firstLine="420" w:firstLineChars="200"/>
        <w:rPr>
          <w:rFonts w:hint="eastAsia" w:ascii="宋体" w:hAnsi="宋体" w:cs="宋体"/>
          <w:highlight w:val="none"/>
        </w:rPr>
      </w:pPr>
      <w:r>
        <w:rPr>
          <w:rFonts w:hint="eastAsia" w:ascii="宋体" w:hAnsi="宋体" w:cs="宋体"/>
          <w:highlight w:val="none"/>
        </w:rPr>
        <w:t>项目编号：XCtq2025018</w:t>
      </w:r>
    </w:p>
    <w:p w14:paraId="34E9D282">
      <w:pPr>
        <w:spacing w:line="400" w:lineRule="exact"/>
        <w:ind w:firstLine="420" w:firstLineChars="200"/>
        <w:rPr>
          <w:rFonts w:hint="eastAsia" w:ascii="宋体" w:hAnsi="宋体" w:eastAsia="宋体" w:cs="宋体"/>
          <w:highlight w:val="none"/>
          <w:lang w:eastAsia="zh-CN"/>
        </w:rPr>
      </w:pPr>
      <w:r>
        <w:rPr>
          <w:rFonts w:hint="eastAsia" w:ascii="宋体" w:hAnsi="宋体" w:cs="宋体"/>
          <w:highlight w:val="none"/>
        </w:rPr>
        <w:t>项目名称：</w:t>
      </w:r>
      <w:r>
        <w:rPr>
          <w:rFonts w:hint="eastAsia" w:ascii="宋体" w:hAnsi="宋体" w:cs="宋体"/>
          <w:highlight w:val="none"/>
          <w:lang w:eastAsia="zh-CN"/>
        </w:rPr>
        <w:t>新昌高新技术产业园区化工园区突发水污染事件多级防控体系建设项目</w:t>
      </w:r>
    </w:p>
    <w:p w14:paraId="277B942B">
      <w:pPr>
        <w:spacing w:line="400" w:lineRule="exact"/>
        <w:ind w:firstLine="420" w:firstLineChars="200"/>
        <w:rPr>
          <w:rFonts w:ascii="宋体" w:hAnsi="宋体" w:cs="宋体"/>
          <w:highlight w:val="none"/>
        </w:rPr>
      </w:pPr>
      <w:r>
        <w:rPr>
          <w:rFonts w:hint="eastAsia" w:ascii="宋体" w:hAnsi="宋体" w:cs="宋体"/>
          <w:highlight w:val="none"/>
        </w:rPr>
        <w:t>采购方式：公开招标</w:t>
      </w:r>
    </w:p>
    <w:p w14:paraId="3803FAC8">
      <w:pPr>
        <w:spacing w:line="400" w:lineRule="exact"/>
        <w:ind w:firstLine="420" w:firstLineChars="200"/>
        <w:rPr>
          <w:rFonts w:ascii="宋体" w:hAnsi="宋体" w:cs="宋体"/>
          <w:highlight w:val="none"/>
        </w:rPr>
      </w:pPr>
      <w:r>
        <w:rPr>
          <w:rFonts w:hint="eastAsia" w:ascii="宋体" w:hAnsi="宋体" w:cs="宋体"/>
          <w:highlight w:val="none"/>
        </w:rPr>
        <w:t>预算金额（元）：</w:t>
      </w:r>
      <w:r>
        <w:rPr>
          <w:rFonts w:hint="eastAsia" w:ascii="宋体" w:hAnsi="宋体" w:cs="宋体"/>
          <w:highlight w:val="none"/>
          <w:lang w:val="en-US" w:eastAsia="zh-CN"/>
        </w:rPr>
        <w:t>1954975</w:t>
      </w:r>
    </w:p>
    <w:p w14:paraId="773C6BAB">
      <w:pPr>
        <w:spacing w:line="400" w:lineRule="exact"/>
        <w:ind w:firstLine="420" w:firstLineChars="200"/>
        <w:rPr>
          <w:rFonts w:hint="eastAsia" w:ascii="宋体" w:hAnsi="宋体" w:eastAsia="宋体" w:cs="宋体"/>
          <w:highlight w:val="none"/>
          <w:lang w:eastAsia="zh-CN"/>
        </w:rPr>
      </w:pPr>
      <w:r>
        <w:rPr>
          <w:rFonts w:hint="eastAsia" w:ascii="宋体" w:hAnsi="宋体" w:cs="宋体"/>
          <w:highlight w:val="none"/>
        </w:rPr>
        <w:t>最高限价（元）：</w:t>
      </w:r>
      <w:r>
        <w:rPr>
          <w:rFonts w:hint="eastAsia" w:ascii="宋体" w:hAnsi="宋体" w:cs="宋体"/>
          <w:highlight w:val="none"/>
          <w:lang w:eastAsia="zh-CN"/>
        </w:rPr>
        <w:t>1954975</w:t>
      </w:r>
    </w:p>
    <w:p w14:paraId="3AB75805">
      <w:pPr>
        <w:spacing w:line="400" w:lineRule="exact"/>
        <w:ind w:firstLine="420" w:firstLineChars="200"/>
        <w:rPr>
          <w:rFonts w:hint="eastAsia" w:ascii="宋体" w:hAnsi="宋体" w:cs="宋体"/>
          <w:highlight w:val="none"/>
        </w:rPr>
      </w:pPr>
      <w:r>
        <w:rPr>
          <w:rFonts w:hint="eastAsia" w:ascii="宋体" w:hAnsi="宋体" w:cs="宋体"/>
          <w:highlight w:val="none"/>
        </w:rPr>
        <w:t>采购需求：</w:t>
      </w:r>
    </w:p>
    <w:tbl>
      <w:tblPr>
        <w:tblStyle w:val="49"/>
        <w:tblW w:w="102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2"/>
        <w:gridCol w:w="2750"/>
        <w:gridCol w:w="2545"/>
        <w:gridCol w:w="900"/>
        <w:gridCol w:w="868"/>
        <w:gridCol w:w="1590"/>
        <w:gridCol w:w="752"/>
      </w:tblGrid>
      <w:tr w14:paraId="3C13E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812" w:type="dxa"/>
            <w:vAlign w:val="center"/>
          </w:tcPr>
          <w:p w14:paraId="21C542ED">
            <w:pPr>
              <w:spacing w:line="400" w:lineRule="exact"/>
              <w:jc w:val="center"/>
              <w:rPr>
                <w:rFonts w:hint="eastAsia" w:ascii="宋体" w:hAnsi="宋体" w:eastAsia="宋体" w:cs="宋体"/>
                <w:highlight w:val="none"/>
                <w:lang w:eastAsia="zh-CN"/>
              </w:rPr>
            </w:pPr>
            <w:r>
              <w:rPr>
                <w:rFonts w:hint="eastAsia" w:ascii="宋体" w:hAnsi="宋体" w:cs="宋体"/>
                <w:highlight w:val="none"/>
                <w:lang w:val="en-US" w:eastAsia="zh-CN"/>
              </w:rPr>
              <w:t>序号</w:t>
            </w:r>
          </w:p>
        </w:tc>
        <w:tc>
          <w:tcPr>
            <w:tcW w:w="2750" w:type="dxa"/>
            <w:vAlign w:val="center"/>
          </w:tcPr>
          <w:p w14:paraId="6B25BE6F">
            <w:pPr>
              <w:spacing w:line="400" w:lineRule="exact"/>
              <w:jc w:val="center"/>
              <w:rPr>
                <w:rFonts w:hint="eastAsia" w:ascii="宋体" w:hAnsi="宋体" w:eastAsia="宋体" w:cs="宋体"/>
                <w:highlight w:val="none"/>
              </w:rPr>
            </w:pPr>
            <w:r>
              <w:rPr>
                <w:rFonts w:hint="eastAsia" w:ascii="宋体" w:hAnsi="宋体" w:eastAsia="宋体" w:cs="宋体"/>
                <w:highlight w:val="none"/>
              </w:rPr>
              <w:t>采购内容</w:t>
            </w:r>
          </w:p>
        </w:tc>
        <w:tc>
          <w:tcPr>
            <w:tcW w:w="2545" w:type="dxa"/>
            <w:vAlign w:val="center"/>
          </w:tcPr>
          <w:p w14:paraId="7560A0B7">
            <w:pPr>
              <w:spacing w:line="400" w:lineRule="exact"/>
              <w:jc w:val="center"/>
              <w:rPr>
                <w:rFonts w:hint="eastAsia" w:ascii="宋体" w:hAnsi="宋体" w:eastAsia="宋体" w:cs="宋体"/>
                <w:highlight w:val="none"/>
              </w:rPr>
            </w:pPr>
            <w:r>
              <w:rPr>
                <w:rFonts w:hint="eastAsia" w:ascii="宋体" w:hAnsi="宋体" w:eastAsia="宋体" w:cs="宋体"/>
                <w:highlight w:val="none"/>
              </w:rPr>
              <w:t>主要内容</w:t>
            </w:r>
          </w:p>
        </w:tc>
        <w:tc>
          <w:tcPr>
            <w:tcW w:w="900" w:type="dxa"/>
            <w:vAlign w:val="center"/>
          </w:tcPr>
          <w:p w14:paraId="7190BA0C">
            <w:pPr>
              <w:spacing w:line="400" w:lineRule="exact"/>
              <w:jc w:val="center"/>
              <w:rPr>
                <w:rFonts w:hint="eastAsia" w:ascii="宋体" w:hAnsi="宋体" w:eastAsia="宋体" w:cs="宋体"/>
                <w:highlight w:val="none"/>
              </w:rPr>
            </w:pPr>
            <w:r>
              <w:rPr>
                <w:rFonts w:hint="eastAsia" w:ascii="宋体" w:hAnsi="宋体" w:eastAsia="宋体" w:cs="宋体"/>
                <w:highlight w:val="none"/>
              </w:rPr>
              <w:t>数量</w:t>
            </w:r>
          </w:p>
        </w:tc>
        <w:tc>
          <w:tcPr>
            <w:tcW w:w="868" w:type="dxa"/>
            <w:vAlign w:val="center"/>
          </w:tcPr>
          <w:p w14:paraId="65C76797">
            <w:pPr>
              <w:spacing w:line="400" w:lineRule="exact"/>
              <w:jc w:val="center"/>
              <w:rPr>
                <w:rFonts w:hint="eastAsia" w:ascii="宋体" w:hAnsi="宋体" w:eastAsia="宋体" w:cs="宋体"/>
                <w:highlight w:val="none"/>
              </w:rPr>
            </w:pPr>
            <w:r>
              <w:rPr>
                <w:rFonts w:hint="eastAsia" w:ascii="宋体" w:hAnsi="宋体" w:eastAsia="宋体" w:cs="宋体"/>
                <w:highlight w:val="none"/>
              </w:rPr>
              <w:t>单位</w:t>
            </w:r>
          </w:p>
        </w:tc>
        <w:tc>
          <w:tcPr>
            <w:tcW w:w="1590" w:type="dxa"/>
            <w:vAlign w:val="center"/>
          </w:tcPr>
          <w:p w14:paraId="25A0E058">
            <w:pPr>
              <w:spacing w:line="400" w:lineRule="exact"/>
              <w:jc w:val="center"/>
              <w:rPr>
                <w:rFonts w:hint="eastAsia" w:ascii="宋体" w:hAnsi="宋体" w:eastAsia="宋体" w:cs="宋体"/>
                <w:highlight w:val="none"/>
              </w:rPr>
            </w:pPr>
            <w:r>
              <w:rPr>
                <w:rFonts w:hint="eastAsia" w:ascii="宋体" w:hAnsi="宋体" w:eastAsia="宋体" w:cs="宋体"/>
                <w:highlight w:val="none"/>
              </w:rPr>
              <w:t>最高限价（元）</w:t>
            </w:r>
          </w:p>
        </w:tc>
        <w:tc>
          <w:tcPr>
            <w:tcW w:w="752" w:type="dxa"/>
            <w:vAlign w:val="center"/>
          </w:tcPr>
          <w:p w14:paraId="26208570">
            <w:pPr>
              <w:spacing w:line="400" w:lineRule="exact"/>
              <w:jc w:val="center"/>
              <w:rPr>
                <w:rFonts w:hint="eastAsia" w:ascii="宋体" w:hAnsi="宋体" w:eastAsia="宋体" w:cs="宋体"/>
                <w:highlight w:val="none"/>
              </w:rPr>
            </w:pPr>
            <w:r>
              <w:rPr>
                <w:rFonts w:hint="eastAsia" w:ascii="宋体" w:hAnsi="宋体" w:eastAsia="宋体" w:cs="宋体"/>
                <w:highlight w:val="none"/>
              </w:rPr>
              <w:t>备注</w:t>
            </w:r>
          </w:p>
        </w:tc>
      </w:tr>
      <w:tr w14:paraId="6955F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0" w:hRule="atLeast"/>
          <w:jc w:val="center"/>
        </w:trPr>
        <w:tc>
          <w:tcPr>
            <w:tcW w:w="812" w:type="dxa"/>
            <w:vAlign w:val="center"/>
          </w:tcPr>
          <w:p w14:paraId="2B4382C4">
            <w:pPr>
              <w:spacing w:line="400" w:lineRule="exact"/>
              <w:jc w:val="center"/>
              <w:rPr>
                <w:rFonts w:hint="eastAsia" w:ascii="宋体" w:hAnsi="宋体" w:eastAsia="宋体" w:cs="宋体"/>
                <w:highlight w:val="none"/>
                <w:lang w:eastAsia="zh-CN"/>
              </w:rPr>
            </w:pPr>
            <w:r>
              <w:rPr>
                <w:rFonts w:hint="eastAsia" w:ascii="宋体" w:hAnsi="宋体" w:eastAsia="宋体" w:cs="宋体"/>
                <w:highlight w:val="none"/>
                <w:lang w:val="en-US" w:eastAsia="zh-CN"/>
              </w:rPr>
              <w:t>一</w:t>
            </w:r>
          </w:p>
        </w:tc>
        <w:tc>
          <w:tcPr>
            <w:tcW w:w="2750" w:type="dxa"/>
            <w:vAlign w:val="center"/>
          </w:tcPr>
          <w:p w14:paraId="55DA6B39">
            <w:pPr>
              <w:spacing w:line="400" w:lineRule="exact"/>
              <w:jc w:val="both"/>
              <w:rPr>
                <w:rFonts w:hint="eastAsia" w:ascii="宋体" w:hAnsi="宋体" w:eastAsia="宋体" w:cs="宋体"/>
                <w:highlight w:val="none"/>
              </w:rPr>
            </w:pPr>
            <w:r>
              <w:rPr>
                <w:rFonts w:hint="eastAsia" w:ascii="宋体" w:hAnsi="宋体" w:cs="宋体"/>
                <w:highlight w:val="none"/>
                <w:lang w:eastAsia="zh-CN"/>
              </w:rPr>
              <w:t>新昌高新技术产业园区化工园区突发水污染事件多级防控体系建设项目</w:t>
            </w:r>
          </w:p>
        </w:tc>
        <w:tc>
          <w:tcPr>
            <w:tcW w:w="2545" w:type="dxa"/>
            <w:vAlign w:val="center"/>
          </w:tcPr>
          <w:p w14:paraId="685F14E4">
            <w:pPr>
              <w:spacing w:line="400" w:lineRule="exact"/>
              <w:jc w:val="both"/>
              <w:rPr>
                <w:rFonts w:hint="eastAsia" w:ascii="宋体" w:hAnsi="宋体" w:eastAsia="宋体" w:cs="宋体"/>
                <w:highlight w:val="none"/>
                <w:lang w:eastAsia="zh-CN"/>
              </w:rPr>
            </w:pPr>
            <w:r>
              <w:rPr>
                <w:rFonts w:hint="eastAsia" w:ascii="宋体" w:hAnsi="宋体" w:eastAsia="宋体" w:cs="宋体"/>
                <w:highlight w:val="none"/>
                <w:lang w:eastAsia="zh-CN"/>
              </w:rPr>
              <w:t>见招标文件第三部分采购需求</w:t>
            </w:r>
          </w:p>
        </w:tc>
        <w:tc>
          <w:tcPr>
            <w:tcW w:w="900" w:type="dxa"/>
            <w:vAlign w:val="center"/>
          </w:tcPr>
          <w:p w14:paraId="7C6785E8">
            <w:pPr>
              <w:spacing w:line="400" w:lineRule="exact"/>
              <w:jc w:val="center"/>
              <w:rPr>
                <w:rFonts w:hint="eastAsia" w:ascii="宋体" w:hAnsi="宋体" w:eastAsia="宋体" w:cs="宋体"/>
                <w:highlight w:val="none"/>
              </w:rPr>
            </w:pPr>
            <w:r>
              <w:rPr>
                <w:rFonts w:hint="eastAsia" w:ascii="宋体" w:hAnsi="宋体" w:eastAsia="宋体" w:cs="宋体"/>
                <w:highlight w:val="none"/>
              </w:rPr>
              <w:t>1</w:t>
            </w:r>
          </w:p>
        </w:tc>
        <w:tc>
          <w:tcPr>
            <w:tcW w:w="868" w:type="dxa"/>
            <w:vAlign w:val="center"/>
          </w:tcPr>
          <w:p w14:paraId="24A0BB42">
            <w:pPr>
              <w:spacing w:line="400" w:lineRule="exact"/>
              <w:jc w:val="center"/>
              <w:rPr>
                <w:rFonts w:hint="default" w:ascii="宋体" w:hAnsi="宋体" w:eastAsia="宋体" w:cs="宋体"/>
                <w:highlight w:val="none"/>
                <w:lang w:val="en-US" w:eastAsia="zh-CN"/>
              </w:rPr>
            </w:pPr>
            <w:r>
              <w:rPr>
                <w:rFonts w:hint="eastAsia" w:ascii="宋体" w:hAnsi="宋体" w:cs="宋体"/>
                <w:highlight w:val="none"/>
                <w:lang w:val="en-US" w:eastAsia="zh-CN"/>
              </w:rPr>
              <w:t>项</w:t>
            </w:r>
          </w:p>
        </w:tc>
        <w:tc>
          <w:tcPr>
            <w:tcW w:w="1590" w:type="dxa"/>
            <w:vAlign w:val="center"/>
          </w:tcPr>
          <w:p w14:paraId="1C2F43D0">
            <w:pPr>
              <w:spacing w:line="400" w:lineRule="exact"/>
              <w:jc w:val="center"/>
              <w:rPr>
                <w:rFonts w:hint="eastAsia" w:ascii="宋体" w:hAnsi="宋体" w:eastAsia="宋体" w:cs="宋体"/>
                <w:highlight w:val="none"/>
                <w:lang w:val="en-US" w:eastAsia="zh-CN"/>
              </w:rPr>
            </w:pPr>
            <w:r>
              <w:rPr>
                <w:rFonts w:hint="eastAsia" w:ascii="宋体" w:hAnsi="宋体" w:cs="宋体"/>
                <w:highlight w:val="none"/>
                <w:lang w:val="en-US" w:eastAsia="zh-CN"/>
              </w:rPr>
              <w:t>1954975</w:t>
            </w:r>
          </w:p>
        </w:tc>
        <w:tc>
          <w:tcPr>
            <w:tcW w:w="752" w:type="dxa"/>
            <w:vAlign w:val="center"/>
          </w:tcPr>
          <w:p w14:paraId="02329127">
            <w:pPr>
              <w:spacing w:line="400" w:lineRule="exact"/>
              <w:jc w:val="both"/>
              <w:rPr>
                <w:rFonts w:hint="default" w:ascii="宋体" w:hAnsi="宋体" w:eastAsia="宋体" w:cs="宋体"/>
                <w:highlight w:val="none"/>
                <w:lang w:val="en-US" w:eastAsia="zh-CN"/>
              </w:rPr>
            </w:pPr>
          </w:p>
        </w:tc>
      </w:tr>
    </w:tbl>
    <w:p w14:paraId="0434046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highlight w:val="none"/>
          <w:lang w:val="en-US" w:eastAsia="zh-CN"/>
        </w:rPr>
      </w:pPr>
      <w:r>
        <w:rPr>
          <w:rFonts w:hint="eastAsia" w:ascii="宋体" w:hAnsi="宋体" w:cs="宋体"/>
          <w:highlight w:val="none"/>
        </w:rPr>
        <w:t>合同履行期限：</w:t>
      </w:r>
      <w:r>
        <w:rPr>
          <w:rFonts w:hint="eastAsia" w:ascii="宋体" w:hAnsi="宋体" w:cs="宋体"/>
          <w:highlight w:val="none"/>
          <w:lang w:val="en-US" w:eastAsia="zh-CN"/>
        </w:rPr>
        <w:t>详见采购文件</w:t>
      </w:r>
      <w:r>
        <w:rPr>
          <w:rFonts w:hint="eastAsia" w:ascii="宋体" w:hAnsi="宋体" w:cs="宋体"/>
          <w:highlight w:val="none"/>
          <w:lang w:eastAsia="zh-CN"/>
        </w:rPr>
        <w:t>。</w:t>
      </w:r>
    </w:p>
    <w:p w14:paraId="0D297DE9">
      <w:pPr>
        <w:spacing w:line="400" w:lineRule="exact"/>
        <w:ind w:firstLine="420" w:firstLineChars="200"/>
        <w:rPr>
          <w:rFonts w:ascii="宋体" w:hAnsi="宋体" w:cs="宋体"/>
          <w:highlight w:val="none"/>
        </w:rPr>
      </w:pPr>
      <w:r>
        <w:rPr>
          <w:rFonts w:hint="eastAsia" w:ascii="宋体" w:hAnsi="宋体" w:cs="宋体"/>
          <w:highlight w:val="none"/>
        </w:rPr>
        <w:t>本项</w:t>
      </w:r>
      <w:r>
        <w:rPr>
          <w:rFonts w:hint="eastAsia" w:ascii="宋体" w:hAnsi="宋体" w:cs="宋体"/>
          <w:highlight w:val="none"/>
          <w:lang w:val="en-US" w:eastAsia="zh-CN"/>
        </w:rPr>
        <w:t>目</w:t>
      </w:r>
      <w:r>
        <w:rPr>
          <w:rFonts w:hint="eastAsia" w:ascii="宋体" w:hAnsi="宋体" w:cs="宋体"/>
          <w:highlight w:val="none"/>
        </w:rPr>
        <w:t>接受联合体投标。</w:t>
      </w:r>
    </w:p>
    <w:p w14:paraId="490D4C07">
      <w:pPr>
        <w:spacing w:line="400" w:lineRule="exact"/>
        <w:jc w:val="left"/>
        <w:rPr>
          <w:rFonts w:ascii="宋体" w:hAnsi="宋体" w:cs="宋体"/>
          <w:b/>
          <w:highlight w:val="none"/>
        </w:rPr>
      </w:pPr>
      <w:bookmarkStart w:id="7" w:name="_Toc28359080"/>
      <w:bookmarkStart w:id="8" w:name="_Toc28359003"/>
      <w:bookmarkStart w:id="9" w:name="_Toc35393791"/>
      <w:bookmarkStart w:id="10" w:name="_Toc35393622"/>
      <w:r>
        <w:rPr>
          <w:rFonts w:hint="eastAsia" w:ascii="宋体" w:hAnsi="宋体" w:cs="宋体"/>
          <w:b/>
          <w:highlight w:val="none"/>
        </w:rPr>
        <w:t>二、申请人的资格要求</w:t>
      </w:r>
      <w:bookmarkEnd w:id="7"/>
      <w:bookmarkEnd w:id="8"/>
      <w:bookmarkEnd w:id="9"/>
      <w:bookmarkEnd w:id="10"/>
    </w:p>
    <w:p w14:paraId="4A42B511">
      <w:pPr>
        <w:spacing w:line="400" w:lineRule="exact"/>
        <w:ind w:firstLine="420" w:firstLineChars="200"/>
        <w:rPr>
          <w:rFonts w:hint="eastAsia" w:ascii="宋体" w:hAnsi="宋体" w:eastAsia="宋体" w:cs="宋体"/>
          <w:highlight w:val="none"/>
          <w:lang w:eastAsia="zh-CN"/>
        </w:rPr>
      </w:pPr>
      <w:bookmarkStart w:id="11" w:name="_Toc35393623"/>
      <w:bookmarkStart w:id="12" w:name="_Toc28359081"/>
      <w:bookmarkStart w:id="13" w:name="_Toc35393792"/>
      <w:bookmarkStart w:id="14" w:name="_Toc28359004"/>
      <w:r>
        <w:rPr>
          <w:rFonts w:hint="eastAsia" w:ascii="宋体" w:hAnsi="宋体" w:cs="宋体"/>
          <w:highlight w:val="none"/>
        </w:rPr>
        <w:t>1.满足《中华人民共和国政府采购法》第二十二条规定</w:t>
      </w:r>
      <w:r>
        <w:rPr>
          <w:rFonts w:hint="eastAsia" w:ascii="宋体" w:hAnsi="宋体" w:cs="宋体"/>
          <w:highlight w:val="none"/>
          <w:lang w:eastAsia="zh-CN"/>
        </w:rPr>
        <w:t>。</w:t>
      </w:r>
    </w:p>
    <w:p w14:paraId="4349D4C2">
      <w:pPr>
        <w:spacing w:line="400" w:lineRule="exact"/>
        <w:ind w:firstLine="420" w:firstLineChars="200"/>
        <w:rPr>
          <w:rFonts w:ascii="宋体" w:hAnsi="宋体" w:cs="宋体"/>
          <w:highlight w:val="none"/>
        </w:rPr>
      </w:pPr>
      <w:r>
        <w:rPr>
          <w:rFonts w:hint="eastAsia" w:ascii="宋体" w:hAnsi="宋体" w:cs="宋体"/>
          <w:highlight w:val="none"/>
          <w:lang w:val="en-US" w:eastAsia="zh-CN"/>
        </w:rPr>
        <w:t>2.</w:t>
      </w:r>
      <w:r>
        <w:rPr>
          <w:rFonts w:hint="eastAsia" w:ascii="宋体" w:hAnsi="宋体" w:cs="宋体"/>
          <w:highlight w:val="none"/>
        </w:rPr>
        <w:t>未被“信用中国”网站（</w:t>
      </w:r>
      <w:r>
        <w:rPr>
          <w:rFonts w:hint="eastAsia" w:ascii="宋体" w:hAnsi="宋体" w:cs="宋体"/>
          <w:highlight w:val="none"/>
          <w:u w:val="single"/>
        </w:rPr>
        <w:t>www.creditchina.gov.cn</w:t>
      </w:r>
      <w:r>
        <w:rPr>
          <w:rFonts w:hint="eastAsia" w:ascii="宋体" w:hAnsi="宋体" w:cs="宋体"/>
          <w:highlight w:val="none"/>
        </w:rPr>
        <w:t>）、中国政府采购网（</w:t>
      </w:r>
      <w:r>
        <w:rPr>
          <w:rFonts w:hint="eastAsia" w:ascii="宋体" w:hAnsi="宋体" w:cs="宋体"/>
          <w:highlight w:val="none"/>
          <w:u w:val="single"/>
        </w:rPr>
        <w:t>www.ccgp.gov.cn</w:t>
      </w:r>
      <w:r>
        <w:rPr>
          <w:rFonts w:hint="eastAsia" w:ascii="宋体" w:hAnsi="宋体" w:cs="宋体"/>
          <w:highlight w:val="none"/>
        </w:rPr>
        <w:t>）列入失信被执行人、重大税收违法当事人名单、政府采购严重违法失信行为记录名单。</w:t>
      </w:r>
    </w:p>
    <w:p w14:paraId="0FCDD2DA">
      <w:pPr>
        <w:spacing w:line="400" w:lineRule="exact"/>
        <w:ind w:firstLine="420" w:firstLineChars="200"/>
        <w:rPr>
          <w:rFonts w:hint="eastAsia" w:ascii="宋体" w:hAnsi="宋体" w:eastAsia="宋体" w:cs="宋体"/>
          <w:color w:val="auto"/>
          <w:highlight w:val="none"/>
          <w:lang w:eastAsia="zh-CN"/>
        </w:rPr>
      </w:pPr>
      <w:r>
        <w:rPr>
          <w:rFonts w:hint="eastAsia" w:ascii="宋体" w:hAnsi="宋体" w:cs="宋体"/>
          <w:highlight w:val="none"/>
          <w:lang w:val="en-US" w:eastAsia="zh-CN"/>
        </w:rPr>
        <w:t>3.</w:t>
      </w:r>
      <w:r>
        <w:rPr>
          <w:rFonts w:hint="eastAsia" w:ascii="宋体" w:hAnsi="宋体" w:cs="宋体"/>
          <w:highlight w:val="none"/>
        </w:rPr>
        <w:t>本项目的特定资格要求：</w:t>
      </w:r>
      <w:r>
        <w:rPr>
          <w:rFonts w:hint="eastAsia" w:ascii="宋体" w:hAnsi="宋体" w:cs="宋体"/>
          <w:highlight w:val="none"/>
          <w:lang w:val="en-US" w:eastAsia="zh-CN"/>
        </w:rPr>
        <w:t>无。</w:t>
      </w:r>
    </w:p>
    <w:bookmarkEnd w:id="11"/>
    <w:bookmarkEnd w:id="12"/>
    <w:bookmarkEnd w:id="13"/>
    <w:bookmarkEnd w:id="14"/>
    <w:p w14:paraId="28B99B54">
      <w:pPr>
        <w:spacing w:line="400" w:lineRule="exact"/>
        <w:jc w:val="left"/>
        <w:rPr>
          <w:rFonts w:ascii="宋体" w:hAnsi="宋体" w:cs="宋体"/>
          <w:b/>
          <w:color w:val="auto"/>
          <w:highlight w:val="none"/>
        </w:rPr>
      </w:pPr>
      <w:r>
        <w:rPr>
          <w:rFonts w:hint="eastAsia" w:ascii="宋体" w:hAnsi="宋体" w:cs="宋体"/>
          <w:b/>
          <w:color w:val="auto"/>
          <w:highlight w:val="none"/>
        </w:rPr>
        <w:t>三、获取招标文件</w:t>
      </w:r>
    </w:p>
    <w:p w14:paraId="297D4A76">
      <w:pPr>
        <w:spacing w:line="400" w:lineRule="exact"/>
        <w:ind w:firstLine="420" w:firstLineChars="200"/>
        <w:rPr>
          <w:rFonts w:ascii="宋体" w:hAnsi="宋体" w:cs="宋体"/>
          <w:color w:val="auto"/>
          <w:highlight w:val="none"/>
        </w:rPr>
      </w:pPr>
      <w:r>
        <w:rPr>
          <w:rFonts w:hint="eastAsia" w:ascii="宋体" w:hAnsi="宋体" w:cs="宋体"/>
          <w:color w:val="auto"/>
          <w:highlight w:val="none"/>
        </w:rPr>
        <w:t>1. 时间：发布公告之日至</w:t>
      </w:r>
      <w:r>
        <w:rPr>
          <w:rFonts w:hint="eastAsia" w:ascii="宋体" w:hAnsi="宋体" w:cs="宋体"/>
          <w:bCs/>
          <w:snapToGrid w:val="0"/>
          <w:color w:val="auto"/>
          <w:highlight w:val="none"/>
          <w:u w:val="single"/>
          <w:lang w:val="en-US" w:eastAsia="zh-CN"/>
        </w:rPr>
        <w:t xml:space="preserve"> 2025 </w:t>
      </w:r>
      <w:r>
        <w:rPr>
          <w:rFonts w:hint="eastAsia" w:ascii="宋体" w:hAnsi="宋体" w:cs="宋体"/>
          <w:bCs/>
          <w:color w:val="auto"/>
          <w:highlight w:val="none"/>
        </w:rPr>
        <w:t>年</w:t>
      </w:r>
      <w:r>
        <w:rPr>
          <w:rFonts w:hint="eastAsia" w:ascii="宋体" w:hAnsi="宋体" w:cs="宋体"/>
          <w:bCs/>
          <w:snapToGrid w:val="0"/>
          <w:color w:val="auto"/>
          <w:highlight w:val="none"/>
          <w:u w:val="single"/>
        </w:rPr>
        <w:t xml:space="preserve"> </w:t>
      </w:r>
      <w:r>
        <w:rPr>
          <w:rFonts w:hint="eastAsia" w:ascii="宋体" w:hAnsi="宋体" w:cs="宋体"/>
          <w:bCs/>
          <w:snapToGrid w:val="0"/>
          <w:color w:val="auto"/>
          <w:highlight w:val="none"/>
          <w:u w:val="single"/>
          <w:lang w:val="en-US" w:eastAsia="zh-CN"/>
        </w:rPr>
        <w:t>5</w:t>
      </w:r>
      <w:r>
        <w:rPr>
          <w:rFonts w:hint="eastAsia" w:ascii="宋体" w:hAnsi="宋体" w:cs="宋体"/>
          <w:bCs/>
          <w:snapToGrid w:val="0"/>
          <w:color w:val="auto"/>
          <w:highlight w:val="none"/>
          <w:u w:val="single"/>
        </w:rPr>
        <w:t xml:space="preserve"> </w:t>
      </w:r>
      <w:r>
        <w:rPr>
          <w:rFonts w:hint="eastAsia" w:ascii="宋体" w:hAnsi="宋体" w:cs="宋体"/>
          <w:bCs/>
          <w:color w:val="auto"/>
          <w:highlight w:val="none"/>
        </w:rPr>
        <w:t>月</w:t>
      </w:r>
      <w:r>
        <w:rPr>
          <w:rFonts w:hint="eastAsia" w:ascii="宋体" w:hAnsi="宋体" w:cs="宋体"/>
          <w:bCs/>
          <w:color w:val="auto"/>
          <w:highlight w:val="none"/>
          <w:u w:val="single"/>
        </w:rPr>
        <w:t xml:space="preserve"> </w:t>
      </w:r>
      <w:r>
        <w:rPr>
          <w:rFonts w:hint="eastAsia" w:ascii="宋体" w:hAnsi="宋体" w:cs="宋体"/>
          <w:bCs/>
          <w:color w:val="auto"/>
          <w:highlight w:val="none"/>
          <w:u w:val="single"/>
          <w:lang w:val="en-US" w:eastAsia="zh-CN"/>
        </w:rPr>
        <w:t>8</w:t>
      </w:r>
      <w:r>
        <w:rPr>
          <w:rFonts w:hint="eastAsia" w:ascii="宋体" w:hAnsi="宋体" w:cs="宋体"/>
          <w:bCs/>
          <w:color w:val="auto"/>
          <w:highlight w:val="none"/>
          <w:u w:val="single"/>
        </w:rPr>
        <w:t xml:space="preserve"> </w:t>
      </w:r>
      <w:r>
        <w:rPr>
          <w:rFonts w:hint="eastAsia" w:ascii="宋体" w:hAnsi="宋体" w:cs="宋体"/>
          <w:bCs/>
          <w:color w:val="auto"/>
          <w:highlight w:val="none"/>
        </w:rPr>
        <w:t>日</w:t>
      </w:r>
      <w:r>
        <w:rPr>
          <w:rFonts w:hint="eastAsia" w:ascii="宋体" w:hAnsi="宋体" w:cs="宋体"/>
          <w:bCs/>
          <w:snapToGrid w:val="0"/>
          <w:color w:val="auto"/>
          <w:highlight w:val="none"/>
          <w:u w:val="single"/>
          <w:lang w:val="en-US" w:eastAsia="zh-CN"/>
        </w:rPr>
        <w:t>9</w:t>
      </w:r>
      <w:r>
        <w:rPr>
          <w:rFonts w:hint="eastAsia" w:ascii="宋体" w:hAnsi="宋体" w:cs="宋体"/>
          <w:bCs/>
          <w:snapToGrid w:val="0"/>
          <w:color w:val="auto"/>
          <w:highlight w:val="none"/>
          <w:u w:val="single"/>
        </w:rPr>
        <w:t>:30</w:t>
      </w:r>
      <w:r>
        <w:rPr>
          <w:rFonts w:hint="eastAsia" w:ascii="宋体" w:hAnsi="宋体" w:cs="宋体"/>
          <w:color w:val="auto"/>
          <w:highlight w:val="none"/>
        </w:rPr>
        <w:t>，每天上午00:00至12:00，下午12:00至23:59（北京时间，法定节假日除外）</w:t>
      </w:r>
    </w:p>
    <w:p w14:paraId="57F6DFEB">
      <w:pPr>
        <w:spacing w:line="400" w:lineRule="exact"/>
        <w:ind w:firstLine="420" w:firstLineChars="200"/>
        <w:rPr>
          <w:rFonts w:ascii="宋体" w:hAnsi="宋体" w:cs="宋体"/>
          <w:color w:val="auto"/>
          <w:highlight w:val="none"/>
        </w:rPr>
      </w:pPr>
      <w:r>
        <w:rPr>
          <w:rFonts w:hint="eastAsia" w:ascii="宋体" w:hAnsi="宋体" w:cs="宋体"/>
          <w:color w:val="auto"/>
          <w:highlight w:val="none"/>
        </w:rPr>
        <w:t>2. 地点：乐采云平台(www.lecaiyun.com)线上</w:t>
      </w:r>
    </w:p>
    <w:p w14:paraId="16082CF2">
      <w:pPr>
        <w:spacing w:line="400" w:lineRule="exact"/>
        <w:ind w:firstLine="420" w:firstLineChars="200"/>
        <w:rPr>
          <w:rFonts w:ascii="宋体" w:hAnsi="宋体" w:cs="宋体"/>
          <w:highlight w:val="none"/>
        </w:rPr>
      </w:pPr>
      <w:r>
        <w:rPr>
          <w:rFonts w:hint="eastAsia" w:ascii="宋体" w:hAnsi="宋体" w:cs="宋体"/>
          <w:highlight w:val="none"/>
        </w:rPr>
        <w:t>3. 方式：供应商登录乐采云平台(www.lecaiyun.com)在线申请获取采购文件（进入“项目采购”应用，在获取采购文件菜单中选择项目，申请获取采购文件）</w:t>
      </w:r>
    </w:p>
    <w:p w14:paraId="3BB20A7E">
      <w:pPr>
        <w:spacing w:line="400" w:lineRule="exact"/>
        <w:ind w:firstLine="420" w:firstLineChars="200"/>
        <w:rPr>
          <w:rFonts w:hint="eastAsia" w:ascii="宋体" w:hAnsi="宋体" w:eastAsia="宋体" w:cs="宋体"/>
          <w:b/>
          <w:color w:val="auto"/>
          <w:highlight w:val="none"/>
          <w:lang w:val="en-US" w:eastAsia="zh-CN"/>
        </w:rPr>
      </w:pPr>
      <w:r>
        <w:rPr>
          <w:rFonts w:hint="eastAsia" w:ascii="宋体" w:hAnsi="宋体" w:cs="宋体"/>
          <w:highlight w:val="none"/>
        </w:rPr>
        <w:t>4. 售价：0元</w:t>
      </w:r>
      <w:bookmarkStart w:id="15" w:name="_Toc35393794"/>
      <w:bookmarkStart w:id="16" w:name="_Toc35393625"/>
      <w:bookmarkStart w:id="17" w:name="_Toc28359084"/>
      <w:bookmarkStart w:id="18" w:name="_Toc28359007"/>
    </w:p>
    <w:p w14:paraId="30F40541">
      <w:pPr>
        <w:spacing w:line="400" w:lineRule="exact"/>
        <w:rPr>
          <w:rFonts w:hint="eastAsia" w:ascii="宋体" w:hAnsi="宋体" w:eastAsia="宋体" w:cs="宋体"/>
          <w:color w:val="auto"/>
          <w:highlight w:val="none"/>
        </w:rPr>
      </w:pPr>
      <w:r>
        <w:rPr>
          <w:rFonts w:hint="eastAsia" w:ascii="宋体" w:hAnsi="宋体" w:eastAsia="宋体" w:cs="宋体"/>
          <w:b/>
          <w:color w:val="auto"/>
          <w:highlight w:val="none"/>
          <w:lang w:val="en-US" w:eastAsia="zh-CN"/>
        </w:rPr>
        <w:t>四、响应文件提交 </w:t>
      </w:r>
      <w:r>
        <w:rPr>
          <w:rFonts w:hint="eastAsia" w:ascii="宋体" w:hAnsi="宋体" w:eastAsia="宋体" w:cs="宋体"/>
          <w:color w:val="auto"/>
          <w:highlight w:val="none"/>
        </w:rPr>
        <w:t xml:space="preserve">  </w:t>
      </w:r>
    </w:p>
    <w:p w14:paraId="675B29F4">
      <w:pPr>
        <w:spacing w:line="400" w:lineRule="exact"/>
        <w:ind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 截止时间：</w:t>
      </w:r>
      <w:r>
        <w:rPr>
          <w:rFonts w:hint="eastAsia" w:ascii="宋体" w:hAnsi="宋体" w:cs="宋体"/>
          <w:bCs/>
          <w:snapToGrid w:val="0"/>
          <w:color w:val="auto"/>
          <w:highlight w:val="none"/>
          <w:u w:val="single"/>
          <w:lang w:val="en-US" w:eastAsia="zh-CN"/>
        </w:rPr>
        <w:t xml:space="preserve"> 2025 </w:t>
      </w:r>
      <w:r>
        <w:rPr>
          <w:rFonts w:hint="eastAsia" w:ascii="宋体" w:hAnsi="宋体" w:cs="宋体"/>
          <w:bCs/>
          <w:color w:val="auto"/>
          <w:highlight w:val="none"/>
        </w:rPr>
        <w:t>年</w:t>
      </w:r>
      <w:r>
        <w:rPr>
          <w:rFonts w:hint="eastAsia" w:ascii="宋体" w:hAnsi="宋体" w:cs="宋体"/>
          <w:bCs/>
          <w:snapToGrid w:val="0"/>
          <w:color w:val="auto"/>
          <w:highlight w:val="none"/>
          <w:u w:val="single"/>
        </w:rPr>
        <w:t xml:space="preserve"> </w:t>
      </w:r>
      <w:r>
        <w:rPr>
          <w:rFonts w:hint="eastAsia" w:ascii="宋体" w:hAnsi="宋体" w:cs="宋体"/>
          <w:bCs/>
          <w:snapToGrid w:val="0"/>
          <w:color w:val="auto"/>
          <w:highlight w:val="none"/>
          <w:u w:val="single"/>
          <w:lang w:val="en-US" w:eastAsia="zh-CN"/>
        </w:rPr>
        <w:t>5</w:t>
      </w:r>
      <w:r>
        <w:rPr>
          <w:rFonts w:hint="eastAsia" w:ascii="宋体" w:hAnsi="宋体" w:cs="宋体"/>
          <w:bCs/>
          <w:snapToGrid w:val="0"/>
          <w:color w:val="auto"/>
          <w:highlight w:val="none"/>
          <w:u w:val="single"/>
        </w:rPr>
        <w:t xml:space="preserve"> </w:t>
      </w:r>
      <w:r>
        <w:rPr>
          <w:rFonts w:hint="eastAsia" w:ascii="宋体" w:hAnsi="宋体" w:cs="宋体"/>
          <w:bCs/>
          <w:color w:val="auto"/>
          <w:highlight w:val="none"/>
        </w:rPr>
        <w:t>月</w:t>
      </w:r>
      <w:r>
        <w:rPr>
          <w:rFonts w:hint="eastAsia" w:ascii="宋体" w:hAnsi="宋体" w:cs="宋体"/>
          <w:bCs/>
          <w:color w:val="auto"/>
          <w:highlight w:val="none"/>
          <w:u w:val="single"/>
        </w:rPr>
        <w:t xml:space="preserve"> </w:t>
      </w:r>
      <w:r>
        <w:rPr>
          <w:rFonts w:hint="eastAsia" w:ascii="宋体" w:hAnsi="宋体" w:cs="宋体"/>
          <w:bCs/>
          <w:color w:val="auto"/>
          <w:highlight w:val="none"/>
          <w:u w:val="single"/>
          <w:lang w:val="en-US" w:eastAsia="zh-CN"/>
        </w:rPr>
        <w:t>8</w:t>
      </w:r>
      <w:r>
        <w:rPr>
          <w:rFonts w:hint="eastAsia" w:ascii="宋体" w:hAnsi="宋体" w:cs="宋体"/>
          <w:bCs/>
          <w:color w:val="auto"/>
          <w:highlight w:val="none"/>
          <w:u w:val="single"/>
        </w:rPr>
        <w:t xml:space="preserve"> </w:t>
      </w:r>
      <w:r>
        <w:rPr>
          <w:rFonts w:hint="eastAsia" w:ascii="宋体" w:hAnsi="宋体" w:cs="宋体"/>
          <w:bCs/>
          <w:color w:val="auto"/>
          <w:highlight w:val="none"/>
        </w:rPr>
        <w:t>日</w:t>
      </w:r>
      <w:r>
        <w:rPr>
          <w:rFonts w:hint="eastAsia" w:ascii="宋体" w:hAnsi="宋体" w:cs="宋体"/>
          <w:bCs/>
          <w:snapToGrid w:val="0"/>
          <w:color w:val="auto"/>
          <w:highlight w:val="none"/>
          <w:u w:val="single"/>
          <w:lang w:val="en-US" w:eastAsia="zh-CN"/>
        </w:rPr>
        <w:t>9</w:t>
      </w:r>
      <w:r>
        <w:rPr>
          <w:rFonts w:hint="eastAsia" w:ascii="宋体" w:hAnsi="宋体" w:cs="宋体"/>
          <w:bCs/>
          <w:snapToGrid w:val="0"/>
          <w:color w:val="auto"/>
          <w:highlight w:val="none"/>
          <w:u w:val="single"/>
        </w:rPr>
        <w:t>:30</w:t>
      </w:r>
      <w:r>
        <w:rPr>
          <w:rFonts w:hint="eastAsia" w:ascii="宋体" w:hAnsi="宋体" w:eastAsia="宋体" w:cs="宋体"/>
          <w:color w:val="auto"/>
          <w:highlight w:val="none"/>
          <w:lang w:val="en-US" w:eastAsia="zh-CN"/>
        </w:rPr>
        <w:t>（北京时间）        </w:t>
      </w:r>
    </w:p>
    <w:p w14:paraId="11A00574">
      <w:pPr>
        <w:spacing w:line="400" w:lineRule="exact"/>
        <w:ind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2.地点：请登录乐采云投标客户端投标，客户端下载地址https://sitecdn.zcycdn.com/zcy-client/bidding-client-new/official/lcy/LeCaiYunSetup.latest.exe</w:t>
      </w:r>
    </w:p>
    <w:p w14:paraId="75351712">
      <w:pPr>
        <w:spacing w:line="400" w:lineRule="exact"/>
        <w:jc w:val="left"/>
        <w:rPr>
          <w:rFonts w:hint="eastAsia" w:ascii="宋体" w:hAnsi="宋体" w:eastAsia="宋体" w:cs="宋体"/>
          <w:b/>
          <w:color w:val="auto"/>
          <w:highlight w:val="none"/>
        </w:rPr>
      </w:pPr>
      <w:r>
        <w:rPr>
          <w:rFonts w:hint="eastAsia" w:ascii="宋体" w:hAnsi="宋体" w:eastAsia="宋体" w:cs="宋体"/>
          <w:b/>
          <w:color w:val="auto"/>
          <w:highlight w:val="none"/>
        </w:rPr>
        <w:t>五、响应文件开启</w:t>
      </w:r>
    </w:p>
    <w:p w14:paraId="0608CBA3">
      <w:pPr>
        <w:spacing w:line="400" w:lineRule="exact"/>
        <w:ind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 开启时间：</w:t>
      </w:r>
      <w:r>
        <w:rPr>
          <w:rFonts w:hint="eastAsia" w:ascii="宋体" w:hAnsi="宋体" w:cs="宋体"/>
          <w:bCs/>
          <w:snapToGrid w:val="0"/>
          <w:color w:val="auto"/>
          <w:highlight w:val="none"/>
          <w:u w:val="single"/>
          <w:lang w:val="en-US" w:eastAsia="zh-CN"/>
        </w:rPr>
        <w:t xml:space="preserve"> 2025 </w:t>
      </w:r>
      <w:r>
        <w:rPr>
          <w:rFonts w:hint="eastAsia" w:ascii="宋体" w:hAnsi="宋体" w:cs="宋体"/>
          <w:bCs/>
          <w:color w:val="auto"/>
          <w:highlight w:val="none"/>
        </w:rPr>
        <w:t>年</w:t>
      </w:r>
      <w:r>
        <w:rPr>
          <w:rFonts w:hint="eastAsia" w:ascii="宋体" w:hAnsi="宋体" w:cs="宋体"/>
          <w:bCs/>
          <w:snapToGrid w:val="0"/>
          <w:color w:val="auto"/>
          <w:highlight w:val="none"/>
          <w:u w:val="single"/>
        </w:rPr>
        <w:t xml:space="preserve"> </w:t>
      </w:r>
      <w:r>
        <w:rPr>
          <w:rFonts w:hint="eastAsia" w:ascii="宋体" w:hAnsi="宋体" w:cs="宋体"/>
          <w:bCs/>
          <w:snapToGrid w:val="0"/>
          <w:color w:val="auto"/>
          <w:highlight w:val="none"/>
          <w:u w:val="single"/>
          <w:lang w:val="en-US" w:eastAsia="zh-CN"/>
        </w:rPr>
        <w:t>5</w:t>
      </w:r>
      <w:r>
        <w:rPr>
          <w:rFonts w:hint="eastAsia" w:ascii="宋体" w:hAnsi="宋体" w:cs="宋体"/>
          <w:bCs/>
          <w:snapToGrid w:val="0"/>
          <w:color w:val="auto"/>
          <w:highlight w:val="none"/>
          <w:u w:val="single"/>
        </w:rPr>
        <w:t xml:space="preserve"> </w:t>
      </w:r>
      <w:r>
        <w:rPr>
          <w:rFonts w:hint="eastAsia" w:ascii="宋体" w:hAnsi="宋体" w:cs="宋体"/>
          <w:bCs/>
          <w:color w:val="auto"/>
          <w:highlight w:val="none"/>
        </w:rPr>
        <w:t>月</w:t>
      </w:r>
      <w:r>
        <w:rPr>
          <w:rFonts w:hint="eastAsia" w:ascii="宋体" w:hAnsi="宋体" w:cs="宋体"/>
          <w:bCs/>
          <w:color w:val="auto"/>
          <w:highlight w:val="none"/>
          <w:u w:val="single"/>
        </w:rPr>
        <w:t xml:space="preserve"> </w:t>
      </w:r>
      <w:r>
        <w:rPr>
          <w:rFonts w:hint="eastAsia" w:ascii="宋体" w:hAnsi="宋体" w:cs="宋体"/>
          <w:bCs/>
          <w:color w:val="auto"/>
          <w:highlight w:val="none"/>
          <w:u w:val="single"/>
          <w:lang w:val="en-US" w:eastAsia="zh-CN"/>
        </w:rPr>
        <w:t>8</w:t>
      </w:r>
      <w:r>
        <w:rPr>
          <w:rFonts w:hint="eastAsia" w:ascii="宋体" w:hAnsi="宋体" w:cs="宋体"/>
          <w:bCs/>
          <w:color w:val="auto"/>
          <w:highlight w:val="none"/>
          <w:u w:val="single"/>
        </w:rPr>
        <w:t xml:space="preserve"> </w:t>
      </w:r>
      <w:r>
        <w:rPr>
          <w:rFonts w:hint="eastAsia" w:ascii="宋体" w:hAnsi="宋体" w:cs="宋体"/>
          <w:bCs/>
          <w:color w:val="auto"/>
          <w:highlight w:val="none"/>
        </w:rPr>
        <w:t>日</w:t>
      </w:r>
      <w:r>
        <w:rPr>
          <w:rFonts w:hint="eastAsia" w:ascii="宋体" w:hAnsi="宋体" w:cs="宋体"/>
          <w:bCs/>
          <w:snapToGrid w:val="0"/>
          <w:color w:val="auto"/>
          <w:highlight w:val="none"/>
          <w:u w:val="single"/>
          <w:lang w:val="en-US" w:eastAsia="zh-CN"/>
        </w:rPr>
        <w:t>9</w:t>
      </w:r>
      <w:r>
        <w:rPr>
          <w:rFonts w:hint="eastAsia" w:ascii="宋体" w:hAnsi="宋体" w:cs="宋体"/>
          <w:bCs/>
          <w:snapToGrid w:val="0"/>
          <w:color w:val="auto"/>
          <w:highlight w:val="none"/>
          <w:u w:val="single"/>
        </w:rPr>
        <w:t>:30</w:t>
      </w:r>
      <w:r>
        <w:rPr>
          <w:rFonts w:hint="eastAsia" w:ascii="宋体" w:hAnsi="宋体" w:eastAsia="宋体" w:cs="宋体"/>
          <w:color w:val="auto"/>
          <w:highlight w:val="none"/>
          <w:lang w:val="en-US" w:eastAsia="zh-CN"/>
        </w:rPr>
        <w:t>（北京时间）</w:t>
      </w:r>
    </w:p>
    <w:p w14:paraId="31DF82C2">
      <w:pPr>
        <w:spacing w:line="400" w:lineRule="exact"/>
        <w:ind w:firstLine="420" w:firstLineChars="200"/>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 地点：乐采云平台(www.lecaiyun.com)线上  </w:t>
      </w:r>
    </w:p>
    <w:p w14:paraId="4485955F">
      <w:pPr>
        <w:spacing w:line="400" w:lineRule="exact"/>
        <w:jc w:val="left"/>
        <w:rPr>
          <w:rFonts w:ascii="宋体" w:hAnsi="宋体" w:cs="宋体"/>
          <w:b/>
          <w:color w:val="auto"/>
          <w:highlight w:val="none"/>
        </w:rPr>
      </w:pPr>
      <w:r>
        <w:rPr>
          <w:rFonts w:hint="eastAsia" w:ascii="宋体" w:hAnsi="宋体" w:cs="宋体"/>
          <w:b/>
          <w:color w:val="auto"/>
          <w:highlight w:val="none"/>
          <w:lang w:val="en-US" w:eastAsia="zh-CN"/>
        </w:rPr>
        <w:t>六、</w:t>
      </w:r>
      <w:r>
        <w:rPr>
          <w:rFonts w:hint="eastAsia" w:ascii="宋体" w:hAnsi="宋体" w:cs="宋体"/>
          <w:b/>
          <w:color w:val="auto"/>
          <w:highlight w:val="none"/>
        </w:rPr>
        <w:t>公告期限</w:t>
      </w:r>
      <w:bookmarkEnd w:id="15"/>
      <w:bookmarkEnd w:id="16"/>
      <w:bookmarkEnd w:id="17"/>
      <w:bookmarkEnd w:id="18"/>
    </w:p>
    <w:p w14:paraId="1CE93557">
      <w:pPr>
        <w:spacing w:line="400" w:lineRule="exact"/>
        <w:ind w:firstLine="420" w:firstLineChars="200"/>
        <w:rPr>
          <w:rFonts w:ascii="宋体" w:hAnsi="宋体" w:cs="宋体"/>
          <w:color w:val="auto"/>
          <w:kern w:val="0"/>
          <w:highlight w:val="none"/>
        </w:rPr>
      </w:pPr>
      <w:r>
        <w:rPr>
          <w:rFonts w:hint="eastAsia" w:ascii="宋体" w:hAnsi="宋体" w:cs="宋体"/>
          <w:color w:val="auto"/>
          <w:kern w:val="0"/>
          <w:highlight w:val="none"/>
        </w:rPr>
        <w:t>自本公告发布之日起5个工作日。</w:t>
      </w:r>
    </w:p>
    <w:p w14:paraId="3C09CDB6">
      <w:pPr>
        <w:spacing w:line="400" w:lineRule="exact"/>
        <w:jc w:val="left"/>
        <w:rPr>
          <w:rFonts w:ascii="宋体" w:hAnsi="宋体" w:cs="宋体"/>
          <w:b/>
          <w:color w:val="auto"/>
          <w:highlight w:val="none"/>
        </w:rPr>
      </w:pPr>
      <w:bookmarkStart w:id="19" w:name="_Toc35393626"/>
      <w:bookmarkStart w:id="20" w:name="_Toc35393795"/>
      <w:r>
        <w:rPr>
          <w:rFonts w:hint="eastAsia" w:ascii="宋体" w:hAnsi="宋体" w:cs="宋体"/>
          <w:b/>
          <w:color w:val="auto"/>
          <w:highlight w:val="none"/>
          <w:lang w:val="en-US" w:eastAsia="zh-CN"/>
        </w:rPr>
        <w:t>七</w:t>
      </w:r>
      <w:r>
        <w:rPr>
          <w:rFonts w:hint="eastAsia" w:ascii="宋体" w:hAnsi="宋体" w:cs="宋体"/>
          <w:b/>
          <w:color w:val="auto"/>
          <w:highlight w:val="none"/>
        </w:rPr>
        <w:t>、其他补充事宜</w:t>
      </w:r>
      <w:bookmarkEnd w:id="19"/>
      <w:bookmarkEnd w:id="20"/>
    </w:p>
    <w:p w14:paraId="07B1728F">
      <w:pPr>
        <w:spacing w:line="400" w:lineRule="exact"/>
        <w:ind w:firstLine="420" w:firstLineChars="200"/>
        <w:rPr>
          <w:rFonts w:hint="eastAsia" w:ascii="宋体" w:hAnsi="宋体" w:eastAsia="宋体" w:cs="宋体"/>
          <w:highlight w:val="none"/>
        </w:rPr>
      </w:pPr>
      <w:r>
        <w:rPr>
          <w:rFonts w:hint="eastAsia" w:ascii="宋体" w:hAnsi="宋体" w:eastAsia="宋体" w:cs="宋体"/>
          <w:highlight w:val="none"/>
        </w:rPr>
        <w:t>无</w:t>
      </w:r>
    </w:p>
    <w:p w14:paraId="4C26A997">
      <w:pPr>
        <w:spacing w:line="400" w:lineRule="exact"/>
        <w:jc w:val="left"/>
        <w:rPr>
          <w:rFonts w:ascii="宋体" w:hAnsi="宋体" w:cs="宋体"/>
          <w:b/>
          <w:highlight w:val="none"/>
        </w:rPr>
      </w:pPr>
      <w:bookmarkStart w:id="21" w:name="_Toc28359008"/>
      <w:bookmarkStart w:id="22" w:name="_Toc28359085"/>
      <w:bookmarkStart w:id="23" w:name="_Toc35393627"/>
      <w:bookmarkStart w:id="24" w:name="_Toc35393796"/>
      <w:r>
        <w:rPr>
          <w:rFonts w:hint="eastAsia" w:ascii="宋体" w:hAnsi="宋体" w:cs="宋体"/>
          <w:b/>
          <w:highlight w:val="none"/>
          <w:lang w:val="en-US" w:eastAsia="zh-CN"/>
        </w:rPr>
        <w:t>八</w:t>
      </w:r>
      <w:r>
        <w:rPr>
          <w:rFonts w:hint="eastAsia" w:ascii="宋体" w:hAnsi="宋体" w:cs="宋体"/>
          <w:b/>
          <w:highlight w:val="none"/>
        </w:rPr>
        <w:t>、</w:t>
      </w:r>
      <w:bookmarkEnd w:id="21"/>
      <w:bookmarkEnd w:id="22"/>
      <w:bookmarkEnd w:id="23"/>
      <w:bookmarkEnd w:id="24"/>
      <w:r>
        <w:rPr>
          <w:rFonts w:hint="eastAsia" w:ascii="宋体" w:hAnsi="宋体" w:cs="宋体"/>
          <w:b/>
          <w:bCs/>
          <w:highlight w:val="none"/>
        </w:rPr>
        <w:t>对本次招标提出询问、质疑、投诉，请按以下方式联系</w:t>
      </w:r>
    </w:p>
    <w:bookmarkEnd w:id="6"/>
    <w:p w14:paraId="0253163A">
      <w:pPr>
        <w:adjustRightInd w:val="0"/>
        <w:spacing w:line="400" w:lineRule="exact"/>
        <w:ind w:firstLine="420" w:firstLineChars="200"/>
        <w:rPr>
          <w:rFonts w:hint="eastAsia" w:ascii="宋体" w:hAnsi="宋体" w:cs="宋体"/>
          <w:highlight w:val="none"/>
        </w:rPr>
      </w:pPr>
      <w:r>
        <w:rPr>
          <w:rFonts w:hint="eastAsia" w:ascii="宋体" w:hAnsi="宋体" w:cs="宋体"/>
          <w:highlight w:val="none"/>
        </w:rPr>
        <w:t>1.采购人信息</w:t>
      </w:r>
    </w:p>
    <w:p w14:paraId="408678B4">
      <w:pPr>
        <w:adjustRightInd w:val="0"/>
        <w:spacing w:line="400" w:lineRule="exact"/>
        <w:ind w:firstLine="420" w:firstLineChars="200"/>
        <w:rPr>
          <w:rFonts w:hint="eastAsia" w:ascii="宋体" w:hAnsi="宋体" w:eastAsia="宋体" w:cs="宋体"/>
          <w:color w:val="000000"/>
          <w:highlight w:val="none"/>
          <w:lang w:val="zh-TW" w:eastAsia="zh-CN"/>
        </w:rPr>
      </w:pPr>
      <w:r>
        <w:rPr>
          <w:rFonts w:hint="eastAsia" w:ascii="宋体" w:hAnsi="宋体" w:cs="宋体"/>
          <w:highlight w:val="none"/>
          <w:lang w:val="zh-TW" w:eastAsia="zh-TW"/>
        </w:rPr>
        <w:t>名</w:t>
      </w:r>
      <w:r>
        <w:rPr>
          <w:rFonts w:hint="eastAsia" w:ascii="宋体" w:hAnsi="宋体" w:cs="宋体"/>
          <w:highlight w:val="none"/>
          <w:lang w:val="zh-TW"/>
        </w:rPr>
        <w:t xml:space="preserve"> </w:t>
      </w:r>
      <w:r>
        <w:rPr>
          <w:rFonts w:hint="eastAsia" w:ascii="宋体" w:hAnsi="宋体" w:cs="宋体"/>
          <w:highlight w:val="none"/>
          <w:lang w:val="zh-TW" w:eastAsia="zh-TW"/>
        </w:rPr>
        <w:t xml:space="preserve">  称：</w:t>
      </w:r>
      <w:r>
        <w:rPr>
          <w:rFonts w:hint="eastAsia" w:ascii="宋体" w:hAnsi="宋体" w:cs="宋体"/>
          <w:highlight w:val="none"/>
          <w:lang w:val="zh-TW" w:eastAsia="zh-CN"/>
        </w:rPr>
        <w:t>新昌县</w:t>
      </w:r>
      <w:r>
        <w:rPr>
          <w:rFonts w:hint="eastAsia" w:ascii="宋体" w:hAnsi="宋体" w:cs="宋体"/>
          <w:color w:val="000000"/>
          <w:highlight w:val="none"/>
          <w:lang w:val="zh-TW" w:eastAsia="zh-CN"/>
        </w:rPr>
        <w:t>工业园区投资发展集团有限公司</w:t>
      </w:r>
    </w:p>
    <w:p w14:paraId="7D263218">
      <w:pPr>
        <w:adjustRightInd w:val="0"/>
        <w:spacing w:line="400" w:lineRule="exact"/>
        <w:ind w:firstLine="420" w:firstLineChars="200"/>
        <w:rPr>
          <w:rFonts w:hint="eastAsia" w:ascii="宋体" w:hAnsi="宋体" w:eastAsia="宋体" w:cs="宋体"/>
          <w:color w:val="000000"/>
          <w:highlight w:val="none"/>
          <w:lang w:val="zh-TW" w:eastAsia="zh-CN"/>
        </w:rPr>
      </w:pPr>
      <w:r>
        <w:rPr>
          <w:rFonts w:hint="eastAsia" w:ascii="宋体" w:hAnsi="宋体" w:cs="宋体"/>
          <w:color w:val="000000"/>
          <w:highlight w:val="none"/>
          <w:lang w:val="zh-TW"/>
        </w:rPr>
        <w:t xml:space="preserve">地 </w:t>
      </w:r>
      <w:r>
        <w:rPr>
          <w:rFonts w:hint="eastAsia" w:ascii="宋体" w:hAnsi="宋体" w:cs="宋体"/>
          <w:color w:val="000000"/>
          <w:highlight w:val="none"/>
          <w:lang w:val="zh-TW" w:eastAsia="zh-TW"/>
        </w:rPr>
        <w:t xml:space="preserve">  </w:t>
      </w:r>
      <w:r>
        <w:rPr>
          <w:rFonts w:hint="eastAsia" w:ascii="宋体" w:hAnsi="宋体" w:cs="宋体"/>
          <w:color w:val="000000"/>
          <w:highlight w:val="none"/>
          <w:lang w:val="zh-TW"/>
        </w:rPr>
        <w:t>址：</w:t>
      </w:r>
      <w:r>
        <w:rPr>
          <w:rFonts w:hint="eastAsia" w:ascii="宋体" w:hAnsi="宋体" w:cs="宋体"/>
          <w:color w:val="000000"/>
          <w:highlight w:val="none"/>
          <w:lang w:val="zh-TW" w:eastAsia="zh-CN"/>
        </w:rPr>
        <w:t>浙江省新昌县三花路2号</w:t>
      </w:r>
    </w:p>
    <w:p w14:paraId="6424F9FF">
      <w:pPr>
        <w:adjustRightInd w:val="0"/>
        <w:spacing w:line="400" w:lineRule="exact"/>
        <w:ind w:firstLine="420" w:firstLineChars="200"/>
        <w:rPr>
          <w:rFonts w:hint="default" w:ascii="宋体" w:hAnsi="宋体" w:eastAsia="宋体" w:cs="宋体"/>
          <w:color w:val="000000"/>
          <w:highlight w:val="none"/>
          <w:lang w:val="en-US" w:eastAsia="zh-CN"/>
        </w:rPr>
      </w:pPr>
      <w:r>
        <w:rPr>
          <w:rFonts w:hint="eastAsia" w:ascii="宋体" w:hAnsi="宋体" w:cs="宋体"/>
          <w:color w:val="000000"/>
          <w:highlight w:val="none"/>
          <w:lang w:val="zh-TW" w:eastAsia="zh-TW"/>
        </w:rPr>
        <w:t>项目联系人：</w:t>
      </w:r>
      <w:r>
        <w:rPr>
          <w:rFonts w:hint="eastAsia" w:ascii="宋体" w:hAnsi="宋体" w:cs="宋体"/>
          <w:color w:val="000000"/>
          <w:highlight w:val="none"/>
          <w:lang w:val="en-US" w:eastAsia="zh-CN"/>
        </w:rPr>
        <w:t>俞女士</w:t>
      </w:r>
    </w:p>
    <w:p w14:paraId="3DB9CC73">
      <w:pPr>
        <w:adjustRightInd w:val="0"/>
        <w:spacing w:line="400" w:lineRule="exact"/>
        <w:ind w:firstLine="420" w:firstLineChars="200"/>
        <w:rPr>
          <w:rFonts w:hint="eastAsia" w:ascii="宋体" w:hAnsi="宋体" w:eastAsia="宋体" w:cs="宋体"/>
          <w:color w:val="000000"/>
          <w:highlight w:val="none"/>
          <w:lang w:val="zh-TW" w:eastAsia="zh-CN"/>
        </w:rPr>
      </w:pPr>
      <w:r>
        <w:rPr>
          <w:rFonts w:hint="eastAsia" w:ascii="宋体" w:hAnsi="宋体" w:cs="宋体"/>
          <w:color w:val="000000"/>
          <w:highlight w:val="none"/>
          <w:lang w:val="zh-TW" w:eastAsia="zh-TW"/>
        </w:rPr>
        <w:t>项目联系方式：</w:t>
      </w:r>
      <w:r>
        <w:rPr>
          <w:rFonts w:hint="eastAsia" w:ascii="宋体" w:hAnsi="宋体" w:cs="宋体"/>
          <w:color w:val="000000"/>
          <w:highlight w:val="none"/>
          <w:lang w:val="zh-TW" w:eastAsia="zh-CN"/>
        </w:rPr>
        <w:t>0575-86292070</w:t>
      </w:r>
    </w:p>
    <w:p w14:paraId="00E056A5">
      <w:pPr>
        <w:adjustRightInd w:val="0"/>
        <w:spacing w:line="400" w:lineRule="exact"/>
        <w:ind w:firstLine="420" w:firstLineChars="200"/>
        <w:rPr>
          <w:rFonts w:ascii="宋体" w:hAnsi="宋体" w:cs="宋体"/>
          <w:highlight w:val="none"/>
        </w:rPr>
      </w:pPr>
      <w:r>
        <w:rPr>
          <w:rFonts w:hint="eastAsia" w:ascii="宋体" w:hAnsi="宋体" w:cs="宋体"/>
          <w:highlight w:val="none"/>
        </w:rPr>
        <w:t xml:space="preserve">2.采购代理机构信息            </w:t>
      </w:r>
    </w:p>
    <w:p w14:paraId="77F528E5">
      <w:pPr>
        <w:adjustRightInd w:val="0"/>
        <w:spacing w:line="400" w:lineRule="exact"/>
        <w:ind w:firstLine="420" w:firstLineChars="200"/>
        <w:rPr>
          <w:rFonts w:ascii="宋体" w:hAnsi="宋体" w:cs="宋体"/>
          <w:highlight w:val="none"/>
          <w:lang w:val="zh-TW" w:eastAsia="zh-TW"/>
        </w:rPr>
      </w:pPr>
      <w:r>
        <w:rPr>
          <w:rFonts w:hint="eastAsia" w:ascii="宋体" w:hAnsi="宋体" w:cs="宋体"/>
          <w:highlight w:val="none"/>
          <w:lang w:val="zh-TW" w:eastAsia="zh-TW"/>
        </w:rPr>
        <w:t>名 称：</w:t>
      </w:r>
      <w:r>
        <w:rPr>
          <w:rFonts w:hint="eastAsia" w:ascii="宋体" w:hAnsi="宋体" w:cs="宋体"/>
          <w:highlight w:val="none"/>
          <w:lang w:val="zh-TW" w:eastAsia="zh-CN"/>
        </w:rPr>
        <w:t>新昌县同启项目管理有限公司</w:t>
      </w:r>
      <w:r>
        <w:rPr>
          <w:rFonts w:hint="eastAsia" w:ascii="宋体" w:hAnsi="宋体" w:cs="宋体"/>
          <w:highlight w:val="none"/>
          <w:lang w:val="zh-TW" w:eastAsia="zh-TW"/>
        </w:rPr>
        <w:t> 　　　　　　　　　　　</w:t>
      </w:r>
    </w:p>
    <w:p w14:paraId="03867D5F">
      <w:pPr>
        <w:adjustRightInd w:val="0"/>
        <w:spacing w:line="400" w:lineRule="exact"/>
        <w:ind w:firstLine="420" w:firstLineChars="200"/>
        <w:rPr>
          <w:rFonts w:ascii="宋体" w:hAnsi="宋体" w:cs="宋体"/>
          <w:highlight w:val="none"/>
          <w:lang w:val="zh-TW" w:eastAsia="zh-TW"/>
        </w:rPr>
      </w:pPr>
      <w:r>
        <w:rPr>
          <w:rFonts w:hint="eastAsia" w:ascii="宋体" w:hAnsi="宋体" w:cs="宋体"/>
          <w:highlight w:val="none"/>
          <w:lang w:val="zh-TW" w:eastAsia="zh-TW"/>
        </w:rPr>
        <w:t>地 址：</w:t>
      </w:r>
      <w:r>
        <w:rPr>
          <w:rFonts w:hint="eastAsia" w:ascii="宋体" w:hAnsi="宋体" w:cs="宋体"/>
          <w:highlight w:val="none"/>
          <w:lang w:val="zh-TW"/>
        </w:rPr>
        <w:t>新昌县七星街道文锦东苑体育场路</w:t>
      </w:r>
      <w:r>
        <w:rPr>
          <w:rFonts w:hint="eastAsia" w:ascii="宋体" w:hAnsi="宋体" w:cs="宋体"/>
          <w:highlight w:val="none"/>
        </w:rPr>
        <w:t>98号</w:t>
      </w:r>
      <w:r>
        <w:rPr>
          <w:rFonts w:hint="eastAsia" w:ascii="宋体" w:hAnsi="宋体" w:cs="宋体"/>
          <w:highlight w:val="none"/>
          <w:lang w:val="zh-TW" w:eastAsia="zh-TW"/>
        </w:rPr>
        <w:t xml:space="preserve">  　   　</w:t>
      </w:r>
    </w:p>
    <w:p w14:paraId="4E4B73B8">
      <w:pPr>
        <w:adjustRightInd w:val="0"/>
        <w:spacing w:line="400" w:lineRule="exact"/>
        <w:ind w:firstLine="420" w:firstLineChars="200"/>
        <w:rPr>
          <w:rFonts w:ascii="宋体" w:hAnsi="宋体" w:cs="宋体"/>
          <w:highlight w:val="none"/>
        </w:rPr>
      </w:pPr>
      <w:r>
        <w:rPr>
          <w:rFonts w:hint="eastAsia" w:ascii="宋体" w:hAnsi="宋体" w:cs="宋体"/>
          <w:highlight w:val="none"/>
          <w:lang w:val="zh-TW" w:eastAsia="zh-TW"/>
        </w:rPr>
        <w:t>项目联系人：</w:t>
      </w:r>
      <w:r>
        <w:rPr>
          <w:rFonts w:hint="eastAsia" w:ascii="宋体" w:hAnsi="宋体" w:cs="宋体"/>
          <w:highlight w:val="none"/>
        </w:rPr>
        <w:t>杨女士</w:t>
      </w:r>
    </w:p>
    <w:p w14:paraId="5AA03913">
      <w:pPr>
        <w:adjustRightInd w:val="0"/>
        <w:spacing w:line="400" w:lineRule="exact"/>
        <w:ind w:firstLine="420" w:firstLineChars="200"/>
        <w:rPr>
          <w:rFonts w:ascii="宋体" w:hAnsi="宋体" w:cs="宋体"/>
          <w:highlight w:val="none"/>
        </w:rPr>
      </w:pPr>
      <w:r>
        <w:rPr>
          <w:rFonts w:hint="eastAsia" w:ascii="宋体" w:hAnsi="宋体" w:cs="宋体"/>
          <w:highlight w:val="none"/>
          <w:lang w:val="zh-TW" w:eastAsia="zh-TW"/>
        </w:rPr>
        <w:t>项目联系方式：0575-86</w:t>
      </w:r>
      <w:r>
        <w:rPr>
          <w:rFonts w:hint="eastAsia" w:ascii="宋体" w:hAnsi="宋体" w:cs="宋体"/>
          <w:highlight w:val="none"/>
        </w:rPr>
        <w:t>660697</w:t>
      </w:r>
    </w:p>
    <w:p w14:paraId="50411859">
      <w:pPr>
        <w:adjustRightInd w:val="0"/>
        <w:spacing w:line="400" w:lineRule="exact"/>
        <w:ind w:firstLine="420" w:firstLineChars="200"/>
        <w:rPr>
          <w:rFonts w:ascii="宋体" w:hAnsi="宋体" w:cs="宋体"/>
          <w:sz w:val="24"/>
          <w:szCs w:val="24"/>
          <w:highlight w:val="none"/>
        </w:rPr>
      </w:pPr>
      <w:r>
        <w:rPr>
          <w:rFonts w:hint="eastAsia" w:ascii="宋体" w:hAnsi="宋体" w:cs="宋体"/>
          <w:highlight w:val="none"/>
        </w:rPr>
        <w:t xml:space="preserve">   </w:t>
      </w:r>
    </w:p>
    <w:p w14:paraId="24D3878D">
      <w:pPr>
        <w:adjustRightInd w:val="0"/>
        <w:spacing w:line="400" w:lineRule="exact"/>
        <w:ind w:firstLine="480" w:firstLineChars="200"/>
        <w:rPr>
          <w:rFonts w:ascii="宋体" w:hAnsi="宋体" w:cs="宋体"/>
          <w:sz w:val="24"/>
          <w:szCs w:val="24"/>
          <w:highlight w:val="none"/>
        </w:rPr>
      </w:pPr>
      <w:r>
        <w:rPr>
          <w:rFonts w:hint="eastAsia" w:ascii="宋体" w:hAnsi="宋体" w:cs="宋体"/>
          <w:sz w:val="24"/>
          <w:szCs w:val="24"/>
          <w:highlight w:val="none"/>
        </w:rPr>
        <w:t xml:space="preserve"> </w:t>
      </w:r>
    </w:p>
    <w:p w14:paraId="0E211D41">
      <w:pPr>
        <w:snapToGrid w:val="0"/>
        <w:spacing w:line="400" w:lineRule="exact"/>
        <w:ind w:firstLine="420" w:firstLineChars="200"/>
        <w:rPr>
          <w:rFonts w:ascii="宋体" w:hAnsi="宋体" w:cs="宋体"/>
          <w:highlight w:val="none"/>
        </w:rPr>
      </w:pPr>
      <w:r>
        <w:rPr>
          <w:rFonts w:hint="eastAsia" w:ascii="宋体" w:hAnsi="宋体" w:cs="宋体"/>
          <w:highlight w:val="none"/>
        </w:rPr>
        <w:t xml:space="preserve">        </w:t>
      </w:r>
      <w:bookmarkStart w:id="25" w:name="_Toc43498218"/>
    </w:p>
    <w:p w14:paraId="0725E912">
      <w:pPr>
        <w:jc w:val="left"/>
        <w:rPr>
          <w:rFonts w:ascii="宋体" w:hAnsi="宋体" w:cs="宋体"/>
          <w:b/>
          <w:bCs/>
          <w:highlight w:val="none"/>
        </w:rPr>
      </w:pPr>
      <w:r>
        <w:rPr>
          <w:rFonts w:hint="eastAsia" w:ascii="宋体" w:hAnsi="宋体" w:cs="宋体"/>
          <w:b/>
          <w:bCs/>
          <w:highlight w:val="none"/>
        </w:rPr>
        <w:br w:type="page"/>
      </w:r>
    </w:p>
    <w:p w14:paraId="2C8D7471">
      <w:pPr>
        <w:snapToGrid w:val="0"/>
        <w:spacing w:line="400" w:lineRule="exact"/>
        <w:ind w:firstLine="643" w:firstLineChars="200"/>
        <w:jc w:val="center"/>
        <w:rPr>
          <w:rFonts w:ascii="宋体" w:hAnsi="宋体" w:cs="宋体"/>
          <w:b/>
          <w:bCs/>
          <w:sz w:val="32"/>
          <w:szCs w:val="32"/>
          <w:highlight w:val="none"/>
        </w:rPr>
      </w:pPr>
      <w:r>
        <w:rPr>
          <w:rFonts w:hint="eastAsia" w:ascii="宋体" w:hAnsi="宋体" w:cs="宋体"/>
          <w:b/>
          <w:bCs/>
          <w:sz w:val="32"/>
          <w:szCs w:val="32"/>
          <w:highlight w:val="none"/>
        </w:rPr>
        <w:t>第二部分  投标人须知</w:t>
      </w:r>
      <w:bookmarkEnd w:id="25"/>
    </w:p>
    <w:p w14:paraId="592D0FFF">
      <w:pPr>
        <w:pStyle w:val="5"/>
        <w:spacing w:after="0" w:line="400" w:lineRule="exact"/>
        <w:ind w:firstLine="643"/>
        <w:jc w:val="center"/>
        <w:rPr>
          <w:rFonts w:ascii="宋体" w:hAnsi="宋体" w:eastAsia="宋体" w:cs="宋体"/>
          <w:sz w:val="32"/>
          <w:szCs w:val="32"/>
          <w:highlight w:val="none"/>
        </w:rPr>
      </w:pPr>
      <w:bookmarkStart w:id="26" w:name="_Toc43498219"/>
      <w:r>
        <w:rPr>
          <w:rFonts w:hint="eastAsia" w:ascii="宋体" w:hAnsi="宋体" w:eastAsia="宋体" w:cs="宋体"/>
          <w:sz w:val="32"/>
          <w:szCs w:val="32"/>
          <w:highlight w:val="none"/>
        </w:rPr>
        <w:t>前附表</w:t>
      </w:r>
      <w:bookmarkEnd w:id="26"/>
    </w:p>
    <w:tbl>
      <w:tblPr>
        <w:tblStyle w:val="49"/>
        <w:tblW w:w="8791" w:type="dxa"/>
        <w:tblInd w:w="-11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705"/>
        <w:gridCol w:w="1991"/>
        <w:gridCol w:w="6095"/>
      </w:tblGrid>
      <w:tr w14:paraId="3C4268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rPr>
        <w:tc>
          <w:tcPr>
            <w:tcW w:w="705" w:type="dxa"/>
            <w:tcBorders>
              <w:top w:val="single" w:color="auto" w:sz="4" w:space="0"/>
              <w:left w:val="single" w:color="auto" w:sz="4" w:space="0"/>
              <w:bottom w:val="single" w:color="auto" w:sz="4" w:space="0"/>
              <w:right w:val="single" w:color="auto" w:sz="4" w:space="0"/>
            </w:tcBorders>
            <w:vAlign w:val="center"/>
          </w:tcPr>
          <w:p w14:paraId="2E703DB6">
            <w:pPr>
              <w:adjustRightInd w:val="0"/>
              <w:snapToGrid w:val="0"/>
              <w:spacing w:line="380" w:lineRule="exact"/>
              <w:jc w:val="center"/>
              <w:rPr>
                <w:rFonts w:ascii="宋体" w:hAnsi="宋体" w:cs="宋体"/>
                <w:bCs/>
                <w:highlight w:val="none"/>
              </w:rPr>
            </w:pPr>
            <w:r>
              <w:rPr>
                <w:rFonts w:hint="eastAsia" w:ascii="宋体" w:hAnsi="宋体" w:cs="宋体"/>
                <w:bCs/>
                <w:highlight w:val="none"/>
              </w:rPr>
              <w:t>序号</w:t>
            </w:r>
          </w:p>
        </w:tc>
        <w:tc>
          <w:tcPr>
            <w:tcW w:w="1991" w:type="dxa"/>
            <w:tcBorders>
              <w:top w:val="single" w:color="000000" w:sz="8" w:space="0"/>
              <w:left w:val="single" w:color="auto" w:sz="4" w:space="0"/>
              <w:bottom w:val="single" w:color="000000" w:sz="8" w:space="0"/>
              <w:right w:val="single" w:color="000000" w:sz="8" w:space="0"/>
            </w:tcBorders>
            <w:vAlign w:val="center"/>
          </w:tcPr>
          <w:p w14:paraId="55DFF8A5">
            <w:pPr>
              <w:adjustRightInd w:val="0"/>
              <w:snapToGrid w:val="0"/>
              <w:spacing w:line="380" w:lineRule="exact"/>
              <w:jc w:val="center"/>
              <w:rPr>
                <w:rFonts w:ascii="宋体" w:hAnsi="宋体" w:cs="宋体"/>
                <w:bCs/>
                <w:highlight w:val="none"/>
              </w:rPr>
            </w:pPr>
            <w:r>
              <w:rPr>
                <w:rFonts w:hint="eastAsia" w:ascii="宋体" w:hAnsi="宋体" w:cs="宋体"/>
                <w:bCs/>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260B51D7">
            <w:pPr>
              <w:adjustRightInd w:val="0"/>
              <w:snapToGrid w:val="0"/>
              <w:spacing w:line="380" w:lineRule="exact"/>
              <w:jc w:val="center"/>
              <w:rPr>
                <w:rFonts w:ascii="宋体" w:hAnsi="宋体" w:cs="宋体"/>
                <w:bCs/>
                <w:highlight w:val="none"/>
              </w:rPr>
            </w:pPr>
            <w:r>
              <w:rPr>
                <w:rFonts w:hint="eastAsia" w:ascii="宋体" w:hAnsi="宋体" w:cs="宋体"/>
                <w:bCs/>
                <w:highlight w:val="none"/>
              </w:rPr>
              <w:t>本项目的特别规定</w:t>
            </w:r>
          </w:p>
        </w:tc>
      </w:tr>
      <w:tr w14:paraId="5B0C1F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47" w:hRule="atLeast"/>
        </w:trPr>
        <w:tc>
          <w:tcPr>
            <w:tcW w:w="705" w:type="dxa"/>
            <w:tcBorders>
              <w:top w:val="single" w:color="auto" w:sz="4" w:space="0"/>
              <w:left w:val="single" w:color="auto" w:sz="4" w:space="0"/>
              <w:bottom w:val="single" w:color="auto" w:sz="4" w:space="0"/>
              <w:right w:val="single" w:color="auto" w:sz="4" w:space="0"/>
            </w:tcBorders>
            <w:vAlign w:val="center"/>
          </w:tcPr>
          <w:p w14:paraId="1BE5AF35">
            <w:pPr>
              <w:adjustRightInd w:val="0"/>
              <w:snapToGrid w:val="0"/>
              <w:spacing w:line="380" w:lineRule="exact"/>
              <w:jc w:val="center"/>
              <w:rPr>
                <w:rFonts w:ascii="宋体" w:hAnsi="宋体" w:cs="宋体"/>
                <w:bCs/>
                <w:highlight w:val="none"/>
              </w:rPr>
            </w:pPr>
            <w:r>
              <w:rPr>
                <w:rFonts w:hint="eastAsia" w:ascii="宋体" w:hAnsi="宋体" w:cs="宋体"/>
                <w:bCs/>
                <w:highlight w:val="none"/>
              </w:rPr>
              <w:t>1</w:t>
            </w:r>
          </w:p>
        </w:tc>
        <w:tc>
          <w:tcPr>
            <w:tcW w:w="1991" w:type="dxa"/>
            <w:tcBorders>
              <w:top w:val="single" w:color="000000" w:sz="8" w:space="0"/>
              <w:left w:val="single" w:color="auto" w:sz="4" w:space="0"/>
              <w:bottom w:val="single" w:color="000000" w:sz="8" w:space="0"/>
              <w:right w:val="single" w:color="000000" w:sz="8" w:space="0"/>
            </w:tcBorders>
            <w:vAlign w:val="center"/>
          </w:tcPr>
          <w:p w14:paraId="7DC92C61">
            <w:pPr>
              <w:adjustRightInd w:val="0"/>
              <w:snapToGrid w:val="0"/>
              <w:spacing w:line="380" w:lineRule="exact"/>
              <w:jc w:val="center"/>
              <w:rPr>
                <w:rFonts w:ascii="宋体" w:hAnsi="宋体" w:cs="宋体"/>
                <w:bCs/>
                <w:highlight w:val="none"/>
              </w:rPr>
            </w:pPr>
            <w:r>
              <w:rPr>
                <w:rFonts w:hint="eastAsia" w:ascii="宋体" w:hAnsi="宋体" w:cs="宋体"/>
                <w:bCs/>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4860FAEF">
            <w:pPr>
              <w:adjustRightInd w:val="0"/>
              <w:snapToGrid w:val="0"/>
              <w:spacing w:line="380" w:lineRule="exact"/>
              <w:ind w:firstLine="420" w:firstLineChars="200"/>
              <w:jc w:val="both"/>
              <w:rPr>
                <w:rFonts w:ascii="宋体" w:hAnsi="宋体" w:cs="宋体"/>
                <w:bCs/>
                <w:kern w:val="0"/>
                <w:highlight w:val="none"/>
                <w:lang w:val="zh-CN"/>
              </w:rPr>
            </w:pPr>
            <w:r>
              <w:rPr>
                <w:rFonts w:hint="eastAsia" w:ascii="宋体" w:hAnsi="宋体" w:cs="宋体"/>
                <w:bCs/>
                <w:kern w:val="0"/>
                <w:highlight w:val="none"/>
                <w:lang w:val="zh-CN"/>
              </w:rPr>
              <w:t>有关本项目实施所需的所有费用</w:t>
            </w:r>
            <w:r>
              <w:rPr>
                <w:rFonts w:hint="eastAsia" w:ascii="宋体" w:hAnsi="宋体" w:cs="宋体"/>
                <w:bCs/>
                <w:kern w:val="0"/>
                <w:highlight w:val="none"/>
                <w:u w:val="single"/>
                <w:lang w:val="zh-CN"/>
              </w:rPr>
              <w:t>（应考虑完成本项目全部内容可能发生的各项费用，包括但不限于提供服务所需的一切人员工资、</w:t>
            </w:r>
            <w:r>
              <w:rPr>
                <w:rFonts w:hint="eastAsia" w:ascii="宋体" w:hAnsi="宋体" w:cs="宋体"/>
                <w:bCs/>
                <w:kern w:val="0"/>
                <w:highlight w:val="none"/>
                <w:u w:val="single"/>
                <w:lang w:val="zh-CN" w:eastAsia="zh-CN"/>
              </w:rPr>
              <w:t>福利、</w:t>
            </w:r>
            <w:r>
              <w:rPr>
                <w:rFonts w:hint="eastAsia" w:ascii="宋体" w:hAnsi="宋体" w:cs="宋体"/>
                <w:bCs/>
                <w:kern w:val="0"/>
                <w:highlight w:val="none"/>
                <w:u w:val="single"/>
                <w:lang w:val="zh-CN"/>
              </w:rPr>
              <w:t>奖金、</w:t>
            </w:r>
            <w:r>
              <w:rPr>
                <w:rFonts w:hint="eastAsia" w:ascii="宋体" w:hAnsi="宋体" w:cs="宋体"/>
                <w:bCs/>
                <w:kern w:val="0"/>
                <w:highlight w:val="none"/>
                <w:u w:val="single"/>
                <w:lang w:val="zh-CN" w:eastAsia="zh-CN"/>
              </w:rPr>
              <w:t>补贴</w:t>
            </w:r>
            <w:r>
              <w:rPr>
                <w:rFonts w:hint="eastAsia" w:ascii="宋体" w:hAnsi="宋体" w:cs="宋体"/>
                <w:bCs/>
                <w:kern w:val="0"/>
                <w:highlight w:val="none"/>
                <w:u w:val="single"/>
                <w:lang w:val="zh-CN"/>
              </w:rPr>
              <w:t>、各种社会保险、食宿与交通、服装、安全、体检费</w:t>
            </w:r>
            <w:r>
              <w:rPr>
                <w:rFonts w:hint="eastAsia" w:ascii="宋体" w:hAnsi="宋体" w:cs="宋体"/>
                <w:bCs/>
                <w:kern w:val="0"/>
                <w:highlight w:val="none"/>
                <w:u w:val="single"/>
                <w:lang w:val="zh-CN" w:eastAsia="zh-CN"/>
              </w:rPr>
              <w:t>、</w:t>
            </w:r>
            <w:r>
              <w:rPr>
                <w:rFonts w:hint="eastAsia" w:ascii="宋体" w:hAnsi="宋体" w:cs="宋体"/>
                <w:bCs/>
                <w:kern w:val="0"/>
                <w:highlight w:val="none"/>
                <w:u w:val="single"/>
                <w:lang w:val="zh-CN"/>
              </w:rPr>
              <w:t>税费、利润、招标代理服务费。</w:t>
            </w:r>
            <w:r>
              <w:rPr>
                <w:rFonts w:hint="eastAsia" w:ascii="宋体" w:hAnsi="宋体" w:cs="宋体"/>
                <w:bCs/>
                <w:kern w:val="0"/>
                <w:highlight w:val="none"/>
                <w:lang w:val="zh-CN"/>
              </w:rPr>
              <w:t>）均计入报价。</w:t>
            </w:r>
            <w:r>
              <w:rPr>
                <w:rFonts w:hint="eastAsia" w:ascii="宋体" w:hAnsi="宋体" w:cs="宋体"/>
                <w:bCs/>
                <w:highlight w:val="none"/>
              </w:rPr>
              <w:t>开标一览表（报价表）是报价的唯一载体</w:t>
            </w:r>
            <w:r>
              <w:rPr>
                <w:rFonts w:hint="eastAsia" w:ascii="宋体" w:hAnsi="宋体" w:cs="宋体"/>
                <w:bCs/>
                <w:kern w:val="0"/>
                <w:highlight w:val="none"/>
                <w:lang w:val="zh-CN"/>
              </w:rPr>
              <w:t>。投标文件中价格全部采用人民币报价。招标文件未列明，而投标人认为必需的费用也需列入报价。</w:t>
            </w:r>
          </w:p>
          <w:p w14:paraId="6B4B01EE">
            <w:pPr>
              <w:adjustRightInd w:val="0"/>
              <w:snapToGrid w:val="0"/>
              <w:spacing w:line="380" w:lineRule="exact"/>
              <w:jc w:val="both"/>
              <w:rPr>
                <w:rFonts w:ascii="宋体" w:hAnsi="宋体" w:cs="宋体"/>
                <w:bCs/>
                <w:kern w:val="0"/>
                <w:highlight w:val="none"/>
                <w:lang w:val="zh-CN"/>
              </w:rPr>
            </w:pPr>
            <w:r>
              <w:rPr>
                <w:rFonts w:hint="eastAsia" w:ascii="宋体" w:hAnsi="宋体" w:cs="宋体"/>
                <w:bCs/>
                <w:kern w:val="0"/>
                <w:highlight w:val="none"/>
                <w:lang w:val="zh-CN"/>
              </w:rPr>
              <w:t>投标报价出现下列情形的，投标无效：</w:t>
            </w:r>
          </w:p>
          <w:p w14:paraId="0A39FCAB">
            <w:pPr>
              <w:adjustRightInd w:val="0"/>
              <w:snapToGrid w:val="0"/>
              <w:spacing w:line="380" w:lineRule="exact"/>
              <w:ind w:firstLine="420" w:firstLineChars="200"/>
              <w:jc w:val="left"/>
              <w:rPr>
                <w:rFonts w:ascii="宋体" w:hAnsi="宋体" w:cs="宋体"/>
                <w:bCs/>
                <w:kern w:val="0"/>
                <w:highlight w:val="none"/>
                <w:lang w:val="zh-CN"/>
              </w:rPr>
            </w:pPr>
            <w:r>
              <w:rPr>
                <w:rFonts w:hint="eastAsia" w:ascii="宋体" w:hAnsi="宋体" w:cs="宋体"/>
                <w:bCs/>
                <w:kern w:val="0"/>
                <w:highlight w:val="none"/>
                <w:lang w:val="zh-CN"/>
              </w:rPr>
              <w:t>投标文件出现不是唯一的、有选择性投标报价的；</w:t>
            </w:r>
          </w:p>
          <w:p w14:paraId="22805037">
            <w:pPr>
              <w:adjustRightInd w:val="0"/>
              <w:snapToGrid w:val="0"/>
              <w:spacing w:line="380" w:lineRule="exact"/>
              <w:ind w:firstLine="420" w:firstLineChars="200"/>
              <w:jc w:val="left"/>
              <w:rPr>
                <w:rFonts w:ascii="宋体" w:hAnsi="宋体" w:cs="宋体"/>
                <w:bCs/>
                <w:kern w:val="0"/>
                <w:highlight w:val="none"/>
                <w:lang w:val="zh-CN"/>
              </w:rPr>
            </w:pPr>
            <w:r>
              <w:rPr>
                <w:rFonts w:hint="eastAsia" w:ascii="宋体" w:hAnsi="宋体" w:cs="宋体"/>
                <w:bCs/>
                <w:kern w:val="0"/>
                <w:highlight w:val="none"/>
                <w:lang w:val="zh-CN"/>
              </w:rPr>
              <w:t>投标报价超过招标文件中规定的预算金额或者最高限价的；</w:t>
            </w:r>
          </w:p>
          <w:p w14:paraId="0ED28383">
            <w:pPr>
              <w:adjustRightInd w:val="0"/>
              <w:spacing w:line="380" w:lineRule="exact"/>
              <w:ind w:firstLine="420" w:firstLineChars="200"/>
              <w:rPr>
                <w:rFonts w:hint="eastAsia" w:ascii="宋体" w:hAnsi="宋体" w:eastAsia="宋体" w:cs="宋体"/>
                <w:bCs/>
                <w:highlight w:val="none"/>
                <w:lang w:eastAsia="zh-CN"/>
              </w:rPr>
            </w:pPr>
            <w:r>
              <w:rPr>
                <w:rFonts w:hint="eastAsia" w:ascii="宋体" w:hAnsi="宋体" w:cs="宋体"/>
                <w:bCs/>
                <w:kern w:val="0"/>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Cs/>
                <w:highlight w:val="none"/>
                <w:lang w:eastAsia="zh-CN"/>
              </w:rPr>
              <w:t>；</w:t>
            </w:r>
          </w:p>
          <w:p w14:paraId="79C1D7C2">
            <w:pPr>
              <w:adjustRightInd w:val="0"/>
              <w:spacing w:line="380" w:lineRule="exact"/>
              <w:ind w:firstLine="420" w:firstLineChars="200"/>
              <w:rPr>
                <w:rFonts w:ascii="宋体" w:hAnsi="宋体" w:cs="宋体"/>
                <w:bCs/>
                <w:highlight w:val="none"/>
              </w:rPr>
            </w:pPr>
            <w:r>
              <w:rPr>
                <w:rFonts w:hint="eastAsia" w:ascii="宋体" w:hAnsi="宋体" w:cs="宋体"/>
                <w:bCs/>
                <w:kern w:val="0"/>
                <w:highlight w:val="none"/>
              </w:rPr>
              <w:t>投标人对根据修正原则修正后的报价不确认的</w:t>
            </w:r>
            <w:r>
              <w:rPr>
                <w:rFonts w:hint="eastAsia" w:ascii="宋体" w:hAnsi="宋体" w:cs="宋体"/>
                <w:bCs/>
                <w:highlight w:val="none"/>
              </w:rPr>
              <w:t>。</w:t>
            </w:r>
          </w:p>
        </w:tc>
      </w:tr>
      <w:tr w14:paraId="22C926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86" w:hRule="atLeast"/>
        </w:trPr>
        <w:tc>
          <w:tcPr>
            <w:tcW w:w="705" w:type="dxa"/>
            <w:tcBorders>
              <w:top w:val="single" w:color="auto" w:sz="4" w:space="0"/>
              <w:left w:val="single" w:color="auto" w:sz="4" w:space="0"/>
              <w:bottom w:val="single" w:color="auto" w:sz="4" w:space="0"/>
              <w:right w:val="single" w:color="auto" w:sz="4" w:space="0"/>
            </w:tcBorders>
            <w:vAlign w:val="center"/>
          </w:tcPr>
          <w:p w14:paraId="548FA61E">
            <w:pPr>
              <w:adjustRightInd w:val="0"/>
              <w:snapToGrid w:val="0"/>
              <w:spacing w:line="380" w:lineRule="exact"/>
              <w:jc w:val="center"/>
              <w:rPr>
                <w:rFonts w:ascii="宋体" w:hAnsi="宋体" w:cs="宋体"/>
                <w:bCs/>
                <w:highlight w:val="none"/>
              </w:rPr>
            </w:pPr>
            <w:r>
              <w:rPr>
                <w:rFonts w:hint="eastAsia" w:ascii="宋体" w:hAnsi="宋体" w:cs="宋体"/>
                <w:bCs/>
                <w:highlight w:val="none"/>
              </w:rPr>
              <w:t>2</w:t>
            </w:r>
          </w:p>
        </w:tc>
        <w:tc>
          <w:tcPr>
            <w:tcW w:w="1991" w:type="dxa"/>
            <w:tcBorders>
              <w:top w:val="single" w:color="000000" w:sz="8" w:space="0"/>
              <w:left w:val="single" w:color="auto" w:sz="4" w:space="0"/>
              <w:bottom w:val="single" w:color="000000" w:sz="8" w:space="0"/>
              <w:right w:val="single" w:color="000000" w:sz="8" w:space="0"/>
            </w:tcBorders>
            <w:vAlign w:val="center"/>
          </w:tcPr>
          <w:p w14:paraId="0218C9F5">
            <w:pPr>
              <w:adjustRightInd w:val="0"/>
              <w:snapToGrid w:val="0"/>
              <w:spacing w:line="380" w:lineRule="exact"/>
              <w:ind w:firstLine="420" w:firstLineChars="200"/>
              <w:rPr>
                <w:rFonts w:ascii="宋体" w:hAnsi="宋体" w:cs="宋体"/>
                <w:bCs/>
                <w:highlight w:val="none"/>
              </w:rPr>
            </w:pPr>
            <w:r>
              <w:rPr>
                <w:rFonts w:hint="eastAsia" w:ascii="宋体" w:hAnsi="宋体" w:cs="宋体"/>
                <w:bCs/>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05F81C70">
            <w:pPr>
              <w:adjustRightInd w:val="0"/>
              <w:spacing w:line="380" w:lineRule="exact"/>
              <w:rPr>
                <w:rFonts w:ascii="宋体" w:hAnsi="宋体" w:cs="宋体"/>
                <w:bCs/>
                <w:highlight w:val="none"/>
              </w:rPr>
            </w:pPr>
            <w:r>
              <w:rPr>
                <w:rFonts w:hint="eastAsia" w:ascii="宋体" w:hAnsi="宋体" w:cs="宋体"/>
                <w:bCs/>
                <w:highlight w:val="none"/>
              </w:rPr>
              <w:t>不同意分包和转包。</w:t>
            </w:r>
          </w:p>
        </w:tc>
      </w:tr>
      <w:tr w14:paraId="2072EC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rPr>
        <w:tc>
          <w:tcPr>
            <w:tcW w:w="705" w:type="dxa"/>
            <w:vMerge w:val="restart"/>
            <w:tcBorders>
              <w:top w:val="single" w:color="auto" w:sz="4" w:space="0"/>
              <w:left w:val="single" w:color="auto" w:sz="4" w:space="0"/>
              <w:right w:val="single" w:color="auto" w:sz="4" w:space="0"/>
            </w:tcBorders>
            <w:vAlign w:val="center"/>
          </w:tcPr>
          <w:p w14:paraId="336437FA">
            <w:pPr>
              <w:adjustRightInd w:val="0"/>
              <w:snapToGrid w:val="0"/>
              <w:spacing w:line="380" w:lineRule="exact"/>
              <w:jc w:val="center"/>
              <w:rPr>
                <w:rFonts w:ascii="宋体" w:hAnsi="宋体" w:cs="宋体"/>
                <w:bCs/>
                <w:highlight w:val="none"/>
              </w:rPr>
            </w:pPr>
            <w:r>
              <w:rPr>
                <w:rFonts w:hint="eastAsia" w:ascii="宋体" w:hAnsi="宋体" w:cs="宋体"/>
                <w:bCs/>
                <w:highlight w:val="none"/>
              </w:rPr>
              <w:t>3</w:t>
            </w:r>
          </w:p>
        </w:tc>
        <w:tc>
          <w:tcPr>
            <w:tcW w:w="1991" w:type="dxa"/>
            <w:vMerge w:val="restart"/>
            <w:tcBorders>
              <w:top w:val="single" w:color="000000" w:sz="8" w:space="0"/>
              <w:left w:val="single" w:color="auto" w:sz="4" w:space="0"/>
              <w:right w:val="single" w:color="000000" w:sz="8" w:space="0"/>
            </w:tcBorders>
            <w:vAlign w:val="center"/>
          </w:tcPr>
          <w:p w14:paraId="7A2E2E9F">
            <w:pPr>
              <w:adjustRightInd w:val="0"/>
              <w:snapToGrid w:val="0"/>
              <w:spacing w:line="380" w:lineRule="exact"/>
              <w:jc w:val="center"/>
              <w:rPr>
                <w:rFonts w:ascii="宋体" w:hAnsi="宋体" w:cs="宋体"/>
                <w:bCs/>
                <w:highlight w:val="none"/>
              </w:rPr>
            </w:pPr>
            <w:r>
              <w:rPr>
                <w:rFonts w:hint="eastAsia" w:ascii="宋体" w:hAnsi="宋体" w:cs="宋体"/>
                <w:bCs/>
                <w:highlight w:val="none"/>
              </w:rPr>
              <w:t>投标人应当提供的资格、商务技术文件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0E9A47B0">
            <w:pPr>
              <w:adjustRightInd w:val="0"/>
              <w:spacing w:line="380" w:lineRule="exact"/>
              <w:rPr>
                <w:rFonts w:ascii="宋体" w:hAnsi="宋体" w:cs="宋体"/>
                <w:bCs/>
                <w:snapToGrid w:val="0"/>
                <w:kern w:val="0"/>
                <w:highlight w:val="none"/>
              </w:rPr>
            </w:pPr>
            <w:r>
              <w:rPr>
                <w:rFonts w:hint="eastAsia" w:ascii="宋体" w:hAnsi="宋体" w:cs="宋体"/>
                <w:bCs/>
                <w:highlight w:val="none"/>
              </w:rPr>
              <w:t>（1）资格审查文件：见招标文件第二部分11.1。</w:t>
            </w:r>
            <w:r>
              <w:rPr>
                <w:rFonts w:hint="eastAsia" w:ascii="宋体" w:hAnsi="宋体" w:cs="宋体"/>
                <w:bCs/>
                <w:kern w:val="0"/>
                <w:highlight w:val="none"/>
                <w:lang w:val="zh-CN"/>
              </w:rPr>
              <w:t>投标人未提供有效的资格审查文件的，视为投标人不具备招标文件中规定的资格要求，投标无效。</w:t>
            </w:r>
          </w:p>
        </w:tc>
      </w:tr>
      <w:tr w14:paraId="346EC5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74" w:hRule="atLeast"/>
        </w:trPr>
        <w:tc>
          <w:tcPr>
            <w:tcW w:w="705" w:type="dxa"/>
            <w:vMerge w:val="continue"/>
            <w:tcBorders>
              <w:left w:val="single" w:color="auto" w:sz="4" w:space="0"/>
              <w:bottom w:val="single" w:color="auto" w:sz="4" w:space="0"/>
              <w:right w:val="single" w:color="auto" w:sz="4" w:space="0"/>
            </w:tcBorders>
            <w:vAlign w:val="center"/>
          </w:tcPr>
          <w:p w14:paraId="44A883B8">
            <w:pPr>
              <w:adjustRightInd w:val="0"/>
              <w:snapToGrid w:val="0"/>
              <w:spacing w:line="380" w:lineRule="exact"/>
              <w:jc w:val="center"/>
              <w:rPr>
                <w:rFonts w:ascii="宋体" w:hAnsi="宋体" w:cs="宋体"/>
                <w:bCs/>
                <w:highlight w:val="none"/>
              </w:rPr>
            </w:pPr>
          </w:p>
        </w:tc>
        <w:tc>
          <w:tcPr>
            <w:tcW w:w="1991" w:type="dxa"/>
            <w:vMerge w:val="continue"/>
            <w:tcBorders>
              <w:left w:val="single" w:color="auto" w:sz="4" w:space="0"/>
              <w:bottom w:val="single" w:color="000000" w:sz="8" w:space="0"/>
              <w:right w:val="single" w:color="000000" w:sz="8" w:space="0"/>
            </w:tcBorders>
            <w:vAlign w:val="center"/>
          </w:tcPr>
          <w:p w14:paraId="2450EF45">
            <w:pPr>
              <w:adjustRightInd w:val="0"/>
              <w:snapToGrid w:val="0"/>
              <w:spacing w:line="380" w:lineRule="exact"/>
              <w:jc w:val="center"/>
              <w:rPr>
                <w:rFonts w:ascii="宋体" w:hAnsi="宋体" w:cs="宋体"/>
                <w:bCs/>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3E3282DA">
            <w:pPr>
              <w:adjustRightInd w:val="0"/>
              <w:spacing w:line="380" w:lineRule="exact"/>
              <w:rPr>
                <w:rFonts w:ascii="宋体" w:hAnsi="宋体" w:cs="宋体"/>
                <w:bCs/>
                <w:highlight w:val="none"/>
              </w:rPr>
            </w:pPr>
            <w:r>
              <w:rPr>
                <w:rFonts w:hint="eastAsia" w:ascii="宋体" w:hAnsi="宋体" w:cs="宋体"/>
                <w:bCs/>
                <w:highlight w:val="none"/>
              </w:rPr>
              <w:t>（2）商务技术文件：见招标文件第二部分11.2。</w:t>
            </w:r>
          </w:p>
        </w:tc>
      </w:tr>
      <w:tr w14:paraId="5F3B08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rPr>
        <w:tc>
          <w:tcPr>
            <w:tcW w:w="705" w:type="dxa"/>
            <w:tcBorders>
              <w:top w:val="single" w:color="auto" w:sz="4" w:space="0"/>
              <w:left w:val="single" w:color="auto" w:sz="4" w:space="0"/>
              <w:bottom w:val="single" w:color="auto" w:sz="4" w:space="0"/>
              <w:right w:val="single" w:color="auto" w:sz="4" w:space="0"/>
            </w:tcBorders>
            <w:vAlign w:val="center"/>
          </w:tcPr>
          <w:p w14:paraId="68F675FF">
            <w:pPr>
              <w:adjustRightInd w:val="0"/>
              <w:snapToGrid w:val="0"/>
              <w:spacing w:line="380" w:lineRule="exact"/>
              <w:jc w:val="center"/>
              <w:rPr>
                <w:rFonts w:ascii="宋体" w:hAnsi="宋体" w:cs="宋体"/>
                <w:bCs/>
                <w:highlight w:val="none"/>
              </w:rPr>
            </w:pPr>
            <w:r>
              <w:rPr>
                <w:rFonts w:hint="eastAsia" w:ascii="宋体" w:hAnsi="宋体" w:cs="宋体"/>
                <w:bCs/>
                <w:highlight w:val="none"/>
              </w:rPr>
              <w:t>4</w:t>
            </w:r>
          </w:p>
        </w:tc>
        <w:tc>
          <w:tcPr>
            <w:tcW w:w="1991" w:type="dxa"/>
            <w:tcBorders>
              <w:top w:val="single" w:color="000000" w:sz="8" w:space="0"/>
              <w:left w:val="single" w:color="auto" w:sz="4" w:space="0"/>
              <w:bottom w:val="single" w:color="000000" w:sz="8" w:space="0"/>
              <w:right w:val="single" w:color="000000" w:sz="8" w:space="0"/>
            </w:tcBorders>
            <w:vAlign w:val="center"/>
          </w:tcPr>
          <w:p w14:paraId="52258D82">
            <w:pPr>
              <w:adjustRightInd w:val="0"/>
              <w:snapToGrid w:val="0"/>
              <w:spacing w:line="380" w:lineRule="exact"/>
              <w:jc w:val="center"/>
              <w:rPr>
                <w:rFonts w:ascii="宋体" w:hAnsi="宋体" w:cs="宋体"/>
                <w:bCs/>
                <w:highlight w:val="none"/>
              </w:rPr>
            </w:pPr>
            <w:r>
              <w:rPr>
                <w:rFonts w:hint="eastAsia" w:ascii="宋体" w:hAnsi="宋体" w:cs="宋体"/>
                <w:bCs/>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2508D061">
            <w:pPr>
              <w:adjustRightInd w:val="0"/>
              <w:spacing w:line="380" w:lineRule="exact"/>
              <w:rPr>
                <w:rFonts w:hint="default" w:ascii="宋体" w:hAnsi="宋体" w:eastAsia="宋体" w:cs="宋体"/>
                <w:bCs/>
                <w:highlight w:val="none"/>
                <w:lang w:val="en-US" w:eastAsia="zh-CN"/>
              </w:rPr>
            </w:pPr>
            <w:r>
              <w:rPr>
                <w:rFonts w:hint="eastAsia" w:ascii="宋体" w:hAnsi="宋体" w:cs="宋体"/>
                <w:bCs/>
                <w:highlight w:val="none"/>
                <w:lang w:val="en-US" w:eastAsia="zh-CN"/>
              </w:rPr>
              <w:t>不组织</w:t>
            </w:r>
          </w:p>
        </w:tc>
      </w:tr>
      <w:tr w14:paraId="108EE5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rPr>
        <w:tc>
          <w:tcPr>
            <w:tcW w:w="705" w:type="dxa"/>
            <w:tcBorders>
              <w:top w:val="single" w:color="auto" w:sz="4" w:space="0"/>
              <w:left w:val="single" w:color="auto" w:sz="4" w:space="0"/>
              <w:bottom w:val="single" w:color="auto" w:sz="4" w:space="0"/>
              <w:right w:val="single" w:color="auto" w:sz="4" w:space="0"/>
            </w:tcBorders>
            <w:vAlign w:val="center"/>
          </w:tcPr>
          <w:p w14:paraId="74465B3E">
            <w:pPr>
              <w:adjustRightInd w:val="0"/>
              <w:snapToGrid w:val="0"/>
              <w:spacing w:line="380" w:lineRule="exact"/>
              <w:jc w:val="center"/>
              <w:rPr>
                <w:rFonts w:ascii="宋体" w:hAnsi="宋体" w:cs="宋体"/>
                <w:bCs/>
                <w:highlight w:val="none"/>
              </w:rPr>
            </w:pPr>
            <w:r>
              <w:rPr>
                <w:rFonts w:hint="eastAsia" w:ascii="宋体" w:hAnsi="宋体" w:cs="宋体"/>
                <w:bCs/>
                <w:highlight w:val="none"/>
              </w:rPr>
              <w:t>5</w:t>
            </w:r>
          </w:p>
        </w:tc>
        <w:tc>
          <w:tcPr>
            <w:tcW w:w="1991" w:type="dxa"/>
            <w:tcBorders>
              <w:top w:val="single" w:color="000000" w:sz="8" w:space="0"/>
              <w:left w:val="single" w:color="auto" w:sz="4" w:space="0"/>
              <w:bottom w:val="single" w:color="000000" w:sz="8" w:space="0"/>
              <w:right w:val="single" w:color="000000" w:sz="8" w:space="0"/>
            </w:tcBorders>
            <w:vAlign w:val="center"/>
          </w:tcPr>
          <w:p w14:paraId="4CF6E29B">
            <w:pPr>
              <w:adjustRightInd w:val="0"/>
              <w:snapToGrid w:val="0"/>
              <w:spacing w:line="380" w:lineRule="exact"/>
              <w:jc w:val="center"/>
              <w:rPr>
                <w:rFonts w:ascii="宋体" w:hAnsi="宋体" w:cs="宋体"/>
                <w:bCs/>
                <w:highlight w:val="none"/>
              </w:rPr>
            </w:pPr>
            <w:r>
              <w:rPr>
                <w:rFonts w:hint="eastAsia" w:ascii="宋体" w:hAnsi="宋体" w:cs="宋体"/>
                <w:bCs/>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4C55A23E">
            <w:pPr>
              <w:adjustRightInd w:val="0"/>
              <w:spacing w:line="380" w:lineRule="exact"/>
              <w:rPr>
                <w:rFonts w:ascii="宋体" w:hAnsi="宋体" w:cs="宋体"/>
                <w:bCs/>
                <w:highlight w:val="none"/>
              </w:rPr>
            </w:pPr>
            <w:r>
              <w:rPr>
                <w:rFonts w:hint="eastAsia" w:ascii="宋体" w:hAnsi="宋体" w:cs="宋体"/>
                <w:bCs/>
                <w:highlight w:val="none"/>
              </w:rPr>
              <w:t>不要求提供</w:t>
            </w:r>
          </w:p>
        </w:tc>
      </w:tr>
      <w:tr w14:paraId="4F1E29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705" w:type="dxa"/>
            <w:tcBorders>
              <w:top w:val="single" w:color="auto" w:sz="4" w:space="0"/>
              <w:left w:val="single" w:color="auto" w:sz="4" w:space="0"/>
              <w:bottom w:val="single" w:color="auto" w:sz="4" w:space="0"/>
              <w:right w:val="single" w:color="auto" w:sz="4" w:space="0"/>
            </w:tcBorders>
            <w:vAlign w:val="center"/>
          </w:tcPr>
          <w:p w14:paraId="39D89B49">
            <w:pPr>
              <w:adjustRightInd w:val="0"/>
              <w:snapToGrid w:val="0"/>
              <w:spacing w:line="380" w:lineRule="exact"/>
              <w:jc w:val="center"/>
              <w:rPr>
                <w:rFonts w:ascii="宋体" w:hAnsi="宋体" w:cs="宋体"/>
                <w:bCs/>
                <w:highlight w:val="none"/>
              </w:rPr>
            </w:pPr>
            <w:r>
              <w:rPr>
                <w:rFonts w:hint="eastAsia" w:ascii="宋体" w:hAnsi="宋体" w:cs="宋体"/>
                <w:bCs/>
                <w:highlight w:val="none"/>
              </w:rPr>
              <w:t>6</w:t>
            </w:r>
          </w:p>
        </w:tc>
        <w:tc>
          <w:tcPr>
            <w:tcW w:w="1991" w:type="dxa"/>
            <w:tcBorders>
              <w:top w:val="single" w:color="000000" w:sz="8" w:space="0"/>
              <w:left w:val="single" w:color="auto" w:sz="4" w:space="0"/>
              <w:right w:val="single" w:color="000000" w:sz="8" w:space="0"/>
            </w:tcBorders>
            <w:vAlign w:val="center"/>
          </w:tcPr>
          <w:p w14:paraId="4643B6BF">
            <w:pPr>
              <w:adjustRightInd w:val="0"/>
              <w:snapToGrid w:val="0"/>
              <w:spacing w:line="380" w:lineRule="exact"/>
              <w:jc w:val="center"/>
              <w:rPr>
                <w:rFonts w:ascii="宋体" w:hAnsi="宋体" w:cs="宋体"/>
                <w:bCs/>
                <w:highlight w:val="none"/>
              </w:rPr>
            </w:pPr>
            <w:r>
              <w:rPr>
                <w:rFonts w:hint="eastAsia" w:ascii="宋体" w:hAnsi="宋体" w:cs="宋体"/>
                <w:bCs/>
                <w:highlight w:val="none"/>
                <w:lang w:val="en-US" w:eastAsia="zh-CN"/>
              </w:rPr>
              <w:t>功能</w:t>
            </w:r>
            <w:r>
              <w:rPr>
                <w:rFonts w:hint="eastAsia" w:ascii="宋体" w:hAnsi="宋体" w:cs="宋体"/>
                <w:bCs/>
                <w:highlight w:val="none"/>
              </w:rPr>
              <w:t>演示</w:t>
            </w:r>
          </w:p>
        </w:tc>
        <w:tc>
          <w:tcPr>
            <w:tcW w:w="6095" w:type="dxa"/>
            <w:tcBorders>
              <w:top w:val="single" w:color="000000" w:sz="8" w:space="0"/>
              <w:left w:val="single" w:color="000000" w:sz="2" w:space="0"/>
              <w:right w:val="single" w:color="000000" w:sz="8" w:space="0"/>
            </w:tcBorders>
            <w:vAlign w:val="center"/>
          </w:tcPr>
          <w:p w14:paraId="5F5CBDE2">
            <w:pPr>
              <w:adjustRightInd w:val="0"/>
              <w:snapToGrid w:val="0"/>
              <w:spacing w:line="380" w:lineRule="exact"/>
              <w:rPr>
                <w:rFonts w:hint="eastAsia" w:ascii="宋体" w:hAnsi="宋体" w:eastAsia="宋体" w:cs="宋体"/>
                <w:bCs/>
                <w:kern w:val="0"/>
                <w:highlight w:val="none"/>
                <w:lang w:val="en-US" w:eastAsia="zh-CN"/>
              </w:rPr>
            </w:pPr>
            <w:r>
              <w:rPr>
                <w:rFonts w:hint="eastAsia" w:ascii="宋体" w:hAnsi="宋体" w:eastAsia="宋体" w:cs="宋体"/>
                <w:bCs/>
                <w:kern w:val="0"/>
                <w:highlight w:val="none"/>
                <w:lang w:val="en-US" w:eastAsia="zh-CN"/>
              </w:rPr>
              <w:t>组织，存储于U盘中邮寄至新昌县七星街道文锦东苑体育场路98号；文件签收人员：杨女士 联系电话：0575-86660697 。</w:t>
            </w:r>
          </w:p>
        </w:tc>
      </w:tr>
      <w:tr w14:paraId="0BBA90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95" w:hRule="atLeast"/>
        </w:trPr>
        <w:tc>
          <w:tcPr>
            <w:tcW w:w="705" w:type="dxa"/>
            <w:tcBorders>
              <w:top w:val="single" w:color="auto" w:sz="4" w:space="0"/>
              <w:left w:val="single" w:color="auto" w:sz="4" w:space="0"/>
              <w:bottom w:val="single" w:color="auto" w:sz="4" w:space="0"/>
              <w:right w:val="single" w:color="auto" w:sz="4" w:space="0"/>
            </w:tcBorders>
            <w:vAlign w:val="center"/>
          </w:tcPr>
          <w:p w14:paraId="6910EE11">
            <w:pPr>
              <w:adjustRightInd w:val="0"/>
              <w:snapToGrid w:val="0"/>
              <w:spacing w:line="380" w:lineRule="exact"/>
              <w:jc w:val="center"/>
              <w:rPr>
                <w:rFonts w:hint="eastAsia" w:ascii="宋体" w:hAnsi="宋体" w:eastAsia="宋体" w:cs="宋体"/>
                <w:bCs/>
                <w:highlight w:val="none"/>
                <w:lang w:val="en-US" w:eastAsia="zh-CN"/>
              </w:rPr>
            </w:pPr>
            <w:r>
              <w:rPr>
                <w:rFonts w:hint="eastAsia" w:ascii="宋体" w:hAnsi="宋体" w:cs="宋体"/>
                <w:bCs/>
                <w:highlight w:val="none"/>
                <w:lang w:val="en-US" w:eastAsia="zh-CN"/>
              </w:rPr>
              <w:t>7</w:t>
            </w:r>
          </w:p>
        </w:tc>
        <w:tc>
          <w:tcPr>
            <w:tcW w:w="1991" w:type="dxa"/>
            <w:tcBorders>
              <w:top w:val="single" w:color="000000" w:sz="8" w:space="0"/>
              <w:left w:val="single" w:color="auto" w:sz="4" w:space="0"/>
              <w:right w:val="single" w:color="000000" w:sz="8" w:space="0"/>
            </w:tcBorders>
            <w:vAlign w:val="center"/>
          </w:tcPr>
          <w:p w14:paraId="63F8C500">
            <w:pPr>
              <w:adjustRightInd w:val="0"/>
              <w:snapToGrid w:val="0"/>
              <w:spacing w:line="380" w:lineRule="exact"/>
              <w:jc w:val="center"/>
              <w:rPr>
                <w:rFonts w:hint="default" w:ascii="宋体" w:hAnsi="宋体" w:cs="宋体"/>
                <w:bCs/>
                <w:highlight w:val="none"/>
                <w:lang w:val="en-US" w:eastAsia="zh-CN"/>
              </w:rPr>
            </w:pPr>
            <w:r>
              <w:rPr>
                <w:rFonts w:hint="eastAsia" w:ascii="宋体" w:hAnsi="宋体" w:cs="宋体"/>
                <w:bCs/>
                <w:highlight w:val="none"/>
                <w:lang w:val="en-US" w:eastAsia="zh-CN"/>
              </w:rPr>
              <w:t>履约保证金</w:t>
            </w:r>
          </w:p>
        </w:tc>
        <w:tc>
          <w:tcPr>
            <w:tcW w:w="6095" w:type="dxa"/>
            <w:tcBorders>
              <w:top w:val="single" w:color="000000" w:sz="8" w:space="0"/>
              <w:left w:val="single" w:color="000000" w:sz="2" w:space="0"/>
              <w:right w:val="single" w:color="000000" w:sz="8" w:space="0"/>
            </w:tcBorders>
            <w:vAlign w:val="center"/>
          </w:tcPr>
          <w:p w14:paraId="77DB2355">
            <w:pPr>
              <w:adjustRightInd w:val="0"/>
              <w:snapToGrid w:val="0"/>
              <w:spacing w:line="380" w:lineRule="exact"/>
              <w:rPr>
                <w:rFonts w:hint="default" w:hAnsi="宋体"/>
                <w:highlight w:val="none"/>
                <w:lang w:val="en-US" w:eastAsia="zh-CN"/>
              </w:rPr>
            </w:pPr>
            <w:r>
              <w:rPr>
                <w:rFonts w:hint="eastAsia" w:hAnsi="宋体"/>
                <w:highlight w:val="none"/>
                <w:lang w:val="en-US" w:eastAsia="zh-CN"/>
              </w:rPr>
              <w:t>不要求提供</w:t>
            </w:r>
          </w:p>
        </w:tc>
      </w:tr>
      <w:tr w14:paraId="77B9FF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86" w:hRule="atLeast"/>
        </w:trPr>
        <w:tc>
          <w:tcPr>
            <w:tcW w:w="705" w:type="dxa"/>
            <w:tcBorders>
              <w:top w:val="single" w:color="auto" w:sz="4" w:space="0"/>
              <w:left w:val="single" w:color="000000" w:sz="8" w:space="0"/>
              <w:bottom w:val="single" w:color="auto" w:sz="4" w:space="0"/>
              <w:right w:val="single" w:color="000000" w:sz="2" w:space="0"/>
            </w:tcBorders>
            <w:vAlign w:val="center"/>
          </w:tcPr>
          <w:p w14:paraId="36FAE4FC">
            <w:pPr>
              <w:adjustRightInd w:val="0"/>
              <w:snapToGrid w:val="0"/>
              <w:spacing w:line="380" w:lineRule="exact"/>
              <w:jc w:val="center"/>
              <w:rPr>
                <w:rFonts w:hint="default" w:ascii="宋体" w:hAnsi="宋体" w:eastAsia="宋体" w:cs="宋体"/>
                <w:bCs/>
                <w:highlight w:val="none"/>
                <w:lang w:val="en-US" w:eastAsia="zh-CN"/>
              </w:rPr>
            </w:pPr>
            <w:r>
              <w:rPr>
                <w:rFonts w:hint="eastAsia" w:ascii="宋体" w:hAnsi="宋体" w:cs="宋体"/>
                <w:bCs/>
                <w:highlight w:val="none"/>
                <w:lang w:val="en-US" w:eastAsia="zh-CN"/>
              </w:rPr>
              <w:t>8</w:t>
            </w:r>
          </w:p>
        </w:tc>
        <w:tc>
          <w:tcPr>
            <w:tcW w:w="1991" w:type="dxa"/>
            <w:tcBorders>
              <w:top w:val="single" w:color="000000" w:sz="8" w:space="0"/>
              <w:left w:val="single" w:color="000000" w:sz="2" w:space="0"/>
              <w:bottom w:val="single" w:color="000000" w:sz="8" w:space="0"/>
              <w:right w:val="single" w:color="000000" w:sz="8" w:space="0"/>
            </w:tcBorders>
            <w:vAlign w:val="center"/>
          </w:tcPr>
          <w:p w14:paraId="12D96FAE">
            <w:pPr>
              <w:adjustRightInd w:val="0"/>
              <w:snapToGrid w:val="0"/>
              <w:spacing w:line="380" w:lineRule="exact"/>
              <w:jc w:val="center"/>
              <w:rPr>
                <w:rFonts w:ascii="宋体" w:hAnsi="宋体" w:cs="宋体"/>
                <w:bCs/>
                <w:highlight w:val="none"/>
              </w:rPr>
            </w:pPr>
            <w:r>
              <w:rPr>
                <w:rFonts w:hint="eastAsia" w:ascii="宋体" w:hAnsi="宋体" w:cs="宋体"/>
                <w:bCs/>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4C9983E8">
            <w:pPr>
              <w:adjustRightInd w:val="0"/>
              <w:spacing w:line="380" w:lineRule="exact"/>
              <w:jc w:val="left"/>
              <w:rPr>
                <w:rFonts w:hint="eastAsia" w:ascii="宋体" w:hAnsi="宋体" w:cs="宋体"/>
                <w:bCs/>
                <w:highlight w:val="none"/>
              </w:rPr>
            </w:pPr>
            <w:r>
              <w:rPr>
                <w:rFonts w:hint="eastAsia" w:ascii="宋体" w:hAnsi="宋体" w:cs="宋体"/>
                <w:bCs/>
                <w:highlight w:val="none"/>
                <w:lang w:val="en-US" w:eastAsia="zh-CN"/>
              </w:rPr>
              <w:t>1.</w:t>
            </w:r>
            <w:r>
              <w:rPr>
                <w:rFonts w:hint="eastAsia" w:ascii="宋体" w:hAnsi="宋体" w:eastAsia="宋体" w:cs="宋体"/>
                <w:bCs/>
                <w:highlight w:val="none"/>
              </w:rPr>
              <w:t>采购代理服务费：以中标通知书中确定的中标金额作为服务费的计算基数，收费比例按照：中标金额在100万以下部分为1.5%，100-500万部分为</w:t>
            </w:r>
            <w:r>
              <w:rPr>
                <w:rFonts w:hint="eastAsia" w:ascii="宋体" w:hAnsi="宋体" w:cs="宋体"/>
                <w:bCs/>
                <w:highlight w:val="none"/>
                <w:lang w:val="en-US" w:eastAsia="zh-CN"/>
              </w:rPr>
              <w:t>1.1</w:t>
            </w:r>
            <w:r>
              <w:rPr>
                <w:rFonts w:hint="eastAsia" w:ascii="宋体" w:hAnsi="宋体" w:eastAsia="宋体" w:cs="宋体"/>
                <w:bCs/>
                <w:highlight w:val="none"/>
              </w:rPr>
              <w:t>%。</w:t>
            </w:r>
            <w:r>
              <w:rPr>
                <w:rFonts w:hint="eastAsia" w:ascii="宋体" w:hAnsi="宋体" w:eastAsia="宋体" w:cs="宋体"/>
                <w:bCs/>
                <w:highlight w:val="none"/>
                <w:lang w:val="en-US" w:eastAsia="zh-CN"/>
              </w:rPr>
              <w:t>由中标方支付。（按差额定率累进法计算）</w:t>
            </w:r>
          </w:p>
          <w:p w14:paraId="5C823388">
            <w:pPr>
              <w:adjustRightInd w:val="0"/>
              <w:spacing w:line="380" w:lineRule="exact"/>
              <w:jc w:val="left"/>
              <w:rPr>
                <w:rFonts w:hint="eastAsia" w:ascii="宋体" w:hAnsi="宋体" w:cs="宋体"/>
                <w:bCs/>
                <w:highlight w:val="none"/>
              </w:rPr>
            </w:pPr>
            <w:r>
              <w:rPr>
                <w:rFonts w:hint="eastAsia" w:ascii="宋体" w:hAnsi="宋体" w:cs="宋体"/>
                <w:bCs/>
                <w:highlight w:val="none"/>
              </w:rPr>
              <w:t>收款单位：新昌县同启项目管理有限公司</w:t>
            </w:r>
          </w:p>
          <w:p w14:paraId="784C5A01">
            <w:pPr>
              <w:adjustRightInd w:val="0"/>
              <w:spacing w:line="380" w:lineRule="exact"/>
              <w:jc w:val="left"/>
              <w:rPr>
                <w:rFonts w:hint="eastAsia" w:ascii="宋体" w:hAnsi="宋体" w:cs="宋体"/>
                <w:bCs/>
                <w:highlight w:val="none"/>
              </w:rPr>
            </w:pPr>
            <w:r>
              <w:rPr>
                <w:rFonts w:hint="eastAsia" w:ascii="宋体" w:hAnsi="宋体" w:cs="宋体"/>
                <w:bCs/>
                <w:highlight w:val="none"/>
              </w:rPr>
              <w:t>开户银行：中国建设银行新昌城中支行</w:t>
            </w:r>
          </w:p>
          <w:p w14:paraId="6F8F3E93">
            <w:pPr>
              <w:adjustRightInd w:val="0"/>
              <w:spacing w:line="380" w:lineRule="exact"/>
              <w:jc w:val="left"/>
              <w:rPr>
                <w:rFonts w:hint="eastAsia" w:ascii="宋体" w:hAnsi="宋体" w:cs="宋体"/>
                <w:bCs/>
                <w:highlight w:val="none"/>
              </w:rPr>
            </w:pPr>
            <w:r>
              <w:rPr>
                <w:rFonts w:hint="eastAsia" w:ascii="宋体" w:hAnsi="宋体" w:cs="宋体"/>
                <w:bCs/>
                <w:highlight w:val="none"/>
              </w:rPr>
              <w:t>银行账号：33050165663900000084</w:t>
            </w:r>
          </w:p>
          <w:p w14:paraId="44C76A8E">
            <w:pPr>
              <w:adjustRightInd w:val="0"/>
              <w:spacing w:line="380" w:lineRule="exact"/>
              <w:jc w:val="left"/>
              <w:rPr>
                <w:rFonts w:ascii="宋体" w:hAnsi="宋体" w:cs="宋体"/>
                <w:bCs/>
                <w:highlight w:val="none"/>
              </w:rPr>
            </w:pPr>
            <w:r>
              <w:rPr>
                <w:rFonts w:hint="eastAsia" w:ascii="宋体" w:hAnsi="宋体" w:cs="宋体"/>
                <w:bCs/>
                <w:highlight w:val="none"/>
              </w:rPr>
              <w:t>2.投标文件存在下列情况的，视为撤回：</w:t>
            </w:r>
          </w:p>
          <w:p w14:paraId="7E9B1622">
            <w:pPr>
              <w:widowControl/>
              <w:adjustRightInd w:val="0"/>
              <w:spacing w:line="380" w:lineRule="exact"/>
              <w:rPr>
                <w:rFonts w:ascii="宋体" w:hAnsi="宋体" w:cs="宋体"/>
                <w:bCs/>
                <w:highlight w:val="none"/>
              </w:rPr>
            </w:pPr>
            <w:r>
              <w:rPr>
                <w:rFonts w:hint="eastAsia" w:ascii="宋体" w:hAnsi="宋体" w:cs="宋体"/>
                <w:bCs/>
                <w:highlight w:val="none"/>
              </w:rPr>
              <w:t>（1）投标文件未按时解密的</w:t>
            </w:r>
          </w:p>
          <w:p w14:paraId="08B24A94">
            <w:pPr>
              <w:adjustRightInd w:val="0"/>
              <w:spacing w:line="380" w:lineRule="exact"/>
              <w:rPr>
                <w:rFonts w:hint="default" w:ascii="宋体" w:hAnsi="宋体" w:eastAsia="宋体" w:cs="宋体"/>
                <w:bCs/>
                <w:highlight w:val="none"/>
                <w:lang w:val="en-US" w:eastAsia="zh-CN"/>
              </w:rPr>
            </w:pPr>
            <w:r>
              <w:rPr>
                <w:rFonts w:hint="eastAsia" w:ascii="宋体" w:hAnsi="宋体" w:cs="宋体"/>
                <w:bCs/>
                <w:highlight w:val="none"/>
              </w:rPr>
              <w:t>3.</w:t>
            </w:r>
            <w:r>
              <w:rPr>
                <w:rFonts w:hint="eastAsia" w:ascii="宋体" w:hAnsi="宋体" w:cs="宋体"/>
                <w:bCs/>
                <w:highlight w:val="none"/>
                <w:lang w:val="en-US" w:eastAsia="zh-CN"/>
              </w:rPr>
              <w:t>乐采云</w:t>
            </w:r>
            <w:r>
              <w:rPr>
                <w:rFonts w:hint="eastAsia" w:ascii="宋体" w:hAnsi="宋体" w:cs="宋体"/>
                <w:bCs/>
                <w:highlight w:val="none"/>
              </w:rPr>
              <w:t xml:space="preserve">平台如对电子化开标及评审程序有调整的，按调整后的程序操作。 </w:t>
            </w:r>
          </w:p>
          <w:p w14:paraId="1CA78DE8">
            <w:pPr>
              <w:adjustRightInd w:val="0"/>
              <w:spacing w:line="380" w:lineRule="exact"/>
              <w:rPr>
                <w:rFonts w:ascii="宋体" w:hAnsi="宋体" w:cs="宋体"/>
                <w:bCs/>
                <w:snapToGrid w:val="0"/>
                <w:kern w:val="28"/>
                <w:highlight w:val="none"/>
              </w:rPr>
            </w:pPr>
            <w:r>
              <w:rPr>
                <w:rFonts w:hint="eastAsia" w:ascii="宋体" w:hAnsi="宋体" w:cs="宋体"/>
                <w:bCs/>
                <w:snapToGrid w:val="0"/>
                <w:kern w:val="28"/>
                <w:highlight w:val="none"/>
              </w:rPr>
              <w:t>4.本项目投标所产生的一切费用由投标人承担，未中标单位不设补偿费。</w:t>
            </w:r>
          </w:p>
          <w:p w14:paraId="79055E2B">
            <w:pPr>
              <w:adjustRightInd w:val="0"/>
              <w:spacing w:line="380" w:lineRule="exact"/>
              <w:rPr>
                <w:rFonts w:ascii="宋体" w:hAnsi="宋体" w:cs="宋体"/>
                <w:bCs/>
                <w:snapToGrid w:val="0"/>
                <w:kern w:val="28"/>
                <w:highlight w:val="none"/>
              </w:rPr>
            </w:pPr>
            <w:r>
              <w:rPr>
                <w:rFonts w:hint="eastAsia" w:ascii="宋体" w:hAnsi="宋体" w:cs="宋体"/>
                <w:bCs/>
                <w:snapToGrid w:val="0"/>
                <w:kern w:val="28"/>
                <w:highlight w:val="none"/>
              </w:rPr>
              <w:t>5.招标人向投标人提供的有关资料和数据，是招标人现有的能使投标人利用的资源，投标人在此基础上作出的推论、理解、结论概不负责。各投标人的本次投标成果，无论是否中标，均归招标人所有。</w:t>
            </w:r>
          </w:p>
          <w:p w14:paraId="0CC9543D">
            <w:pPr>
              <w:adjustRightInd w:val="0"/>
              <w:spacing w:line="380" w:lineRule="exact"/>
              <w:rPr>
                <w:rFonts w:ascii="宋体" w:hAnsi="宋体" w:cs="宋体"/>
                <w:bCs/>
                <w:snapToGrid w:val="0"/>
                <w:kern w:val="28"/>
                <w:highlight w:val="none"/>
              </w:rPr>
            </w:pPr>
            <w:r>
              <w:rPr>
                <w:rFonts w:hint="eastAsia" w:ascii="宋体" w:hAnsi="宋体" w:cs="宋体"/>
                <w:bCs/>
                <w:snapToGrid w:val="0"/>
                <w:kern w:val="28"/>
                <w:highlight w:val="none"/>
              </w:rPr>
              <w:t>投标人应对投标内容所涉及的一切知识产权承担责任，并负责保护采购单位的利益不受损害，一切由于侵权引起的法律、诉讼、裁决和所发生的费用均与采购单位无关。</w:t>
            </w:r>
          </w:p>
          <w:p w14:paraId="4782CF0F">
            <w:pPr>
              <w:adjustRightInd w:val="0"/>
              <w:spacing w:line="380" w:lineRule="exact"/>
              <w:rPr>
                <w:rFonts w:ascii="宋体" w:hAnsi="宋体" w:cs="宋体"/>
                <w:bCs/>
                <w:snapToGrid w:val="0"/>
                <w:kern w:val="28"/>
                <w:highlight w:val="none"/>
              </w:rPr>
            </w:pPr>
            <w:r>
              <w:rPr>
                <w:rFonts w:hint="eastAsia" w:ascii="宋体" w:hAnsi="宋体" w:cs="宋体"/>
                <w:bCs/>
                <w:snapToGrid w:val="0"/>
                <w:kern w:val="28"/>
                <w:highlight w:val="none"/>
                <w:lang w:val="en-US" w:eastAsia="zh-CN"/>
              </w:rPr>
              <w:t>6</w:t>
            </w:r>
            <w:r>
              <w:rPr>
                <w:rFonts w:hint="eastAsia" w:ascii="宋体" w:hAnsi="宋体" w:cs="宋体"/>
                <w:bCs/>
                <w:snapToGrid w:val="0"/>
                <w:kern w:val="28"/>
                <w:highlight w:val="none"/>
              </w:rPr>
              <w:t>.若招标文件资格条件中规定区域性分支机构、个体工商户、个人独资企业、合伙企业允许参加本项目投标的，其营业执照负责人签署的相关投标资料与本招标文件规定由法定代表人签署的文件材料具有同等效力。</w:t>
            </w:r>
          </w:p>
          <w:p w14:paraId="1D518211">
            <w:pPr>
              <w:adjustRightInd w:val="0"/>
              <w:spacing w:line="380" w:lineRule="exact"/>
              <w:rPr>
                <w:rFonts w:ascii="宋体" w:hAnsi="宋体" w:cs="宋体"/>
                <w:bCs/>
                <w:snapToGrid w:val="0"/>
                <w:kern w:val="28"/>
                <w:highlight w:val="none"/>
              </w:rPr>
            </w:pPr>
            <w:r>
              <w:rPr>
                <w:rFonts w:hint="eastAsia" w:ascii="宋体" w:hAnsi="宋体" w:cs="宋体"/>
                <w:bCs/>
                <w:snapToGrid w:val="0"/>
                <w:kern w:val="28"/>
                <w:highlight w:val="none"/>
                <w:lang w:val="en-US" w:eastAsia="zh-CN"/>
              </w:rPr>
              <w:t>7</w:t>
            </w:r>
            <w:r>
              <w:rPr>
                <w:rFonts w:hint="eastAsia" w:ascii="宋体" w:hAnsi="宋体" w:cs="宋体"/>
                <w:bCs/>
                <w:snapToGrid w:val="0"/>
                <w:kern w:val="28"/>
                <w:highlight w:val="none"/>
              </w:rPr>
              <w:t>.供应商响应的产品或服务技术指标，除采购文件明确以承诺、声明或直观表现形式外，供应商应当尽可能提供投标产品的检测报告、产品使用说明书、用户手册、技术指标其他书面阐述等材料予以佐证。若佐证材料有矛盾或者前后不一致，优先按照检测报告、产品使用说明书、用户手册、技术指标其他书面阐述的先后解释或佐证材料为准。</w:t>
            </w:r>
          </w:p>
          <w:p w14:paraId="0937E22F">
            <w:pPr>
              <w:widowControl/>
              <w:adjustRightInd w:val="0"/>
              <w:spacing w:line="380" w:lineRule="exact"/>
              <w:jc w:val="left"/>
              <w:rPr>
                <w:rFonts w:ascii="宋体" w:hAnsi="宋体" w:cs="宋体"/>
                <w:bCs/>
                <w:kern w:val="28"/>
                <w:highlight w:val="none"/>
              </w:rPr>
            </w:pPr>
            <w:r>
              <w:rPr>
                <w:rFonts w:hint="eastAsia" w:ascii="宋体" w:hAnsi="宋体" w:cs="宋体"/>
                <w:bCs/>
                <w:snapToGrid w:val="0"/>
                <w:kern w:val="28"/>
                <w:highlight w:val="none"/>
                <w:lang w:val="en-US" w:eastAsia="zh-CN"/>
              </w:rPr>
              <w:t>8</w:t>
            </w:r>
            <w:r>
              <w:rPr>
                <w:rFonts w:hint="eastAsia" w:ascii="宋体" w:hAnsi="宋体" w:cs="宋体"/>
                <w:bCs/>
                <w:snapToGrid w:val="0"/>
                <w:kern w:val="28"/>
                <w:highlight w:val="none"/>
              </w:rPr>
              <w:t>.中标人在领取中标通知书提供纸质投标文件三份（电子投标文件打印，装订成册，采用胶订或线订；封面再加盖单位公章（物理章）。</w:t>
            </w:r>
            <w:r>
              <w:rPr>
                <w:rFonts w:hint="eastAsia" w:ascii="宋体" w:hAnsi="宋体" w:cs="宋体"/>
                <w:bCs/>
                <w:highlight w:val="none"/>
              </w:rPr>
              <w:t xml:space="preserve">                                   </w:t>
            </w:r>
          </w:p>
        </w:tc>
      </w:tr>
    </w:tbl>
    <w:p w14:paraId="196393ED">
      <w:pPr>
        <w:spacing w:line="360" w:lineRule="auto"/>
        <w:rPr>
          <w:rFonts w:ascii="宋体" w:hAnsi="宋体" w:cs="宋体"/>
          <w:highlight w:val="none"/>
        </w:rPr>
      </w:pPr>
    </w:p>
    <w:p w14:paraId="0B0D0826">
      <w:pPr>
        <w:pStyle w:val="5"/>
        <w:spacing w:before="0" w:after="0" w:line="400" w:lineRule="exact"/>
        <w:ind w:firstLine="0" w:firstLineChars="0"/>
        <w:rPr>
          <w:rFonts w:hint="eastAsia" w:ascii="宋体" w:hAnsi="宋体" w:eastAsia="宋体" w:cs="宋体"/>
          <w:sz w:val="21"/>
          <w:szCs w:val="21"/>
          <w:highlight w:val="none"/>
        </w:rPr>
        <w:sectPr>
          <w:footerReference r:id="rId8" w:type="first"/>
          <w:footerReference r:id="rId7" w:type="default"/>
          <w:pgSz w:w="11906" w:h="16838"/>
          <w:pgMar w:top="1361" w:right="1440" w:bottom="1361" w:left="1440" w:header="851" w:footer="992" w:gutter="0"/>
          <w:pgNumType w:start="1"/>
          <w:cols w:space="425" w:num="1"/>
          <w:titlePg/>
          <w:docGrid w:type="lines" w:linePitch="312" w:charSpace="0"/>
        </w:sectPr>
      </w:pPr>
      <w:bookmarkStart w:id="27" w:name="_Toc43498220"/>
    </w:p>
    <w:p w14:paraId="55781213">
      <w:pPr>
        <w:pStyle w:val="5"/>
        <w:spacing w:before="0" w:after="0" w:line="400" w:lineRule="exact"/>
        <w:ind w:firstLine="0" w:firstLineChars="0"/>
        <w:rPr>
          <w:rFonts w:ascii="宋体" w:hAnsi="宋体" w:eastAsia="宋体" w:cs="宋体"/>
          <w:sz w:val="21"/>
          <w:szCs w:val="21"/>
          <w:highlight w:val="none"/>
        </w:rPr>
      </w:pPr>
      <w:r>
        <w:rPr>
          <w:rFonts w:hint="eastAsia" w:ascii="宋体" w:hAnsi="宋体" w:eastAsia="宋体" w:cs="宋体"/>
          <w:sz w:val="21"/>
          <w:szCs w:val="21"/>
          <w:highlight w:val="none"/>
        </w:rPr>
        <w:t>一  总则</w:t>
      </w:r>
      <w:bookmarkEnd w:id="27"/>
    </w:p>
    <w:p w14:paraId="572CA3B4">
      <w:pPr>
        <w:spacing w:line="400" w:lineRule="exact"/>
        <w:ind w:firstLine="422" w:firstLineChars="200"/>
        <w:rPr>
          <w:rFonts w:ascii="宋体" w:hAnsi="宋体" w:cs="宋体"/>
          <w:b/>
          <w:bCs/>
          <w:highlight w:val="none"/>
        </w:rPr>
      </w:pPr>
      <w:r>
        <w:rPr>
          <w:rFonts w:hint="eastAsia" w:ascii="宋体" w:hAnsi="宋体" w:cs="宋体"/>
          <w:b/>
          <w:bCs/>
          <w:highlight w:val="none"/>
        </w:rPr>
        <w:t>1.适用范围</w:t>
      </w:r>
    </w:p>
    <w:p w14:paraId="71A12D1D">
      <w:pPr>
        <w:spacing w:line="400" w:lineRule="exact"/>
        <w:ind w:firstLine="420" w:firstLineChars="200"/>
        <w:rPr>
          <w:rFonts w:ascii="宋体" w:hAnsi="宋体" w:cs="宋体"/>
          <w:highlight w:val="none"/>
        </w:rPr>
      </w:pPr>
      <w:r>
        <w:rPr>
          <w:rFonts w:hint="eastAsia" w:ascii="宋体" w:hAnsi="宋体" w:cs="宋体"/>
          <w:highlight w:val="none"/>
        </w:rPr>
        <w:t>1.1招标文件适用于本次所述项目的采购行为（法律、法规另有规定的，从其规定）。</w:t>
      </w:r>
    </w:p>
    <w:p w14:paraId="3FEC79A8">
      <w:pPr>
        <w:spacing w:line="400" w:lineRule="exact"/>
        <w:ind w:firstLine="422" w:firstLineChars="200"/>
        <w:rPr>
          <w:rFonts w:ascii="宋体" w:hAnsi="宋体" w:cs="宋体"/>
          <w:b/>
          <w:bCs/>
          <w:highlight w:val="none"/>
        </w:rPr>
      </w:pPr>
      <w:r>
        <w:rPr>
          <w:rFonts w:hint="eastAsia" w:ascii="宋体" w:hAnsi="宋体" w:cs="宋体"/>
          <w:b/>
          <w:bCs/>
          <w:highlight w:val="none"/>
        </w:rPr>
        <w:t>2.定义</w:t>
      </w:r>
    </w:p>
    <w:p w14:paraId="5B1F3D41">
      <w:pPr>
        <w:spacing w:line="400" w:lineRule="exact"/>
        <w:ind w:firstLine="420" w:firstLineChars="200"/>
        <w:rPr>
          <w:rFonts w:ascii="宋体" w:hAnsi="宋体" w:cs="宋体"/>
          <w:highlight w:val="none"/>
        </w:rPr>
      </w:pPr>
      <w:r>
        <w:rPr>
          <w:rFonts w:hint="eastAsia" w:ascii="宋体" w:hAnsi="宋体" w:cs="宋体"/>
          <w:highlight w:val="none"/>
        </w:rPr>
        <w:t>2.1</w:t>
      </w:r>
      <w:r>
        <w:rPr>
          <w:rFonts w:hint="eastAsia" w:ascii="宋体" w:hAnsi="宋体" w:cs="宋体"/>
          <w:highlight w:val="none"/>
          <w:lang w:val="en-US" w:eastAsia="zh-CN"/>
        </w:rPr>
        <w:t xml:space="preserve"> </w:t>
      </w:r>
      <w:r>
        <w:rPr>
          <w:rFonts w:hint="eastAsia" w:ascii="宋体" w:hAnsi="宋体" w:cs="宋体"/>
          <w:highlight w:val="none"/>
        </w:rPr>
        <w:t>“采购人”系指招标公告中载明的本项目的采购人/招标人。</w:t>
      </w:r>
    </w:p>
    <w:p w14:paraId="5E45B345">
      <w:pPr>
        <w:spacing w:line="400" w:lineRule="exact"/>
        <w:ind w:firstLine="420" w:firstLineChars="200"/>
        <w:rPr>
          <w:rFonts w:ascii="宋体" w:hAnsi="宋体" w:cs="宋体"/>
          <w:highlight w:val="none"/>
        </w:rPr>
      </w:pPr>
      <w:r>
        <w:rPr>
          <w:rFonts w:hint="eastAsia" w:ascii="宋体" w:hAnsi="宋体" w:cs="宋体"/>
          <w:highlight w:val="none"/>
        </w:rPr>
        <w:t>2.2 “投标人”系指是指响应招标、参加投标竞争的法人、其他组织或者自然人。</w:t>
      </w:r>
    </w:p>
    <w:p w14:paraId="264EF9CC">
      <w:pPr>
        <w:spacing w:line="400" w:lineRule="exact"/>
        <w:ind w:firstLine="420" w:firstLineChars="200"/>
        <w:rPr>
          <w:rFonts w:ascii="宋体" w:hAnsi="宋体" w:cs="宋体"/>
          <w:highlight w:val="none"/>
        </w:rPr>
      </w:pPr>
      <w:r>
        <w:rPr>
          <w:rFonts w:hint="eastAsia" w:ascii="宋体" w:hAnsi="宋体" w:cs="宋体"/>
          <w:highlight w:val="none"/>
        </w:rPr>
        <w:t>2.3 “采购代理机构”系指招标公告中载明的本项目的采购代理机构。</w:t>
      </w:r>
    </w:p>
    <w:p w14:paraId="75F73B56">
      <w:pPr>
        <w:spacing w:line="400" w:lineRule="exact"/>
        <w:ind w:firstLine="420" w:firstLineChars="200"/>
        <w:rPr>
          <w:rFonts w:ascii="宋体" w:hAnsi="宋体" w:cs="宋体"/>
          <w:highlight w:val="none"/>
        </w:rPr>
      </w:pPr>
      <w:r>
        <w:rPr>
          <w:rFonts w:hint="eastAsia" w:ascii="宋体" w:hAnsi="宋体" w:cs="宋体"/>
          <w:highlight w:val="none"/>
        </w:rPr>
        <w:t>2.4“负责人”系指法人企业的法定代表人，或其他组织为法律、行政法规规定代表单位行使职权的主要负责人。</w:t>
      </w:r>
    </w:p>
    <w:p w14:paraId="743F45D2">
      <w:pPr>
        <w:spacing w:line="400" w:lineRule="exact"/>
        <w:ind w:firstLine="420" w:firstLineChars="200"/>
        <w:rPr>
          <w:rFonts w:ascii="宋体" w:hAnsi="宋体" w:cs="宋体"/>
          <w:highlight w:val="none"/>
        </w:rPr>
      </w:pPr>
      <w:r>
        <w:rPr>
          <w:rFonts w:hint="eastAsia" w:ascii="宋体" w:hAnsi="宋体" w:cs="宋体"/>
          <w:highlight w:val="none"/>
        </w:rPr>
        <w:t>2.5“合同”系指委托方、受托方双方签署的规定委托方、受托方双方权利与义务的协议，以及所有的附件、附录和招标文件所提到的构成合同的所有文件。</w:t>
      </w:r>
    </w:p>
    <w:p w14:paraId="4CBADDA9">
      <w:pPr>
        <w:spacing w:line="400" w:lineRule="exact"/>
        <w:ind w:firstLine="420" w:firstLineChars="200"/>
        <w:rPr>
          <w:rFonts w:ascii="宋体" w:hAnsi="宋体" w:cs="宋体"/>
          <w:highlight w:val="none"/>
        </w:rPr>
      </w:pPr>
      <w:r>
        <w:rPr>
          <w:rFonts w:hint="eastAsia" w:ascii="宋体" w:hAnsi="宋体" w:cs="宋体"/>
          <w:highlight w:val="none"/>
        </w:rPr>
        <w:t>2.6 “产品”系指投标人按招标文件规定，须向采购人提供的一切产品（包括：虚拟产品），以及产品相关的保险、税金、备品备件、附件、耗材、工具、手册及其它有关技术资料和材料等。</w:t>
      </w:r>
    </w:p>
    <w:p w14:paraId="5CFD9DBB">
      <w:pPr>
        <w:spacing w:line="400" w:lineRule="exact"/>
        <w:ind w:firstLine="420" w:firstLineChars="200"/>
        <w:rPr>
          <w:rFonts w:ascii="宋体" w:hAnsi="宋体" w:cs="宋体"/>
          <w:highlight w:val="none"/>
        </w:rPr>
      </w:pPr>
      <w:r>
        <w:rPr>
          <w:rFonts w:hint="eastAsia" w:ascii="宋体" w:hAnsi="宋体" w:cs="宋体"/>
          <w:highlight w:val="none"/>
        </w:rPr>
        <w:t>2.7 “服务”系指投标人按招标文件规定应承担的送货上门、安装、调试、技术协助、校准、培训、技术指导以及其他类似的附随义务。</w:t>
      </w:r>
    </w:p>
    <w:p w14:paraId="345AE4F8">
      <w:pPr>
        <w:spacing w:line="400" w:lineRule="exact"/>
        <w:ind w:firstLine="420" w:firstLineChars="200"/>
        <w:rPr>
          <w:rFonts w:ascii="宋体" w:hAnsi="宋体" w:cs="宋体"/>
          <w:bCs/>
          <w:highlight w:val="none"/>
        </w:rPr>
      </w:pPr>
      <w:r>
        <w:rPr>
          <w:rFonts w:hint="eastAsia" w:ascii="宋体" w:hAnsi="宋体" w:cs="宋体"/>
          <w:bCs/>
          <w:highlight w:val="none"/>
        </w:rPr>
        <w:t>2.8本文件所指的公章均指供应商的</w:t>
      </w:r>
      <w:r>
        <w:rPr>
          <w:rFonts w:hint="eastAsia" w:ascii="宋体" w:hAnsi="宋体" w:cs="宋体"/>
          <w:b/>
          <w:bCs/>
          <w:highlight w:val="none"/>
        </w:rPr>
        <w:t>CA</w:t>
      </w:r>
      <w:r>
        <w:rPr>
          <w:rFonts w:hint="eastAsia" w:ascii="宋体" w:hAnsi="宋体" w:cs="宋体"/>
          <w:bCs/>
          <w:highlight w:val="none"/>
        </w:rPr>
        <w:t>电子章</w:t>
      </w:r>
      <w:r>
        <w:rPr>
          <w:rFonts w:hint="eastAsia" w:ascii="宋体" w:hAnsi="宋体" w:cs="宋体"/>
          <w:b/>
          <w:bCs/>
          <w:highlight w:val="none"/>
        </w:rPr>
        <w:t>（格式另有要求的除外</w:t>
      </w:r>
      <w:r>
        <w:rPr>
          <w:rFonts w:hint="eastAsia" w:ascii="宋体" w:hAnsi="宋体" w:cs="宋体"/>
          <w:b/>
          <w:bCs/>
          <w:highlight w:val="none"/>
          <w:lang w:eastAsia="zh-CN"/>
        </w:rPr>
        <w:t>，</w:t>
      </w:r>
      <w:r>
        <w:rPr>
          <w:rFonts w:hint="eastAsia" w:ascii="宋体" w:hAnsi="宋体" w:cs="宋体"/>
          <w:b/>
          <w:bCs/>
          <w:highlight w:val="none"/>
          <w:lang w:val="en-US" w:eastAsia="zh-CN"/>
        </w:rPr>
        <w:t>本项目为联合体投标，联合体成员可使用加盖物理公章的复印件或扫描件</w:t>
      </w:r>
      <w:r>
        <w:rPr>
          <w:rFonts w:hint="eastAsia" w:ascii="宋体" w:hAnsi="宋体" w:cs="宋体"/>
          <w:b/>
          <w:bCs/>
          <w:highlight w:val="none"/>
        </w:rPr>
        <w:t>）</w:t>
      </w:r>
      <w:r>
        <w:rPr>
          <w:rFonts w:hint="eastAsia" w:ascii="宋体" w:hAnsi="宋体" w:cs="宋体"/>
          <w:highlight w:val="none"/>
        </w:rPr>
        <w:t>。</w:t>
      </w:r>
    </w:p>
    <w:p w14:paraId="364C18ED">
      <w:pPr>
        <w:spacing w:line="400" w:lineRule="exact"/>
        <w:ind w:firstLine="420" w:firstLineChars="200"/>
        <w:rPr>
          <w:rFonts w:ascii="宋体" w:hAnsi="宋体" w:cs="宋体"/>
          <w:bCs/>
          <w:highlight w:val="none"/>
        </w:rPr>
      </w:pPr>
      <w:r>
        <w:rPr>
          <w:rFonts w:hint="eastAsia" w:ascii="宋体" w:hAnsi="宋体" w:cs="宋体"/>
          <w:bCs/>
          <w:highlight w:val="none"/>
        </w:rPr>
        <w:t>2.9“电子交易平台”是指本项目采购活动所依托的</w:t>
      </w:r>
      <w:r>
        <w:rPr>
          <w:rFonts w:hint="eastAsia" w:ascii="宋体" w:hAnsi="宋体" w:cs="宋体"/>
          <w:bCs/>
          <w:highlight w:val="none"/>
          <w:lang w:val="en-US" w:eastAsia="zh-CN"/>
        </w:rPr>
        <w:t>乐采云</w:t>
      </w:r>
      <w:r>
        <w:rPr>
          <w:rFonts w:hint="eastAsia" w:ascii="宋体" w:hAnsi="宋体" w:cs="宋体"/>
          <w:bCs/>
          <w:highlight w:val="none"/>
        </w:rPr>
        <w:t>平台。</w:t>
      </w:r>
    </w:p>
    <w:p w14:paraId="09C84BCD">
      <w:pPr>
        <w:spacing w:line="400" w:lineRule="exact"/>
        <w:ind w:firstLine="420" w:firstLineChars="200"/>
        <w:rPr>
          <w:rFonts w:ascii="宋体" w:hAnsi="宋体" w:cs="宋体"/>
          <w:bCs/>
          <w:highlight w:val="none"/>
        </w:rPr>
      </w:pPr>
      <w:r>
        <w:rPr>
          <w:rFonts w:hint="eastAsia" w:ascii="宋体" w:hAnsi="宋体" w:cs="宋体"/>
          <w:bCs/>
          <w:highlight w:val="none"/>
        </w:rPr>
        <w:t>2.10“书面形式”包括信函、传真、电邮等。</w:t>
      </w:r>
    </w:p>
    <w:p w14:paraId="41016A6C">
      <w:pPr>
        <w:spacing w:line="400" w:lineRule="exact"/>
        <w:ind w:firstLine="422" w:firstLineChars="200"/>
        <w:rPr>
          <w:rFonts w:ascii="宋体" w:hAnsi="宋体" w:cs="宋体"/>
          <w:b/>
          <w:bCs/>
          <w:highlight w:val="none"/>
        </w:rPr>
      </w:pPr>
      <w:r>
        <w:rPr>
          <w:rFonts w:hint="eastAsia" w:ascii="宋体" w:hAnsi="宋体" w:cs="宋体"/>
          <w:b/>
          <w:bCs/>
          <w:highlight w:val="none"/>
        </w:rPr>
        <w:t>3.投标人资格条件</w:t>
      </w:r>
    </w:p>
    <w:p w14:paraId="769CC8B0">
      <w:pPr>
        <w:spacing w:line="400" w:lineRule="exact"/>
        <w:ind w:firstLine="420" w:firstLineChars="200"/>
        <w:rPr>
          <w:rFonts w:ascii="宋体" w:hAnsi="宋体" w:cs="宋体"/>
          <w:highlight w:val="none"/>
        </w:rPr>
      </w:pPr>
      <w:r>
        <w:rPr>
          <w:rFonts w:hint="eastAsia" w:ascii="宋体" w:hAnsi="宋体" w:cs="宋体"/>
          <w:highlight w:val="none"/>
        </w:rPr>
        <w:t>3.1符合第一部分申请人的资格要求的规定；</w:t>
      </w:r>
    </w:p>
    <w:p w14:paraId="5A6A3C4E">
      <w:pPr>
        <w:spacing w:line="400" w:lineRule="exact"/>
        <w:ind w:firstLine="420" w:firstLineChars="200"/>
        <w:rPr>
          <w:rFonts w:ascii="宋体" w:hAnsi="宋体" w:cs="宋体"/>
          <w:highlight w:val="none"/>
        </w:rPr>
      </w:pPr>
      <w:r>
        <w:rPr>
          <w:rFonts w:hint="eastAsia" w:ascii="宋体" w:hAnsi="宋体" w:cs="宋体"/>
          <w:highlight w:val="none"/>
        </w:rPr>
        <w:t>3.2投标人应遵守有关的法律、法规和规章条例。</w:t>
      </w:r>
    </w:p>
    <w:p w14:paraId="607793F2">
      <w:pPr>
        <w:spacing w:line="400" w:lineRule="exact"/>
        <w:ind w:firstLine="422" w:firstLineChars="200"/>
        <w:rPr>
          <w:rFonts w:ascii="宋体" w:hAnsi="宋体" w:cs="宋体"/>
          <w:b/>
          <w:bCs/>
          <w:highlight w:val="none"/>
        </w:rPr>
      </w:pPr>
      <w:r>
        <w:rPr>
          <w:rFonts w:hint="eastAsia" w:ascii="宋体" w:hAnsi="宋体" w:cs="宋体"/>
          <w:b/>
          <w:bCs/>
          <w:highlight w:val="none"/>
        </w:rPr>
        <w:t>4.联合体说明</w:t>
      </w:r>
    </w:p>
    <w:p w14:paraId="424D4C9B">
      <w:pPr>
        <w:spacing w:line="400" w:lineRule="exact"/>
        <w:ind w:firstLine="420" w:firstLineChars="200"/>
        <w:rPr>
          <w:rFonts w:ascii="宋体" w:hAnsi="宋体" w:cs="宋体"/>
          <w:highlight w:val="none"/>
        </w:rPr>
      </w:pPr>
      <w:r>
        <w:rPr>
          <w:rFonts w:hint="eastAsia" w:ascii="宋体" w:hAnsi="宋体" w:cs="宋体"/>
          <w:highlight w:val="none"/>
        </w:rPr>
        <w:t>4.1本项目</w:t>
      </w:r>
      <w:r>
        <w:rPr>
          <w:rFonts w:hint="eastAsia" w:ascii="宋体" w:hAnsi="宋体" w:cs="宋体"/>
          <w:b/>
          <w:bCs/>
          <w:highlight w:val="none"/>
        </w:rPr>
        <w:t>接受联合体投标</w:t>
      </w:r>
      <w:r>
        <w:rPr>
          <w:rFonts w:hint="eastAsia" w:ascii="宋体" w:hAnsi="宋体" w:cs="宋体"/>
          <w:b/>
          <w:bCs/>
          <w:highlight w:val="none"/>
          <w:lang w:eastAsia="zh-CN"/>
        </w:rPr>
        <w:t>，联合体成员（含联合体牵头人）个数不得超过2个</w:t>
      </w:r>
      <w:r>
        <w:rPr>
          <w:rFonts w:hint="eastAsia" w:ascii="宋体" w:hAnsi="宋体" w:cs="宋体"/>
          <w:b/>
          <w:bCs/>
          <w:highlight w:val="none"/>
        </w:rPr>
        <w:t>。</w:t>
      </w:r>
    </w:p>
    <w:p w14:paraId="12F6B75B">
      <w:pPr>
        <w:spacing w:line="400" w:lineRule="exact"/>
        <w:ind w:firstLine="422" w:firstLineChars="200"/>
        <w:rPr>
          <w:rFonts w:ascii="宋体" w:hAnsi="宋体" w:cs="宋体"/>
          <w:b/>
          <w:bCs/>
          <w:highlight w:val="none"/>
        </w:rPr>
      </w:pPr>
      <w:r>
        <w:rPr>
          <w:rFonts w:hint="eastAsia" w:ascii="宋体" w:hAnsi="宋体" w:cs="宋体"/>
          <w:b/>
          <w:bCs/>
          <w:highlight w:val="none"/>
        </w:rPr>
        <w:t>5.特别说明</w:t>
      </w:r>
    </w:p>
    <w:p w14:paraId="6FB32EE4">
      <w:pPr>
        <w:spacing w:line="400" w:lineRule="exact"/>
        <w:ind w:firstLine="420" w:firstLineChars="200"/>
        <w:rPr>
          <w:rFonts w:ascii="宋体" w:hAnsi="宋体" w:cs="宋体"/>
          <w:highlight w:val="none"/>
        </w:rPr>
      </w:pPr>
      <w:r>
        <w:rPr>
          <w:rFonts w:hint="eastAsia" w:ascii="宋体" w:hAnsi="宋体" w:cs="宋体"/>
          <w:highlight w:val="none"/>
        </w:rPr>
        <w:t>5.1 单位负责人为同一人或者存在直接控股、管理关系的不同投标人，以及属于同一母公司或集团的不同投标人不得参加同一合同项下的采购活动。</w:t>
      </w:r>
    </w:p>
    <w:p w14:paraId="5DEF442C">
      <w:pPr>
        <w:spacing w:line="400" w:lineRule="exact"/>
        <w:ind w:firstLine="420" w:firstLineChars="200"/>
        <w:rPr>
          <w:rFonts w:ascii="宋体" w:hAnsi="宋体" w:cs="宋体"/>
          <w:highlight w:val="none"/>
        </w:rPr>
      </w:pPr>
      <w:r>
        <w:rPr>
          <w:rFonts w:hint="eastAsia" w:ascii="宋体" w:hAnsi="宋体" w:cs="宋体"/>
          <w:highlight w:val="none"/>
        </w:rPr>
        <w:t>5.2 为采购项目提供整体设计、规范编制或者项目管理、监理、检测等服务的投标人，不得再参加该采购项目的其他采购活动。</w:t>
      </w:r>
    </w:p>
    <w:p w14:paraId="59F43535">
      <w:pPr>
        <w:spacing w:line="400" w:lineRule="exact"/>
        <w:ind w:firstLine="420" w:firstLineChars="200"/>
        <w:rPr>
          <w:rFonts w:ascii="宋体" w:hAnsi="宋体" w:cs="宋体"/>
          <w:highlight w:val="none"/>
        </w:rPr>
      </w:pPr>
      <w:r>
        <w:rPr>
          <w:rFonts w:hint="eastAsia" w:ascii="宋体" w:hAnsi="宋体" w:cs="宋体"/>
          <w:highlight w:val="none"/>
        </w:rPr>
        <w:t>5.3投标人自行承担所有与投标有关的全部费用。</w:t>
      </w:r>
      <w:bookmarkStart w:id="28" w:name="EBb242ed4d95ae426f999df4b9b64f51fb"/>
      <w:bookmarkEnd w:id="28"/>
      <w:bookmarkStart w:id="29" w:name="EBf33655181aa74616a4714729efbcef95"/>
      <w:bookmarkEnd w:id="29"/>
    </w:p>
    <w:p w14:paraId="274F1704">
      <w:pPr>
        <w:pStyle w:val="5"/>
        <w:spacing w:before="0" w:after="0" w:line="400" w:lineRule="exact"/>
        <w:ind w:firstLine="422"/>
        <w:rPr>
          <w:rFonts w:ascii="宋体" w:hAnsi="宋体" w:eastAsia="宋体" w:cs="宋体"/>
          <w:sz w:val="21"/>
          <w:szCs w:val="21"/>
          <w:highlight w:val="none"/>
        </w:rPr>
      </w:pPr>
      <w:bookmarkStart w:id="30" w:name="_Toc43498221"/>
      <w:r>
        <w:rPr>
          <w:rFonts w:hint="eastAsia" w:ascii="宋体" w:hAnsi="宋体" w:eastAsia="宋体" w:cs="宋体"/>
          <w:sz w:val="21"/>
          <w:szCs w:val="21"/>
          <w:highlight w:val="none"/>
        </w:rPr>
        <w:t>二  招标文件说明</w:t>
      </w:r>
      <w:bookmarkEnd w:id="30"/>
    </w:p>
    <w:p w14:paraId="11528CC2">
      <w:pPr>
        <w:spacing w:line="400" w:lineRule="exact"/>
        <w:ind w:firstLine="422" w:firstLineChars="200"/>
        <w:rPr>
          <w:rFonts w:ascii="宋体" w:hAnsi="宋体" w:cs="宋体"/>
          <w:b/>
          <w:bCs/>
          <w:highlight w:val="none"/>
        </w:rPr>
      </w:pPr>
      <w:r>
        <w:rPr>
          <w:rFonts w:hint="eastAsia" w:ascii="宋体" w:hAnsi="宋体" w:cs="宋体"/>
          <w:b/>
          <w:bCs/>
          <w:highlight w:val="none"/>
        </w:rPr>
        <w:t>6.招标文件的构成</w:t>
      </w:r>
    </w:p>
    <w:p w14:paraId="6426F2CC">
      <w:pPr>
        <w:spacing w:line="400" w:lineRule="exact"/>
        <w:ind w:firstLine="420" w:firstLineChars="200"/>
        <w:rPr>
          <w:rFonts w:ascii="宋体" w:hAnsi="宋体" w:cs="宋体"/>
          <w:highlight w:val="none"/>
        </w:rPr>
      </w:pPr>
      <w:r>
        <w:rPr>
          <w:rFonts w:hint="eastAsia" w:ascii="宋体" w:hAnsi="宋体" w:cs="宋体"/>
          <w:highlight w:val="none"/>
        </w:rPr>
        <w:t>6.1招标文件用以阐明所需货物及服务、招标、投标程序和合同条款。招标文件由下述部分组成：</w:t>
      </w:r>
    </w:p>
    <w:p w14:paraId="7174F172">
      <w:pPr>
        <w:spacing w:line="400" w:lineRule="exact"/>
        <w:ind w:firstLine="420" w:firstLineChars="200"/>
        <w:rPr>
          <w:rFonts w:ascii="宋体" w:hAnsi="宋体" w:cs="宋体"/>
          <w:highlight w:val="none"/>
        </w:rPr>
      </w:pPr>
      <w:r>
        <w:rPr>
          <w:rFonts w:hint="eastAsia" w:ascii="宋体" w:hAnsi="宋体" w:cs="宋体"/>
          <w:highlight w:val="none"/>
        </w:rPr>
        <w:t>6.1.1招标公告</w:t>
      </w:r>
    </w:p>
    <w:p w14:paraId="24960EF2">
      <w:pPr>
        <w:spacing w:line="400" w:lineRule="exact"/>
        <w:ind w:firstLine="420" w:firstLineChars="200"/>
        <w:rPr>
          <w:rFonts w:ascii="宋体" w:hAnsi="宋体" w:cs="宋体"/>
          <w:highlight w:val="none"/>
        </w:rPr>
      </w:pPr>
      <w:r>
        <w:rPr>
          <w:rFonts w:hint="eastAsia" w:ascii="宋体" w:hAnsi="宋体" w:cs="宋体"/>
          <w:highlight w:val="none"/>
        </w:rPr>
        <w:t>6.1.2投标人须知</w:t>
      </w:r>
    </w:p>
    <w:p w14:paraId="57A26FCE">
      <w:pPr>
        <w:spacing w:line="400" w:lineRule="exact"/>
        <w:ind w:firstLine="420" w:firstLineChars="200"/>
        <w:rPr>
          <w:rFonts w:ascii="宋体" w:hAnsi="宋体" w:cs="宋体"/>
          <w:highlight w:val="none"/>
        </w:rPr>
      </w:pPr>
      <w:r>
        <w:rPr>
          <w:rFonts w:hint="eastAsia" w:ascii="宋体" w:hAnsi="宋体" w:cs="宋体"/>
          <w:highlight w:val="none"/>
        </w:rPr>
        <w:t>6.1.3采购需求</w:t>
      </w:r>
    </w:p>
    <w:p w14:paraId="19F70183">
      <w:pPr>
        <w:spacing w:line="400" w:lineRule="exact"/>
        <w:ind w:firstLine="420" w:firstLineChars="200"/>
        <w:rPr>
          <w:rFonts w:ascii="宋体" w:hAnsi="宋体" w:cs="宋体"/>
          <w:highlight w:val="none"/>
        </w:rPr>
      </w:pPr>
      <w:r>
        <w:rPr>
          <w:rFonts w:hint="eastAsia" w:ascii="宋体" w:hAnsi="宋体" w:cs="宋体"/>
          <w:highlight w:val="none"/>
        </w:rPr>
        <w:t>6.1.4合同格式</w:t>
      </w:r>
    </w:p>
    <w:p w14:paraId="1E72FA40">
      <w:pPr>
        <w:spacing w:line="400" w:lineRule="exact"/>
        <w:ind w:firstLine="420" w:firstLineChars="200"/>
        <w:rPr>
          <w:rFonts w:ascii="宋体" w:hAnsi="宋体" w:cs="宋体"/>
          <w:highlight w:val="none"/>
        </w:rPr>
      </w:pPr>
      <w:r>
        <w:rPr>
          <w:rFonts w:hint="eastAsia" w:ascii="宋体" w:hAnsi="宋体" w:cs="宋体"/>
          <w:highlight w:val="none"/>
        </w:rPr>
        <w:t>6.1.5投标相关文件格式</w:t>
      </w:r>
    </w:p>
    <w:p w14:paraId="42F377AA">
      <w:pPr>
        <w:spacing w:line="400" w:lineRule="exact"/>
        <w:ind w:firstLine="420" w:firstLineChars="200"/>
        <w:rPr>
          <w:rFonts w:ascii="宋体" w:hAnsi="宋体" w:cs="宋体"/>
          <w:highlight w:val="none"/>
        </w:rPr>
      </w:pPr>
      <w:r>
        <w:rPr>
          <w:rFonts w:hint="eastAsia" w:ascii="宋体" w:hAnsi="宋体" w:cs="宋体"/>
          <w:highlight w:val="none"/>
        </w:rPr>
        <w:t>6.1.6评标办法和细则</w:t>
      </w:r>
    </w:p>
    <w:p w14:paraId="18E909E6">
      <w:pPr>
        <w:spacing w:line="400" w:lineRule="exact"/>
        <w:ind w:firstLine="420" w:firstLineChars="200"/>
        <w:rPr>
          <w:rFonts w:ascii="宋体" w:hAnsi="宋体" w:cs="宋体"/>
          <w:highlight w:val="none"/>
        </w:rPr>
      </w:pPr>
      <w:r>
        <w:rPr>
          <w:rFonts w:hint="eastAsia" w:ascii="宋体" w:hAnsi="宋体" w:cs="宋体"/>
          <w:highlight w:val="none"/>
        </w:rPr>
        <w:t>6.1.7与本项目有关的招标文件澄清、答复、修改、补充的内容。</w:t>
      </w:r>
    </w:p>
    <w:p w14:paraId="2DEDD976">
      <w:pPr>
        <w:spacing w:line="400" w:lineRule="exact"/>
        <w:ind w:firstLine="422" w:firstLineChars="200"/>
        <w:rPr>
          <w:rFonts w:ascii="宋体" w:hAnsi="宋体" w:cs="宋体"/>
          <w:b/>
          <w:bCs/>
          <w:highlight w:val="none"/>
        </w:rPr>
      </w:pPr>
      <w:r>
        <w:rPr>
          <w:rFonts w:hint="eastAsia" w:ascii="宋体" w:hAnsi="宋体" w:cs="宋体"/>
          <w:b/>
          <w:bCs/>
          <w:highlight w:val="none"/>
        </w:rPr>
        <w:t>7.投标人的风险</w:t>
      </w:r>
    </w:p>
    <w:p w14:paraId="56FB02B0">
      <w:pPr>
        <w:spacing w:line="400" w:lineRule="exact"/>
        <w:ind w:firstLine="420" w:firstLineChars="200"/>
        <w:rPr>
          <w:rFonts w:ascii="宋体" w:hAnsi="宋体" w:cs="宋体"/>
          <w:highlight w:val="none"/>
        </w:rPr>
      </w:pPr>
      <w:r>
        <w:rPr>
          <w:rFonts w:hint="eastAsia" w:ascii="宋体" w:hAnsi="宋体" w:cs="宋体"/>
          <w:highlight w:val="none"/>
        </w:rPr>
        <w:t>7.1投标人应认真阅读招标文件中的所有条款。投标人没有按照招标文件的要求提供全部资料，或者投标人没有对招标文件在各方面作出实质性响应是投标人的风险，并可能导致其投标被拒绝。</w:t>
      </w:r>
    </w:p>
    <w:p w14:paraId="2A494CC0">
      <w:pPr>
        <w:spacing w:line="400" w:lineRule="exact"/>
        <w:ind w:firstLine="422" w:firstLineChars="200"/>
        <w:rPr>
          <w:rFonts w:ascii="宋体" w:hAnsi="宋体" w:cs="宋体"/>
          <w:b/>
          <w:bCs/>
          <w:highlight w:val="none"/>
        </w:rPr>
      </w:pPr>
      <w:r>
        <w:rPr>
          <w:rFonts w:hint="eastAsia" w:ascii="宋体" w:hAnsi="宋体" w:cs="宋体"/>
          <w:b/>
          <w:bCs/>
          <w:highlight w:val="none"/>
        </w:rPr>
        <w:t>8.招标文件的发售及澄清</w:t>
      </w:r>
    </w:p>
    <w:p w14:paraId="603B8D47">
      <w:pPr>
        <w:spacing w:line="400" w:lineRule="exact"/>
        <w:ind w:firstLine="420" w:firstLineChars="200"/>
        <w:rPr>
          <w:rFonts w:ascii="宋体" w:hAnsi="宋体" w:cs="宋体"/>
          <w:highlight w:val="none"/>
        </w:rPr>
      </w:pPr>
      <w:r>
        <w:rPr>
          <w:rFonts w:hint="eastAsia" w:ascii="宋体" w:hAnsi="宋体" w:cs="宋体"/>
          <w:highlight w:val="none"/>
        </w:rPr>
        <w:t>8.1招标文件澄清、答复、修改、补充的内容为招标文件的组成部分。</w:t>
      </w:r>
    </w:p>
    <w:p w14:paraId="25A2EAD4">
      <w:pPr>
        <w:spacing w:line="400" w:lineRule="exact"/>
        <w:ind w:firstLine="420" w:firstLineChars="200"/>
        <w:rPr>
          <w:rFonts w:ascii="宋体" w:hAnsi="宋体" w:cs="宋体"/>
          <w:highlight w:val="none"/>
        </w:rPr>
      </w:pPr>
      <w:r>
        <w:rPr>
          <w:rFonts w:hint="eastAsia" w:ascii="宋体" w:hAnsi="宋体" w:cs="宋体"/>
          <w:highlight w:val="none"/>
        </w:rPr>
        <w:t>8.2报名投标人认真阅读招标文件，应于招标文件规定的时间前以书面形式或线上询问方式向采购代理机构提出澄清申请。采购代理机构对已发出的招标文件进行必要的澄清或者修改。澄清或者修改内容可能影响投标文件编制的，采购代理机构在投标截止时间15日前,在</w:t>
      </w:r>
      <w:r>
        <w:rPr>
          <w:rFonts w:hint="eastAsia" w:ascii="宋体" w:hAnsi="宋体" w:cs="宋体"/>
          <w:highlight w:val="none"/>
          <w:lang w:eastAsia="zh-CN"/>
        </w:rPr>
        <w:t>乐采云平台(www.lecaiyun.com)</w:t>
      </w:r>
      <w:r>
        <w:rPr>
          <w:rFonts w:hint="eastAsia" w:ascii="宋体" w:hAnsi="宋体" w:cs="宋体"/>
          <w:highlight w:val="none"/>
        </w:rPr>
        <w:t>和新昌县公共资源交易平台http://www.zjxc.gov.cn/col/col1634736/index.html发布</w:t>
      </w:r>
      <w:r>
        <w:rPr>
          <w:rFonts w:hint="eastAsia" w:ascii="宋体" w:hAnsi="宋体" w:cs="宋体"/>
          <w:highlight w:val="none"/>
          <w:lang w:val="en-US" w:eastAsia="zh-CN"/>
        </w:rPr>
        <w:t>更正</w:t>
      </w:r>
      <w:r>
        <w:rPr>
          <w:rFonts w:hint="eastAsia" w:ascii="宋体" w:hAnsi="宋体" w:cs="宋体"/>
          <w:highlight w:val="none"/>
        </w:rPr>
        <w:t>公告</w:t>
      </w:r>
      <w:r>
        <w:rPr>
          <w:rFonts w:hint="eastAsia" w:ascii="宋体" w:hAnsi="宋体" w:cs="宋体"/>
          <w:highlight w:val="none"/>
          <w:lang w:eastAsia="zh-CN"/>
        </w:rPr>
        <w:t>，</w:t>
      </w:r>
      <w:r>
        <w:rPr>
          <w:rFonts w:hint="eastAsia" w:ascii="宋体" w:hAnsi="宋体" w:cs="宋体"/>
          <w:highlight w:val="none"/>
        </w:rPr>
        <w:t>并对其具有约束力。不足15日的，采购代理机构有权顺延提交投标文件的截止时间。</w:t>
      </w:r>
    </w:p>
    <w:p w14:paraId="42FEA80A">
      <w:pPr>
        <w:spacing w:line="400" w:lineRule="exact"/>
        <w:ind w:firstLine="422" w:firstLineChars="200"/>
        <w:rPr>
          <w:rFonts w:ascii="宋体" w:hAnsi="宋体" w:cs="宋体"/>
          <w:b/>
          <w:bCs/>
          <w:highlight w:val="none"/>
        </w:rPr>
      </w:pPr>
      <w:r>
        <w:rPr>
          <w:rFonts w:hint="eastAsia" w:ascii="宋体" w:hAnsi="宋体" w:cs="宋体"/>
          <w:b/>
          <w:bCs/>
          <w:highlight w:val="none"/>
        </w:rPr>
        <w:t>8.3 潜在投标人应密切关注</w:t>
      </w:r>
      <w:r>
        <w:rPr>
          <w:rFonts w:hint="eastAsia" w:ascii="宋体" w:hAnsi="宋体" w:cs="宋体"/>
          <w:b/>
          <w:bCs/>
          <w:highlight w:val="none"/>
          <w:lang w:eastAsia="zh-CN"/>
        </w:rPr>
        <w:t>乐采云平台(www.lecaiyun.com)</w:t>
      </w:r>
      <w:r>
        <w:rPr>
          <w:rFonts w:hint="eastAsia" w:ascii="宋体" w:hAnsi="宋体" w:cs="宋体"/>
          <w:b/>
          <w:bCs/>
          <w:highlight w:val="none"/>
        </w:rPr>
        <w:t>和新昌县公共资源交易平台http://www.zjxc.gov.cn/col/col1634736/index.html，如有修改等，投标人应及时响应。</w:t>
      </w:r>
    </w:p>
    <w:p w14:paraId="3BBAFDDC">
      <w:pPr>
        <w:pStyle w:val="5"/>
        <w:spacing w:before="0" w:after="0" w:line="400" w:lineRule="exact"/>
        <w:ind w:firstLine="200" w:firstLineChars="0"/>
        <w:rPr>
          <w:rFonts w:ascii="宋体" w:hAnsi="宋体" w:eastAsia="宋体" w:cs="宋体"/>
          <w:sz w:val="21"/>
          <w:szCs w:val="21"/>
          <w:highlight w:val="none"/>
        </w:rPr>
      </w:pPr>
      <w:bookmarkStart w:id="31" w:name="_Toc43498222"/>
      <w:r>
        <w:rPr>
          <w:rFonts w:hint="eastAsia" w:ascii="宋体" w:hAnsi="宋体" w:eastAsia="宋体" w:cs="宋体"/>
          <w:sz w:val="21"/>
          <w:szCs w:val="21"/>
          <w:highlight w:val="none"/>
        </w:rPr>
        <w:t>三  投标文件的编写</w:t>
      </w:r>
      <w:bookmarkEnd w:id="31"/>
    </w:p>
    <w:p w14:paraId="774C1C86">
      <w:pPr>
        <w:spacing w:line="400" w:lineRule="exact"/>
        <w:ind w:firstLine="422" w:firstLineChars="200"/>
        <w:rPr>
          <w:rFonts w:ascii="宋体" w:hAnsi="宋体" w:cs="宋体"/>
          <w:b/>
          <w:bCs/>
          <w:highlight w:val="none"/>
        </w:rPr>
      </w:pPr>
      <w:r>
        <w:rPr>
          <w:rFonts w:hint="eastAsia" w:ascii="宋体" w:hAnsi="宋体" w:cs="宋体"/>
          <w:b/>
          <w:bCs/>
          <w:highlight w:val="none"/>
        </w:rPr>
        <w:t>9.要求</w:t>
      </w:r>
    </w:p>
    <w:p w14:paraId="705BCADE">
      <w:pPr>
        <w:spacing w:line="400" w:lineRule="exact"/>
        <w:ind w:firstLine="420" w:firstLineChars="200"/>
        <w:rPr>
          <w:rFonts w:ascii="宋体" w:hAnsi="宋体" w:cs="宋体"/>
          <w:highlight w:val="none"/>
        </w:rPr>
      </w:pPr>
      <w:r>
        <w:rPr>
          <w:rFonts w:hint="eastAsia" w:ascii="宋体" w:hAnsi="宋体" w:cs="宋体"/>
          <w:highlight w:val="none"/>
        </w:rPr>
        <w:t>9.1投标人应仔细阅读招标文件的所有内容，按照招标文件的要求提交投标文件，并对所提供的全部资料的真实性承担法律责任。</w:t>
      </w:r>
    </w:p>
    <w:p w14:paraId="5564F9B6">
      <w:pPr>
        <w:spacing w:line="400" w:lineRule="exact"/>
        <w:ind w:firstLine="420" w:firstLineChars="200"/>
        <w:rPr>
          <w:rFonts w:ascii="宋体" w:hAnsi="宋体" w:cs="宋体"/>
          <w:highlight w:val="none"/>
        </w:rPr>
      </w:pPr>
      <w:r>
        <w:rPr>
          <w:rFonts w:hint="eastAsia" w:ascii="宋体" w:hAnsi="宋体" w:cs="宋体"/>
          <w:highlight w:val="none"/>
        </w:rPr>
        <w:t>9.2投标文件、投标人与采购有关的往来通知、函件和文件均应使用中文。如涉及非中文内容的，投标人有义务将其内容翻译成中文，一切对非中文内容的误解，都将由投标人承担。</w:t>
      </w:r>
    </w:p>
    <w:p w14:paraId="101D61C2">
      <w:pPr>
        <w:spacing w:line="400" w:lineRule="exact"/>
        <w:ind w:firstLine="420" w:firstLineChars="200"/>
        <w:rPr>
          <w:rFonts w:ascii="宋体" w:hAnsi="宋体" w:cs="宋体"/>
          <w:highlight w:val="none"/>
        </w:rPr>
      </w:pPr>
      <w:r>
        <w:rPr>
          <w:rFonts w:hint="eastAsia" w:ascii="宋体" w:hAnsi="宋体" w:cs="宋体"/>
          <w:highlight w:val="none"/>
        </w:rPr>
        <w:t>9.3投标文件的形式和效力</w:t>
      </w:r>
    </w:p>
    <w:p w14:paraId="2A942A78">
      <w:pPr>
        <w:snapToGrid w:val="0"/>
        <w:spacing w:line="400" w:lineRule="exact"/>
        <w:ind w:firstLine="422" w:firstLineChars="200"/>
        <w:rPr>
          <w:rFonts w:ascii="宋体" w:hAnsi="宋体" w:cs="宋体"/>
          <w:b/>
          <w:highlight w:val="none"/>
        </w:rPr>
      </w:pPr>
      <w:r>
        <w:rPr>
          <w:rFonts w:hint="eastAsia" w:ascii="宋体" w:hAnsi="宋体" w:cs="宋体"/>
          <w:b/>
          <w:highlight w:val="none"/>
        </w:rPr>
        <w:t>9.3.1 投标文件的形式：投标文件为电子投标文件。</w:t>
      </w:r>
    </w:p>
    <w:p w14:paraId="3D6F3810">
      <w:pPr>
        <w:spacing w:line="400" w:lineRule="exact"/>
        <w:ind w:firstLine="422" w:firstLineChars="200"/>
        <w:rPr>
          <w:rFonts w:ascii="宋体" w:hAnsi="宋体" w:cs="宋体"/>
          <w:b/>
          <w:bCs/>
          <w:highlight w:val="none"/>
        </w:rPr>
      </w:pPr>
      <w:r>
        <w:rPr>
          <w:rFonts w:hint="eastAsia" w:ascii="宋体" w:hAnsi="宋体" w:cs="宋体"/>
          <w:b/>
          <w:bCs/>
          <w:highlight w:val="none"/>
        </w:rPr>
        <w:t>10. 投标文件的组成</w:t>
      </w:r>
    </w:p>
    <w:p w14:paraId="3F4843F4">
      <w:pPr>
        <w:spacing w:line="400" w:lineRule="exact"/>
        <w:ind w:firstLine="420" w:firstLineChars="200"/>
        <w:rPr>
          <w:rFonts w:ascii="宋体" w:hAnsi="宋体" w:cs="宋体"/>
          <w:highlight w:val="none"/>
        </w:rPr>
      </w:pPr>
      <w:r>
        <w:rPr>
          <w:rFonts w:hint="eastAsia" w:ascii="宋体" w:hAnsi="宋体" w:cs="宋体"/>
          <w:highlight w:val="none"/>
        </w:rPr>
        <w:t>10.1上传的投标文件应分为资格审查文件、商务技术文件、报价文件三部分。资格审查文件、商务技术文件如有报价的内容, 其投标文件无效。</w:t>
      </w:r>
    </w:p>
    <w:p w14:paraId="2BFE13D1">
      <w:pPr>
        <w:spacing w:line="400" w:lineRule="exact"/>
        <w:ind w:firstLine="422" w:firstLineChars="200"/>
        <w:rPr>
          <w:rFonts w:ascii="宋体" w:hAnsi="宋体" w:cs="宋体"/>
          <w:b/>
          <w:bCs/>
          <w:highlight w:val="none"/>
        </w:rPr>
      </w:pPr>
      <w:r>
        <w:rPr>
          <w:rFonts w:hint="eastAsia" w:ascii="宋体" w:hAnsi="宋体" w:cs="宋体"/>
          <w:b/>
          <w:bCs/>
          <w:highlight w:val="none"/>
        </w:rPr>
        <w:t>11. 投标文件编制内容和要求</w:t>
      </w:r>
    </w:p>
    <w:p w14:paraId="6FFC939A">
      <w:pPr>
        <w:spacing w:line="400" w:lineRule="exact"/>
        <w:ind w:firstLine="422" w:firstLineChars="200"/>
        <w:rPr>
          <w:rFonts w:ascii="宋体" w:hAnsi="宋体" w:cs="宋体"/>
          <w:b/>
          <w:bCs/>
          <w:highlight w:val="none"/>
        </w:rPr>
      </w:pPr>
      <w:r>
        <w:rPr>
          <w:rFonts w:hint="eastAsia" w:ascii="宋体" w:hAnsi="宋体" w:cs="宋体"/>
          <w:b/>
          <w:bCs/>
          <w:highlight w:val="none"/>
        </w:rPr>
        <w:t>11.1 资格审查文件编制内容和要求：</w:t>
      </w:r>
      <w:r>
        <w:rPr>
          <w:rFonts w:hint="eastAsia" w:ascii="宋体" w:hAnsi="宋体" w:cs="宋体"/>
          <w:highlight w:val="none"/>
        </w:rPr>
        <w:t>格式见第五部分资格审查文件格式</w:t>
      </w:r>
    </w:p>
    <w:p w14:paraId="10F91104">
      <w:pPr>
        <w:spacing w:line="400" w:lineRule="exact"/>
        <w:ind w:firstLine="420" w:firstLineChars="200"/>
        <w:rPr>
          <w:rFonts w:ascii="宋体" w:hAnsi="宋体" w:cs="宋体"/>
          <w:highlight w:val="none"/>
        </w:rPr>
      </w:pPr>
      <w:r>
        <w:rPr>
          <w:rFonts w:hint="eastAsia" w:ascii="宋体" w:hAnsi="宋体" w:cs="宋体"/>
          <w:highlight w:val="none"/>
        </w:rPr>
        <w:t>11.1.1公司有效营业执照</w:t>
      </w:r>
      <w:r>
        <w:rPr>
          <w:rFonts w:hint="eastAsia" w:ascii="宋体" w:hAnsi="宋体" w:cs="宋体"/>
          <w:highlight w:val="none"/>
          <w:u w:val="single"/>
        </w:rPr>
        <w:t>扫描件</w:t>
      </w:r>
      <w:r>
        <w:rPr>
          <w:rFonts w:hint="eastAsia" w:ascii="宋体" w:hAnsi="宋体" w:cs="宋体"/>
          <w:highlight w:val="none"/>
          <w:u w:val="single"/>
          <w:lang w:val="en-US" w:eastAsia="zh-CN"/>
        </w:rPr>
        <w:t>或复印件</w:t>
      </w:r>
      <w:r>
        <w:rPr>
          <w:rFonts w:hint="eastAsia" w:ascii="宋体" w:hAnsi="宋体" w:cs="宋体"/>
          <w:highlight w:val="none"/>
        </w:rPr>
        <w:t>；</w:t>
      </w:r>
    </w:p>
    <w:p w14:paraId="7A1009DB">
      <w:pPr>
        <w:spacing w:line="400" w:lineRule="exact"/>
        <w:ind w:firstLine="420" w:firstLineChars="200"/>
        <w:rPr>
          <w:rFonts w:ascii="宋体" w:hAnsi="宋体" w:cs="宋体"/>
          <w:highlight w:val="none"/>
        </w:rPr>
      </w:pPr>
      <w:r>
        <w:rPr>
          <w:rFonts w:hint="eastAsia" w:ascii="宋体" w:hAnsi="宋体" w:cs="宋体"/>
          <w:highlight w:val="none"/>
        </w:rPr>
        <w:t>11.1.2关于财务状况、缴纳税收和社会保障资金的承诺函；</w:t>
      </w:r>
    </w:p>
    <w:p w14:paraId="6AD2C029">
      <w:pPr>
        <w:spacing w:line="400" w:lineRule="exact"/>
        <w:ind w:firstLine="420" w:firstLineChars="200"/>
        <w:rPr>
          <w:rFonts w:ascii="宋体" w:hAnsi="宋体" w:cs="宋体"/>
          <w:highlight w:val="none"/>
        </w:rPr>
      </w:pPr>
      <w:r>
        <w:rPr>
          <w:rFonts w:hint="eastAsia" w:ascii="宋体" w:hAnsi="宋体" w:cs="宋体"/>
          <w:highlight w:val="none"/>
        </w:rPr>
        <w:t>11.1.3履约承诺函</w:t>
      </w:r>
    </w:p>
    <w:p w14:paraId="52E2FEA0">
      <w:pPr>
        <w:spacing w:line="400" w:lineRule="exact"/>
        <w:ind w:firstLine="420" w:firstLineChars="200"/>
        <w:rPr>
          <w:rFonts w:ascii="宋体" w:hAnsi="宋体" w:cs="宋体"/>
          <w:highlight w:val="none"/>
        </w:rPr>
      </w:pPr>
      <w:r>
        <w:rPr>
          <w:rFonts w:hint="eastAsia" w:ascii="宋体" w:hAnsi="宋体" w:cs="宋体"/>
          <w:highlight w:val="none"/>
        </w:rPr>
        <w:t>11.1.4具有履行合同所必需的专业技术能力的承诺函；</w:t>
      </w:r>
    </w:p>
    <w:p w14:paraId="4CE1FE13">
      <w:pPr>
        <w:spacing w:line="400" w:lineRule="exact"/>
        <w:ind w:firstLine="420" w:firstLineChars="200"/>
        <w:rPr>
          <w:rFonts w:ascii="宋体" w:hAnsi="宋体" w:cs="宋体"/>
          <w:highlight w:val="none"/>
        </w:rPr>
      </w:pPr>
      <w:r>
        <w:rPr>
          <w:rFonts w:hint="eastAsia" w:ascii="宋体" w:hAnsi="宋体" w:cs="宋体"/>
          <w:highlight w:val="none"/>
        </w:rPr>
        <w:t>11.1.5无重大违法记录声明书；</w:t>
      </w:r>
    </w:p>
    <w:p w14:paraId="0F999944">
      <w:pPr>
        <w:spacing w:line="400" w:lineRule="exact"/>
        <w:ind w:firstLine="420" w:firstLineChars="200"/>
        <w:rPr>
          <w:rFonts w:hint="eastAsia" w:ascii="宋体" w:hAnsi="宋体" w:cs="宋体"/>
          <w:highlight w:val="none"/>
          <w:lang w:eastAsia="zh-CN"/>
        </w:rPr>
      </w:pPr>
      <w:r>
        <w:rPr>
          <w:rFonts w:hint="eastAsia" w:ascii="宋体" w:hAnsi="宋体" w:cs="宋体"/>
          <w:highlight w:val="none"/>
        </w:rPr>
        <w:t>11.1.</w:t>
      </w:r>
      <w:r>
        <w:rPr>
          <w:rFonts w:hint="eastAsia" w:ascii="宋体" w:hAnsi="宋体" w:cs="宋体"/>
          <w:highlight w:val="none"/>
          <w:lang w:val="en-US" w:eastAsia="zh-CN"/>
        </w:rPr>
        <w:t>6</w:t>
      </w:r>
      <w:r>
        <w:rPr>
          <w:rFonts w:hint="eastAsia" w:ascii="宋体" w:hAnsi="宋体" w:cs="宋体"/>
          <w:highlight w:val="none"/>
        </w:rPr>
        <w:t>负责人身份证</w:t>
      </w:r>
      <w:r>
        <w:rPr>
          <w:rFonts w:hint="eastAsia" w:ascii="宋体" w:hAnsi="宋体" w:cs="宋体"/>
          <w:highlight w:val="none"/>
          <w:u w:val="single"/>
        </w:rPr>
        <w:t>扫描件</w:t>
      </w:r>
      <w:r>
        <w:rPr>
          <w:rFonts w:hint="eastAsia" w:ascii="宋体" w:hAnsi="宋体" w:cs="宋体"/>
          <w:highlight w:val="none"/>
          <w:u w:val="single"/>
          <w:lang w:val="en-US" w:eastAsia="zh-CN"/>
        </w:rPr>
        <w:t>或复印件</w:t>
      </w:r>
      <w:r>
        <w:rPr>
          <w:rFonts w:hint="eastAsia" w:ascii="宋体" w:hAnsi="宋体" w:cs="宋体"/>
          <w:highlight w:val="none"/>
        </w:rPr>
        <w:t>（委托代理人参加投标的，提供负责人身份证扫描件</w:t>
      </w:r>
      <w:r>
        <w:rPr>
          <w:rFonts w:hint="eastAsia" w:ascii="宋体" w:hAnsi="宋体" w:cs="宋体"/>
          <w:highlight w:val="none"/>
          <w:lang w:val="en-US" w:eastAsia="zh-CN"/>
        </w:rPr>
        <w:t>或复印件</w:t>
      </w:r>
      <w:r>
        <w:rPr>
          <w:rFonts w:hint="eastAsia" w:ascii="宋体" w:hAnsi="宋体" w:cs="宋体"/>
          <w:highlight w:val="none"/>
        </w:rPr>
        <w:t>，同时提供授权委托书及委托代理人身份证</w:t>
      </w:r>
      <w:r>
        <w:rPr>
          <w:rFonts w:hint="eastAsia" w:ascii="宋体" w:hAnsi="宋体" w:cs="宋体"/>
          <w:highlight w:val="none"/>
          <w:u w:val="none"/>
        </w:rPr>
        <w:t>扫描件</w:t>
      </w:r>
      <w:r>
        <w:rPr>
          <w:rFonts w:hint="eastAsia" w:ascii="宋体" w:hAnsi="宋体" w:cs="宋体"/>
          <w:highlight w:val="none"/>
          <w:u w:val="none"/>
          <w:lang w:val="en-US" w:eastAsia="zh-CN"/>
        </w:rPr>
        <w:t>或复印件</w:t>
      </w:r>
      <w:r>
        <w:rPr>
          <w:rFonts w:hint="eastAsia" w:ascii="宋体" w:hAnsi="宋体" w:cs="宋体"/>
          <w:highlight w:val="none"/>
        </w:rPr>
        <w:t>）</w:t>
      </w:r>
      <w:r>
        <w:rPr>
          <w:rFonts w:hint="eastAsia" w:ascii="宋体" w:hAnsi="宋体" w:cs="宋体"/>
          <w:highlight w:val="none"/>
          <w:lang w:eastAsia="zh-CN"/>
        </w:rPr>
        <w:t>；</w:t>
      </w:r>
    </w:p>
    <w:p w14:paraId="5D70671E">
      <w:pPr>
        <w:spacing w:line="400" w:lineRule="exact"/>
        <w:ind w:firstLine="420" w:firstLineChars="200"/>
        <w:rPr>
          <w:rFonts w:hint="eastAsia" w:ascii="宋体" w:hAnsi="宋体" w:eastAsia="宋体" w:cs="宋体"/>
          <w:kern w:val="2"/>
          <w:sz w:val="21"/>
          <w:szCs w:val="21"/>
          <w:highlight w:val="none"/>
          <w:lang w:val="en-US" w:eastAsia="zh-CN" w:bidi="ar-SA"/>
        </w:rPr>
      </w:pPr>
      <w:r>
        <w:rPr>
          <w:rFonts w:hint="eastAsia" w:ascii="宋体" w:hAnsi="宋体" w:cs="宋体"/>
          <w:highlight w:val="none"/>
          <w:lang w:val="en-US" w:eastAsia="zh-CN"/>
        </w:rPr>
        <w:t>11.1.7联合协议（若有）</w:t>
      </w:r>
      <w:r>
        <w:rPr>
          <w:rFonts w:hint="eastAsia" w:ascii="宋体" w:hAnsi="宋体" w:cs="宋体"/>
          <w:highlight w:val="none"/>
          <w:lang w:eastAsia="zh-CN"/>
        </w:rPr>
        <w:t>。</w:t>
      </w:r>
    </w:p>
    <w:p w14:paraId="5E62B031">
      <w:pPr>
        <w:spacing w:line="400" w:lineRule="exact"/>
        <w:ind w:firstLine="420" w:firstLineChars="200"/>
        <w:rPr>
          <w:rFonts w:ascii="宋体" w:hAnsi="宋体" w:cs="宋体"/>
          <w:highlight w:val="none"/>
        </w:rPr>
      </w:pPr>
      <w:r>
        <w:rPr>
          <w:rFonts w:hint="eastAsia" w:ascii="宋体" w:hAnsi="宋体" w:cs="宋体"/>
          <w:highlight w:val="none"/>
        </w:rPr>
        <w:t>11.2商务技术文件编制内容和要求：</w:t>
      </w:r>
    </w:p>
    <w:p w14:paraId="5F5516FE">
      <w:pPr>
        <w:adjustRightInd w:val="0"/>
        <w:snapToGrid w:val="0"/>
        <w:spacing w:line="400" w:lineRule="exact"/>
        <w:ind w:firstLine="420" w:firstLineChars="200"/>
        <w:jc w:val="left"/>
        <w:rPr>
          <w:rFonts w:ascii="宋体" w:hAnsi="宋体" w:cs="宋体"/>
          <w:highlight w:val="none"/>
        </w:rPr>
      </w:pPr>
      <w:r>
        <w:rPr>
          <w:rFonts w:hint="eastAsia" w:ascii="宋体" w:hAnsi="宋体" w:cs="宋体"/>
          <w:highlight w:val="none"/>
        </w:rPr>
        <w:t>11.2.1自评分表（格式自拟）；</w:t>
      </w:r>
    </w:p>
    <w:p w14:paraId="29977EBC">
      <w:pPr>
        <w:adjustRightInd w:val="0"/>
        <w:snapToGrid w:val="0"/>
        <w:spacing w:line="400" w:lineRule="exact"/>
        <w:ind w:firstLine="420" w:firstLineChars="200"/>
        <w:jc w:val="left"/>
        <w:rPr>
          <w:rFonts w:ascii="宋体" w:hAnsi="宋体" w:cs="宋体"/>
          <w:highlight w:val="none"/>
        </w:rPr>
      </w:pPr>
      <w:r>
        <w:rPr>
          <w:rFonts w:hint="eastAsia" w:ascii="宋体" w:hAnsi="宋体" w:cs="宋体"/>
          <w:highlight w:val="none"/>
        </w:rPr>
        <w:t>11.2.2投标声明书（格式见第五部分）；</w:t>
      </w:r>
    </w:p>
    <w:p w14:paraId="625C2B04">
      <w:pPr>
        <w:adjustRightInd w:val="0"/>
        <w:snapToGrid w:val="0"/>
        <w:spacing w:line="400" w:lineRule="exact"/>
        <w:ind w:firstLine="420" w:firstLineChars="200"/>
        <w:jc w:val="left"/>
        <w:rPr>
          <w:rFonts w:ascii="宋体" w:hAnsi="宋体" w:cs="宋体"/>
          <w:highlight w:val="none"/>
        </w:rPr>
      </w:pPr>
      <w:r>
        <w:rPr>
          <w:rFonts w:hint="eastAsia" w:ascii="宋体" w:hAnsi="宋体" w:cs="宋体"/>
          <w:highlight w:val="none"/>
        </w:rPr>
        <w:t>11.2.3参数规格偏离表（格式见第五部分）；</w:t>
      </w:r>
    </w:p>
    <w:p w14:paraId="43A87095">
      <w:pPr>
        <w:adjustRightInd w:val="0"/>
        <w:snapToGrid w:val="0"/>
        <w:spacing w:line="400" w:lineRule="exact"/>
        <w:ind w:firstLine="420" w:firstLineChars="200"/>
        <w:jc w:val="left"/>
        <w:rPr>
          <w:rFonts w:ascii="宋体" w:hAnsi="宋体" w:cs="宋体"/>
          <w:highlight w:val="none"/>
        </w:rPr>
      </w:pPr>
      <w:r>
        <w:rPr>
          <w:rFonts w:hint="eastAsia" w:ascii="宋体" w:hAnsi="宋体" w:cs="宋体"/>
          <w:highlight w:val="none"/>
        </w:rPr>
        <w:t>11.2.4根据评分表及项目需求情况，自行添加相关表格及资料；</w:t>
      </w:r>
    </w:p>
    <w:p w14:paraId="44C10E76">
      <w:pPr>
        <w:spacing w:line="400" w:lineRule="exact"/>
        <w:ind w:firstLine="420" w:firstLineChars="200"/>
        <w:rPr>
          <w:rFonts w:hint="eastAsia" w:ascii="宋体" w:hAnsi="宋体" w:eastAsia="宋体" w:cs="宋体"/>
          <w:highlight w:val="none"/>
        </w:rPr>
      </w:pPr>
      <w:r>
        <w:rPr>
          <w:rFonts w:hint="eastAsia" w:ascii="宋体" w:hAnsi="宋体" w:eastAsia="宋体" w:cs="宋体"/>
          <w:highlight w:val="none"/>
        </w:rPr>
        <w:t>11.3报价文件内容: 详见第五部分格式。</w:t>
      </w:r>
    </w:p>
    <w:p w14:paraId="471DEE16">
      <w:pPr>
        <w:spacing w:line="400" w:lineRule="exact"/>
        <w:ind w:firstLine="420" w:firstLineChars="200"/>
        <w:rPr>
          <w:rFonts w:hint="eastAsia" w:ascii="宋体" w:hAnsi="宋体" w:eastAsia="宋体" w:cs="宋体"/>
          <w:highlight w:val="none"/>
          <w:lang w:eastAsia="zh-CN"/>
        </w:rPr>
      </w:pPr>
      <w:r>
        <w:rPr>
          <w:rFonts w:hint="eastAsia" w:ascii="宋体" w:hAnsi="宋体" w:eastAsia="宋体" w:cs="宋体"/>
          <w:highlight w:val="none"/>
        </w:rPr>
        <w:t>11.3.1</w:t>
      </w:r>
      <w:r>
        <w:rPr>
          <w:rFonts w:hint="eastAsia" w:ascii="宋体" w:hAnsi="宋体" w:eastAsia="宋体" w:cs="宋体"/>
          <w:highlight w:val="none"/>
          <w:lang w:val="en-US" w:eastAsia="zh-CN"/>
        </w:rPr>
        <w:t>开标一览表</w:t>
      </w:r>
      <w:r>
        <w:rPr>
          <w:rFonts w:hint="eastAsia" w:ascii="宋体" w:hAnsi="宋体" w:eastAsia="宋体" w:cs="宋体"/>
          <w:highlight w:val="none"/>
          <w:lang w:eastAsia="zh-CN"/>
        </w:rPr>
        <w:t>；</w:t>
      </w:r>
    </w:p>
    <w:p w14:paraId="7A3F6F18">
      <w:pPr>
        <w:spacing w:line="400" w:lineRule="exact"/>
        <w:ind w:firstLine="420" w:firstLineChars="200"/>
        <w:rPr>
          <w:rFonts w:hint="default" w:ascii="宋体" w:hAnsi="宋体" w:eastAsia="宋体" w:cs="宋体"/>
          <w:highlight w:val="none"/>
          <w:lang w:val="en-US" w:eastAsia="zh-CN"/>
        </w:rPr>
      </w:pPr>
      <w:r>
        <w:rPr>
          <w:rFonts w:hint="eastAsia" w:ascii="宋体" w:hAnsi="宋体" w:eastAsia="宋体" w:cs="宋体"/>
          <w:highlight w:val="none"/>
        </w:rPr>
        <w:t>11.</w:t>
      </w:r>
      <w:r>
        <w:rPr>
          <w:rFonts w:hint="eastAsia" w:ascii="宋体" w:hAnsi="宋体" w:eastAsia="宋体" w:cs="宋体"/>
          <w:highlight w:val="none"/>
          <w:lang w:val="en-US" w:eastAsia="zh-CN"/>
        </w:rPr>
        <w:t>3.2</w:t>
      </w:r>
      <w:r>
        <w:rPr>
          <w:rFonts w:hint="eastAsia" w:ascii="宋体" w:hAnsi="宋体" w:cs="宋体"/>
          <w:highlight w:val="none"/>
          <w:lang w:val="en-US" w:eastAsia="zh-CN"/>
        </w:rPr>
        <w:t>报价明细表</w:t>
      </w:r>
      <w:r>
        <w:rPr>
          <w:rFonts w:hint="eastAsia" w:ascii="宋体" w:hAnsi="宋体" w:eastAsia="宋体" w:cs="宋体"/>
          <w:highlight w:val="none"/>
          <w:lang w:val="en-US" w:eastAsia="zh-CN"/>
        </w:rPr>
        <w:t>。</w:t>
      </w:r>
    </w:p>
    <w:p w14:paraId="4BDFAE1D">
      <w:pPr>
        <w:spacing w:line="400" w:lineRule="exact"/>
        <w:ind w:firstLine="422" w:firstLineChars="200"/>
        <w:rPr>
          <w:rFonts w:ascii="宋体" w:hAnsi="宋体" w:cs="宋体"/>
          <w:b/>
          <w:bCs/>
          <w:highlight w:val="none"/>
        </w:rPr>
      </w:pPr>
      <w:r>
        <w:rPr>
          <w:rFonts w:hint="eastAsia" w:ascii="宋体" w:hAnsi="宋体" w:cs="宋体"/>
          <w:b/>
          <w:bCs/>
          <w:highlight w:val="none"/>
        </w:rPr>
        <w:t>投标人应在招标文件所附的投标价格表上写明投标单价。投标人只允许有一个报价,采购人不接受有任何选择的报价。投标报价高于采购预算单价和总价(最高限价)的不进入报价标评审，视报价分为零分。并不得推荐为中标候选人。</w:t>
      </w:r>
    </w:p>
    <w:p w14:paraId="4DFBCB79">
      <w:pPr>
        <w:spacing w:line="400" w:lineRule="exact"/>
        <w:ind w:firstLine="422" w:firstLineChars="200"/>
        <w:rPr>
          <w:rFonts w:ascii="宋体" w:hAnsi="宋体" w:cs="宋体"/>
          <w:b/>
          <w:bCs/>
          <w:highlight w:val="none"/>
        </w:rPr>
      </w:pPr>
      <w:r>
        <w:rPr>
          <w:rFonts w:hint="eastAsia" w:ascii="宋体" w:hAnsi="宋体" w:cs="宋体"/>
          <w:b/>
          <w:bCs/>
          <w:highlight w:val="none"/>
        </w:rPr>
        <w:t>12.排版</w:t>
      </w:r>
    </w:p>
    <w:p w14:paraId="5B4ECD47">
      <w:pPr>
        <w:wordWrap w:val="0"/>
        <w:spacing w:line="400" w:lineRule="exact"/>
        <w:ind w:firstLine="422" w:firstLineChars="200"/>
        <w:rPr>
          <w:rFonts w:hint="eastAsia" w:ascii="宋体" w:hAnsi="宋体" w:eastAsia="宋体" w:cs="宋体"/>
          <w:b/>
          <w:bCs/>
          <w:highlight w:val="none"/>
          <w:lang w:eastAsia="zh-CN"/>
        </w:rPr>
      </w:pPr>
      <w:r>
        <w:rPr>
          <w:rFonts w:hint="eastAsia" w:ascii="宋体" w:hAnsi="宋体" w:cs="宋体"/>
          <w:b/>
          <w:bCs/>
          <w:highlight w:val="none"/>
        </w:rPr>
        <w:t>按</w:t>
      </w:r>
      <w:r>
        <w:rPr>
          <w:rFonts w:hint="eastAsia" w:ascii="宋体" w:hAnsi="宋体" w:cs="宋体"/>
          <w:b/>
          <w:bCs/>
          <w:highlight w:val="none"/>
          <w:lang w:val="en-US" w:eastAsia="zh-CN"/>
        </w:rPr>
        <w:t>乐采云</w:t>
      </w:r>
      <w:r>
        <w:rPr>
          <w:rFonts w:hint="eastAsia" w:ascii="宋体" w:hAnsi="宋体" w:cs="宋体"/>
          <w:b/>
          <w:bCs/>
          <w:highlight w:val="none"/>
        </w:rPr>
        <w:t>平台操作指南和本招标文件要求编制</w:t>
      </w:r>
      <w:r>
        <w:rPr>
          <w:rFonts w:hint="eastAsia" w:ascii="宋体" w:hAnsi="宋体" w:cs="宋体"/>
          <w:b/>
          <w:bCs/>
          <w:highlight w:val="none"/>
          <w:lang w:eastAsia="zh-CN"/>
        </w:rPr>
        <w:t>。</w:t>
      </w:r>
    </w:p>
    <w:p w14:paraId="478D5385">
      <w:pPr>
        <w:spacing w:line="400" w:lineRule="exact"/>
        <w:ind w:firstLine="422" w:firstLineChars="200"/>
        <w:rPr>
          <w:rFonts w:ascii="宋体" w:hAnsi="宋体" w:cs="宋体"/>
          <w:b/>
          <w:bCs/>
          <w:highlight w:val="none"/>
        </w:rPr>
      </w:pPr>
      <w:r>
        <w:rPr>
          <w:rFonts w:hint="eastAsia" w:ascii="宋体" w:hAnsi="宋体" w:cs="宋体"/>
          <w:b/>
          <w:bCs/>
          <w:highlight w:val="none"/>
        </w:rPr>
        <w:t>13.投标有效期</w:t>
      </w:r>
    </w:p>
    <w:p w14:paraId="26AA51FA">
      <w:pPr>
        <w:spacing w:line="400" w:lineRule="exact"/>
        <w:ind w:firstLine="420" w:firstLineChars="200"/>
        <w:rPr>
          <w:rFonts w:ascii="宋体" w:hAnsi="宋体" w:cs="宋体"/>
          <w:highlight w:val="none"/>
        </w:rPr>
      </w:pPr>
      <w:r>
        <w:rPr>
          <w:rFonts w:hint="eastAsia" w:ascii="宋体" w:hAnsi="宋体" w:cs="宋体"/>
          <w:highlight w:val="none"/>
        </w:rPr>
        <w:t>13.1</w:t>
      </w:r>
      <w:r>
        <w:rPr>
          <w:rFonts w:hint="eastAsia" w:ascii="宋体" w:hAnsi="宋体" w:cs="宋体"/>
          <w:snapToGrid w:val="0"/>
          <w:highlight w:val="none"/>
        </w:rPr>
        <w:t>提交投标文件的截止之日起90天内有效。</w:t>
      </w:r>
    </w:p>
    <w:p w14:paraId="01EA8618">
      <w:pPr>
        <w:spacing w:line="400" w:lineRule="exact"/>
        <w:ind w:firstLine="422" w:firstLineChars="200"/>
        <w:rPr>
          <w:rFonts w:ascii="宋体" w:hAnsi="宋体" w:cs="宋体"/>
          <w:b/>
          <w:bCs/>
          <w:highlight w:val="none"/>
        </w:rPr>
      </w:pPr>
      <w:r>
        <w:rPr>
          <w:rFonts w:hint="eastAsia" w:ascii="宋体" w:hAnsi="宋体" w:cs="宋体"/>
          <w:b/>
          <w:bCs/>
          <w:highlight w:val="none"/>
        </w:rPr>
        <w:t>14.投标文件的签署及规定</w:t>
      </w:r>
    </w:p>
    <w:p w14:paraId="2B8E7938">
      <w:pPr>
        <w:spacing w:line="400" w:lineRule="exact"/>
        <w:ind w:firstLine="420" w:firstLineChars="200"/>
        <w:rPr>
          <w:rFonts w:ascii="宋体" w:hAnsi="宋体" w:cs="宋体"/>
          <w:highlight w:val="none"/>
        </w:rPr>
      </w:pPr>
      <w:r>
        <w:rPr>
          <w:rFonts w:hint="eastAsia" w:ascii="宋体" w:hAnsi="宋体" w:cs="宋体"/>
          <w:highlight w:val="none"/>
        </w:rPr>
        <w:t>14.1电报、电话、传真形式的投标概不接受。</w:t>
      </w:r>
    </w:p>
    <w:p w14:paraId="2C612AFF">
      <w:pPr>
        <w:spacing w:line="400" w:lineRule="exact"/>
        <w:ind w:firstLine="420" w:firstLineChars="200"/>
        <w:rPr>
          <w:rFonts w:ascii="宋体" w:hAnsi="宋体" w:cs="宋体"/>
          <w:bCs/>
          <w:highlight w:val="none"/>
        </w:rPr>
      </w:pPr>
      <w:r>
        <w:rPr>
          <w:rFonts w:hint="eastAsia" w:ascii="宋体" w:hAnsi="宋体" w:cs="宋体"/>
          <w:highlight w:val="none"/>
        </w:rPr>
        <w:t>14.2</w:t>
      </w:r>
      <w:r>
        <w:rPr>
          <w:rFonts w:hint="eastAsia" w:ascii="宋体" w:hAnsi="宋体" w:cs="宋体"/>
          <w:bCs/>
          <w:highlight w:val="none"/>
        </w:rPr>
        <w:t>投标文件按照招标文件第五部分格式要求进行签署、盖章。投标人的投标文件未按照招标文件要求签署、盖章的，其投标无效。</w:t>
      </w:r>
    </w:p>
    <w:p w14:paraId="0F309D88">
      <w:pPr>
        <w:wordWrap w:val="0"/>
        <w:spacing w:line="400" w:lineRule="exact"/>
        <w:ind w:firstLine="420" w:firstLineChars="200"/>
        <w:rPr>
          <w:rFonts w:hint="eastAsia" w:ascii="宋体" w:hAnsi="宋体" w:eastAsia="宋体" w:cs="宋体"/>
          <w:b/>
          <w:bCs/>
          <w:highlight w:val="none"/>
          <w:lang w:eastAsia="zh-CN"/>
        </w:rPr>
      </w:pPr>
      <w:r>
        <w:rPr>
          <w:rFonts w:hint="eastAsia" w:ascii="宋体" w:hAnsi="宋体" w:cs="宋体"/>
          <w:highlight w:val="none"/>
        </w:rPr>
        <w:t>14.3</w:t>
      </w:r>
      <w:r>
        <w:rPr>
          <w:rFonts w:hint="eastAsia" w:ascii="宋体" w:hAnsi="宋体" w:cs="宋体"/>
          <w:b/>
          <w:bCs/>
          <w:highlight w:val="none"/>
        </w:rPr>
        <w:t>电子投标文件编制要求：按</w:t>
      </w:r>
      <w:r>
        <w:rPr>
          <w:rFonts w:hint="eastAsia" w:ascii="宋体" w:hAnsi="宋体" w:cs="宋体"/>
          <w:b/>
          <w:bCs/>
          <w:highlight w:val="none"/>
          <w:lang w:val="en-US" w:eastAsia="zh-CN"/>
        </w:rPr>
        <w:t>乐采云</w:t>
      </w:r>
      <w:r>
        <w:rPr>
          <w:rFonts w:hint="eastAsia" w:ascii="宋体" w:hAnsi="宋体" w:cs="宋体"/>
          <w:b/>
          <w:bCs/>
          <w:highlight w:val="none"/>
        </w:rPr>
        <w:t>平台操作指南和本招标文件要求编制</w:t>
      </w:r>
      <w:r>
        <w:rPr>
          <w:rFonts w:hint="eastAsia" w:ascii="宋体" w:hAnsi="宋体" w:cs="宋体"/>
          <w:b/>
          <w:bCs/>
          <w:highlight w:val="none"/>
          <w:lang w:eastAsia="zh-CN"/>
        </w:rPr>
        <w:t>。</w:t>
      </w:r>
    </w:p>
    <w:p w14:paraId="15BAF1E2">
      <w:pPr>
        <w:pStyle w:val="5"/>
        <w:spacing w:before="0" w:after="0" w:line="400" w:lineRule="exact"/>
        <w:ind w:firstLine="422"/>
        <w:rPr>
          <w:rFonts w:ascii="宋体" w:hAnsi="宋体" w:eastAsia="宋体" w:cs="宋体"/>
          <w:sz w:val="21"/>
          <w:szCs w:val="21"/>
          <w:highlight w:val="none"/>
        </w:rPr>
      </w:pPr>
      <w:bookmarkStart w:id="32" w:name="_Toc56928685"/>
      <w:bookmarkStart w:id="33" w:name="_Toc107820049"/>
      <w:bookmarkStart w:id="34" w:name="_Toc43498223"/>
      <w:r>
        <w:rPr>
          <w:rFonts w:hint="eastAsia" w:ascii="宋体" w:hAnsi="宋体" w:eastAsia="宋体" w:cs="宋体"/>
          <w:sz w:val="21"/>
          <w:szCs w:val="21"/>
          <w:highlight w:val="none"/>
        </w:rPr>
        <w:t>四  投标文件的</w:t>
      </w:r>
      <w:bookmarkEnd w:id="32"/>
      <w:bookmarkEnd w:id="33"/>
      <w:r>
        <w:rPr>
          <w:rFonts w:hint="eastAsia" w:ascii="宋体" w:hAnsi="宋体" w:eastAsia="宋体" w:cs="宋体"/>
          <w:sz w:val="21"/>
          <w:szCs w:val="21"/>
          <w:highlight w:val="none"/>
        </w:rPr>
        <w:t>包装、提交、修改和撤回</w:t>
      </w:r>
      <w:bookmarkEnd w:id="34"/>
    </w:p>
    <w:p w14:paraId="1A6FEE9A">
      <w:pPr>
        <w:spacing w:line="400" w:lineRule="exact"/>
        <w:ind w:firstLine="422" w:firstLineChars="200"/>
        <w:rPr>
          <w:rFonts w:ascii="宋体" w:hAnsi="宋体" w:cs="宋体"/>
          <w:b/>
          <w:bCs/>
          <w:highlight w:val="none"/>
        </w:rPr>
      </w:pPr>
      <w:r>
        <w:rPr>
          <w:rFonts w:hint="eastAsia" w:ascii="宋体" w:hAnsi="宋体" w:cs="宋体"/>
          <w:b/>
          <w:bCs/>
          <w:highlight w:val="none"/>
        </w:rPr>
        <w:t>15.投标文件的密封和标记</w:t>
      </w:r>
    </w:p>
    <w:p w14:paraId="6B2814C8">
      <w:pPr>
        <w:spacing w:line="400" w:lineRule="exact"/>
        <w:ind w:firstLine="422" w:firstLineChars="200"/>
        <w:rPr>
          <w:rFonts w:ascii="宋体" w:hAnsi="宋体" w:cs="宋体"/>
          <w:b/>
          <w:bCs/>
          <w:highlight w:val="none"/>
        </w:rPr>
      </w:pPr>
      <w:r>
        <w:rPr>
          <w:rFonts w:hint="eastAsia" w:ascii="宋体" w:hAnsi="宋体" w:cs="宋体"/>
          <w:b/>
          <w:bCs/>
          <w:highlight w:val="none"/>
        </w:rPr>
        <w:t>15.1电子投标文件按</w:t>
      </w:r>
      <w:r>
        <w:rPr>
          <w:rFonts w:hint="eastAsia" w:ascii="宋体" w:hAnsi="宋体" w:cs="宋体"/>
          <w:b/>
          <w:bCs/>
          <w:highlight w:val="none"/>
          <w:lang w:val="en-US" w:eastAsia="zh-CN"/>
        </w:rPr>
        <w:t>乐采云</w:t>
      </w:r>
      <w:r>
        <w:rPr>
          <w:rFonts w:hint="eastAsia" w:ascii="宋体" w:hAnsi="宋体" w:cs="宋体"/>
          <w:b/>
          <w:bCs/>
          <w:highlight w:val="none"/>
        </w:rPr>
        <w:t>平台投标人操作指南进行加密，其中电子投标文件中所须加盖公章部分采用CA签章或签章后扫描上传。</w:t>
      </w:r>
    </w:p>
    <w:p w14:paraId="23D161EE">
      <w:pPr>
        <w:spacing w:line="400" w:lineRule="exact"/>
        <w:ind w:firstLine="420" w:firstLineChars="200"/>
        <w:rPr>
          <w:rFonts w:ascii="宋体" w:hAnsi="宋体" w:cs="宋体"/>
          <w:highlight w:val="none"/>
        </w:rPr>
      </w:pPr>
      <w:r>
        <w:rPr>
          <w:rFonts w:hint="eastAsia" w:ascii="宋体" w:hAnsi="宋体" w:cs="宋体"/>
          <w:highlight w:val="none"/>
        </w:rPr>
        <w:t>15.2按招标文件第五部分提供的格式制作。</w:t>
      </w:r>
    </w:p>
    <w:p w14:paraId="387A30A2">
      <w:pPr>
        <w:spacing w:line="400" w:lineRule="exact"/>
        <w:ind w:firstLine="420" w:firstLineChars="200"/>
        <w:rPr>
          <w:rFonts w:ascii="宋体" w:hAnsi="宋体" w:cs="宋体"/>
          <w:highlight w:val="none"/>
        </w:rPr>
      </w:pPr>
      <w:r>
        <w:rPr>
          <w:rFonts w:hint="eastAsia" w:ascii="宋体" w:hAnsi="宋体" w:cs="宋体"/>
          <w:highlight w:val="none"/>
        </w:rPr>
        <w:t>15.3超过截止时间上传电子投标文件将被拒绝。由投标人标记错误造成投标文件被误投或提前解密的风险由投标人承担。</w:t>
      </w:r>
    </w:p>
    <w:p w14:paraId="573DFB39">
      <w:pPr>
        <w:spacing w:line="400" w:lineRule="exact"/>
        <w:ind w:firstLine="422" w:firstLineChars="200"/>
        <w:rPr>
          <w:rFonts w:ascii="宋体" w:hAnsi="宋体" w:cs="宋体"/>
          <w:b/>
          <w:bCs/>
          <w:highlight w:val="none"/>
        </w:rPr>
      </w:pPr>
      <w:bookmarkStart w:id="35" w:name="_Toc107820050"/>
      <w:r>
        <w:rPr>
          <w:rFonts w:hint="eastAsia" w:ascii="宋体" w:hAnsi="宋体" w:cs="宋体"/>
          <w:b/>
          <w:bCs/>
          <w:highlight w:val="none"/>
        </w:rPr>
        <w:t>16.投标文件的提交</w:t>
      </w:r>
    </w:p>
    <w:p w14:paraId="60350A2A">
      <w:pPr>
        <w:spacing w:line="400" w:lineRule="exact"/>
        <w:ind w:firstLine="420" w:firstLineChars="200"/>
        <w:rPr>
          <w:rFonts w:ascii="宋体" w:hAnsi="宋体" w:cs="宋体"/>
          <w:highlight w:val="none"/>
        </w:rPr>
      </w:pPr>
      <w:r>
        <w:rPr>
          <w:rFonts w:hint="eastAsia" w:ascii="宋体" w:hAnsi="宋体" w:cs="宋体"/>
          <w:highlight w:val="none"/>
        </w:rPr>
        <w:t>16.1在投标截止时间前，投标人应按招标文件规定的时间和方式提交投标文件。在投标截止时间后，采购代理机构将拒收投标人的投标文件。</w:t>
      </w:r>
    </w:p>
    <w:p w14:paraId="53644C88">
      <w:pPr>
        <w:spacing w:line="400" w:lineRule="exact"/>
        <w:ind w:firstLine="420" w:firstLineChars="200"/>
        <w:rPr>
          <w:rFonts w:ascii="宋体" w:hAnsi="宋体" w:cs="宋体"/>
          <w:highlight w:val="none"/>
        </w:rPr>
      </w:pPr>
      <w:r>
        <w:rPr>
          <w:rFonts w:hint="eastAsia" w:ascii="宋体" w:hAnsi="宋体" w:cs="宋体"/>
          <w:highlight w:val="none"/>
        </w:rPr>
        <w:t>16.2不予接收的电子投标文件情形</w:t>
      </w:r>
    </w:p>
    <w:p w14:paraId="366C0016">
      <w:pPr>
        <w:spacing w:line="400" w:lineRule="exact"/>
        <w:ind w:firstLine="420" w:firstLineChars="200"/>
        <w:rPr>
          <w:rFonts w:ascii="宋体" w:hAnsi="宋体" w:cs="宋体"/>
          <w:highlight w:val="none"/>
        </w:rPr>
      </w:pPr>
      <w:r>
        <w:rPr>
          <w:rFonts w:hint="eastAsia" w:ascii="宋体" w:hAnsi="宋体" w:cs="宋体"/>
          <w:highlight w:val="none"/>
        </w:rPr>
        <w:t>(1)投标截止时间前未完成传输的电子投标文件；</w:t>
      </w:r>
    </w:p>
    <w:p w14:paraId="3473ED57">
      <w:pPr>
        <w:spacing w:line="400" w:lineRule="exact"/>
        <w:ind w:firstLine="420" w:firstLineChars="200"/>
        <w:rPr>
          <w:rFonts w:ascii="宋体" w:hAnsi="宋体" w:cs="宋体"/>
          <w:highlight w:val="none"/>
        </w:rPr>
      </w:pPr>
      <w:r>
        <w:rPr>
          <w:rFonts w:hint="eastAsia" w:ascii="宋体" w:hAnsi="宋体" w:cs="宋体"/>
          <w:highlight w:val="none"/>
        </w:rPr>
        <w:t>(2)未生成加密的电子投标文件；</w:t>
      </w:r>
    </w:p>
    <w:p w14:paraId="6E98EA30">
      <w:pPr>
        <w:spacing w:line="400" w:lineRule="exact"/>
        <w:ind w:firstLine="420" w:firstLineChars="200"/>
        <w:rPr>
          <w:rFonts w:hint="eastAsia" w:ascii="宋体" w:hAnsi="宋体" w:eastAsia="宋体" w:cs="宋体"/>
          <w:highlight w:val="none"/>
          <w:lang w:eastAsia="zh-CN"/>
        </w:rPr>
      </w:pPr>
      <w:r>
        <w:rPr>
          <w:rFonts w:hint="eastAsia" w:ascii="宋体" w:hAnsi="宋体" w:cs="宋体"/>
          <w:highlight w:val="none"/>
        </w:rPr>
        <w:t>(3)在规定时间内未解密的电子投标文件</w:t>
      </w:r>
      <w:r>
        <w:rPr>
          <w:rFonts w:hint="eastAsia" w:ascii="宋体" w:hAnsi="宋体" w:cs="宋体"/>
          <w:highlight w:val="none"/>
          <w:lang w:eastAsia="zh-CN"/>
        </w:rPr>
        <w:t>。</w:t>
      </w:r>
    </w:p>
    <w:p w14:paraId="7EF7A77B">
      <w:pPr>
        <w:spacing w:line="400" w:lineRule="exact"/>
        <w:ind w:firstLine="422" w:firstLineChars="200"/>
        <w:rPr>
          <w:rFonts w:ascii="宋体" w:hAnsi="宋体" w:cs="宋体"/>
          <w:b/>
          <w:bCs/>
          <w:highlight w:val="none"/>
        </w:rPr>
      </w:pPr>
      <w:r>
        <w:rPr>
          <w:rFonts w:hint="eastAsia" w:ascii="宋体" w:hAnsi="宋体" w:cs="宋体"/>
          <w:b/>
          <w:bCs/>
          <w:highlight w:val="none"/>
        </w:rPr>
        <w:t>17.投标文件的修改和撤销</w:t>
      </w:r>
    </w:p>
    <w:p w14:paraId="5A915F77">
      <w:pPr>
        <w:spacing w:line="400" w:lineRule="exact"/>
        <w:ind w:firstLine="420" w:firstLineChars="200"/>
        <w:rPr>
          <w:rFonts w:hint="eastAsia" w:ascii="宋体" w:hAnsi="宋体" w:cs="宋体"/>
          <w:highlight w:val="none"/>
          <w:lang w:eastAsia="zh-CN"/>
        </w:rPr>
      </w:pPr>
      <w:bookmarkStart w:id="36" w:name="_Toc43498224"/>
      <w:r>
        <w:rPr>
          <w:rFonts w:hint="eastAsia" w:ascii="宋体" w:hAnsi="宋体" w:cs="宋体"/>
          <w:highlight w:val="none"/>
        </w:rPr>
        <w:t>17.1在投标截止时间前，可以修改或撤回其投标文件：（1）电子投标文件补充、修改或撤回的，应当先行撤回原文件，补充、修改后重新传输提交</w:t>
      </w:r>
      <w:r>
        <w:rPr>
          <w:rFonts w:hint="eastAsia" w:ascii="宋体" w:hAnsi="宋体" w:cs="宋体"/>
          <w:highlight w:val="none"/>
          <w:lang w:eastAsia="zh-CN"/>
        </w:rPr>
        <w:t>。</w:t>
      </w:r>
    </w:p>
    <w:p w14:paraId="5EBEC656">
      <w:pPr>
        <w:spacing w:line="400" w:lineRule="exact"/>
        <w:ind w:firstLine="420" w:firstLineChars="200"/>
        <w:rPr>
          <w:rFonts w:ascii="宋体" w:hAnsi="宋体" w:cs="宋体"/>
          <w:highlight w:val="none"/>
        </w:rPr>
      </w:pPr>
      <w:r>
        <w:rPr>
          <w:rFonts w:hint="eastAsia" w:ascii="宋体" w:hAnsi="宋体" w:cs="宋体"/>
          <w:highlight w:val="none"/>
        </w:rPr>
        <w:t>17.2修改后重新提交的投标文件应按招标文件的规定编制、标记和提交。</w:t>
      </w:r>
    </w:p>
    <w:p w14:paraId="1F4AF529">
      <w:pPr>
        <w:spacing w:line="400" w:lineRule="exact"/>
        <w:ind w:firstLine="420" w:firstLineChars="200"/>
        <w:rPr>
          <w:rFonts w:ascii="宋体" w:hAnsi="宋体" w:cs="宋体"/>
          <w:highlight w:val="none"/>
        </w:rPr>
      </w:pPr>
      <w:r>
        <w:rPr>
          <w:rFonts w:hint="eastAsia" w:ascii="宋体" w:hAnsi="宋体" w:cs="宋体"/>
          <w:highlight w:val="none"/>
        </w:rPr>
        <w:t>17.3在投标截止时间后,投标人不得修改、撤回已提交的投标文件。</w:t>
      </w:r>
    </w:p>
    <w:p w14:paraId="50120589">
      <w:pPr>
        <w:pStyle w:val="5"/>
        <w:spacing w:before="0" w:after="0" w:line="400" w:lineRule="exact"/>
        <w:ind w:firstLine="0" w:firstLineChars="0"/>
        <w:rPr>
          <w:rFonts w:ascii="宋体" w:hAnsi="宋体" w:eastAsia="宋体" w:cs="宋体"/>
          <w:sz w:val="21"/>
          <w:szCs w:val="21"/>
          <w:highlight w:val="none"/>
        </w:rPr>
      </w:pPr>
      <w:r>
        <w:rPr>
          <w:rFonts w:hint="eastAsia" w:ascii="宋体" w:hAnsi="宋体" w:eastAsia="宋体" w:cs="宋体"/>
          <w:sz w:val="21"/>
          <w:szCs w:val="21"/>
          <w:highlight w:val="none"/>
        </w:rPr>
        <w:t>五  开标和评</w:t>
      </w:r>
      <w:bookmarkEnd w:id="35"/>
      <w:r>
        <w:rPr>
          <w:rFonts w:hint="eastAsia" w:ascii="宋体" w:hAnsi="宋体" w:eastAsia="宋体" w:cs="宋体"/>
          <w:sz w:val="21"/>
          <w:szCs w:val="21"/>
          <w:highlight w:val="none"/>
        </w:rPr>
        <w:t>审</w:t>
      </w:r>
      <w:bookmarkEnd w:id="36"/>
    </w:p>
    <w:p w14:paraId="2CAE6E04">
      <w:pPr>
        <w:spacing w:line="400" w:lineRule="exact"/>
        <w:ind w:firstLine="422" w:firstLineChars="200"/>
        <w:rPr>
          <w:rFonts w:ascii="宋体" w:hAnsi="宋体" w:cs="宋体"/>
          <w:b/>
          <w:bCs/>
          <w:highlight w:val="none"/>
        </w:rPr>
      </w:pPr>
      <w:r>
        <w:rPr>
          <w:rFonts w:hint="eastAsia" w:ascii="宋体" w:hAnsi="宋体" w:cs="宋体"/>
          <w:b/>
          <w:bCs/>
          <w:highlight w:val="none"/>
        </w:rPr>
        <w:t>18.开标</w:t>
      </w:r>
    </w:p>
    <w:p w14:paraId="1D1AC720">
      <w:pPr>
        <w:spacing w:line="400" w:lineRule="exact"/>
        <w:ind w:firstLine="420" w:firstLineChars="200"/>
        <w:rPr>
          <w:rFonts w:ascii="宋体" w:hAnsi="宋体" w:cs="宋体"/>
          <w:b/>
          <w:highlight w:val="none"/>
        </w:rPr>
      </w:pPr>
      <w:bookmarkStart w:id="37" w:name="_Toc396838136"/>
      <w:bookmarkStart w:id="38" w:name="_Toc415648536"/>
      <w:bookmarkStart w:id="39" w:name="_Toc393869892"/>
      <w:bookmarkStart w:id="40" w:name="_Toc393869894"/>
      <w:bookmarkStart w:id="41" w:name="_Toc335664280"/>
      <w:bookmarkStart w:id="42" w:name="_Toc334087238"/>
      <w:bookmarkStart w:id="43" w:name="_Toc394928032"/>
      <w:bookmarkStart w:id="44" w:name="_Toc107820051"/>
      <w:r>
        <w:rPr>
          <w:rFonts w:hint="eastAsia" w:ascii="宋体" w:hAnsi="宋体" w:cs="宋体"/>
          <w:bCs/>
          <w:highlight w:val="none"/>
        </w:rPr>
        <w:t>18.1采购代理机构按照招标文件规定的时间通过电子交易平台组织开标，所有投标人均应当准时在线参加。投标人不足3家的，不得开标。</w:t>
      </w:r>
    </w:p>
    <w:p w14:paraId="65C27D73">
      <w:pPr>
        <w:spacing w:line="400" w:lineRule="exact"/>
        <w:ind w:firstLine="420" w:firstLineChars="200"/>
        <w:rPr>
          <w:rFonts w:ascii="宋体" w:hAnsi="宋体" w:cs="宋体"/>
          <w:highlight w:val="none"/>
        </w:rPr>
      </w:pPr>
      <w:r>
        <w:rPr>
          <w:rFonts w:hint="eastAsia" w:ascii="宋体" w:hAnsi="宋体" w:cs="宋体"/>
          <w:highlight w:val="none"/>
        </w:rPr>
        <w:t>18.2开标时，电子交易平台按开标时间自动提取所有投标文件。采购代理机构依托电子交易平台发起开始解密指令，投标人按照平台提示和招标文件的规定完成在线解密</w:t>
      </w:r>
      <w:r>
        <w:rPr>
          <w:rFonts w:hint="eastAsia" w:ascii="宋体" w:hAnsi="宋体" w:cs="宋体"/>
          <w:highlight w:val="none"/>
          <w:lang w:eastAsia="zh-CN"/>
        </w:rPr>
        <w:t>（</w:t>
      </w:r>
      <w:r>
        <w:rPr>
          <w:rFonts w:hint="eastAsia" w:ascii="宋体" w:hAnsi="宋体" w:cs="宋体"/>
          <w:highlight w:val="none"/>
          <w:lang w:val="en-US" w:eastAsia="zh-CN"/>
        </w:rPr>
        <w:t>30分钟内完成解密</w:t>
      </w:r>
      <w:r>
        <w:rPr>
          <w:rFonts w:hint="eastAsia" w:ascii="宋体" w:hAnsi="宋体" w:cs="宋体"/>
          <w:highlight w:val="none"/>
          <w:lang w:eastAsia="zh-CN"/>
        </w:rPr>
        <w:t>）</w:t>
      </w:r>
      <w:r>
        <w:rPr>
          <w:rFonts w:hint="eastAsia" w:ascii="宋体" w:hAnsi="宋体" w:cs="宋体"/>
          <w:highlight w:val="none"/>
        </w:rPr>
        <w:t>。</w:t>
      </w:r>
    </w:p>
    <w:p w14:paraId="733F419C">
      <w:pPr>
        <w:spacing w:line="400" w:lineRule="exact"/>
        <w:ind w:firstLine="420" w:firstLineChars="200"/>
        <w:rPr>
          <w:rFonts w:hint="eastAsia" w:ascii="宋体" w:hAnsi="宋体" w:cs="宋体"/>
          <w:highlight w:val="none"/>
        </w:rPr>
      </w:pPr>
      <w:r>
        <w:rPr>
          <w:rFonts w:hint="eastAsia" w:ascii="宋体" w:hAnsi="宋体" w:cs="宋体"/>
          <w:highlight w:val="none"/>
        </w:rPr>
        <w:t>18.3投标文件未按时解密，视为投标文件撤回。</w:t>
      </w:r>
    </w:p>
    <w:p w14:paraId="19C07998">
      <w:pPr>
        <w:spacing w:line="400" w:lineRule="exact"/>
        <w:ind w:firstLine="420" w:firstLineChars="200"/>
        <w:rPr>
          <w:rFonts w:ascii="宋体" w:hAnsi="宋体" w:cs="宋体"/>
          <w:highlight w:val="none"/>
        </w:rPr>
      </w:pPr>
      <w:r>
        <w:rPr>
          <w:rFonts w:hint="eastAsia" w:ascii="宋体" w:hAnsi="宋体" w:cs="宋体"/>
          <w:bCs/>
          <w:highlight w:val="none"/>
        </w:rPr>
        <w:t>18.4投标人认为采购人员及相关人员与其他投标人有利害关系的，可向采购代理机构提出回避申请，并说明理</w:t>
      </w:r>
      <w:r>
        <w:rPr>
          <w:rFonts w:hint="eastAsia" w:ascii="宋体" w:hAnsi="宋体" w:cs="宋体"/>
          <w:highlight w:val="none"/>
        </w:rPr>
        <w:t>由，申请须由投标人代表签字或盖章。</w:t>
      </w:r>
    </w:p>
    <w:p w14:paraId="1840A218">
      <w:pPr>
        <w:spacing w:line="400" w:lineRule="exact"/>
        <w:ind w:firstLine="422" w:firstLineChars="200"/>
        <w:rPr>
          <w:rFonts w:ascii="宋体" w:hAnsi="宋体" w:cs="宋体"/>
          <w:b/>
          <w:bCs/>
          <w:highlight w:val="none"/>
        </w:rPr>
      </w:pPr>
      <w:r>
        <w:rPr>
          <w:rFonts w:hint="eastAsia" w:ascii="宋体" w:hAnsi="宋体" w:cs="宋体"/>
          <w:b/>
          <w:bCs/>
          <w:highlight w:val="none"/>
        </w:rPr>
        <w:t>19. 资格审查</w:t>
      </w:r>
    </w:p>
    <w:p w14:paraId="6C0436FB">
      <w:pPr>
        <w:spacing w:line="400" w:lineRule="exact"/>
        <w:ind w:firstLine="420" w:firstLineChars="200"/>
        <w:rPr>
          <w:rFonts w:ascii="宋体" w:hAnsi="宋体" w:cs="宋体"/>
          <w:highlight w:val="none"/>
        </w:rPr>
      </w:pPr>
      <w:r>
        <w:rPr>
          <w:rFonts w:hint="eastAsia" w:ascii="宋体" w:hAnsi="宋体" w:cs="宋体"/>
          <w:highlight w:val="none"/>
        </w:rPr>
        <w:t>19.1开标后，</w:t>
      </w:r>
      <w:r>
        <w:rPr>
          <w:rFonts w:hint="eastAsia" w:ascii="宋体" w:hAnsi="宋体" w:cs="宋体"/>
          <w:highlight w:val="none"/>
          <w:lang w:val="en-US" w:eastAsia="zh-CN"/>
        </w:rPr>
        <w:t>评审小组</w:t>
      </w:r>
      <w:r>
        <w:rPr>
          <w:rFonts w:hint="eastAsia" w:ascii="宋体" w:hAnsi="宋体" w:cs="宋体"/>
          <w:highlight w:val="none"/>
        </w:rPr>
        <w:t>将依法对投标人的资格进行审查。</w:t>
      </w:r>
    </w:p>
    <w:p w14:paraId="2013219B">
      <w:pPr>
        <w:spacing w:line="400" w:lineRule="exact"/>
        <w:ind w:firstLine="420" w:firstLineChars="200"/>
        <w:rPr>
          <w:rFonts w:ascii="宋体" w:hAnsi="宋体" w:cs="宋体"/>
          <w:highlight w:val="none"/>
        </w:rPr>
      </w:pPr>
      <w:r>
        <w:rPr>
          <w:rFonts w:hint="eastAsia" w:ascii="宋体" w:hAnsi="宋体" w:cs="宋体"/>
          <w:highlight w:val="none"/>
        </w:rPr>
        <w:t>19.2</w:t>
      </w:r>
      <w:r>
        <w:rPr>
          <w:rFonts w:hint="eastAsia" w:ascii="宋体" w:hAnsi="宋体" w:cs="宋体"/>
          <w:highlight w:val="none"/>
          <w:lang w:val="en-US" w:eastAsia="zh-CN"/>
        </w:rPr>
        <w:t>评审小组</w:t>
      </w:r>
      <w:r>
        <w:rPr>
          <w:rFonts w:hint="eastAsia" w:ascii="宋体" w:hAnsi="宋体" w:cs="宋体"/>
          <w:highlight w:val="none"/>
        </w:rPr>
        <w:t>依据法律法规和招标文件的规定，对投标人的基本资格条件、特定资格条件进行审查。</w:t>
      </w:r>
    </w:p>
    <w:p w14:paraId="16BE435E">
      <w:pPr>
        <w:spacing w:line="400" w:lineRule="exact"/>
        <w:ind w:firstLine="420" w:firstLineChars="200"/>
        <w:rPr>
          <w:rFonts w:ascii="宋体" w:hAnsi="宋体" w:cs="宋体"/>
          <w:highlight w:val="none"/>
        </w:rPr>
      </w:pPr>
      <w:r>
        <w:rPr>
          <w:rFonts w:hint="eastAsia" w:ascii="宋体" w:hAnsi="宋体" w:cs="宋体"/>
          <w:highlight w:val="none"/>
        </w:rPr>
        <w:t>19.3投标人未按照招标文件要求提供与基本资格条件、特定资格条件相应的有效资格证明材料的，视为投标人不具备招标文件中规定的资格要求，其投标无效。</w:t>
      </w:r>
    </w:p>
    <w:p w14:paraId="67C037A6">
      <w:pPr>
        <w:spacing w:line="400" w:lineRule="exact"/>
        <w:ind w:firstLine="420" w:firstLineChars="200"/>
        <w:rPr>
          <w:rFonts w:ascii="宋体" w:hAnsi="宋体" w:cs="宋体"/>
          <w:highlight w:val="none"/>
        </w:rPr>
      </w:pPr>
      <w:r>
        <w:rPr>
          <w:rFonts w:hint="eastAsia" w:ascii="宋体" w:hAnsi="宋体" w:cs="宋体"/>
          <w:highlight w:val="none"/>
        </w:rPr>
        <w:t>19.4对未通过资格审查的投标人，采购人或采购代理机构告知其未通过的原因。</w:t>
      </w:r>
    </w:p>
    <w:p w14:paraId="00A17E7F">
      <w:pPr>
        <w:spacing w:line="400" w:lineRule="exact"/>
        <w:ind w:firstLine="420" w:firstLineChars="200"/>
        <w:rPr>
          <w:rFonts w:ascii="宋体" w:hAnsi="宋体" w:cs="宋体"/>
          <w:highlight w:val="none"/>
        </w:rPr>
      </w:pPr>
      <w:r>
        <w:rPr>
          <w:rFonts w:hint="eastAsia" w:ascii="宋体" w:hAnsi="宋体" w:cs="宋体"/>
          <w:highlight w:val="none"/>
        </w:rPr>
        <w:t>19.5合格投标人不足3家的，不再继续评标。</w:t>
      </w:r>
    </w:p>
    <w:p w14:paraId="7B2AE7F0">
      <w:pPr>
        <w:numPr>
          <w:ilvl w:val="0"/>
          <w:numId w:val="2"/>
        </w:numPr>
        <w:spacing w:line="400" w:lineRule="exact"/>
        <w:ind w:firstLine="422" w:firstLineChars="200"/>
        <w:rPr>
          <w:rFonts w:ascii="宋体" w:hAnsi="宋体" w:cs="宋体"/>
          <w:b/>
          <w:bCs/>
          <w:highlight w:val="none"/>
        </w:rPr>
      </w:pPr>
      <w:r>
        <w:rPr>
          <w:rFonts w:hint="eastAsia" w:ascii="宋体" w:hAnsi="宋体" w:cs="宋体"/>
          <w:b/>
          <w:bCs/>
          <w:highlight w:val="none"/>
        </w:rPr>
        <w:t>6信用信息查询</w:t>
      </w:r>
    </w:p>
    <w:p w14:paraId="363B1B3D">
      <w:pPr>
        <w:numPr>
          <w:ilvl w:val="255"/>
          <w:numId w:val="0"/>
        </w:numPr>
        <w:spacing w:line="400" w:lineRule="exact"/>
        <w:ind w:firstLine="420" w:firstLineChars="200"/>
        <w:rPr>
          <w:rFonts w:ascii="宋体" w:hAnsi="宋体" w:cs="宋体"/>
          <w:highlight w:val="none"/>
        </w:rPr>
      </w:pPr>
      <w:r>
        <w:rPr>
          <w:rFonts w:hint="eastAsia" w:ascii="宋体" w:hAnsi="宋体" w:cs="宋体"/>
          <w:highlight w:val="none"/>
        </w:rPr>
        <w:t>19.6.1信用信息查询渠道及截止时间：采购代理机构将通过“信用中国”网站、中国政府采购网渠道查询投标人投标截止时间当天的信用记录。</w:t>
      </w:r>
    </w:p>
    <w:p w14:paraId="192D6720">
      <w:pPr>
        <w:spacing w:line="400" w:lineRule="exact"/>
        <w:ind w:firstLine="420" w:firstLineChars="200"/>
        <w:rPr>
          <w:rFonts w:ascii="宋体" w:hAnsi="宋体" w:cs="宋体"/>
          <w:highlight w:val="none"/>
        </w:rPr>
      </w:pPr>
      <w:r>
        <w:rPr>
          <w:rFonts w:hint="eastAsia" w:ascii="宋体" w:hAnsi="宋体" w:cs="宋体"/>
          <w:highlight w:val="none"/>
        </w:rPr>
        <w:t>19.6.2信用信息查询记录和证据留存的具体方式：现场查询的投标人的信用记录、查询结果经确认后将与采购文件一起存档。</w:t>
      </w:r>
    </w:p>
    <w:p w14:paraId="043AE544">
      <w:pPr>
        <w:spacing w:line="400" w:lineRule="exact"/>
        <w:ind w:firstLine="420" w:firstLineChars="200"/>
        <w:rPr>
          <w:rFonts w:ascii="宋体" w:hAnsi="宋体" w:cs="宋体"/>
          <w:highlight w:val="none"/>
        </w:rPr>
      </w:pPr>
      <w:r>
        <w:rPr>
          <w:rFonts w:hint="eastAsia" w:ascii="宋体" w:hAnsi="宋体" w:cs="宋体"/>
          <w:highlight w:val="none"/>
        </w:rPr>
        <w:t>19.6.3信用信息的使用规则：经查询列入失信被执行人名单、重大税收违法案件当事人名单、采购严重违法失信行为记录名单的投标人将被拒绝参与采购活动。</w:t>
      </w:r>
    </w:p>
    <w:p w14:paraId="7DB70A32">
      <w:pPr>
        <w:spacing w:line="400" w:lineRule="exact"/>
        <w:ind w:firstLine="420" w:firstLineChars="200"/>
        <w:rPr>
          <w:rFonts w:ascii="宋体" w:hAnsi="宋体" w:cs="宋体"/>
          <w:highlight w:val="none"/>
        </w:rPr>
      </w:pPr>
      <w:r>
        <w:rPr>
          <w:rFonts w:hint="eastAsia" w:ascii="宋体" w:hAnsi="宋体" w:cs="宋体"/>
          <w:highlight w:val="none"/>
        </w:rPr>
        <w:t>19.6.4联合体信用信息查询：两个以上的自然人、法人或者其他组织组成一个联合体，以一个供应商的身份共同参加采购活动的，应当对所有联合体成员进行信用记录查询，联合体成员存在不良信用记录的，视同联合体存在不良信用记录。</w:t>
      </w:r>
    </w:p>
    <w:p w14:paraId="024FBE52">
      <w:pPr>
        <w:spacing w:line="400" w:lineRule="exact"/>
        <w:ind w:firstLine="422" w:firstLineChars="200"/>
        <w:rPr>
          <w:rFonts w:ascii="宋体" w:hAnsi="宋体" w:cs="宋体"/>
          <w:b/>
          <w:bCs/>
          <w:highlight w:val="none"/>
        </w:rPr>
      </w:pPr>
      <w:r>
        <w:rPr>
          <w:rFonts w:hint="eastAsia" w:ascii="宋体" w:hAnsi="宋体" w:cs="宋体"/>
          <w:b/>
          <w:bCs/>
          <w:highlight w:val="none"/>
        </w:rPr>
        <w:t>20.评审流程</w:t>
      </w:r>
    </w:p>
    <w:p w14:paraId="51DB56A5">
      <w:pPr>
        <w:spacing w:line="400" w:lineRule="exact"/>
        <w:ind w:firstLine="420" w:firstLineChars="200"/>
        <w:rPr>
          <w:rFonts w:ascii="宋体" w:hAnsi="宋体" w:cs="宋体"/>
          <w:kern w:val="0"/>
          <w:highlight w:val="none"/>
        </w:rPr>
      </w:pPr>
      <w:r>
        <w:rPr>
          <w:rFonts w:hint="eastAsia" w:ascii="宋体" w:hAnsi="宋体" w:cs="宋体"/>
          <w:kern w:val="0"/>
          <w:highlight w:val="none"/>
        </w:rPr>
        <w:t>20.1采购代理机构和采购人将根据采购项目的特点组建</w:t>
      </w:r>
      <w:r>
        <w:rPr>
          <w:rFonts w:hint="eastAsia" w:ascii="宋体" w:hAnsi="宋体" w:cs="宋体"/>
          <w:highlight w:val="none"/>
        </w:rPr>
        <w:t>评标委员会</w:t>
      </w:r>
      <w:r>
        <w:rPr>
          <w:rFonts w:hint="eastAsia" w:ascii="宋体" w:hAnsi="宋体" w:cs="宋体"/>
          <w:kern w:val="0"/>
          <w:highlight w:val="none"/>
        </w:rPr>
        <w:t>，其成员由技术、经济等方面的专家和采购人代表组成。</w:t>
      </w:r>
      <w:r>
        <w:rPr>
          <w:rFonts w:hint="eastAsia" w:ascii="宋体" w:hAnsi="宋体" w:cs="宋体"/>
          <w:highlight w:val="none"/>
        </w:rPr>
        <w:t>评标委员会</w:t>
      </w:r>
      <w:r>
        <w:rPr>
          <w:rFonts w:hint="eastAsia" w:ascii="宋体" w:hAnsi="宋体" w:cs="宋体"/>
          <w:kern w:val="0"/>
          <w:highlight w:val="none"/>
        </w:rPr>
        <w:t>对投标文件进行符合性审查、询标、评价和推荐中标候选人。</w:t>
      </w:r>
    </w:p>
    <w:p w14:paraId="254E43BC">
      <w:pPr>
        <w:spacing w:line="400" w:lineRule="exact"/>
        <w:ind w:firstLine="420" w:firstLineChars="200"/>
        <w:rPr>
          <w:rFonts w:ascii="宋体" w:hAnsi="宋体" w:cs="宋体"/>
          <w:highlight w:val="none"/>
        </w:rPr>
      </w:pPr>
      <w:r>
        <w:rPr>
          <w:rFonts w:hint="eastAsia" w:ascii="宋体" w:hAnsi="宋体" w:cs="宋体"/>
          <w:highlight w:val="none"/>
        </w:rPr>
        <w:t>20.1.1符合性审查</w:t>
      </w:r>
    </w:p>
    <w:p w14:paraId="621D73F2">
      <w:pPr>
        <w:spacing w:line="400" w:lineRule="exact"/>
        <w:ind w:firstLine="420" w:firstLineChars="200"/>
        <w:rPr>
          <w:rFonts w:ascii="宋体" w:hAnsi="宋体" w:cs="宋体"/>
          <w:b/>
          <w:bCs/>
          <w:highlight w:val="none"/>
        </w:rPr>
      </w:pPr>
      <w:r>
        <w:rPr>
          <w:rFonts w:hint="eastAsia" w:ascii="宋体" w:hAnsi="宋体" w:cs="宋体"/>
          <w:highlight w:val="none"/>
        </w:rPr>
        <w:t>根据招标文件的规定，从投标文件的有效性、完整性和对招标文件的响应程度进行审查，以确定是否对招标文件的实质性要求作出响应。</w:t>
      </w:r>
      <w:r>
        <w:rPr>
          <w:rFonts w:hint="eastAsia" w:ascii="宋体" w:hAnsi="宋体" w:cs="宋体"/>
          <w:b/>
          <w:bCs/>
          <w:highlight w:val="none"/>
        </w:rPr>
        <w:t>通过符合性审查不足三家的，除采购任务取消情形外，按相关规定重新组织招标。</w:t>
      </w:r>
    </w:p>
    <w:p w14:paraId="6076BCE3">
      <w:pPr>
        <w:spacing w:line="400" w:lineRule="exact"/>
        <w:ind w:firstLine="420" w:firstLineChars="200"/>
        <w:rPr>
          <w:rFonts w:ascii="宋体" w:hAnsi="宋体" w:cs="宋体"/>
          <w:highlight w:val="none"/>
        </w:rPr>
      </w:pPr>
      <w:r>
        <w:rPr>
          <w:rFonts w:hint="eastAsia" w:ascii="宋体" w:hAnsi="宋体" w:cs="宋体"/>
          <w:highlight w:val="none"/>
        </w:rPr>
        <w:t>20.1.2 商务技术文件评审</w:t>
      </w:r>
    </w:p>
    <w:p w14:paraId="65C06C4C">
      <w:pPr>
        <w:spacing w:line="400" w:lineRule="exact"/>
        <w:ind w:firstLine="420" w:firstLineChars="200"/>
        <w:rPr>
          <w:rFonts w:ascii="宋体" w:hAnsi="宋体" w:cs="宋体"/>
          <w:highlight w:val="none"/>
        </w:rPr>
      </w:pPr>
      <w:r>
        <w:rPr>
          <w:rFonts w:hint="eastAsia" w:ascii="宋体" w:hAnsi="宋体" w:cs="宋体"/>
          <w:highlight w:val="none"/>
        </w:rPr>
        <w:t>评标委员会依据招标文件的规定，对各</w:t>
      </w:r>
      <w:r>
        <w:rPr>
          <w:rFonts w:hint="eastAsia" w:ascii="宋体" w:hAnsi="宋体" w:cs="宋体"/>
          <w:kern w:val="0"/>
          <w:highlight w:val="none"/>
        </w:rPr>
        <w:t>投标人的商务</w:t>
      </w:r>
      <w:r>
        <w:rPr>
          <w:rFonts w:hint="eastAsia" w:ascii="宋体" w:hAnsi="宋体" w:cs="宋体"/>
          <w:highlight w:val="none"/>
        </w:rPr>
        <w:t>技术文件进行评审（商务资信部分讨论统一后由组长评审、技术部分独立评审），对</w:t>
      </w:r>
      <w:r>
        <w:rPr>
          <w:rFonts w:hint="eastAsia" w:ascii="宋体" w:hAnsi="宋体" w:cs="宋体"/>
          <w:kern w:val="0"/>
          <w:highlight w:val="none"/>
        </w:rPr>
        <w:t>投标文件</w:t>
      </w:r>
      <w:r>
        <w:rPr>
          <w:rFonts w:hint="eastAsia" w:ascii="宋体" w:hAnsi="宋体" w:cs="宋体"/>
          <w:highlight w:val="none"/>
        </w:rPr>
        <w:t>进行比较和必要的澄清。</w:t>
      </w:r>
    </w:p>
    <w:p w14:paraId="7C4B17D6">
      <w:pPr>
        <w:spacing w:line="400" w:lineRule="exact"/>
        <w:ind w:firstLine="420" w:firstLineChars="200"/>
        <w:rPr>
          <w:rFonts w:ascii="宋体" w:hAnsi="宋体" w:cs="宋体"/>
          <w:highlight w:val="none"/>
        </w:rPr>
      </w:pPr>
      <w:r>
        <w:rPr>
          <w:rFonts w:hint="eastAsia" w:ascii="宋体" w:hAnsi="宋体" w:cs="宋体"/>
          <w:highlight w:val="none"/>
        </w:rPr>
        <w:t>20.1.3报价文件评审</w:t>
      </w:r>
    </w:p>
    <w:p w14:paraId="30E93550">
      <w:pPr>
        <w:spacing w:line="400" w:lineRule="exact"/>
        <w:ind w:firstLine="420" w:firstLineChars="200"/>
        <w:rPr>
          <w:rFonts w:ascii="宋体" w:hAnsi="宋体" w:cs="宋体"/>
          <w:highlight w:val="none"/>
        </w:rPr>
      </w:pPr>
      <w:r>
        <w:rPr>
          <w:rFonts w:hint="eastAsia" w:ascii="宋体" w:hAnsi="宋体" w:cs="宋体"/>
          <w:highlight w:val="none"/>
        </w:rPr>
        <w:t>评标委员会依据招标文件的规定，对各投标人的报价的合理性进行审查，必要时可要求投标人对其报价做出澄清、说明。</w:t>
      </w:r>
    </w:p>
    <w:p w14:paraId="6F39137E">
      <w:pPr>
        <w:spacing w:line="400" w:lineRule="exact"/>
        <w:ind w:firstLine="422" w:firstLineChars="200"/>
        <w:rPr>
          <w:rFonts w:ascii="宋体" w:hAnsi="宋体" w:cs="宋体"/>
          <w:b/>
          <w:bCs/>
          <w:highlight w:val="none"/>
        </w:rPr>
      </w:pPr>
      <w:r>
        <w:rPr>
          <w:rFonts w:hint="eastAsia" w:ascii="宋体" w:hAnsi="宋体" w:cs="宋体"/>
          <w:b/>
          <w:bCs/>
          <w:highlight w:val="none"/>
        </w:rPr>
        <w:t>21. 报价文件的澄清</w:t>
      </w:r>
    </w:p>
    <w:p w14:paraId="3AA93870">
      <w:pPr>
        <w:spacing w:line="400" w:lineRule="exact"/>
        <w:ind w:firstLine="382" w:firstLineChars="182"/>
        <w:rPr>
          <w:rFonts w:ascii="宋体" w:hAnsi="宋体" w:cs="宋体"/>
          <w:highlight w:val="none"/>
        </w:rPr>
      </w:pPr>
      <w:r>
        <w:rPr>
          <w:rFonts w:hint="eastAsia" w:ascii="宋体" w:hAnsi="宋体" w:cs="宋体"/>
          <w:highlight w:val="none"/>
        </w:rPr>
        <w:t>21.1 对</w:t>
      </w:r>
      <w:r>
        <w:rPr>
          <w:rFonts w:hint="eastAsia" w:ascii="宋体" w:hAnsi="宋体" w:cs="宋体"/>
          <w:kern w:val="0"/>
          <w:highlight w:val="none"/>
        </w:rPr>
        <w:t>投标文件</w:t>
      </w:r>
      <w:r>
        <w:rPr>
          <w:rFonts w:hint="eastAsia" w:ascii="宋体" w:hAnsi="宋体" w:cs="宋体"/>
          <w:highlight w:val="none"/>
        </w:rPr>
        <w:t>中含义不明确、同类问题表述不一致或者有明显文字和计算错误等内容，评标委员会应当通过</w:t>
      </w:r>
      <w:r>
        <w:rPr>
          <w:rFonts w:hint="eastAsia" w:ascii="宋体" w:hAnsi="宋体" w:cs="宋体"/>
          <w:highlight w:val="none"/>
          <w:lang w:val="en-US" w:eastAsia="zh-CN"/>
        </w:rPr>
        <w:t>乐采云</w:t>
      </w:r>
      <w:r>
        <w:rPr>
          <w:rFonts w:hint="eastAsia" w:ascii="宋体" w:hAnsi="宋体" w:cs="宋体"/>
          <w:highlight w:val="none"/>
        </w:rPr>
        <w:t>平台要求投标人作出必要的澄清、说明或者补正。投标人的澄清、说明或者补正应当通过</w:t>
      </w:r>
      <w:r>
        <w:rPr>
          <w:rFonts w:hint="eastAsia" w:ascii="宋体" w:hAnsi="宋体" w:cs="宋体"/>
          <w:highlight w:val="none"/>
          <w:lang w:val="en-US" w:eastAsia="zh-CN"/>
        </w:rPr>
        <w:t>乐采云</w:t>
      </w:r>
      <w:r>
        <w:rPr>
          <w:rFonts w:hint="eastAsia" w:ascii="宋体" w:hAnsi="宋体" w:cs="宋体"/>
          <w:highlight w:val="none"/>
        </w:rPr>
        <w:t>平台完成。投标人的澄清、说明或者补正不得超出投标文件的范围或者改变投标文件的实质性内容。</w:t>
      </w:r>
    </w:p>
    <w:p w14:paraId="2721BCD7">
      <w:pPr>
        <w:spacing w:line="400" w:lineRule="exact"/>
        <w:ind w:firstLine="382" w:firstLineChars="182"/>
        <w:rPr>
          <w:rFonts w:ascii="宋体" w:hAnsi="宋体" w:cs="宋体"/>
          <w:highlight w:val="none"/>
        </w:rPr>
      </w:pPr>
      <w:r>
        <w:rPr>
          <w:rFonts w:hint="eastAsia" w:ascii="宋体" w:hAnsi="宋体" w:cs="宋体"/>
          <w:highlight w:val="none"/>
        </w:rPr>
        <w:t>21.2 报价算术错误将按以下方法修正：</w:t>
      </w:r>
    </w:p>
    <w:p w14:paraId="0FBE5B84">
      <w:pPr>
        <w:spacing w:line="400" w:lineRule="exact"/>
        <w:ind w:firstLine="382" w:firstLineChars="182"/>
        <w:rPr>
          <w:rFonts w:ascii="宋体" w:hAnsi="宋体" w:cs="宋体"/>
          <w:highlight w:val="none"/>
        </w:rPr>
      </w:pPr>
      <w:r>
        <w:rPr>
          <w:rFonts w:hint="eastAsia" w:ascii="宋体" w:hAnsi="宋体" w:cs="宋体"/>
          <w:highlight w:val="none"/>
        </w:rPr>
        <w:t>（1）</w:t>
      </w:r>
      <w:r>
        <w:rPr>
          <w:rFonts w:hint="eastAsia" w:ascii="宋体" w:hAnsi="宋体" w:cs="宋体"/>
          <w:kern w:val="0"/>
          <w:highlight w:val="none"/>
        </w:rPr>
        <w:t>报价文件</w:t>
      </w:r>
      <w:r>
        <w:rPr>
          <w:rFonts w:hint="eastAsia" w:ascii="宋体" w:hAnsi="宋体" w:cs="宋体"/>
          <w:highlight w:val="none"/>
        </w:rPr>
        <w:t>中开标一览表（报价表）内容与</w:t>
      </w:r>
      <w:r>
        <w:rPr>
          <w:rFonts w:hint="eastAsia" w:ascii="宋体" w:hAnsi="宋体" w:cs="宋体"/>
          <w:kern w:val="0"/>
          <w:highlight w:val="none"/>
        </w:rPr>
        <w:t>报价</w:t>
      </w:r>
      <w:r>
        <w:rPr>
          <w:rFonts w:hint="eastAsia" w:ascii="宋体" w:hAnsi="宋体" w:cs="宋体"/>
          <w:highlight w:val="none"/>
        </w:rPr>
        <w:t>明细表</w:t>
      </w:r>
      <w:r>
        <w:rPr>
          <w:rFonts w:hint="eastAsia" w:ascii="宋体" w:hAnsi="宋体" w:cs="宋体"/>
          <w:highlight w:val="none"/>
          <w:lang w:eastAsia="zh-CN"/>
        </w:rPr>
        <w:t>（</w:t>
      </w:r>
      <w:r>
        <w:rPr>
          <w:rFonts w:hint="eastAsia" w:ascii="宋体" w:hAnsi="宋体" w:cs="宋体"/>
          <w:highlight w:val="none"/>
          <w:lang w:val="en-US" w:eastAsia="zh-CN"/>
        </w:rPr>
        <w:t>若有</w:t>
      </w:r>
      <w:r>
        <w:rPr>
          <w:rFonts w:hint="eastAsia" w:ascii="宋体" w:hAnsi="宋体" w:cs="宋体"/>
          <w:highlight w:val="none"/>
          <w:lang w:eastAsia="zh-CN"/>
        </w:rPr>
        <w:t>）</w:t>
      </w:r>
      <w:r>
        <w:rPr>
          <w:rFonts w:hint="eastAsia" w:ascii="宋体" w:hAnsi="宋体" w:cs="宋体"/>
          <w:highlight w:val="none"/>
        </w:rPr>
        <w:t>相应内容不一致的，以开标一览表（报价表）为准；</w:t>
      </w:r>
    </w:p>
    <w:p w14:paraId="57474372">
      <w:pPr>
        <w:spacing w:line="400" w:lineRule="exact"/>
        <w:ind w:firstLine="382" w:firstLineChars="182"/>
        <w:rPr>
          <w:rFonts w:ascii="宋体" w:hAnsi="宋体" w:cs="宋体"/>
          <w:highlight w:val="none"/>
        </w:rPr>
      </w:pPr>
      <w:r>
        <w:rPr>
          <w:rFonts w:hint="eastAsia" w:ascii="宋体" w:hAnsi="宋体" w:cs="宋体"/>
          <w:highlight w:val="none"/>
        </w:rPr>
        <w:t>（2）报价文件的大写金额和小写金额不一致的，以大写金额为准；</w:t>
      </w:r>
    </w:p>
    <w:p w14:paraId="690942F5">
      <w:pPr>
        <w:spacing w:line="400" w:lineRule="exact"/>
        <w:ind w:firstLine="382" w:firstLineChars="182"/>
        <w:rPr>
          <w:rFonts w:ascii="宋体" w:hAnsi="宋体" w:cs="宋体"/>
          <w:highlight w:val="none"/>
        </w:rPr>
      </w:pPr>
      <w:r>
        <w:rPr>
          <w:rFonts w:hint="eastAsia" w:ascii="宋体" w:hAnsi="宋体" w:cs="宋体"/>
          <w:highlight w:val="none"/>
        </w:rPr>
        <w:t>（3）单价金额小数点或者百分比有明显错位的，以开标一览表（报价表）的总价为准，并修改单价；</w:t>
      </w:r>
    </w:p>
    <w:p w14:paraId="5132D8F8">
      <w:pPr>
        <w:spacing w:line="400" w:lineRule="exact"/>
        <w:ind w:firstLine="382" w:firstLineChars="182"/>
        <w:rPr>
          <w:rFonts w:ascii="宋体" w:hAnsi="宋体" w:cs="宋体"/>
          <w:highlight w:val="none"/>
        </w:rPr>
      </w:pPr>
      <w:r>
        <w:rPr>
          <w:rFonts w:hint="eastAsia" w:ascii="宋体" w:hAnsi="宋体" w:cs="宋体"/>
          <w:highlight w:val="none"/>
        </w:rPr>
        <w:t>（4）总价金额与按单价汇总金额不一致的，以单价金额计算结果为准；</w:t>
      </w:r>
    </w:p>
    <w:p w14:paraId="5F91CEBE">
      <w:pPr>
        <w:spacing w:line="400" w:lineRule="exact"/>
        <w:ind w:firstLine="382" w:firstLineChars="182"/>
        <w:rPr>
          <w:rFonts w:ascii="宋体" w:hAnsi="宋体" w:cs="宋体"/>
          <w:highlight w:val="none"/>
        </w:rPr>
      </w:pPr>
      <w:r>
        <w:rPr>
          <w:rFonts w:hint="eastAsia" w:ascii="宋体" w:hAnsi="宋体" w:cs="宋体"/>
          <w:highlight w:val="none"/>
        </w:rPr>
        <w:t>（5）同时出现两种以上不一致的，按上述顺序修正。</w:t>
      </w:r>
    </w:p>
    <w:p w14:paraId="64861F30">
      <w:pPr>
        <w:spacing w:line="400" w:lineRule="exact"/>
        <w:ind w:firstLine="382" w:firstLineChars="182"/>
        <w:rPr>
          <w:rFonts w:ascii="宋体" w:hAnsi="宋体" w:cs="宋体"/>
          <w:highlight w:val="none"/>
        </w:rPr>
      </w:pPr>
      <w:r>
        <w:rPr>
          <w:rFonts w:hint="eastAsia" w:ascii="宋体" w:hAnsi="宋体" w:cs="宋体"/>
          <w:highlight w:val="none"/>
        </w:rPr>
        <w:t>（6）对不同文字文本</w:t>
      </w:r>
      <w:r>
        <w:rPr>
          <w:rFonts w:hint="eastAsia" w:ascii="宋体" w:hAnsi="宋体" w:cs="宋体"/>
          <w:kern w:val="0"/>
          <w:highlight w:val="none"/>
        </w:rPr>
        <w:t>投标文件</w:t>
      </w:r>
      <w:r>
        <w:rPr>
          <w:rFonts w:hint="eastAsia" w:ascii="宋体" w:hAnsi="宋体" w:cs="宋体"/>
          <w:highlight w:val="none"/>
        </w:rPr>
        <w:t>的解释发生异议的，以中文文本为准。</w:t>
      </w:r>
    </w:p>
    <w:p w14:paraId="30CF51C7">
      <w:pPr>
        <w:spacing w:line="400" w:lineRule="exact"/>
        <w:ind w:firstLine="382" w:firstLineChars="182"/>
        <w:rPr>
          <w:rFonts w:ascii="宋体" w:hAnsi="宋体" w:cs="宋体"/>
          <w:highlight w:val="none"/>
        </w:rPr>
      </w:pPr>
      <w:r>
        <w:rPr>
          <w:rFonts w:hint="eastAsia" w:ascii="宋体" w:hAnsi="宋体" w:cs="宋体"/>
          <w:highlight w:val="none"/>
        </w:rPr>
        <w:t>（7）修正错误的的投标报价，经投标人的负责人（或授权代表）同意确认后产生约束力。调整后的投标报价对投标人具有约束作用。若投标人不接受修正后的投标报价，则其投标将作为无效投标处理。</w:t>
      </w:r>
    </w:p>
    <w:p w14:paraId="7DA6AEC2">
      <w:pPr>
        <w:spacing w:line="400" w:lineRule="exact"/>
        <w:ind w:firstLine="422" w:firstLineChars="200"/>
        <w:rPr>
          <w:rFonts w:ascii="宋体" w:hAnsi="宋体" w:cs="宋体"/>
          <w:b/>
          <w:bCs/>
          <w:highlight w:val="none"/>
        </w:rPr>
      </w:pPr>
      <w:r>
        <w:rPr>
          <w:rFonts w:hint="eastAsia" w:ascii="宋体" w:hAnsi="宋体" w:cs="宋体"/>
          <w:b/>
          <w:bCs/>
          <w:highlight w:val="none"/>
        </w:rPr>
        <w:t>22. 对投标文件的比较和评价</w:t>
      </w:r>
    </w:p>
    <w:p w14:paraId="7C4630F5">
      <w:pPr>
        <w:spacing w:line="400" w:lineRule="exact"/>
        <w:ind w:firstLine="420" w:firstLineChars="200"/>
        <w:rPr>
          <w:rFonts w:ascii="宋体" w:hAnsi="宋体" w:cs="宋体"/>
          <w:highlight w:val="none"/>
        </w:rPr>
      </w:pPr>
      <w:r>
        <w:rPr>
          <w:rFonts w:hint="eastAsia" w:ascii="宋体" w:hAnsi="宋体" w:cs="宋体"/>
          <w:highlight w:val="none"/>
        </w:rPr>
        <w:t>22.1评标委员会根据招标文件规定的评审办法和标准、对符合性审查合格投标人的投标文件及澄清答复内容进行商务和技术评估，比较与评价，并按照平等、客观、公正的原则对投标文件进行综合评审和评分。</w:t>
      </w:r>
    </w:p>
    <w:p w14:paraId="279B986B">
      <w:pPr>
        <w:spacing w:line="400" w:lineRule="exact"/>
        <w:ind w:firstLine="422" w:firstLineChars="200"/>
        <w:rPr>
          <w:rFonts w:ascii="宋体" w:hAnsi="宋体" w:cs="宋体"/>
          <w:b/>
          <w:bCs/>
          <w:highlight w:val="none"/>
        </w:rPr>
      </w:pPr>
      <w:r>
        <w:rPr>
          <w:rFonts w:hint="eastAsia" w:ascii="宋体" w:hAnsi="宋体" w:cs="宋体"/>
          <w:b/>
          <w:bCs/>
          <w:highlight w:val="none"/>
        </w:rPr>
        <w:t>22.2 相同品牌的产品</w:t>
      </w:r>
    </w:p>
    <w:p w14:paraId="167AF212">
      <w:pPr>
        <w:spacing w:line="400" w:lineRule="exact"/>
        <w:ind w:firstLine="420" w:firstLineChars="200"/>
        <w:rPr>
          <w:rFonts w:ascii="宋体" w:hAnsi="宋体" w:cs="宋体"/>
          <w:highlight w:val="none"/>
        </w:rPr>
      </w:pPr>
      <w:r>
        <w:rPr>
          <w:rFonts w:hint="eastAsia" w:ascii="宋体" w:hAnsi="宋体" w:cs="宋体"/>
          <w:highlight w:val="none"/>
        </w:rPr>
        <w:t>22.2.1财政部令第87号《政府采购货物和服务招标投标管理办法》第三十一条规定：单一产品采购项目，多家投标人提供的产品品牌相同的按一家投标人计算；非单一产品采购项目，多家投标人提供的核心产品品牌相同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50E499CA">
      <w:pPr>
        <w:spacing w:line="400" w:lineRule="exact"/>
        <w:ind w:firstLine="420" w:firstLineChars="200"/>
        <w:rPr>
          <w:rFonts w:ascii="宋体" w:hAnsi="宋体" w:cs="宋体"/>
          <w:highlight w:val="none"/>
        </w:rPr>
      </w:pPr>
      <w:r>
        <w:rPr>
          <w:rFonts w:hint="eastAsia" w:ascii="宋体" w:hAnsi="宋体" w:cs="宋体"/>
          <w:highlight w:val="none"/>
        </w:rPr>
        <w:t>22.2.2如按一家有效投标人认定后，造成项目有效投标人不足三家的，项目应予以废标处理</w:t>
      </w:r>
    </w:p>
    <w:p w14:paraId="6924E49B">
      <w:pPr>
        <w:spacing w:line="400" w:lineRule="exact"/>
        <w:ind w:firstLine="422" w:firstLineChars="200"/>
        <w:rPr>
          <w:rFonts w:ascii="宋体" w:hAnsi="宋体" w:cs="宋体"/>
          <w:b/>
          <w:bCs/>
          <w:highlight w:val="none"/>
        </w:rPr>
      </w:pPr>
      <w:r>
        <w:rPr>
          <w:rFonts w:hint="eastAsia" w:ascii="宋体" w:hAnsi="宋体" w:cs="宋体"/>
          <w:b/>
          <w:bCs/>
          <w:highlight w:val="none"/>
        </w:rPr>
        <w:t>23. 评标报告</w:t>
      </w:r>
    </w:p>
    <w:p w14:paraId="4167E9B5">
      <w:pPr>
        <w:spacing w:line="400" w:lineRule="exact"/>
        <w:ind w:firstLine="420" w:firstLineChars="200"/>
        <w:rPr>
          <w:rFonts w:ascii="宋体" w:hAnsi="宋体" w:cs="宋体"/>
          <w:highlight w:val="none"/>
        </w:rPr>
      </w:pPr>
      <w:r>
        <w:rPr>
          <w:rFonts w:hint="eastAsia" w:ascii="宋体" w:hAnsi="宋体" w:cs="宋体"/>
          <w:highlight w:val="none"/>
        </w:rPr>
        <w:t>23.1评标委员会根据全体评审成员的原始评审记录和评审结果编写评标报告，并推荐</w:t>
      </w:r>
      <w:r>
        <w:rPr>
          <w:rFonts w:hint="eastAsia" w:ascii="宋体" w:hAnsi="宋体" w:cs="宋体"/>
          <w:highlight w:val="none"/>
          <w:u w:val="single"/>
        </w:rPr>
        <w:t xml:space="preserve"> 1 </w:t>
      </w:r>
      <w:r>
        <w:rPr>
          <w:rFonts w:hint="eastAsia" w:ascii="宋体" w:hAnsi="宋体" w:cs="宋体"/>
          <w:highlight w:val="none"/>
        </w:rPr>
        <w:t>名中标候选人，评审报告由评标委员会成员确认提交。</w:t>
      </w:r>
    </w:p>
    <w:p w14:paraId="3995ED31">
      <w:pPr>
        <w:spacing w:line="400" w:lineRule="exact"/>
        <w:ind w:firstLine="422" w:firstLineChars="200"/>
        <w:rPr>
          <w:rFonts w:ascii="宋体" w:hAnsi="宋体" w:cs="宋体"/>
          <w:b/>
          <w:highlight w:val="none"/>
        </w:rPr>
      </w:pPr>
      <w:r>
        <w:rPr>
          <w:rFonts w:hint="eastAsia" w:ascii="宋体" w:hAnsi="宋体" w:cs="宋体"/>
          <w:b/>
          <w:highlight w:val="none"/>
        </w:rPr>
        <w:t>24.采购过程中出现以下情形，导致电子交易平台无法正常运行，或者无法保证电子交易的公平、公正和安全时，可中止电子交易活动：</w:t>
      </w:r>
    </w:p>
    <w:p w14:paraId="22F53AA4">
      <w:pPr>
        <w:spacing w:line="400" w:lineRule="exact"/>
        <w:ind w:firstLine="420" w:firstLineChars="200"/>
        <w:rPr>
          <w:rFonts w:ascii="宋体" w:hAnsi="宋体" w:cs="宋体"/>
          <w:highlight w:val="none"/>
        </w:rPr>
      </w:pPr>
      <w:r>
        <w:rPr>
          <w:rFonts w:hint="eastAsia" w:ascii="宋体" w:hAnsi="宋体" w:cs="宋体"/>
          <w:highlight w:val="none"/>
        </w:rPr>
        <w:t>（一）电子交易平台发生故障而无法登录访问的； </w:t>
      </w:r>
    </w:p>
    <w:p w14:paraId="259710EF">
      <w:pPr>
        <w:spacing w:line="400" w:lineRule="exact"/>
        <w:ind w:firstLine="420" w:firstLineChars="200"/>
        <w:rPr>
          <w:rFonts w:ascii="宋体" w:hAnsi="宋体" w:cs="宋体"/>
          <w:highlight w:val="none"/>
        </w:rPr>
      </w:pPr>
      <w:r>
        <w:rPr>
          <w:rFonts w:hint="eastAsia" w:ascii="宋体" w:hAnsi="宋体" w:cs="宋体"/>
          <w:highlight w:val="none"/>
        </w:rPr>
        <w:t>（二）电子交易平台应用或数据库出现错误，不能进行正常操作的；</w:t>
      </w:r>
    </w:p>
    <w:p w14:paraId="73B377FC">
      <w:pPr>
        <w:spacing w:line="400" w:lineRule="exact"/>
        <w:ind w:firstLine="420" w:firstLineChars="200"/>
        <w:rPr>
          <w:rFonts w:ascii="宋体" w:hAnsi="宋体" w:cs="宋体"/>
          <w:highlight w:val="none"/>
        </w:rPr>
      </w:pPr>
      <w:r>
        <w:rPr>
          <w:rFonts w:hint="eastAsia" w:ascii="宋体" w:hAnsi="宋体" w:cs="宋体"/>
          <w:highlight w:val="none"/>
        </w:rPr>
        <w:t>（三）电子交易平台发现严重安全漏洞，有潜在泄密危险的；</w:t>
      </w:r>
    </w:p>
    <w:p w14:paraId="77694460">
      <w:pPr>
        <w:spacing w:line="400" w:lineRule="exact"/>
        <w:ind w:firstLine="420" w:firstLineChars="200"/>
        <w:rPr>
          <w:rFonts w:ascii="宋体" w:hAnsi="宋体" w:cs="宋体"/>
          <w:highlight w:val="none"/>
        </w:rPr>
      </w:pPr>
      <w:r>
        <w:rPr>
          <w:rFonts w:hint="eastAsia" w:ascii="宋体" w:hAnsi="宋体" w:cs="宋体"/>
          <w:highlight w:val="none"/>
        </w:rPr>
        <w:t>（四）病毒发作导致不能进行正常操作的； </w:t>
      </w:r>
    </w:p>
    <w:p w14:paraId="7E509146">
      <w:pPr>
        <w:spacing w:line="400" w:lineRule="exact"/>
        <w:ind w:firstLine="420" w:firstLineChars="200"/>
        <w:rPr>
          <w:rFonts w:ascii="宋体" w:hAnsi="宋体" w:cs="宋体"/>
          <w:highlight w:val="none"/>
        </w:rPr>
      </w:pPr>
      <w:r>
        <w:rPr>
          <w:rFonts w:hint="eastAsia" w:ascii="宋体" w:hAnsi="宋体" w:cs="宋体"/>
          <w:highlight w:val="none"/>
        </w:rPr>
        <w:t>（五）其他无法保证电子交易的公平、公正和安全的情况。</w:t>
      </w:r>
    </w:p>
    <w:p w14:paraId="107DEB64">
      <w:pPr>
        <w:spacing w:line="400" w:lineRule="exact"/>
        <w:ind w:firstLine="420" w:firstLineChars="200"/>
        <w:rPr>
          <w:rFonts w:ascii="宋体" w:hAnsi="宋体" w:cs="宋体"/>
          <w:highlight w:val="none"/>
        </w:rPr>
      </w:pPr>
      <w:r>
        <w:rPr>
          <w:rFonts w:hint="eastAsia" w:ascii="宋体" w:hAnsi="宋体" w:cs="宋体"/>
          <w:highlight w:val="none"/>
        </w:rPr>
        <w:t>出现前款规定情形，不影响采购公平、公正性的，采购代理机构可以待上述情形消除后继续组织电子交易活动；影响或可能影响采购公平、公正性的，重新组织采购。</w:t>
      </w:r>
    </w:p>
    <w:p w14:paraId="731821BF">
      <w:pPr>
        <w:spacing w:line="400" w:lineRule="exact"/>
        <w:ind w:firstLine="420" w:firstLineChars="200"/>
        <w:rPr>
          <w:rFonts w:ascii="宋体" w:hAnsi="宋体" w:cs="宋体"/>
          <w:highlight w:val="none"/>
        </w:rPr>
      </w:pPr>
      <w:r>
        <w:rPr>
          <w:rFonts w:hint="eastAsia" w:ascii="宋体" w:hAnsi="宋体" w:cs="宋体"/>
          <w:highlight w:val="none"/>
        </w:rPr>
        <w:t>25. 采购代理机构或评审委员会因不可抗力（不可抗力包括但不限于自然灾害、断电、传播疫病等）原因造成电子交易活动无法正常运行的，将采取以下措施：</w:t>
      </w:r>
    </w:p>
    <w:p w14:paraId="24D2D0D7">
      <w:pPr>
        <w:spacing w:line="400" w:lineRule="exact"/>
        <w:ind w:firstLine="420" w:firstLineChars="200"/>
        <w:rPr>
          <w:rFonts w:ascii="宋体" w:hAnsi="宋体" w:cs="宋体"/>
          <w:highlight w:val="none"/>
        </w:rPr>
      </w:pPr>
      <w:r>
        <w:rPr>
          <w:rFonts w:hint="eastAsia" w:ascii="宋体" w:hAnsi="宋体" w:cs="宋体"/>
          <w:highlight w:val="none"/>
        </w:rPr>
        <w:t>⑴短时间内能消除不可抗力因素的，采购代理机构或评审委员会在消除不可抗力因素后继续组织电子交易活动。</w:t>
      </w:r>
    </w:p>
    <w:p w14:paraId="64496136">
      <w:pPr>
        <w:spacing w:line="400" w:lineRule="exact"/>
        <w:ind w:firstLine="420" w:firstLineChars="200"/>
        <w:rPr>
          <w:rFonts w:ascii="宋体" w:hAnsi="宋体" w:cs="宋体"/>
          <w:highlight w:val="none"/>
        </w:rPr>
      </w:pPr>
      <w:r>
        <w:rPr>
          <w:rFonts w:hint="eastAsia" w:ascii="宋体" w:hAnsi="宋体" w:cs="宋体"/>
          <w:highlight w:val="none"/>
        </w:rPr>
        <w:t>⑵长时间内无法消除不可抗力因素的，采购代理机构或评审委员会将中止电子交易活动。中止电子交易活动的，采购人应当重新组织采购活动。</w:t>
      </w:r>
    </w:p>
    <w:p w14:paraId="6C696041">
      <w:pPr>
        <w:spacing w:line="400" w:lineRule="exact"/>
        <w:ind w:firstLine="422" w:firstLineChars="200"/>
        <w:rPr>
          <w:rFonts w:ascii="宋体" w:hAnsi="宋体" w:cs="宋体"/>
          <w:b/>
          <w:bCs/>
          <w:highlight w:val="none"/>
        </w:rPr>
      </w:pPr>
      <w:r>
        <w:rPr>
          <w:rFonts w:hint="eastAsia" w:ascii="宋体" w:hAnsi="宋体" w:cs="宋体"/>
          <w:b/>
          <w:bCs/>
          <w:highlight w:val="none"/>
        </w:rPr>
        <w:t>26. 保密</w:t>
      </w:r>
    </w:p>
    <w:p w14:paraId="36814F97">
      <w:pPr>
        <w:spacing w:line="400" w:lineRule="exact"/>
        <w:ind w:firstLine="420" w:firstLineChars="200"/>
        <w:rPr>
          <w:rFonts w:ascii="宋体" w:hAnsi="宋体" w:cs="宋体"/>
          <w:highlight w:val="none"/>
        </w:rPr>
      </w:pPr>
      <w:r>
        <w:rPr>
          <w:rFonts w:hint="eastAsia" w:ascii="宋体" w:hAnsi="宋体" w:cs="宋体"/>
          <w:highlight w:val="none"/>
        </w:rPr>
        <w:t>26.1 自开标时间起至中标结果公告发布时间止，凡属于审查、澄清、评价和比较投标的有关资料，且与授予合同有关的信息都不得向任何投标人或与上述评审过程无关的人员透露。</w:t>
      </w:r>
    </w:p>
    <w:p w14:paraId="2E6AC466">
      <w:pPr>
        <w:pStyle w:val="5"/>
        <w:spacing w:before="0" w:after="0" w:line="400" w:lineRule="exact"/>
        <w:ind w:firstLine="0" w:firstLineChars="0"/>
        <w:rPr>
          <w:rFonts w:ascii="宋体" w:hAnsi="宋体" w:eastAsia="宋体" w:cs="宋体"/>
          <w:sz w:val="21"/>
          <w:szCs w:val="21"/>
          <w:highlight w:val="none"/>
        </w:rPr>
      </w:pPr>
      <w:bookmarkStart w:id="45" w:name="_Toc494555855"/>
      <w:bookmarkStart w:id="46" w:name="_Toc43498225"/>
      <w:bookmarkStart w:id="47" w:name="_Toc493956039"/>
      <w:r>
        <w:rPr>
          <w:rFonts w:hint="eastAsia" w:ascii="宋体" w:hAnsi="宋体" w:eastAsia="宋体" w:cs="宋体"/>
          <w:sz w:val="21"/>
          <w:szCs w:val="21"/>
          <w:highlight w:val="none"/>
        </w:rPr>
        <w:t>六  投标无效的情形</w:t>
      </w:r>
      <w:bookmarkEnd w:id="45"/>
      <w:bookmarkEnd w:id="46"/>
      <w:bookmarkEnd w:id="47"/>
    </w:p>
    <w:p w14:paraId="1DBD585D">
      <w:pPr>
        <w:spacing w:line="400" w:lineRule="exact"/>
        <w:ind w:firstLine="422" w:firstLineChars="200"/>
        <w:rPr>
          <w:rFonts w:ascii="宋体" w:hAnsi="宋体" w:cs="宋体"/>
          <w:b/>
          <w:highlight w:val="none"/>
        </w:rPr>
      </w:pPr>
      <w:bookmarkStart w:id="48" w:name="_Toc494555856"/>
      <w:bookmarkStart w:id="49" w:name="_Toc493956040"/>
      <w:bookmarkStart w:id="50" w:name="_Toc43498226"/>
      <w:r>
        <w:rPr>
          <w:rFonts w:hint="eastAsia" w:ascii="宋体" w:hAnsi="宋体" w:cs="宋体"/>
          <w:b/>
          <w:highlight w:val="none"/>
        </w:rPr>
        <w:t>27. 实质上没有响应招标文件要求的投标将被视为无效投标。投标人不得通过修正或撤消不合要求的偏离或保留从而使其投标成为实质上响应的投标。投标人如有下列情形之一的，其投标将被拒绝，</w:t>
      </w:r>
      <w:r>
        <w:rPr>
          <w:rFonts w:hint="eastAsia" w:ascii="宋体" w:hAnsi="宋体" w:cs="宋体"/>
          <w:b/>
          <w:kern w:val="0"/>
          <w:highlight w:val="none"/>
        </w:rPr>
        <w:t>投标文件</w:t>
      </w:r>
      <w:r>
        <w:rPr>
          <w:rFonts w:hint="eastAsia" w:ascii="宋体" w:hAnsi="宋体" w:cs="宋体"/>
          <w:b/>
          <w:highlight w:val="none"/>
        </w:rPr>
        <w:t>无效：</w:t>
      </w:r>
    </w:p>
    <w:p w14:paraId="2A847D6B">
      <w:pPr>
        <w:spacing w:line="400" w:lineRule="exact"/>
        <w:ind w:firstLine="420" w:firstLineChars="200"/>
        <w:rPr>
          <w:rFonts w:ascii="宋体" w:hAnsi="宋体" w:cs="宋体"/>
          <w:bCs/>
          <w:highlight w:val="none"/>
        </w:rPr>
      </w:pPr>
      <w:r>
        <w:rPr>
          <w:rFonts w:hint="eastAsia" w:ascii="宋体" w:hAnsi="宋体" w:cs="宋体"/>
          <w:bCs/>
          <w:highlight w:val="none"/>
        </w:rPr>
        <w:t>27.1投标人不具备招标文件中规定的资格要求的（投标人未提供有效的资格文件的，视为投标人不具备招标文件中规定的资格要求）；</w:t>
      </w:r>
    </w:p>
    <w:p w14:paraId="27327507">
      <w:pPr>
        <w:spacing w:line="400" w:lineRule="exact"/>
        <w:ind w:firstLine="420" w:firstLineChars="200"/>
        <w:rPr>
          <w:rFonts w:ascii="宋体" w:hAnsi="宋体" w:cs="宋体"/>
          <w:bCs/>
          <w:highlight w:val="none"/>
        </w:rPr>
      </w:pPr>
      <w:r>
        <w:rPr>
          <w:rFonts w:hint="eastAsia" w:ascii="宋体" w:hAnsi="宋体" w:cs="宋体"/>
          <w:bCs/>
          <w:highlight w:val="none"/>
        </w:rPr>
        <w:t>27.2投标文件未按照招标文件要求签署、盖章的；</w:t>
      </w:r>
    </w:p>
    <w:p w14:paraId="770AF078">
      <w:pPr>
        <w:spacing w:line="400" w:lineRule="exact"/>
        <w:ind w:firstLine="420" w:firstLineChars="200"/>
        <w:rPr>
          <w:rFonts w:ascii="宋体" w:hAnsi="宋体" w:cs="宋体"/>
          <w:bCs/>
          <w:highlight w:val="none"/>
        </w:rPr>
      </w:pPr>
      <w:r>
        <w:rPr>
          <w:rFonts w:hint="eastAsia" w:ascii="宋体" w:hAnsi="宋体" w:cs="宋体"/>
          <w:bCs/>
          <w:highlight w:val="none"/>
        </w:rPr>
        <w:t>27.3投标文件含有采购人不能接受的附加条件的；</w:t>
      </w:r>
    </w:p>
    <w:p w14:paraId="582C7941">
      <w:pPr>
        <w:spacing w:line="400" w:lineRule="exact"/>
        <w:ind w:firstLine="420" w:firstLineChars="200"/>
        <w:rPr>
          <w:rFonts w:ascii="宋体" w:hAnsi="宋体" w:cs="宋体"/>
          <w:bCs/>
          <w:highlight w:val="none"/>
        </w:rPr>
      </w:pPr>
      <w:r>
        <w:rPr>
          <w:rFonts w:hint="eastAsia" w:ascii="宋体" w:hAnsi="宋体" w:cs="宋体"/>
          <w:bCs/>
          <w:highlight w:val="none"/>
        </w:rPr>
        <w:t>27.4投标文件中承诺的投标有效期少于招标文件中载明的投标有效期的；</w:t>
      </w:r>
    </w:p>
    <w:p w14:paraId="20E0494A">
      <w:pPr>
        <w:spacing w:line="400" w:lineRule="exact"/>
        <w:ind w:firstLine="420" w:firstLineChars="200"/>
        <w:rPr>
          <w:rFonts w:hint="eastAsia" w:ascii="宋体" w:hAnsi="宋体" w:eastAsia="宋体" w:cs="宋体"/>
          <w:bCs/>
          <w:highlight w:val="none"/>
          <w:lang w:eastAsia="zh-CN"/>
        </w:rPr>
      </w:pPr>
      <w:r>
        <w:rPr>
          <w:rFonts w:hint="eastAsia" w:ascii="宋体" w:hAnsi="宋体" w:cs="宋体"/>
          <w:bCs/>
          <w:highlight w:val="none"/>
        </w:rPr>
        <w:t>27.5投标文件出现不是唯一的、有选择性投标报价的</w:t>
      </w:r>
      <w:r>
        <w:rPr>
          <w:rFonts w:hint="eastAsia" w:ascii="宋体" w:hAnsi="宋体" w:cs="宋体"/>
          <w:bCs/>
          <w:highlight w:val="none"/>
          <w:lang w:eastAsia="zh-CN"/>
        </w:rPr>
        <w:t>；</w:t>
      </w:r>
    </w:p>
    <w:p w14:paraId="726E9B60">
      <w:pPr>
        <w:spacing w:line="400" w:lineRule="exact"/>
        <w:ind w:firstLine="420" w:firstLineChars="200"/>
        <w:rPr>
          <w:rFonts w:hint="eastAsia" w:ascii="宋体" w:hAnsi="宋体" w:eastAsia="宋体" w:cs="宋体"/>
          <w:bCs/>
          <w:highlight w:val="none"/>
          <w:lang w:eastAsia="zh-CN"/>
        </w:rPr>
      </w:pPr>
      <w:r>
        <w:rPr>
          <w:rFonts w:hint="eastAsia" w:ascii="宋体" w:hAnsi="宋体" w:cs="宋体"/>
          <w:bCs/>
          <w:highlight w:val="none"/>
        </w:rPr>
        <w:t>27.6投标报价超过招标文件中规定的预算金额或者最高限价的</w:t>
      </w:r>
      <w:r>
        <w:rPr>
          <w:rFonts w:hint="eastAsia" w:ascii="宋体" w:hAnsi="宋体" w:cs="宋体"/>
          <w:bCs/>
          <w:highlight w:val="none"/>
          <w:lang w:eastAsia="zh-CN"/>
        </w:rPr>
        <w:t>；</w:t>
      </w:r>
    </w:p>
    <w:p w14:paraId="6F2EB970">
      <w:pPr>
        <w:spacing w:line="400" w:lineRule="exact"/>
        <w:ind w:firstLine="420" w:firstLineChars="200"/>
        <w:rPr>
          <w:rFonts w:hint="eastAsia" w:ascii="宋体" w:hAnsi="宋体" w:eastAsia="宋体" w:cs="宋体"/>
          <w:bCs/>
          <w:highlight w:val="none"/>
          <w:lang w:eastAsia="zh-CN"/>
        </w:rPr>
      </w:pPr>
      <w:r>
        <w:rPr>
          <w:rFonts w:hint="eastAsia" w:ascii="宋体" w:hAnsi="宋体" w:cs="宋体"/>
          <w:bCs/>
          <w:highlight w:val="none"/>
        </w:rPr>
        <w:t>27.7报价明显低于其他通过符合性审查投标人的报价，有可能影响产品质量或者不能诚信履约的，未能按要求提供书面说明或者提交相关证明材料，不能证明其报价合理性的</w:t>
      </w:r>
      <w:r>
        <w:rPr>
          <w:rFonts w:hint="eastAsia" w:ascii="宋体" w:hAnsi="宋体" w:cs="宋体"/>
          <w:bCs/>
          <w:highlight w:val="none"/>
          <w:lang w:eastAsia="zh-CN"/>
        </w:rPr>
        <w:t>；</w:t>
      </w:r>
    </w:p>
    <w:p w14:paraId="4D7CBDFE">
      <w:pPr>
        <w:spacing w:line="400" w:lineRule="exact"/>
        <w:ind w:firstLine="420" w:firstLineChars="200"/>
        <w:rPr>
          <w:rFonts w:ascii="宋体" w:hAnsi="宋体" w:cs="宋体"/>
          <w:bCs/>
          <w:highlight w:val="none"/>
        </w:rPr>
      </w:pPr>
      <w:r>
        <w:rPr>
          <w:rFonts w:hint="eastAsia" w:ascii="宋体" w:hAnsi="宋体" w:cs="宋体"/>
          <w:bCs/>
          <w:highlight w:val="none"/>
        </w:rPr>
        <w:t>27.8投标人对根据修正原则修正后的报价不确认的；</w:t>
      </w:r>
    </w:p>
    <w:p w14:paraId="59DB0D26">
      <w:pPr>
        <w:spacing w:line="400" w:lineRule="exact"/>
        <w:ind w:firstLine="420" w:firstLineChars="200"/>
        <w:rPr>
          <w:rFonts w:ascii="宋体" w:hAnsi="宋体" w:cs="宋体"/>
          <w:bCs/>
          <w:highlight w:val="none"/>
        </w:rPr>
      </w:pPr>
      <w:r>
        <w:rPr>
          <w:rFonts w:hint="eastAsia" w:ascii="宋体" w:hAnsi="宋体" w:cs="宋体"/>
          <w:bCs/>
          <w:highlight w:val="none"/>
        </w:rPr>
        <w:t>27.9投标人提供虚假材料投标的；</w:t>
      </w:r>
    </w:p>
    <w:p w14:paraId="4A8D3037">
      <w:pPr>
        <w:spacing w:line="400" w:lineRule="exact"/>
        <w:ind w:firstLine="420" w:firstLineChars="200"/>
        <w:rPr>
          <w:rFonts w:ascii="宋体" w:hAnsi="宋体" w:cs="宋体"/>
          <w:bCs/>
          <w:highlight w:val="none"/>
        </w:rPr>
      </w:pPr>
      <w:r>
        <w:rPr>
          <w:rFonts w:hint="eastAsia" w:ascii="宋体" w:hAnsi="宋体" w:cs="宋体"/>
          <w:bCs/>
          <w:highlight w:val="none"/>
        </w:rPr>
        <w:t>27.10投标人有恶意串通、妨碍其他投标人的竞争行为、损害采购人或者其他投标人的合法权益情形的；</w:t>
      </w:r>
    </w:p>
    <w:p w14:paraId="42D2EA5B">
      <w:pPr>
        <w:spacing w:line="400" w:lineRule="exact"/>
        <w:ind w:firstLine="420" w:firstLineChars="200"/>
        <w:rPr>
          <w:rFonts w:ascii="宋体" w:hAnsi="宋体" w:cs="宋体"/>
          <w:bCs/>
          <w:highlight w:val="none"/>
        </w:rPr>
      </w:pPr>
      <w:r>
        <w:rPr>
          <w:rFonts w:hint="eastAsia" w:ascii="宋体" w:hAnsi="宋体" w:cs="宋体"/>
          <w:bCs/>
          <w:highlight w:val="none"/>
        </w:rPr>
        <w:t>27.11投标人仅提交备份投标文件，没有在电子交易平台传输递交投标文件的，投标无效；</w:t>
      </w:r>
    </w:p>
    <w:p w14:paraId="2F6648AF">
      <w:pPr>
        <w:spacing w:line="400" w:lineRule="exact"/>
        <w:ind w:firstLine="420" w:firstLineChars="200"/>
        <w:rPr>
          <w:rFonts w:ascii="宋体" w:hAnsi="宋体" w:cs="宋体"/>
          <w:bCs/>
          <w:highlight w:val="none"/>
        </w:rPr>
      </w:pPr>
      <w:r>
        <w:rPr>
          <w:rFonts w:hint="eastAsia" w:ascii="宋体" w:hAnsi="宋体" w:cs="宋体"/>
          <w:bCs/>
          <w:highlight w:val="none"/>
        </w:rPr>
        <w:t>27.12投标文件不满足招标文件的其它实质性要求的；</w:t>
      </w:r>
    </w:p>
    <w:p w14:paraId="413A6ED4">
      <w:pPr>
        <w:spacing w:line="400" w:lineRule="exact"/>
        <w:ind w:firstLine="420" w:firstLineChars="200"/>
        <w:rPr>
          <w:rFonts w:ascii="宋体" w:hAnsi="宋体" w:cs="宋体"/>
          <w:bCs/>
          <w:highlight w:val="none"/>
        </w:rPr>
      </w:pPr>
      <w:r>
        <w:rPr>
          <w:rFonts w:hint="eastAsia" w:ascii="宋体" w:hAnsi="宋体" w:cs="宋体"/>
          <w:bCs/>
          <w:highlight w:val="none"/>
        </w:rPr>
        <w:t>27.13投标文件组成严重漏项、或未按规定的格式编制、或内容严重不全的；</w:t>
      </w:r>
    </w:p>
    <w:p w14:paraId="78824BA7">
      <w:pPr>
        <w:spacing w:line="400" w:lineRule="exact"/>
        <w:ind w:firstLine="420" w:firstLineChars="200"/>
        <w:rPr>
          <w:rFonts w:ascii="宋体" w:hAnsi="宋体" w:cs="宋体"/>
          <w:highlight w:val="none"/>
        </w:rPr>
      </w:pPr>
      <w:r>
        <w:rPr>
          <w:rFonts w:hint="eastAsia" w:ascii="宋体" w:hAnsi="宋体" w:cs="宋体"/>
          <w:bCs/>
          <w:highlight w:val="none"/>
        </w:rPr>
        <w:t>27.14履约保证金、供货期/工期/服务期、质保期、付款方式不满足招标文件要求的；</w:t>
      </w:r>
      <w:bookmarkStart w:id="51" w:name="EBdafef940fa674575a283c03dcfd15197"/>
      <w:r>
        <w:rPr>
          <w:rFonts w:hint="eastAsia" w:ascii="宋体" w:hAnsi="宋体" w:cs="宋体"/>
          <w:highlight w:val="none"/>
        </w:rPr>
        <w:t xml:space="preserve"> </w:t>
      </w:r>
      <w:bookmarkEnd w:id="51"/>
      <w:bookmarkStart w:id="52" w:name="EB09b84f7f941446eb81ae304223ba6dc4"/>
      <w:r>
        <w:rPr>
          <w:rFonts w:hint="eastAsia" w:ascii="宋体" w:hAnsi="宋体" w:cs="宋体"/>
          <w:highlight w:val="none"/>
        </w:rPr>
        <w:t xml:space="preserve"> </w:t>
      </w:r>
      <w:bookmarkEnd w:id="52"/>
    </w:p>
    <w:p w14:paraId="05FBA1B2">
      <w:pPr>
        <w:pStyle w:val="5"/>
        <w:spacing w:before="0" w:after="0" w:line="400" w:lineRule="exact"/>
        <w:ind w:firstLine="0" w:firstLineChars="0"/>
        <w:rPr>
          <w:rFonts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七  法律责任</w:t>
      </w:r>
      <w:bookmarkEnd w:id="48"/>
      <w:bookmarkEnd w:id="49"/>
      <w:bookmarkEnd w:id="50"/>
    </w:p>
    <w:p w14:paraId="04F64A54">
      <w:pPr>
        <w:spacing w:line="400" w:lineRule="exact"/>
        <w:ind w:firstLine="422" w:firstLineChars="200"/>
        <w:rPr>
          <w:rFonts w:ascii="宋体" w:hAnsi="宋体" w:cs="宋体"/>
          <w:b/>
          <w:highlight w:val="none"/>
        </w:rPr>
      </w:pPr>
      <w:r>
        <w:rPr>
          <w:rFonts w:hint="eastAsia" w:ascii="宋体" w:hAnsi="宋体" w:cs="宋体"/>
          <w:b/>
          <w:highlight w:val="none"/>
        </w:rPr>
        <w:t>28. 投标人有下列情形之一的，处以采购项目中标金额千分之五以上千分之十以下的罚款，列入不良行为记录名单，在一至三年内禁止参加采购活动，并予以公告，有违法所得的，并处没收违法所得，情节严重的，由工商行政管理机关吊销营业执照；构成犯罪的，依法追究刑事责任：</w:t>
      </w:r>
    </w:p>
    <w:p w14:paraId="65E8F5D7">
      <w:pPr>
        <w:spacing w:line="400" w:lineRule="exact"/>
        <w:ind w:firstLine="420" w:firstLineChars="200"/>
        <w:rPr>
          <w:rFonts w:ascii="宋体" w:hAnsi="宋体" w:cs="宋体"/>
          <w:highlight w:val="none"/>
        </w:rPr>
      </w:pPr>
      <w:r>
        <w:rPr>
          <w:rFonts w:hint="eastAsia" w:ascii="宋体" w:hAnsi="宋体" w:cs="宋体"/>
          <w:highlight w:val="none"/>
        </w:rPr>
        <w:t>28.1 提供虚假材料谋取中标的；</w:t>
      </w:r>
    </w:p>
    <w:p w14:paraId="47F8B072">
      <w:pPr>
        <w:spacing w:line="400" w:lineRule="exact"/>
        <w:ind w:firstLine="420" w:firstLineChars="200"/>
        <w:rPr>
          <w:rFonts w:ascii="宋体" w:hAnsi="宋体" w:cs="宋体"/>
          <w:highlight w:val="none"/>
        </w:rPr>
      </w:pPr>
      <w:r>
        <w:rPr>
          <w:rFonts w:hint="eastAsia" w:ascii="宋体" w:hAnsi="宋体" w:cs="宋体"/>
          <w:highlight w:val="none"/>
        </w:rPr>
        <w:t>28.2 采取不正当手段诋毁、排挤其他投标人的；</w:t>
      </w:r>
    </w:p>
    <w:p w14:paraId="505A3958">
      <w:pPr>
        <w:spacing w:line="400" w:lineRule="exact"/>
        <w:ind w:firstLine="420" w:firstLineChars="200"/>
        <w:rPr>
          <w:rFonts w:ascii="宋体" w:hAnsi="宋体" w:cs="宋体"/>
          <w:highlight w:val="none"/>
        </w:rPr>
      </w:pPr>
      <w:r>
        <w:rPr>
          <w:rFonts w:hint="eastAsia" w:ascii="宋体" w:hAnsi="宋体" w:cs="宋体"/>
          <w:highlight w:val="none"/>
        </w:rPr>
        <w:t>28.3 与采购人、其他投标人或者采购代理机构恶意串通的；</w:t>
      </w:r>
    </w:p>
    <w:p w14:paraId="4C25DFDB">
      <w:pPr>
        <w:spacing w:line="400" w:lineRule="exact"/>
        <w:ind w:firstLine="420" w:firstLineChars="200"/>
        <w:rPr>
          <w:rFonts w:ascii="宋体" w:hAnsi="宋体" w:cs="宋体"/>
          <w:highlight w:val="none"/>
        </w:rPr>
      </w:pPr>
      <w:r>
        <w:rPr>
          <w:rFonts w:hint="eastAsia" w:ascii="宋体" w:hAnsi="宋体" w:cs="宋体"/>
          <w:highlight w:val="none"/>
        </w:rPr>
        <w:t>28.4 向采购人、采购代理机构行贿或者提供其他不正当利益的；</w:t>
      </w:r>
    </w:p>
    <w:p w14:paraId="684724B9">
      <w:pPr>
        <w:spacing w:line="400" w:lineRule="exact"/>
        <w:ind w:firstLine="420" w:firstLineChars="200"/>
        <w:rPr>
          <w:rFonts w:ascii="宋体" w:hAnsi="宋体" w:cs="宋体"/>
          <w:highlight w:val="none"/>
        </w:rPr>
      </w:pPr>
      <w:r>
        <w:rPr>
          <w:rFonts w:hint="eastAsia" w:ascii="宋体" w:hAnsi="宋体" w:cs="宋体"/>
          <w:highlight w:val="none"/>
        </w:rPr>
        <w:t>28.5 在招标采购过程中与采购人进行协商谈判的；</w:t>
      </w:r>
    </w:p>
    <w:p w14:paraId="5B14A847">
      <w:pPr>
        <w:spacing w:line="400" w:lineRule="exact"/>
        <w:ind w:firstLine="420" w:firstLineChars="200"/>
        <w:rPr>
          <w:rFonts w:ascii="宋体" w:hAnsi="宋体" w:cs="宋体"/>
          <w:highlight w:val="none"/>
        </w:rPr>
      </w:pPr>
      <w:r>
        <w:rPr>
          <w:rFonts w:hint="eastAsia" w:ascii="宋体" w:hAnsi="宋体" w:cs="宋体"/>
          <w:highlight w:val="none"/>
        </w:rPr>
        <w:t>28.6 拒绝有关部门监督检查或者提供虚假情况的；</w:t>
      </w:r>
    </w:p>
    <w:p w14:paraId="5B8F522A">
      <w:pPr>
        <w:spacing w:line="400" w:lineRule="exact"/>
        <w:ind w:firstLine="420" w:firstLineChars="200"/>
        <w:rPr>
          <w:rFonts w:ascii="宋体" w:hAnsi="宋体" w:cs="宋体"/>
          <w:highlight w:val="none"/>
        </w:rPr>
      </w:pPr>
      <w:r>
        <w:rPr>
          <w:rFonts w:hint="eastAsia" w:ascii="宋体" w:hAnsi="宋体" w:cs="宋体"/>
          <w:highlight w:val="none"/>
        </w:rPr>
        <w:t>投标人有前款2</w:t>
      </w:r>
      <w:r>
        <w:rPr>
          <w:rFonts w:hint="eastAsia" w:ascii="宋体" w:hAnsi="宋体" w:cs="宋体"/>
          <w:highlight w:val="none"/>
          <w:lang w:val="en-US" w:eastAsia="zh-CN"/>
        </w:rPr>
        <w:t>8</w:t>
      </w:r>
      <w:r>
        <w:rPr>
          <w:rFonts w:hint="eastAsia" w:ascii="宋体" w:hAnsi="宋体" w:cs="宋体"/>
          <w:highlight w:val="none"/>
        </w:rPr>
        <w:t>.1至2</w:t>
      </w:r>
      <w:r>
        <w:rPr>
          <w:rFonts w:hint="eastAsia" w:ascii="宋体" w:hAnsi="宋体" w:cs="宋体"/>
          <w:highlight w:val="none"/>
          <w:lang w:val="en-US" w:eastAsia="zh-CN"/>
        </w:rPr>
        <w:t>8</w:t>
      </w:r>
      <w:r>
        <w:rPr>
          <w:rFonts w:hint="eastAsia" w:ascii="宋体" w:hAnsi="宋体" w:cs="宋体"/>
          <w:highlight w:val="none"/>
        </w:rPr>
        <w:t>.</w:t>
      </w:r>
      <w:r>
        <w:rPr>
          <w:rFonts w:hint="eastAsia" w:ascii="宋体" w:hAnsi="宋体" w:cs="宋体"/>
          <w:highlight w:val="none"/>
          <w:lang w:val="en-US" w:eastAsia="zh-CN"/>
        </w:rPr>
        <w:t>6</w:t>
      </w:r>
      <w:r>
        <w:rPr>
          <w:rFonts w:hint="eastAsia" w:ascii="宋体" w:hAnsi="宋体" w:cs="宋体"/>
          <w:highlight w:val="none"/>
        </w:rPr>
        <w:t>项情形之一的，中标无效。</w:t>
      </w:r>
    </w:p>
    <w:p w14:paraId="55DE4D90">
      <w:pPr>
        <w:spacing w:line="400" w:lineRule="exact"/>
        <w:ind w:firstLine="422" w:firstLineChars="200"/>
        <w:rPr>
          <w:rFonts w:ascii="宋体" w:hAnsi="宋体" w:cs="宋体"/>
          <w:b/>
          <w:highlight w:val="none"/>
        </w:rPr>
      </w:pPr>
      <w:r>
        <w:rPr>
          <w:rFonts w:hint="eastAsia" w:ascii="宋体" w:hAnsi="宋体" w:cs="宋体"/>
          <w:b/>
          <w:highlight w:val="none"/>
        </w:rPr>
        <w:t>29. 投标人有下列情形之一的，追究法律责任：</w:t>
      </w:r>
    </w:p>
    <w:p w14:paraId="4DAD1862">
      <w:pPr>
        <w:spacing w:line="400" w:lineRule="exact"/>
        <w:ind w:firstLine="420" w:firstLineChars="200"/>
        <w:rPr>
          <w:rFonts w:ascii="宋体" w:hAnsi="宋体" w:cs="宋体"/>
          <w:highlight w:val="none"/>
        </w:rPr>
      </w:pPr>
      <w:r>
        <w:rPr>
          <w:rFonts w:hint="eastAsia" w:ascii="宋体" w:hAnsi="宋体" w:cs="宋体"/>
          <w:highlight w:val="none"/>
        </w:rPr>
        <w:t>29.1 向评审委员会或者评审委员会成员行贿或者提供其他不正当利益；</w:t>
      </w:r>
    </w:p>
    <w:p w14:paraId="4693D305">
      <w:pPr>
        <w:spacing w:line="400" w:lineRule="exact"/>
        <w:ind w:firstLine="420" w:firstLineChars="200"/>
        <w:rPr>
          <w:rFonts w:ascii="宋体" w:hAnsi="宋体" w:cs="宋体"/>
          <w:highlight w:val="none"/>
        </w:rPr>
      </w:pPr>
      <w:r>
        <w:rPr>
          <w:rFonts w:hint="eastAsia" w:ascii="宋体" w:hAnsi="宋体" w:cs="宋体"/>
          <w:highlight w:val="none"/>
        </w:rPr>
        <w:t>29.2 中标或者成交后无正当理由拒不与采购人签订采购合同；</w:t>
      </w:r>
    </w:p>
    <w:p w14:paraId="566D5DBE">
      <w:pPr>
        <w:spacing w:line="400" w:lineRule="exact"/>
        <w:ind w:firstLine="420" w:firstLineChars="200"/>
        <w:rPr>
          <w:rFonts w:ascii="宋体" w:hAnsi="宋体" w:cs="宋体"/>
          <w:highlight w:val="none"/>
        </w:rPr>
      </w:pPr>
      <w:r>
        <w:rPr>
          <w:rFonts w:hint="eastAsia" w:ascii="宋体" w:hAnsi="宋体" w:cs="宋体"/>
          <w:highlight w:val="none"/>
        </w:rPr>
        <w:t>29.3 未按照招标文件确定的事项签订采购合同；</w:t>
      </w:r>
    </w:p>
    <w:p w14:paraId="38B2D3B3">
      <w:pPr>
        <w:spacing w:line="400" w:lineRule="exact"/>
        <w:ind w:firstLine="420" w:firstLineChars="200"/>
        <w:rPr>
          <w:rFonts w:ascii="宋体" w:hAnsi="宋体" w:cs="宋体"/>
          <w:highlight w:val="none"/>
        </w:rPr>
      </w:pPr>
      <w:r>
        <w:rPr>
          <w:rFonts w:hint="eastAsia" w:ascii="宋体" w:hAnsi="宋体" w:cs="宋体"/>
          <w:highlight w:val="none"/>
        </w:rPr>
        <w:t>29.4 将采购合同转包；</w:t>
      </w:r>
    </w:p>
    <w:p w14:paraId="1B7334E9">
      <w:pPr>
        <w:spacing w:line="400" w:lineRule="exact"/>
        <w:ind w:firstLine="420" w:firstLineChars="200"/>
        <w:rPr>
          <w:rFonts w:ascii="宋体" w:hAnsi="宋体" w:cs="宋体"/>
          <w:highlight w:val="none"/>
        </w:rPr>
      </w:pPr>
      <w:r>
        <w:rPr>
          <w:rFonts w:hint="eastAsia" w:ascii="宋体" w:hAnsi="宋体" w:cs="宋体"/>
          <w:highlight w:val="none"/>
        </w:rPr>
        <w:t>29.5 提供假冒伪劣产品；</w:t>
      </w:r>
    </w:p>
    <w:p w14:paraId="3001F472">
      <w:pPr>
        <w:spacing w:line="400" w:lineRule="exact"/>
        <w:ind w:firstLine="420" w:firstLineChars="200"/>
        <w:rPr>
          <w:rFonts w:ascii="宋体" w:hAnsi="宋体" w:cs="宋体"/>
          <w:highlight w:val="none"/>
        </w:rPr>
      </w:pPr>
      <w:r>
        <w:rPr>
          <w:rFonts w:hint="eastAsia" w:ascii="宋体" w:hAnsi="宋体" w:cs="宋体"/>
          <w:highlight w:val="none"/>
        </w:rPr>
        <w:t>29.6 擅自变更、中止或者终止采购合同。</w:t>
      </w:r>
    </w:p>
    <w:p w14:paraId="0E47A4F1">
      <w:pPr>
        <w:spacing w:line="400" w:lineRule="exact"/>
        <w:ind w:firstLine="420" w:firstLineChars="200"/>
        <w:rPr>
          <w:rFonts w:ascii="宋体" w:hAnsi="宋体" w:cs="宋体"/>
          <w:highlight w:val="none"/>
        </w:rPr>
      </w:pPr>
      <w:r>
        <w:rPr>
          <w:rFonts w:hint="eastAsia" w:ascii="宋体" w:hAnsi="宋体" w:cs="宋体"/>
          <w:highlight w:val="none"/>
        </w:rPr>
        <w:t>投标人有前款第一项规定情形的，中标无效。评审阶段资格发生变化，投标人未依照规定通知采购人和采购代理机构的，处以采购金额5‰的罚款，列入不良行为记录名单，中标无效。</w:t>
      </w:r>
    </w:p>
    <w:p w14:paraId="7DA33F54">
      <w:pPr>
        <w:spacing w:line="400" w:lineRule="exact"/>
        <w:ind w:firstLine="422" w:firstLineChars="200"/>
        <w:rPr>
          <w:rFonts w:ascii="宋体" w:hAnsi="宋体" w:cs="宋体"/>
          <w:b/>
          <w:bCs/>
          <w:highlight w:val="none"/>
        </w:rPr>
      </w:pPr>
      <w:r>
        <w:rPr>
          <w:rFonts w:hint="eastAsia" w:ascii="宋体" w:hAnsi="宋体" w:cs="宋体"/>
          <w:b/>
          <w:bCs/>
          <w:highlight w:val="none"/>
        </w:rPr>
        <w:t>30.投标人捏造事实、提供虚假材料或者以非法手段取得证明材料进行投诉的，由</w:t>
      </w:r>
      <w:r>
        <w:rPr>
          <w:rFonts w:hint="eastAsia" w:ascii="宋体" w:hAnsi="宋体" w:cs="宋体"/>
          <w:b/>
          <w:bCs/>
          <w:highlight w:val="none"/>
          <w:lang w:val="en-US" w:eastAsia="zh-CN"/>
        </w:rPr>
        <w:t>主管部门</w:t>
      </w:r>
      <w:r>
        <w:rPr>
          <w:rFonts w:hint="eastAsia" w:ascii="宋体" w:hAnsi="宋体" w:cs="宋体"/>
          <w:b/>
          <w:bCs/>
          <w:highlight w:val="none"/>
        </w:rPr>
        <w:t>列入不良行为记录名单，禁止其1至3年内参加采购活动。</w:t>
      </w:r>
    </w:p>
    <w:p w14:paraId="37C2EA59">
      <w:pPr>
        <w:spacing w:line="400" w:lineRule="exact"/>
        <w:ind w:firstLine="422" w:firstLineChars="200"/>
        <w:rPr>
          <w:rFonts w:hint="eastAsia" w:ascii="宋体" w:hAnsi="宋体" w:eastAsia="宋体" w:cs="宋体"/>
          <w:b/>
          <w:bCs/>
          <w:highlight w:val="none"/>
          <w:lang w:eastAsia="zh-CN"/>
        </w:rPr>
      </w:pPr>
      <w:r>
        <w:rPr>
          <w:rFonts w:hint="eastAsia" w:ascii="宋体" w:hAnsi="宋体" w:cs="宋体"/>
          <w:b/>
          <w:bCs/>
          <w:highlight w:val="none"/>
        </w:rPr>
        <w:t>31.有下列情形之一的，属于恶意串通，追究</w:t>
      </w:r>
      <w:r>
        <w:rPr>
          <w:rFonts w:hint="eastAsia" w:ascii="宋体" w:hAnsi="宋体" w:cs="宋体"/>
          <w:b/>
          <w:bCs/>
          <w:highlight w:val="none"/>
          <w:lang w:val="en-US" w:eastAsia="zh-CN"/>
        </w:rPr>
        <w:t>其</w:t>
      </w:r>
      <w:r>
        <w:rPr>
          <w:rFonts w:hint="eastAsia" w:ascii="宋体" w:hAnsi="宋体" w:cs="宋体"/>
          <w:b/>
          <w:bCs/>
          <w:highlight w:val="none"/>
        </w:rPr>
        <w:t>法律责任</w:t>
      </w:r>
      <w:r>
        <w:rPr>
          <w:rFonts w:hint="eastAsia" w:ascii="宋体" w:hAnsi="宋体" w:cs="宋体"/>
          <w:b/>
          <w:bCs/>
          <w:highlight w:val="none"/>
          <w:lang w:eastAsia="zh-CN"/>
        </w:rPr>
        <w:t>：</w:t>
      </w:r>
    </w:p>
    <w:p w14:paraId="4CF84576">
      <w:pPr>
        <w:spacing w:line="400" w:lineRule="exact"/>
        <w:ind w:firstLine="420" w:firstLineChars="200"/>
        <w:rPr>
          <w:rFonts w:ascii="宋体" w:hAnsi="宋体" w:cs="宋体"/>
          <w:highlight w:val="none"/>
        </w:rPr>
      </w:pPr>
      <w:r>
        <w:rPr>
          <w:rFonts w:hint="eastAsia" w:ascii="宋体" w:hAnsi="宋体" w:cs="宋体"/>
          <w:highlight w:val="none"/>
        </w:rPr>
        <w:t>31.1投标人直接或者间接从采购人或者采购代理机构处获得其他投标人的相关情况并修改其</w:t>
      </w:r>
      <w:r>
        <w:rPr>
          <w:rFonts w:hint="eastAsia" w:ascii="宋体" w:hAnsi="宋体" w:cs="宋体"/>
          <w:kern w:val="0"/>
          <w:highlight w:val="none"/>
        </w:rPr>
        <w:t>投标文件</w:t>
      </w:r>
      <w:r>
        <w:rPr>
          <w:rFonts w:hint="eastAsia" w:ascii="宋体" w:hAnsi="宋体" w:cs="宋体"/>
          <w:highlight w:val="none"/>
        </w:rPr>
        <w:t>；</w:t>
      </w:r>
    </w:p>
    <w:p w14:paraId="5E399B4A">
      <w:pPr>
        <w:spacing w:line="400" w:lineRule="exact"/>
        <w:ind w:firstLine="420" w:firstLineChars="200"/>
        <w:rPr>
          <w:rFonts w:ascii="宋体" w:hAnsi="宋体" w:cs="宋体"/>
          <w:highlight w:val="none"/>
        </w:rPr>
      </w:pPr>
      <w:r>
        <w:rPr>
          <w:rFonts w:hint="eastAsia" w:ascii="宋体" w:hAnsi="宋体" w:cs="宋体"/>
          <w:highlight w:val="none"/>
        </w:rPr>
        <w:t>31.2 投标人按照采购人或者采购代理机构的授意撤换、修改</w:t>
      </w:r>
      <w:r>
        <w:rPr>
          <w:rFonts w:hint="eastAsia" w:ascii="宋体" w:hAnsi="宋体" w:cs="宋体"/>
          <w:kern w:val="0"/>
          <w:highlight w:val="none"/>
        </w:rPr>
        <w:t>投标文件</w:t>
      </w:r>
      <w:r>
        <w:rPr>
          <w:rFonts w:hint="eastAsia" w:ascii="宋体" w:hAnsi="宋体" w:cs="宋体"/>
          <w:highlight w:val="none"/>
        </w:rPr>
        <w:t>；</w:t>
      </w:r>
    </w:p>
    <w:p w14:paraId="4255DB98">
      <w:pPr>
        <w:spacing w:line="400" w:lineRule="exact"/>
        <w:ind w:firstLine="420" w:firstLineChars="200"/>
        <w:rPr>
          <w:rFonts w:ascii="宋体" w:hAnsi="宋体" w:cs="宋体"/>
          <w:highlight w:val="none"/>
        </w:rPr>
      </w:pPr>
      <w:r>
        <w:rPr>
          <w:rFonts w:hint="eastAsia" w:ascii="宋体" w:hAnsi="宋体" w:cs="宋体"/>
          <w:highlight w:val="none"/>
        </w:rPr>
        <w:t>31.3 投标人之间协商报价、技术方案等</w:t>
      </w:r>
      <w:r>
        <w:rPr>
          <w:rFonts w:hint="eastAsia" w:ascii="宋体" w:hAnsi="宋体" w:cs="宋体"/>
          <w:kern w:val="0"/>
          <w:highlight w:val="none"/>
        </w:rPr>
        <w:t>投标文件</w:t>
      </w:r>
      <w:r>
        <w:rPr>
          <w:rFonts w:hint="eastAsia" w:ascii="宋体" w:hAnsi="宋体" w:cs="宋体"/>
          <w:highlight w:val="none"/>
        </w:rPr>
        <w:t>的实质性内容；</w:t>
      </w:r>
    </w:p>
    <w:p w14:paraId="05CBDB50">
      <w:pPr>
        <w:spacing w:line="400" w:lineRule="exact"/>
        <w:ind w:firstLine="420" w:firstLineChars="200"/>
        <w:rPr>
          <w:rFonts w:ascii="宋体" w:hAnsi="宋体" w:cs="宋体"/>
          <w:highlight w:val="none"/>
        </w:rPr>
      </w:pPr>
      <w:r>
        <w:rPr>
          <w:rFonts w:hint="eastAsia" w:ascii="宋体" w:hAnsi="宋体" w:cs="宋体"/>
          <w:highlight w:val="none"/>
        </w:rPr>
        <w:t>31.4属于同一集团、协会、商会等组织成员的投标人按照该组织要求协同参加采购活动；</w:t>
      </w:r>
    </w:p>
    <w:p w14:paraId="3A18D531">
      <w:pPr>
        <w:spacing w:line="400" w:lineRule="exact"/>
        <w:ind w:firstLine="420" w:firstLineChars="200"/>
        <w:rPr>
          <w:rFonts w:ascii="宋体" w:hAnsi="宋体" w:cs="宋体"/>
          <w:highlight w:val="none"/>
        </w:rPr>
      </w:pPr>
      <w:r>
        <w:rPr>
          <w:rFonts w:hint="eastAsia" w:ascii="宋体" w:hAnsi="宋体" w:cs="宋体"/>
          <w:highlight w:val="none"/>
        </w:rPr>
        <w:t>31.5 投标人之间事先约定由某一特定投标人中标、成交；</w:t>
      </w:r>
    </w:p>
    <w:p w14:paraId="188B7A6A">
      <w:pPr>
        <w:spacing w:line="400" w:lineRule="exact"/>
        <w:ind w:firstLine="420" w:firstLineChars="200"/>
        <w:rPr>
          <w:rFonts w:ascii="宋体" w:hAnsi="宋体" w:cs="宋体"/>
          <w:highlight w:val="none"/>
        </w:rPr>
      </w:pPr>
      <w:r>
        <w:rPr>
          <w:rFonts w:hint="eastAsia" w:ascii="宋体" w:hAnsi="宋体" w:cs="宋体"/>
          <w:highlight w:val="none"/>
        </w:rPr>
        <w:t>31.6 投标人之间商定部分投标人放弃参加采购活动或者放弃中标、成交；</w:t>
      </w:r>
    </w:p>
    <w:p w14:paraId="53DDDF06">
      <w:pPr>
        <w:spacing w:line="400" w:lineRule="exact"/>
        <w:ind w:firstLine="420" w:firstLineChars="200"/>
        <w:rPr>
          <w:rFonts w:ascii="宋体" w:hAnsi="宋体" w:cs="宋体"/>
          <w:highlight w:val="none"/>
        </w:rPr>
      </w:pPr>
      <w:r>
        <w:rPr>
          <w:rFonts w:hint="eastAsia" w:ascii="宋体" w:hAnsi="宋体" w:cs="宋体"/>
          <w:highlight w:val="none"/>
        </w:rPr>
        <w:t>31.7投标人与采购人或者采购代理机构之间、投标人相互之间，为谋求特定投标人中标、成交或者排斥其他投标人的其他串通行为；</w:t>
      </w:r>
    </w:p>
    <w:p w14:paraId="1D9FB199">
      <w:pPr>
        <w:spacing w:line="400" w:lineRule="exact"/>
        <w:ind w:firstLine="420" w:firstLineChars="200"/>
        <w:rPr>
          <w:rFonts w:ascii="宋体" w:hAnsi="宋体" w:cs="宋体"/>
          <w:highlight w:val="none"/>
        </w:rPr>
      </w:pPr>
      <w:r>
        <w:rPr>
          <w:rFonts w:hint="eastAsia" w:ascii="宋体" w:hAnsi="宋体" w:cs="宋体"/>
          <w:highlight w:val="none"/>
        </w:rPr>
        <w:t>31.8 不同投标人的投标文件由同一单位或者个人编制；</w:t>
      </w:r>
    </w:p>
    <w:p w14:paraId="64509C82">
      <w:pPr>
        <w:spacing w:line="400" w:lineRule="exact"/>
        <w:ind w:firstLine="420" w:firstLineChars="200"/>
        <w:rPr>
          <w:rFonts w:ascii="宋体" w:hAnsi="宋体" w:cs="宋体"/>
          <w:highlight w:val="none"/>
        </w:rPr>
      </w:pPr>
      <w:r>
        <w:rPr>
          <w:rFonts w:hint="eastAsia" w:ascii="宋体" w:hAnsi="宋体" w:cs="宋体"/>
          <w:highlight w:val="none"/>
        </w:rPr>
        <w:t>31.9 不同投标人委托同一单位或者个人办理投标事宜；</w:t>
      </w:r>
    </w:p>
    <w:p w14:paraId="47A19DF2">
      <w:pPr>
        <w:spacing w:line="400" w:lineRule="exact"/>
        <w:ind w:firstLine="420" w:firstLineChars="200"/>
        <w:rPr>
          <w:rFonts w:ascii="宋体" w:hAnsi="宋体" w:cs="宋体"/>
          <w:highlight w:val="none"/>
        </w:rPr>
      </w:pPr>
      <w:r>
        <w:rPr>
          <w:rFonts w:hint="eastAsia" w:ascii="宋体" w:hAnsi="宋体" w:cs="宋体"/>
          <w:highlight w:val="none"/>
        </w:rPr>
        <w:t>31.10 不同投标人的投标文件载明的项目管理成员或者联系人员为同一人；</w:t>
      </w:r>
    </w:p>
    <w:p w14:paraId="231E5775">
      <w:pPr>
        <w:spacing w:line="400" w:lineRule="exact"/>
        <w:ind w:firstLine="420" w:firstLineChars="200"/>
        <w:rPr>
          <w:rFonts w:ascii="宋体" w:hAnsi="宋体" w:cs="宋体"/>
          <w:highlight w:val="none"/>
        </w:rPr>
      </w:pPr>
      <w:r>
        <w:rPr>
          <w:rFonts w:hint="eastAsia" w:ascii="宋体" w:hAnsi="宋体" w:cs="宋体"/>
          <w:highlight w:val="none"/>
        </w:rPr>
        <w:t>31.11 不同投标人的投标文件异常一致或者投标报价呈规律性差异；</w:t>
      </w:r>
    </w:p>
    <w:p w14:paraId="31B76290">
      <w:pPr>
        <w:spacing w:line="400" w:lineRule="exact"/>
        <w:ind w:firstLine="420" w:firstLineChars="200"/>
        <w:rPr>
          <w:rFonts w:ascii="宋体" w:hAnsi="宋体" w:cs="宋体"/>
          <w:highlight w:val="none"/>
        </w:rPr>
      </w:pPr>
      <w:r>
        <w:rPr>
          <w:rFonts w:hint="eastAsia" w:ascii="宋体" w:hAnsi="宋体" w:cs="宋体"/>
          <w:highlight w:val="none"/>
        </w:rPr>
        <w:t>31.12 不同投标人的投标文件相互混装；</w:t>
      </w:r>
    </w:p>
    <w:p w14:paraId="49D8FEA1">
      <w:pPr>
        <w:pStyle w:val="5"/>
        <w:spacing w:before="0" w:after="0" w:line="400" w:lineRule="exact"/>
        <w:ind w:firstLine="422"/>
        <w:rPr>
          <w:rFonts w:ascii="宋体" w:hAnsi="宋体" w:eastAsia="宋体" w:cs="宋体"/>
          <w:sz w:val="21"/>
          <w:szCs w:val="21"/>
          <w:highlight w:val="none"/>
        </w:rPr>
      </w:pPr>
      <w:bookmarkStart w:id="53" w:name="_Toc43498227"/>
      <w:r>
        <w:rPr>
          <w:rFonts w:hint="eastAsia" w:ascii="宋体" w:hAnsi="宋体" w:eastAsia="宋体" w:cs="宋体"/>
          <w:sz w:val="21"/>
          <w:szCs w:val="21"/>
          <w:highlight w:val="none"/>
        </w:rPr>
        <w:t>八  询问</w:t>
      </w:r>
      <w:bookmarkEnd w:id="37"/>
      <w:bookmarkEnd w:id="38"/>
      <w:bookmarkEnd w:id="39"/>
      <w:bookmarkEnd w:id="53"/>
    </w:p>
    <w:p w14:paraId="692765FA">
      <w:pPr>
        <w:spacing w:line="400" w:lineRule="exact"/>
        <w:ind w:firstLine="420" w:firstLineChars="200"/>
        <w:rPr>
          <w:rFonts w:ascii="宋体" w:hAnsi="宋体" w:cs="宋体"/>
          <w:highlight w:val="none"/>
        </w:rPr>
      </w:pPr>
      <w:r>
        <w:rPr>
          <w:rFonts w:hint="eastAsia" w:ascii="宋体" w:hAnsi="宋体" w:cs="宋体"/>
          <w:highlight w:val="none"/>
        </w:rPr>
        <w:t>32.供应商询问</w:t>
      </w:r>
    </w:p>
    <w:p w14:paraId="63080135">
      <w:pPr>
        <w:spacing w:line="400" w:lineRule="exact"/>
        <w:ind w:firstLine="420" w:firstLineChars="200"/>
        <w:rPr>
          <w:rFonts w:ascii="宋体" w:hAnsi="宋体" w:cs="宋体"/>
          <w:highlight w:val="none"/>
        </w:rPr>
      </w:pPr>
      <w:r>
        <w:rPr>
          <w:rFonts w:hint="eastAsia" w:ascii="宋体" w:hAnsi="宋体" w:cs="宋体"/>
          <w:highlight w:val="none"/>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bookmarkStart w:id="54" w:name="_Toc396838137"/>
      <w:bookmarkStart w:id="55" w:name="_Toc176659672"/>
      <w:bookmarkStart w:id="56" w:name="_Toc393869893"/>
      <w:bookmarkStart w:id="57" w:name="_Toc335664279"/>
      <w:bookmarkStart w:id="58" w:name="_Toc334087237"/>
    </w:p>
    <w:p w14:paraId="46CE8266">
      <w:pPr>
        <w:pStyle w:val="5"/>
        <w:spacing w:before="0" w:after="0" w:line="400" w:lineRule="exact"/>
        <w:ind w:firstLine="417" w:firstLineChars="198"/>
        <w:rPr>
          <w:rFonts w:ascii="宋体" w:hAnsi="宋体" w:eastAsia="宋体" w:cs="宋体"/>
          <w:sz w:val="21"/>
          <w:szCs w:val="21"/>
          <w:highlight w:val="none"/>
        </w:rPr>
      </w:pPr>
      <w:bookmarkStart w:id="59" w:name="_Toc415648537"/>
      <w:bookmarkStart w:id="60" w:name="_Toc43498228"/>
      <w:r>
        <w:rPr>
          <w:rFonts w:hint="eastAsia" w:ascii="宋体" w:hAnsi="宋体" w:eastAsia="宋体" w:cs="宋体"/>
          <w:sz w:val="21"/>
          <w:szCs w:val="21"/>
          <w:highlight w:val="none"/>
        </w:rPr>
        <w:t>九  质疑</w:t>
      </w:r>
      <w:bookmarkEnd w:id="54"/>
      <w:bookmarkEnd w:id="55"/>
      <w:bookmarkEnd w:id="56"/>
      <w:bookmarkEnd w:id="57"/>
      <w:bookmarkEnd w:id="58"/>
      <w:bookmarkEnd w:id="59"/>
      <w:bookmarkEnd w:id="60"/>
    </w:p>
    <w:p w14:paraId="68A2806B">
      <w:pPr>
        <w:pStyle w:val="28"/>
        <w:numPr>
          <w:ilvl w:val="0"/>
          <w:numId w:val="3"/>
        </w:numPr>
        <w:spacing w:line="400" w:lineRule="exact"/>
        <w:ind w:firstLine="420" w:firstLineChars="200"/>
        <w:rPr>
          <w:rFonts w:hAnsi="宋体"/>
          <w:highlight w:val="none"/>
        </w:rPr>
      </w:pPr>
      <w:r>
        <w:rPr>
          <w:rFonts w:hint="eastAsia" w:hAnsi="宋体"/>
          <w:highlight w:val="none"/>
        </w:rPr>
        <w:t>供应商质疑</w:t>
      </w:r>
    </w:p>
    <w:p w14:paraId="19958C1D">
      <w:pPr>
        <w:pStyle w:val="28"/>
        <w:numPr>
          <w:ilvl w:val="255"/>
          <w:numId w:val="0"/>
        </w:numPr>
        <w:spacing w:line="400" w:lineRule="exact"/>
        <w:ind w:firstLine="420" w:firstLineChars="200"/>
        <w:rPr>
          <w:rFonts w:hAnsi="宋体"/>
          <w:highlight w:val="none"/>
        </w:rPr>
      </w:pPr>
      <w:r>
        <w:rPr>
          <w:rFonts w:hint="eastAsia" w:hAnsi="宋体"/>
          <w:highlight w:val="none"/>
        </w:rPr>
        <w:t>33.1提出质疑的供应商应当是参与所质疑项目采购活动的供应商。潜在供应商已依法获取其可质疑的招标文件的，可以对该文件提出质疑。</w:t>
      </w:r>
    </w:p>
    <w:p w14:paraId="7CCD42F5">
      <w:pPr>
        <w:pStyle w:val="28"/>
        <w:spacing w:line="400" w:lineRule="exact"/>
        <w:ind w:firstLine="420" w:firstLineChars="200"/>
        <w:rPr>
          <w:rFonts w:hAnsi="宋体"/>
          <w:highlight w:val="none"/>
        </w:rPr>
      </w:pPr>
      <w:r>
        <w:rPr>
          <w:rFonts w:hint="eastAsia" w:hAnsi="宋体"/>
          <w:highlight w:val="none"/>
        </w:rPr>
        <w:t>33.2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4CFA11F8">
      <w:pPr>
        <w:pStyle w:val="28"/>
        <w:spacing w:line="400" w:lineRule="exact"/>
        <w:ind w:firstLine="420" w:firstLineChars="200"/>
        <w:rPr>
          <w:rFonts w:hAnsi="宋体"/>
          <w:highlight w:val="none"/>
        </w:rPr>
      </w:pPr>
      <w:r>
        <w:rPr>
          <w:rFonts w:hint="eastAsia" w:hAnsi="宋体"/>
          <w:highlight w:val="none"/>
        </w:rPr>
        <w:t>33.2.2.1对招标文件提出质疑的，质疑期限为供应商获得招标文件之日或者招标文件公告期限届满之日起计算。</w:t>
      </w:r>
    </w:p>
    <w:p w14:paraId="64FDD473">
      <w:pPr>
        <w:pStyle w:val="28"/>
        <w:spacing w:line="400" w:lineRule="exact"/>
        <w:ind w:firstLine="420" w:firstLineChars="200"/>
        <w:rPr>
          <w:rFonts w:hAnsi="宋体"/>
          <w:highlight w:val="none"/>
        </w:rPr>
      </w:pPr>
      <w:r>
        <w:rPr>
          <w:rFonts w:hint="eastAsia" w:hAnsi="宋体"/>
          <w:highlight w:val="none"/>
        </w:rPr>
        <w:t>33.2.2.2对采购过程提出质疑的，质疑期限为各采购程序环节结束之日起计算。对同一采购程序环节的质疑，供应商须一次性提出。</w:t>
      </w:r>
    </w:p>
    <w:p w14:paraId="6574CDFF">
      <w:pPr>
        <w:pStyle w:val="28"/>
        <w:spacing w:line="400" w:lineRule="exact"/>
        <w:ind w:firstLine="420" w:firstLineChars="200"/>
        <w:rPr>
          <w:rFonts w:hAnsi="宋体"/>
          <w:highlight w:val="none"/>
        </w:rPr>
      </w:pPr>
      <w:r>
        <w:rPr>
          <w:rFonts w:hint="eastAsia" w:hAnsi="宋体"/>
          <w:highlight w:val="none"/>
        </w:rPr>
        <w:t>33.2.2.3对采购结果提出质疑的，质疑期限自采购结果公告期限届满之日起计算。</w:t>
      </w:r>
    </w:p>
    <w:p w14:paraId="7C5B6F88">
      <w:pPr>
        <w:pStyle w:val="28"/>
        <w:spacing w:line="400" w:lineRule="exact"/>
        <w:ind w:firstLine="420" w:firstLineChars="200"/>
        <w:rPr>
          <w:rFonts w:hAnsi="宋体"/>
          <w:highlight w:val="none"/>
        </w:rPr>
      </w:pPr>
      <w:r>
        <w:rPr>
          <w:rFonts w:hint="eastAsia" w:hAnsi="宋体"/>
          <w:highlight w:val="none"/>
        </w:rPr>
        <w:t>33.2.3供应商提出质疑应当提交质疑函和必要的证明材料。质疑函应当包括下列内容：</w:t>
      </w:r>
    </w:p>
    <w:p w14:paraId="7D340D2D">
      <w:pPr>
        <w:pStyle w:val="28"/>
        <w:spacing w:line="400" w:lineRule="exact"/>
        <w:ind w:firstLine="420" w:firstLineChars="200"/>
        <w:rPr>
          <w:rFonts w:hAnsi="宋体"/>
          <w:highlight w:val="none"/>
        </w:rPr>
      </w:pPr>
      <w:r>
        <w:rPr>
          <w:rFonts w:hint="eastAsia" w:hAnsi="宋体"/>
          <w:highlight w:val="none"/>
        </w:rPr>
        <w:t>33.2.3.1供应商的姓名或者名称、地址、邮编、联系人及联系电话；</w:t>
      </w:r>
    </w:p>
    <w:p w14:paraId="72DC0B7A">
      <w:pPr>
        <w:pStyle w:val="28"/>
        <w:spacing w:line="400" w:lineRule="exact"/>
        <w:ind w:firstLine="420" w:firstLineChars="200"/>
        <w:rPr>
          <w:rFonts w:hAnsi="宋体"/>
          <w:highlight w:val="none"/>
        </w:rPr>
      </w:pPr>
      <w:r>
        <w:rPr>
          <w:rFonts w:hint="eastAsia" w:hAnsi="宋体"/>
          <w:highlight w:val="none"/>
        </w:rPr>
        <w:t>33.2.3.2质疑项目的名称、编号；</w:t>
      </w:r>
    </w:p>
    <w:p w14:paraId="7ED771FB">
      <w:pPr>
        <w:pStyle w:val="28"/>
        <w:spacing w:line="400" w:lineRule="exact"/>
        <w:ind w:firstLine="420" w:firstLineChars="200"/>
        <w:rPr>
          <w:rFonts w:hAnsi="宋体"/>
          <w:highlight w:val="none"/>
        </w:rPr>
      </w:pPr>
      <w:r>
        <w:rPr>
          <w:rFonts w:hint="eastAsia" w:hAnsi="宋体"/>
          <w:highlight w:val="none"/>
        </w:rPr>
        <w:t>33.2.3.3具体、明确的质疑事项和与质疑事项相关的请求；</w:t>
      </w:r>
    </w:p>
    <w:p w14:paraId="74EB7004">
      <w:pPr>
        <w:pStyle w:val="28"/>
        <w:spacing w:line="400" w:lineRule="exact"/>
        <w:ind w:firstLine="420" w:firstLineChars="200"/>
        <w:rPr>
          <w:rFonts w:hAnsi="宋体"/>
          <w:highlight w:val="none"/>
        </w:rPr>
      </w:pPr>
      <w:r>
        <w:rPr>
          <w:rFonts w:hint="eastAsia" w:hAnsi="宋体"/>
          <w:highlight w:val="none"/>
        </w:rPr>
        <w:t>33.2.3.4事实依据；</w:t>
      </w:r>
    </w:p>
    <w:p w14:paraId="3CBFBF73">
      <w:pPr>
        <w:pStyle w:val="28"/>
        <w:spacing w:line="400" w:lineRule="exact"/>
        <w:ind w:firstLine="420" w:firstLineChars="200"/>
        <w:rPr>
          <w:rFonts w:hAnsi="宋体"/>
          <w:highlight w:val="none"/>
        </w:rPr>
      </w:pPr>
      <w:r>
        <w:rPr>
          <w:rFonts w:hint="eastAsia" w:hAnsi="宋体"/>
          <w:highlight w:val="none"/>
        </w:rPr>
        <w:t>33.2.3.5必要的法律依据；</w:t>
      </w:r>
    </w:p>
    <w:p w14:paraId="6B9618DC">
      <w:pPr>
        <w:pStyle w:val="28"/>
        <w:spacing w:line="400" w:lineRule="exact"/>
        <w:ind w:firstLine="420" w:firstLineChars="200"/>
        <w:rPr>
          <w:rFonts w:hAnsi="宋体"/>
          <w:highlight w:val="none"/>
        </w:rPr>
      </w:pPr>
      <w:r>
        <w:rPr>
          <w:rFonts w:hint="eastAsia" w:hAnsi="宋体"/>
          <w:highlight w:val="none"/>
        </w:rPr>
        <w:t>33.2.3.6提出质疑的日期。</w:t>
      </w:r>
    </w:p>
    <w:p w14:paraId="00846ED6">
      <w:pPr>
        <w:pStyle w:val="28"/>
        <w:spacing w:line="400" w:lineRule="exact"/>
        <w:ind w:firstLine="420" w:firstLineChars="200"/>
        <w:rPr>
          <w:rFonts w:hAnsi="宋体"/>
          <w:highlight w:val="none"/>
        </w:rPr>
      </w:pPr>
      <w:r>
        <w:rPr>
          <w:rFonts w:hint="eastAsia" w:hAnsi="宋体"/>
          <w:highlight w:val="none"/>
        </w:rPr>
        <w:t>供应商提交的质疑函需一式三份。供应商为自然人的，应当由本人签字；供应商为法人或者其他组织的，应当由法定代表人、主要负责人，或者其授权代表签字或者盖章，并加盖公章。</w:t>
      </w:r>
    </w:p>
    <w:p w14:paraId="3FF9D7E8">
      <w:pPr>
        <w:pStyle w:val="28"/>
        <w:spacing w:line="400" w:lineRule="exact"/>
        <w:ind w:firstLine="420" w:firstLineChars="200"/>
        <w:rPr>
          <w:rFonts w:hAnsi="宋体"/>
          <w:highlight w:val="none"/>
        </w:rPr>
      </w:pPr>
      <w:r>
        <w:rPr>
          <w:rFonts w:hint="eastAsia" w:hAnsi="宋体"/>
          <w:highlight w:val="none"/>
        </w:rPr>
        <w:t>33.2.4采购人或者采购代理机构应当在收到供应商的书面质疑后七个工作日内作出答复，并以书面形式通知质疑供应商和其他与质疑处理结果有利害关系的采购当事人，但答复的内容不得涉及商业秘密。</w:t>
      </w:r>
    </w:p>
    <w:p w14:paraId="7021612F">
      <w:pPr>
        <w:pStyle w:val="28"/>
        <w:spacing w:line="400" w:lineRule="exact"/>
        <w:ind w:firstLine="420" w:firstLineChars="200"/>
        <w:rPr>
          <w:rFonts w:hAnsi="宋体"/>
          <w:highlight w:val="none"/>
        </w:rPr>
      </w:pPr>
      <w:r>
        <w:rPr>
          <w:rFonts w:hint="eastAsia" w:hAnsi="宋体"/>
          <w:highlight w:val="none"/>
        </w:rPr>
        <w:t>33.2.5询问或者质疑事项可能影响采购结果的，采购人应当暂停签订合同，已经签订合同的，应当中止履行合同。</w:t>
      </w:r>
    </w:p>
    <w:p w14:paraId="3B4F5B34">
      <w:pPr>
        <w:pStyle w:val="5"/>
        <w:spacing w:before="0" w:after="0" w:line="400" w:lineRule="exact"/>
        <w:ind w:firstLine="207" w:firstLineChars="98"/>
        <w:rPr>
          <w:rFonts w:ascii="宋体" w:hAnsi="宋体" w:eastAsia="宋体" w:cs="宋体"/>
          <w:sz w:val="21"/>
          <w:szCs w:val="21"/>
          <w:highlight w:val="none"/>
        </w:rPr>
      </w:pPr>
      <w:bookmarkStart w:id="61" w:name="_Toc43498229"/>
      <w:r>
        <w:rPr>
          <w:rFonts w:hint="eastAsia" w:ascii="宋体" w:hAnsi="宋体" w:eastAsia="宋体" w:cs="宋体"/>
          <w:sz w:val="21"/>
          <w:szCs w:val="21"/>
          <w:highlight w:val="none"/>
        </w:rPr>
        <w:t>十  投诉</w:t>
      </w:r>
      <w:bookmarkEnd w:id="40"/>
      <w:bookmarkEnd w:id="41"/>
      <w:bookmarkEnd w:id="42"/>
      <w:bookmarkEnd w:id="43"/>
      <w:bookmarkEnd w:id="61"/>
    </w:p>
    <w:p w14:paraId="5C72B32D">
      <w:pPr>
        <w:spacing w:line="400" w:lineRule="exact"/>
        <w:ind w:firstLine="420" w:firstLineChars="200"/>
        <w:rPr>
          <w:rFonts w:ascii="宋体" w:hAnsi="宋体" w:cs="宋体"/>
          <w:highlight w:val="none"/>
        </w:rPr>
      </w:pPr>
      <w:r>
        <w:rPr>
          <w:rFonts w:hint="eastAsia" w:ascii="宋体" w:hAnsi="宋体" w:cs="宋体"/>
          <w:highlight w:val="none"/>
        </w:rPr>
        <w:t>34.供应商投诉</w:t>
      </w:r>
    </w:p>
    <w:p w14:paraId="7B981DAA">
      <w:pPr>
        <w:spacing w:line="400" w:lineRule="exact"/>
        <w:ind w:firstLine="420" w:firstLineChars="200"/>
        <w:rPr>
          <w:rFonts w:ascii="宋体" w:hAnsi="宋体" w:cs="宋体"/>
          <w:highlight w:val="none"/>
        </w:rPr>
      </w:pPr>
      <w:r>
        <w:rPr>
          <w:rFonts w:hint="eastAsia" w:ascii="宋体" w:hAnsi="宋体" w:cs="宋体"/>
          <w:highlight w:val="none"/>
        </w:rPr>
        <w:t>34.1质疑供应商对采购人、采购代理机构的答复不满意或者采购人、采购代理机构未在规定的时间内作出答复的，可以在答复期满后十五个工作日内向同级采购监督管理部门提出投诉。</w:t>
      </w:r>
    </w:p>
    <w:p w14:paraId="7A084C8E">
      <w:pPr>
        <w:spacing w:line="400" w:lineRule="exact"/>
        <w:ind w:firstLine="420" w:firstLineChars="200"/>
        <w:rPr>
          <w:rFonts w:ascii="宋体" w:hAnsi="宋体" w:cs="宋体"/>
          <w:highlight w:val="none"/>
        </w:rPr>
      </w:pPr>
      <w:r>
        <w:rPr>
          <w:rFonts w:hint="eastAsia" w:ascii="宋体" w:hAnsi="宋体" w:cs="宋体"/>
          <w:highlight w:val="none"/>
        </w:rPr>
        <w:t>34.2供应商投诉的事项不得超出已质疑事项的范围，基于质疑答复内容提出的投诉事项除外。</w:t>
      </w:r>
    </w:p>
    <w:p w14:paraId="5D45E604">
      <w:pPr>
        <w:spacing w:line="400" w:lineRule="exact"/>
        <w:ind w:firstLine="420" w:firstLineChars="200"/>
        <w:rPr>
          <w:rFonts w:ascii="宋体" w:hAnsi="宋体" w:cs="宋体"/>
          <w:highlight w:val="none"/>
        </w:rPr>
      </w:pPr>
      <w:r>
        <w:rPr>
          <w:rFonts w:hint="eastAsia" w:ascii="宋体" w:hAnsi="宋体" w:cs="宋体"/>
          <w:highlight w:val="none"/>
        </w:rPr>
        <w:t>34.3供应商投诉应当有明确的请求和必要的证明材料。</w:t>
      </w:r>
    </w:p>
    <w:p w14:paraId="53A533D6">
      <w:pPr>
        <w:spacing w:line="400" w:lineRule="exact"/>
        <w:ind w:firstLine="420" w:firstLineChars="200"/>
        <w:rPr>
          <w:rFonts w:ascii="宋体" w:hAnsi="宋体" w:cs="宋体"/>
          <w:highlight w:val="none"/>
        </w:rPr>
      </w:pPr>
      <w:r>
        <w:rPr>
          <w:rFonts w:hint="eastAsia" w:ascii="宋体" w:hAnsi="宋体" w:cs="宋体"/>
          <w:highlight w:val="none"/>
        </w:rPr>
        <w:t>34.4 以联合体形式参加采购活动的，其投诉应当由组成联合体的所有供应商共同提出。</w:t>
      </w:r>
    </w:p>
    <w:p w14:paraId="00A8CDA4">
      <w:pPr>
        <w:pStyle w:val="5"/>
        <w:spacing w:before="0" w:after="0" w:line="400" w:lineRule="exact"/>
        <w:ind w:firstLine="211" w:firstLineChars="100"/>
        <w:rPr>
          <w:rFonts w:ascii="宋体" w:hAnsi="宋体" w:eastAsia="宋体" w:cs="宋体"/>
          <w:sz w:val="21"/>
          <w:szCs w:val="21"/>
          <w:highlight w:val="none"/>
        </w:rPr>
      </w:pPr>
      <w:bookmarkStart w:id="62" w:name="_Toc43498230"/>
      <w:r>
        <w:rPr>
          <w:rFonts w:hint="eastAsia" w:ascii="宋体" w:hAnsi="宋体" w:eastAsia="宋体" w:cs="宋体"/>
          <w:sz w:val="21"/>
          <w:szCs w:val="21"/>
          <w:highlight w:val="none"/>
        </w:rPr>
        <w:t xml:space="preserve">十一  </w:t>
      </w:r>
      <w:bookmarkEnd w:id="44"/>
      <w:bookmarkEnd w:id="62"/>
      <w:r>
        <w:rPr>
          <w:rFonts w:hint="eastAsia" w:ascii="宋体" w:hAnsi="宋体" w:eastAsia="宋体" w:cs="宋体"/>
          <w:sz w:val="21"/>
          <w:szCs w:val="21"/>
          <w:highlight w:val="none"/>
        </w:rPr>
        <w:t>定标</w:t>
      </w:r>
    </w:p>
    <w:p w14:paraId="16A30E9A">
      <w:pPr>
        <w:adjustRightInd w:val="0"/>
        <w:spacing w:line="400" w:lineRule="exact"/>
        <w:ind w:firstLine="420" w:firstLineChars="200"/>
        <w:rPr>
          <w:rFonts w:ascii="宋体" w:hAnsi="宋体" w:cs="宋体"/>
          <w:bCs/>
          <w:highlight w:val="none"/>
        </w:rPr>
      </w:pPr>
      <w:r>
        <w:rPr>
          <w:rFonts w:hint="eastAsia" w:ascii="宋体" w:hAnsi="宋体" w:cs="宋体"/>
          <w:bCs/>
          <w:highlight w:val="none"/>
        </w:rPr>
        <w:t>35. 确定中标供应商</w:t>
      </w:r>
    </w:p>
    <w:p w14:paraId="0A774A5A">
      <w:pPr>
        <w:adjustRightInd w:val="0"/>
        <w:snapToGrid w:val="0"/>
        <w:spacing w:line="400" w:lineRule="exact"/>
        <w:ind w:firstLine="420" w:firstLineChars="200"/>
        <w:rPr>
          <w:rFonts w:ascii="宋体" w:hAnsi="宋体" w:cs="宋体"/>
          <w:bCs/>
          <w:highlight w:val="none"/>
        </w:rPr>
      </w:pPr>
      <w:r>
        <w:rPr>
          <w:rFonts w:hint="eastAsia" w:ascii="宋体" w:hAnsi="宋体" w:cs="宋体"/>
          <w:bCs/>
          <w:highlight w:val="none"/>
          <w:u w:val="none"/>
          <w:lang w:val="en-US" w:eastAsia="zh-CN"/>
        </w:rPr>
        <w:t>35.1</w:t>
      </w:r>
      <w:r>
        <w:rPr>
          <w:rFonts w:hint="eastAsia" w:ascii="宋体" w:hAnsi="宋体" w:cs="宋体"/>
          <w:bCs/>
          <w:highlight w:val="none"/>
          <w:u w:val="single"/>
        </w:rPr>
        <w:t>招标代理机构应当在评标结束后2个工作日内将评标报告送采购人</w:t>
      </w:r>
      <w:r>
        <w:rPr>
          <w:rFonts w:hint="eastAsia" w:ascii="宋体" w:hAnsi="宋体" w:cs="宋体"/>
          <w:bCs/>
          <w:highlight w:val="none"/>
        </w:rPr>
        <w:t>。采购人将自收到评审报告之日起5个工作日内通过电子交易平台在评审报告推荐的中标候选人中按顺序确定中标供应商。</w:t>
      </w:r>
    </w:p>
    <w:p w14:paraId="61B1D21D">
      <w:pPr>
        <w:adjustRightInd w:val="0"/>
        <w:snapToGrid w:val="0"/>
        <w:spacing w:line="400" w:lineRule="exact"/>
        <w:ind w:firstLine="420" w:firstLineChars="200"/>
        <w:rPr>
          <w:rFonts w:ascii="宋体" w:hAnsi="宋体" w:cs="宋体"/>
          <w:bCs/>
          <w:highlight w:val="none"/>
        </w:rPr>
      </w:pPr>
      <w:r>
        <w:rPr>
          <w:rFonts w:hint="eastAsia" w:ascii="宋体" w:hAnsi="宋体" w:cs="宋体"/>
          <w:bCs/>
          <w:highlight w:val="none"/>
          <w:lang w:val="en-US" w:eastAsia="zh-CN"/>
        </w:rPr>
        <w:t>36.</w:t>
      </w:r>
      <w:r>
        <w:rPr>
          <w:rFonts w:hint="eastAsia" w:ascii="宋体" w:hAnsi="宋体" w:cs="宋体"/>
          <w:bCs/>
          <w:highlight w:val="none"/>
        </w:rPr>
        <w:t>中标通知与中标结果公告</w:t>
      </w:r>
    </w:p>
    <w:p w14:paraId="01CCBC48">
      <w:pPr>
        <w:widowControl/>
        <w:adjustRightInd w:val="0"/>
        <w:spacing w:line="400" w:lineRule="exact"/>
        <w:ind w:firstLine="420" w:firstLineChars="200"/>
        <w:jc w:val="both"/>
        <w:rPr>
          <w:rFonts w:ascii="宋体" w:hAnsi="宋体" w:cs="宋体"/>
          <w:highlight w:val="none"/>
        </w:rPr>
      </w:pPr>
      <w:r>
        <w:rPr>
          <w:rFonts w:hint="eastAsia" w:ascii="宋体" w:hAnsi="宋体" w:cs="宋体"/>
          <w:bCs/>
          <w:highlight w:val="none"/>
          <w:lang w:val="en-US" w:eastAsia="zh-CN"/>
        </w:rPr>
        <w:t>36.1</w:t>
      </w:r>
      <w:r>
        <w:rPr>
          <w:rFonts w:hint="eastAsia" w:ascii="宋体" w:hAnsi="宋体" w:cs="宋体"/>
          <w:bCs/>
          <w:highlight w:val="none"/>
        </w:rPr>
        <w:t>采购结果经采购人确认后，采购代理机构将于2个工作日内在</w:t>
      </w:r>
      <w:r>
        <w:rPr>
          <w:rFonts w:hint="eastAsia" w:ascii="宋体" w:hAnsi="宋体" w:cs="宋体"/>
          <w:bCs/>
          <w:highlight w:val="none"/>
          <w:lang w:eastAsia="zh-CN"/>
        </w:rPr>
        <w:t>乐采云平台</w:t>
      </w:r>
      <w:r>
        <w:rPr>
          <w:rFonts w:hint="eastAsia" w:ascii="宋体" w:hAnsi="宋体" w:cs="宋体"/>
          <w:bCs/>
          <w:highlight w:val="none"/>
        </w:rPr>
        <w:t>和新昌县公共资源交易平台</w:t>
      </w:r>
      <w:r>
        <w:rPr>
          <w:rFonts w:hint="eastAsia" w:ascii="宋体" w:hAnsi="宋体" w:cs="宋体"/>
          <w:bCs/>
          <w:highlight w:val="none"/>
          <w:lang w:val="en-US" w:eastAsia="zh-CN"/>
        </w:rPr>
        <w:t>上</w:t>
      </w:r>
      <w:r>
        <w:rPr>
          <w:rFonts w:hint="eastAsia" w:ascii="宋体" w:hAnsi="宋体" w:cs="宋体"/>
          <w:bCs/>
          <w:highlight w:val="none"/>
        </w:rPr>
        <w:t>发布中标公告，并向中标方签发书面《中标通知书》。中标通知书发出后，中标单位无正当理由不得放弃中标。</w:t>
      </w:r>
    </w:p>
    <w:p w14:paraId="3551274B">
      <w:pPr>
        <w:widowControl/>
        <w:adjustRightInd w:val="0"/>
        <w:spacing w:line="400" w:lineRule="exact"/>
        <w:ind w:firstLine="480"/>
        <w:jc w:val="left"/>
        <w:rPr>
          <w:rFonts w:ascii="宋体" w:hAnsi="宋体" w:cs="宋体"/>
          <w:highlight w:val="none"/>
        </w:rPr>
      </w:pPr>
      <w:r>
        <w:rPr>
          <w:rFonts w:hint="eastAsia" w:ascii="宋体" w:hAnsi="宋体" w:cs="宋体"/>
          <w:highlight w:val="none"/>
          <w:lang w:val="en-US" w:eastAsia="zh-CN"/>
        </w:rPr>
        <w:t>36.2</w:t>
      </w:r>
      <w:r>
        <w:rPr>
          <w:rFonts w:hint="eastAsia" w:ascii="宋体" w:hAnsi="宋体" w:cs="宋体"/>
          <w:highlight w:val="none"/>
        </w:rPr>
        <w:t>中标结果公告内容包括采购人及其委托的采购代理机构的名称、地址、联系方式，项目名称和项目编号，中标人名称、地址和中标金额，主要中标标的的名称、规格型号、数量、单价、服务要求，开标记录、未中标情况说明、中标公告期限以及评审专家名单、评分汇总及明细。</w:t>
      </w:r>
    </w:p>
    <w:p w14:paraId="23C4DCFF">
      <w:pPr>
        <w:widowControl/>
        <w:adjustRightInd w:val="0"/>
        <w:spacing w:line="400" w:lineRule="exact"/>
        <w:ind w:firstLine="480"/>
        <w:jc w:val="left"/>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7</w:t>
      </w:r>
      <w:r>
        <w:rPr>
          <w:rFonts w:hint="eastAsia" w:ascii="宋体" w:hAnsi="宋体" w:cs="宋体"/>
          <w:highlight w:val="none"/>
        </w:rPr>
        <w:t>.公告期限为1个工作日。</w:t>
      </w:r>
    </w:p>
    <w:p w14:paraId="5CB0A2D5">
      <w:pPr>
        <w:pStyle w:val="5"/>
        <w:spacing w:before="0" w:after="0" w:line="400" w:lineRule="exact"/>
        <w:ind w:firstLine="211" w:firstLineChars="100"/>
        <w:rPr>
          <w:rFonts w:ascii="宋体" w:hAnsi="宋体" w:eastAsia="宋体" w:cs="宋体"/>
          <w:sz w:val="21"/>
          <w:szCs w:val="21"/>
          <w:highlight w:val="none"/>
        </w:rPr>
      </w:pPr>
      <w:r>
        <w:rPr>
          <w:rFonts w:hint="eastAsia" w:ascii="宋体" w:hAnsi="宋体" w:eastAsia="宋体" w:cs="宋体"/>
          <w:sz w:val="21"/>
          <w:szCs w:val="21"/>
          <w:highlight w:val="none"/>
        </w:rPr>
        <w:t>十二  授予合同</w:t>
      </w:r>
    </w:p>
    <w:p w14:paraId="3D6D0BEB">
      <w:pPr>
        <w:spacing w:line="400" w:lineRule="exact"/>
        <w:ind w:firstLine="420" w:firstLineChars="200"/>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8</w:t>
      </w:r>
      <w:r>
        <w:rPr>
          <w:rFonts w:hint="eastAsia" w:ascii="宋体" w:hAnsi="宋体" w:cs="宋体"/>
          <w:highlight w:val="none"/>
        </w:rPr>
        <w:t>. 合同的签订</w:t>
      </w:r>
    </w:p>
    <w:p w14:paraId="432CFC2B">
      <w:pPr>
        <w:spacing w:line="400" w:lineRule="exact"/>
        <w:ind w:firstLine="420" w:firstLineChars="200"/>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8</w:t>
      </w:r>
      <w:r>
        <w:rPr>
          <w:rFonts w:hint="eastAsia" w:ascii="宋体" w:hAnsi="宋体" w:cs="宋体"/>
          <w:highlight w:val="none"/>
        </w:rPr>
        <w:t>.1 采购人与中标人应当通过电子交易平台在中标通知书发出之日起三十日内，按照招标文件确定的事项签订采购合同，并在合同签订之日起2个工作日内依法发布合同公告。</w:t>
      </w:r>
    </w:p>
    <w:p w14:paraId="06505E3E">
      <w:pPr>
        <w:spacing w:line="400" w:lineRule="exact"/>
        <w:ind w:firstLine="420" w:firstLineChars="200"/>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8</w:t>
      </w:r>
      <w:r>
        <w:rPr>
          <w:rFonts w:hint="eastAsia" w:ascii="宋体" w:hAnsi="宋体" w:cs="宋体"/>
          <w:highlight w:val="none"/>
        </w:rPr>
        <w:t>.2中标人按规定的日期、时间、地点，由法定代表人或其授权代表与采购人代表签订合同。如中标人为联合体的，由联合体成员各方法定代表人或其授权代表与采购人代表签订合同。</w:t>
      </w:r>
    </w:p>
    <w:p w14:paraId="247A4679">
      <w:pPr>
        <w:spacing w:line="400" w:lineRule="exact"/>
        <w:ind w:firstLine="420" w:firstLineChars="200"/>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8</w:t>
      </w:r>
      <w:r>
        <w:rPr>
          <w:rFonts w:hint="eastAsia" w:ascii="宋体" w:hAnsi="宋体" w:cs="宋体"/>
          <w:highlight w:val="none"/>
        </w:rPr>
        <w:t>.3如签订合同并生效后，供应商无故拒绝或延期，除按照合同条款处理外，列入不良行为记录一次，并给予通报。</w:t>
      </w:r>
    </w:p>
    <w:p w14:paraId="6007A063">
      <w:pPr>
        <w:spacing w:line="400" w:lineRule="exact"/>
        <w:ind w:firstLine="420" w:firstLineChars="200"/>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8</w:t>
      </w:r>
      <w:r>
        <w:rPr>
          <w:rFonts w:hint="eastAsia" w:ascii="宋体" w:hAnsi="宋体" w:cs="宋体"/>
          <w:highlight w:val="none"/>
        </w:rPr>
        <w:t>.4中标供应商拒绝与采购人签订合同的，采购人可以按照评审报告推荐的中标或者成交候选人名单排序，确定下一候选人为中标供应商，也可以重新开展采购活动。</w:t>
      </w:r>
    </w:p>
    <w:p w14:paraId="5AC69EE5">
      <w:pPr>
        <w:spacing w:line="400" w:lineRule="exact"/>
        <w:ind w:firstLine="420" w:firstLineChars="200"/>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8</w:t>
      </w:r>
      <w:r>
        <w:rPr>
          <w:rFonts w:hint="eastAsia" w:ascii="宋体" w:hAnsi="宋体" w:cs="宋体"/>
          <w:highlight w:val="none"/>
        </w:rPr>
        <w:t>.5采购合同由采购人与中标供应商根据招标文件、投标文件等内容通过采购电子交易平台在线签订，自动备案。</w:t>
      </w:r>
    </w:p>
    <w:p w14:paraId="484D5599">
      <w:pPr>
        <w:spacing w:line="400" w:lineRule="exact"/>
        <w:ind w:firstLine="420" w:firstLineChars="200"/>
        <w:rPr>
          <w:rFonts w:hint="eastAsia" w:ascii="宋体" w:hAnsi="宋体" w:eastAsia="宋体" w:cs="宋体"/>
          <w:highlight w:val="none"/>
          <w:lang w:eastAsia="zh-CN"/>
        </w:rPr>
      </w:pPr>
      <w:r>
        <w:rPr>
          <w:rFonts w:hint="eastAsia" w:ascii="宋体" w:hAnsi="宋体" w:cs="宋体"/>
          <w:highlight w:val="none"/>
        </w:rPr>
        <w:t>3</w:t>
      </w:r>
      <w:r>
        <w:rPr>
          <w:rFonts w:hint="eastAsia" w:ascii="宋体" w:hAnsi="宋体" w:cs="宋体"/>
          <w:highlight w:val="none"/>
          <w:lang w:val="en-US" w:eastAsia="zh-CN"/>
        </w:rPr>
        <w:t>9</w:t>
      </w:r>
      <w:r>
        <w:rPr>
          <w:rFonts w:hint="eastAsia" w:ascii="宋体" w:hAnsi="宋体" w:cs="宋体"/>
          <w:highlight w:val="none"/>
        </w:rPr>
        <w:t>. 履约保证金</w:t>
      </w:r>
      <w:r>
        <w:rPr>
          <w:rFonts w:hint="eastAsia" w:ascii="宋体" w:hAnsi="宋体" w:cs="宋体"/>
          <w:highlight w:val="none"/>
          <w:lang w:eastAsia="zh-CN"/>
        </w:rPr>
        <w:t>（</w:t>
      </w:r>
      <w:r>
        <w:rPr>
          <w:rFonts w:hint="eastAsia" w:ascii="宋体" w:hAnsi="宋体" w:cs="宋体"/>
          <w:highlight w:val="none"/>
          <w:lang w:val="en-US" w:eastAsia="zh-CN"/>
        </w:rPr>
        <w:t>若有</w:t>
      </w:r>
      <w:r>
        <w:rPr>
          <w:rFonts w:hint="eastAsia" w:ascii="宋体" w:hAnsi="宋体" w:cs="宋体"/>
          <w:highlight w:val="none"/>
          <w:lang w:eastAsia="zh-CN"/>
        </w:rPr>
        <w:t>）</w:t>
      </w:r>
    </w:p>
    <w:p w14:paraId="2A872879">
      <w:pPr>
        <w:spacing w:line="400" w:lineRule="exact"/>
        <w:ind w:firstLine="420" w:firstLineChars="200"/>
        <w:rPr>
          <w:rFonts w:ascii="宋体" w:hAnsi="宋体" w:cs="宋体"/>
          <w:highlight w:val="none"/>
        </w:rPr>
      </w:pPr>
      <w:r>
        <w:rPr>
          <w:rFonts w:hint="eastAsia" w:ascii="宋体" w:hAnsi="宋体" w:cs="宋体"/>
          <w:highlight w:val="none"/>
        </w:rPr>
        <w:t>履约保证金的数额不得超过采购合同金额的1%。</w:t>
      </w:r>
    </w:p>
    <w:p w14:paraId="3E9D5C77">
      <w:pPr>
        <w:pStyle w:val="5"/>
        <w:spacing w:before="0" w:after="0" w:line="400" w:lineRule="exact"/>
        <w:ind w:firstLine="211" w:firstLineChars="100"/>
        <w:rPr>
          <w:rFonts w:ascii="宋体" w:hAnsi="宋体" w:eastAsia="宋体" w:cs="宋体"/>
          <w:sz w:val="21"/>
          <w:szCs w:val="21"/>
          <w:highlight w:val="none"/>
        </w:rPr>
      </w:pPr>
      <w:bookmarkStart w:id="63" w:name="_Toc43498231"/>
      <w:r>
        <w:rPr>
          <w:rFonts w:hint="eastAsia" w:ascii="宋体" w:hAnsi="宋体" w:eastAsia="宋体" w:cs="宋体"/>
          <w:sz w:val="21"/>
          <w:szCs w:val="21"/>
          <w:highlight w:val="none"/>
        </w:rPr>
        <w:t>十三  验收</w:t>
      </w:r>
      <w:bookmarkEnd w:id="63"/>
    </w:p>
    <w:p w14:paraId="21CBC2AA">
      <w:pPr>
        <w:spacing w:line="400" w:lineRule="exact"/>
        <w:ind w:firstLine="420" w:firstLineChars="200"/>
        <w:rPr>
          <w:rFonts w:ascii="宋体" w:hAnsi="宋体" w:cs="宋体"/>
          <w:highlight w:val="none"/>
        </w:rPr>
      </w:pPr>
      <w:bookmarkStart w:id="64" w:name="_Toc15805937"/>
      <w:bookmarkStart w:id="65" w:name="_Toc47756031"/>
      <w:bookmarkStart w:id="66" w:name="_Toc15813254"/>
      <w:bookmarkStart w:id="67" w:name="_Toc45506731"/>
      <w:bookmarkStart w:id="68" w:name="_Toc107820052"/>
      <w:r>
        <w:rPr>
          <w:rFonts w:hint="eastAsia" w:ascii="宋体" w:hAnsi="宋体" w:cs="宋体"/>
          <w:highlight w:val="none"/>
          <w:lang w:val="en-US" w:eastAsia="zh-CN"/>
        </w:rPr>
        <w:t>40</w:t>
      </w:r>
      <w:r>
        <w:rPr>
          <w:rFonts w:hint="eastAsia" w:ascii="宋体" w:hAnsi="宋体" w:cs="宋体"/>
          <w:highlight w:val="none"/>
        </w:rPr>
        <w:t>. 采购人应当按照采购合同规定的技术、服务、安全标准组织对投标人履约情况进行验收，并出具验收书。验收书应当包括每一项技术、服务、安全标准的履约情况。</w:t>
      </w:r>
    </w:p>
    <w:p w14:paraId="2E578758">
      <w:pPr>
        <w:pStyle w:val="45"/>
        <w:snapToGrid w:val="0"/>
        <w:spacing w:line="400" w:lineRule="exact"/>
        <w:ind w:firstLine="420" w:firstLineChars="200"/>
        <w:jc w:val="both"/>
        <w:rPr>
          <w:rFonts w:hAnsi="宋体" w:cs="宋体"/>
          <w:kern w:val="2"/>
          <w:sz w:val="21"/>
          <w:szCs w:val="21"/>
          <w:highlight w:val="none"/>
        </w:rPr>
      </w:pPr>
      <w:r>
        <w:rPr>
          <w:rFonts w:hint="eastAsia" w:hAnsi="宋体" w:cs="宋体"/>
          <w:kern w:val="2"/>
          <w:sz w:val="21"/>
          <w:szCs w:val="21"/>
          <w:highlight w:val="none"/>
          <w:lang w:val="en-US" w:eastAsia="zh-CN"/>
        </w:rPr>
        <w:t>40</w:t>
      </w:r>
      <w:r>
        <w:rPr>
          <w:rFonts w:hint="eastAsia" w:hAnsi="宋体" w:cs="宋体"/>
          <w:kern w:val="2"/>
          <w:sz w:val="21"/>
          <w:szCs w:val="21"/>
          <w:highlight w:val="none"/>
        </w:rPr>
        <w:t>.1本项目采购人可邀请第三方机构参与验收、核对，参与验收、核对的内容为中标产品的技术指标、规格型号、保修服务、承诺等内容，是否和</w:t>
      </w:r>
      <w:r>
        <w:rPr>
          <w:rFonts w:hint="eastAsia" w:hAnsi="宋体" w:cs="宋体"/>
          <w:sz w:val="21"/>
          <w:szCs w:val="21"/>
          <w:highlight w:val="none"/>
        </w:rPr>
        <w:t>招标文件</w:t>
      </w:r>
      <w:r>
        <w:rPr>
          <w:rFonts w:hint="eastAsia" w:hAnsi="宋体" w:cs="宋体"/>
          <w:kern w:val="2"/>
          <w:sz w:val="21"/>
          <w:szCs w:val="21"/>
          <w:highlight w:val="none"/>
        </w:rPr>
        <w:t>、中标人</w:t>
      </w:r>
      <w:r>
        <w:rPr>
          <w:rFonts w:hint="eastAsia" w:hAnsi="宋体" w:cs="宋体"/>
          <w:sz w:val="21"/>
          <w:szCs w:val="21"/>
          <w:highlight w:val="none"/>
        </w:rPr>
        <w:t>投标文件</w:t>
      </w:r>
      <w:r>
        <w:rPr>
          <w:rFonts w:hint="eastAsia" w:hAnsi="宋体" w:cs="宋体"/>
          <w:kern w:val="2"/>
          <w:sz w:val="21"/>
          <w:szCs w:val="21"/>
          <w:highlight w:val="none"/>
        </w:rPr>
        <w:t>的内容相符合。</w:t>
      </w:r>
    </w:p>
    <w:bookmarkEnd w:id="64"/>
    <w:bookmarkEnd w:id="65"/>
    <w:bookmarkEnd w:id="66"/>
    <w:bookmarkEnd w:id="67"/>
    <w:bookmarkEnd w:id="68"/>
    <w:p w14:paraId="56E195E6">
      <w:pPr>
        <w:pStyle w:val="5"/>
        <w:spacing w:before="0" w:after="0" w:line="400" w:lineRule="exact"/>
        <w:ind w:firstLine="211" w:firstLineChars="100"/>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十</w:t>
      </w:r>
      <w:r>
        <w:rPr>
          <w:rFonts w:hint="eastAsia" w:ascii="宋体" w:hAnsi="宋体" w:eastAsia="宋体" w:cs="宋体"/>
          <w:sz w:val="21"/>
          <w:szCs w:val="21"/>
          <w:highlight w:val="none"/>
          <w:lang w:val="en-US" w:eastAsia="zh-CN"/>
        </w:rPr>
        <w:t>四</w:t>
      </w:r>
      <w:r>
        <w:rPr>
          <w:rFonts w:hint="eastAsia" w:ascii="宋体" w:hAnsi="宋体" w:eastAsia="宋体" w:cs="宋体"/>
          <w:sz w:val="21"/>
          <w:szCs w:val="21"/>
          <w:highlight w:val="none"/>
        </w:rPr>
        <w:t xml:space="preserve">  </w:t>
      </w:r>
      <w:r>
        <w:rPr>
          <w:rFonts w:hint="eastAsia" w:ascii="宋体" w:hAnsi="宋体" w:eastAsia="宋体" w:cs="宋体"/>
          <w:sz w:val="21"/>
          <w:szCs w:val="21"/>
          <w:highlight w:val="none"/>
          <w:lang w:val="en-US" w:eastAsia="zh-CN"/>
        </w:rPr>
        <w:t>其他</w:t>
      </w:r>
    </w:p>
    <w:p w14:paraId="1567A418">
      <w:pPr>
        <w:spacing w:line="400" w:lineRule="exact"/>
        <w:ind w:firstLine="420" w:firstLineChars="200"/>
        <w:rPr>
          <w:rFonts w:ascii="宋体" w:hAnsi="宋体" w:cs="宋体"/>
          <w:highlight w:val="none"/>
        </w:rPr>
      </w:pPr>
      <w:r>
        <w:rPr>
          <w:rFonts w:hint="eastAsia" w:ascii="宋体" w:hAnsi="宋体" w:cs="宋体"/>
          <w:highlight w:val="none"/>
        </w:rPr>
        <w:t>4</w:t>
      </w:r>
      <w:r>
        <w:rPr>
          <w:rFonts w:hint="eastAsia" w:ascii="宋体" w:hAnsi="宋体" w:cs="宋体"/>
          <w:highlight w:val="none"/>
          <w:lang w:val="en-US" w:eastAsia="zh-CN"/>
        </w:rPr>
        <w:t>1</w:t>
      </w:r>
      <w:r>
        <w:rPr>
          <w:rFonts w:hint="eastAsia" w:ascii="宋体" w:hAnsi="宋体" w:cs="宋体"/>
          <w:highlight w:val="none"/>
        </w:rPr>
        <w:t>. 解释权</w:t>
      </w:r>
    </w:p>
    <w:p w14:paraId="33FA3D8D">
      <w:pPr>
        <w:spacing w:line="400" w:lineRule="exact"/>
        <w:ind w:firstLine="420" w:firstLineChars="200"/>
        <w:rPr>
          <w:rFonts w:ascii="宋体" w:hAnsi="宋体" w:cs="宋体"/>
          <w:highlight w:val="none"/>
        </w:rPr>
      </w:pPr>
      <w:r>
        <w:rPr>
          <w:rFonts w:hint="eastAsia" w:ascii="宋体" w:hAnsi="宋体" w:cs="宋体"/>
          <w:highlight w:val="none"/>
        </w:rPr>
        <w:t>4</w:t>
      </w:r>
      <w:r>
        <w:rPr>
          <w:rFonts w:hint="eastAsia" w:ascii="宋体" w:hAnsi="宋体" w:cs="宋体"/>
          <w:highlight w:val="none"/>
          <w:lang w:val="en-US" w:eastAsia="zh-CN"/>
        </w:rPr>
        <w:t>1</w:t>
      </w:r>
      <w:r>
        <w:rPr>
          <w:rFonts w:hint="eastAsia" w:ascii="宋体" w:hAnsi="宋体" w:cs="宋体"/>
          <w:highlight w:val="none"/>
        </w:rPr>
        <w:t>.1本招标文件是根据国家有关法律、法规、规章和有关规定编制的,解释权属采购代理机构。</w:t>
      </w:r>
    </w:p>
    <w:p w14:paraId="492EA478">
      <w:pPr>
        <w:spacing w:line="360" w:lineRule="auto"/>
        <w:ind w:firstLine="420" w:firstLineChars="200"/>
        <w:rPr>
          <w:rFonts w:ascii="宋体" w:hAnsi="宋体" w:cs="宋体"/>
          <w:highlight w:val="none"/>
        </w:rPr>
      </w:pPr>
      <w:r>
        <w:rPr>
          <w:rFonts w:hint="eastAsia" w:ascii="宋体" w:hAnsi="宋体" w:cs="宋体"/>
          <w:highlight w:val="none"/>
        </w:rPr>
        <w:t>4</w:t>
      </w:r>
      <w:r>
        <w:rPr>
          <w:rFonts w:hint="eastAsia" w:ascii="宋体" w:hAnsi="宋体" w:cs="宋体"/>
          <w:highlight w:val="none"/>
          <w:lang w:val="en-US" w:eastAsia="zh-CN"/>
        </w:rPr>
        <w:t>2</w:t>
      </w:r>
      <w:r>
        <w:rPr>
          <w:rFonts w:hint="eastAsia" w:ascii="宋体" w:hAnsi="宋体" w:cs="宋体"/>
          <w:highlight w:val="none"/>
        </w:rPr>
        <w:t>. 采购代理机构对决标结果不负责解释。</w:t>
      </w:r>
      <w:bookmarkStart w:id="69" w:name="_Toc43498235"/>
    </w:p>
    <w:p w14:paraId="4D3902E8">
      <w:pPr>
        <w:rPr>
          <w:rFonts w:ascii="宋体" w:hAnsi="宋体" w:cs="宋体"/>
          <w:highlight w:val="none"/>
        </w:rPr>
      </w:pPr>
      <w:r>
        <w:rPr>
          <w:rFonts w:hint="eastAsia" w:ascii="宋体" w:hAnsi="宋体" w:cs="宋体"/>
          <w:highlight w:val="none"/>
        </w:rPr>
        <w:br w:type="page"/>
      </w:r>
    </w:p>
    <w:p w14:paraId="5D36C5F6">
      <w:pPr>
        <w:widowControl/>
        <w:jc w:val="center"/>
        <w:rPr>
          <w:rFonts w:ascii="宋体" w:hAnsi="宋体" w:cs="宋体"/>
          <w:b/>
          <w:bCs/>
          <w:highlight w:val="none"/>
        </w:rPr>
      </w:pPr>
      <w:bookmarkStart w:id="70" w:name="_Toc43498234"/>
      <w:r>
        <w:rPr>
          <w:rFonts w:hint="eastAsia" w:ascii="宋体" w:hAnsi="宋体" w:cs="宋体"/>
          <w:b/>
          <w:bCs/>
          <w:highlight w:val="none"/>
        </w:rPr>
        <w:t>第三部分  采购需求</w:t>
      </w:r>
      <w:bookmarkEnd w:id="70"/>
    </w:p>
    <w:p w14:paraId="32579879">
      <w:pPr>
        <w:keepNext/>
        <w:keepLines/>
        <w:pageBreakBefore w:val="0"/>
        <w:widowControl w:val="0"/>
        <w:numPr>
          <w:ilvl w:val="0"/>
          <w:numId w:val="4"/>
        </w:numPr>
        <w:kinsoku/>
        <w:wordWrap/>
        <w:overflowPunct/>
        <w:topLinePunct w:val="0"/>
        <w:autoSpaceDE/>
        <w:autoSpaceDN/>
        <w:bidi w:val="0"/>
        <w:adjustRightInd/>
        <w:snapToGrid/>
        <w:spacing w:before="0" w:after="0" w:line="360" w:lineRule="auto"/>
        <w:ind w:left="0" w:leftChars="0" w:firstLine="422" w:firstLineChars="200"/>
        <w:jc w:val="left"/>
        <w:textAlignment w:val="auto"/>
        <w:outlineLvl w:val="1"/>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项目概况</w:t>
      </w:r>
    </w:p>
    <w:p w14:paraId="7F99069F">
      <w:pPr>
        <w:numPr>
          <w:ilvl w:val="0"/>
          <w:numId w:val="0"/>
        </w:numPr>
        <w:autoSpaceDE w:val="0"/>
        <w:autoSpaceDN w:val="0"/>
        <w:adjustRightInd w:val="0"/>
        <w:spacing w:line="360" w:lineRule="auto"/>
        <w:ind w:firstLine="420" w:firstLineChars="200"/>
        <w:rPr>
          <w:rFonts w:hint="eastAsia" w:ascii="宋体" w:hAnsi="宋体" w:cs="宋体"/>
          <w:sz w:val="21"/>
          <w:szCs w:val="21"/>
          <w:highlight w:val="none"/>
          <w:lang w:val="en-US" w:eastAsia="zh-CN"/>
        </w:rPr>
      </w:pPr>
      <w:bookmarkStart w:id="71" w:name="_Hlk156832416"/>
      <w:r>
        <w:rPr>
          <w:rFonts w:hint="eastAsia" w:ascii="宋体" w:hAnsi="宋体" w:cs="宋体"/>
          <w:sz w:val="21"/>
          <w:szCs w:val="21"/>
          <w:highlight w:val="none"/>
          <w:lang w:val="en-US" w:eastAsia="zh-CN"/>
        </w:rPr>
        <w:t>2023年浙江省生态环境厅、省经济和信息化厅、省应急管理厅印发《浙江省化工园区突发水污染事件多级防控体系建设提升工作方案（2023—2025年）》的通知(浙环发〔2023〕25号)要求，通过三年建设提升，在全省化工园区建成比较完备的企业级-企间级-园区级-流域级突发水污染事件多级防控体系，环境应急管理机构完善，应急救援队伍、应急物资装备齐全，长效管理制度健全，化工园区环境应急能力全面提升，形成设施完备、机制健全、调度有序、管理规范的水污染物应急处突防范响应体系，实现“不让一滴事故污水流出园区”的目标。</w:t>
      </w:r>
    </w:p>
    <w:p w14:paraId="76A6441D">
      <w:pPr>
        <w:numPr>
          <w:ilvl w:val="0"/>
          <w:numId w:val="0"/>
        </w:numPr>
        <w:autoSpaceDE w:val="0"/>
        <w:autoSpaceDN w:val="0"/>
        <w:adjustRightInd w:val="0"/>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新昌高新技术产业园区化工园区为高质量落实《浙江省化工园区突发水污染事件多级防控体系建设提升工作方案（2023-2025年）》，进一步提升园区突发水污染事件应急准备能力和响应能力，有效应对企业、园区、河流突发环境事件，开展园区突发水污染事件多级防控体系建设工作。</w:t>
      </w:r>
    </w:p>
    <w:p w14:paraId="56592C80">
      <w:pPr>
        <w:keepNext/>
        <w:keepLines/>
        <w:pageBreakBefore w:val="0"/>
        <w:widowControl w:val="0"/>
        <w:numPr>
          <w:ilvl w:val="0"/>
          <w:numId w:val="4"/>
        </w:numPr>
        <w:kinsoku/>
        <w:wordWrap/>
        <w:overflowPunct/>
        <w:topLinePunct w:val="0"/>
        <w:autoSpaceDE/>
        <w:autoSpaceDN/>
        <w:bidi w:val="0"/>
        <w:adjustRightInd/>
        <w:snapToGrid/>
        <w:spacing w:before="0" w:after="0" w:line="360" w:lineRule="auto"/>
        <w:ind w:left="0" w:leftChars="0" w:firstLine="422" w:firstLineChars="200"/>
        <w:jc w:val="left"/>
        <w:textAlignment w:val="auto"/>
        <w:outlineLvl w:val="1"/>
        <w:rPr>
          <w:rFonts w:hint="eastAsia" w:ascii="宋体" w:hAnsi="宋体" w:eastAsia="宋体" w:cs="宋体"/>
          <w:b/>
          <w:bCs/>
          <w:color w:val="auto"/>
          <w:kern w:val="2"/>
          <w:sz w:val="21"/>
          <w:szCs w:val="21"/>
          <w:highlight w:val="none"/>
          <w:lang w:val="en-US" w:eastAsia="zh-CN" w:bidi="ar-SA"/>
        </w:rPr>
      </w:pPr>
      <w:r>
        <w:rPr>
          <w:rFonts w:hint="eastAsia" w:ascii="宋体" w:hAnsi="宋体" w:cs="宋体"/>
          <w:b/>
          <w:bCs/>
          <w:color w:val="auto"/>
          <w:kern w:val="2"/>
          <w:sz w:val="21"/>
          <w:szCs w:val="21"/>
          <w:highlight w:val="none"/>
          <w:lang w:val="en-US" w:eastAsia="zh-CN" w:bidi="ar-SA"/>
        </w:rPr>
        <w:t>采购清单</w:t>
      </w:r>
    </w:p>
    <w:tbl>
      <w:tblPr>
        <w:tblStyle w:val="49"/>
        <w:tblW w:w="951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929"/>
        <w:gridCol w:w="2082"/>
        <w:gridCol w:w="1875"/>
        <w:gridCol w:w="2251"/>
        <w:gridCol w:w="1211"/>
        <w:gridCol w:w="1170"/>
      </w:tblGrid>
      <w:tr w14:paraId="2A5833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2"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77210742">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Fonts w:hint="eastAsia" w:ascii="宋体" w:hAnsi="宋体" w:eastAsia="宋体" w:cs="宋体"/>
                <w:b/>
                <w:i w:val="0"/>
                <w:color w:val="000000"/>
                <w:kern w:val="0"/>
                <w:sz w:val="21"/>
                <w:szCs w:val="21"/>
                <w:u w:val="none"/>
                <w:lang w:val="en-US" w:eastAsia="zh-CN" w:bidi="ar"/>
              </w:rPr>
              <w:t>序号</w:t>
            </w:r>
          </w:p>
        </w:tc>
        <w:tc>
          <w:tcPr>
            <w:tcW w:w="6208" w:type="dxa"/>
            <w:gridSpan w:val="3"/>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6C0EA251">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Fonts w:hint="eastAsia" w:ascii="宋体" w:hAnsi="宋体" w:eastAsia="宋体" w:cs="宋体"/>
                <w:b/>
                <w:i w:val="0"/>
                <w:color w:val="000000"/>
                <w:kern w:val="0"/>
                <w:sz w:val="21"/>
                <w:szCs w:val="21"/>
                <w:u w:val="none"/>
                <w:lang w:val="en-US" w:eastAsia="zh-CN" w:bidi="ar"/>
              </w:rPr>
              <w:t>建设事项</w:t>
            </w:r>
          </w:p>
        </w:tc>
        <w:tc>
          <w:tcPr>
            <w:tcW w:w="121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7B0C5BD9">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Fonts w:hint="eastAsia" w:ascii="宋体" w:hAnsi="宋体" w:eastAsia="宋体" w:cs="宋体"/>
                <w:b/>
                <w:i w:val="0"/>
                <w:color w:val="000000"/>
                <w:kern w:val="0"/>
                <w:sz w:val="21"/>
                <w:szCs w:val="21"/>
                <w:u w:val="none"/>
                <w:lang w:val="en-US" w:eastAsia="zh-CN" w:bidi="ar"/>
              </w:rPr>
              <w:t>数量</w:t>
            </w:r>
          </w:p>
        </w:tc>
        <w:tc>
          <w:tcPr>
            <w:tcW w:w="1170"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38FBAD8E">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Fonts w:hint="eastAsia" w:ascii="宋体" w:hAnsi="宋体" w:eastAsia="宋体" w:cs="宋体"/>
                <w:b/>
                <w:i w:val="0"/>
                <w:color w:val="000000"/>
                <w:kern w:val="0"/>
                <w:sz w:val="21"/>
                <w:szCs w:val="21"/>
                <w:u w:val="none"/>
                <w:lang w:val="en-US" w:eastAsia="zh-CN" w:bidi="ar"/>
              </w:rPr>
              <w:t>单位</w:t>
            </w:r>
          </w:p>
        </w:tc>
      </w:tr>
      <w:tr w14:paraId="673819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4AF0D2F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2082" w:type="dxa"/>
            <w:vMerge w:val="restart"/>
            <w:tcBorders>
              <w:top w:val="single" w:color="000000" w:sz="4" w:space="0"/>
              <w:left w:val="single" w:color="000000" w:sz="4" w:space="0"/>
              <w:bottom w:val="nil"/>
              <w:right w:val="single" w:color="000000" w:sz="4" w:space="0"/>
            </w:tcBorders>
            <w:noWrap w:val="0"/>
            <w:tcMar>
              <w:top w:w="10" w:type="dxa"/>
              <w:left w:w="10" w:type="dxa"/>
              <w:right w:w="10" w:type="dxa"/>
            </w:tcMar>
            <w:vAlign w:val="center"/>
          </w:tcPr>
          <w:p w14:paraId="5138640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公共雨水管网事故废水风险防控技术服务</w:t>
            </w:r>
          </w:p>
        </w:tc>
        <w:tc>
          <w:tcPr>
            <w:tcW w:w="1875" w:type="dxa"/>
            <w:vMerge w:val="restart"/>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221E09E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公共雨排口管控服务</w:t>
            </w:r>
          </w:p>
        </w:tc>
        <w:tc>
          <w:tcPr>
            <w:tcW w:w="2251"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1EAA9AB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141"/>
                <w:rFonts w:hint="eastAsia" w:ascii="宋体" w:hAnsi="宋体" w:eastAsia="宋体" w:cs="宋体"/>
                <w:sz w:val="21"/>
                <w:szCs w:val="21"/>
                <w:lang w:val="en-US" w:eastAsia="zh-CN" w:bidi="ar"/>
              </w:rPr>
              <w:t>排口截断服务</w:t>
            </w:r>
          </w:p>
        </w:tc>
        <w:tc>
          <w:tcPr>
            <w:tcW w:w="121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65F526E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w:t>
            </w:r>
          </w:p>
        </w:tc>
        <w:tc>
          <w:tcPr>
            <w:tcW w:w="1170"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27DA2D4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w:t>
            </w:r>
          </w:p>
        </w:tc>
      </w:tr>
      <w:tr w14:paraId="006FA1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087AFC3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w:t>
            </w:r>
          </w:p>
        </w:tc>
        <w:tc>
          <w:tcPr>
            <w:tcW w:w="2082" w:type="dxa"/>
            <w:vMerge w:val="continue"/>
            <w:tcBorders>
              <w:top w:val="single" w:color="000000" w:sz="4" w:space="0"/>
              <w:left w:val="single" w:color="000000" w:sz="4" w:space="0"/>
              <w:bottom w:val="nil"/>
              <w:right w:val="single" w:color="000000" w:sz="4" w:space="0"/>
            </w:tcBorders>
            <w:noWrap w:val="0"/>
            <w:tcMar>
              <w:top w:w="10" w:type="dxa"/>
              <w:left w:w="10" w:type="dxa"/>
              <w:right w:w="10" w:type="dxa"/>
            </w:tcMar>
            <w:vAlign w:val="center"/>
          </w:tcPr>
          <w:p w14:paraId="4C79ECFF">
            <w:pPr>
              <w:jc w:val="center"/>
              <w:rPr>
                <w:rFonts w:hint="eastAsia" w:ascii="宋体" w:hAnsi="宋体" w:eastAsia="宋体" w:cs="宋体"/>
                <w:i w:val="0"/>
                <w:color w:val="000000"/>
                <w:sz w:val="21"/>
                <w:szCs w:val="21"/>
                <w:u w:val="none"/>
              </w:rPr>
            </w:pPr>
          </w:p>
        </w:tc>
        <w:tc>
          <w:tcPr>
            <w:tcW w:w="1875" w:type="dxa"/>
            <w:vMerge w:val="continue"/>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4F485227">
            <w:pPr>
              <w:jc w:val="center"/>
              <w:rPr>
                <w:rFonts w:hint="eastAsia" w:ascii="宋体" w:hAnsi="宋体" w:eastAsia="宋体" w:cs="宋体"/>
                <w:i w:val="0"/>
                <w:color w:val="000000"/>
                <w:sz w:val="21"/>
                <w:szCs w:val="21"/>
                <w:u w:val="none"/>
              </w:rPr>
            </w:pPr>
          </w:p>
        </w:tc>
        <w:tc>
          <w:tcPr>
            <w:tcW w:w="2251"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56AE678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141"/>
                <w:rFonts w:hint="eastAsia" w:ascii="宋体" w:hAnsi="宋体" w:eastAsia="宋体" w:cs="宋体"/>
                <w:sz w:val="21"/>
                <w:szCs w:val="21"/>
                <w:lang w:val="en-US" w:eastAsia="zh-CN" w:bidi="ar"/>
              </w:rPr>
              <w:t>水质监测服务（</w:t>
            </w:r>
            <w:r>
              <w:rPr>
                <w:rFonts w:hint="eastAsia" w:ascii="宋体" w:hAnsi="宋体" w:eastAsia="宋体" w:cs="宋体"/>
                <w:i w:val="0"/>
                <w:color w:val="000000"/>
                <w:kern w:val="0"/>
                <w:sz w:val="21"/>
                <w:szCs w:val="21"/>
                <w:u w:val="none"/>
                <w:lang w:val="en-US" w:eastAsia="zh-CN" w:bidi="ar"/>
              </w:rPr>
              <w:t>pH计、微功率电导率监测终端、流量计、控制系统等</w:t>
            </w:r>
            <w:r>
              <w:rPr>
                <w:rStyle w:val="141"/>
                <w:rFonts w:hint="eastAsia" w:ascii="宋体" w:hAnsi="宋体" w:eastAsia="宋体" w:cs="宋体"/>
                <w:sz w:val="21"/>
                <w:szCs w:val="21"/>
                <w:lang w:val="en-US" w:eastAsia="zh-CN" w:bidi="ar"/>
              </w:rPr>
              <w:t>）及配套实施</w:t>
            </w:r>
          </w:p>
        </w:tc>
        <w:tc>
          <w:tcPr>
            <w:tcW w:w="121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163DB5C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w:t>
            </w:r>
          </w:p>
        </w:tc>
        <w:tc>
          <w:tcPr>
            <w:tcW w:w="1170"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2573976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w:t>
            </w:r>
          </w:p>
        </w:tc>
      </w:tr>
      <w:tr w14:paraId="0C4FED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576DCAA1">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3</w:t>
            </w:r>
          </w:p>
        </w:tc>
        <w:tc>
          <w:tcPr>
            <w:tcW w:w="2082" w:type="dxa"/>
            <w:vMerge w:val="continue"/>
            <w:tcBorders>
              <w:top w:val="single" w:color="000000" w:sz="4" w:space="0"/>
              <w:left w:val="single" w:color="000000" w:sz="4" w:space="0"/>
              <w:bottom w:val="nil"/>
              <w:right w:val="single" w:color="000000" w:sz="4" w:space="0"/>
            </w:tcBorders>
            <w:noWrap w:val="0"/>
            <w:tcMar>
              <w:top w:w="10" w:type="dxa"/>
              <w:left w:w="10" w:type="dxa"/>
              <w:right w:w="10" w:type="dxa"/>
            </w:tcMar>
            <w:vAlign w:val="center"/>
          </w:tcPr>
          <w:p w14:paraId="30970C1F">
            <w:pPr>
              <w:jc w:val="center"/>
              <w:rPr>
                <w:rFonts w:hint="eastAsia" w:ascii="宋体" w:hAnsi="宋体" w:eastAsia="宋体" w:cs="宋体"/>
                <w:i w:val="0"/>
                <w:color w:val="000000"/>
                <w:sz w:val="21"/>
                <w:szCs w:val="21"/>
                <w:u w:val="none"/>
              </w:rPr>
            </w:pPr>
          </w:p>
        </w:tc>
        <w:tc>
          <w:tcPr>
            <w:tcW w:w="1875" w:type="dxa"/>
            <w:tcBorders>
              <w:top w:val="single" w:color="000000" w:sz="4" w:space="0"/>
              <w:left w:val="single" w:color="000000" w:sz="4" w:space="0"/>
              <w:bottom w:val="nil"/>
              <w:right w:val="single" w:color="000000" w:sz="4" w:space="0"/>
            </w:tcBorders>
            <w:noWrap w:val="0"/>
            <w:tcMar>
              <w:top w:w="10" w:type="dxa"/>
              <w:left w:w="10" w:type="dxa"/>
              <w:right w:w="10" w:type="dxa"/>
            </w:tcMar>
            <w:vAlign w:val="center"/>
          </w:tcPr>
          <w:p w14:paraId="01CDEAA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园区排水渠管控服务</w:t>
            </w:r>
          </w:p>
        </w:tc>
        <w:tc>
          <w:tcPr>
            <w:tcW w:w="2251"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1AF27A0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渠道截断服务（气盾坝、控制系统等）及配套实施</w:t>
            </w:r>
          </w:p>
        </w:tc>
        <w:tc>
          <w:tcPr>
            <w:tcW w:w="121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01879A6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0C21DB2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w:t>
            </w:r>
          </w:p>
        </w:tc>
      </w:tr>
      <w:tr w14:paraId="1881EB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5CC54778">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4</w:t>
            </w:r>
          </w:p>
        </w:tc>
        <w:tc>
          <w:tcPr>
            <w:tcW w:w="2082" w:type="dxa"/>
            <w:vMerge w:val="restart"/>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140251C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多级防控数字化管理技术服务</w:t>
            </w:r>
          </w:p>
        </w:tc>
        <w:tc>
          <w:tcPr>
            <w:tcW w:w="1875" w:type="dxa"/>
            <w:vMerge w:val="restart"/>
            <w:tcBorders>
              <w:top w:val="single" w:color="000000" w:sz="4" w:space="0"/>
              <w:left w:val="single" w:color="000000" w:sz="4" w:space="0"/>
              <w:bottom w:val="single" w:color="000000" w:sz="4" w:space="0"/>
              <w:right w:val="nil"/>
            </w:tcBorders>
            <w:noWrap w:val="0"/>
            <w:tcMar>
              <w:top w:w="10" w:type="dxa"/>
              <w:left w:w="10" w:type="dxa"/>
              <w:right w:w="10" w:type="dxa"/>
            </w:tcMar>
            <w:vAlign w:val="center"/>
          </w:tcPr>
          <w:p w14:paraId="3DA06AF5">
            <w:pPr>
              <w:keepNext w:val="0"/>
              <w:keepLines w:val="0"/>
              <w:widowControl/>
              <w:suppressLineNumbers w:val="0"/>
              <w:jc w:val="center"/>
              <w:textAlignment w:val="center"/>
              <w:rPr>
                <w:rFonts w:hint="eastAsia" w:ascii="宋体" w:hAnsi="宋体" w:eastAsia="宋体" w:cs="宋体"/>
                <w:i w:val="0"/>
                <w:color w:val="000000"/>
                <w:sz w:val="21"/>
                <w:szCs w:val="21"/>
                <w:u w:val="none"/>
                <w:lang w:val="en-US"/>
              </w:rPr>
            </w:pPr>
            <w:r>
              <w:rPr>
                <w:rFonts w:hint="eastAsia" w:ascii="宋体" w:hAnsi="宋体" w:eastAsia="宋体" w:cs="宋体"/>
                <w:i w:val="0"/>
                <w:color w:val="000000"/>
                <w:kern w:val="0"/>
                <w:sz w:val="21"/>
                <w:szCs w:val="21"/>
                <w:u w:val="none"/>
                <w:lang w:val="en-US" w:eastAsia="zh-CN" w:bidi="ar"/>
              </w:rPr>
              <w:t>数字化监管平台环境应急模体系支撑</w:t>
            </w:r>
          </w:p>
        </w:tc>
        <w:tc>
          <w:tcPr>
            <w:tcW w:w="2251"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308A4F8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应急指挥驾驶舱</w:t>
            </w:r>
          </w:p>
        </w:tc>
        <w:tc>
          <w:tcPr>
            <w:tcW w:w="121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3BAE9A4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7D8423C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w:t>
            </w:r>
          </w:p>
        </w:tc>
      </w:tr>
      <w:tr w14:paraId="1A278E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2E7916CF">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5</w:t>
            </w:r>
          </w:p>
        </w:tc>
        <w:tc>
          <w:tcPr>
            <w:tcW w:w="2082" w:type="dxa"/>
            <w:vMerge w:val="continue"/>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2F075418">
            <w:pPr>
              <w:jc w:val="center"/>
              <w:rPr>
                <w:rFonts w:hint="eastAsia" w:ascii="宋体" w:hAnsi="宋体" w:eastAsia="宋体" w:cs="宋体"/>
                <w:i w:val="0"/>
                <w:color w:val="000000"/>
                <w:sz w:val="21"/>
                <w:szCs w:val="21"/>
                <w:u w:val="none"/>
              </w:rPr>
            </w:pPr>
          </w:p>
        </w:tc>
        <w:tc>
          <w:tcPr>
            <w:tcW w:w="1875" w:type="dxa"/>
            <w:vMerge w:val="continue"/>
            <w:tcBorders>
              <w:top w:val="single" w:color="000000" w:sz="4" w:space="0"/>
              <w:left w:val="single" w:color="000000" w:sz="4" w:space="0"/>
              <w:bottom w:val="single" w:color="000000" w:sz="4" w:space="0"/>
              <w:right w:val="nil"/>
            </w:tcBorders>
            <w:noWrap w:val="0"/>
            <w:tcMar>
              <w:top w:w="10" w:type="dxa"/>
              <w:left w:w="10" w:type="dxa"/>
              <w:right w:w="10" w:type="dxa"/>
            </w:tcMar>
            <w:vAlign w:val="center"/>
          </w:tcPr>
          <w:p w14:paraId="00A847D5">
            <w:pPr>
              <w:jc w:val="center"/>
              <w:rPr>
                <w:rFonts w:hint="eastAsia" w:ascii="宋体" w:hAnsi="宋体" w:eastAsia="宋体" w:cs="宋体"/>
                <w:i w:val="0"/>
                <w:color w:val="000000"/>
                <w:sz w:val="21"/>
                <w:szCs w:val="21"/>
                <w:u w:val="none"/>
              </w:rPr>
            </w:pPr>
          </w:p>
        </w:tc>
        <w:tc>
          <w:tcPr>
            <w:tcW w:w="2251"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3778257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空间与设施基础信息管理</w:t>
            </w:r>
          </w:p>
        </w:tc>
        <w:tc>
          <w:tcPr>
            <w:tcW w:w="121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028AA9D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1AE1D2D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w:t>
            </w:r>
          </w:p>
        </w:tc>
      </w:tr>
      <w:tr w14:paraId="069690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7A94546D">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6</w:t>
            </w:r>
          </w:p>
        </w:tc>
        <w:tc>
          <w:tcPr>
            <w:tcW w:w="2082" w:type="dxa"/>
            <w:vMerge w:val="continue"/>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72B2EA11">
            <w:pPr>
              <w:jc w:val="center"/>
              <w:rPr>
                <w:rFonts w:hint="eastAsia" w:ascii="宋体" w:hAnsi="宋体" w:eastAsia="宋体" w:cs="宋体"/>
                <w:i w:val="0"/>
                <w:color w:val="000000"/>
                <w:sz w:val="21"/>
                <w:szCs w:val="21"/>
                <w:u w:val="none"/>
              </w:rPr>
            </w:pPr>
          </w:p>
        </w:tc>
        <w:tc>
          <w:tcPr>
            <w:tcW w:w="1875" w:type="dxa"/>
            <w:vMerge w:val="continue"/>
            <w:tcBorders>
              <w:top w:val="single" w:color="000000" w:sz="4" w:space="0"/>
              <w:left w:val="single" w:color="000000" w:sz="4" w:space="0"/>
              <w:bottom w:val="single" w:color="000000" w:sz="4" w:space="0"/>
              <w:right w:val="nil"/>
            </w:tcBorders>
            <w:noWrap w:val="0"/>
            <w:tcMar>
              <w:top w:w="10" w:type="dxa"/>
              <w:left w:w="10" w:type="dxa"/>
              <w:right w:w="10" w:type="dxa"/>
            </w:tcMar>
            <w:vAlign w:val="center"/>
          </w:tcPr>
          <w:p w14:paraId="661B06C2">
            <w:pPr>
              <w:jc w:val="center"/>
              <w:rPr>
                <w:rFonts w:hint="eastAsia" w:ascii="宋体" w:hAnsi="宋体" w:eastAsia="宋体" w:cs="宋体"/>
                <w:i w:val="0"/>
                <w:color w:val="000000"/>
                <w:sz w:val="21"/>
                <w:szCs w:val="21"/>
                <w:u w:val="none"/>
              </w:rPr>
            </w:pPr>
          </w:p>
        </w:tc>
        <w:tc>
          <w:tcPr>
            <w:tcW w:w="2251"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148ADB2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应急物资信息管理</w:t>
            </w:r>
          </w:p>
        </w:tc>
        <w:tc>
          <w:tcPr>
            <w:tcW w:w="121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3F1C225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71A3507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w:t>
            </w:r>
          </w:p>
        </w:tc>
      </w:tr>
      <w:tr w14:paraId="7B105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64D6C8FA">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7</w:t>
            </w:r>
          </w:p>
        </w:tc>
        <w:tc>
          <w:tcPr>
            <w:tcW w:w="2082" w:type="dxa"/>
            <w:vMerge w:val="continue"/>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48592DA8">
            <w:pPr>
              <w:jc w:val="center"/>
              <w:rPr>
                <w:rFonts w:hint="eastAsia" w:ascii="宋体" w:hAnsi="宋体" w:eastAsia="宋体" w:cs="宋体"/>
                <w:i w:val="0"/>
                <w:color w:val="000000"/>
                <w:sz w:val="21"/>
                <w:szCs w:val="21"/>
                <w:u w:val="none"/>
              </w:rPr>
            </w:pPr>
          </w:p>
        </w:tc>
        <w:tc>
          <w:tcPr>
            <w:tcW w:w="1875" w:type="dxa"/>
            <w:vMerge w:val="continue"/>
            <w:tcBorders>
              <w:top w:val="single" w:color="000000" w:sz="4" w:space="0"/>
              <w:left w:val="single" w:color="000000" w:sz="4" w:space="0"/>
              <w:bottom w:val="single" w:color="000000" w:sz="4" w:space="0"/>
              <w:right w:val="nil"/>
            </w:tcBorders>
            <w:noWrap w:val="0"/>
            <w:tcMar>
              <w:top w:w="10" w:type="dxa"/>
              <w:left w:w="10" w:type="dxa"/>
              <w:right w:w="10" w:type="dxa"/>
            </w:tcMar>
            <w:vAlign w:val="center"/>
          </w:tcPr>
          <w:p w14:paraId="7B1C2722">
            <w:pPr>
              <w:jc w:val="center"/>
              <w:rPr>
                <w:rFonts w:hint="eastAsia" w:ascii="宋体" w:hAnsi="宋体" w:eastAsia="宋体" w:cs="宋体"/>
                <w:i w:val="0"/>
                <w:color w:val="000000"/>
                <w:sz w:val="21"/>
                <w:szCs w:val="21"/>
                <w:u w:val="none"/>
              </w:rPr>
            </w:pPr>
          </w:p>
        </w:tc>
        <w:tc>
          <w:tcPr>
            <w:tcW w:w="2251"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6DDBC72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分级防控管理</w:t>
            </w:r>
          </w:p>
        </w:tc>
        <w:tc>
          <w:tcPr>
            <w:tcW w:w="121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0195873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7A21F3C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w:t>
            </w:r>
          </w:p>
        </w:tc>
      </w:tr>
      <w:tr w14:paraId="7233DA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53934494">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8</w:t>
            </w:r>
          </w:p>
        </w:tc>
        <w:tc>
          <w:tcPr>
            <w:tcW w:w="2082" w:type="dxa"/>
            <w:vMerge w:val="restart"/>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1F699EC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过程支持技术服务</w:t>
            </w:r>
          </w:p>
        </w:tc>
        <w:tc>
          <w:tcPr>
            <w:tcW w:w="4126" w:type="dxa"/>
            <w:gridSpan w:val="2"/>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2E95613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“一园一策”建设提升方案实施技术指导</w:t>
            </w:r>
          </w:p>
        </w:tc>
        <w:tc>
          <w:tcPr>
            <w:tcW w:w="121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217D508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72718AB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w:t>
            </w:r>
          </w:p>
        </w:tc>
      </w:tr>
      <w:tr w14:paraId="5DAA94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523EF173">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9</w:t>
            </w:r>
          </w:p>
        </w:tc>
        <w:tc>
          <w:tcPr>
            <w:tcW w:w="2082" w:type="dxa"/>
            <w:vMerge w:val="continue"/>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77793EE4">
            <w:pPr>
              <w:jc w:val="center"/>
              <w:rPr>
                <w:rFonts w:hint="eastAsia" w:ascii="宋体" w:hAnsi="宋体" w:eastAsia="宋体" w:cs="宋体"/>
                <w:i w:val="0"/>
                <w:color w:val="000000"/>
                <w:sz w:val="21"/>
                <w:szCs w:val="21"/>
                <w:u w:val="none"/>
              </w:rPr>
            </w:pPr>
          </w:p>
        </w:tc>
        <w:tc>
          <w:tcPr>
            <w:tcW w:w="4126" w:type="dxa"/>
            <w:gridSpan w:val="2"/>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71B741E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“一园一策”建设提升方案更新完善</w:t>
            </w:r>
          </w:p>
        </w:tc>
        <w:tc>
          <w:tcPr>
            <w:tcW w:w="121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3843297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46B4C42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w:t>
            </w:r>
          </w:p>
        </w:tc>
      </w:tr>
      <w:tr w14:paraId="7C7AFF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59CF0928">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10</w:t>
            </w:r>
          </w:p>
        </w:tc>
        <w:tc>
          <w:tcPr>
            <w:tcW w:w="2082" w:type="dxa"/>
            <w:vMerge w:val="continue"/>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7458A088">
            <w:pPr>
              <w:jc w:val="center"/>
              <w:rPr>
                <w:rFonts w:hint="eastAsia" w:ascii="宋体" w:hAnsi="宋体" w:eastAsia="宋体" w:cs="宋体"/>
                <w:i w:val="0"/>
                <w:color w:val="000000"/>
                <w:sz w:val="21"/>
                <w:szCs w:val="21"/>
                <w:u w:val="none"/>
              </w:rPr>
            </w:pPr>
          </w:p>
        </w:tc>
        <w:tc>
          <w:tcPr>
            <w:tcW w:w="4126" w:type="dxa"/>
            <w:gridSpan w:val="2"/>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3D21790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园区突发水污染事件专项应急预案编制</w:t>
            </w:r>
          </w:p>
        </w:tc>
        <w:tc>
          <w:tcPr>
            <w:tcW w:w="121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12C6777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21B354A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w:t>
            </w:r>
          </w:p>
        </w:tc>
      </w:tr>
      <w:tr w14:paraId="7F4568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07A83766">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11</w:t>
            </w:r>
          </w:p>
        </w:tc>
        <w:tc>
          <w:tcPr>
            <w:tcW w:w="2082" w:type="dxa"/>
            <w:vMerge w:val="restart"/>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77365B6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验收支撑技术服务</w:t>
            </w:r>
          </w:p>
        </w:tc>
        <w:tc>
          <w:tcPr>
            <w:tcW w:w="4126" w:type="dxa"/>
            <w:gridSpan w:val="2"/>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3E85B27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建设提升任务落实情况的调查核实</w:t>
            </w:r>
          </w:p>
        </w:tc>
        <w:tc>
          <w:tcPr>
            <w:tcW w:w="121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65DB340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73DEC4A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w:t>
            </w:r>
          </w:p>
        </w:tc>
      </w:tr>
      <w:tr w14:paraId="76F766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56EA715B">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12</w:t>
            </w:r>
          </w:p>
        </w:tc>
        <w:tc>
          <w:tcPr>
            <w:tcW w:w="2082" w:type="dxa"/>
            <w:vMerge w:val="continue"/>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24957E4B">
            <w:pPr>
              <w:jc w:val="center"/>
              <w:rPr>
                <w:rFonts w:hint="eastAsia" w:ascii="宋体" w:hAnsi="宋体" w:eastAsia="宋体" w:cs="宋体"/>
                <w:i w:val="0"/>
                <w:color w:val="000000"/>
                <w:sz w:val="21"/>
                <w:szCs w:val="21"/>
                <w:u w:val="none"/>
              </w:rPr>
            </w:pPr>
          </w:p>
        </w:tc>
        <w:tc>
          <w:tcPr>
            <w:tcW w:w="4126" w:type="dxa"/>
            <w:gridSpan w:val="2"/>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7341119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评估验收材料编制</w:t>
            </w:r>
          </w:p>
        </w:tc>
        <w:tc>
          <w:tcPr>
            <w:tcW w:w="121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479EC3E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61EA57F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w:t>
            </w:r>
          </w:p>
        </w:tc>
      </w:tr>
      <w:tr w14:paraId="66B2B7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55BAE931">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13</w:t>
            </w:r>
          </w:p>
        </w:tc>
        <w:tc>
          <w:tcPr>
            <w:tcW w:w="2082" w:type="dxa"/>
            <w:vMerge w:val="continue"/>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776E277F">
            <w:pPr>
              <w:jc w:val="center"/>
              <w:rPr>
                <w:rFonts w:hint="eastAsia" w:ascii="宋体" w:hAnsi="宋体" w:eastAsia="宋体" w:cs="宋体"/>
                <w:i w:val="0"/>
                <w:color w:val="000000"/>
                <w:sz w:val="21"/>
                <w:szCs w:val="21"/>
                <w:u w:val="none"/>
              </w:rPr>
            </w:pPr>
          </w:p>
        </w:tc>
        <w:tc>
          <w:tcPr>
            <w:tcW w:w="4126" w:type="dxa"/>
            <w:gridSpan w:val="2"/>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4692DF8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评估验收核查工作协助</w:t>
            </w:r>
          </w:p>
        </w:tc>
        <w:tc>
          <w:tcPr>
            <w:tcW w:w="121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088BBC7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44AF5C3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w:t>
            </w:r>
          </w:p>
        </w:tc>
      </w:tr>
    </w:tbl>
    <w:p w14:paraId="336D3248">
      <w:pPr>
        <w:keepNext/>
        <w:keepLines/>
        <w:pageBreakBefore w:val="0"/>
        <w:widowControl w:val="0"/>
        <w:numPr>
          <w:ilvl w:val="0"/>
          <w:numId w:val="4"/>
        </w:numPr>
        <w:kinsoku/>
        <w:wordWrap/>
        <w:overflowPunct/>
        <w:topLinePunct w:val="0"/>
        <w:autoSpaceDE/>
        <w:autoSpaceDN/>
        <w:bidi w:val="0"/>
        <w:adjustRightInd/>
        <w:snapToGrid/>
        <w:spacing w:before="0" w:after="0" w:line="360" w:lineRule="auto"/>
        <w:ind w:left="0" w:leftChars="0" w:firstLine="422" w:firstLineChars="200"/>
        <w:jc w:val="left"/>
        <w:textAlignment w:val="auto"/>
        <w:outlineLvl w:val="1"/>
        <w:rPr>
          <w:rFonts w:hint="eastAsia" w:ascii="宋体" w:hAnsi="宋体" w:cs="宋体"/>
          <w:b/>
          <w:bCs/>
          <w:color w:val="auto"/>
          <w:kern w:val="2"/>
          <w:sz w:val="21"/>
          <w:szCs w:val="21"/>
          <w:highlight w:val="none"/>
          <w:lang w:val="en-US" w:eastAsia="zh-CN" w:bidi="ar-SA"/>
        </w:rPr>
      </w:pPr>
      <w:r>
        <w:rPr>
          <w:rFonts w:hint="eastAsia" w:ascii="宋体" w:hAnsi="宋体" w:cs="宋体"/>
          <w:b/>
          <w:bCs/>
          <w:color w:val="auto"/>
          <w:kern w:val="2"/>
          <w:sz w:val="21"/>
          <w:szCs w:val="21"/>
          <w:highlight w:val="none"/>
          <w:lang w:val="en-US" w:eastAsia="zh-CN" w:bidi="ar-SA"/>
        </w:rPr>
        <w:t>项目建设相关要求</w:t>
      </w:r>
    </w:p>
    <w:p w14:paraId="568F757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outlineLvl w:val="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1、公共雨水管网事故废水风险防控技术服务</w:t>
      </w:r>
    </w:p>
    <w:p w14:paraId="69D871D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outlineLvl w:val="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提供公共雨排口管控服务与园区排水渠管控服务，其中公共雨排口管控服务包括截断设施、水质监控、智能控制等所组成的系统，园区排水渠管控服务包括气盾坝、智能控制等所组成的系统。</w:t>
      </w:r>
    </w:p>
    <w:tbl>
      <w:tblPr>
        <w:tblStyle w:val="49"/>
        <w:tblW w:w="99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67"/>
        <w:gridCol w:w="1270"/>
        <w:gridCol w:w="1144"/>
        <w:gridCol w:w="1006"/>
        <w:gridCol w:w="5951"/>
      </w:tblGrid>
      <w:tr w14:paraId="35DC5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2" w:hRule="atLeast"/>
          <w:jc w:val="center"/>
        </w:trPr>
        <w:tc>
          <w:tcPr>
            <w:tcW w:w="567" w:type="dxa"/>
            <w:noWrap/>
            <w:tcMar>
              <w:top w:w="10" w:type="dxa"/>
              <w:left w:w="10" w:type="dxa"/>
              <w:right w:w="10" w:type="dxa"/>
            </w:tcMar>
            <w:vAlign w:val="center"/>
          </w:tcPr>
          <w:p w14:paraId="0CE4412F">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Fonts w:hint="eastAsia" w:ascii="宋体" w:hAnsi="宋体" w:eastAsia="宋体" w:cs="宋体"/>
                <w:b/>
                <w:i w:val="0"/>
                <w:color w:val="000000"/>
                <w:kern w:val="0"/>
                <w:sz w:val="21"/>
                <w:szCs w:val="21"/>
                <w:u w:val="none"/>
                <w:lang w:val="en-US" w:eastAsia="zh-CN" w:bidi="ar"/>
              </w:rPr>
              <w:t>序号</w:t>
            </w:r>
          </w:p>
        </w:tc>
        <w:tc>
          <w:tcPr>
            <w:tcW w:w="3420" w:type="dxa"/>
            <w:gridSpan w:val="3"/>
            <w:noWrap/>
            <w:tcMar>
              <w:top w:w="10" w:type="dxa"/>
              <w:left w:w="10" w:type="dxa"/>
              <w:right w:w="10" w:type="dxa"/>
            </w:tcMar>
            <w:vAlign w:val="center"/>
          </w:tcPr>
          <w:p w14:paraId="08D740C5">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Fonts w:hint="eastAsia" w:ascii="宋体" w:hAnsi="宋体" w:eastAsia="宋体" w:cs="宋体"/>
                <w:b/>
                <w:i w:val="0"/>
                <w:color w:val="000000"/>
                <w:kern w:val="0"/>
                <w:sz w:val="21"/>
                <w:szCs w:val="21"/>
                <w:u w:val="none"/>
                <w:lang w:val="en-US" w:eastAsia="zh-CN" w:bidi="ar"/>
              </w:rPr>
              <w:t>建设事项</w:t>
            </w:r>
          </w:p>
        </w:tc>
        <w:tc>
          <w:tcPr>
            <w:tcW w:w="5951" w:type="dxa"/>
            <w:noWrap/>
            <w:tcMar>
              <w:top w:w="10" w:type="dxa"/>
              <w:left w:w="10" w:type="dxa"/>
              <w:right w:w="10" w:type="dxa"/>
            </w:tcMar>
            <w:vAlign w:val="center"/>
          </w:tcPr>
          <w:p w14:paraId="70D3EA4B">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Fonts w:hint="eastAsia" w:ascii="宋体" w:hAnsi="宋体" w:eastAsia="宋体" w:cs="宋体"/>
                <w:b/>
                <w:i w:val="0"/>
                <w:color w:val="000000"/>
                <w:kern w:val="0"/>
                <w:sz w:val="21"/>
                <w:szCs w:val="21"/>
                <w:u w:val="none"/>
                <w:lang w:val="en-US" w:eastAsia="zh-CN" w:bidi="ar"/>
              </w:rPr>
              <w:t>参数/技术要求</w:t>
            </w:r>
          </w:p>
        </w:tc>
      </w:tr>
      <w:tr w14:paraId="5A76D3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60" w:hRule="atLeast"/>
          <w:jc w:val="center"/>
        </w:trPr>
        <w:tc>
          <w:tcPr>
            <w:tcW w:w="567" w:type="dxa"/>
            <w:noWrap/>
            <w:tcMar>
              <w:top w:w="10" w:type="dxa"/>
              <w:left w:w="10" w:type="dxa"/>
              <w:right w:w="10" w:type="dxa"/>
            </w:tcMar>
            <w:vAlign w:val="center"/>
          </w:tcPr>
          <w:p w14:paraId="596CBF1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1270" w:type="dxa"/>
            <w:vMerge w:val="restart"/>
            <w:noWrap w:val="0"/>
            <w:tcMar>
              <w:top w:w="10" w:type="dxa"/>
              <w:left w:w="10" w:type="dxa"/>
              <w:right w:w="10" w:type="dxa"/>
            </w:tcMar>
            <w:vAlign w:val="center"/>
          </w:tcPr>
          <w:p w14:paraId="3D2BF46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公共雨水管网事故废水风险防控技术服务</w:t>
            </w:r>
          </w:p>
        </w:tc>
        <w:tc>
          <w:tcPr>
            <w:tcW w:w="1144" w:type="dxa"/>
            <w:vMerge w:val="restart"/>
            <w:noWrap w:val="0"/>
            <w:tcMar>
              <w:top w:w="10" w:type="dxa"/>
              <w:left w:w="10" w:type="dxa"/>
              <w:right w:w="10" w:type="dxa"/>
            </w:tcMar>
            <w:vAlign w:val="center"/>
          </w:tcPr>
          <w:p w14:paraId="5B50950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公共雨排口管控服务</w:t>
            </w:r>
          </w:p>
        </w:tc>
        <w:tc>
          <w:tcPr>
            <w:tcW w:w="1006" w:type="dxa"/>
            <w:noWrap w:val="0"/>
            <w:tcMar>
              <w:top w:w="10" w:type="dxa"/>
              <w:left w:w="10" w:type="dxa"/>
              <w:right w:w="10" w:type="dxa"/>
            </w:tcMar>
            <w:vAlign w:val="center"/>
          </w:tcPr>
          <w:p w14:paraId="43FD6EED">
            <w:pPr>
              <w:keepNext w:val="0"/>
              <w:keepLines w:val="0"/>
              <w:widowControl/>
              <w:suppressLineNumbers w:val="0"/>
              <w:jc w:val="center"/>
              <w:textAlignment w:val="center"/>
              <w:rPr>
                <w:rFonts w:hint="eastAsia" w:ascii="宋体" w:hAnsi="宋体" w:eastAsia="宋体" w:cs="宋体"/>
                <w:i w:val="0"/>
                <w:color w:val="000000"/>
                <w:sz w:val="21"/>
                <w:szCs w:val="21"/>
                <w:u w:val="none"/>
                <w:lang w:val="en-US"/>
              </w:rPr>
            </w:pPr>
            <w:r>
              <w:rPr>
                <w:rStyle w:val="141"/>
                <w:rFonts w:hint="eastAsia" w:ascii="宋体" w:hAnsi="宋体" w:eastAsia="宋体" w:cs="宋体"/>
                <w:sz w:val="21"/>
                <w:szCs w:val="21"/>
                <w:lang w:val="en-US" w:eastAsia="zh-CN" w:bidi="ar"/>
              </w:rPr>
              <w:t>排口截断</w:t>
            </w:r>
          </w:p>
        </w:tc>
        <w:tc>
          <w:tcPr>
            <w:tcW w:w="5951" w:type="dxa"/>
            <w:noWrap w:val="0"/>
            <w:tcMar>
              <w:top w:w="10" w:type="dxa"/>
              <w:left w:w="10" w:type="dxa"/>
              <w:right w:w="10" w:type="dxa"/>
            </w:tcMar>
            <w:vAlign w:val="center"/>
          </w:tcPr>
          <w:p w14:paraId="378D941D">
            <w:pPr>
              <w:keepNext w:val="0"/>
              <w:keepLines w:val="0"/>
              <w:widowControl/>
              <w:numPr>
                <w:ilvl w:val="0"/>
                <w:numId w:val="5"/>
              </w:numPr>
              <w:suppressLineNumbers w:val="0"/>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采用手自一体蝶阀（DN800/DN300）；</w:t>
            </w:r>
          </w:p>
          <w:p w14:paraId="4B269DD7">
            <w:pPr>
              <w:keepNext w:val="0"/>
              <w:keepLines w:val="0"/>
              <w:widowControl/>
              <w:numPr>
                <w:ilvl w:val="0"/>
                <w:numId w:val="5"/>
              </w:numPr>
              <w:suppressLineNumbers w:val="0"/>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配备电动一体化开关,法兰连接，公称压力1.0mpa；</w:t>
            </w:r>
          </w:p>
          <w:p w14:paraId="373F7BB0">
            <w:pPr>
              <w:keepNext w:val="0"/>
              <w:keepLines w:val="0"/>
              <w:widowControl/>
              <w:numPr>
                <w:ilvl w:val="0"/>
                <w:numId w:val="5"/>
              </w:numPr>
              <w:suppressLineNumbers w:val="0"/>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根据现场实际情况配备加长杆。</w:t>
            </w:r>
          </w:p>
          <w:p w14:paraId="3DF45D83">
            <w:pPr>
              <w:keepNext w:val="0"/>
              <w:keepLines w:val="0"/>
              <w:widowControl/>
              <w:numPr>
                <w:ilvl w:val="0"/>
                <w:numId w:val="0"/>
              </w:numPr>
              <w:suppressLineNumbers w:val="0"/>
              <w:ind w:leftChars="0"/>
              <w:jc w:val="left"/>
              <w:textAlignment w:val="center"/>
              <w:rPr>
                <w:rFonts w:hint="eastAsia" w:ascii="宋体" w:hAnsi="宋体" w:eastAsia="宋体" w:cs="宋体"/>
                <w:sz w:val="21"/>
                <w:szCs w:val="21"/>
                <w:lang w:val="en-US" w:eastAsia="zh-CN"/>
              </w:rPr>
            </w:pPr>
            <w:r>
              <w:rPr>
                <w:rFonts w:hint="eastAsia" w:ascii="宋体" w:hAnsi="宋体" w:eastAsia="宋体" w:cs="宋体"/>
                <w:i w:val="0"/>
                <w:color w:val="000000"/>
                <w:kern w:val="0"/>
                <w:sz w:val="21"/>
                <w:szCs w:val="21"/>
                <w:u w:val="none"/>
                <w:lang w:val="en-US" w:eastAsia="zh-CN" w:bidi="ar"/>
              </w:rPr>
              <w:t>4、排口截断服务应作</w:t>
            </w:r>
            <w:r>
              <w:rPr>
                <w:rStyle w:val="489"/>
                <w:rFonts w:hint="eastAsia" w:ascii="宋体" w:hAnsi="宋体" w:eastAsia="宋体" w:cs="宋体"/>
                <w:sz w:val="21"/>
                <w:szCs w:val="21"/>
                <w:lang w:val="en-US" w:eastAsia="zh-CN" w:bidi="ar"/>
              </w:rPr>
              <w:t>必要开挖</w:t>
            </w:r>
            <w:r>
              <w:rPr>
                <w:rStyle w:val="490"/>
                <w:rFonts w:hint="eastAsia" w:ascii="宋体" w:hAnsi="宋体" w:eastAsia="宋体" w:cs="宋体"/>
                <w:sz w:val="21"/>
                <w:szCs w:val="21"/>
                <w:lang w:val="en-US" w:eastAsia="zh-CN" w:bidi="ar"/>
              </w:rPr>
              <w:t>/</w:t>
            </w:r>
            <w:r>
              <w:rPr>
                <w:rStyle w:val="489"/>
                <w:rFonts w:hint="eastAsia" w:ascii="宋体" w:hAnsi="宋体" w:eastAsia="宋体" w:cs="宋体"/>
                <w:sz w:val="21"/>
                <w:szCs w:val="21"/>
                <w:lang w:val="en-US" w:eastAsia="zh-CN" w:bidi="ar"/>
              </w:rPr>
              <w:t>凿后，使用配套阀门法兰的外套管与雨水管连接，使用混凝土和堵漏王进行浇筑。</w:t>
            </w:r>
          </w:p>
        </w:tc>
      </w:tr>
      <w:tr w14:paraId="584C3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80" w:hRule="atLeast"/>
          <w:jc w:val="center"/>
        </w:trPr>
        <w:tc>
          <w:tcPr>
            <w:tcW w:w="567" w:type="dxa"/>
            <w:vMerge w:val="restart"/>
            <w:noWrap/>
            <w:tcMar>
              <w:top w:w="10" w:type="dxa"/>
              <w:left w:w="10" w:type="dxa"/>
              <w:right w:w="10" w:type="dxa"/>
            </w:tcMar>
            <w:vAlign w:val="center"/>
          </w:tcPr>
          <w:p w14:paraId="7B19D5FE">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2</w:t>
            </w:r>
          </w:p>
        </w:tc>
        <w:tc>
          <w:tcPr>
            <w:tcW w:w="1270" w:type="dxa"/>
            <w:vMerge w:val="continue"/>
            <w:noWrap w:val="0"/>
            <w:tcMar>
              <w:top w:w="10" w:type="dxa"/>
              <w:left w:w="10" w:type="dxa"/>
              <w:right w:w="10" w:type="dxa"/>
            </w:tcMar>
            <w:vAlign w:val="center"/>
          </w:tcPr>
          <w:p w14:paraId="4D140A7A">
            <w:pPr>
              <w:jc w:val="center"/>
              <w:rPr>
                <w:rFonts w:hint="eastAsia" w:ascii="宋体" w:hAnsi="宋体" w:eastAsia="宋体" w:cs="宋体"/>
                <w:i w:val="0"/>
                <w:color w:val="000000"/>
                <w:sz w:val="21"/>
                <w:szCs w:val="21"/>
                <w:u w:val="none"/>
              </w:rPr>
            </w:pPr>
          </w:p>
        </w:tc>
        <w:tc>
          <w:tcPr>
            <w:tcW w:w="1144" w:type="dxa"/>
            <w:vMerge w:val="continue"/>
            <w:noWrap w:val="0"/>
            <w:tcMar>
              <w:top w:w="10" w:type="dxa"/>
              <w:left w:w="10" w:type="dxa"/>
              <w:right w:w="10" w:type="dxa"/>
            </w:tcMar>
            <w:vAlign w:val="center"/>
          </w:tcPr>
          <w:p w14:paraId="684EC368">
            <w:pPr>
              <w:jc w:val="center"/>
              <w:rPr>
                <w:rFonts w:hint="eastAsia" w:ascii="宋体" w:hAnsi="宋体" w:eastAsia="宋体" w:cs="宋体"/>
                <w:i w:val="0"/>
                <w:color w:val="000000"/>
                <w:sz w:val="21"/>
                <w:szCs w:val="21"/>
                <w:u w:val="none"/>
              </w:rPr>
            </w:pPr>
          </w:p>
        </w:tc>
        <w:tc>
          <w:tcPr>
            <w:tcW w:w="1006" w:type="dxa"/>
            <w:vMerge w:val="restart"/>
            <w:noWrap w:val="0"/>
            <w:tcMar>
              <w:top w:w="10" w:type="dxa"/>
              <w:left w:w="10" w:type="dxa"/>
              <w:right w:w="10" w:type="dxa"/>
            </w:tcMar>
            <w:vAlign w:val="center"/>
          </w:tcPr>
          <w:p w14:paraId="35A0B7C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141"/>
                <w:rFonts w:hint="eastAsia" w:ascii="宋体" w:hAnsi="宋体" w:eastAsia="宋体" w:cs="宋体"/>
                <w:sz w:val="21"/>
                <w:szCs w:val="21"/>
                <w:lang w:val="en-US" w:eastAsia="zh-CN" w:bidi="ar"/>
              </w:rPr>
              <w:t>水质监测</w:t>
            </w:r>
          </w:p>
        </w:tc>
        <w:tc>
          <w:tcPr>
            <w:tcW w:w="5951" w:type="dxa"/>
            <w:noWrap w:val="0"/>
            <w:tcMar>
              <w:top w:w="10" w:type="dxa"/>
              <w:left w:w="10" w:type="dxa"/>
              <w:right w:w="10" w:type="dxa"/>
            </w:tcMar>
            <w:vAlign w:val="center"/>
          </w:tcPr>
          <w:p w14:paraId="7E74C927">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一、pH计</w:t>
            </w:r>
          </w:p>
          <w:p w14:paraId="54CF39F3">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（1）测量要求</w:t>
            </w:r>
          </w:p>
          <w:p w14:paraId="39EACEFE">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1．量程：0.0～14.0；</w:t>
            </w:r>
          </w:p>
          <w:p w14:paraId="6B28FA02">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2．分辨率：0.01；</w:t>
            </w:r>
          </w:p>
          <w:p w14:paraId="4BAA8354">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3．精度等级：小于1%；</w:t>
            </w:r>
          </w:p>
          <w:p w14:paraId="1047D915">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4．温度测量：量程-20～75℃，精度±1%FS；</w:t>
            </w:r>
            <w:r>
              <w:rPr>
                <w:rFonts w:hint="eastAsia" w:ascii="宋体" w:hAnsi="宋体" w:eastAsia="宋体" w:cs="宋体"/>
                <w:sz w:val="21"/>
                <w:szCs w:val="21"/>
                <w:lang w:val="en-US" w:eastAsia="zh-CN"/>
              </w:rPr>
              <w:br w:type="textWrapping"/>
            </w:r>
            <w:r>
              <w:rPr>
                <w:rFonts w:hint="eastAsia" w:ascii="宋体" w:hAnsi="宋体" w:eastAsia="宋体" w:cs="宋体"/>
                <w:sz w:val="21"/>
                <w:szCs w:val="21"/>
                <w:lang w:val="en-US" w:eastAsia="zh-CN"/>
              </w:rPr>
              <w:t>5．温度补偿精度：≤士0.1pH;漂移:≤士0.1pH；</w:t>
            </w:r>
          </w:p>
          <w:p w14:paraId="55F03979">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6、防护等级为IP68。</w:t>
            </w:r>
          </w:p>
          <w:p w14:paraId="05BF9740">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（2）功能要求</w:t>
            </w:r>
            <w:r>
              <w:rPr>
                <w:rFonts w:hint="eastAsia" w:ascii="宋体" w:hAnsi="宋体" w:eastAsia="宋体" w:cs="宋体"/>
                <w:sz w:val="21"/>
                <w:szCs w:val="21"/>
                <w:lang w:val="en-US" w:eastAsia="zh-CN"/>
              </w:rPr>
              <w:br w:type="textWrapping"/>
            </w:r>
            <w:r>
              <w:rPr>
                <w:rFonts w:hint="eastAsia" w:ascii="宋体" w:hAnsi="宋体" w:eastAsia="宋体" w:cs="宋体"/>
                <w:sz w:val="21"/>
                <w:szCs w:val="21"/>
                <w:lang w:val="en-US" w:eastAsia="zh-CN"/>
              </w:rPr>
              <w:t>★1．支持水体中pH值自动检测，支持水体温度自动检测。【需提供具备CNAS或CMA资质的第三方检测机构出具的功能检测报告复印件】</w:t>
            </w:r>
          </w:p>
          <w:p w14:paraId="55C851EC">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i w:val="0"/>
                <w:color w:val="000000"/>
                <w:sz w:val="21"/>
                <w:szCs w:val="21"/>
                <w:u w:val="none"/>
              </w:rPr>
            </w:pPr>
            <w:r>
              <w:rPr>
                <w:rFonts w:hint="eastAsia" w:ascii="宋体" w:hAnsi="宋体" w:eastAsia="宋体" w:cs="宋体"/>
                <w:sz w:val="21"/>
                <w:szCs w:val="21"/>
                <w:lang w:val="en-US" w:eastAsia="zh-CN"/>
              </w:rPr>
              <w:t>★2．支持通过两点对pH检测数据进行校准，并可读取上一次校准数据，确保校准操作正确【需提供具备CNAS或CMA资质的第三方检测机构出具的功能检测报告复印件】</w:t>
            </w:r>
          </w:p>
        </w:tc>
      </w:tr>
      <w:tr w14:paraId="45A1A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25" w:hRule="atLeast"/>
          <w:jc w:val="center"/>
        </w:trPr>
        <w:tc>
          <w:tcPr>
            <w:tcW w:w="567" w:type="dxa"/>
            <w:vMerge w:val="continue"/>
            <w:noWrap/>
            <w:tcMar>
              <w:top w:w="10" w:type="dxa"/>
              <w:left w:w="10" w:type="dxa"/>
              <w:right w:w="10" w:type="dxa"/>
            </w:tcMar>
            <w:vAlign w:val="center"/>
          </w:tcPr>
          <w:p w14:paraId="3C5AB2D4">
            <w:pPr>
              <w:keepNext w:val="0"/>
              <w:keepLines w:val="0"/>
              <w:widowControl/>
              <w:suppressLineNumbers w:val="0"/>
              <w:jc w:val="center"/>
              <w:textAlignment w:val="center"/>
              <w:rPr>
                <w:rFonts w:hint="eastAsia" w:ascii="宋体" w:hAnsi="宋体" w:eastAsia="宋体" w:cs="宋体"/>
                <w:i w:val="0"/>
                <w:color w:val="000000"/>
                <w:sz w:val="21"/>
                <w:szCs w:val="21"/>
                <w:u w:val="none"/>
              </w:rPr>
            </w:pPr>
          </w:p>
        </w:tc>
        <w:tc>
          <w:tcPr>
            <w:tcW w:w="1270" w:type="dxa"/>
            <w:vMerge w:val="continue"/>
            <w:noWrap w:val="0"/>
            <w:tcMar>
              <w:top w:w="10" w:type="dxa"/>
              <w:left w:w="10" w:type="dxa"/>
              <w:right w:w="10" w:type="dxa"/>
            </w:tcMar>
            <w:vAlign w:val="center"/>
          </w:tcPr>
          <w:p w14:paraId="4D2F5CC2">
            <w:pPr>
              <w:jc w:val="center"/>
              <w:rPr>
                <w:rFonts w:hint="eastAsia" w:ascii="宋体" w:hAnsi="宋体" w:eastAsia="宋体" w:cs="宋体"/>
                <w:i w:val="0"/>
                <w:color w:val="000000"/>
                <w:sz w:val="21"/>
                <w:szCs w:val="21"/>
                <w:u w:val="none"/>
              </w:rPr>
            </w:pPr>
          </w:p>
        </w:tc>
        <w:tc>
          <w:tcPr>
            <w:tcW w:w="1144" w:type="dxa"/>
            <w:vMerge w:val="continue"/>
            <w:noWrap w:val="0"/>
            <w:tcMar>
              <w:top w:w="10" w:type="dxa"/>
              <w:left w:w="10" w:type="dxa"/>
              <w:right w:w="10" w:type="dxa"/>
            </w:tcMar>
            <w:vAlign w:val="center"/>
          </w:tcPr>
          <w:p w14:paraId="0BD97D33">
            <w:pPr>
              <w:jc w:val="center"/>
              <w:rPr>
                <w:rFonts w:hint="eastAsia" w:ascii="宋体" w:hAnsi="宋体" w:eastAsia="宋体" w:cs="宋体"/>
                <w:i w:val="0"/>
                <w:color w:val="000000"/>
                <w:sz w:val="21"/>
                <w:szCs w:val="21"/>
                <w:u w:val="none"/>
              </w:rPr>
            </w:pPr>
          </w:p>
        </w:tc>
        <w:tc>
          <w:tcPr>
            <w:tcW w:w="1006" w:type="dxa"/>
            <w:vMerge w:val="continue"/>
            <w:noWrap/>
            <w:tcMar>
              <w:top w:w="10" w:type="dxa"/>
              <w:left w:w="10" w:type="dxa"/>
              <w:right w:w="10" w:type="dxa"/>
            </w:tcMar>
            <w:vAlign w:val="center"/>
          </w:tcPr>
          <w:p w14:paraId="2E7FD790">
            <w:pPr>
              <w:keepNext w:val="0"/>
              <w:keepLines w:val="0"/>
              <w:widowControl/>
              <w:suppressLineNumbers w:val="0"/>
              <w:jc w:val="center"/>
              <w:textAlignment w:val="center"/>
              <w:rPr>
                <w:rFonts w:hint="eastAsia" w:ascii="宋体" w:hAnsi="宋体" w:eastAsia="宋体" w:cs="宋体"/>
                <w:i w:val="0"/>
                <w:color w:val="000000"/>
                <w:sz w:val="21"/>
                <w:szCs w:val="21"/>
                <w:u w:val="none"/>
              </w:rPr>
            </w:pPr>
          </w:p>
        </w:tc>
        <w:tc>
          <w:tcPr>
            <w:tcW w:w="5951" w:type="dxa"/>
            <w:noWrap w:val="0"/>
            <w:tcMar>
              <w:top w:w="10" w:type="dxa"/>
              <w:left w:w="10" w:type="dxa"/>
              <w:right w:w="10" w:type="dxa"/>
            </w:tcMar>
            <w:vAlign w:val="center"/>
          </w:tcPr>
          <w:p w14:paraId="760AEBA4">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二、微功率电导率监测终端</w:t>
            </w:r>
          </w:p>
          <w:p w14:paraId="3E924C78">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（1）测量要求</w:t>
            </w:r>
          </w:p>
          <w:p w14:paraId="2CEB6D7E">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1、电导率量程：0-9999</w:t>
            </w:r>
            <w:r>
              <w:rPr>
                <w:rFonts w:hint="eastAsia" w:ascii="Times New Roman" w:hAnsi="Times New Roman" w:eastAsia="宋体" w:cs="Times New Roman"/>
                <w:sz w:val="21"/>
                <w:szCs w:val="21"/>
                <w:lang w:val="en-US" w:eastAsia="zh-CN"/>
              </w:rPr>
              <w:t>µS/cm</w:t>
            </w:r>
            <w:r>
              <w:rPr>
                <w:rFonts w:hint="eastAsia" w:ascii="宋体" w:hAnsi="宋体" w:eastAsia="宋体" w:cs="宋体"/>
                <w:sz w:val="21"/>
                <w:szCs w:val="21"/>
                <w:lang w:val="en-US" w:eastAsia="zh-CN"/>
              </w:rPr>
              <w:t>；分辨率：1</w:t>
            </w:r>
            <w:r>
              <w:rPr>
                <w:rFonts w:hint="eastAsia" w:ascii="Times New Roman" w:hAnsi="Times New Roman" w:eastAsia="宋体" w:cs="Times New Roman"/>
                <w:sz w:val="21"/>
                <w:szCs w:val="21"/>
                <w:lang w:val="en-US" w:eastAsia="zh-CN"/>
              </w:rPr>
              <w:t>µS/cm</w:t>
            </w:r>
            <w:r>
              <w:rPr>
                <w:rFonts w:hint="eastAsia" w:ascii="宋体" w:hAnsi="宋体" w:eastAsia="宋体" w:cs="宋体"/>
                <w:sz w:val="21"/>
                <w:szCs w:val="21"/>
                <w:lang w:val="en-US" w:eastAsia="zh-CN"/>
              </w:rPr>
              <w:t>；精度：±1%FS。</w:t>
            </w:r>
            <w:r>
              <w:rPr>
                <w:rFonts w:hint="eastAsia" w:ascii="宋体" w:hAnsi="宋体" w:eastAsia="宋体" w:cs="宋体"/>
                <w:sz w:val="21"/>
                <w:szCs w:val="21"/>
                <w:lang w:val="en-US" w:eastAsia="zh-CN"/>
              </w:rPr>
              <w:br w:type="textWrapping"/>
            </w:r>
            <w:r>
              <w:rPr>
                <w:rFonts w:hint="eastAsia" w:ascii="宋体" w:hAnsi="宋体" w:eastAsia="宋体" w:cs="宋体"/>
                <w:sz w:val="21"/>
                <w:szCs w:val="21"/>
                <w:lang w:val="en-US" w:eastAsia="zh-CN"/>
              </w:rPr>
              <w:t>2、标准测量频率：每600S一次（可自定义1min～24h），测量频率可调，测量数据均带有时标。</w:t>
            </w:r>
            <w:r>
              <w:rPr>
                <w:rFonts w:hint="eastAsia" w:ascii="宋体" w:hAnsi="宋体" w:eastAsia="宋体" w:cs="宋体"/>
                <w:sz w:val="21"/>
                <w:szCs w:val="21"/>
                <w:lang w:val="en-US" w:eastAsia="zh-CN"/>
              </w:rPr>
              <w:br w:type="textWrapping"/>
            </w:r>
            <w:r>
              <w:rPr>
                <w:rFonts w:hint="eastAsia" w:ascii="宋体" w:hAnsi="宋体" w:eastAsia="宋体" w:cs="宋体"/>
                <w:sz w:val="21"/>
                <w:szCs w:val="21"/>
                <w:lang w:val="en-US" w:eastAsia="zh-CN"/>
              </w:rPr>
              <w:t>3、传感器应内置温度传感器，实现测量值的实时自动温度补偿。</w:t>
            </w:r>
          </w:p>
          <w:p w14:paraId="4E1C7216">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4、整机防护等级为IP68，在设备整体被淹等异常情况下仍能正常工作。</w:t>
            </w:r>
          </w:p>
          <w:p w14:paraId="48BD6DBC">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（2）功能要求</w:t>
            </w:r>
            <w:r>
              <w:rPr>
                <w:rFonts w:hint="eastAsia" w:ascii="宋体" w:hAnsi="宋体" w:eastAsia="宋体" w:cs="宋体"/>
                <w:sz w:val="21"/>
                <w:szCs w:val="21"/>
                <w:lang w:val="en-US" w:eastAsia="zh-CN"/>
              </w:rPr>
              <w:br w:type="textWrapping"/>
            </w:r>
            <w:r>
              <w:rPr>
                <w:rFonts w:hint="eastAsia" w:ascii="宋体" w:hAnsi="宋体" w:eastAsia="宋体" w:cs="宋体"/>
                <w:sz w:val="21"/>
                <w:szCs w:val="21"/>
                <w:lang w:val="en-US" w:eastAsia="zh-CN"/>
              </w:rPr>
              <w:t>1、设备能远程设定不同电导率告警阈值，当超过阈值或恢复正常时能实时上发告警或正常信息。</w:t>
            </w:r>
          </w:p>
          <w:p w14:paraId="184A494A">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★2、整机需有本安防爆合格证。【投标时提供本安防爆合格证复印件。】</w:t>
            </w:r>
            <w:r>
              <w:rPr>
                <w:rFonts w:hint="eastAsia" w:ascii="宋体" w:hAnsi="宋体" w:eastAsia="宋体" w:cs="宋体"/>
                <w:sz w:val="21"/>
                <w:szCs w:val="21"/>
                <w:lang w:val="en-US" w:eastAsia="zh-CN"/>
              </w:rPr>
              <w:br w:type="textWrapping"/>
            </w:r>
            <w:r>
              <w:rPr>
                <w:rFonts w:hint="eastAsia" w:ascii="宋体" w:hAnsi="宋体" w:eastAsia="宋体" w:cs="宋体"/>
                <w:sz w:val="21"/>
                <w:szCs w:val="21"/>
                <w:lang w:val="en-US" w:eastAsia="zh-CN"/>
              </w:rPr>
              <w:t>3、设备需有防腐能力，需通过防腐测试。</w:t>
            </w:r>
          </w:p>
          <w:p w14:paraId="5B8A5AB8">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★4、所选设备应为国产自主知识产权的成熟产品，所投产品具有软件著作权证书。【投标时提供微功耗无线智能电导率监测终端软件著作权证书复印件。】</w:t>
            </w:r>
          </w:p>
          <w:p w14:paraId="2D246CFC">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三、流量计</w:t>
            </w:r>
          </w:p>
          <w:p w14:paraId="04990535">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测量原理应为采用流速面积法测流量，流量Q=V*S（Q为流量，V为断面平均流速，S为过水断面面积），通过对流速和水位进行单独持续测量，结合污水管网监测断面结构，应用污水管网流量计算算法，计算出通过该污水管网断面的实时流量，并配合无线监测终端实时分析、计算、存储、传输相关数据。</w:t>
            </w:r>
          </w:p>
          <w:p w14:paraId="7263A863">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2、对管网的浅流、非满管、满管、过载、溢流等工况下应能准确测量。</w:t>
            </w:r>
            <w:r>
              <w:rPr>
                <w:rFonts w:hint="eastAsia" w:ascii="宋体" w:hAnsi="宋体" w:eastAsia="宋体" w:cs="宋体"/>
                <w:sz w:val="21"/>
                <w:szCs w:val="21"/>
                <w:lang w:val="en-US" w:eastAsia="zh-CN"/>
              </w:rPr>
              <w:br w:type="textWrapping"/>
            </w:r>
            <w:r>
              <w:rPr>
                <w:rFonts w:hint="eastAsia" w:ascii="宋体" w:hAnsi="宋体" w:eastAsia="宋体" w:cs="宋体"/>
                <w:sz w:val="21"/>
                <w:szCs w:val="21"/>
                <w:lang w:val="en-US" w:eastAsia="zh-CN"/>
              </w:rPr>
              <w:t>3、流速量程：±0.01m/s～±6.00m/s；流速精度：±2%FS；流速分辨率：0.001m/s。</w:t>
            </w:r>
            <w:r>
              <w:rPr>
                <w:rFonts w:hint="eastAsia" w:ascii="宋体" w:hAnsi="宋体" w:eastAsia="宋体" w:cs="宋体"/>
                <w:sz w:val="21"/>
                <w:szCs w:val="21"/>
                <w:lang w:val="en-US" w:eastAsia="zh-CN"/>
              </w:rPr>
              <w:br w:type="textWrapping"/>
            </w:r>
            <w:r>
              <w:rPr>
                <w:rFonts w:hint="eastAsia" w:ascii="宋体" w:hAnsi="宋体" w:eastAsia="宋体" w:cs="宋体"/>
                <w:sz w:val="21"/>
                <w:szCs w:val="21"/>
                <w:lang w:val="en-US" w:eastAsia="zh-CN"/>
              </w:rPr>
              <w:t>4、液位量程：0-10m。</w:t>
            </w:r>
            <w:r>
              <w:rPr>
                <w:rFonts w:hint="eastAsia" w:ascii="宋体" w:hAnsi="宋体" w:eastAsia="宋体" w:cs="宋体"/>
                <w:sz w:val="21"/>
                <w:szCs w:val="21"/>
                <w:lang w:val="en-US" w:eastAsia="zh-CN"/>
              </w:rPr>
              <w:br w:type="textWrapping"/>
            </w:r>
            <w:r>
              <w:rPr>
                <w:rFonts w:hint="eastAsia" w:ascii="宋体" w:hAnsi="宋体" w:eastAsia="宋体" w:cs="宋体"/>
                <w:sz w:val="21"/>
                <w:szCs w:val="21"/>
                <w:lang w:val="en-US" w:eastAsia="zh-CN"/>
              </w:rPr>
              <w:t>5、液位精度：±0.5%FS；液位分辨率：0.001m。</w:t>
            </w:r>
            <w:r>
              <w:rPr>
                <w:rFonts w:hint="eastAsia" w:ascii="宋体" w:hAnsi="宋体" w:eastAsia="宋体" w:cs="宋体"/>
                <w:sz w:val="21"/>
                <w:szCs w:val="21"/>
                <w:lang w:val="en-US" w:eastAsia="zh-CN"/>
              </w:rPr>
              <w:br w:type="textWrapping"/>
            </w:r>
            <w:r>
              <w:rPr>
                <w:rFonts w:hint="eastAsia" w:ascii="宋体" w:hAnsi="宋体" w:eastAsia="宋体" w:cs="宋体"/>
                <w:sz w:val="21"/>
                <w:szCs w:val="21"/>
                <w:lang w:val="en-US" w:eastAsia="zh-CN"/>
              </w:rPr>
              <w:t>6、整机防护等级为IP68。</w:t>
            </w:r>
            <w:r>
              <w:rPr>
                <w:rFonts w:hint="eastAsia" w:ascii="宋体" w:hAnsi="宋体" w:eastAsia="宋体" w:cs="宋体"/>
                <w:sz w:val="21"/>
                <w:szCs w:val="21"/>
                <w:lang w:val="en-US" w:eastAsia="zh-CN"/>
              </w:rPr>
              <w:br w:type="textWrapping"/>
            </w:r>
            <w:r>
              <w:rPr>
                <w:rFonts w:hint="eastAsia" w:ascii="宋体" w:hAnsi="宋体" w:eastAsia="宋体" w:cs="宋体"/>
                <w:sz w:val="21"/>
                <w:szCs w:val="21"/>
                <w:lang w:val="en-US" w:eastAsia="zh-CN"/>
              </w:rPr>
              <w:t>7、整机需有本安防爆合格证。【投标时提供本安防爆合格证复印件。】</w:t>
            </w:r>
            <w:r>
              <w:rPr>
                <w:rFonts w:hint="eastAsia" w:ascii="宋体" w:hAnsi="宋体" w:eastAsia="宋体" w:cs="宋体"/>
                <w:sz w:val="21"/>
                <w:szCs w:val="21"/>
                <w:lang w:val="en-US" w:eastAsia="zh-CN"/>
              </w:rPr>
              <w:br w:type="textWrapping"/>
            </w:r>
            <w:r>
              <w:rPr>
                <w:rFonts w:hint="eastAsia" w:ascii="宋体" w:hAnsi="宋体" w:eastAsia="宋体" w:cs="宋体"/>
                <w:sz w:val="21"/>
                <w:szCs w:val="21"/>
                <w:lang w:val="en-US" w:eastAsia="zh-CN"/>
              </w:rPr>
              <w:t>★8、设备需有防腐能力，需通过防腐测试。投标时提供酸性盐雾测试报告复印件，报告结论中不能有任何腐蚀情况。</w:t>
            </w:r>
          </w:p>
          <w:p w14:paraId="72F461B2">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四、控制系统</w:t>
            </w:r>
          </w:p>
          <w:p w14:paraId="21812D5D">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（1）电控系统</w:t>
            </w:r>
          </w:p>
          <w:p w14:paraId="122D206A">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1、整机防护等级：不低于IP55；</w:t>
            </w:r>
          </w:p>
          <w:p w14:paraId="2C27B042">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2、安装方式：支持墙挂和落地施工；</w:t>
            </w:r>
          </w:p>
          <w:p w14:paraId="0FE45663">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3、整机抗震动性：10～500Hz，以防止运输途中震动，导致脱落；</w:t>
            </w:r>
          </w:p>
          <w:p w14:paraId="4FB05BC1">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4、通信要求：支持箱体内传感器数据RS485输出；</w:t>
            </w:r>
          </w:p>
          <w:p w14:paraId="2AC2B8EA">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5、输入电压范围：85～264VAC；电压调整范围：额定输出电压的±10%；</w:t>
            </w:r>
          </w:p>
          <w:p w14:paraId="2C779E06">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6、过载保护：过电流点在110%～150%，自动侦测自动复原；</w:t>
            </w:r>
          </w:p>
          <w:p w14:paraId="63CDD1E2">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7、内置开关电源：输出电流范围：DC24V,0～2、1A；输出电流精度：±1%；</w:t>
            </w:r>
          </w:p>
          <w:p w14:paraId="5B145688">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8、箱体内温湿度监测与控制：内置温湿度传感器，温度量程：-40℃～120℃，湿度量程：0～98%RH；</w:t>
            </w:r>
          </w:p>
          <w:p w14:paraId="4FF16F4A">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9、散热要求：产品内置智能散热风扇，当环境温度超出阈值时，自动启动，防止箱体内温度过高；</w:t>
            </w:r>
          </w:p>
          <w:p w14:paraId="437535F6">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10、电源安规认证：通过UL60950-1,CB(IEC60950),CCCGB4943认证</w:t>
            </w:r>
          </w:p>
          <w:p w14:paraId="142372AE">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11、产品应为国产自主知识产权的成熟产品。</w:t>
            </w:r>
            <w:r>
              <w:rPr>
                <w:rFonts w:hint="eastAsia" w:ascii="宋体" w:hAnsi="宋体" w:eastAsia="宋体" w:cs="宋体"/>
                <w:sz w:val="21"/>
                <w:szCs w:val="21"/>
                <w:lang w:val="en-US" w:eastAsia="zh-CN"/>
              </w:rPr>
              <w:br w:type="textWrapping"/>
            </w:r>
            <w:r>
              <w:rPr>
                <w:rFonts w:hint="eastAsia" w:ascii="宋体" w:hAnsi="宋体" w:eastAsia="宋体" w:cs="宋体"/>
                <w:sz w:val="21"/>
                <w:szCs w:val="21"/>
                <w:lang w:val="en-US" w:eastAsia="zh-CN"/>
              </w:rPr>
              <w:t>12、产品应通过电子信息产品检验部门的评测。【投标时该功能需提供检验报告扫描件，检验报告上须有CNAS或者CMA标志】</w:t>
            </w:r>
          </w:p>
          <w:p w14:paraId="0BD241E2">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r>
              <w:rPr>
                <w:rFonts w:hint="eastAsia" w:ascii="宋体" w:hAnsi="宋体" w:cs="宋体"/>
                <w:sz w:val="21"/>
                <w:szCs w:val="21"/>
                <w:lang w:val="en-US" w:eastAsia="zh-CN"/>
              </w:rPr>
              <w:t>3</w:t>
            </w:r>
            <w:r>
              <w:rPr>
                <w:rFonts w:hint="eastAsia" w:ascii="宋体" w:hAnsi="宋体" w:eastAsia="宋体" w:cs="宋体"/>
                <w:sz w:val="21"/>
                <w:szCs w:val="21"/>
                <w:lang w:val="en-US" w:eastAsia="zh-CN"/>
              </w:rPr>
              <w:t>、控制系统应做基础浇筑。</w:t>
            </w:r>
          </w:p>
          <w:p w14:paraId="75615108">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（2）网络系统</w:t>
            </w:r>
          </w:p>
        </w:tc>
      </w:tr>
      <w:tr w14:paraId="1702E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40" w:hRule="atLeast"/>
          <w:jc w:val="center"/>
        </w:trPr>
        <w:tc>
          <w:tcPr>
            <w:tcW w:w="567" w:type="dxa"/>
            <w:vMerge w:val="continue"/>
            <w:noWrap/>
            <w:tcMar>
              <w:top w:w="10" w:type="dxa"/>
              <w:left w:w="10" w:type="dxa"/>
              <w:right w:w="10" w:type="dxa"/>
            </w:tcMar>
            <w:vAlign w:val="center"/>
          </w:tcPr>
          <w:p w14:paraId="47823AEF">
            <w:pPr>
              <w:keepNext w:val="0"/>
              <w:keepLines w:val="0"/>
              <w:widowControl/>
              <w:suppressLineNumbers w:val="0"/>
              <w:jc w:val="center"/>
              <w:textAlignment w:val="center"/>
              <w:rPr>
                <w:rFonts w:hint="eastAsia" w:ascii="宋体" w:hAnsi="宋体" w:eastAsia="宋体" w:cs="宋体"/>
                <w:i w:val="0"/>
                <w:color w:val="000000"/>
                <w:sz w:val="21"/>
                <w:szCs w:val="21"/>
                <w:u w:val="none"/>
              </w:rPr>
            </w:pPr>
          </w:p>
        </w:tc>
        <w:tc>
          <w:tcPr>
            <w:tcW w:w="1270" w:type="dxa"/>
            <w:vMerge w:val="continue"/>
            <w:noWrap w:val="0"/>
            <w:tcMar>
              <w:top w:w="10" w:type="dxa"/>
              <w:left w:w="10" w:type="dxa"/>
              <w:right w:w="10" w:type="dxa"/>
            </w:tcMar>
            <w:vAlign w:val="center"/>
          </w:tcPr>
          <w:p w14:paraId="625E1352">
            <w:pPr>
              <w:jc w:val="center"/>
              <w:rPr>
                <w:rFonts w:hint="eastAsia" w:ascii="宋体" w:hAnsi="宋体" w:eastAsia="宋体" w:cs="宋体"/>
                <w:i w:val="0"/>
                <w:color w:val="000000"/>
                <w:sz w:val="21"/>
                <w:szCs w:val="21"/>
                <w:u w:val="none"/>
              </w:rPr>
            </w:pPr>
          </w:p>
        </w:tc>
        <w:tc>
          <w:tcPr>
            <w:tcW w:w="1144" w:type="dxa"/>
            <w:vMerge w:val="continue"/>
            <w:noWrap w:val="0"/>
            <w:tcMar>
              <w:top w:w="10" w:type="dxa"/>
              <w:left w:w="10" w:type="dxa"/>
              <w:right w:w="10" w:type="dxa"/>
            </w:tcMar>
            <w:vAlign w:val="center"/>
          </w:tcPr>
          <w:p w14:paraId="31B05DDF">
            <w:pPr>
              <w:jc w:val="center"/>
              <w:rPr>
                <w:rFonts w:hint="eastAsia" w:ascii="宋体" w:hAnsi="宋体" w:eastAsia="宋体" w:cs="宋体"/>
                <w:i w:val="0"/>
                <w:color w:val="000000"/>
                <w:sz w:val="21"/>
                <w:szCs w:val="21"/>
                <w:u w:val="none"/>
              </w:rPr>
            </w:pPr>
          </w:p>
        </w:tc>
        <w:tc>
          <w:tcPr>
            <w:tcW w:w="1006" w:type="dxa"/>
            <w:vMerge w:val="continue"/>
            <w:noWrap w:val="0"/>
            <w:tcMar>
              <w:top w:w="10" w:type="dxa"/>
              <w:left w:w="10" w:type="dxa"/>
              <w:right w:w="10" w:type="dxa"/>
            </w:tcMar>
            <w:vAlign w:val="center"/>
          </w:tcPr>
          <w:p w14:paraId="7595FD17">
            <w:pPr>
              <w:keepNext w:val="0"/>
              <w:keepLines w:val="0"/>
              <w:widowControl/>
              <w:suppressLineNumbers w:val="0"/>
              <w:jc w:val="center"/>
              <w:textAlignment w:val="center"/>
              <w:rPr>
                <w:rFonts w:hint="eastAsia" w:ascii="宋体" w:hAnsi="宋体" w:eastAsia="宋体" w:cs="宋体"/>
                <w:i w:val="0"/>
                <w:color w:val="000000"/>
                <w:sz w:val="21"/>
                <w:szCs w:val="21"/>
                <w:u w:val="none"/>
              </w:rPr>
            </w:pPr>
          </w:p>
        </w:tc>
        <w:tc>
          <w:tcPr>
            <w:tcW w:w="5951" w:type="dxa"/>
            <w:noWrap w:val="0"/>
            <w:tcMar>
              <w:top w:w="10" w:type="dxa"/>
              <w:left w:w="10" w:type="dxa"/>
              <w:right w:w="10" w:type="dxa"/>
            </w:tcMar>
            <w:vAlign w:val="center"/>
          </w:tcPr>
          <w:p w14:paraId="3DD7A6C3">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支持以太网和无线移动通讯主备通信，主通信模块为以太网上传数据，在以太网不稳定或中断的情况下，可自动切换为无线备份通信，并将通信状态变化同步告知云平台。【投标时需提供电子信息产品检验部门出具的该功能检验报告复印件。】</w:t>
            </w:r>
            <w:r>
              <w:rPr>
                <w:rFonts w:hint="eastAsia" w:ascii="宋体" w:hAnsi="宋体" w:eastAsia="宋体" w:cs="宋体"/>
                <w:sz w:val="21"/>
                <w:szCs w:val="21"/>
                <w:lang w:val="en-US" w:eastAsia="zh-CN"/>
              </w:rPr>
              <w:br w:type="textWrapping"/>
            </w:r>
            <w:r>
              <w:rPr>
                <w:rFonts w:hint="eastAsia" w:ascii="宋体" w:hAnsi="宋体" w:eastAsia="宋体" w:cs="宋体"/>
                <w:sz w:val="21"/>
                <w:szCs w:val="21"/>
                <w:lang w:val="en-US" w:eastAsia="zh-CN"/>
              </w:rPr>
              <w:t>2、鉴于监测站点为潮湿环境，采用工业级贴片式SIM卡，可有效避免插入式SIM在潮湿、高温、震动的情况下容易出现的生锈、松动等故障。</w:t>
            </w:r>
          </w:p>
          <w:p w14:paraId="0F91A252">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3、支持门磁触点开关输入，对于非法开启时，启动报警喇叭，报警时声音不低于85分贝</w:t>
            </w:r>
            <w:r>
              <w:rPr>
                <w:rFonts w:hint="eastAsia" w:ascii="宋体" w:hAnsi="宋体" w:eastAsia="宋体" w:cs="宋体"/>
                <w:sz w:val="21"/>
                <w:szCs w:val="21"/>
                <w:lang w:val="en-US" w:eastAsia="zh-CN"/>
              </w:rPr>
              <w:br w:type="textWrapping"/>
            </w:r>
            <w:r>
              <w:rPr>
                <w:rFonts w:hint="eastAsia" w:ascii="宋体" w:hAnsi="宋体" w:eastAsia="宋体" w:cs="宋体"/>
                <w:sz w:val="21"/>
                <w:szCs w:val="21"/>
                <w:lang w:val="en-US" w:eastAsia="zh-CN"/>
              </w:rPr>
              <w:t>4、支持3路模拟量输入，支持4-20mA输入。</w:t>
            </w:r>
            <w:r>
              <w:rPr>
                <w:rFonts w:hint="eastAsia" w:ascii="宋体" w:hAnsi="宋体" w:eastAsia="宋体" w:cs="宋体"/>
                <w:sz w:val="21"/>
                <w:szCs w:val="21"/>
                <w:lang w:val="en-US" w:eastAsia="zh-CN"/>
              </w:rPr>
              <w:br w:type="textWrapping"/>
            </w:r>
            <w:r>
              <w:rPr>
                <w:rFonts w:hint="eastAsia" w:ascii="宋体" w:hAnsi="宋体" w:eastAsia="宋体" w:cs="宋体"/>
                <w:sz w:val="21"/>
                <w:szCs w:val="21"/>
                <w:lang w:val="en-US" w:eastAsia="zh-CN"/>
              </w:rPr>
              <w:t>5、支持2路485接口，有极性，分A/B线，光耦隔离，支持与智能电表、流量监测仪、智能水质在线监测仪等485接口设备。</w:t>
            </w:r>
          </w:p>
          <w:p w14:paraId="4A99D6EE">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6、所投产品应内置断电报警功能（断电告警情况下，通过无线通信上传数据,无需额外加电池等辅助电源设备。）【投标时需提供具备CNAS或CMA资质的第三方检测机构出具的检验报告复印件】</w:t>
            </w:r>
          </w:p>
          <w:p w14:paraId="4A008798">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7、所投产品应具备静电放电抗扰能力、电快速瞬变脉冲群抗扰能力、浪涌(冲击)抗扰能力。产品应具备静电放电抗扰能力，设备外部金属、设备外部非金属部分及缝隙、水平耦合板、垂直耦合板等部位静电放电抗扰均符合GB∕T 17626.2-2018&lt; 电磁兼容 试验和测量技术 静电放电抗扰度试验&gt;标准，试验电压须≥±6000V。产品应具备电快速瞬变脉冲群抗扰能力，其以信号线端口、电源线端口等均符合GB∕T 17626.4-2018&lt; 电磁兼容 试验和测量技术 电快速瞬变脉冲群抗扰度试验&gt;标准，试验电压须≥1000V。产品应具备浪涌(冲击)抗扰能力，其以信号线端口、电源线端口等均符合GB∕T 17626.5-</w:t>
            </w:r>
            <w:r>
              <w:rPr>
                <w:rFonts w:hint="eastAsia" w:ascii="宋体" w:hAnsi="宋体" w:cs="宋体"/>
                <w:sz w:val="21"/>
                <w:szCs w:val="21"/>
                <w:lang w:val="en-US" w:eastAsia="zh-CN"/>
              </w:rPr>
              <w:t>2019</w:t>
            </w:r>
            <w:r>
              <w:rPr>
                <w:rFonts w:hint="eastAsia" w:ascii="宋体" w:hAnsi="宋体" w:eastAsia="宋体" w:cs="宋体"/>
                <w:sz w:val="21"/>
                <w:szCs w:val="21"/>
                <w:lang w:val="en-US" w:eastAsia="zh-CN"/>
              </w:rPr>
              <w:t>&lt;电磁兼容 试验和测量技术 浪涌(冲击)抗扰度试验&gt;标准，试验电压须≥1000V。【投标时，需提供具备CNAS或CMA资质的第三方检测机构出具的检验报告复印件】</w:t>
            </w:r>
          </w:p>
          <w:p w14:paraId="606ED03E">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★8、产品应满足平均无故障工作时间MTBF≥10000h。【投标时，需提供具备CNAS和CMA资质的第三方检测机构出具的检验报告复印件】</w:t>
            </w:r>
          </w:p>
        </w:tc>
      </w:tr>
      <w:tr w14:paraId="4CBA3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0" w:hRule="atLeast"/>
          <w:jc w:val="center"/>
        </w:trPr>
        <w:tc>
          <w:tcPr>
            <w:tcW w:w="567" w:type="dxa"/>
            <w:vMerge w:val="restart"/>
            <w:noWrap/>
            <w:tcMar>
              <w:top w:w="10" w:type="dxa"/>
              <w:left w:w="10" w:type="dxa"/>
              <w:right w:w="10" w:type="dxa"/>
            </w:tcMar>
            <w:vAlign w:val="center"/>
          </w:tcPr>
          <w:p w14:paraId="2E8ECF07">
            <w:pPr>
              <w:keepNext w:val="0"/>
              <w:keepLines w:val="0"/>
              <w:widowControl/>
              <w:suppressLineNumbers w:val="0"/>
              <w:jc w:val="center"/>
              <w:textAlignment w:val="center"/>
              <w:rPr>
                <w:rFonts w:hint="eastAsia" w:ascii="宋体" w:hAnsi="宋体" w:eastAsia="宋体" w:cs="宋体"/>
                <w:i w:val="0"/>
                <w:color w:val="000000"/>
                <w:sz w:val="21"/>
                <w:szCs w:val="21"/>
                <w:u w:val="none"/>
                <w:lang w:val="en-US"/>
              </w:rPr>
            </w:pPr>
            <w:r>
              <w:rPr>
                <w:rFonts w:hint="eastAsia" w:ascii="宋体" w:hAnsi="宋体" w:eastAsia="宋体" w:cs="宋体"/>
                <w:i w:val="0"/>
                <w:color w:val="000000"/>
                <w:kern w:val="0"/>
                <w:sz w:val="21"/>
                <w:szCs w:val="21"/>
                <w:u w:val="none"/>
                <w:lang w:val="en-US" w:eastAsia="zh-CN" w:bidi="ar"/>
              </w:rPr>
              <w:t>3</w:t>
            </w:r>
          </w:p>
        </w:tc>
        <w:tc>
          <w:tcPr>
            <w:tcW w:w="1270" w:type="dxa"/>
            <w:vMerge w:val="continue"/>
            <w:noWrap w:val="0"/>
            <w:tcMar>
              <w:top w:w="10" w:type="dxa"/>
              <w:left w:w="10" w:type="dxa"/>
              <w:right w:w="10" w:type="dxa"/>
            </w:tcMar>
            <w:vAlign w:val="center"/>
          </w:tcPr>
          <w:p w14:paraId="74E96242">
            <w:pPr>
              <w:jc w:val="center"/>
              <w:rPr>
                <w:rFonts w:hint="eastAsia" w:ascii="宋体" w:hAnsi="宋体" w:eastAsia="宋体" w:cs="宋体"/>
                <w:i w:val="0"/>
                <w:color w:val="000000"/>
                <w:sz w:val="21"/>
                <w:szCs w:val="21"/>
                <w:u w:val="none"/>
              </w:rPr>
            </w:pPr>
          </w:p>
        </w:tc>
        <w:tc>
          <w:tcPr>
            <w:tcW w:w="1144" w:type="dxa"/>
            <w:vMerge w:val="restart"/>
            <w:noWrap w:val="0"/>
            <w:tcMar>
              <w:top w:w="10" w:type="dxa"/>
              <w:left w:w="10" w:type="dxa"/>
              <w:right w:w="10" w:type="dxa"/>
            </w:tcMar>
            <w:vAlign w:val="center"/>
          </w:tcPr>
          <w:p w14:paraId="29539CB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园区排水渠管控服务</w:t>
            </w:r>
          </w:p>
        </w:tc>
        <w:tc>
          <w:tcPr>
            <w:tcW w:w="1006" w:type="dxa"/>
            <w:vMerge w:val="restart"/>
            <w:noWrap w:val="0"/>
            <w:tcMar>
              <w:top w:w="10" w:type="dxa"/>
              <w:left w:w="10" w:type="dxa"/>
              <w:right w:w="10" w:type="dxa"/>
            </w:tcMar>
            <w:vAlign w:val="center"/>
          </w:tcPr>
          <w:p w14:paraId="539F3E82">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气盾坝及控制系统</w:t>
            </w:r>
          </w:p>
        </w:tc>
        <w:tc>
          <w:tcPr>
            <w:tcW w:w="5951" w:type="dxa"/>
            <w:noWrap w:val="0"/>
            <w:tcMar>
              <w:top w:w="10" w:type="dxa"/>
              <w:left w:w="10" w:type="dxa"/>
              <w:right w:w="10" w:type="dxa"/>
            </w:tcMar>
            <w:vAlign w:val="center"/>
          </w:tcPr>
          <w:p w14:paraId="2E35F5F0">
            <w:pPr>
              <w:keepNext w:val="0"/>
              <w:keepLines w:val="0"/>
              <w:widowControl/>
              <w:suppressLineNumbers w:val="0"/>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1、气盾坝，闸门尺寸4m*3m；</w:t>
            </w:r>
          </w:p>
          <w:p w14:paraId="0109DD07">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sz w:val="21"/>
                <w:szCs w:val="21"/>
                <w:lang w:val="en-US" w:eastAsia="zh-CN"/>
              </w:rPr>
              <w:t>2、含必要的钢筋、混凝土、电气设备等。</w:t>
            </w:r>
          </w:p>
        </w:tc>
      </w:tr>
      <w:tr w14:paraId="3A3D46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0" w:hRule="atLeast"/>
          <w:jc w:val="center"/>
        </w:trPr>
        <w:tc>
          <w:tcPr>
            <w:tcW w:w="567" w:type="dxa"/>
            <w:vMerge w:val="continue"/>
            <w:noWrap/>
            <w:tcMar>
              <w:top w:w="10" w:type="dxa"/>
              <w:left w:w="10" w:type="dxa"/>
              <w:right w:w="10" w:type="dxa"/>
            </w:tcMar>
            <w:vAlign w:val="center"/>
          </w:tcPr>
          <w:p w14:paraId="6CCAFCBE">
            <w:pPr>
              <w:keepNext w:val="0"/>
              <w:keepLines w:val="0"/>
              <w:widowControl/>
              <w:suppressLineNumbers w:val="0"/>
              <w:jc w:val="center"/>
              <w:textAlignment w:val="center"/>
              <w:rPr>
                <w:rFonts w:hint="eastAsia" w:ascii="宋体" w:hAnsi="宋体" w:eastAsia="宋体" w:cs="宋体"/>
                <w:i w:val="0"/>
                <w:color w:val="000000"/>
                <w:sz w:val="21"/>
                <w:szCs w:val="21"/>
                <w:u w:val="none"/>
              </w:rPr>
            </w:pPr>
          </w:p>
        </w:tc>
        <w:tc>
          <w:tcPr>
            <w:tcW w:w="1270" w:type="dxa"/>
            <w:vMerge w:val="continue"/>
            <w:noWrap w:val="0"/>
            <w:tcMar>
              <w:top w:w="10" w:type="dxa"/>
              <w:left w:w="10" w:type="dxa"/>
              <w:right w:w="10" w:type="dxa"/>
            </w:tcMar>
            <w:vAlign w:val="center"/>
          </w:tcPr>
          <w:p w14:paraId="01353669">
            <w:pPr>
              <w:jc w:val="center"/>
              <w:rPr>
                <w:rFonts w:hint="eastAsia" w:ascii="宋体" w:hAnsi="宋体" w:eastAsia="宋体" w:cs="宋体"/>
                <w:i w:val="0"/>
                <w:color w:val="000000"/>
                <w:sz w:val="21"/>
                <w:szCs w:val="21"/>
                <w:u w:val="none"/>
              </w:rPr>
            </w:pPr>
          </w:p>
        </w:tc>
        <w:tc>
          <w:tcPr>
            <w:tcW w:w="1144" w:type="dxa"/>
            <w:vMerge w:val="continue"/>
            <w:noWrap w:val="0"/>
            <w:tcMar>
              <w:top w:w="10" w:type="dxa"/>
              <w:left w:w="10" w:type="dxa"/>
              <w:right w:w="10" w:type="dxa"/>
            </w:tcMar>
            <w:vAlign w:val="center"/>
          </w:tcPr>
          <w:p w14:paraId="7395B21A">
            <w:pPr>
              <w:keepNext w:val="0"/>
              <w:keepLines w:val="0"/>
              <w:widowControl/>
              <w:suppressLineNumbers w:val="0"/>
              <w:jc w:val="center"/>
              <w:textAlignment w:val="center"/>
              <w:rPr>
                <w:rFonts w:hint="eastAsia" w:ascii="宋体" w:hAnsi="宋体" w:eastAsia="宋体" w:cs="宋体"/>
                <w:i w:val="0"/>
                <w:color w:val="000000"/>
                <w:sz w:val="21"/>
                <w:szCs w:val="21"/>
                <w:u w:val="none"/>
              </w:rPr>
            </w:pPr>
          </w:p>
        </w:tc>
        <w:tc>
          <w:tcPr>
            <w:tcW w:w="1006" w:type="dxa"/>
            <w:vMerge w:val="continue"/>
            <w:noWrap w:val="0"/>
            <w:tcMar>
              <w:top w:w="10" w:type="dxa"/>
              <w:left w:w="10" w:type="dxa"/>
              <w:right w:w="10" w:type="dxa"/>
            </w:tcMar>
            <w:vAlign w:val="center"/>
          </w:tcPr>
          <w:p w14:paraId="15A661C3">
            <w:pPr>
              <w:keepNext w:val="0"/>
              <w:keepLines w:val="0"/>
              <w:widowControl/>
              <w:suppressLineNumbers w:val="0"/>
              <w:jc w:val="both"/>
              <w:textAlignment w:val="center"/>
              <w:rPr>
                <w:rFonts w:hint="eastAsia" w:ascii="宋体" w:hAnsi="宋体" w:eastAsia="宋体" w:cs="宋体"/>
                <w:i w:val="0"/>
                <w:color w:val="000000"/>
                <w:sz w:val="21"/>
                <w:szCs w:val="21"/>
                <w:u w:val="none"/>
                <w:lang w:val="en-US"/>
              </w:rPr>
            </w:pPr>
          </w:p>
        </w:tc>
        <w:tc>
          <w:tcPr>
            <w:tcW w:w="5951" w:type="dxa"/>
            <w:noWrap w:val="0"/>
            <w:tcMar>
              <w:top w:w="10" w:type="dxa"/>
              <w:left w:w="10" w:type="dxa"/>
              <w:right w:w="10" w:type="dxa"/>
            </w:tcMar>
            <w:vAlign w:val="center"/>
          </w:tcPr>
          <w:p w14:paraId="69AFB6E6">
            <w:pPr>
              <w:keepNext w:val="0"/>
              <w:keepLines w:val="0"/>
              <w:widowControl/>
              <w:numPr>
                <w:ilvl w:val="0"/>
                <w:numId w:val="0"/>
              </w:numPr>
              <w:suppressLineNumbers w:val="0"/>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3、对排水渠底部适当开挖，以便预埋入闸门设备，并配套自动控制系统和网络系统；</w:t>
            </w:r>
          </w:p>
          <w:p w14:paraId="291F61FB">
            <w:pPr>
              <w:keepNext w:val="0"/>
              <w:keepLines w:val="0"/>
              <w:widowControl/>
              <w:numPr>
                <w:ilvl w:val="0"/>
                <w:numId w:val="0"/>
              </w:numPr>
              <w:suppressLineNumbers w:val="0"/>
              <w:jc w:val="left"/>
              <w:textAlignment w:val="center"/>
              <w:rPr>
                <w:rFonts w:hint="eastAsia" w:ascii="宋体" w:hAnsi="宋体" w:eastAsia="宋体" w:cs="宋体"/>
                <w:sz w:val="21"/>
                <w:szCs w:val="21"/>
                <w:lang w:val="en-US"/>
              </w:rPr>
            </w:pPr>
            <w:r>
              <w:rPr>
                <w:rFonts w:hint="eastAsia" w:ascii="宋体" w:hAnsi="宋体" w:eastAsia="宋体" w:cs="宋体"/>
                <w:sz w:val="21"/>
                <w:szCs w:val="21"/>
                <w:lang w:val="en-US" w:eastAsia="zh-CN"/>
              </w:rPr>
              <w:t>4、包括实施过程中的临时工程、设计及管理服务等。</w:t>
            </w:r>
          </w:p>
        </w:tc>
      </w:tr>
    </w:tbl>
    <w:p w14:paraId="051DD068">
      <w:pPr>
        <w:keepNext w:val="0"/>
        <w:keepLines w:val="0"/>
        <w:pageBreakBefore w:val="0"/>
        <w:widowControl w:val="0"/>
        <w:numPr>
          <w:ilvl w:val="0"/>
          <w:numId w:val="0"/>
        </w:numPr>
        <w:kinsoku/>
        <w:wordWrap/>
        <w:overflowPunct/>
        <w:topLinePunct w:val="0"/>
        <w:autoSpaceDE/>
        <w:autoSpaceDN/>
        <w:bidi w:val="0"/>
        <w:adjustRightInd/>
        <w:snapToGrid/>
        <w:spacing w:before="157" w:beforeLines="50" w:line="360" w:lineRule="auto"/>
        <w:ind w:firstLine="420" w:firstLineChars="200"/>
        <w:textAlignment w:val="auto"/>
        <w:outlineLvl w:val="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2、多级防控数字化管理技术服务</w:t>
      </w:r>
    </w:p>
    <w:p w14:paraId="4BBE54F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outlineLvl w:val="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与园区污水零直排监管平台融合，打造应急指挥驾驶舱，为突发事件的应急指挥提供决策支持。驾驶舱实现园区内风险源、河流、环境应急空间与设施、监测监控设备等要素的可视化管理；发生应急事故时，能指导应急工作开展。整理园区及流域周边用于拦截、引流、存储污染物的环境应急空间与设施信息，实现档案化管理。梳理园区及企业应急物资信息，实现统一管理和查询。接入本次新建的截断设施、水质监测等设备的感知数据，以及园区已建的企业闸阀、排口监控、河道水质监测等监测监控数据，实现水污染多级防控，支持数据查询和分析，实现异常事件告警。整合污水零直排告警事件和多级防控告警事件，建立多部门协同处置流程。</w:t>
      </w:r>
    </w:p>
    <w:tbl>
      <w:tblPr>
        <w:tblStyle w:val="49"/>
        <w:tblW w:w="993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567"/>
        <w:gridCol w:w="1270"/>
        <w:gridCol w:w="1144"/>
        <w:gridCol w:w="1006"/>
        <w:gridCol w:w="5951"/>
      </w:tblGrid>
      <w:tr w14:paraId="50F281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0" w:hRule="atLeast"/>
          <w:jc w:val="center"/>
        </w:trPr>
        <w:tc>
          <w:tcPr>
            <w:tcW w:w="567"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720251A3">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b/>
                <w:i w:val="0"/>
                <w:color w:val="000000"/>
                <w:kern w:val="0"/>
                <w:sz w:val="21"/>
                <w:szCs w:val="21"/>
                <w:u w:val="none"/>
                <w:lang w:val="en-US" w:eastAsia="zh-CN" w:bidi="ar"/>
              </w:rPr>
              <w:t>序号</w:t>
            </w:r>
          </w:p>
        </w:tc>
        <w:tc>
          <w:tcPr>
            <w:tcW w:w="3420" w:type="dxa"/>
            <w:gridSpan w:val="3"/>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5DCB2510">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b/>
                <w:i w:val="0"/>
                <w:color w:val="000000"/>
                <w:kern w:val="0"/>
                <w:sz w:val="21"/>
                <w:szCs w:val="21"/>
                <w:u w:val="none"/>
                <w:lang w:val="en-US" w:eastAsia="zh-CN" w:bidi="ar"/>
              </w:rPr>
              <w:t>建设事项</w:t>
            </w:r>
          </w:p>
        </w:tc>
        <w:tc>
          <w:tcPr>
            <w:tcW w:w="5951"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06CDEBC7">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b/>
                <w:i w:val="0"/>
                <w:color w:val="000000"/>
                <w:kern w:val="0"/>
                <w:sz w:val="21"/>
                <w:szCs w:val="21"/>
                <w:u w:val="none"/>
                <w:lang w:val="en-US" w:eastAsia="zh-CN" w:bidi="ar"/>
              </w:rPr>
              <w:t>参数/技术要求</w:t>
            </w:r>
          </w:p>
        </w:tc>
      </w:tr>
      <w:tr w14:paraId="3FC8C0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0" w:hRule="atLeast"/>
          <w:jc w:val="center"/>
        </w:trPr>
        <w:tc>
          <w:tcPr>
            <w:tcW w:w="567"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0DF1C644">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270" w:type="dxa"/>
            <w:vMerge w:val="restart"/>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18E37C7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多级防控数字化管理技术服务</w:t>
            </w:r>
          </w:p>
        </w:tc>
        <w:tc>
          <w:tcPr>
            <w:tcW w:w="1144" w:type="dxa"/>
            <w:vMerge w:val="restart"/>
            <w:tcBorders>
              <w:top w:val="single" w:color="000000" w:sz="4" w:space="0"/>
              <w:left w:val="single" w:color="000000" w:sz="4" w:space="0"/>
              <w:bottom w:val="single" w:color="000000" w:sz="4" w:space="0"/>
              <w:right w:val="nil"/>
            </w:tcBorders>
            <w:noWrap w:val="0"/>
            <w:tcMar>
              <w:top w:w="10" w:type="dxa"/>
              <w:left w:w="10" w:type="dxa"/>
              <w:right w:w="10" w:type="dxa"/>
            </w:tcMar>
            <w:vAlign w:val="center"/>
          </w:tcPr>
          <w:p w14:paraId="3C805ED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数字化监管平台环境应急模体系支撑</w:t>
            </w:r>
          </w:p>
        </w:tc>
        <w:tc>
          <w:tcPr>
            <w:tcW w:w="100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781E52A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应急指挥驾驶舱</w:t>
            </w:r>
          </w:p>
        </w:tc>
        <w:tc>
          <w:tcPr>
            <w:tcW w:w="5951"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293CC802">
            <w:pPr>
              <w:keepNext w:val="0"/>
              <w:keepLines w:val="0"/>
              <w:widowControl/>
              <w:suppressLineNumbers w:val="0"/>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与园区污水零直排监管平台融合，打造应急指挥驾驶舱，为突发事件的应急指挥提供决策支持。驾驶舱实现园区内风险源、河流、环境应急空间与设施、监测监控设备等要素的可视化管理；发生应急事故时，能指导应急工作开展。</w:t>
            </w:r>
          </w:p>
        </w:tc>
      </w:tr>
      <w:tr w14:paraId="239F25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0" w:hRule="atLeast"/>
          <w:jc w:val="center"/>
        </w:trPr>
        <w:tc>
          <w:tcPr>
            <w:tcW w:w="567"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0F497D64">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2</w:t>
            </w:r>
          </w:p>
        </w:tc>
        <w:tc>
          <w:tcPr>
            <w:tcW w:w="1270" w:type="dxa"/>
            <w:vMerge w:val="continue"/>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3A8A5715">
            <w:pPr>
              <w:jc w:val="center"/>
              <w:rPr>
                <w:rFonts w:hint="eastAsia" w:ascii="宋体" w:hAnsi="宋体" w:eastAsia="宋体" w:cs="宋体"/>
                <w:i w:val="0"/>
                <w:color w:val="000000"/>
                <w:sz w:val="21"/>
                <w:szCs w:val="21"/>
                <w:u w:val="none"/>
              </w:rPr>
            </w:pPr>
          </w:p>
        </w:tc>
        <w:tc>
          <w:tcPr>
            <w:tcW w:w="1144" w:type="dxa"/>
            <w:vMerge w:val="continue"/>
            <w:tcBorders>
              <w:top w:val="single" w:color="000000" w:sz="4" w:space="0"/>
              <w:left w:val="single" w:color="000000" w:sz="4" w:space="0"/>
              <w:bottom w:val="single" w:color="000000" w:sz="4" w:space="0"/>
              <w:right w:val="nil"/>
            </w:tcBorders>
            <w:noWrap w:val="0"/>
            <w:tcMar>
              <w:top w:w="10" w:type="dxa"/>
              <w:left w:w="10" w:type="dxa"/>
              <w:right w:w="10" w:type="dxa"/>
            </w:tcMar>
            <w:vAlign w:val="center"/>
          </w:tcPr>
          <w:p w14:paraId="4A9202BC">
            <w:pPr>
              <w:jc w:val="center"/>
              <w:rPr>
                <w:rFonts w:hint="eastAsia" w:ascii="宋体" w:hAnsi="宋体" w:eastAsia="宋体" w:cs="宋体"/>
                <w:i w:val="0"/>
                <w:color w:val="000000"/>
                <w:sz w:val="21"/>
                <w:szCs w:val="21"/>
                <w:u w:val="none"/>
              </w:rPr>
            </w:pPr>
          </w:p>
        </w:tc>
        <w:tc>
          <w:tcPr>
            <w:tcW w:w="100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3A9C067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空间与设施基础信息管理</w:t>
            </w:r>
          </w:p>
        </w:tc>
        <w:tc>
          <w:tcPr>
            <w:tcW w:w="5951"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52EED7F8">
            <w:pPr>
              <w:keepNext w:val="0"/>
              <w:keepLines w:val="0"/>
              <w:widowControl/>
              <w:suppressLineNumbers w:val="0"/>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整理园区及流域周边用于拦截、引流、存储污染物的环境应急空间与设施信息，实现档案化管理。</w:t>
            </w:r>
          </w:p>
        </w:tc>
      </w:tr>
      <w:tr w14:paraId="16A74A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0" w:hRule="atLeast"/>
          <w:jc w:val="center"/>
        </w:trPr>
        <w:tc>
          <w:tcPr>
            <w:tcW w:w="567"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0F9D2F07">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3</w:t>
            </w:r>
          </w:p>
        </w:tc>
        <w:tc>
          <w:tcPr>
            <w:tcW w:w="1270" w:type="dxa"/>
            <w:vMerge w:val="continue"/>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0010C4AD">
            <w:pPr>
              <w:jc w:val="center"/>
              <w:rPr>
                <w:rFonts w:hint="eastAsia" w:ascii="宋体" w:hAnsi="宋体" w:eastAsia="宋体" w:cs="宋体"/>
                <w:i w:val="0"/>
                <w:color w:val="000000"/>
                <w:sz w:val="21"/>
                <w:szCs w:val="21"/>
                <w:u w:val="none"/>
              </w:rPr>
            </w:pPr>
          </w:p>
        </w:tc>
        <w:tc>
          <w:tcPr>
            <w:tcW w:w="1144" w:type="dxa"/>
            <w:vMerge w:val="continue"/>
            <w:tcBorders>
              <w:top w:val="single" w:color="000000" w:sz="4" w:space="0"/>
              <w:left w:val="single" w:color="000000" w:sz="4" w:space="0"/>
              <w:bottom w:val="single" w:color="000000" w:sz="4" w:space="0"/>
              <w:right w:val="nil"/>
            </w:tcBorders>
            <w:noWrap w:val="0"/>
            <w:tcMar>
              <w:top w:w="10" w:type="dxa"/>
              <w:left w:w="10" w:type="dxa"/>
              <w:right w:w="10" w:type="dxa"/>
            </w:tcMar>
            <w:vAlign w:val="center"/>
          </w:tcPr>
          <w:p w14:paraId="18BC1FEB">
            <w:pPr>
              <w:jc w:val="center"/>
              <w:rPr>
                <w:rFonts w:hint="eastAsia" w:ascii="宋体" w:hAnsi="宋体" w:eastAsia="宋体" w:cs="宋体"/>
                <w:i w:val="0"/>
                <w:color w:val="000000"/>
                <w:sz w:val="21"/>
                <w:szCs w:val="21"/>
                <w:u w:val="none"/>
              </w:rPr>
            </w:pPr>
          </w:p>
        </w:tc>
        <w:tc>
          <w:tcPr>
            <w:tcW w:w="100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045EEAA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应急物资信息管理</w:t>
            </w:r>
          </w:p>
        </w:tc>
        <w:tc>
          <w:tcPr>
            <w:tcW w:w="5951"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20F2C78D">
            <w:pPr>
              <w:keepNext w:val="0"/>
              <w:keepLines w:val="0"/>
              <w:widowControl/>
              <w:suppressLineNumbers w:val="0"/>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梳理园区及企业应急物资信息，实现统一管理和查询。</w:t>
            </w:r>
          </w:p>
        </w:tc>
      </w:tr>
      <w:tr w14:paraId="296AFD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0" w:hRule="atLeast"/>
          <w:jc w:val="center"/>
        </w:trPr>
        <w:tc>
          <w:tcPr>
            <w:tcW w:w="567"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63E2E91A">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4</w:t>
            </w:r>
          </w:p>
        </w:tc>
        <w:tc>
          <w:tcPr>
            <w:tcW w:w="1270" w:type="dxa"/>
            <w:vMerge w:val="continue"/>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36ABE163">
            <w:pPr>
              <w:jc w:val="center"/>
              <w:rPr>
                <w:rFonts w:hint="eastAsia" w:ascii="宋体" w:hAnsi="宋体" w:eastAsia="宋体" w:cs="宋体"/>
                <w:i w:val="0"/>
                <w:color w:val="000000"/>
                <w:sz w:val="21"/>
                <w:szCs w:val="21"/>
                <w:u w:val="none"/>
              </w:rPr>
            </w:pPr>
          </w:p>
        </w:tc>
        <w:tc>
          <w:tcPr>
            <w:tcW w:w="1144" w:type="dxa"/>
            <w:vMerge w:val="continue"/>
            <w:tcBorders>
              <w:top w:val="single" w:color="000000" w:sz="4" w:space="0"/>
              <w:left w:val="single" w:color="000000" w:sz="4" w:space="0"/>
              <w:bottom w:val="single" w:color="000000" w:sz="4" w:space="0"/>
              <w:right w:val="nil"/>
            </w:tcBorders>
            <w:noWrap w:val="0"/>
            <w:tcMar>
              <w:top w:w="10" w:type="dxa"/>
              <w:left w:w="10" w:type="dxa"/>
              <w:right w:w="10" w:type="dxa"/>
            </w:tcMar>
            <w:vAlign w:val="center"/>
          </w:tcPr>
          <w:p w14:paraId="4C11B563">
            <w:pPr>
              <w:jc w:val="center"/>
              <w:rPr>
                <w:rFonts w:hint="eastAsia" w:ascii="宋体" w:hAnsi="宋体" w:eastAsia="宋体" w:cs="宋体"/>
                <w:i w:val="0"/>
                <w:color w:val="000000"/>
                <w:sz w:val="21"/>
                <w:szCs w:val="21"/>
                <w:u w:val="none"/>
              </w:rPr>
            </w:pPr>
          </w:p>
        </w:tc>
        <w:tc>
          <w:tcPr>
            <w:tcW w:w="100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6519726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分级防控管理</w:t>
            </w:r>
          </w:p>
        </w:tc>
        <w:tc>
          <w:tcPr>
            <w:tcW w:w="5951"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415E94AA">
            <w:pPr>
              <w:keepNext w:val="0"/>
              <w:keepLines w:val="0"/>
              <w:widowControl/>
              <w:suppressLineNumbers w:val="0"/>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接入本次新建的截断设施、水质监测等设备的感知数据，以及园区已建的企业闸阀、排口监控、河道水质监测等监测监控数据，实现水污染多级防控，支持数据查询和分析，实现异常事件告警。整合污水零直排告警事件和多级防控告警事件，建立多部门协同处置流程。</w:t>
            </w:r>
          </w:p>
        </w:tc>
      </w:tr>
    </w:tbl>
    <w:p w14:paraId="2A4A6BE4">
      <w:pPr>
        <w:keepNext w:val="0"/>
        <w:keepLines w:val="0"/>
        <w:pageBreakBefore w:val="0"/>
        <w:widowControl w:val="0"/>
        <w:numPr>
          <w:ilvl w:val="0"/>
          <w:numId w:val="0"/>
        </w:numPr>
        <w:kinsoku/>
        <w:wordWrap/>
        <w:overflowPunct/>
        <w:topLinePunct w:val="0"/>
        <w:autoSpaceDE/>
        <w:autoSpaceDN/>
        <w:bidi w:val="0"/>
        <w:adjustRightInd/>
        <w:snapToGrid/>
        <w:spacing w:before="79" w:beforeLines="25" w:line="360" w:lineRule="auto"/>
        <w:ind w:firstLine="420" w:firstLineChars="200"/>
        <w:textAlignment w:val="auto"/>
        <w:outlineLvl w:val="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3、过程支持技术服务</w:t>
      </w:r>
    </w:p>
    <w:p w14:paraId="637E43F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outlineLvl w:val="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一园一策”建设提升方案实施技术指导；“一园一策”建设提升方案更新完善。企业及园区等基础情况发生变化和调整的，同步对建设提升方案做补充完善，或单独就变化和调整内容提出对应的建设要求。根据本次提升工作更新编制园区突发水污染事件专项应急预案（包含临时构筑拦截坝应急预案等），协助开展演练等。</w:t>
      </w:r>
    </w:p>
    <w:tbl>
      <w:tblPr>
        <w:tblStyle w:val="49"/>
        <w:tblW w:w="993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567"/>
        <w:gridCol w:w="1270"/>
        <w:gridCol w:w="2150"/>
        <w:gridCol w:w="5951"/>
      </w:tblGrid>
      <w:tr w14:paraId="787A4D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3" w:hRule="atLeast"/>
          <w:jc w:val="center"/>
        </w:trPr>
        <w:tc>
          <w:tcPr>
            <w:tcW w:w="567"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37EBD859">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Fonts w:hint="eastAsia" w:ascii="宋体" w:hAnsi="宋体" w:eastAsia="宋体" w:cs="宋体"/>
                <w:b/>
                <w:i w:val="0"/>
                <w:color w:val="000000"/>
                <w:kern w:val="0"/>
                <w:sz w:val="21"/>
                <w:szCs w:val="21"/>
                <w:u w:val="none"/>
                <w:lang w:val="en-US" w:eastAsia="zh-CN" w:bidi="ar"/>
              </w:rPr>
              <w:t>序号</w:t>
            </w:r>
          </w:p>
        </w:tc>
        <w:tc>
          <w:tcPr>
            <w:tcW w:w="3420" w:type="dxa"/>
            <w:gridSpan w:val="2"/>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6FDC7A83">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Fonts w:hint="eastAsia" w:ascii="宋体" w:hAnsi="宋体" w:eastAsia="宋体" w:cs="宋体"/>
                <w:b/>
                <w:i w:val="0"/>
                <w:color w:val="000000"/>
                <w:kern w:val="0"/>
                <w:sz w:val="21"/>
                <w:szCs w:val="21"/>
                <w:u w:val="none"/>
                <w:lang w:val="en-US" w:eastAsia="zh-CN" w:bidi="ar"/>
              </w:rPr>
              <w:t>建设事项</w:t>
            </w:r>
          </w:p>
        </w:tc>
        <w:tc>
          <w:tcPr>
            <w:tcW w:w="595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21EF0E0A">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Fonts w:hint="eastAsia" w:ascii="宋体" w:hAnsi="宋体" w:eastAsia="宋体" w:cs="宋体"/>
                <w:b/>
                <w:i w:val="0"/>
                <w:color w:val="000000"/>
                <w:kern w:val="0"/>
                <w:sz w:val="21"/>
                <w:szCs w:val="21"/>
                <w:u w:val="none"/>
                <w:lang w:val="en-US" w:eastAsia="zh-CN" w:bidi="ar"/>
              </w:rPr>
              <w:t>参数/技术要求</w:t>
            </w:r>
          </w:p>
        </w:tc>
      </w:tr>
      <w:tr w14:paraId="236277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80" w:hRule="atLeast"/>
          <w:jc w:val="center"/>
        </w:trPr>
        <w:tc>
          <w:tcPr>
            <w:tcW w:w="567"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72AC0180">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270" w:type="dxa"/>
            <w:vMerge w:val="restart"/>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69ED8CB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过程支持技术服务</w:t>
            </w:r>
          </w:p>
        </w:tc>
        <w:tc>
          <w:tcPr>
            <w:tcW w:w="215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4F0A9AE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“一园一策”建设提升方案实施技术指导</w:t>
            </w:r>
          </w:p>
        </w:tc>
        <w:tc>
          <w:tcPr>
            <w:tcW w:w="5951"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0B3DD28B">
            <w:pPr>
              <w:keepNext w:val="0"/>
              <w:keepLines w:val="0"/>
              <w:widowControl/>
              <w:suppressLineNumbers w:val="0"/>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对建设提升方案中的各项任务实施提供技术指导</w:t>
            </w:r>
          </w:p>
        </w:tc>
      </w:tr>
      <w:tr w14:paraId="69EB8C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80" w:hRule="atLeast"/>
          <w:jc w:val="center"/>
        </w:trPr>
        <w:tc>
          <w:tcPr>
            <w:tcW w:w="567"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0AFBF0C8">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2</w:t>
            </w:r>
          </w:p>
        </w:tc>
        <w:tc>
          <w:tcPr>
            <w:tcW w:w="1270" w:type="dxa"/>
            <w:vMerge w:val="continue"/>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11077238">
            <w:pPr>
              <w:jc w:val="center"/>
              <w:rPr>
                <w:rFonts w:hint="eastAsia" w:ascii="宋体" w:hAnsi="宋体" w:eastAsia="宋体" w:cs="宋体"/>
                <w:i w:val="0"/>
                <w:color w:val="000000"/>
                <w:sz w:val="21"/>
                <w:szCs w:val="21"/>
                <w:u w:val="none"/>
              </w:rPr>
            </w:pPr>
          </w:p>
        </w:tc>
        <w:tc>
          <w:tcPr>
            <w:tcW w:w="215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20B5D69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“一园一策”建设提升方案更新完善</w:t>
            </w:r>
          </w:p>
        </w:tc>
        <w:tc>
          <w:tcPr>
            <w:tcW w:w="5951"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4C99BF30">
            <w:pPr>
              <w:keepNext w:val="0"/>
              <w:keepLines w:val="0"/>
              <w:widowControl/>
              <w:suppressLineNumbers w:val="0"/>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方案编制完成后，企业及园区等基础情况发生变化和调整的，同步对建设提升方案做补充完善，或单独就变化和调整内容提出对应的建设要求。</w:t>
            </w:r>
          </w:p>
        </w:tc>
      </w:tr>
      <w:tr w14:paraId="0722AB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80" w:hRule="atLeast"/>
          <w:jc w:val="center"/>
        </w:trPr>
        <w:tc>
          <w:tcPr>
            <w:tcW w:w="567"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444B2673">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3</w:t>
            </w:r>
          </w:p>
        </w:tc>
        <w:tc>
          <w:tcPr>
            <w:tcW w:w="1270" w:type="dxa"/>
            <w:vMerge w:val="continue"/>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061F8F10">
            <w:pPr>
              <w:jc w:val="center"/>
              <w:rPr>
                <w:rFonts w:hint="eastAsia" w:ascii="宋体" w:hAnsi="宋体" w:eastAsia="宋体" w:cs="宋体"/>
                <w:i w:val="0"/>
                <w:color w:val="000000"/>
                <w:sz w:val="21"/>
                <w:szCs w:val="21"/>
                <w:u w:val="none"/>
              </w:rPr>
            </w:pPr>
          </w:p>
        </w:tc>
        <w:tc>
          <w:tcPr>
            <w:tcW w:w="215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458A81E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园区突发水污染事件专项应急预案编制</w:t>
            </w:r>
          </w:p>
        </w:tc>
        <w:tc>
          <w:tcPr>
            <w:tcW w:w="5951"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572218D0">
            <w:pPr>
              <w:keepNext w:val="0"/>
              <w:keepLines w:val="0"/>
              <w:widowControl/>
              <w:suppressLineNumbers w:val="0"/>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根据本次提升工作更新编制园区突发水污染事件专项应急预案（包含临时构筑拦截坝应急预案等），协助开展演练等</w:t>
            </w:r>
          </w:p>
        </w:tc>
      </w:tr>
    </w:tbl>
    <w:p w14:paraId="5C3273BD">
      <w:pPr>
        <w:keepNext w:val="0"/>
        <w:keepLines w:val="0"/>
        <w:pageBreakBefore w:val="0"/>
        <w:widowControl w:val="0"/>
        <w:numPr>
          <w:ilvl w:val="0"/>
          <w:numId w:val="0"/>
        </w:numPr>
        <w:kinsoku/>
        <w:wordWrap/>
        <w:overflowPunct/>
        <w:topLinePunct w:val="0"/>
        <w:autoSpaceDE/>
        <w:autoSpaceDN/>
        <w:bidi w:val="0"/>
        <w:adjustRightInd/>
        <w:snapToGrid/>
        <w:spacing w:before="79" w:beforeLines="25" w:line="360" w:lineRule="auto"/>
        <w:ind w:firstLine="420" w:firstLineChars="200"/>
        <w:textAlignment w:val="auto"/>
        <w:outlineLvl w:val="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4、验收支撑技术服务</w:t>
      </w:r>
    </w:p>
    <w:p w14:paraId="44316DD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outlineLvl w:val="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建设提升任务落实情况的调查核实：对照建设提升方案，开展“企业级”、“企间级”、“园区级”、“流域级”防控体系和园区环境应急救援体系等建设提升任务落实情况的全面调查核实，并分析仍存在的差距。评估验收材料编制：对照省里下发的评估体系，编制评估验收材料，详细说明各项建设内容的落实情况、“一园一策”建设提升方案的完成情况等。评估验收核查工作协助：配合完成评估验收材料属地签署意见、市级审核等；在市级审核期间，协同完成对园区企业的现场抽查工作；协助完成省厅对园区建设成效的现场复核工作。</w:t>
      </w:r>
    </w:p>
    <w:tbl>
      <w:tblPr>
        <w:tblStyle w:val="49"/>
        <w:tblW w:w="993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567"/>
        <w:gridCol w:w="1270"/>
        <w:gridCol w:w="2150"/>
        <w:gridCol w:w="5951"/>
      </w:tblGrid>
      <w:tr w14:paraId="22E1C8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3" w:hRule="atLeast"/>
          <w:jc w:val="center"/>
        </w:trPr>
        <w:tc>
          <w:tcPr>
            <w:tcW w:w="567"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6AE084E8">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Fonts w:hint="eastAsia" w:ascii="宋体" w:hAnsi="宋体" w:eastAsia="宋体" w:cs="宋体"/>
                <w:b/>
                <w:i w:val="0"/>
                <w:color w:val="000000"/>
                <w:kern w:val="0"/>
                <w:sz w:val="21"/>
                <w:szCs w:val="21"/>
                <w:u w:val="none"/>
                <w:lang w:val="en-US" w:eastAsia="zh-CN" w:bidi="ar"/>
              </w:rPr>
              <w:t>序号</w:t>
            </w:r>
          </w:p>
        </w:tc>
        <w:tc>
          <w:tcPr>
            <w:tcW w:w="3420" w:type="dxa"/>
            <w:gridSpan w:val="2"/>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6BBF41C3">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Fonts w:hint="eastAsia" w:ascii="宋体" w:hAnsi="宋体" w:eastAsia="宋体" w:cs="宋体"/>
                <w:b/>
                <w:i w:val="0"/>
                <w:color w:val="000000"/>
                <w:kern w:val="0"/>
                <w:sz w:val="21"/>
                <w:szCs w:val="21"/>
                <w:u w:val="none"/>
                <w:lang w:val="en-US" w:eastAsia="zh-CN" w:bidi="ar"/>
              </w:rPr>
              <w:t>建设事项</w:t>
            </w:r>
          </w:p>
        </w:tc>
        <w:tc>
          <w:tcPr>
            <w:tcW w:w="595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0F38BCB3">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Fonts w:hint="eastAsia" w:ascii="宋体" w:hAnsi="宋体" w:eastAsia="宋体" w:cs="宋体"/>
                <w:b/>
                <w:i w:val="0"/>
                <w:color w:val="000000"/>
                <w:kern w:val="0"/>
                <w:sz w:val="21"/>
                <w:szCs w:val="21"/>
                <w:u w:val="none"/>
                <w:lang w:val="en-US" w:eastAsia="zh-CN" w:bidi="ar"/>
              </w:rPr>
              <w:t>参数/技术要求</w:t>
            </w:r>
          </w:p>
        </w:tc>
      </w:tr>
      <w:tr w14:paraId="698BD6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0" w:hRule="atLeast"/>
          <w:jc w:val="center"/>
        </w:trPr>
        <w:tc>
          <w:tcPr>
            <w:tcW w:w="567"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0C7510E1">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w:t>
            </w:r>
          </w:p>
        </w:tc>
        <w:tc>
          <w:tcPr>
            <w:tcW w:w="1270" w:type="dxa"/>
            <w:vMerge w:val="restart"/>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451EA5D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验收支撑技术服务</w:t>
            </w:r>
          </w:p>
        </w:tc>
        <w:tc>
          <w:tcPr>
            <w:tcW w:w="215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1359A2B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建设提升任务落实情况的调查核实</w:t>
            </w:r>
          </w:p>
        </w:tc>
        <w:tc>
          <w:tcPr>
            <w:tcW w:w="5951"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75E95FB8">
            <w:pPr>
              <w:keepNext w:val="0"/>
              <w:keepLines w:val="0"/>
              <w:widowControl/>
              <w:suppressLineNumbers w:val="0"/>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对照建设提升方案，开展“企业级”、“企间级”、“园区级”、“流域级”防控体系和园区环境应急救援体系等建设提升任务落实情况的全面调查核实，并分析仍存在的差距。</w:t>
            </w:r>
          </w:p>
        </w:tc>
      </w:tr>
      <w:tr w14:paraId="64136E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80" w:hRule="atLeast"/>
          <w:jc w:val="center"/>
        </w:trPr>
        <w:tc>
          <w:tcPr>
            <w:tcW w:w="567"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551A0B59">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2</w:t>
            </w:r>
          </w:p>
        </w:tc>
        <w:tc>
          <w:tcPr>
            <w:tcW w:w="1270" w:type="dxa"/>
            <w:vMerge w:val="continue"/>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26EE80AF">
            <w:pPr>
              <w:jc w:val="center"/>
              <w:rPr>
                <w:rFonts w:hint="eastAsia" w:ascii="宋体" w:hAnsi="宋体" w:eastAsia="宋体" w:cs="宋体"/>
                <w:i w:val="0"/>
                <w:color w:val="000000"/>
                <w:sz w:val="21"/>
                <w:szCs w:val="21"/>
                <w:u w:val="none"/>
              </w:rPr>
            </w:pPr>
          </w:p>
        </w:tc>
        <w:tc>
          <w:tcPr>
            <w:tcW w:w="215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3DF85F6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评估验收材料编制</w:t>
            </w:r>
          </w:p>
        </w:tc>
        <w:tc>
          <w:tcPr>
            <w:tcW w:w="5951"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3878F1BB">
            <w:pPr>
              <w:keepNext w:val="0"/>
              <w:keepLines w:val="0"/>
              <w:widowControl/>
              <w:suppressLineNumbers w:val="0"/>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对照省里下发的评估体系，编制评估验收材料，详细说明各项建设内容的落实情况、“一园一策”建设提升方案的完成情况等。</w:t>
            </w:r>
          </w:p>
        </w:tc>
      </w:tr>
      <w:tr w14:paraId="57279F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0" w:hRule="atLeast"/>
          <w:jc w:val="center"/>
        </w:trPr>
        <w:tc>
          <w:tcPr>
            <w:tcW w:w="567"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07C97609">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3</w:t>
            </w:r>
          </w:p>
        </w:tc>
        <w:tc>
          <w:tcPr>
            <w:tcW w:w="1270" w:type="dxa"/>
            <w:vMerge w:val="continue"/>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76802309">
            <w:pPr>
              <w:jc w:val="center"/>
              <w:rPr>
                <w:rFonts w:hint="eastAsia" w:ascii="宋体" w:hAnsi="宋体" w:eastAsia="宋体" w:cs="宋体"/>
                <w:i w:val="0"/>
                <w:color w:val="000000"/>
                <w:sz w:val="21"/>
                <w:szCs w:val="21"/>
                <w:u w:val="none"/>
              </w:rPr>
            </w:pPr>
          </w:p>
        </w:tc>
        <w:tc>
          <w:tcPr>
            <w:tcW w:w="215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5284F22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评估验收核查工作协助</w:t>
            </w:r>
          </w:p>
        </w:tc>
        <w:tc>
          <w:tcPr>
            <w:tcW w:w="5951"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5077971D">
            <w:pPr>
              <w:keepNext w:val="0"/>
              <w:keepLines w:val="0"/>
              <w:widowControl/>
              <w:suppressLineNumbers w:val="0"/>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配合完成评估验收材料属地签署意见、市级审核等；在市级审核期间，协同完成对园区企业的现场抽查工作；协助完成省厅对园区建设成效的现场复核工作。</w:t>
            </w:r>
          </w:p>
        </w:tc>
      </w:tr>
    </w:tbl>
    <w:p w14:paraId="49B1D8F9">
      <w:pPr>
        <w:keepNext w:val="0"/>
        <w:keepLines w:val="0"/>
        <w:pageBreakBefore w:val="0"/>
        <w:widowControl w:val="0"/>
        <w:numPr>
          <w:ilvl w:val="0"/>
          <w:numId w:val="0"/>
        </w:numPr>
        <w:kinsoku/>
        <w:wordWrap/>
        <w:overflowPunct/>
        <w:topLinePunct w:val="0"/>
        <w:autoSpaceDE/>
        <w:autoSpaceDN/>
        <w:bidi w:val="0"/>
        <w:adjustRightInd/>
        <w:snapToGrid/>
        <w:spacing w:before="79" w:beforeLines="25" w:after="0" w:afterLines="0" w:line="360" w:lineRule="auto"/>
        <w:ind w:leftChars="0" w:firstLine="420" w:firstLineChars="200"/>
        <w:jc w:val="left"/>
        <w:textAlignment w:val="auto"/>
        <w:outlineLvl w:val="0"/>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5、运维服务</w:t>
      </w:r>
    </w:p>
    <w:p w14:paraId="31D7D300">
      <w:pPr>
        <w:keepNext/>
        <w:keepLines/>
        <w:pageBreakBefore w:val="0"/>
        <w:widowControl w:val="0"/>
        <w:numPr>
          <w:ilvl w:val="0"/>
          <w:numId w:val="0"/>
        </w:numPr>
        <w:kinsoku/>
        <w:wordWrap/>
        <w:overflowPunct/>
        <w:topLinePunct w:val="0"/>
        <w:autoSpaceDE/>
        <w:autoSpaceDN/>
        <w:bidi w:val="0"/>
        <w:adjustRightInd/>
        <w:snapToGrid/>
        <w:spacing w:before="79" w:beforeLines="25" w:after="79" w:afterLines="25" w:line="360" w:lineRule="auto"/>
        <w:ind w:leftChars="0" w:firstLine="420" w:firstLineChars="200"/>
        <w:jc w:val="both"/>
        <w:textAlignment w:val="auto"/>
        <w:outlineLvl w:val="1"/>
        <w:rPr>
          <w:rFonts w:hint="eastAsia" w:ascii="宋体" w:hAnsi="宋体" w:cs="宋体"/>
          <w:sz w:val="21"/>
          <w:szCs w:val="21"/>
          <w:highlight w:val="none"/>
        </w:rPr>
      </w:pPr>
      <w:r>
        <w:rPr>
          <w:rFonts w:hint="eastAsia" w:ascii="宋体" w:hAnsi="宋体" w:eastAsia="宋体" w:cs="Times New Roman"/>
          <w:sz w:val="21"/>
          <w:szCs w:val="21"/>
          <w:highlight w:val="none"/>
          <w:lang w:val="en-US" w:eastAsia="zh-CN"/>
        </w:rPr>
        <w:t>本项目过程支持技术服务和验收支撑技术服务以化工园区突发水污染事件多级防控体系建设提升工作通过上级主管部门验收为服务截止期限；</w:t>
      </w:r>
      <w:r>
        <w:rPr>
          <w:rFonts w:hint="eastAsia" w:ascii="宋体" w:hAnsi="宋体" w:eastAsia="宋体" w:cs="Times New Roman"/>
          <w:kern w:val="2"/>
          <w:sz w:val="21"/>
          <w:szCs w:val="21"/>
          <w:highlight w:val="none"/>
          <w:lang w:val="en-US" w:eastAsia="zh-CN" w:bidi="ar-SA"/>
        </w:rPr>
        <w:t>软件运维服务期为3年；硬件运维期为1年并提供原厂质保3年；自项目验收合格后开始起算。要求投标人建立专业运维团队，实行7*24小时专人值班制，提供热线服务电话，接收采购人故障申告；投标人在接到故障通知后，30分钟内响应，4小时内修复，现场不能修复的，必须采取无偿提供采购物品的备用件或整机等措施，保证用户单位的正常使用。由投标人提供满足所有整体系统正常运转所需的能耗、环境、配件材料等一切费用。</w:t>
      </w:r>
    </w:p>
    <w:p w14:paraId="159113EE">
      <w:pPr>
        <w:keepNext/>
        <w:keepLines/>
        <w:pageBreakBefore w:val="0"/>
        <w:widowControl w:val="0"/>
        <w:numPr>
          <w:ilvl w:val="0"/>
          <w:numId w:val="4"/>
        </w:numPr>
        <w:kinsoku/>
        <w:wordWrap/>
        <w:overflowPunct/>
        <w:topLinePunct w:val="0"/>
        <w:autoSpaceDE/>
        <w:autoSpaceDN/>
        <w:bidi w:val="0"/>
        <w:adjustRightInd/>
        <w:snapToGrid/>
        <w:spacing w:before="0" w:after="0" w:line="360" w:lineRule="auto"/>
        <w:ind w:left="0" w:leftChars="0" w:firstLine="422" w:firstLineChars="200"/>
        <w:jc w:val="left"/>
        <w:textAlignment w:val="auto"/>
        <w:outlineLvl w:val="1"/>
        <w:rPr>
          <w:rFonts w:hint="eastAsia" w:ascii="宋体" w:hAnsi="宋体" w:cs="宋体"/>
          <w:b/>
          <w:bCs/>
          <w:color w:val="auto"/>
          <w:kern w:val="2"/>
          <w:sz w:val="21"/>
          <w:szCs w:val="21"/>
          <w:highlight w:val="none"/>
          <w:lang w:val="en-US" w:eastAsia="zh-CN" w:bidi="ar-SA"/>
        </w:rPr>
      </w:pPr>
      <w:r>
        <w:rPr>
          <w:rFonts w:hint="eastAsia" w:ascii="宋体" w:hAnsi="宋体" w:cs="宋体"/>
          <w:b/>
          <w:bCs/>
          <w:color w:val="auto"/>
          <w:kern w:val="2"/>
          <w:sz w:val="21"/>
          <w:szCs w:val="21"/>
          <w:highlight w:val="none"/>
          <w:lang w:val="en-US" w:eastAsia="zh-CN" w:bidi="ar-SA"/>
        </w:rPr>
        <w:t>服务质量保证</w:t>
      </w:r>
    </w:p>
    <w:p w14:paraId="1BA87BB5">
      <w:pPr>
        <w:pStyle w:val="479"/>
        <w:keepNext w:val="0"/>
        <w:keepLines w:val="0"/>
        <w:pageBreakBefore w:val="0"/>
        <w:widowControl w:val="0"/>
        <w:numPr>
          <w:ilvl w:val="0"/>
          <w:numId w:val="0"/>
        </w:numPr>
        <w:kinsoku/>
        <w:wordWrap/>
        <w:overflowPunct/>
        <w:topLinePunct w:val="0"/>
        <w:autoSpaceDE/>
        <w:autoSpaceDN/>
        <w:bidi w:val="0"/>
        <w:adjustRightInd w:val="0"/>
        <w:snapToGrid w:val="0"/>
        <w:spacing w:before="157" w:beforeLines="50" w:after="157" w:afterLines="50" w:line="360" w:lineRule="auto"/>
        <w:ind w:firstLine="630" w:firstLineChars="300"/>
        <w:textAlignment w:val="auto"/>
        <w:rPr>
          <w:rFonts w:hint="default" w:ascii="宋体" w:hAnsi="宋体" w:eastAsia="宋体" w:cs="Times New Roman"/>
          <w:kern w:val="2"/>
          <w:sz w:val="21"/>
          <w:szCs w:val="21"/>
          <w:highlight w:val="none"/>
          <w:lang w:val="en-US" w:eastAsia="zh-CN" w:bidi="ar-SA"/>
        </w:rPr>
      </w:pPr>
      <w:r>
        <w:rPr>
          <w:rFonts w:hint="eastAsia" w:ascii="宋体" w:hAnsi="宋体" w:eastAsia="宋体" w:cs="Times New Roman"/>
          <w:kern w:val="2"/>
          <w:sz w:val="21"/>
          <w:szCs w:val="21"/>
          <w:highlight w:val="none"/>
          <w:lang w:val="en-US" w:eastAsia="zh-CN" w:bidi="ar-SA"/>
        </w:rPr>
        <w:t>4.1</w:t>
      </w:r>
      <w:r>
        <w:rPr>
          <w:rFonts w:hint="default" w:ascii="宋体" w:hAnsi="宋体" w:eastAsia="宋体" w:cs="Times New Roman"/>
          <w:kern w:val="2"/>
          <w:sz w:val="21"/>
          <w:szCs w:val="21"/>
          <w:highlight w:val="none"/>
          <w:lang w:val="en-US" w:eastAsia="zh-CN" w:bidi="ar-SA"/>
        </w:rPr>
        <w:t>建设期的质量保证</w:t>
      </w:r>
    </w:p>
    <w:p w14:paraId="0176B5FF">
      <w:pPr>
        <w:pStyle w:val="479"/>
        <w:numPr>
          <w:ilvl w:val="0"/>
          <w:numId w:val="0"/>
        </w:numPr>
        <w:adjustRightInd w:val="0"/>
        <w:snapToGrid w:val="0"/>
        <w:spacing w:line="360" w:lineRule="auto"/>
        <w:ind w:firstLine="630" w:firstLineChars="300"/>
        <w:rPr>
          <w:rFonts w:hint="default" w:ascii="宋体" w:hAnsi="宋体" w:eastAsia="宋体" w:cs="Times New Roman"/>
          <w:kern w:val="2"/>
          <w:sz w:val="21"/>
          <w:szCs w:val="21"/>
          <w:highlight w:val="none"/>
          <w:lang w:val="en-US" w:eastAsia="zh-CN" w:bidi="ar-SA"/>
        </w:rPr>
      </w:pPr>
      <w:r>
        <w:rPr>
          <w:rFonts w:hint="eastAsia" w:ascii="宋体" w:hAnsi="宋体" w:eastAsia="宋体" w:cs="Times New Roman"/>
          <w:kern w:val="2"/>
          <w:sz w:val="21"/>
          <w:szCs w:val="21"/>
          <w:highlight w:val="none"/>
          <w:lang w:val="en-US" w:eastAsia="zh-CN" w:bidi="ar-SA"/>
        </w:rPr>
        <w:t>1.</w:t>
      </w:r>
      <w:r>
        <w:rPr>
          <w:rFonts w:hint="default" w:ascii="宋体" w:hAnsi="宋体" w:eastAsia="宋体" w:cs="Times New Roman"/>
          <w:kern w:val="2"/>
          <w:sz w:val="21"/>
          <w:szCs w:val="21"/>
          <w:highlight w:val="none"/>
          <w:lang w:val="en-US" w:eastAsia="zh-CN" w:bidi="ar-SA"/>
        </w:rPr>
        <w:t>中标人不得以任何形式转包于他方。</w:t>
      </w:r>
    </w:p>
    <w:p w14:paraId="78B0183B">
      <w:pPr>
        <w:pStyle w:val="479"/>
        <w:numPr>
          <w:ilvl w:val="0"/>
          <w:numId w:val="0"/>
        </w:numPr>
        <w:adjustRightInd w:val="0"/>
        <w:snapToGrid w:val="0"/>
        <w:spacing w:line="360" w:lineRule="auto"/>
        <w:ind w:firstLine="630" w:firstLineChars="300"/>
        <w:rPr>
          <w:rFonts w:hint="default" w:ascii="宋体" w:hAnsi="宋体" w:eastAsia="宋体" w:cs="Times New Roman"/>
          <w:kern w:val="2"/>
          <w:sz w:val="21"/>
          <w:szCs w:val="21"/>
          <w:highlight w:val="none"/>
          <w:lang w:val="en-US" w:eastAsia="zh-CN" w:bidi="ar-SA"/>
        </w:rPr>
      </w:pPr>
      <w:r>
        <w:rPr>
          <w:rFonts w:hint="eastAsia" w:ascii="宋体" w:hAnsi="宋体" w:eastAsia="宋体" w:cs="Times New Roman"/>
          <w:kern w:val="2"/>
          <w:sz w:val="21"/>
          <w:szCs w:val="21"/>
          <w:highlight w:val="none"/>
          <w:lang w:val="en-US" w:eastAsia="zh-CN" w:bidi="ar-SA"/>
        </w:rPr>
        <w:t>2.</w:t>
      </w:r>
      <w:r>
        <w:rPr>
          <w:rFonts w:hint="default" w:ascii="宋体" w:hAnsi="宋体" w:eastAsia="宋体" w:cs="Times New Roman"/>
          <w:kern w:val="2"/>
          <w:sz w:val="21"/>
          <w:szCs w:val="21"/>
          <w:highlight w:val="none"/>
          <w:lang w:val="en-US" w:eastAsia="zh-CN" w:bidi="ar-SA"/>
        </w:rPr>
        <w:t>系统和设备达不到招标文件质量和规格要求的，</w:t>
      </w:r>
      <w:r>
        <w:rPr>
          <w:rFonts w:hint="eastAsia" w:ascii="宋体" w:hAnsi="宋体" w:eastAsia="宋体" w:cs="Times New Roman"/>
          <w:kern w:val="2"/>
          <w:sz w:val="21"/>
          <w:szCs w:val="21"/>
          <w:highlight w:val="none"/>
          <w:lang w:val="en-US" w:eastAsia="zh-CN" w:bidi="ar-SA"/>
        </w:rPr>
        <w:t>采购人</w:t>
      </w:r>
      <w:r>
        <w:rPr>
          <w:rFonts w:hint="default" w:ascii="宋体" w:hAnsi="宋体" w:eastAsia="宋体" w:cs="Times New Roman"/>
          <w:kern w:val="2"/>
          <w:sz w:val="21"/>
          <w:szCs w:val="21"/>
          <w:highlight w:val="none"/>
          <w:lang w:val="en-US" w:eastAsia="zh-CN" w:bidi="ar-SA"/>
        </w:rPr>
        <w:t>有权解除合同，所有责任由中标人承担。</w:t>
      </w:r>
    </w:p>
    <w:p w14:paraId="352DD5AF">
      <w:pPr>
        <w:pStyle w:val="479"/>
        <w:numPr>
          <w:ilvl w:val="0"/>
          <w:numId w:val="0"/>
        </w:numPr>
        <w:adjustRightInd w:val="0"/>
        <w:snapToGrid w:val="0"/>
        <w:spacing w:line="360" w:lineRule="auto"/>
        <w:ind w:firstLine="630" w:firstLineChars="300"/>
        <w:rPr>
          <w:rFonts w:hint="default" w:ascii="宋体" w:hAnsi="宋体" w:eastAsia="宋体" w:cs="Times New Roman"/>
          <w:kern w:val="2"/>
          <w:sz w:val="21"/>
          <w:szCs w:val="21"/>
          <w:highlight w:val="none"/>
          <w:lang w:val="en-US" w:eastAsia="zh-CN" w:bidi="ar-SA"/>
        </w:rPr>
      </w:pPr>
      <w:r>
        <w:rPr>
          <w:rFonts w:hint="eastAsia" w:ascii="宋体" w:hAnsi="宋体" w:eastAsia="宋体" w:cs="Times New Roman"/>
          <w:kern w:val="2"/>
          <w:sz w:val="21"/>
          <w:szCs w:val="21"/>
          <w:highlight w:val="none"/>
          <w:lang w:val="en-US" w:eastAsia="zh-CN" w:bidi="ar-SA"/>
        </w:rPr>
        <w:t>3.</w:t>
      </w:r>
      <w:r>
        <w:rPr>
          <w:rFonts w:hint="default" w:ascii="宋体" w:hAnsi="宋体" w:eastAsia="宋体" w:cs="Times New Roman"/>
          <w:kern w:val="2"/>
          <w:sz w:val="21"/>
          <w:szCs w:val="21"/>
          <w:highlight w:val="none"/>
          <w:lang w:val="en-US" w:eastAsia="zh-CN" w:bidi="ar-SA"/>
        </w:rPr>
        <w:t>中标人必须严格按照合同约定工期要求将合同设备全部交付到指定地点，完成系统所有建设内容。</w:t>
      </w:r>
    </w:p>
    <w:p w14:paraId="7805858A">
      <w:pPr>
        <w:pStyle w:val="479"/>
        <w:numPr>
          <w:ilvl w:val="0"/>
          <w:numId w:val="0"/>
        </w:numPr>
        <w:adjustRightInd w:val="0"/>
        <w:snapToGrid w:val="0"/>
        <w:spacing w:line="360" w:lineRule="auto"/>
        <w:ind w:firstLine="630" w:firstLineChars="300"/>
        <w:rPr>
          <w:rFonts w:hint="default" w:ascii="宋体" w:hAnsi="宋体" w:eastAsia="宋体" w:cs="Times New Roman"/>
          <w:kern w:val="2"/>
          <w:sz w:val="21"/>
          <w:szCs w:val="21"/>
          <w:highlight w:val="none"/>
          <w:lang w:val="en-US" w:eastAsia="zh-CN" w:bidi="ar-SA"/>
        </w:rPr>
      </w:pPr>
      <w:r>
        <w:rPr>
          <w:rFonts w:hint="eastAsia" w:ascii="宋体" w:hAnsi="宋体" w:eastAsia="宋体" w:cs="Times New Roman"/>
          <w:kern w:val="2"/>
          <w:sz w:val="21"/>
          <w:szCs w:val="21"/>
          <w:highlight w:val="none"/>
          <w:lang w:val="en-US" w:eastAsia="zh-CN" w:bidi="ar-SA"/>
        </w:rPr>
        <w:t>4.</w:t>
      </w:r>
      <w:r>
        <w:rPr>
          <w:rFonts w:hint="default" w:ascii="宋体" w:hAnsi="宋体" w:eastAsia="宋体" w:cs="Times New Roman"/>
          <w:kern w:val="2"/>
          <w:sz w:val="21"/>
          <w:szCs w:val="21"/>
          <w:highlight w:val="none"/>
          <w:lang w:val="en-US" w:eastAsia="zh-CN" w:bidi="ar-SA"/>
        </w:rPr>
        <w:t>为确保系统高质量建设，投标人应制定有关建设期间的质量保证计划，包括系统设计与施工规范化管理、仪器设备质量保证、技术人员资质及管理等。</w:t>
      </w:r>
    </w:p>
    <w:p w14:paraId="7E0CFB5D">
      <w:pPr>
        <w:pStyle w:val="479"/>
        <w:numPr>
          <w:ilvl w:val="0"/>
          <w:numId w:val="0"/>
        </w:numPr>
        <w:adjustRightInd w:val="0"/>
        <w:snapToGrid w:val="0"/>
        <w:spacing w:line="360" w:lineRule="auto"/>
        <w:ind w:firstLine="630" w:firstLineChars="300"/>
        <w:rPr>
          <w:rFonts w:hint="default" w:ascii="宋体" w:hAnsi="宋体" w:eastAsia="宋体" w:cs="Times New Roman"/>
          <w:kern w:val="2"/>
          <w:sz w:val="21"/>
          <w:szCs w:val="21"/>
          <w:highlight w:val="none"/>
          <w:lang w:val="en-US" w:eastAsia="zh-CN" w:bidi="ar-SA"/>
        </w:rPr>
      </w:pPr>
      <w:bookmarkStart w:id="72" w:name="_Toc528670270"/>
      <w:r>
        <w:rPr>
          <w:rFonts w:hint="eastAsia" w:ascii="宋体" w:hAnsi="宋体" w:eastAsia="宋体" w:cs="Times New Roman"/>
          <w:kern w:val="2"/>
          <w:sz w:val="21"/>
          <w:szCs w:val="21"/>
          <w:highlight w:val="none"/>
          <w:lang w:val="en-US" w:eastAsia="zh-CN" w:bidi="ar-SA"/>
        </w:rPr>
        <w:t>4.2</w:t>
      </w:r>
      <w:r>
        <w:rPr>
          <w:rFonts w:hint="default" w:ascii="宋体" w:hAnsi="宋体" w:eastAsia="宋体" w:cs="Times New Roman"/>
          <w:kern w:val="2"/>
          <w:sz w:val="21"/>
          <w:szCs w:val="21"/>
          <w:highlight w:val="none"/>
          <w:lang w:val="en-US" w:eastAsia="zh-CN" w:bidi="ar-SA"/>
        </w:rPr>
        <w:t>供货及投入正常运转的时限要求</w:t>
      </w:r>
      <w:bookmarkEnd w:id="72"/>
    </w:p>
    <w:p w14:paraId="678FF189">
      <w:pPr>
        <w:pStyle w:val="479"/>
        <w:numPr>
          <w:ilvl w:val="0"/>
          <w:numId w:val="0"/>
        </w:numPr>
        <w:adjustRightInd w:val="0"/>
        <w:snapToGrid w:val="0"/>
        <w:spacing w:line="360" w:lineRule="auto"/>
        <w:ind w:firstLine="630" w:firstLineChars="300"/>
        <w:rPr>
          <w:rFonts w:hint="default" w:ascii="宋体" w:hAnsi="宋体" w:eastAsia="宋体" w:cs="Times New Roman"/>
          <w:kern w:val="2"/>
          <w:sz w:val="21"/>
          <w:szCs w:val="21"/>
          <w:highlight w:val="none"/>
          <w:lang w:val="en-US" w:eastAsia="zh-CN" w:bidi="ar-SA"/>
        </w:rPr>
      </w:pPr>
      <w:r>
        <w:rPr>
          <w:rFonts w:hint="default" w:ascii="宋体" w:hAnsi="宋体" w:eastAsia="宋体" w:cs="Times New Roman"/>
          <w:kern w:val="2"/>
          <w:sz w:val="21"/>
          <w:szCs w:val="21"/>
          <w:highlight w:val="none"/>
          <w:lang w:val="en-US" w:eastAsia="zh-CN" w:bidi="ar-SA"/>
        </w:rPr>
        <w:t>要求202</w:t>
      </w:r>
      <w:r>
        <w:rPr>
          <w:rFonts w:hint="eastAsia" w:ascii="宋体" w:hAnsi="宋体" w:eastAsia="宋体" w:cs="Times New Roman"/>
          <w:kern w:val="2"/>
          <w:sz w:val="21"/>
          <w:szCs w:val="21"/>
          <w:highlight w:val="none"/>
          <w:lang w:val="en-US" w:eastAsia="zh-CN" w:bidi="ar-SA"/>
        </w:rPr>
        <w:t>5</w:t>
      </w:r>
      <w:r>
        <w:rPr>
          <w:rFonts w:hint="default" w:ascii="宋体" w:hAnsi="宋体" w:eastAsia="宋体" w:cs="Times New Roman"/>
          <w:kern w:val="2"/>
          <w:sz w:val="21"/>
          <w:szCs w:val="21"/>
          <w:highlight w:val="none"/>
          <w:lang w:val="en-US" w:eastAsia="zh-CN" w:bidi="ar-SA"/>
        </w:rPr>
        <w:t>年</w:t>
      </w:r>
      <w:r>
        <w:rPr>
          <w:rFonts w:hint="eastAsia" w:ascii="宋体" w:hAnsi="宋体" w:eastAsia="宋体" w:cs="Times New Roman"/>
          <w:kern w:val="2"/>
          <w:sz w:val="21"/>
          <w:szCs w:val="21"/>
          <w:highlight w:val="none"/>
          <w:lang w:val="en-US" w:eastAsia="zh-CN" w:bidi="ar-SA"/>
        </w:rPr>
        <w:t>10</w:t>
      </w:r>
      <w:r>
        <w:rPr>
          <w:rFonts w:hint="default" w:ascii="宋体" w:hAnsi="宋体" w:eastAsia="宋体" w:cs="Times New Roman"/>
          <w:kern w:val="2"/>
          <w:sz w:val="21"/>
          <w:szCs w:val="21"/>
          <w:highlight w:val="none"/>
          <w:lang w:val="en-US" w:eastAsia="zh-CN" w:bidi="ar-SA"/>
        </w:rPr>
        <w:t>月前完成系统所有建设内容，开始试运行。试运行1个月后组织整体验收，试运行期间保证正常运行。投标人应制订明确的项目实施进度计划。</w:t>
      </w:r>
    </w:p>
    <w:p w14:paraId="44A9A09D">
      <w:pPr>
        <w:pStyle w:val="479"/>
        <w:numPr>
          <w:ilvl w:val="0"/>
          <w:numId w:val="0"/>
        </w:numPr>
        <w:adjustRightInd w:val="0"/>
        <w:snapToGrid w:val="0"/>
        <w:spacing w:line="360" w:lineRule="auto"/>
        <w:ind w:firstLine="630" w:firstLineChars="300"/>
        <w:rPr>
          <w:rFonts w:hint="default" w:ascii="宋体" w:hAnsi="宋体" w:eastAsia="宋体" w:cs="Times New Roman"/>
          <w:kern w:val="2"/>
          <w:sz w:val="21"/>
          <w:szCs w:val="21"/>
          <w:highlight w:val="none"/>
          <w:lang w:val="en-US" w:eastAsia="zh-CN" w:bidi="ar-SA"/>
        </w:rPr>
      </w:pPr>
      <w:bookmarkStart w:id="73" w:name="_Toc528670271"/>
      <w:r>
        <w:rPr>
          <w:rFonts w:hint="eastAsia" w:ascii="宋体" w:hAnsi="宋体" w:eastAsia="宋体" w:cs="Times New Roman"/>
          <w:kern w:val="2"/>
          <w:sz w:val="21"/>
          <w:szCs w:val="21"/>
          <w:highlight w:val="none"/>
          <w:lang w:val="en-US" w:eastAsia="zh-CN" w:bidi="ar-SA"/>
        </w:rPr>
        <w:t>4.3</w:t>
      </w:r>
      <w:r>
        <w:rPr>
          <w:rFonts w:hint="default" w:ascii="宋体" w:hAnsi="宋体" w:eastAsia="宋体" w:cs="Times New Roman"/>
          <w:kern w:val="2"/>
          <w:sz w:val="21"/>
          <w:szCs w:val="21"/>
          <w:highlight w:val="none"/>
          <w:lang w:val="en-US" w:eastAsia="zh-CN" w:bidi="ar-SA"/>
        </w:rPr>
        <w:t>验收办法</w:t>
      </w:r>
      <w:bookmarkEnd w:id="73"/>
    </w:p>
    <w:p w14:paraId="316CFC92">
      <w:pPr>
        <w:pStyle w:val="479"/>
        <w:numPr>
          <w:ilvl w:val="0"/>
          <w:numId w:val="0"/>
        </w:numPr>
        <w:adjustRightInd w:val="0"/>
        <w:snapToGrid w:val="0"/>
        <w:spacing w:line="360" w:lineRule="auto"/>
        <w:ind w:firstLine="630" w:firstLineChars="300"/>
        <w:rPr>
          <w:rFonts w:hint="default" w:ascii="宋体" w:hAnsi="宋体" w:eastAsia="宋体" w:cs="Times New Roman"/>
          <w:kern w:val="2"/>
          <w:sz w:val="21"/>
          <w:szCs w:val="21"/>
          <w:highlight w:val="none"/>
          <w:lang w:val="en-US" w:eastAsia="zh-CN" w:bidi="ar-SA"/>
        </w:rPr>
      </w:pPr>
      <w:r>
        <w:rPr>
          <w:rFonts w:hint="default" w:ascii="宋体" w:hAnsi="宋体" w:eastAsia="宋体" w:cs="Times New Roman"/>
          <w:kern w:val="2"/>
          <w:sz w:val="21"/>
          <w:szCs w:val="21"/>
          <w:highlight w:val="none"/>
          <w:lang w:val="en-US" w:eastAsia="zh-CN" w:bidi="ar-SA"/>
        </w:rPr>
        <w:t>系统验收由</w:t>
      </w:r>
      <w:r>
        <w:rPr>
          <w:rFonts w:hint="eastAsia" w:ascii="宋体" w:hAnsi="宋体" w:eastAsia="宋体" w:cs="Times New Roman"/>
          <w:kern w:val="2"/>
          <w:sz w:val="21"/>
          <w:szCs w:val="21"/>
          <w:highlight w:val="none"/>
          <w:lang w:val="en-US" w:eastAsia="zh-CN" w:bidi="ar-SA"/>
        </w:rPr>
        <w:t>采购人</w:t>
      </w:r>
      <w:r>
        <w:rPr>
          <w:rFonts w:hint="default" w:ascii="宋体" w:hAnsi="宋体" w:eastAsia="宋体" w:cs="Times New Roman"/>
          <w:kern w:val="2"/>
          <w:sz w:val="21"/>
          <w:szCs w:val="21"/>
          <w:highlight w:val="none"/>
          <w:lang w:val="en-US" w:eastAsia="zh-CN" w:bidi="ar-SA"/>
        </w:rPr>
        <w:t>组织专家及有关人员按照本技术要求及合同内容进行验收。</w:t>
      </w:r>
    </w:p>
    <w:p w14:paraId="59FB3F52">
      <w:pPr>
        <w:pStyle w:val="479"/>
        <w:numPr>
          <w:ilvl w:val="0"/>
          <w:numId w:val="0"/>
        </w:numPr>
        <w:adjustRightInd w:val="0"/>
        <w:snapToGrid w:val="0"/>
        <w:spacing w:line="360" w:lineRule="auto"/>
        <w:ind w:firstLine="630" w:firstLineChars="300"/>
        <w:rPr>
          <w:rFonts w:hint="default" w:ascii="宋体" w:hAnsi="宋体" w:eastAsia="宋体" w:cs="Times New Roman"/>
          <w:kern w:val="2"/>
          <w:sz w:val="21"/>
          <w:szCs w:val="21"/>
          <w:highlight w:val="none"/>
          <w:lang w:val="en-US" w:eastAsia="zh-CN" w:bidi="ar-SA"/>
        </w:rPr>
      </w:pPr>
      <w:r>
        <w:rPr>
          <w:rFonts w:hint="default" w:ascii="宋体" w:hAnsi="宋体" w:eastAsia="宋体" w:cs="Times New Roman"/>
          <w:kern w:val="2"/>
          <w:sz w:val="21"/>
          <w:szCs w:val="21"/>
          <w:highlight w:val="none"/>
          <w:lang w:val="en-US" w:eastAsia="zh-CN" w:bidi="ar-SA"/>
        </w:rPr>
        <w:t>货物到达安装现场后，投标人和</w:t>
      </w:r>
      <w:r>
        <w:rPr>
          <w:rFonts w:hint="eastAsia" w:ascii="宋体" w:hAnsi="宋体" w:eastAsia="宋体" w:cs="Times New Roman"/>
          <w:kern w:val="2"/>
          <w:sz w:val="21"/>
          <w:szCs w:val="21"/>
          <w:highlight w:val="none"/>
          <w:lang w:val="en-US" w:eastAsia="zh-CN" w:bidi="ar-SA"/>
        </w:rPr>
        <w:t>采购</w:t>
      </w:r>
      <w:r>
        <w:rPr>
          <w:rFonts w:hint="default" w:ascii="宋体" w:hAnsi="宋体" w:eastAsia="宋体" w:cs="Times New Roman"/>
          <w:kern w:val="2"/>
          <w:sz w:val="21"/>
          <w:szCs w:val="21"/>
          <w:highlight w:val="none"/>
          <w:lang w:val="en-US" w:eastAsia="zh-CN" w:bidi="ar-SA"/>
        </w:rPr>
        <w:t>人共同打开包装验货检查货物数量。投标人应提供详细发货清单。如果货物质量或技术规格与合同不符，或货物有明显损坏，</w:t>
      </w:r>
      <w:r>
        <w:rPr>
          <w:rFonts w:hint="eastAsia" w:ascii="宋体" w:hAnsi="宋体" w:eastAsia="宋体" w:cs="Times New Roman"/>
          <w:kern w:val="2"/>
          <w:sz w:val="21"/>
          <w:szCs w:val="21"/>
          <w:highlight w:val="none"/>
          <w:lang w:val="en-US" w:eastAsia="zh-CN" w:bidi="ar-SA"/>
        </w:rPr>
        <w:t>采购</w:t>
      </w:r>
      <w:r>
        <w:rPr>
          <w:rFonts w:hint="default" w:ascii="宋体" w:hAnsi="宋体" w:eastAsia="宋体" w:cs="Times New Roman"/>
          <w:kern w:val="2"/>
          <w:sz w:val="21"/>
          <w:szCs w:val="21"/>
          <w:highlight w:val="none"/>
          <w:lang w:val="en-US" w:eastAsia="zh-CN" w:bidi="ar-SA"/>
        </w:rPr>
        <w:t>人有权提出索赔。只有经安装调试并且技术性能达到本招标文件所述的技术要求后，</w:t>
      </w:r>
      <w:r>
        <w:rPr>
          <w:rFonts w:hint="eastAsia" w:ascii="宋体" w:hAnsi="宋体" w:eastAsia="宋体" w:cs="Times New Roman"/>
          <w:kern w:val="2"/>
          <w:sz w:val="21"/>
          <w:szCs w:val="21"/>
          <w:highlight w:val="none"/>
          <w:lang w:val="en-US" w:eastAsia="zh-CN" w:bidi="ar-SA"/>
        </w:rPr>
        <w:t>采购</w:t>
      </w:r>
      <w:r>
        <w:rPr>
          <w:rFonts w:hint="default" w:ascii="宋体" w:hAnsi="宋体" w:eastAsia="宋体" w:cs="Times New Roman"/>
          <w:kern w:val="2"/>
          <w:sz w:val="21"/>
          <w:szCs w:val="21"/>
          <w:highlight w:val="none"/>
          <w:lang w:val="en-US" w:eastAsia="zh-CN" w:bidi="ar-SA"/>
        </w:rPr>
        <w:t>人才能接受全部货物。</w:t>
      </w:r>
    </w:p>
    <w:p w14:paraId="3CC226A6">
      <w:pPr>
        <w:pStyle w:val="479"/>
        <w:numPr>
          <w:ilvl w:val="0"/>
          <w:numId w:val="0"/>
        </w:numPr>
        <w:adjustRightInd w:val="0"/>
        <w:snapToGrid w:val="0"/>
        <w:spacing w:line="360" w:lineRule="auto"/>
        <w:ind w:firstLine="630" w:firstLineChars="300"/>
        <w:rPr>
          <w:rFonts w:hint="default" w:ascii="宋体" w:hAnsi="宋体" w:eastAsia="宋体" w:cs="Times New Roman"/>
          <w:kern w:val="2"/>
          <w:sz w:val="21"/>
          <w:szCs w:val="21"/>
          <w:highlight w:val="none"/>
          <w:lang w:val="en-US" w:eastAsia="zh-CN" w:bidi="ar-SA"/>
        </w:rPr>
      </w:pPr>
      <w:r>
        <w:rPr>
          <w:rFonts w:hint="default" w:ascii="宋体" w:hAnsi="宋体" w:eastAsia="宋体" w:cs="Times New Roman"/>
          <w:kern w:val="2"/>
          <w:sz w:val="21"/>
          <w:szCs w:val="21"/>
          <w:highlight w:val="none"/>
          <w:lang w:val="en-US" w:eastAsia="zh-CN" w:bidi="ar-SA"/>
        </w:rPr>
        <w:t>系统试运行期间，考察系统运行情况，进行相关指标的测试，此项工作应由中标人免费提供试运行期间系统运行所需的一切试剂。</w:t>
      </w:r>
    </w:p>
    <w:p w14:paraId="4FF3A6B2">
      <w:pPr>
        <w:keepNext/>
        <w:keepLines/>
        <w:pageBreakBefore w:val="0"/>
        <w:widowControl w:val="0"/>
        <w:numPr>
          <w:ilvl w:val="0"/>
          <w:numId w:val="4"/>
        </w:numPr>
        <w:kinsoku/>
        <w:wordWrap/>
        <w:overflowPunct/>
        <w:topLinePunct w:val="0"/>
        <w:autoSpaceDE/>
        <w:autoSpaceDN/>
        <w:bidi w:val="0"/>
        <w:adjustRightInd/>
        <w:snapToGrid/>
        <w:spacing w:before="0" w:after="0" w:line="360" w:lineRule="auto"/>
        <w:ind w:left="0" w:leftChars="0" w:firstLine="422" w:firstLineChars="200"/>
        <w:jc w:val="left"/>
        <w:textAlignment w:val="auto"/>
        <w:outlineLvl w:val="1"/>
        <w:rPr>
          <w:rFonts w:hint="eastAsia" w:ascii="宋体" w:hAnsi="宋体" w:cs="宋体"/>
          <w:b/>
          <w:bCs/>
          <w:color w:val="auto"/>
          <w:kern w:val="2"/>
          <w:sz w:val="21"/>
          <w:szCs w:val="21"/>
          <w:highlight w:val="none"/>
          <w:lang w:val="en-US" w:eastAsia="zh-CN" w:bidi="ar-SA"/>
        </w:rPr>
      </w:pPr>
      <w:r>
        <w:rPr>
          <w:rFonts w:hint="eastAsia" w:ascii="宋体" w:hAnsi="宋体" w:cs="宋体"/>
          <w:b/>
          <w:bCs/>
          <w:color w:val="auto"/>
          <w:kern w:val="2"/>
          <w:sz w:val="21"/>
          <w:szCs w:val="21"/>
          <w:highlight w:val="none"/>
          <w:lang w:val="en-US" w:eastAsia="zh-CN" w:bidi="ar-SA"/>
        </w:rPr>
        <w:t>其他要求</w:t>
      </w:r>
    </w:p>
    <w:p w14:paraId="2FE727B3">
      <w:pPr>
        <w:pStyle w:val="479"/>
        <w:numPr>
          <w:ilvl w:val="0"/>
          <w:numId w:val="0"/>
        </w:numPr>
        <w:adjustRightInd w:val="0"/>
        <w:snapToGrid w:val="0"/>
        <w:spacing w:line="360" w:lineRule="auto"/>
        <w:ind w:firstLine="630" w:firstLineChars="300"/>
        <w:rPr>
          <w:rFonts w:hint="default" w:ascii="宋体" w:hAnsi="宋体" w:eastAsia="宋体" w:cs="Times New Roman"/>
          <w:kern w:val="2"/>
          <w:sz w:val="21"/>
          <w:szCs w:val="21"/>
          <w:highlight w:val="none"/>
          <w:lang w:val="en-US" w:eastAsia="zh-CN" w:bidi="ar-SA"/>
        </w:rPr>
      </w:pPr>
      <w:bookmarkStart w:id="74" w:name="_Toc528670281"/>
      <w:r>
        <w:rPr>
          <w:rFonts w:hint="eastAsia" w:ascii="宋体" w:hAnsi="宋体" w:eastAsia="宋体" w:cs="Times New Roman"/>
          <w:kern w:val="2"/>
          <w:sz w:val="21"/>
          <w:szCs w:val="21"/>
          <w:highlight w:val="none"/>
          <w:lang w:val="en-US" w:eastAsia="zh-CN" w:bidi="ar-SA"/>
        </w:rPr>
        <w:t>5.1</w:t>
      </w:r>
      <w:r>
        <w:rPr>
          <w:rFonts w:hint="default" w:ascii="宋体" w:hAnsi="宋体" w:eastAsia="宋体" w:cs="Times New Roman"/>
          <w:kern w:val="2"/>
          <w:sz w:val="21"/>
          <w:szCs w:val="21"/>
          <w:highlight w:val="none"/>
          <w:lang w:val="en-US" w:eastAsia="zh-CN" w:bidi="ar-SA"/>
        </w:rPr>
        <w:t>系统的完整性</w:t>
      </w:r>
      <w:bookmarkEnd w:id="74"/>
    </w:p>
    <w:p w14:paraId="75CB9EC6">
      <w:pPr>
        <w:pStyle w:val="479"/>
        <w:numPr>
          <w:ilvl w:val="0"/>
          <w:numId w:val="0"/>
        </w:numPr>
        <w:adjustRightInd w:val="0"/>
        <w:snapToGrid w:val="0"/>
        <w:spacing w:line="360" w:lineRule="auto"/>
        <w:ind w:firstLine="630" w:firstLineChars="300"/>
        <w:rPr>
          <w:rFonts w:hint="default" w:ascii="宋体" w:hAnsi="宋体" w:eastAsia="宋体" w:cs="Times New Roman"/>
          <w:kern w:val="2"/>
          <w:sz w:val="21"/>
          <w:szCs w:val="21"/>
          <w:highlight w:val="none"/>
          <w:lang w:val="en-US" w:eastAsia="zh-CN" w:bidi="ar-SA"/>
        </w:rPr>
      </w:pPr>
      <w:r>
        <w:rPr>
          <w:rFonts w:hint="default" w:ascii="宋体" w:hAnsi="宋体" w:eastAsia="宋体" w:cs="Times New Roman"/>
          <w:kern w:val="2"/>
          <w:sz w:val="21"/>
          <w:szCs w:val="21"/>
          <w:highlight w:val="none"/>
          <w:lang w:val="en-US" w:eastAsia="zh-CN" w:bidi="ar-SA"/>
        </w:rPr>
        <w:t>中标人提供的整套设备应能构成一个完整的系统并按技术要求连续运行。需要采购人自行解决的设备、附件应在投标文件中列出，否则系统正常运行所缺的设备及附件，均视为免费及时提供。</w:t>
      </w:r>
    </w:p>
    <w:p w14:paraId="00A850F5">
      <w:pPr>
        <w:pStyle w:val="479"/>
        <w:numPr>
          <w:ilvl w:val="0"/>
          <w:numId w:val="0"/>
        </w:numPr>
        <w:adjustRightInd w:val="0"/>
        <w:snapToGrid w:val="0"/>
        <w:spacing w:line="360" w:lineRule="auto"/>
        <w:ind w:firstLine="630" w:firstLineChars="300"/>
        <w:rPr>
          <w:rFonts w:hint="default" w:ascii="宋体" w:hAnsi="宋体" w:eastAsia="宋体" w:cs="Times New Roman"/>
          <w:kern w:val="2"/>
          <w:sz w:val="21"/>
          <w:szCs w:val="21"/>
          <w:highlight w:val="none"/>
          <w:lang w:val="en-US" w:eastAsia="zh-CN" w:bidi="ar-SA"/>
        </w:rPr>
      </w:pPr>
      <w:bookmarkStart w:id="75" w:name="_Toc528670282"/>
      <w:r>
        <w:rPr>
          <w:rFonts w:hint="eastAsia" w:ascii="宋体" w:hAnsi="宋体" w:eastAsia="宋体" w:cs="Times New Roman"/>
          <w:kern w:val="2"/>
          <w:sz w:val="21"/>
          <w:szCs w:val="21"/>
          <w:highlight w:val="none"/>
          <w:lang w:val="en-US" w:eastAsia="zh-CN" w:bidi="ar-SA"/>
        </w:rPr>
        <w:t>5.2</w:t>
      </w:r>
      <w:r>
        <w:rPr>
          <w:rFonts w:hint="default" w:ascii="宋体" w:hAnsi="宋体" w:eastAsia="宋体" w:cs="Times New Roman"/>
          <w:kern w:val="2"/>
          <w:sz w:val="21"/>
          <w:szCs w:val="21"/>
          <w:highlight w:val="none"/>
          <w:lang w:val="en-US" w:eastAsia="zh-CN" w:bidi="ar-SA"/>
        </w:rPr>
        <w:t>提供的设备要求</w:t>
      </w:r>
      <w:bookmarkEnd w:id="75"/>
    </w:p>
    <w:p w14:paraId="1D9DF2F9">
      <w:pPr>
        <w:pStyle w:val="479"/>
        <w:numPr>
          <w:ilvl w:val="0"/>
          <w:numId w:val="0"/>
        </w:numPr>
        <w:adjustRightInd w:val="0"/>
        <w:snapToGrid w:val="0"/>
        <w:spacing w:line="360" w:lineRule="auto"/>
        <w:ind w:firstLine="630" w:firstLineChars="300"/>
        <w:rPr>
          <w:rFonts w:hint="default" w:ascii="宋体" w:hAnsi="宋体" w:eastAsia="宋体" w:cs="Times New Roman"/>
          <w:kern w:val="2"/>
          <w:sz w:val="21"/>
          <w:szCs w:val="21"/>
          <w:highlight w:val="none"/>
          <w:lang w:val="en-US" w:eastAsia="zh-CN" w:bidi="ar-SA"/>
        </w:rPr>
      </w:pPr>
      <w:r>
        <w:rPr>
          <w:rFonts w:hint="eastAsia" w:ascii="宋体" w:hAnsi="宋体" w:eastAsia="宋体" w:cs="Times New Roman"/>
          <w:kern w:val="2"/>
          <w:sz w:val="21"/>
          <w:szCs w:val="21"/>
          <w:highlight w:val="none"/>
          <w:lang w:val="en-US" w:eastAsia="zh-CN" w:bidi="ar-SA"/>
        </w:rPr>
        <w:t>1.</w:t>
      </w:r>
      <w:r>
        <w:rPr>
          <w:rFonts w:hint="default" w:ascii="宋体" w:hAnsi="宋体" w:eastAsia="宋体" w:cs="Times New Roman"/>
          <w:kern w:val="2"/>
          <w:sz w:val="21"/>
          <w:szCs w:val="21"/>
          <w:highlight w:val="none"/>
          <w:lang w:val="en-US" w:eastAsia="zh-CN" w:bidi="ar-SA"/>
        </w:rPr>
        <w:t>投标人所投设备货物的技术参数不得低于本项目的技术要求和档次。</w:t>
      </w:r>
    </w:p>
    <w:p w14:paraId="015D5008">
      <w:pPr>
        <w:pStyle w:val="479"/>
        <w:numPr>
          <w:ilvl w:val="0"/>
          <w:numId w:val="0"/>
        </w:numPr>
        <w:adjustRightInd w:val="0"/>
        <w:snapToGrid w:val="0"/>
        <w:spacing w:line="360" w:lineRule="auto"/>
        <w:ind w:firstLine="630" w:firstLineChars="300"/>
        <w:rPr>
          <w:rFonts w:hint="default" w:ascii="宋体" w:hAnsi="宋体" w:eastAsia="宋体" w:cs="Times New Roman"/>
          <w:kern w:val="2"/>
          <w:sz w:val="21"/>
          <w:szCs w:val="21"/>
          <w:highlight w:val="none"/>
          <w:lang w:val="en-US" w:eastAsia="zh-CN" w:bidi="ar-SA"/>
        </w:rPr>
      </w:pPr>
      <w:r>
        <w:rPr>
          <w:rFonts w:hint="eastAsia" w:ascii="宋体" w:hAnsi="宋体" w:eastAsia="宋体" w:cs="Times New Roman"/>
          <w:kern w:val="2"/>
          <w:sz w:val="21"/>
          <w:szCs w:val="21"/>
          <w:highlight w:val="none"/>
          <w:lang w:val="en-US" w:eastAsia="zh-CN" w:bidi="ar-SA"/>
        </w:rPr>
        <w:t>2.</w:t>
      </w:r>
      <w:r>
        <w:rPr>
          <w:rFonts w:hint="default" w:ascii="宋体" w:hAnsi="宋体" w:eastAsia="宋体" w:cs="Times New Roman"/>
          <w:kern w:val="2"/>
          <w:sz w:val="21"/>
          <w:szCs w:val="21"/>
          <w:highlight w:val="none"/>
          <w:lang w:val="en-US" w:eastAsia="zh-CN" w:bidi="ar-SA"/>
        </w:rPr>
        <w:t>投标人提供的整套设备各组成部分必须是完整的、全新的、功能全的单元，并且必须是全新、符合国家质量检测标准，所有的原材料必须无任何缺陷。所有的设备和安装要符合国家有关的行业标准。</w:t>
      </w:r>
    </w:p>
    <w:p w14:paraId="1C890F7E">
      <w:pPr>
        <w:pStyle w:val="479"/>
        <w:numPr>
          <w:ilvl w:val="0"/>
          <w:numId w:val="0"/>
        </w:numPr>
        <w:adjustRightInd w:val="0"/>
        <w:snapToGrid w:val="0"/>
        <w:spacing w:line="360" w:lineRule="auto"/>
        <w:ind w:firstLine="630" w:firstLineChars="300"/>
        <w:rPr>
          <w:rFonts w:hint="default" w:ascii="宋体" w:hAnsi="宋体" w:eastAsia="宋体" w:cs="Times New Roman"/>
          <w:kern w:val="2"/>
          <w:sz w:val="21"/>
          <w:szCs w:val="21"/>
          <w:highlight w:val="none"/>
          <w:lang w:val="en-US" w:eastAsia="zh-CN" w:bidi="ar-SA"/>
        </w:rPr>
      </w:pPr>
      <w:r>
        <w:rPr>
          <w:rFonts w:hint="eastAsia" w:ascii="宋体" w:hAnsi="宋体" w:eastAsia="宋体" w:cs="Times New Roman"/>
          <w:kern w:val="2"/>
          <w:sz w:val="21"/>
          <w:szCs w:val="21"/>
          <w:highlight w:val="none"/>
          <w:lang w:val="en-US" w:eastAsia="zh-CN" w:bidi="ar-SA"/>
        </w:rPr>
        <w:t>3.</w:t>
      </w:r>
      <w:r>
        <w:rPr>
          <w:rFonts w:hint="default" w:ascii="宋体" w:hAnsi="宋体" w:eastAsia="宋体" w:cs="Times New Roman"/>
          <w:kern w:val="2"/>
          <w:sz w:val="21"/>
          <w:szCs w:val="21"/>
          <w:highlight w:val="none"/>
          <w:lang w:val="en-US" w:eastAsia="zh-CN" w:bidi="ar-SA"/>
        </w:rPr>
        <w:t>所提供的货物应具有出厂检验合格证，不得是长期积压产品。</w:t>
      </w:r>
    </w:p>
    <w:p w14:paraId="31082B1C">
      <w:pPr>
        <w:pStyle w:val="479"/>
        <w:numPr>
          <w:ilvl w:val="0"/>
          <w:numId w:val="0"/>
        </w:numPr>
        <w:adjustRightInd w:val="0"/>
        <w:snapToGrid w:val="0"/>
        <w:spacing w:line="360" w:lineRule="auto"/>
        <w:ind w:firstLine="630" w:firstLineChars="300"/>
        <w:rPr>
          <w:rFonts w:hint="default" w:ascii="宋体" w:hAnsi="宋体" w:eastAsia="宋体" w:cs="Times New Roman"/>
          <w:kern w:val="2"/>
          <w:sz w:val="21"/>
          <w:szCs w:val="21"/>
          <w:highlight w:val="none"/>
          <w:lang w:val="en-US" w:eastAsia="zh-CN" w:bidi="ar-SA"/>
        </w:rPr>
      </w:pPr>
      <w:bookmarkStart w:id="76" w:name="_Toc528670283"/>
      <w:r>
        <w:rPr>
          <w:rFonts w:hint="eastAsia" w:ascii="宋体" w:hAnsi="宋体" w:eastAsia="宋体" w:cs="Times New Roman"/>
          <w:kern w:val="2"/>
          <w:sz w:val="21"/>
          <w:szCs w:val="21"/>
          <w:highlight w:val="none"/>
          <w:lang w:val="en-US" w:eastAsia="zh-CN" w:bidi="ar-SA"/>
        </w:rPr>
        <w:t>5.3</w:t>
      </w:r>
      <w:r>
        <w:rPr>
          <w:rFonts w:hint="default" w:ascii="宋体" w:hAnsi="宋体" w:eastAsia="宋体" w:cs="Times New Roman"/>
          <w:kern w:val="2"/>
          <w:sz w:val="21"/>
          <w:szCs w:val="21"/>
          <w:highlight w:val="none"/>
          <w:lang w:val="en-US" w:eastAsia="zh-CN" w:bidi="ar-SA"/>
        </w:rPr>
        <w:t>提供技术文件要求</w:t>
      </w:r>
      <w:bookmarkEnd w:id="76"/>
    </w:p>
    <w:p w14:paraId="7BAF5870">
      <w:pPr>
        <w:pStyle w:val="479"/>
        <w:numPr>
          <w:ilvl w:val="0"/>
          <w:numId w:val="0"/>
        </w:numPr>
        <w:adjustRightInd w:val="0"/>
        <w:snapToGrid w:val="0"/>
        <w:spacing w:line="360" w:lineRule="auto"/>
        <w:ind w:firstLine="630" w:firstLineChars="300"/>
        <w:rPr>
          <w:rFonts w:hint="default" w:ascii="宋体" w:hAnsi="宋体" w:eastAsia="宋体" w:cs="Times New Roman"/>
          <w:kern w:val="2"/>
          <w:sz w:val="21"/>
          <w:szCs w:val="21"/>
          <w:highlight w:val="none"/>
          <w:lang w:val="en-US" w:eastAsia="zh-CN" w:bidi="ar-SA"/>
        </w:rPr>
      </w:pPr>
      <w:r>
        <w:rPr>
          <w:rFonts w:hint="eastAsia" w:ascii="宋体" w:hAnsi="宋体" w:eastAsia="宋体" w:cs="Times New Roman"/>
          <w:kern w:val="2"/>
          <w:sz w:val="21"/>
          <w:szCs w:val="21"/>
          <w:highlight w:val="none"/>
          <w:lang w:val="en-US" w:eastAsia="zh-CN" w:bidi="ar-SA"/>
        </w:rPr>
        <w:t>1.</w:t>
      </w:r>
      <w:r>
        <w:rPr>
          <w:rFonts w:hint="default" w:ascii="宋体" w:hAnsi="宋体" w:eastAsia="宋体" w:cs="Times New Roman"/>
          <w:kern w:val="2"/>
          <w:sz w:val="21"/>
          <w:szCs w:val="21"/>
          <w:highlight w:val="none"/>
          <w:lang w:val="en-US" w:eastAsia="zh-CN" w:bidi="ar-SA"/>
        </w:rPr>
        <w:t>投标人如果中标，其所提供的技术说明文件应与货物相对应一致，并尽可能完整清晰，且应为原件。合同技术文件应与每批货物共同包装送交，费用应包含于货物的报价中。</w:t>
      </w:r>
    </w:p>
    <w:p w14:paraId="37CE8343">
      <w:pPr>
        <w:pStyle w:val="479"/>
        <w:numPr>
          <w:ilvl w:val="0"/>
          <w:numId w:val="0"/>
        </w:numPr>
        <w:adjustRightInd w:val="0"/>
        <w:snapToGrid w:val="0"/>
        <w:spacing w:line="360" w:lineRule="auto"/>
        <w:ind w:firstLine="630" w:firstLineChars="300"/>
        <w:rPr>
          <w:rFonts w:hint="default" w:ascii="宋体" w:hAnsi="宋体" w:eastAsia="宋体" w:cs="Times New Roman"/>
          <w:kern w:val="2"/>
          <w:sz w:val="21"/>
          <w:szCs w:val="21"/>
          <w:highlight w:val="none"/>
          <w:lang w:val="en-US" w:eastAsia="zh-CN" w:bidi="ar-SA"/>
        </w:rPr>
      </w:pPr>
      <w:r>
        <w:rPr>
          <w:rFonts w:hint="eastAsia" w:ascii="宋体" w:hAnsi="宋体" w:eastAsia="宋体" w:cs="Times New Roman"/>
          <w:kern w:val="2"/>
          <w:sz w:val="21"/>
          <w:szCs w:val="21"/>
          <w:highlight w:val="none"/>
          <w:lang w:val="en-US" w:eastAsia="zh-CN" w:bidi="ar-SA"/>
        </w:rPr>
        <w:t>2.</w:t>
      </w:r>
      <w:r>
        <w:rPr>
          <w:rFonts w:hint="default" w:ascii="宋体" w:hAnsi="宋体" w:eastAsia="宋体" w:cs="Times New Roman"/>
          <w:kern w:val="2"/>
          <w:sz w:val="21"/>
          <w:szCs w:val="21"/>
          <w:highlight w:val="none"/>
          <w:lang w:val="en-US" w:eastAsia="zh-CN" w:bidi="ar-SA"/>
        </w:rPr>
        <w:t>国外货物的技术说明文件应为中英文。文字应简单易懂。硬件的技术文件应附详尽图表以便安装和纠错指导。</w:t>
      </w:r>
    </w:p>
    <w:p w14:paraId="0D31A8D5">
      <w:pPr>
        <w:pStyle w:val="479"/>
        <w:numPr>
          <w:ilvl w:val="0"/>
          <w:numId w:val="0"/>
        </w:numPr>
        <w:adjustRightInd w:val="0"/>
        <w:snapToGrid w:val="0"/>
        <w:spacing w:line="360" w:lineRule="auto"/>
        <w:ind w:firstLine="630" w:firstLineChars="300"/>
        <w:rPr>
          <w:rFonts w:hint="default" w:ascii="宋体" w:hAnsi="宋体" w:eastAsia="宋体" w:cs="Times New Roman"/>
          <w:kern w:val="2"/>
          <w:sz w:val="21"/>
          <w:szCs w:val="21"/>
          <w:highlight w:val="none"/>
          <w:lang w:val="en-US" w:eastAsia="zh-CN" w:bidi="ar-SA"/>
        </w:rPr>
      </w:pPr>
      <w:r>
        <w:rPr>
          <w:rFonts w:hint="eastAsia" w:ascii="宋体" w:hAnsi="宋体" w:eastAsia="宋体" w:cs="Times New Roman"/>
          <w:kern w:val="2"/>
          <w:sz w:val="21"/>
          <w:szCs w:val="21"/>
          <w:highlight w:val="none"/>
          <w:lang w:val="en-US" w:eastAsia="zh-CN" w:bidi="ar-SA"/>
        </w:rPr>
        <w:t>3.</w:t>
      </w:r>
      <w:r>
        <w:rPr>
          <w:rFonts w:hint="default" w:ascii="宋体" w:hAnsi="宋体" w:eastAsia="宋体" w:cs="Times New Roman"/>
          <w:kern w:val="2"/>
          <w:sz w:val="21"/>
          <w:szCs w:val="21"/>
          <w:highlight w:val="none"/>
          <w:lang w:val="en-US" w:eastAsia="zh-CN" w:bidi="ar-SA"/>
        </w:rPr>
        <w:t>技术手册应至少包括如下内容：相关硬件的安装指导、安装手册、使用说明书、设备保养、维护手册（包含错误诊断、测试程序）等；相关软件的安装指导、采购人指导、管理者手册、语言和命令说明等。</w:t>
      </w:r>
    </w:p>
    <w:p w14:paraId="2FDE971F">
      <w:pPr>
        <w:pStyle w:val="479"/>
        <w:numPr>
          <w:ilvl w:val="0"/>
          <w:numId w:val="0"/>
        </w:numPr>
        <w:adjustRightInd w:val="0"/>
        <w:snapToGrid w:val="0"/>
        <w:spacing w:line="360" w:lineRule="auto"/>
        <w:ind w:firstLine="630" w:firstLineChars="300"/>
        <w:rPr>
          <w:rFonts w:hint="eastAsia" w:ascii="宋体" w:hAnsi="宋体" w:eastAsia="宋体" w:cs="Times New Roman"/>
          <w:kern w:val="2"/>
          <w:sz w:val="21"/>
          <w:szCs w:val="21"/>
          <w:highlight w:val="none"/>
          <w:lang w:val="en-US" w:eastAsia="zh-CN" w:bidi="ar-SA"/>
        </w:rPr>
      </w:pPr>
      <w:r>
        <w:rPr>
          <w:rFonts w:hint="eastAsia" w:ascii="宋体" w:hAnsi="宋体" w:eastAsia="宋体" w:cs="Times New Roman"/>
          <w:kern w:val="2"/>
          <w:sz w:val="21"/>
          <w:szCs w:val="21"/>
          <w:highlight w:val="none"/>
          <w:lang w:val="en-US" w:eastAsia="zh-CN" w:bidi="ar-SA"/>
        </w:rPr>
        <w:t>5.4付款方式：在合同生效以及具备实施条件后7个工作日内，支付合同价的20%作为预付款，项目终验合格后支付至合同价的95%，待软件运维期满后支付剩余款项。</w:t>
      </w:r>
    </w:p>
    <w:p w14:paraId="77EE9C5C">
      <w:pPr>
        <w:pStyle w:val="479"/>
        <w:numPr>
          <w:ilvl w:val="0"/>
          <w:numId w:val="0"/>
        </w:numPr>
        <w:adjustRightInd w:val="0"/>
        <w:snapToGrid w:val="0"/>
        <w:spacing w:line="360" w:lineRule="auto"/>
        <w:ind w:firstLine="630" w:firstLineChars="300"/>
        <w:rPr>
          <w:rFonts w:hint="default" w:ascii="宋体" w:hAnsi="宋体" w:eastAsia="宋体" w:cs="Times New Roman"/>
          <w:kern w:val="2"/>
          <w:sz w:val="21"/>
          <w:szCs w:val="21"/>
          <w:highlight w:val="none"/>
          <w:lang w:val="en-US" w:eastAsia="zh-CN" w:bidi="ar-SA"/>
        </w:rPr>
      </w:pPr>
    </w:p>
    <w:p w14:paraId="178A1A88">
      <w:pPr>
        <w:keepNext/>
        <w:keepLines/>
        <w:pageBreakBefore w:val="0"/>
        <w:widowControl w:val="0"/>
        <w:numPr>
          <w:ilvl w:val="0"/>
          <w:numId w:val="0"/>
        </w:numPr>
        <w:kinsoku/>
        <w:wordWrap/>
        <w:overflowPunct/>
        <w:topLinePunct w:val="0"/>
        <w:autoSpaceDE/>
        <w:autoSpaceDN/>
        <w:bidi w:val="0"/>
        <w:adjustRightInd/>
        <w:snapToGrid/>
        <w:spacing w:before="0" w:after="0" w:line="360" w:lineRule="auto"/>
        <w:ind w:leftChars="200"/>
        <w:jc w:val="left"/>
        <w:textAlignment w:val="auto"/>
        <w:outlineLvl w:val="1"/>
        <w:rPr>
          <w:rFonts w:hint="eastAsia" w:ascii="宋体" w:hAnsi="宋体" w:eastAsia="宋体" w:cs="宋体"/>
          <w:color w:val="auto"/>
          <w:sz w:val="21"/>
          <w:szCs w:val="21"/>
          <w:highlight w:val="none"/>
          <w:lang w:val="en-US" w:eastAsia="zh-CN"/>
        </w:rPr>
      </w:pPr>
    </w:p>
    <w:p w14:paraId="5E68813D">
      <w:pPr>
        <w:rPr>
          <w:rFonts w:hint="eastAsia"/>
          <w:highlight w:val="none"/>
          <w:lang w:val="en-US" w:eastAsia="zh-CN"/>
        </w:rPr>
      </w:pPr>
    </w:p>
    <w:p w14:paraId="2C056A8D">
      <w:pPr>
        <w:pStyle w:val="19"/>
        <w:rPr>
          <w:rFonts w:hint="eastAsia"/>
          <w:highlight w:val="none"/>
          <w:lang w:val="en-US" w:eastAsia="zh-CN"/>
        </w:rPr>
      </w:pPr>
    </w:p>
    <w:bookmarkEnd w:id="71"/>
    <w:p w14:paraId="4C7D515E">
      <w:pPr>
        <w:rPr>
          <w:rFonts w:hint="eastAsia"/>
          <w:highlight w:val="none"/>
          <w:lang w:val="en-US" w:eastAsia="zh-CN"/>
        </w:rPr>
      </w:pPr>
    </w:p>
    <w:p w14:paraId="4334DB05">
      <w:pPr>
        <w:adjustRightInd w:val="0"/>
        <w:snapToGrid w:val="0"/>
        <w:spacing w:line="360" w:lineRule="auto"/>
        <w:ind w:firstLine="480"/>
        <w:rPr>
          <w:rFonts w:hint="eastAsia" w:ascii="宋体" w:hAnsi="宋体" w:eastAsia="宋体" w:cs="宋体"/>
          <w:color w:val="auto"/>
          <w:sz w:val="21"/>
          <w:szCs w:val="21"/>
          <w:highlight w:val="none"/>
          <w:lang w:val="en-US" w:eastAsia="zh-CN"/>
        </w:rPr>
      </w:pPr>
    </w:p>
    <w:p w14:paraId="42D52BA8">
      <w:pPr>
        <w:rPr>
          <w:rFonts w:ascii="宋体" w:hAnsi="宋体" w:eastAsia="宋体" w:cs="宋体"/>
          <w:sz w:val="21"/>
          <w:szCs w:val="21"/>
          <w:highlight w:val="none"/>
        </w:rPr>
      </w:pPr>
    </w:p>
    <w:p w14:paraId="2A4CB984">
      <w:pPr>
        <w:rPr>
          <w:rFonts w:ascii="宋体" w:hAnsi="宋体" w:eastAsia="宋体" w:cs="宋体"/>
          <w:sz w:val="21"/>
          <w:szCs w:val="21"/>
          <w:highlight w:val="none"/>
        </w:rPr>
      </w:pPr>
      <w:r>
        <w:rPr>
          <w:rFonts w:hint="eastAsia" w:ascii="宋体" w:hAnsi="宋体" w:eastAsia="宋体" w:cs="宋体"/>
          <w:sz w:val="21"/>
          <w:szCs w:val="21"/>
          <w:highlight w:val="none"/>
        </w:rPr>
        <w:br w:type="page"/>
      </w:r>
    </w:p>
    <w:p w14:paraId="20B22B3E">
      <w:pPr>
        <w:pStyle w:val="3"/>
        <w:numPr>
          <w:ilvl w:val="0"/>
          <w:numId w:val="6"/>
        </w:numPr>
        <w:spacing w:line="560" w:lineRule="exact"/>
        <w:rPr>
          <w:rFonts w:ascii="宋体" w:hAnsi="宋体" w:eastAsia="宋体" w:cs="宋体"/>
          <w:sz w:val="21"/>
          <w:szCs w:val="21"/>
          <w:highlight w:val="none"/>
        </w:rPr>
      </w:pPr>
      <w:r>
        <w:rPr>
          <w:rFonts w:hint="eastAsia" w:ascii="宋体" w:hAnsi="宋体" w:eastAsia="宋体" w:cs="宋体"/>
          <w:sz w:val="21"/>
          <w:szCs w:val="21"/>
          <w:highlight w:val="none"/>
        </w:rPr>
        <w:t>合同格式（范本）</w:t>
      </w:r>
      <w:bookmarkEnd w:id="69"/>
    </w:p>
    <w:p w14:paraId="5F5B63BF">
      <w:pPr>
        <w:rPr>
          <w:highlight w:val="none"/>
        </w:rPr>
      </w:pPr>
    </w:p>
    <w:p w14:paraId="0A1A85BF">
      <w:pPr>
        <w:adjustRightInd w:val="0"/>
        <w:snapToGrid w:val="0"/>
        <w:spacing w:before="156" w:beforeLines="50" w:after="156" w:afterLines="50" w:line="360" w:lineRule="auto"/>
        <w:jc w:val="right"/>
        <w:rPr>
          <w:rFonts w:hint="eastAsia" w:ascii="宋体" w:hAnsi="宋体" w:cs="宋体"/>
          <w:b/>
          <w:snapToGrid w:val="0"/>
          <w:kern w:val="0"/>
          <w:sz w:val="24"/>
          <w:szCs w:val="24"/>
          <w:highlight w:val="none"/>
        </w:rPr>
      </w:pPr>
      <w:bookmarkStart w:id="77" w:name="_Toc43498236"/>
      <w:r>
        <w:rPr>
          <w:rFonts w:hint="eastAsia" w:ascii="宋体" w:hAnsi="宋体" w:cs="宋体"/>
          <w:b/>
          <w:snapToGrid w:val="0"/>
          <w:kern w:val="0"/>
          <w:sz w:val="24"/>
          <w:szCs w:val="24"/>
          <w:highlight w:val="none"/>
        </w:rPr>
        <w:t>合同编号：</w:t>
      </w:r>
    </w:p>
    <w:p w14:paraId="7C5B168B">
      <w:pPr>
        <w:adjustRightInd w:val="0"/>
        <w:snapToGrid w:val="0"/>
        <w:spacing w:line="360" w:lineRule="auto"/>
        <w:jc w:val="center"/>
        <w:rPr>
          <w:rFonts w:hint="eastAsia" w:ascii="宋体" w:hAnsi="宋体" w:cs="宋体"/>
          <w:b/>
          <w:bCs/>
          <w:sz w:val="22"/>
          <w:szCs w:val="20"/>
          <w:highlight w:val="none"/>
        </w:rPr>
      </w:pPr>
    </w:p>
    <w:p w14:paraId="3D59D8DD">
      <w:pPr>
        <w:adjustRightInd w:val="0"/>
        <w:snapToGrid w:val="0"/>
        <w:spacing w:before="156" w:beforeLines="50" w:after="156" w:afterLines="50" w:line="360" w:lineRule="auto"/>
        <w:jc w:val="center"/>
        <w:rPr>
          <w:rFonts w:hint="eastAsia" w:ascii="宋体" w:hAnsi="宋体" w:cs="宋体"/>
          <w:b/>
          <w:snapToGrid w:val="0"/>
          <w:kern w:val="0"/>
          <w:sz w:val="32"/>
          <w:szCs w:val="32"/>
          <w:highlight w:val="none"/>
          <w:lang w:eastAsia="zh-CN"/>
        </w:rPr>
      </w:pPr>
      <w:r>
        <w:rPr>
          <w:rFonts w:hint="eastAsia" w:ascii="宋体" w:hAnsi="宋体" w:cs="宋体"/>
          <w:b/>
          <w:snapToGrid w:val="0"/>
          <w:kern w:val="0"/>
          <w:sz w:val="32"/>
          <w:szCs w:val="32"/>
          <w:highlight w:val="none"/>
          <w:lang w:eastAsia="zh-CN"/>
        </w:rPr>
        <w:t>新昌高新技术产业园区化工园区突发水污染事件多级</w:t>
      </w:r>
    </w:p>
    <w:p w14:paraId="2798519B">
      <w:pPr>
        <w:adjustRightInd w:val="0"/>
        <w:snapToGrid w:val="0"/>
        <w:spacing w:before="156" w:beforeLines="50" w:after="156" w:afterLines="50" w:line="360" w:lineRule="auto"/>
        <w:jc w:val="center"/>
        <w:rPr>
          <w:rFonts w:hint="eastAsia" w:ascii="宋体" w:hAnsi="宋体" w:cs="宋体"/>
          <w:b/>
          <w:snapToGrid w:val="0"/>
          <w:kern w:val="0"/>
          <w:sz w:val="32"/>
          <w:szCs w:val="32"/>
          <w:highlight w:val="none"/>
        </w:rPr>
      </w:pPr>
      <w:r>
        <w:rPr>
          <w:rFonts w:hint="eastAsia" w:ascii="宋体" w:hAnsi="宋体" w:cs="宋体"/>
          <w:b/>
          <w:snapToGrid w:val="0"/>
          <w:kern w:val="0"/>
          <w:sz w:val="32"/>
          <w:szCs w:val="32"/>
          <w:highlight w:val="none"/>
          <w:lang w:eastAsia="zh-CN"/>
        </w:rPr>
        <w:t>防控体系建设项目</w:t>
      </w:r>
      <w:r>
        <w:rPr>
          <w:rFonts w:hint="eastAsia" w:ascii="宋体" w:hAnsi="宋体" w:cs="宋体"/>
          <w:b/>
          <w:snapToGrid w:val="0"/>
          <w:kern w:val="0"/>
          <w:sz w:val="32"/>
          <w:szCs w:val="32"/>
          <w:highlight w:val="none"/>
        </w:rPr>
        <w:t>合同</w:t>
      </w:r>
    </w:p>
    <w:p w14:paraId="0DD42493">
      <w:pPr>
        <w:adjustRightInd w:val="0"/>
        <w:snapToGrid w:val="0"/>
        <w:spacing w:line="360" w:lineRule="auto"/>
        <w:rPr>
          <w:rFonts w:hint="eastAsia" w:ascii="宋体" w:hAnsi="宋体" w:cs="宋体"/>
          <w:sz w:val="22"/>
          <w:szCs w:val="20"/>
          <w:highlight w:val="none"/>
        </w:rPr>
      </w:pPr>
    </w:p>
    <w:p w14:paraId="527E792C">
      <w:pPr>
        <w:adjustRightInd w:val="0"/>
        <w:snapToGrid w:val="0"/>
        <w:spacing w:line="360" w:lineRule="auto"/>
        <w:ind w:firstLine="440" w:firstLineChars="200"/>
        <w:rPr>
          <w:rFonts w:hint="eastAsia" w:ascii="宋体" w:hAnsi="宋体" w:cs="宋体"/>
          <w:sz w:val="22"/>
          <w:szCs w:val="20"/>
          <w:highlight w:val="none"/>
        </w:rPr>
      </w:pPr>
    </w:p>
    <w:p w14:paraId="1F5AD1CB">
      <w:pPr>
        <w:adjustRightInd w:val="0"/>
        <w:snapToGrid w:val="0"/>
        <w:spacing w:line="360" w:lineRule="auto"/>
        <w:ind w:firstLine="440" w:firstLineChars="200"/>
        <w:rPr>
          <w:rFonts w:hint="eastAsia" w:ascii="宋体" w:hAnsi="宋体" w:cs="宋体"/>
          <w:sz w:val="22"/>
          <w:szCs w:val="20"/>
          <w:highlight w:val="none"/>
        </w:rPr>
      </w:pPr>
    </w:p>
    <w:p w14:paraId="09E58667">
      <w:pPr>
        <w:adjustRightInd w:val="0"/>
        <w:snapToGrid w:val="0"/>
        <w:spacing w:line="360" w:lineRule="auto"/>
        <w:ind w:firstLine="440" w:firstLineChars="200"/>
        <w:rPr>
          <w:rFonts w:hint="eastAsia" w:ascii="宋体" w:hAnsi="宋体" w:cs="宋体"/>
          <w:sz w:val="22"/>
          <w:szCs w:val="20"/>
          <w:highlight w:val="none"/>
        </w:rPr>
      </w:pPr>
    </w:p>
    <w:p w14:paraId="682602AB">
      <w:pPr>
        <w:tabs>
          <w:tab w:val="left" w:pos="1470"/>
        </w:tabs>
        <w:adjustRightInd w:val="0"/>
        <w:snapToGrid w:val="0"/>
        <w:spacing w:line="360" w:lineRule="auto"/>
        <w:ind w:firstLine="440" w:firstLineChars="200"/>
        <w:rPr>
          <w:rFonts w:hint="eastAsia" w:ascii="宋体" w:hAnsi="宋体" w:cs="宋体"/>
          <w:sz w:val="22"/>
          <w:szCs w:val="20"/>
          <w:highlight w:val="none"/>
          <w:u w:val="single"/>
        </w:rPr>
      </w:pPr>
    </w:p>
    <w:p w14:paraId="18C64741">
      <w:pPr>
        <w:tabs>
          <w:tab w:val="left" w:pos="1470"/>
        </w:tabs>
        <w:adjustRightInd w:val="0"/>
        <w:snapToGrid w:val="0"/>
        <w:spacing w:line="360" w:lineRule="auto"/>
        <w:ind w:firstLine="440" w:firstLineChars="200"/>
        <w:rPr>
          <w:rFonts w:hint="eastAsia" w:ascii="宋体" w:hAnsi="宋体" w:cs="宋体"/>
          <w:sz w:val="22"/>
          <w:szCs w:val="20"/>
          <w:highlight w:val="none"/>
        </w:rPr>
      </w:pPr>
      <w:r>
        <w:rPr>
          <w:rFonts w:hint="eastAsia" w:ascii="宋体" w:hAnsi="宋体" w:cs="宋体"/>
          <w:sz w:val="22"/>
          <w:szCs w:val="20"/>
          <w:highlight w:val="none"/>
        </w:rPr>
        <w:t>委托人：</w:t>
      </w:r>
    </w:p>
    <w:p w14:paraId="1CD70CEC">
      <w:pPr>
        <w:tabs>
          <w:tab w:val="left" w:pos="1470"/>
        </w:tabs>
        <w:adjustRightInd w:val="0"/>
        <w:snapToGrid w:val="0"/>
        <w:spacing w:line="360" w:lineRule="auto"/>
        <w:ind w:firstLine="440" w:firstLineChars="200"/>
        <w:rPr>
          <w:rFonts w:hint="eastAsia" w:ascii="宋体" w:hAnsi="宋体" w:cs="宋体"/>
          <w:sz w:val="22"/>
          <w:szCs w:val="20"/>
          <w:highlight w:val="none"/>
        </w:rPr>
      </w:pPr>
      <w:r>
        <w:rPr>
          <w:rFonts w:hint="eastAsia" w:ascii="宋体" w:hAnsi="宋体" w:cs="宋体"/>
          <w:sz w:val="22"/>
          <w:szCs w:val="20"/>
          <w:highlight w:val="none"/>
        </w:rPr>
        <w:t>（甲方）</w:t>
      </w:r>
      <w:r>
        <w:rPr>
          <w:rFonts w:hint="eastAsia" w:ascii="宋体" w:hAnsi="宋体" w:cs="宋体"/>
          <w:bCs/>
          <w:sz w:val="22"/>
          <w:szCs w:val="20"/>
          <w:highlight w:val="none"/>
          <w:u w:val="single"/>
        </w:rPr>
        <w:t xml:space="preserve">                                                                           </w:t>
      </w:r>
    </w:p>
    <w:p w14:paraId="09FE416C">
      <w:pPr>
        <w:tabs>
          <w:tab w:val="left" w:pos="1470"/>
        </w:tabs>
        <w:adjustRightInd w:val="0"/>
        <w:snapToGrid w:val="0"/>
        <w:spacing w:line="360" w:lineRule="auto"/>
        <w:ind w:firstLine="440" w:firstLineChars="200"/>
        <w:rPr>
          <w:rFonts w:hint="eastAsia" w:ascii="宋体" w:hAnsi="宋体" w:cs="宋体"/>
          <w:sz w:val="22"/>
          <w:szCs w:val="20"/>
          <w:highlight w:val="none"/>
        </w:rPr>
      </w:pPr>
      <w:r>
        <w:rPr>
          <w:rFonts w:hint="eastAsia" w:ascii="宋体" w:hAnsi="宋体" w:cs="宋体"/>
          <w:sz w:val="22"/>
          <w:szCs w:val="20"/>
          <w:highlight w:val="none"/>
        </w:rPr>
        <w:t>受托人：</w:t>
      </w:r>
    </w:p>
    <w:p w14:paraId="7BA6E302">
      <w:pPr>
        <w:tabs>
          <w:tab w:val="left" w:pos="1470"/>
        </w:tabs>
        <w:adjustRightInd w:val="0"/>
        <w:snapToGrid w:val="0"/>
        <w:spacing w:line="360" w:lineRule="auto"/>
        <w:ind w:firstLine="440" w:firstLineChars="200"/>
        <w:rPr>
          <w:rFonts w:hint="eastAsia" w:ascii="宋体" w:hAnsi="宋体" w:cs="宋体"/>
          <w:bCs/>
          <w:sz w:val="24"/>
          <w:highlight w:val="none"/>
          <w:u w:val="single"/>
        </w:rPr>
      </w:pPr>
      <w:r>
        <w:rPr>
          <w:rFonts w:hint="eastAsia" w:ascii="宋体" w:hAnsi="宋体" w:cs="宋体"/>
          <w:sz w:val="22"/>
          <w:szCs w:val="20"/>
          <w:highlight w:val="none"/>
        </w:rPr>
        <w:t>（乙方）</w:t>
      </w:r>
      <w:r>
        <w:rPr>
          <w:rFonts w:hint="eastAsia" w:ascii="宋体" w:hAnsi="宋体" w:cs="宋体"/>
          <w:bCs/>
          <w:sz w:val="22"/>
          <w:szCs w:val="20"/>
          <w:highlight w:val="none"/>
          <w:u w:val="single"/>
        </w:rPr>
        <w:t xml:space="preserve">                                                            </w:t>
      </w:r>
      <w:r>
        <w:rPr>
          <w:rFonts w:hint="eastAsia" w:ascii="宋体" w:hAnsi="宋体" w:cs="宋体"/>
          <w:bCs/>
          <w:sz w:val="24"/>
          <w:highlight w:val="none"/>
          <w:u w:val="single"/>
        </w:rPr>
        <w:t xml:space="preserve">               </w:t>
      </w:r>
    </w:p>
    <w:p w14:paraId="112CA132">
      <w:pPr>
        <w:tabs>
          <w:tab w:val="left" w:pos="1470"/>
        </w:tabs>
        <w:adjustRightInd w:val="0"/>
        <w:snapToGrid w:val="0"/>
        <w:spacing w:line="360" w:lineRule="auto"/>
        <w:ind w:firstLine="480" w:firstLineChars="200"/>
        <w:rPr>
          <w:rFonts w:hint="eastAsia" w:ascii="宋体" w:hAnsi="宋体" w:cs="宋体"/>
          <w:bCs/>
          <w:sz w:val="24"/>
          <w:highlight w:val="none"/>
          <w:u w:val="single"/>
        </w:rPr>
      </w:pPr>
    </w:p>
    <w:p w14:paraId="2CDEC2F2">
      <w:pPr>
        <w:tabs>
          <w:tab w:val="left" w:pos="1470"/>
        </w:tabs>
        <w:adjustRightInd w:val="0"/>
        <w:snapToGrid w:val="0"/>
        <w:spacing w:line="360" w:lineRule="auto"/>
        <w:ind w:firstLine="480" w:firstLineChars="200"/>
        <w:rPr>
          <w:rFonts w:hint="eastAsia" w:ascii="宋体" w:hAnsi="宋体" w:cs="宋体"/>
          <w:bCs/>
          <w:sz w:val="24"/>
          <w:highlight w:val="none"/>
          <w:u w:val="single"/>
        </w:rPr>
      </w:pPr>
    </w:p>
    <w:p w14:paraId="2D3D76E8">
      <w:pPr>
        <w:tabs>
          <w:tab w:val="left" w:pos="1470"/>
        </w:tabs>
        <w:adjustRightInd w:val="0"/>
        <w:snapToGrid w:val="0"/>
        <w:spacing w:line="360" w:lineRule="auto"/>
        <w:ind w:firstLine="480" w:firstLineChars="200"/>
        <w:rPr>
          <w:rFonts w:hint="eastAsia" w:ascii="宋体" w:hAnsi="宋体" w:cs="宋体"/>
          <w:sz w:val="24"/>
          <w:highlight w:val="none"/>
        </w:rPr>
      </w:pPr>
    </w:p>
    <w:p w14:paraId="37E8A95B">
      <w:pPr>
        <w:adjustRightInd w:val="0"/>
        <w:snapToGrid w:val="0"/>
        <w:spacing w:before="312" w:beforeLines="100" w:after="50" w:line="360" w:lineRule="auto"/>
        <w:ind w:firstLine="440" w:firstLineChars="200"/>
        <w:rPr>
          <w:rFonts w:hint="eastAsia" w:ascii="宋体" w:hAnsi="宋体" w:cs="宋体"/>
          <w:sz w:val="22"/>
          <w:szCs w:val="20"/>
          <w:highlight w:val="none"/>
        </w:rPr>
      </w:pPr>
      <w:r>
        <w:rPr>
          <w:rFonts w:hint="eastAsia" w:ascii="宋体" w:hAnsi="宋体" w:cs="宋体"/>
          <w:sz w:val="22"/>
          <w:szCs w:val="20"/>
          <w:highlight w:val="none"/>
        </w:rPr>
        <w:t>签订地点：</w:t>
      </w:r>
      <w:r>
        <w:rPr>
          <w:rFonts w:hint="eastAsia" w:ascii="宋体" w:hAnsi="宋体" w:cs="宋体"/>
          <w:bCs/>
          <w:sz w:val="22"/>
          <w:szCs w:val="20"/>
          <w:highlight w:val="none"/>
          <w:u w:val="single"/>
        </w:rPr>
        <w:t xml:space="preserve">            绍兴新昌            </w:t>
      </w:r>
    </w:p>
    <w:p w14:paraId="143AEC05">
      <w:pPr>
        <w:tabs>
          <w:tab w:val="left" w:pos="1470"/>
        </w:tabs>
        <w:adjustRightInd w:val="0"/>
        <w:snapToGrid w:val="0"/>
        <w:spacing w:line="360" w:lineRule="auto"/>
        <w:ind w:firstLine="440" w:firstLineChars="200"/>
        <w:rPr>
          <w:rFonts w:hint="eastAsia" w:ascii="宋体" w:hAnsi="宋体" w:cs="宋体"/>
          <w:sz w:val="22"/>
          <w:szCs w:val="20"/>
          <w:highlight w:val="none"/>
          <w:u w:val="single"/>
        </w:rPr>
      </w:pPr>
      <w:r>
        <w:rPr>
          <w:rFonts w:hint="eastAsia" w:ascii="宋体" w:hAnsi="宋体" w:cs="宋体"/>
          <w:sz w:val="22"/>
          <w:szCs w:val="20"/>
          <w:highlight w:val="none"/>
        </w:rPr>
        <w:t>签订日期：</w:t>
      </w:r>
      <w:r>
        <w:rPr>
          <w:rFonts w:hint="eastAsia" w:ascii="宋体" w:hAnsi="宋体" w:cs="宋体"/>
          <w:sz w:val="22"/>
          <w:szCs w:val="20"/>
          <w:highlight w:val="none"/>
          <w:u w:val="single"/>
        </w:rPr>
        <w:t xml:space="preserve">           </w:t>
      </w:r>
      <w:r>
        <w:rPr>
          <w:rFonts w:hint="eastAsia" w:ascii="宋体" w:hAnsi="宋体" w:cs="宋体"/>
          <w:sz w:val="22"/>
          <w:szCs w:val="20"/>
          <w:highlight w:val="none"/>
        </w:rPr>
        <w:t xml:space="preserve"> 年</w:t>
      </w:r>
      <w:r>
        <w:rPr>
          <w:rFonts w:hint="eastAsia" w:ascii="宋体" w:hAnsi="宋体" w:cs="宋体"/>
          <w:sz w:val="22"/>
          <w:szCs w:val="20"/>
          <w:highlight w:val="none"/>
          <w:u w:val="single"/>
        </w:rPr>
        <w:t xml:space="preserve">     </w:t>
      </w:r>
      <w:r>
        <w:rPr>
          <w:rFonts w:hint="eastAsia" w:ascii="宋体" w:hAnsi="宋体" w:cs="宋体"/>
          <w:sz w:val="22"/>
          <w:szCs w:val="20"/>
          <w:highlight w:val="none"/>
        </w:rPr>
        <w:t>月</w:t>
      </w:r>
      <w:r>
        <w:rPr>
          <w:rFonts w:hint="eastAsia" w:ascii="宋体" w:hAnsi="宋体" w:cs="宋体"/>
          <w:sz w:val="22"/>
          <w:szCs w:val="20"/>
          <w:highlight w:val="none"/>
          <w:u w:val="single"/>
        </w:rPr>
        <w:t xml:space="preserve">     </w:t>
      </w:r>
      <w:r>
        <w:rPr>
          <w:rFonts w:hint="eastAsia" w:ascii="宋体" w:hAnsi="宋体" w:cs="宋体"/>
          <w:sz w:val="22"/>
          <w:szCs w:val="20"/>
          <w:highlight w:val="none"/>
        </w:rPr>
        <w:t>日</w:t>
      </w:r>
    </w:p>
    <w:p w14:paraId="40329A48">
      <w:pPr>
        <w:tabs>
          <w:tab w:val="left" w:pos="1470"/>
        </w:tabs>
        <w:adjustRightInd w:val="0"/>
        <w:snapToGrid w:val="0"/>
        <w:spacing w:line="360" w:lineRule="auto"/>
        <w:ind w:firstLine="440" w:firstLineChars="200"/>
        <w:rPr>
          <w:rFonts w:hint="eastAsia" w:ascii="宋体" w:hAnsi="宋体" w:cs="宋体"/>
          <w:sz w:val="22"/>
          <w:szCs w:val="20"/>
          <w:highlight w:val="none"/>
        </w:rPr>
      </w:pPr>
    </w:p>
    <w:p w14:paraId="6F39F964">
      <w:pPr>
        <w:pStyle w:val="4"/>
        <w:spacing w:line="560" w:lineRule="exact"/>
        <w:rPr>
          <w:sz w:val="28"/>
          <w:szCs w:val="28"/>
          <w:highlight w:val="none"/>
          <w:u w:val="single"/>
        </w:rPr>
      </w:pPr>
      <w:r>
        <w:rPr>
          <w:rFonts w:hint="eastAsia" w:ascii="宋体" w:hAnsi="宋体" w:eastAsia="宋体" w:cs="宋体"/>
          <w:b w:val="0"/>
          <w:sz w:val="24"/>
          <w:szCs w:val="24"/>
          <w:highlight w:val="none"/>
        </w:rPr>
        <w:br w:type="page"/>
      </w:r>
    </w:p>
    <w:p w14:paraId="32C3C1F9">
      <w:pPr>
        <w:pStyle w:val="45"/>
        <w:keepNext w:val="0"/>
        <w:keepLines w:val="0"/>
        <w:pageBreakBefore w:val="0"/>
        <w:widowControl/>
        <w:kinsoku/>
        <w:wordWrap/>
        <w:overflowPunct/>
        <w:topLinePunct w:val="0"/>
        <w:autoSpaceDE/>
        <w:autoSpaceDN/>
        <w:bidi w:val="0"/>
        <w:adjustRightInd/>
        <w:snapToGrid w:val="0"/>
        <w:spacing w:after="251" w:afterLines="80" w:line="400" w:lineRule="exact"/>
        <w:jc w:val="center"/>
        <w:textAlignment w:val="auto"/>
        <w:rPr>
          <w:rFonts w:hint="default" w:hAnsi="宋体" w:eastAsia="宋体" w:cs="宋体"/>
          <w:sz w:val="24"/>
          <w:szCs w:val="24"/>
          <w:highlight w:val="none"/>
          <w:lang w:val="en-US" w:eastAsia="zh-CN"/>
        </w:rPr>
      </w:pPr>
      <w:r>
        <w:rPr>
          <w:rFonts w:hint="eastAsia" w:hAnsi="宋体" w:cs="宋体"/>
          <w:sz w:val="24"/>
          <w:szCs w:val="24"/>
          <w:highlight w:val="none"/>
          <w:lang w:val="en-US" w:eastAsia="zh-CN"/>
        </w:rPr>
        <w:t>合同条款</w:t>
      </w:r>
    </w:p>
    <w:p w14:paraId="40B512DE">
      <w:pPr>
        <w:snapToGrid w:val="0"/>
        <w:spacing w:line="360" w:lineRule="auto"/>
        <w:ind w:firstLine="420" w:firstLineChars="200"/>
        <w:rPr>
          <w:rFonts w:hint="eastAsia" w:ascii="宋体" w:hAnsi="宋体" w:cs="宋体"/>
          <w:color w:val="auto"/>
          <w:sz w:val="21"/>
          <w:szCs w:val="21"/>
        </w:rPr>
      </w:pPr>
      <w:r>
        <w:rPr>
          <w:rFonts w:hint="eastAsia" w:ascii="宋体" w:hAnsi="宋体" w:cs="宋体"/>
          <w:color w:val="auto"/>
          <w:sz w:val="21"/>
          <w:szCs w:val="21"/>
        </w:rPr>
        <w:t>甲、乙双方根据</w:t>
      </w:r>
      <w:r>
        <w:rPr>
          <w:rFonts w:hint="eastAsia" w:ascii="宋体" w:hAnsi="宋体" w:cs="宋体"/>
          <w:color w:val="auto"/>
          <w:sz w:val="21"/>
          <w:szCs w:val="21"/>
          <w:u w:val="single"/>
          <w:lang w:eastAsia="zh-CN"/>
        </w:rPr>
        <w:t>新昌高新技术产业园区化工园区突发水污染事件多级防控体系建设项目</w:t>
      </w:r>
      <w:r>
        <w:rPr>
          <w:rFonts w:hint="eastAsia" w:ascii="宋体" w:hAnsi="宋体" w:cs="宋体"/>
          <w:color w:val="auto"/>
          <w:sz w:val="21"/>
          <w:szCs w:val="21"/>
          <w:u w:val="single"/>
        </w:rPr>
        <w:t>（项目编号：</w:t>
      </w:r>
      <w:r>
        <w:rPr>
          <w:rFonts w:hint="eastAsia" w:ascii="宋体" w:hAnsi="宋体" w:cs="宋体"/>
          <w:color w:val="auto"/>
          <w:sz w:val="21"/>
          <w:szCs w:val="21"/>
          <w:u w:val="single"/>
          <w:lang w:val="en-US" w:eastAsia="zh-CN"/>
        </w:rPr>
        <w:t xml:space="preserve">     </w:t>
      </w:r>
      <w:r>
        <w:rPr>
          <w:rFonts w:hint="eastAsia" w:ascii="宋体" w:hAnsi="宋体" w:cs="宋体"/>
          <w:color w:val="auto"/>
          <w:sz w:val="21"/>
          <w:szCs w:val="21"/>
          <w:u w:val="single"/>
        </w:rPr>
        <w:t>）</w:t>
      </w:r>
      <w:r>
        <w:rPr>
          <w:rFonts w:hint="eastAsia" w:ascii="宋体" w:hAnsi="宋体" w:cs="宋体"/>
          <w:color w:val="auto"/>
          <w:sz w:val="21"/>
          <w:szCs w:val="21"/>
        </w:rPr>
        <w:t>的招标结果，签署本合同。</w:t>
      </w:r>
    </w:p>
    <w:p w14:paraId="645EC98F">
      <w:pPr>
        <w:snapToGrid w:val="0"/>
        <w:spacing w:before="156" w:beforeLines="50" w:line="360" w:lineRule="auto"/>
        <w:outlineLvl w:val="1"/>
        <w:rPr>
          <w:rFonts w:hint="eastAsia" w:ascii="宋体" w:hAnsi="宋体" w:cs="宋体"/>
          <w:b/>
          <w:color w:val="auto"/>
          <w:sz w:val="21"/>
          <w:szCs w:val="21"/>
        </w:rPr>
      </w:pPr>
      <w:r>
        <w:rPr>
          <w:rFonts w:hint="eastAsia" w:ascii="宋体" w:hAnsi="宋体" w:cs="宋体"/>
          <w:b/>
          <w:color w:val="auto"/>
          <w:sz w:val="21"/>
          <w:szCs w:val="21"/>
        </w:rPr>
        <w:t>一、服务事项</w:t>
      </w:r>
    </w:p>
    <w:p w14:paraId="0BC1542C">
      <w:pPr>
        <w:snapToGrid w:val="0"/>
        <w:spacing w:line="360" w:lineRule="auto"/>
        <w:ind w:firstLine="405" w:firstLineChars="193"/>
        <w:rPr>
          <w:rFonts w:hint="eastAsia" w:ascii="宋体" w:hAnsi="宋体" w:cs="宋体"/>
          <w:color w:val="auto"/>
          <w:sz w:val="21"/>
          <w:szCs w:val="21"/>
        </w:rPr>
      </w:pPr>
      <w:r>
        <w:rPr>
          <w:rFonts w:hint="eastAsia" w:ascii="宋体" w:hAnsi="宋体" w:cs="宋体"/>
          <w:color w:val="auto"/>
          <w:sz w:val="21"/>
          <w:szCs w:val="21"/>
        </w:rPr>
        <w:t>1.1 委托事项：</w:t>
      </w:r>
      <w:r>
        <w:rPr>
          <w:rFonts w:hint="eastAsia" w:ascii="宋体" w:hAnsi="宋体" w:cs="宋体"/>
          <w:color w:val="auto"/>
          <w:sz w:val="21"/>
          <w:szCs w:val="21"/>
          <w:u w:val="single"/>
          <w:lang w:eastAsia="zh-CN"/>
        </w:rPr>
        <w:t>新昌高新技术产业园区化工园区突发水污染事件多级防控体系建设项目</w:t>
      </w:r>
      <w:r>
        <w:rPr>
          <w:rFonts w:hint="eastAsia" w:ascii="宋体" w:hAnsi="宋体" w:cs="宋体"/>
          <w:color w:val="auto"/>
          <w:sz w:val="21"/>
          <w:szCs w:val="21"/>
          <w:u w:val="single"/>
        </w:rPr>
        <w:t xml:space="preserve"> </w:t>
      </w:r>
    </w:p>
    <w:p w14:paraId="11032C45">
      <w:pPr>
        <w:snapToGrid w:val="0"/>
        <w:spacing w:line="360" w:lineRule="auto"/>
        <w:ind w:firstLine="405" w:firstLineChars="193"/>
        <w:rPr>
          <w:rFonts w:hint="eastAsia" w:ascii="宋体" w:hAnsi="宋体" w:cs="宋体"/>
          <w:color w:val="auto"/>
          <w:sz w:val="21"/>
          <w:szCs w:val="21"/>
        </w:rPr>
      </w:pPr>
      <w:r>
        <w:rPr>
          <w:rFonts w:hint="eastAsia" w:ascii="宋体" w:hAnsi="宋体" w:cs="宋体"/>
          <w:color w:val="auto"/>
          <w:sz w:val="21"/>
          <w:szCs w:val="21"/>
        </w:rPr>
        <w:t>1.2 服务项目和规格要求：</w:t>
      </w:r>
      <w:r>
        <w:rPr>
          <w:rFonts w:hint="eastAsia" w:ascii="宋体" w:hAnsi="宋体" w:cs="宋体"/>
          <w:color w:val="auto"/>
          <w:sz w:val="21"/>
          <w:szCs w:val="21"/>
          <w:u w:val="single"/>
        </w:rPr>
        <w:t>详见《中标通知书》、《投标文件》、《招标文件》。</w:t>
      </w:r>
    </w:p>
    <w:p w14:paraId="4EE19983">
      <w:pPr>
        <w:snapToGrid w:val="0"/>
        <w:spacing w:before="156" w:beforeLines="50" w:line="360" w:lineRule="auto"/>
        <w:outlineLvl w:val="1"/>
        <w:rPr>
          <w:rFonts w:hint="eastAsia" w:ascii="宋体" w:hAnsi="宋体" w:cs="宋体"/>
          <w:b/>
          <w:color w:val="auto"/>
          <w:sz w:val="21"/>
          <w:szCs w:val="21"/>
        </w:rPr>
      </w:pPr>
      <w:r>
        <w:rPr>
          <w:rFonts w:hint="eastAsia" w:ascii="宋体" w:hAnsi="宋体" w:cs="宋体"/>
          <w:b/>
          <w:color w:val="auto"/>
          <w:sz w:val="21"/>
          <w:szCs w:val="21"/>
        </w:rPr>
        <w:t>二、服务期限</w:t>
      </w:r>
    </w:p>
    <w:p w14:paraId="50EEA1DB">
      <w:pPr>
        <w:snapToGrid w:val="0"/>
        <w:spacing w:line="360" w:lineRule="auto"/>
        <w:ind w:firstLine="405" w:firstLineChars="193"/>
        <w:rPr>
          <w:rFonts w:hint="eastAsia" w:ascii="宋体" w:hAnsi="宋体" w:cs="宋体"/>
          <w:color w:val="auto"/>
          <w:sz w:val="21"/>
          <w:szCs w:val="21"/>
        </w:rPr>
      </w:pPr>
      <w:r>
        <w:rPr>
          <w:rFonts w:hint="eastAsia" w:ascii="宋体" w:hAnsi="宋体" w:cs="宋体"/>
          <w:color w:val="auto"/>
          <w:sz w:val="21"/>
          <w:szCs w:val="21"/>
        </w:rPr>
        <w:t>2.1自</w:t>
      </w:r>
      <w:r>
        <w:rPr>
          <w:rFonts w:hint="eastAsia" w:ascii="宋体" w:hAnsi="宋体" w:cs="宋体"/>
          <w:color w:val="auto"/>
          <w:sz w:val="21"/>
          <w:szCs w:val="21"/>
          <w:u w:val="single"/>
        </w:rPr>
        <w:t xml:space="preserve">    </w:t>
      </w:r>
      <w:r>
        <w:rPr>
          <w:rFonts w:hint="eastAsia" w:ascii="宋体" w:hAnsi="宋体" w:cs="宋体"/>
          <w:color w:val="auto"/>
          <w:sz w:val="21"/>
          <w:szCs w:val="21"/>
        </w:rPr>
        <w:t>年</w:t>
      </w:r>
      <w:r>
        <w:rPr>
          <w:rFonts w:hint="eastAsia" w:ascii="宋体" w:hAnsi="宋体" w:cs="宋体"/>
          <w:color w:val="auto"/>
          <w:sz w:val="21"/>
          <w:szCs w:val="21"/>
          <w:u w:val="single"/>
        </w:rPr>
        <w:t xml:space="preserve">    </w:t>
      </w:r>
      <w:r>
        <w:rPr>
          <w:rFonts w:hint="eastAsia" w:ascii="宋体" w:hAnsi="宋体" w:cs="宋体"/>
          <w:color w:val="auto"/>
          <w:sz w:val="21"/>
          <w:szCs w:val="21"/>
        </w:rPr>
        <w:t>月</w:t>
      </w:r>
      <w:r>
        <w:rPr>
          <w:rFonts w:hint="eastAsia" w:ascii="宋体" w:hAnsi="宋体" w:cs="宋体"/>
          <w:color w:val="auto"/>
          <w:sz w:val="21"/>
          <w:szCs w:val="21"/>
          <w:u w:val="single"/>
        </w:rPr>
        <w:t xml:space="preserve">   </w:t>
      </w:r>
      <w:r>
        <w:rPr>
          <w:rFonts w:hint="eastAsia" w:ascii="宋体" w:hAnsi="宋体" w:cs="宋体"/>
          <w:color w:val="auto"/>
          <w:sz w:val="21"/>
          <w:szCs w:val="21"/>
        </w:rPr>
        <w:t>日 至</w:t>
      </w:r>
      <w:r>
        <w:rPr>
          <w:rFonts w:hint="eastAsia" w:ascii="宋体" w:hAnsi="宋体" w:cs="宋体"/>
          <w:color w:val="auto"/>
          <w:sz w:val="21"/>
          <w:szCs w:val="21"/>
          <w:u w:val="single"/>
        </w:rPr>
        <w:t xml:space="preserve">     </w:t>
      </w:r>
      <w:r>
        <w:rPr>
          <w:rFonts w:hint="eastAsia" w:ascii="宋体" w:hAnsi="宋体" w:cs="宋体"/>
          <w:color w:val="auto"/>
          <w:sz w:val="21"/>
          <w:szCs w:val="21"/>
        </w:rPr>
        <w:t>年</w:t>
      </w:r>
      <w:r>
        <w:rPr>
          <w:rFonts w:hint="eastAsia" w:ascii="宋体" w:hAnsi="宋体" w:cs="宋体"/>
          <w:color w:val="auto"/>
          <w:sz w:val="21"/>
          <w:szCs w:val="21"/>
          <w:u w:val="single"/>
        </w:rPr>
        <w:t xml:space="preserve">    </w:t>
      </w:r>
      <w:r>
        <w:rPr>
          <w:rFonts w:hint="eastAsia" w:ascii="宋体" w:hAnsi="宋体" w:cs="宋体"/>
          <w:color w:val="auto"/>
          <w:sz w:val="21"/>
          <w:szCs w:val="21"/>
        </w:rPr>
        <w:t>月</w:t>
      </w:r>
      <w:r>
        <w:rPr>
          <w:rFonts w:hint="eastAsia" w:ascii="宋体" w:hAnsi="宋体" w:cs="宋体"/>
          <w:color w:val="auto"/>
          <w:sz w:val="21"/>
          <w:szCs w:val="21"/>
          <w:u w:val="single"/>
        </w:rPr>
        <w:t xml:space="preserve">   </w:t>
      </w:r>
      <w:r>
        <w:rPr>
          <w:rFonts w:hint="eastAsia" w:ascii="宋体" w:hAnsi="宋体" w:cs="宋体"/>
          <w:color w:val="auto"/>
          <w:sz w:val="21"/>
          <w:szCs w:val="21"/>
        </w:rPr>
        <w:t>日止，服务周期：</w:t>
      </w:r>
      <w:r>
        <w:rPr>
          <w:rFonts w:hint="eastAsia" w:ascii="宋体" w:hAnsi="宋体" w:cs="宋体"/>
          <w:color w:val="auto"/>
          <w:sz w:val="21"/>
          <w:szCs w:val="21"/>
          <w:u w:val="single"/>
        </w:rPr>
        <w:t xml:space="preserve">   </w:t>
      </w:r>
      <w:r>
        <w:rPr>
          <w:rFonts w:hint="eastAsia" w:ascii="宋体" w:hAnsi="宋体" w:cs="宋体"/>
          <w:color w:val="auto"/>
          <w:sz w:val="21"/>
          <w:szCs w:val="21"/>
        </w:rPr>
        <w:t>年。</w:t>
      </w:r>
    </w:p>
    <w:p w14:paraId="73D7499E">
      <w:pPr>
        <w:snapToGrid w:val="0"/>
        <w:spacing w:before="156" w:beforeLines="50" w:line="360" w:lineRule="auto"/>
        <w:outlineLvl w:val="1"/>
        <w:rPr>
          <w:rFonts w:hint="eastAsia" w:ascii="宋体" w:hAnsi="宋体" w:cs="宋体"/>
          <w:b/>
          <w:color w:val="auto"/>
          <w:sz w:val="21"/>
          <w:szCs w:val="21"/>
        </w:rPr>
      </w:pPr>
      <w:r>
        <w:rPr>
          <w:rFonts w:hint="eastAsia" w:ascii="宋体" w:hAnsi="宋体" w:cs="宋体"/>
          <w:b/>
          <w:color w:val="auto"/>
          <w:sz w:val="21"/>
          <w:szCs w:val="21"/>
        </w:rPr>
        <w:t>三、服务内容</w:t>
      </w:r>
    </w:p>
    <w:p w14:paraId="3A42730D">
      <w:pPr>
        <w:snapToGrid w:val="0"/>
        <w:spacing w:line="360" w:lineRule="auto"/>
        <w:ind w:firstLine="420" w:firstLineChars="200"/>
        <w:rPr>
          <w:rFonts w:hint="eastAsia" w:ascii="宋体" w:hAnsi="宋体" w:cs="宋体"/>
          <w:color w:val="auto"/>
          <w:sz w:val="21"/>
          <w:szCs w:val="21"/>
        </w:rPr>
      </w:pPr>
      <w:r>
        <w:rPr>
          <w:rFonts w:hint="eastAsia" w:ascii="宋体" w:hAnsi="宋体" w:cs="宋体"/>
          <w:color w:val="auto"/>
          <w:sz w:val="21"/>
          <w:szCs w:val="21"/>
        </w:rPr>
        <w:t>3.1服务范围：</w:t>
      </w:r>
      <w:r>
        <w:rPr>
          <w:rFonts w:hint="eastAsia" w:ascii="宋体" w:hAnsi="宋体" w:cs="宋体"/>
          <w:color w:val="auto"/>
          <w:sz w:val="21"/>
          <w:szCs w:val="21"/>
          <w:u w:val="single"/>
          <w:lang w:val="en-US" w:eastAsia="zh-CN"/>
        </w:rPr>
        <w:t>业主</w:t>
      </w:r>
      <w:r>
        <w:rPr>
          <w:rFonts w:hint="eastAsia" w:ascii="宋体" w:hAnsi="宋体" w:cs="宋体"/>
          <w:color w:val="auto"/>
          <w:sz w:val="21"/>
          <w:szCs w:val="21"/>
          <w:u w:val="single"/>
        </w:rPr>
        <w:t>指定</w:t>
      </w:r>
      <w:r>
        <w:rPr>
          <w:rFonts w:hint="eastAsia" w:ascii="宋体" w:hAnsi="宋体" w:cs="宋体"/>
          <w:color w:val="auto"/>
          <w:sz w:val="21"/>
          <w:szCs w:val="21"/>
          <w:u w:val="single"/>
          <w:lang w:eastAsia="zh-CN"/>
        </w:rPr>
        <w:t>范围</w:t>
      </w:r>
      <w:r>
        <w:rPr>
          <w:rFonts w:hint="eastAsia" w:ascii="宋体" w:hAnsi="宋体" w:cs="宋体"/>
          <w:color w:val="auto"/>
          <w:sz w:val="21"/>
          <w:szCs w:val="21"/>
          <w:u w:val="single"/>
        </w:rPr>
        <w:t xml:space="preserve"> </w:t>
      </w:r>
      <w:r>
        <w:rPr>
          <w:rFonts w:hint="eastAsia" w:ascii="宋体" w:hAnsi="宋体" w:cs="宋体"/>
          <w:color w:val="auto"/>
          <w:sz w:val="21"/>
          <w:szCs w:val="21"/>
        </w:rPr>
        <w:t>。</w:t>
      </w:r>
    </w:p>
    <w:p w14:paraId="6332E4FA">
      <w:pPr>
        <w:snapToGrid w:val="0"/>
        <w:spacing w:line="360" w:lineRule="auto"/>
        <w:ind w:firstLine="420" w:firstLineChars="200"/>
        <w:rPr>
          <w:rFonts w:hint="eastAsia" w:ascii="宋体" w:hAnsi="宋体" w:cs="宋体"/>
          <w:color w:val="auto"/>
          <w:sz w:val="21"/>
          <w:szCs w:val="21"/>
        </w:rPr>
      </w:pPr>
      <w:r>
        <w:rPr>
          <w:rFonts w:hint="eastAsia" w:ascii="宋体" w:hAnsi="宋体" w:cs="宋体"/>
          <w:color w:val="auto"/>
          <w:sz w:val="21"/>
          <w:szCs w:val="21"/>
        </w:rPr>
        <w:t>3.2</w:t>
      </w:r>
      <w:r>
        <w:rPr>
          <w:rFonts w:hint="eastAsia" w:ascii="宋体" w:hAnsi="宋体" w:cs="宋体"/>
          <w:color w:val="auto"/>
          <w:sz w:val="21"/>
          <w:szCs w:val="21"/>
          <w:lang w:val="en-US" w:eastAsia="zh-CN"/>
        </w:rPr>
        <w:t>采购清单</w:t>
      </w:r>
      <w:r>
        <w:rPr>
          <w:rFonts w:hint="eastAsia" w:ascii="宋体" w:hAnsi="宋体" w:cs="宋体"/>
          <w:color w:val="auto"/>
          <w:sz w:val="21"/>
          <w:szCs w:val="21"/>
        </w:rPr>
        <w:t>：</w:t>
      </w:r>
    </w:p>
    <w:tbl>
      <w:tblPr>
        <w:tblStyle w:val="49"/>
        <w:tblW w:w="951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929"/>
        <w:gridCol w:w="2082"/>
        <w:gridCol w:w="1875"/>
        <w:gridCol w:w="2161"/>
        <w:gridCol w:w="1301"/>
        <w:gridCol w:w="1170"/>
      </w:tblGrid>
      <w:tr w14:paraId="7F5ABF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6CA3FF7A">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Fonts w:hint="eastAsia" w:ascii="宋体" w:hAnsi="宋体" w:eastAsia="宋体" w:cs="宋体"/>
                <w:b/>
                <w:i w:val="0"/>
                <w:color w:val="000000"/>
                <w:kern w:val="0"/>
                <w:sz w:val="21"/>
                <w:szCs w:val="21"/>
                <w:u w:val="none"/>
                <w:lang w:val="en-US" w:eastAsia="zh-CN" w:bidi="ar"/>
              </w:rPr>
              <w:t>序号</w:t>
            </w:r>
          </w:p>
        </w:tc>
        <w:tc>
          <w:tcPr>
            <w:tcW w:w="6118" w:type="dxa"/>
            <w:gridSpan w:val="3"/>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5C18E3CF">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Fonts w:hint="eastAsia" w:ascii="宋体" w:hAnsi="宋体" w:eastAsia="宋体" w:cs="宋体"/>
                <w:b/>
                <w:i w:val="0"/>
                <w:color w:val="000000"/>
                <w:kern w:val="0"/>
                <w:sz w:val="21"/>
                <w:szCs w:val="21"/>
                <w:u w:val="none"/>
                <w:lang w:val="en-US" w:eastAsia="zh-CN" w:bidi="ar"/>
              </w:rPr>
              <w:t>建设事项</w:t>
            </w:r>
          </w:p>
        </w:tc>
        <w:tc>
          <w:tcPr>
            <w:tcW w:w="130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7164369E">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Fonts w:hint="eastAsia" w:ascii="宋体" w:hAnsi="宋体" w:eastAsia="宋体" w:cs="宋体"/>
                <w:b/>
                <w:i w:val="0"/>
                <w:color w:val="000000"/>
                <w:kern w:val="0"/>
                <w:sz w:val="21"/>
                <w:szCs w:val="21"/>
                <w:u w:val="none"/>
                <w:lang w:val="en-US" w:eastAsia="zh-CN" w:bidi="ar"/>
              </w:rPr>
              <w:t>数量</w:t>
            </w:r>
          </w:p>
        </w:tc>
        <w:tc>
          <w:tcPr>
            <w:tcW w:w="1170"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49658493">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Fonts w:hint="eastAsia" w:ascii="宋体" w:hAnsi="宋体" w:eastAsia="宋体" w:cs="宋体"/>
                <w:b/>
                <w:i w:val="0"/>
                <w:color w:val="000000"/>
                <w:kern w:val="0"/>
                <w:sz w:val="21"/>
                <w:szCs w:val="21"/>
                <w:u w:val="none"/>
                <w:lang w:val="en-US" w:eastAsia="zh-CN" w:bidi="ar"/>
              </w:rPr>
              <w:t>单位</w:t>
            </w:r>
          </w:p>
        </w:tc>
      </w:tr>
      <w:tr w14:paraId="6A799F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1E91A0C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2082" w:type="dxa"/>
            <w:vMerge w:val="restart"/>
            <w:tcBorders>
              <w:top w:val="single" w:color="000000" w:sz="4" w:space="0"/>
              <w:left w:val="single" w:color="000000" w:sz="4" w:space="0"/>
              <w:bottom w:val="nil"/>
              <w:right w:val="single" w:color="000000" w:sz="4" w:space="0"/>
            </w:tcBorders>
            <w:noWrap w:val="0"/>
            <w:tcMar>
              <w:top w:w="10" w:type="dxa"/>
              <w:left w:w="10" w:type="dxa"/>
              <w:right w:w="10" w:type="dxa"/>
            </w:tcMar>
            <w:vAlign w:val="center"/>
          </w:tcPr>
          <w:p w14:paraId="657DF16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公共雨水管网事故废水风险防控技术服务</w:t>
            </w:r>
          </w:p>
        </w:tc>
        <w:tc>
          <w:tcPr>
            <w:tcW w:w="1875" w:type="dxa"/>
            <w:vMerge w:val="restart"/>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35328F1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公共雨排口管控服务</w:t>
            </w:r>
          </w:p>
        </w:tc>
        <w:tc>
          <w:tcPr>
            <w:tcW w:w="2161"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0472BE9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141"/>
                <w:rFonts w:hint="eastAsia" w:ascii="宋体" w:hAnsi="宋体" w:eastAsia="宋体" w:cs="宋体"/>
                <w:sz w:val="21"/>
                <w:szCs w:val="21"/>
                <w:lang w:val="en-US" w:eastAsia="zh-CN" w:bidi="ar"/>
              </w:rPr>
              <w:t>排口截断服务</w:t>
            </w:r>
          </w:p>
        </w:tc>
        <w:tc>
          <w:tcPr>
            <w:tcW w:w="130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0A7E0D5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w:t>
            </w:r>
          </w:p>
        </w:tc>
        <w:tc>
          <w:tcPr>
            <w:tcW w:w="1170"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3A28724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w:t>
            </w:r>
          </w:p>
        </w:tc>
      </w:tr>
      <w:tr w14:paraId="30B076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49C34AE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w:t>
            </w:r>
          </w:p>
        </w:tc>
        <w:tc>
          <w:tcPr>
            <w:tcW w:w="2082" w:type="dxa"/>
            <w:vMerge w:val="continue"/>
            <w:tcBorders>
              <w:top w:val="single" w:color="000000" w:sz="4" w:space="0"/>
              <w:left w:val="single" w:color="000000" w:sz="4" w:space="0"/>
              <w:bottom w:val="nil"/>
              <w:right w:val="single" w:color="000000" w:sz="4" w:space="0"/>
            </w:tcBorders>
            <w:noWrap w:val="0"/>
            <w:tcMar>
              <w:top w:w="10" w:type="dxa"/>
              <w:left w:w="10" w:type="dxa"/>
              <w:right w:w="10" w:type="dxa"/>
            </w:tcMar>
            <w:vAlign w:val="center"/>
          </w:tcPr>
          <w:p w14:paraId="56B8B315">
            <w:pPr>
              <w:jc w:val="center"/>
              <w:rPr>
                <w:rFonts w:hint="eastAsia" w:ascii="宋体" w:hAnsi="宋体" w:eastAsia="宋体" w:cs="宋体"/>
                <w:i w:val="0"/>
                <w:color w:val="000000"/>
                <w:sz w:val="21"/>
                <w:szCs w:val="21"/>
                <w:u w:val="none"/>
              </w:rPr>
            </w:pPr>
          </w:p>
        </w:tc>
        <w:tc>
          <w:tcPr>
            <w:tcW w:w="1875" w:type="dxa"/>
            <w:vMerge w:val="continue"/>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0B92B005">
            <w:pPr>
              <w:jc w:val="center"/>
              <w:rPr>
                <w:rFonts w:hint="eastAsia" w:ascii="宋体" w:hAnsi="宋体" w:eastAsia="宋体" w:cs="宋体"/>
                <w:i w:val="0"/>
                <w:color w:val="000000"/>
                <w:sz w:val="21"/>
                <w:szCs w:val="21"/>
                <w:u w:val="none"/>
              </w:rPr>
            </w:pPr>
          </w:p>
        </w:tc>
        <w:tc>
          <w:tcPr>
            <w:tcW w:w="2161"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4B621E1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141"/>
                <w:rFonts w:hint="eastAsia" w:ascii="宋体" w:hAnsi="宋体" w:eastAsia="宋体" w:cs="宋体"/>
                <w:sz w:val="21"/>
                <w:szCs w:val="21"/>
                <w:lang w:val="en-US" w:eastAsia="zh-CN" w:bidi="ar"/>
              </w:rPr>
              <w:t>水质监测服务（</w:t>
            </w:r>
            <w:r>
              <w:rPr>
                <w:rFonts w:hint="eastAsia" w:ascii="宋体" w:hAnsi="宋体" w:eastAsia="宋体" w:cs="宋体"/>
                <w:i w:val="0"/>
                <w:color w:val="000000"/>
                <w:kern w:val="0"/>
                <w:sz w:val="21"/>
                <w:szCs w:val="21"/>
                <w:u w:val="none"/>
                <w:lang w:val="en-US" w:eastAsia="zh-CN" w:bidi="ar"/>
              </w:rPr>
              <w:t>pH计、微功率电导率监测终端、流量计、控制系统等</w:t>
            </w:r>
            <w:r>
              <w:rPr>
                <w:rStyle w:val="141"/>
                <w:rFonts w:hint="eastAsia" w:ascii="宋体" w:hAnsi="宋体" w:eastAsia="宋体" w:cs="宋体"/>
                <w:sz w:val="21"/>
                <w:szCs w:val="21"/>
                <w:lang w:val="en-US" w:eastAsia="zh-CN" w:bidi="ar"/>
              </w:rPr>
              <w:t>）及配套实施</w:t>
            </w:r>
          </w:p>
        </w:tc>
        <w:tc>
          <w:tcPr>
            <w:tcW w:w="130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285989E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w:t>
            </w:r>
          </w:p>
        </w:tc>
        <w:tc>
          <w:tcPr>
            <w:tcW w:w="1170"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7C791F1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w:t>
            </w:r>
          </w:p>
        </w:tc>
      </w:tr>
      <w:tr w14:paraId="7D98A0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5CDF34C0">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3</w:t>
            </w:r>
          </w:p>
        </w:tc>
        <w:tc>
          <w:tcPr>
            <w:tcW w:w="2082" w:type="dxa"/>
            <w:vMerge w:val="continue"/>
            <w:tcBorders>
              <w:top w:val="single" w:color="000000" w:sz="4" w:space="0"/>
              <w:left w:val="single" w:color="000000" w:sz="4" w:space="0"/>
              <w:bottom w:val="nil"/>
              <w:right w:val="single" w:color="000000" w:sz="4" w:space="0"/>
            </w:tcBorders>
            <w:noWrap w:val="0"/>
            <w:tcMar>
              <w:top w:w="10" w:type="dxa"/>
              <w:left w:w="10" w:type="dxa"/>
              <w:right w:w="10" w:type="dxa"/>
            </w:tcMar>
            <w:vAlign w:val="center"/>
          </w:tcPr>
          <w:p w14:paraId="111EB4E9">
            <w:pPr>
              <w:jc w:val="center"/>
              <w:rPr>
                <w:rFonts w:hint="eastAsia" w:ascii="宋体" w:hAnsi="宋体" w:eastAsia="宋体" w:cs="宋体"/>
                <w:i w:val="0"/>
                <w:color w:val="000000"/>
                <w:sz w:val="21"/>
                <w:szCs w:val="21"/>
                <w:u w:val="none"/>
              </w:rPr>
            </w:pPr>
          </w:p>
        </w:tc>
        <w:tc>
          <w:tcPr>
            <w:tcW w:w="1875" w:type="dxa"/>
            <w:tcBorders>
              <w:top w:val="single" w:color="000000" w:sz="4" w:space="0"/>
              <w:left w:val="single" w:color="000000" w:sz="4" w:space="0"/>
              <w:bottom w:val="nil"/>
              <w:right w:val="single" w:color="000000" w:sz="4" w:space="0"/>
            </w:tcBorders>
            <w:noWrap w:val="0"/>
            <w:tcMar>
              <w:top w:w="10" w:type="dxa"/>
              <w:left w:w="10" w:type="dxa"/>
              <w:right w:w="10" w:type="dxa"/>
            </w:tcMar>
            <w:vAlign w:val="center"/>
          </w:tcPr>
          <w:p w14:paraId="4708CA5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园区排水渠管控服务</w:t>
            </w:r>
          </w:p>
        </w:tc>
        <w:tc>
          <w:tcPr>
            <w:tcW w:w="2161"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155E94E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渠道截断服务（气盾坝、控制系统等）及配套实施</w:t>
            </w:r>
          </w:p>
        </w:tc>
        <w:tc>
          <w:tcPr>
            <w:tcW w:w="130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09A98CB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3E35389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w:t>
            </w:r>
          </w:p>
        </w:tc>
      </w:tr>
      <w:tr w14:paraId="547A63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135C45BE">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4</w:t>
            </w:r>
          </w:p>
        </w:tc>
        <w:tc>
          <w:tcPr>
            <w:tcW w:w="2082" w:type="dxa"/>
            <w:vMerge w:val="restart"/>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6C71349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多级防控数字化管理技术服务</w:t>
            </w:r>
          </w:p>
        </w:tc>
        <w:tc>
          <w:tcPr>
            <w:tcW w:w="1875" w:type="dxa"/>
            <w:vMerge w:val="restart"/>
            <w:tcBorders>
              <w:top w:val="single" w:color="000000" w:sz="4" w:space="0"/>
              <w:left w:val="single" w:color="000000" w:sz="4" w:space="0"/>
              <w:bottom w:val="single" w:color="000000" w:sz="4" w:space="0"/>
              <w:right w:val="nil"/>
            </w:tcBorders>
            <w:noWrap w:val="0"/>
            <w:tcMar>
              <w:top w:w="10" w:type="dxa"/>
              <w:left w:w="10" w:type="dxa"/>
              <w:right w:w="10" w:type="dxa"/>
            </w:tcMar>
            <w:vAlign w:val="center"/>
          </w:tcPr>
          <w:p w14:paraId="62ECACDE">
            <w:pPr>
              <w:keepNext w:val="0"/>
              <w:keepLines w:val="0"/>
              <w:widowControl/>
              <w:suppressLineNumbers w:val="0"/>
              <w:jc w:val="center"/>
              <w:textAlignment w:val="center"/>
              <w:rPr>
                <w:rFonts w:hint="eastAsia" w:ascii="宋体" w:hAnsi="宋体" w:eastAsia="宋体" w:cs="宋体"/>
                <w:i w:val="0"/>
                <w:color w:val="000000"/>
                <w:sz w:val="21"/>
                <w:szCs w:val="21"/>
                <w:u w:val="none"/>
                <w:lang w:val="en-US"/>
              </w:rPr>
            </w:pPr>
            <w:r>
              <w:rPr>
                <w:rFonts w:hint="eastAsia" w:ascii="宋体" w:hAnsi="宋体" w:eastAsia="宋体" w:cs="宋体"/>
                <w:i w:val="0"/>
                <w:color w:val="000000"/>
                <w:kern w:val="0"/>
                <w:sz w:val="21"/>
                <w:szCs w:val="21"/>
                <w:u w:val="none"/>
                <w:lang w:val="en-US" w:eastAsia="zh-CN" w:bidi="ar"/>
              </w:rPr>
              <w:t>数字化监管平台环境应急模体系支撑</w:t>
            </w:r>
          </w:p>
        </w:tc>
        <w:tc>
          <w:tcPr>
            <w:tcW w:w="2161"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2D3CAFE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应急指挥驾驶舱</w:t>
            </w:r>
          </w:p>
        </w:tc>
        <w:tc>
          <w:tcPr>
            <w:tcW w:w="130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75AB0E8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4C8F265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w:t>
            </w:r>
          </w:p>
        </w:tc>
      </w:tr>
      <w:tr w14:paraId="21BB51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3A4EB79D">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5</w:t>
            </w:r>
          </w:p>
        </w:tc>
        <w:tc>
          <w:tcPr>
            <w:tcW w:w="2082" w:type="dxa"/>
            <w:vMerge w:val="continue"/>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5C7E780C">
            <w:pPr>
              <w:jc w:val="center"/>
              <w:rPr>
                <w:rFonts w:hint="eastAsia" w:ascii="宋体" w:hAnsi="宋体" w:eastAsia="宋体" w:cs="宋体"/>
                <w:i w:val="0"/>
                <w:color w:val="000000"/>
                <w:sz w:val="21"/>
                <w:szCs w:val="21"/>
                <w:u w:val="none"/>
              </w:rPr>
            </w:pPr>
          </w:p>
        </w:tc>
        <w:tc>
          <w:tcPr>
            <w:tcW w:w="1875" w:type="dxa"/>
            <w:vMerge w:val="continue"/>
            <w:tcBorders>
              <w:top w:val="single" w:color="000000" w:sz="4" w:space="0"/>
              <w:left w:val="single" w:color="000000" w:sz="4" w:space="0"/>
              <w:bottom w:val="single" w:color="000000" w:sz="4" w:space="0"/>
              <w:right w:val="nil"/>
            </w:tcBorders>
            <w:noWrap w:val="0"/>
            <w:tcMar>
              <w:top w:w="10" w:type="dxa"/>
              <w:left w:w="10" w:type="dxa"/>
              <w:right w:w="10" w:type="dxa"/>
            </w:tcMar>
            <w:vAlign w:val="center"/>
          </w:tcPr>
          <w:p w14:paraId="163F6429">
            <w:pPr>
              <w:jc w:val="center"/>
              <w:rPr>
                <w:rFonts w:hint="eastAsia" w:ascii="宋体" w:hAnsi="宋体" w:eastAsia="宋体" w:cs="宋体"/>
                <w:i w:val="0"/>
                <w:color w:val="000000"/>
                <w:sz w:val="21"/>
                <w:szCs w:val="21"/>
                <w:u w:val="none"/>
              </w:rPr>
            </w:pPr>
          </w:p>
        </w:tc>
        <w:tc>
          <w:tcPr>
            <w:tcW w:w="2161"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042DD7F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空间与设施基础信息管理</w:t>
            </w:r>
          </w:p>
        </w:tc>
        <w:tc>
          <w:tcPr>
            <w:tcW w:w="130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29C873A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19848EE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w:t>
            </w:r>
          </w:p>
        </w:tc>
      </w:tr>
      <w:tr w14:paraId="6C7F59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0DF9ABC0">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6</w:t>
            </w:r>
          </w:p>
        </w:tc>
        <w:tc>
          <w:tcPr>
            <w:tcW w:w="2082" w:type="dxa"/>
            <w:vMerge w:val="continue"/>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33FCE463">
            <w:pPr>
              <w:jc w:val="center"/>
              <w:rPr>
                <w:rFonts w:hint="eastAsia" w:ascii="宋体" w:hAnsi="宋体" w:eastAsia="宋体" w:cs="宋体"/>
                <w:i w:val="0"/>
                <w:color w:val="000000"/>
                <w:sz w:val="21"/>
                <w:szCs w:val="21"/>
                <w:u w:val="none"/>
              </w:rPr>
            </w:pPr>
          </w:p>
        </w:tc>
        <w:tc>
          <w:tcPr>
            <w:tcW w:w="1875" w:type="dxa"/>
            <w:vMerge w:val="continue"/>
            <w:tcBorders>
              <w:top w:val="single" w:color="000000" w:sz="4" w:space="0"/>
              <w:left w:val="single" w:color="000000" w:sz="4" w:space="0"/>
              <w:bottom w:val="single" w:color="000000" w:sz="4" w:space="0"/>
              <w:right w:val="nil"/>
            </w:tcBorders>
            <w:noWrap w:val="0"/>
            <w:tcMar>
              <w:top w:w="10" w:type="dxa"/>
              <w:left w:w="10" w:type="dxa"/>
              <w:right w:w="10" w:type="dxa"/>
            </w:tcMar>
            <w:vAlign w:val="center"/>
          </w:tcPr>
          <w:p w14:paraId="7178ACCC">
            <w:pPr>
              <w:jc w:val="center"/>
              <w:rPr>
                <w:rFonts w:hint="eastAsia" w:ascii="宋体" w:hAnsi="宋体" w:eastAsia="宋体" w:cs="宋体"/>
                <w:i w:val="0"/>
                <w:color w:val="000000"/>
                <w:sz w:val="21"/>
                <w:szCs w:val="21"/>
                <w:u w:val="none"/>
              </w:rPr>
            </w:pPr>
          </w:p>
        </w:tc>
        <w:tc>
          <w:tcPr>
            <w:tcW w:w="2161"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7259D3F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应急物资信息管理</w:t>
            </w:r>
          </w:p>
        </w:tc>
        <w:tc>
          <w:tcPr>
            <w:tcW w:w="130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57BCC7A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292A44C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w:t>
            </w:r>
          </w:p>
        </w:tc>
      </w:tr>
      <w:tr w14:paraId="75FD7A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5646598C">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7</w:t>
            </w:r>
          </w:p>
        </w:tc>
        <w:tc>
          <w:tcPr>
            <w:tcW w:w="2082" w:type="dxa"/>
            <w:vMerge w:val="continue"/>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56DF9316">
            <w:pPr>
              <w:jc w:val="center"/>
              <w:rPr>
                <w:rFonts w:hint="eastAsia" w:ascii="宋体" w:hAnsi="宋体" w:eastAsia="宋体" w:cs="宋体"/>
                <w:i w:val="0"/>
                <w:color w:val="000000"/>
                <w:sz w:val="21"/>
                <w:szCs w:val="21"/>
                <w:u w:val="none"/>
              </w:rPr>
            </w:pPr>
          </w:p>
        </w:tc>
        <w:tc>
          <w:tcPr>
            <w:tcW w:w="1875" w:type="dxa"/>
            <w:vMerge w:val="continue"/>
            <w:tcBorders>
              <w:top w:val="single" w:color="000000" w:sz="4" w:space="0"/>
              <w:left w:val="single" w:color="000000" w:sz="4" w:space="0"/>
              <w:bottom w:val="single" w:color="000000" w:sz="4" w:space="0"/>
              <w:right w:val="nil"/>
            </w:tcBorders>
            <w:noWrap w:val="0"/>
            <w:tcMar>
              <w:top w:w="10" w:type="dxa"/>
              <w:left w:w="10" w:type="dxa"/>
              <w:right w:w="10" w:type="dxa"/>
            </w:tcMar>
            <w:vAlign w:val="center"/>
          </w:tcPr>
          <w:p w14:paraId="24398876">
            <w:pPr>
              <w:jc w:val="center"/>
              <w:rPr>
                <w:rFonts w:hint="eastAsia" w:ascii="宋体" w:hAnsi="宋体" w:eastAsia="宋体" w:cs="宋体"/>
                <w:i w:val="0"/>
                <w:color w:val="000000"/>
                <w:sz w:val="21"/>
                <w:szCs w:val="21"/>
                <w:u w:val="none"/>
              </w:rPr>
            </w:pPr>
          </w:p>
        </w:tc>
        <w:tc>
          <w:tcPr>
            <w:tcW w:w="2161"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3CA120C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分级防控管理</w:t>
            </w:r>
          </w:p>
        </w:tc>
        <w:tc>
          <w:tcPr>
            <w:tcW w:w="130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5159A4A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61161AF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w:t>
            </w:r>
          </w:p>
        </w:tc>
      </w:tr>
      <w:tr w14:paraId="1487D0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20379F2C">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8</w:t>
            </w:r>
          </w:p>
        </w:tc>
        <w:tc>
          <w:tcPr>
            <w:tcW w:w="2082" w:type="dxa"/>
            <w:vMerge w:val="restart"/>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2BD8647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过程支持技术服务</w:t>
            </w:r>
          </w:p>
        </w:tc>
        <w:tc>
          <w:tcPr>
            <w:tcW w:w="4036" w:type="dxa"/>
            <w:gridSpan w:val="2"/>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3204462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“一园一策”建设提升方案实施技术指导</w:t>
            </w:r>
          </w:p>
        </w:tc>
        <w:tc>
          <w:tcPr>
            <w:tcW w:w="130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566555D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6BDDEDE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w:t>
            </w:r>
          </w:p>
        </w:tc>
      </w:tr>
      <w:tr w14:paraId="1ED2E6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47C45E95">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9</w:t>
            </w:r>
          </w:p>
        </w:tc>
        <w:tc>
          <w:tcPr>
            <w:tcW w:w="2082" w:type="dxa"/>
            <w:vMerge w:val="continue"/>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6D216B27">
            <w:pPr>
              <w:jc w:val="center"/>
              <w:rPr>
                <w:rFonts w:hint="eastAsia" w:ascii="宋体" w:hAnsi="宋体" w:eastAsia="宋体" w:cs="宋体"/>
                <w:i w:val="0"/>
                <w:color w:val="000000"/>
                <w:sz w:val="21"/>
                <w:szCs w:val="21"/>
                <w:u w:val="none"/>
              </w:rPr>
            </w:pPr>
          </w:p>
        </w:tc>
        <w:tc>
          <w:tcPr>
            <w:tcW w:w="4036" w:type="dxa"/>
            <w:gridSpan w:val="2"/>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3D663E3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“一园一策”建设提升方案更新完善</w:t>
            </w:r>
          </w:p>
        </w:tc>
        <w:tc>
          <w:tcPr>
            <w:tcW w:w="130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4DB890F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0A554C0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w:t>
            </w:r>
          </w:p>
        </w:tc>
      </w:tr>
      <w:tr w14:paraId="705306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18BBD3CB">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10</w:t>
            </w:r>
          </w:p>
        </w:tc>
        <w:tc>
          <w:tcPr>
            <w:tcW w:w="2082" w:type="dxa"/>
            <w:vMerge w:val="continue"/>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6E1053D5">
            <w:pPr>
              <w:jc w:val="center"/>
              <w:rPr>
                <w:rFonts w:hint="eastAsia" w:ascii="宋体" w:hAnsi="宋体" w:eastAsia="宋体" w:cs="宋体"/>
                <w:i w:val="0"/>
                <w:color w:val="000000"/>
                <w:sz w:val="21"/>
                <w:szCs w:val="21"/>
                <w:u w:val="none"/>
              </w:rPr>
            </w:pPr>
          </w:p>
        </w:tc>
        <w:tc>
          <w:tcPr>
            <w:tcW w:w="4036" w:type="dxa"/>
            <w:gridSpan w:val="2"/>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2FB4B6E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园区突发水污染事件专项应急预案编制</w:t>
            </w:r>
          </w:p>
        </w:tc>
        <w:tc>
          <w:tcPr>
            <w:tcW w:w="130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065DDD8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663E0B5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w:t>
            </w:r>
          </w:p>
        </w:tc>
      </w:tr>
      <w:tr w14:paraId="5BEE12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051DB7AF">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11</w:t>
            </w:r>
          </w:p>
        </w:tc>
        <w:tc>
          <w:tcPr>
            <w:tcW w:w="2082" w:type="dxa"/>
            <w:vMerge w:val="restart"/>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046A335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验收支撑技术服务</w:t>
            </w:r>
          </w:p>
        </w:tc>
        <w:tc>
          <w:tcPr>
            <w:tcW w:w="4036" w:type="dxa"/>
            <w:gridSpan w:val="2"/>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65094DB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建设提升任务落实情况的调查核实</w:t>
            </w:r>
          </w:p>
        </w:tc>
        <w:tc>
          <w:tcPr>
            <w:tcW w:w="130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2B3D35E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32463CE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w:t>
            </w:r>
          </w:p>
        </w:tc>
      </w:tr>
      <w:tr w14:paraId="372B8E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54AE8FE5">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12</w:t>
            </w:r>
          </w:p>
        </w:tc>
        <w:tc>
          <w:tcPr>
            <w:tcW w:w="2082" w:type="dxa"/>
            <w:vMerge w:val="continue"/>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1066FE53">
            <w:pPr>
              <w:jc w:val="center"/>
              <w:rPr>
                <w:rFonts w:hint="eastAsia" w:ascii="宋体" w:hAnsi="宋体" w:eastAsia="宋体" w:cs="宋体"/>
                <w:i w:val="0"/>
                <w:color w:val="000000"/>
                <w:sz w:val="21"/>
                <w:szCs w:val="21"/>
                <w:u w:val="none"/>
              </w:rPr>
            </w:pPr>
          </w:p>
        </w:tc>
        <w:tc>
          <w:tcPr>
            <w:tcW w:w="4036" w:type="dxa"/>
            <w:gridSpan w:val="2"/>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18AF279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评估验收材料编制</w:t>
            </w:r>
          </w:p>
        </w:tc>
        <w:tc>
          <w:tcPr>
            <w:tcW w:w="130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5842B55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0993A19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w:t>
            </w:r>
          </w:p>
        </w:tc>
      </w:tr>
      <w:tr w14:paraId="530986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929"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11176FC8">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13</w:t>
            </w:r>
          </w:p>
        </w:tc>
        <w:tc>
          <w:tcPr>
            <w:tcW w:w="2082" w:type="dxa"/>
            <w:vMerge w:val="continue"/>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0914E212">
            <w:pPr>
              <w:jc w:val="center"/>
              <w:rPr>
                <w:rFonts w:hint="eastAsia" w:ascii="宋体" w:hAnsi="宋体" w:eastAsia="宋体" w:cs="宋体"/>
                <w:i w:val="0"/>
                <w:color w:val="000000"/>
                <w:sz w:val="21"/>
                <w:szCs w:val="21"/>
                <w:u w:val="none"/>
              </w:rPr>
            </w:pPr>
          </w:p>
        </w:tc>
        <w:tc>
          <w:tcPr>
            <w:tcW w:w="4036" w:type="dxa"/>
            <w:gridSpan w:val="2"/>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7B78DE3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评估验收核查工作协助</w:t>
            </w:r>
          </w:p>
        </w:tc>
        <w:tc>
          <w:tcPr>
            <w:tcW w:w="1301" w:type="dxa"/>
            <w:tcBorders>
              <w:top w:val="single" w:color="000000" w:sz="4" w:space="0"/>
              <w:left w:val="single" w:color="000000" w:sz="4" w:space="0"/>
              <w:bottom w:val="single" w:color="000000" w:sz="4" w:space="0"/>
              <w:right w:val="single" w:color="000000" w:sz="4" w:space="0"/>
            </w:tcBorders>
            <w:noWrap/>
            <w:tcMar>
              <w:top w:w="10" w:type="dxa"/>
              <w:left w:w="10" w:type="dxa"/>
              <w:right w:w="10" w:type="dxa"/>
            </w:tcMar>
            <w:vAlign w:val="center"/>
          </w:tcPr>
          <w:p w14:paraId="1A6EA38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0638715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w:t>
            </w:r>
          </w:p>
        </w:tc>
      </w:tr>
    </w:tbl>
    <w:p w14:paraId="042943A6">
      <w:pPr>
        <w:snapToGrid w:val="0"/>
        <w:spacing w:line="360" w:lineRule="auto"/>
        <w:ind w:firstLine="420" w:firstLineChars="200"/>
        <w:rPr>
          <w:rFonts w:hint="eastAsia" w:ascii="宋体" w:hAnsi="宋体" w:cs="宋体"/>
          <w:color w:val="auto"/>
          <w:sz w:val="21"/>
          <w:szCs w:val="21"/>
        </w:rPr>
      </w:pPr>
    </w:p>
    <w:p w14:paraId="4178778C">
      <w:pPr>
        <w:snapToGrid w:val="0"/>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3.3运维服务：</w:t>
      </w:r>
      <w:r>
        <w:rPr>
          <w:rFonts w:hint="eastAsia" w:ascii="宋体" w:hAnsi="宋体" w:eastAsia="宋体" w:cs="Times New Roman"/>
          <w:sz w:val="21"/>
          <w:szCs w:val="21"/>
          <w:highlight w:val="none"/>
          <w:lang w:val="en-US" w:eastAsia="zh-CN"/>
        </w:rPr>
        <w:t>本项目过程支持技术服务和验收支撑技术服务以化工园区突发水污染事件多级防控体系建设提升工作通过上级主管部门验收为服务截止期限；</w:t>
      </w:r>
      <w:r>
        <w:rPr>
          <w:rFonts w:hint="eastAsia" w:ascii="宋体" w:hAnsi="宋体" w:eastAsia="宋体" w:cs="Times New Roman"/>
          <w:kern w:val="2"/>
          <w:sz w:val="21"/>
          <w:szCs w:val="21"/>
          <w:highlight w:val="none"/>
          <w:lang w:val="en-US" w:eastAsia="zh-CN" w:bidi="ar-SA"/>
        </w:rPr>
        <w:t>软件运维服务期为3年；硬件运维期为1年并提供原厂质保3年；自项目验收合格后开始起算。</w:t>
      </w:r>
    </w:p>
    <w:p w14:paraId="0E172A5C">
      <w:pPr>
        <w:snapToGrid w:val="0"/>
        <w:spacing w:before="156" w:beforeLines="50" w:line="360" w:lineRule="auto"/>
        <w:outlineLvl w:val="1"/>
        <w:rPr>
          <w:rFonts w:hint="eastAsia" w:ascii="宋体" w:hAnsi="宋体" w:cs="宋体"/>
          <w:b/>
          <w:color w:val="auto"/>
          <w:sz w:val="21"/>
          <w:szCs w:val="21"/>
        </w:rPr>
      </w:pPr>
      <w:r>
        <w:rPr>
          <w:rFonts w:hint="eastAsia" w:ascii="宋体" w:hAnsi="宋体" w:cs="宋体"/>
          <w:b/>
          <w:color w:val="auto"/>
          <w:sz w:val="21"/>
          <w:szCs w:val="21"/>
        </w:rPr>
        <w:t>四、合同金额</w:t>
      </w:r>
    </w:p>
    <w:p w14:paraId="01CAAA16">
      <w:pPr>
        <w:snapToGrid w:val="0"/>
        <w:spacing w:line="360" w:lineRule="auto"/>
        <w:ind w:firstLine="420" w:firstLineChars="200"/>
        <w:jc w:val="left"/>
        <w:textAlignment w:val="baseline"/>
        <w:rPr>
          <w:rFonts w:hint="eastAsia" w:ascii="宋体" w:hAnsi="宋体" w:cs="宋体"/>
          <w:color w:val="auto"/>
          <w:sz w:val="21"/>
          <w:szCs w:val="21"/>
        </w:rPr>
      </w:pPr>
      <w:r>
        <w:rPr>
          <w:rFonts w:hint="eastAsia" w:ascii="宋体" w:hAnsi="宋体" w:cs="宋体"/>
          <w:color w:val="auto"/>
          <w:sz w:val="21"/>
          <w:szCs w:val="21"/>
        </w:rPr>
        <w:t>4.1本合同金额为（大写）：</w:t>
      </w:r>
      <w:r>
        <w:rPr>
          <w:rFonts w:hint="eastAsia" w:ascii="宋体" w:hAnsi="宋体" w:cs="宋体"/>
          <w:color w:val="auto"/>
          <w:sz w:val="21"/>
          <w:szCs w:val="21"/>
          <w:u w:val="single"/>
        </w:rPr>
        <w:t xml:space="preserve">             </w:t>
      </w:r>
      <w:r>
        <w:rPr>
          <w:rFonts w:hint="eastAsia" w:ascii="宋体" w:hAnsi="宋体" w:cs="宋体"/>
          <w:color w:val="auto"/>
          <w:sz w:val="21"/>
          <w:szCs w:val="21"/>
        </w:rPr>
        <w:t>元（</w:t>
      </w:r>
      <w:r>
        <w:rPr>
          <w:rFonts w:hint="eastAsia" w:ascii="宋体" w:hAnsi="宋体" w:cs="宋体"/>
          <w:color w:val="auto"/>
          <w:sz w:val="21"/>
          <w:szCs w:val="21"/>
          <w:lang w:eastAsia="zh-CN"/>
        </w:rPr>
        <w:t>¥</w:t>
      </w:r>
      <w:r>
        <w:rPr>
          <w:rFonts w:hint="eastAsia" w:ascii="宋体" w:hAnsi="宋体" w:cs="宋体"/>
          <w:color w:val="auto"/>
          <w:sz w:val="21"/>
          <w:szCs w:val="21"/>
          <w:u w:val="single"/>
        </w:rPr>
        <w:t xml:space="preserve">       </w:t>
      </w:r>
      <w:r>
        <w:rPr>
          <w:rFonts w:hint="eastAsia" w:ascii="宋体" w:hAnsi="宋体" w:cs="宋体"/>
          <w:color w:val="auto"/>
          <w:sz w:val="21"/>
          <w:szCs w:val="21"/>
        </w:rPr>
        <w:t>元）人民币。</w:t>
      </w:r>
    </w:p>
    <w:p w14:paraId="0A564F09">
      <w:pPr>
        <w:snapToGrid w:val="0"/>
        <w:spacing w:line="360" w:lineRule="auto"/>
        <w:ind w:firstLine="420" w:firstLineChars="200"/>
        <w:jc w:val="left"/>
        <w:textAlignment w:val="baseline"/>
        <w:rPr>
          <w:rFonts w:hint="eastAsia" w:ascii="宋体" w:hAnsi="宋体" w:cs="宋体"/>
          <w:color w:val="auto"/>
          <w:sz w:val="21"/>
          <w:szCs w:val="21"/>
        </w:rPr>
      </w:pPr>
      <w:r>
        <w:rPr>
          <w:rFonts w:hint="eastAsia" w:ascii="宋体" w:hAnsi="宋体" w:cs="宋体"/>
          <w:color w:val="auto"/>
          <w:sz w:val="21"/>
          <w:szCs w:val="21"/>
        </w:rPr>
        <w:t>4.2本合同金额包括货款、材料、机械、人工、管理、利润、税金、保险等一切费用。</w:t>
      </w:r>
    </w:p>
    <w:p w14:paraId="288FD062">
      <w:pPr>
        <w:snapToGrid w:val="0"/>
        <w:spacing w:before="156" w:beforeLines="50" w:line="360" w:lineRule="auto"/>
        <w:outlineLvl w:val="1"/>
        <w:rPr>
          <w:rFonts w:hint="eastAsia" w:ascii="宋体" w:hAnsi="宋体" w:cs="宋体"/>
          <w:b/>
          <w:color w:val="auto"/>
          <w:sz w:val="21"/>
          <w:szCs w:val="21"/>
        </w:rPr>
      </w:pPr>
      <w:r>
        <w:rPr>
          <w:rFonts w:hint="eastAsia" w:ascii="宋体" w:hAnsi="宋体" w:cs="宋体"/>
          <w:b/>
          <w:color w:val="auto"/>
          <w:sz w:val="21"/>
          <w:szCs w:val="21"/>
        </w:rPr>
        <w:t>五、服务质量</w:t>
      </w:r>
    </w:p>
    <w:p w14:paraId="683F7357">
      <w:pPr>
        <w:snapToGrid w:val="0"/>
        <w:spacing w:line="360" w:lineRule="auto"/>
        <w:ind w:firstLine="405" w:firstLineChars="193"/>
        <w:rPr>
          <w:rFonts w:hint="eastAsia" w:ascii="宋体" w:hAnsi="宋体" w:cs="宋体"/>
          <w:color w:val="auto"/>
          <w:sz w:val="21"/>
          <w:szCs w:val="21"/>
          <w:u w:val="single"/>
        </w:rPr>
      </w:pPr>
      <w:r>
        <w:rPr>
          <w:rFonts w:hint="eastAsia" w:ascii="宋体" w:hAnsi="宋体" w:cs="宋体"/>
          <w:color w:val="auto"/>
          <w:sz w:val="21"/>
          <w:szCs w:val="21"/>
        </w:rPr>
        <w:t>5.1质量保证：</w:t>
      </w:r>
      <w:r>
        <w:rPr>
          <w:rFonts w:hint="eastAsia" w:ascii="宋体" w:hAnsi="宋体" w:cs="宋体"/>
          <w:color w:val="auto"/>
          <w:sz w:val="21"/>
          <w:szCs w:val="21"/>
          <w:u w:val="single"/>
        </w:rPr>
        <w:t>乙方必须符合国家强制性技术标准及行业管理规范要求，接受项目行业管理部门及政府有关部门的指导，接受甲方监督，符合服务质量承诺，包括验收标准、绩效考核、履约评价等</w:t>
      </w:r>
      <w:r>
        <w:rPr>
          <w:rFonts w:hint="eastAsia" w:ascii="宋体" w:hAnsi="宋体" w:cs="宋体"/>
          <w:color w:val="auto"/>
          <w:sz w:val="21"/>
          <w:szCs w:val="21"/>
          <w:u w:val="single"/>
          <w:lang w:eastAsia="zh-CN"/>
        </w:rPr>
        <w:t>。</w:t>
      </w:r>
      <w:r>
        <w:rPr>
          <w:rFonts w:hint="eastAsia" w:ascii="宋体" w:hAnsi="宋体" w:cs="宋体"/>
          <w:color w:val="auto"/>
          <w:sz w:val="21"/>
          <w:szCs w:val="21"/>
          <w:u w:val="single"/>
        </w:rPr>
        <w:t xml:space="preserve"> </w:t>
      </w:r>
    </w:p>
    <w:p w14:paraId="6D36015C">
      <w:pPr>
        <w:snapToGrid w:val="0"/>
        <w:spacing w:before="156" w:beforeLines="50" w:line="360" w:lineRule="auto"/>
        <w:outlineLvl w:val="1"/>
        <w:rPr>
          <w:rFonts w:hint="eastAsia" w:ascii="宋体" w:hAnsi="宋体" w:cs="宋体"/>
          <w:b/>
          <w:color w:val="auto"/>
          <w:sz w:val="21"/>
          <w:szCs w:val="21"/>
        </w:rPr>
      </w:pPr>
      <w:r>
        <w:rPr>
          <w:rFonts w:hint="eastAsia" w:ascii="宋体" w:hAnsi="宋体" w:cs="宋体"/>
          <w:b/>
          <w:color w:val="auto"/>
          <w:sz w:val="21"/>
          <w:szCs w:val="21"/>
        </w:rPr>
        <w:t>六、甲方权利义务</w:t>
      </w:r>
    </w:p>
    <w:p w14:paraId="6AA74617">
      <w:pPr>
        <w:snapToGrid w:val="0"/>
        <w:spacing w:line="360" w:lineRule="auto"/>
        <w:ind w:firstLine="420" w:firstLineChars="200"/>
        <w:jc w:val="left"/>
        <w:textAlignment w:val="baseline"/>
        <w:rPr>
          <w:rFonts w:hint="eastAsia" w:ascii="宋体" w:hAnsi="宋体" w:cs="宋体"/>
          <w:sz w:val="21"/>
          <w:szCs w:val="21"/>
        </w:rPr>
      </w:pPr>
      <w:r>
        <w:rPr>
          <w:rFonts w:hint="eastAsia" w:ascii="宋体" w:hAnsi="宋体" w:cs="宋体"/>
          <w:sz w:val="21"/>
          <w:szCs w:val="21"/>
        </w:rPr>
        <w:t>6.1甲方有权对合同规定范围内乙方的服务行为进行监督和检查，拥有监管权。有权定期核对乙方提供服务所配备的人员数量。对甲方认为不合理的部分有权下达整改通知书，并要求乙方限期整改。</w:t>
      </w:r>
    </w:p>
    <w:p w14:paraId="112E326E">
      <w:pPr>
        <w:snapToGrid w:val="0"/>
        <w:spacing w:line="360" w:lineRule="auto"/>
        <w:ind w:firstLine="420" w:firstLineChars="200"/>
        <w:jc w:val="left"/>
        <w:textAlignment w:val="baseline"/>
        <w:rPr>
          <w:rFonts w:hint="eastAsia" w:ascii="宋体" w:hAnsi="宋体" w:cs="宋体"/>
          <w:sz w:val="21"/>
          <w:szCs w:val="21"/>
        </w:rPr>
      </w:pPr>
      <w:r>
        <w:rPr>
          <w:rFonts w:hint="eastAsia" w:ascii="宋体" w:hAnsi="宋体" w:cs="宋体"/>
          <w:sz w:val="21"/>
          <w:szCs w:val="21"/>
        </w:rPr>
        <w:t>6.2甲方有权依据双方签订的考评办法对乙方提供的服务进行定期考评。当考评结果未达到标准时，有权依据考评办法约定的数额扣除履约保证金。</w:t>
      </w:r>
    </w:p>
    <w:p w14:paraId="4FA6D7E0">
      <w:pPr>
        <w:snapToGrid w:val="0"/>
        <w:spacing w:line="360" w:lineRule="auto"/>
        <w:ind w:firstLine="420" w:firstLineChars="200"/>
        <w:jc w:val="left"/>
        <w:textAlignment w:val="baseline"/>
        <w:rPr>
          <w:rFonts w:hint="eastAsia" w:ascii="宋体" w:hAnsi="宋体" w:cs="宋体"/>
          <w:sz w:val="21"/>
          <w:szCs w:val="21"/>
        </w:rPr>
      </w:pPr>
      <w:r>
        <w:rPr>
          <w:rFonts w:hint="eastAsia" w:ascii="宋体" w:hAnsi="宋体" w:cs="宋体"/>
          <w:sz w:val="21"/>
          <w:szCs w:val="21"/>
        </w:rPr>
        <w:t>6.3负责检查监督乙方管理工作的实施及制度的执行情况。</w:t>
      </w:r>
    </w:p>
    <w:p w14:paraId="28BF19D3">
      <w:pPr>
        <w:snapToGrid w:val="0"/>
        <w:spacing w:line="360" w:lineRule="auto"/>
        <w:ind w:firstLine="420" w:firstLineChars="200"/>
        <w:jc w:val="left"/>
        <w:textAlignment w:val="baseline"/>
        <w:rPr>
          <w:rFonts w:hint="eastAsia" w:ascii="宋体" w:hAnsi="宋体" w:cs="宋体"/>
          <w:sz w:val="21"/>
          <w:szCs w:val="21"/>
        </w:rPr>
      </w:pPr>
      <w:r>
        <w:rPr>
          <w:rFonts w:hint="eastAsia" w:ascii="宋体" w:hAnsi="宋体" w:cs="宋体"/>
          <w:sz w:val="21"/>
          <w:szCs w:val="21"/>
        </w:rPr>
        <w:t>6.4根据本合同规定，按时向乙方支付服务费用。</w:t>
      </w:r>
    </w:p>
    <w:p w14:paraId="5F1B8F97">
      <w:pPr>
        <w:snapToGrid w:val="0"/>
        <w:spacing w:line="360" w:lineRule="auto"/>
        <w:ind w:firstLine="420" w:firstLineChars="200"/>
        <w:jc w:val="left"/>
        <w:textAlignment w:val="baseline"/>
        <w:rPr>
          <w:rFonts w:hint="eastAsia" w:ascii="宋体" w:hAnsi="宋体" w:cs="宋体"/>
          <w:sz w:val="21"/>
          <w:szCs w:val="21"/>
        </w:rPr>
      </w:pPr>
      <w:r>
        <w:rPr>
          <w:rFonts w:hint="eastAsia" w:ascii="宋体" w:hAnsi="宋体" w:cs="宋体"/>
          <w:sz w:val="21"/>
          <w:szCs w:val="21"/>
        </w:rPr>
        <w:t>6.5国家法律、法规所规定由甲方承担的其它责任。</w:t>
      </w:r>
    </w:p>
    <w:p w14:paraId="193BD4F2">
      <w:pPr>
        <w:snapToGrid w:val="0"/>
        <w:spacing w:before="156" w:beforeLines="50" w:line="360" w:lineRule="auto"/>
        <w:outlineLvl w:val="1"/>
        <w:rPr>
          <w:rFonts w:hint="eastAsia" w:ascii="宋体" w:hAnsi="宋体" w:cs="宋体"/>
          <w:b/>
          <w:sz w:val="21"/>
          <w:szCs w:val="21"/>
        </w:rPr>
      </w:pPr>
      <w:r>
        <w:rPr>
          <w:rFonts w:hint="eastAsia" w:ascii="宋体" w:hAnsi="宋体" w:cs="宋体"/>
          <w:b/>
          <w:sz w:val="21"/>
          <w:szCs w:val="21"/>
        </w:rPr>
        <w:t>七、乙方权利义务</w:t>
      </w:r>
    </w:p>
    <w:p w14:paraId="3A582B24">
      <w:pPr>
        <w:snapToGrid w:val="0"/>
        <w:spacing w:line="360" w:lineRule="auto"/>
        <w:ind w:firstLine="420" w:firstLineChars="200"/>
        <w:jc w:val="left"/>
        <w:textAlignment w:val="baseline"/>
        <w:rPr>
          <w:rFonts w:hint="eastAsia" w:ascii="宋体" w:hAnsi="宋体" w:cs="宋体"/>
          <w:sz w:val="21"/>
          <w:szCs w:val="21"/>
        </w:rPr>
      </w:pPr>
      <w:r>
        <w:rPr>
          <w:rFonts w:hint="eastAsia" w:ascii="宋体" w:hAnsi="宋体" w:cs="宋体"/>
          <w:sz w:val="21"/>
          <w:szCs w:val="21"/>
        </w:rPr>
        <w:t>7.1对本合同规定的委托服务范围内的项目享有管理权及服务义务。</w:t>
      </w:r>
    </w:p>
    <w:p w14:paraId="59678F76">
      <w:pPr>
        <w:snapToGrid w:val="0"/>
        <w:spacing w:line="360" w:lineRule="auto"/>
        <w:ind w:firstLine="420" w:firstLineChars="200"/>
        <w:jc w:val="left"/>
        <w:textAlignment w:val="baseline"/>
        <w:rPr>
          <w:rFonts w:hint="eastAsia" w:ascii="宋体" w:hAnsi="宋体" w:cs="宋体"/>
          <w:sz w:val="21"/>
          <w:szCs w:val="21"/>
        </w:rPr>
      </w:pPr>
      <w:r>
        <w:rPr>
          <w:rFonts w:hint="eastAsia" w:ascii="宋体" w:hAnsi="宋体" w:cs="宋体"/>
          <w:sz w:val="21"/>
          <w:szCs w:val="21"/>
        </w:rPr>
        <w:t>7.2根据本合同的规定向甲方收取相关服务费用，并有权在本项目管理范围内管理及合理使用。</w:t>
      </w:r>
    </w:p>
    <w:p w14:paraId="37EFE40A">
      <w:pPr>
        <w:snapToGrid w:val="0"/>
        <w:spacing w:line="360" w:lineRule="auto"/>
        <w:ind w:firstLine="420" w:firstLineChars="200"/>
        <w:jc w:val="left"/>
        <w:textAlignment w:val="baseline"/>
        <w:rPr>
          <w:rFonts w:hint="eastAsia" w:ascii="宋体" w:hAnsi="宋体" w:cs="宋体"/>
          <w:sz w:val="21"/>
          <w:szCs w:val="21"/>
        </w:rPr>
      </w:pPr>
      <w:r>
        <w:rPr>
          <w:rFonts w:hint="eastAsia" w:ascii="宋体" w:hAnsi="宋体" w:cs="宋体"/>
          <w:sz w:val="21"/>
          <w:szCs w:val="21"/>
        </w:rPr>
        <w:t>7.3及时向甲方通告本项目服务范围内有关服务的重大事项，及时配合处理投诉。</w:t>
      </w:r>
    </w:p>
    <w:p w14:paraId="7A1A0D98">
      <w:pPr>
        <w:snapToGrid w:val="0"/>
        <w:spacing w:line="360" w:lineRule="auto"/>
        <w:ind w:firstLine="420" w:firstLineChars="200"/>
        <w:jc w:val="left"/>
        <w:textAlignment w:val="baseline"/>
        <w:rPr>
          <w:rFonts w:hint="eastAsia" w:ascii="宋体" w:hAnsi="宋体" w:cs="宋体"/>
          <w:sz w:val="21"/>
          <w:szCs w:val="21"/>
        </w:rPr>
      </w:pPr>
      <w:r>
        <w:rPr>
          <w:rFonts w:hint="eastAsia" w:ascii="宋体" w:hAnsi="宋体" w:cs="宋体"/>
          <w:sz w:val="21"/>
          <w:szCs w:val="21"/>
        </w:rPr>
        <w:t>7.4接受项目行业管理部门及政府有关部门的指导，接受甲方的监督。</w:t>
      </w:r>
    </w:p>
    <w:p w14:paraId="4DB52751">
      <w:pPr>
        <w:snapToGrid w:val="0"/>
        <w:spacing w:line="360" w:lineRule="auto"/>
        <w:ind w:firstLine="420" w:firstLineChars="200"/>
        <w:jc w:val="left"/>
        <w:textAlignment w:val="baseline"/>
        <w:rPr>
          <w:rFonts w:hint="eastAsia" w:ascii="宋体" w:hAnsi="宋体" w:cs="宋体"/>
          <w:color w:val="auto"/>
          <w:sz w:val="21"/>
          <w:szCs w:val="21"/>
          <w:highlight w:val="none"/>
        </w:rPr>
      </w:pPr>
      <w:r>
        <w:rPr>
          <w:rFonts w:hint="eastAsia" w:ascii="宋体" w:hAnsi="宋体" w:cs="宋体"/>
          <w:sz w:val="21"/>
          <w:szCs w:val="21"/>
          <w:highlight w:val="none"/>
        </w:rPr>
        <w:t>7.5国家法律、法</w:t>
      </w:r>
      <w:r>
        <w:rPr>
          <w:rFonts w:hint="eastAsia" w:ascii="宋体" w:hAnsi="宋体" w:cs="宋体"/>
          <w:color w:val="auto"/>
          <w:sz w:val="21"/>
          <w:szCs w:val="21"/>
          <w:highlight w:val="none"/>
        </w:rPr>
        <w:t>规所规定由乙方承担的其它责任。</w:t>
      </w:r>
    </w:p>
    <w:p w14:paraId="191D4F18">
      <w:pPr>
        <w:snapToGrid w:val="0"/>
        <w:spacing w:line="360" w:lineRule="auto"/>
        <w:ind w:firstLine="420" w:firstLineChars="200"/>
        <w:jc w:val="left"/>
        <w:textAlignment w:val="baseline"/>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7.6</w:t>
      </w:r>
      <w:r>
        <w:rPr>
          <w:rFonts w:hint="eastAsia" w:ascii="宋体" w:hAnsi="宋体"/>
          <w:sz w:val="21"/>
          <w:szCs w:val="21"/>
          <w:highlight w:val="none"/>
        </w:rPr>
        <w:t>乙方不得以任何方式将项目转交第三方或由第三方提供相关服务，否则，乙方承担一切后果</w:t>
      </w:r>
      <w:r>
        <w:rPr>
          <w:rFonts w:hint="eastAsia" w:ascii="宋体" w:hAnsi="宋体"/>
          <w:sz w:val="21"/>
          <w:szCs w:val="21"/>
          <w:highlight w:val="none"/>
          <w:lang w:eastAsia="zh-CN"/>
        </w:rPr>
        <w:t>。</w:t>
      </w:r>
    </w:p>
    <w:p w14:paraId="71FBFA3C">
      <w:pPr>
        <w:numPr>
          <w:ilvl w:val="0"/>
          <w:numId w:val="7"/>
        </w:numPr>
        <w:snapToGrid w:val="0"/>
        <w:spacing w:before="156" w:beforeLines="50" w:line="360" w:lineRule="auto"/>
        <w:outlineLvl w:val="1"/>
        <w:rPr>
          <w:rFonts w:hint="eastAsia" w:ascii="宋体" w:hAnsi="宋体" w:cs="宋体"/>
          <w:b/>
          <w:color w:val="auto"/>
          <w:sz w:val="21"/>
          <w:szCs w:val="21"/>
          <w:highlight w:val="none"/>
        </w:rPr>
      </w:pPr>
      <w:r>
        <w:rPr>
          <w:rFonts w:hint="eastAsia" w:ascii="宋体" w:hAnsi="宋体" w:cs="宋体"/>
          <w:b/>
          <w:color w:val="auto"/>
          <w:sz w:val="21"/>
          <w:szCs w:val="21"/>
          <w:highlight w:val="none"/>
        </w:rPr>
        <w:t>付款方式</w:t>
      </w:r>
    </w:p>
    <w:p w14:paraId="73B0893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Calibri" w:hAnsi="Calibri" w:eastAsia="宋体" w:cs="Times New Roman"/>
          <w:b w:val="0"/>
          <w:bCs w:val="0"/>
          <w:sz w:val="21"/>
          <w:szCs w:val="21"/>
          <w:highlight w:val="none"/>
          <w:lang w:val="en-US" w:eastAsia="zh-CN"/>
        </w:rPr>
      </w:pPr>
      <w:r>
        <w:rPr>
          <w:rFonts w:hint="eastAsia" w:ascii="Calibri" w:hAnsi="Calibri" w:eastAsia="宋体" w:cs="Times New Roman"/>
          <w:sz w:val="21"/>
          <w:szCs w:val="21"/>
          <w:highlight w:val="none"/>
          <w:lang w:val="en-US" w:eastAsia="zh-CN"/>
        </w:rPr>
        <w:t>在合同生效以及具备实施条件后7个工作日内，支付合同价的20%作为预付款，项目终验合格后支付至合同价的95%，待软件运维期满后支付剩余款项。</w:t>
      </w:r>
    </w:p>
    <w:p w14:paraId="4325E8E4">
      <w:pPr>
        <w:numPr>
          <w:ilvl w:val="0"/>
          <w:numId w:val="7"/>
        </w:numPr>
        <w:snapToGrid w:val="0"/>
        <w:spacing w:before="156" w:beforeLines="50" w:line="360" w:lineRule="auto"/>
        <w:ind w:left="0" w:leftChars="0" w:firstLine="0" w:firstLineChars="0"/>
        <w:outlineLvl w:val="1"/>
        <w:rPr>
          <w:rFonts w:hint="eastAsia" w:ascii="宋体" w:hAnsi="宋体" w:cs="宋体"/>
          <w:b/>
          <w:color w:val="auto"/>
          <w:sz w:val="21"/>
          <w:szCs w:val="21"/>
          <w:highlight w:val="none"/>
        </w:rPr>
      </w:pPr>
      <w:r>
        <w:rPr>
          <w:rFonts w:hint="eastAsia" w:ascii="宋体" w:hAnsi="宋体" w:cs="宋体"/>
          <w:b/>
          <w:color w:val="auto"/>
          <w:sz w:val="21"/>
          <w:szCs w:val="21"/>
          <w:highlight w:val="none"/>
        </w:rPr>
        <w:t>履约保证金</w:t>
      </w:r>
    </w:p>
    <w:p w14:paraId="57673B70">
      <w:pPr>
        <w:pStyle w:val="48"/>
        <w:numPr>
          <w:ilvl w:val="0"/>
          <w:numId w:val="0"/>
        </w:numPr>
        <w:ind w:leftChars="0" w:firstLine="420" w:firstLineChars="200"/>
        <w:rPr>
          <w:rFonts w:hint="eastAsia" w:ascii="Calibri" w:hAnsi="Calibri" w:eastAsia="宋体" w:cs="Times New Roman"/>
          <w:kern w:val="2"/>
          <w:sz w:val="21"/>
          <w:szCs w:val="21"/>
          <w:lang w:val="en-US" w:eastAsia="zh-CN" w:bidi="ar-SA"/>
        </w:rPr>
      </w:pPr>
      <w:r>
        <w:rPr>
          <w:rFonts w:hint="eastAsia" w:ascii="Calibri" w:hAnsi="Calibri" w:eastAsia="宋体" w:cs="Times New Roman"/>
          <w:kern w:val="2"/>
          <w:sz w:val="21"/>
          <w:szCs w:val="21"/>
          <w:lang w:val="en-US" w:eastAsia="zh-CN" w:bidi="ar-SA"/>
        </w:rPr>
        <w:t>无。</w:t>
      </w:r>
    </w:p>
    <w:p w14:paraId="1FB4BAD1">
      <w:pPr>
        <w:pStyle w:val="48"/>
        <w:numPr>
          <w:ilvl w:val="0"/>
          <w:numId w:val="7"/>
        </w:numPr>
        <w:ind w:left="0" w:leftChars="0" w:firstLine="0" w:firstLineChars="0"/>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违约金</w:t>
      </w:r>
    </w:p>
    <w:p w14:paraId="46769603">
      <w:pPr>
        <w:snapToGrid w:val="0"/>
        <w:spacing w:line="360" w:lineRule="auto"/>
        <w:ind w:firstLine="420" w:firstLineChars="200"/>
        <w:jc w:val="left"/>
        <w:textAlignment w:val="baseline"/>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10.</w:t>
      </w:r>
      <w:r>
        <w:rPr>
          <w:rFonts w:hint="eastAsia" w:ascii="宋体" w:hAnsi="宋体" w:eastAsia="宋体" w:cs="宋体"/>
          <w:sz w:val="21"/>
          <w:szCs w:val="21"/>
          <w:highlight w:val="none"/>
        </w:rPr>
        <w:t>1甲方无正当理由拒绝验收项目的，甲方向乙方偿付拒收合同总价的百分之五违约金。</w:t>
      </w:r>
    </w:p>
    <w:p w14:paraId="6D5DA112">
      <w:pPr>
        <w:snapToGrid w:val="0"/>
        <w:spacing w:line="360" w:lineRule="auto"/>
        <w:ind w:firstLine="420" w:firstLineChars="200"/>
        <w:jc w:val="left"/>
        <w:textAlignment w:val="baseline"/>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10.2</w:t>
      </w:r>
      <w:r>
        <w:rPr>
          <w:rFonts w:hint="eastAsia" w:ascii="宋体" w:hAnsi="宋体" w:eastAsia="宋体" w:cs="宋体"/>
          <w:sz w:val="21"/>
          <w:szCs w:val="21"/>
          <w:highlight w:val="none"/>
        </w:rPr>
        <w:t>甲方无故逾期验收和办理合同款项支付手续的,甲方应按逾期付款总额每日万分之五向乙方支付违约金。</w:t>
      </w:r>
    </w:p>
    <w:p w14:paraId="2340DE0A">
      <w:pPr>
        <w:snapToGrid w:val="0"/>
        <w:spacing w:line="360" w:lineRule="auto"/>
        <w:ind w:firstLine="420" w:firstLineChars="200"/>
        <w:jc w:val="left"/>
        <w:textAlignment w:val="baseline"/>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10.3</w:t>
      </w:r>
      <w:r>
        <w:rPr>
          <w:rFonts w:hint="eastAsia" w:ascii="宋体" w:hAnsi="宋体" w:eastAsia="宋体" w:cs="宋体"/>
          <w:sz w:val="21"/>
          <w:szCs w:val="21"/>
          <w:highlight w:val="none"/>
        </w:rPr>
        <w:t xml:space="preserve">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563C6366">
      <w:pPr>
        <w:snapToGrid w:val="0"/>
        <w:spacing w:line="360" w:lineRule="auto"/>
        <w:ind w:firstLine="420" w:firstLineChars="200"/>
        <w:jc w:val="left"/>
        <w:textAlignment w:val="baseline"/>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10.4</w:t>
      </w:r>
      <w:r>
        <w:rPr>
          <w:rFonts w:hint="eastAsia" w:ascii="宋体" w:hAnsi="宋体" w:eastAsia="宋体" w:cs="宋体"/>
          <w:sz w:val="21"/>
          <w:szCs w:val="21"/>
          <w:highlight w:val="none"/>
        </w:rPr>
        <w:t>乙方所履行的服务质量或服务数量不符合合同规定及采购文件规定的，甲方有权中止接受服务，单方面解除合同，且相关损失由乙方承担。</w:t>
      </w:r>
    </w:p>
    <w:p w14:paraId="6869CE50">
      <w:pPr>
        <w:snapToGrid w:val="0"/>
        <w:spacing w:line="360" w:lineRule="auto"/>
        <w:ind w:firstLine="420" w:firstLineChars="200"/>
        <w:jc w:val="left"/>
        <w:textAlignment w:val="baseline"/>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10.5</w:t>
      </w:r>
      <w:r>
        <w:rPr>
          <w:rFonts w:hint="eastAsia" w:ascii="宋体" w:hAnsi="宋体" w:eastAsia="宋体" w:cs="宋体"/>
          <w:sz w:val="21"/>
          <w:szCs w:val="21"/>
          <w:highlight w:val="none"/>
        </w:rPr>
        <w:t>解除合同应按《浙江省合同管理办法》向财政备案。</w:t>
      </w:r>
    </w:p>
    <w:p w14:paraId="72EF1B57">
      <w:pPr>
        <w:pStyle w:val="48"/>
        <w:numPr>
          <w:ilvl w:val="0"/>
          <w:numId w:val="0"/>
        </w:numPr>
        <w:ind w:leftChars="0"/>
        <w:rPr>
          <w:rFonts w:hint="eastAsia" w:ascii="宋体" w:hAnsi="宋体" w:eastAsia="宋体" w:cs="宋体"/>
          <w:b/>
          <w:color w:val="auto"/>
          <w:sz w:val="21"/>
          <w:szCs w:val="21"/>
        </w:rPr>
      </w:pPr>
      <w:r>
        <w:rPr>
          <w:rFonts w:hint="eastAsia" w:ascii="宋体" w:hAnsi="宋体" w:eastAsia="宋体" w:cs="宋体"/>
          <w:b/>
          <w:color w:val="auto"/>
          <w:sz w:val="21"/>
          <w:szCs w:val="21"/>
          <w:lang w:val="en-US" w:eastAsia="zh-CN"/>
        </w:rPr>
        <w:t>十一、</w:t>
      </w:r>
      <w:r>
        <w:rPr>
          <w:rFonts w:hint="eastAsia" w:ascii="宋体" w:hAnsi="宋体" w:eastAsia="宋体" w:cs="宋体"/>
          <w:b/>
          <w:color w:val="auto"/>
          <w:sz w:val="21"/>
          <w:szCs w:val="21"/>
        </w:rPr>
        <w:t>保密义务</w:t>
      </w:r>
    </w:p>
    <w:p w14:paraId="0645AFAB">
      <w:pPr>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1</w:t>
      </w:r>
      <w:r>
        <w:rPr>
          <w:rFonts w:hint="eastAsia" w:ascii="宋体" w:hAnsi="宋体" w:cs="宋体"/>
          <w:sz w:val="21"/>
          <w:szCs w:val="21"/>
          <w:lang w:val="en-US" w:eastAsia="zh-CN"/>
        </w:rPr>
        <w:t>1</w:t>
      </w:r>
      <w:r>
        <w:rPr>
          <w:rFonts w:hint="eastAsia" w:ascii="宋体" w:hAnsi="宋体" w:cs="宋体"/>
          <w:sz w:val="21"/>
          <w:szCs w:val="21"/>
        </w:rPr>
        <w:t>.1本合同内容及双方相关资料（包括但不限于各类数据、检测报告、价格、商业信息）均为保密资料，除非保密资料已通过正当途径为公众所知，或除非由拥有资料一方事先书面授权透露，双方均应各自对保密资料保密，不得向除对方以外的任何其他方透露，也不得将保密资料用于与本合同条款和条件不相符合的任何目的。</w:t>
      </w:r>
    </w:p>
    <w:p w14:paraId="66948470">
      <w:pPr>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1</w:t>
      </w:r>
      <w:r>
        <w:rPr>
          <w:rFonts w:hint="eastAsia" w:ascii="宋体" w:hAnsi="宋体" w:cs="宋体"/>
          <w:sz w:val="21"/>
          <w:szCs w:val="21"/>
          <w:lang w:val="en-US" w:eastAsia="zh-CN"/>
        </w:rPr>
        <w:t>1</w:t>
      </w:r>
      <w:r>
        <w:rPr>
          <w:rFonts w:hint="eastAsia" w:ascii="宋体" w:hAnsi="宋体" w:cs="宋体"/>
          <w:sz w:val="21"/>
          <w:szCs w:val="21"/>
        </w:rPr>
        <w:t>.2双方只能向因职责所需而需要了解上述保密资料的工作人员透露保密资料，且该工作人员经双方协商授权确定，并应采取所有合理的防范措施防止不经授权的披露。</w:t>
      </w:r>
    </w:p>
    <w:p w14:paraId="34441175">
      <w:pPr>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1</w:t>
      </w:r>
      <w:r>
        <w:rPr>
          <w:rFonts w:hint="eastAsia" w:ascii="宋体" w:hAnsi="宋体" w:cs="宋体"/>
          <w:sz w:val="21"/>
          <w:szCs w:val="21"/>
          <w:lang w:val="en-US" w:eastAsia="zh-CN"/>
        </w:rPr>
        <w:t>1</w:t>
      </w:r>
      <w:r>
        <w:rPr>
          <w:rFonts w:hint="eastAsia" w:ascii="宋体" w:hAnsi="宋体" w:cs="宋体"/>
          <w:sz w:val="21"/>
          <w:szCs w:val="21"/>
        </w:rPr>
        <w:t>.3本合同规定的保密义务在相关资料依法成为公开信息前一直持续有效。</w:t>
      </w:r>
    </w:p>
    <w:p w14:paraId="1D825A5A">
      <w:pPr>
        <w:snapToGrid w:val="0"/>
        <w:spacing w:before="156" w:beforeLines="50" w:line="360" w:lineRule="auto"/>
        <w:outlineLvl w:val="1"/>
        <w:rPr>
          <w:rFonts w:hint="eastAsia" w:ascii="宋体" w:hAnsi="宋体" w:cs="宋体"/>
          <w:b/>
          <w:sz w:val="21"/>
          <w:szCs w:val="21"/>
        </w:rPr>
      </w:pPr>
      <w:r>
        <w:rPr>
          <w:rFonts w:hint="eastAsia" w:ascii="宋体" w:hAnsi="宋体" w:cs="宋体"/>
          <w:b/>
          <w:sz w:val="21"/>
          <w:szCs w:val="21"/>
        </w:rPr>
        <w:t>十</w:t>
      </w:r>
      <w:r>
        <w:rPr>
          <w:rFonts w:hint="eastAsia" w:ascii="宋体" w:hAnsi="宋体" w:cs="宋体"/>
          <w:b/>
          <w:sz w:val="21"/>
          <w:szCs w:val="21"/>
          <w:lang w:val="en-US" w:eastAsia="zh-CN"/>
        </w:rPr>
        <w:t>二</w:t>
      </w:r>
      <w:r>
        <w:rPr>
          <w:rFonts w:hint="eastAsia" w:ascii="宋体" w:hAnsi="宋体" w:cs="宋体"/>
          <w:b/>
          <w:sz w:val="21"/>
          <w:szCs w:val="21"/>
        </w:rPr>
        <w:t>、知识产权</w:t>
      </w:r>
    </w:p>
    <w:p w14:paraId="20CC23CB">
      <w:pPr>
        <w:snapToGrid w:val="0"/>
        <w:spacing w:line="360" w:lineRule="auto"/>
        <w:ind w:firstLine="405" w:firstLineChars="193"/>
        <w:rPr>
          <w:rFonts w:hint="eastAsia" w:ascii="宋体" w:hAnsi="宋体" w:cs="宋体"/>
          <w:sz w:val="21"/>
          <w:szCs w:val="21"/>
        </w:rPr>
      </w:pPr>
      <w:r>
        <w:rPr>
          <w:rFonts w:hint="eastAsia" w:ascii="宋体" w:hAnsi="宋体" w:cs="宋体"/>
          <w:sz w:val="21"/>
          <w:szCs w:val="21"/>
        </w:rPr>
        <w:t>1</w:t>
      </w:r>
      <w:r>
        <w:rPr>
          <w:rFonts w:hint="eastAsia" w:ascii="宋体" w:hAnsi="宋体" w:cs="宋体"/>
          <w:sz w:val="21"/>
          <w:szCs w:val="21"/>
          <w:lang w:val="en-US" w:eastAsia="zh-CN"/>
        </w:rPr>
        <w:t>2</w:t>
      </w:r>
      <w:r>
        <w:rPr>
          <w:rFonts w:hint="eastAsia" w:ascii="宋体" w:hAnsi="宋体" w:cs="宋体"/>
          <w:sz w:val="21"/>
          <w:szCs w:val="21"/>
        </w:rPr>
        <w:t>.1乙方应保证所提供服务内容或其任何一部分均不会侵犯任何第三方的知识产权。</w:t>
      </w:r>
    </w:p>
    <w:p w14:paraId="52B881A7">
      <w:pPr>
        <w:snapToGrid w:val="0"/>
        <w:spacing w:line="360" w:lineRule="auto"/>
        <w:ind w:firstLine="405" w:firstLineChars="193"/>
        <w:rPr>
          <w:rFonts w:hint="eastAsia" w:ascii="宋体" w:hAnsi="宋体" w:cs="宋体"/>
          <w:sz w:val="21"/>
          <w:szCs w:val="21"/>
        </w:rPr>
      </w:pPr>
      <w:r>
        <w:rPr>
          <w:rFonts w:hint="eastAsia" w:ascii="宋体" w:hAnsi="宋体" w:cs="宋体"/>
          <w:sz w:val="21"/>
          <w:szCs w:val="21"/>
        </w:rPr>
        <w:t>1</w:t>
      </w:r>
      <w:r>
        <w:rPr>
          <w:rFonts w:hint="eastAsia" w:ascii="宋体" w:hAnsi="宋体" w:cs="宋体"/>
          <w:sz w:val="21"/>
          <w:szCs w:val="21"/>
          <w:lang w:val="en-US" w:eastAsia="zh-CN"/>
        </w:rPr>
        <w:t>2</w:t>
      </w:r>
      <w:r>
        <w:rPr>
          <w:rFonts w:hint="eastAsia" w:ascii="宋体" w:hAnsi="宋体" w:cs="宋体"/>
          <w:sz w:val="21"/>
          <w:szCs w:val="21"/>
        </w:rPr>
        <w:t>.2本合同将不会引起任何知识产权所有权的转移，乙方提供的具备知识产权的产品或采购具备知识产权的成熟产品，知识产权仍归产品提供方所有；基于本项目产生的知识产权归属甲方所有。</w:t>
      </w:r>
    </w:p>
    <w:p w14:paraId="718EF699">
      <w:pPr>
        <w:snapToGrid w:val="0"/>
        <w:spacing w:before="156" w:beforeLines="50" w:line="360" w:lineRule="auto"/>
        <w:outlineLvl w:val="1"/>
        <w:rPr>
          <w:rFonts w:hint="eastAsia" w:ascii="宋体" w:hAnsi="宋体" w:cs="宋体"/>
          <w:b/>
          <w:sz w:val="21"/>
          <w:szCs w:val="21"/>
        </w:rPr>
      </w:pPr>
      <w:r>
        <w:rPr>
          <w:rFonts w:hint="eastAsia" w:ascii="宋体" w:hAnsi="宋体" w:cs="宋体"/>
          <w:b/>
          <w:sz w:val="21"/>
          <w:szCs w:val="21"/>
        </w:rPr>
        <w:t>十</w:t>
      </w:r>
      <w:r>
        <w:rPr>
          <w:rFonts w:hint="eastAsia" w:ascii="宋体" w:hAnsi="宋体" w:cs="宋体"/>
          <w:b/>
          <w:sz w:val="21"/>
          <w:szCs w:val="21"/>
          <w:lang w:val="en-US" w:eastAsia="zh-CN"/>
        </w:rPr>
        <w:t>三</w:t>
      </w:r>
      <w:r>
        <w:rPr>
          <w:rFonts w:hint="eastAsia" w:ascii="宋体" w:hAnsi="宋体" w:cs="宋体"/>
          <w:b/>
          <w:sz w:val="21"/>
          <w:szCs w:val="21"/>
        </w:rPr>
        <w:t>、合同的变更和解除</w:t>
      </w:r>
    </w:p>
    <w:p w14:paraId="65DBF0D0">
      <w:pPr>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1</w:t>
      </w:r>
      <w:r>
        <w:rPr>
          <w:rFonts w:hint="eastAsia" w:ascii="宋体" w:hAnsi="宋体" w:cs="宋体"/>
          <w:sz w:val="21"/>
          <w:szCs w:val="21"/>
          <w:lang w:val="en-US" w:eastAsia="zh-CN"/>
        </w:rPr>
        <w:t>3</w:t>
      </w:r>
      <w:r>
        <w:rPr>
          <w:rFonts w:hint="eastAsia" w:ascii="宋体" w:hAnsi="宋体" w:cs="宋体"/>
          <w:sz w:val="21"/>
          <w:szCs w:val="21"/>
        </w:rPr>
        <w:t>.1甲乙双方书面协商同意，可以变更和解除本合同。任何一方欲变更或解除本合同，必须提前30日以书面形式提出，双方协商一致后签署补充协议。</w:t>
      </w:r>
    </w:p>
    <w:p w14:paraId="0742B4F9">
      <w:pPr>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1</w:t>
      </w:r>
      <w:r>
        <w:rPr>
          <w:rFonts w:hint="eastAsia" w:ascii="宋体" w:hAnsi="宋体" w:cs="宋体"/>
          <w:sz w:val="21"/>
          <w:szCs w:val="21"/>
          <w:lang w:val="en-US" w:eastAsia="zh-CN"/>
        </w:rPr>
        <w:t>3</w:t>
      </w:r>
      <w:r>
        <w:rPr>
          <w:rFonts w:hint="eastAsia" w:ascii="宋体" w:hAnsi="宋体" w:cs="宋体"/>
          <w:sz w:val="21"/>
          <w:szCs w:val="21"/>
        </w:rPr>
        <w:t>.2乙方有下列情形之一的，甲方有权解除本合同：</w:t>
      </w:r>
    </w:p>
    <w:p w14:paraId="3C4E1391">
      <w:pPr>
        <w:snapToGrid w:val="0"/>
        <w:spacing w:line="360" w:lineRule="auto"/>
        <w:ind w:left="420" w:leftChars="200"/>
        <w:rPr>
          <w:rFonts w:hint="eastAsia" w:ascii="宋体" w:hAnsi="宋体" w:cs="宋体"/>
          <w:sz w:val="21"/>
          <w:szCs w:val="21"/>
        </w:rPr>
      </w:pPr>
      <w:r>
        <w:rPr>
          <w:rFonts w:hint="eastAsia" w:ascii="宋体" w:hAnsi="宋体" w:cs="宋体"/>
          <w:sz w:val="21"/>
          <w:szCs w:val="21"/>
        </w:rPr>
        <w:t>（1）因乙方技术服务工作的延误、失职、失误导致甲方蒙受重大损失的。</w:t>
      </w:r>
    </w:p>
    <w:p w14:paraId="6C146FCB">
      <w:pPr>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（2）严重违反本合同规定的其他义务的。</w:t>
      </w:r>
    </w:p>
    <w:p w14:paraId="40BCDE91">
      <w:pPr>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1</w:t>
      </w:r>
      <w:r>
        <w:rPr>
          <w:rFonts w:hint="eastAsia" w:ascii="宋体" w:hAnsi="宋体" w:cs="宋体"/>
          <w:sz w:val="21"/>
          <w:szCs w:val="21"/>
          <w:lang w:val="en-US" w:eastAsia="zh-CN"/>
        </w:rPr>
        <w:t>3</w:t>
      </w:r>
      <w:r>
        <w:rPr>
          <w:rFonts w:hint="eastAsia" w:ascii="宋体" w:hAnsi="宋体" w:cs="宋体"/>
          <w:sz w:val="21"/>
          <w:szCs w:val="21"/>
        </w:rPr>
        <w:t>.3在合同履行期间，乙方发生重组、分离、合并等主体变更事项，存续或新设机构并不当然承继本合同主体资格，甲方有权对其进行重新核定。</w:t>
      </w:r>
    </w:p>
    <w:p w14:paraId="1B21AF5A">
      <w:pPr>
        <w:snapToGrid w:val="0"/>
        <w:spacing w:before="156" w:beforeLines="50" w:line="360" w:lineRule="auto"/>
        <w:outlineLvl w:val="1"/>
        <w:rPr>
          <w:rFonts w:hint="eastAsia" w:ascii="宋体" w:hAnsi="宋体" w:cs="宋体"/>
          <w:b/>
          <w:sz w:val="21"/>
          <w:szCs w:val="21"/>
        </w:rPr>
      </w:pPr>
      <w:r>
        <w:rPr>
          <w:rFonts w:hint="eastAsia" w:ascii="宋体" w:hAnsi="宋体" w:cs="宋体"/>
          <w:b/>
          <w:sz w:val="21"/>
          <w:szCs w:val="21"/>
        </w:rPr>
        <w:t>十</w:t>
      </w:r>
      <w:r>
        <w:rPr>
          <w:rFonts w:hint="eastAsia" w:ascii="宋体" w:hAnsi="宋体" w:cs="宋体"/>
          <w:b/>
          <w:sz w:val="21"/>
          <w:szCs w:val="21"/>
          <w:lang w:val="en-US" w:eastAsia="zh-CN"/>
        </w:rPr>
        <w:t>四</w:t>
      </w:r>
      <w:r>
        <w:rPr>
          <w:rFonts w:hint="eastAsia" w:ascii="宋体" w:hAnsi="宋体" w:cs="宋体"/>
          <w:b/>
          <w:sz w:val="21"/>
          <w:szCs w:val="21"/>
        </w:rPr>
        <w:t>、违约责任</w:t>
      </w:r>
    </w:p>
    <w:p w14:paraId="59A198AB">
      <w:pPr>
        <w:snapToGrid w:val="0"/>
        <w:spacing w:line="360" w:lineRule="auto"/>
        <w:ind w:firstLine="405" w:firstLineChars="193"/>
        <w:rPr>
          <w:rFonts w:hint="eastAsia" w:ascii="宋体" w:hAnsi="宋体" w:cs="宋体"/>
          <w:sz w:val="21"/>
          <w:szCs w:val="21"/>
        </w:rPr>
      </w:pPr>
      <w:r>
        <w:rPr>
          <w:rFonts w:hint="eastAsia" w:ascii="宋体" w:hAnsi="宋体" w:cs="宋体"/>
          <w:sz w:val="21"/>
          <w:szCs w:val="21"/>
        </w:rPr>
        <w:t>1</w:t>
      </w:r>
      <w:r>
        <w:rPr>
          <w:rFonts w:hint="eastAsia" w:ascii="宋体" w:hAnsi="宋体" w:cs="宋体"/>
          <w:sz w:val="21"/>
          <w:szCs w:val="21"/>
          <w:lang w:val="en-US" w:eastAsia="zh-CN"/>
        </w:rPr>
        <w:t>4</w:t>
      </w:r>
      <w:r>
        <w:rPr>
          <w:rFonts w:hint="eastAsia" w:ascii="宋体" w:hAnsi="宋体" w:cs="宋体"/>
          <w:sz w:val="21"/>
          <w:szCs w:val="21"/>
        </w:rPr>
        <w:t>.1任何一方不履行合同义务或者履行合同义务不符合约定的，应承担继续履行、采取补救措施或者赔偿损失等违约责任。</w:t>
      </w:r>
    </w:p>
    <w:p w14:paraId="517CF579">
      <w:pPr>
        <w:snapToGrid w:val="0"/>
        <w:spacing w:line="360" w:lineRule="auto"/>
        <w:ind w:firstLine="405" w:firstLineChars="193"/>
        <w:rPr>
          <w:rFonts w:hint="eastAsia" w:ascii="宋体" w:hAnsi="宋体" w:cs="宋体"/>
          <w:sz w:val="21"/>
          <w:szCs w:val="21"/>
        </w:rPr>
      </w:pPr>
      <w:r>
        <w:rPr>
          <w:rFonts w:hint="eastAsia" w:ascii="宋体" w:hAnsi="宋体" w:cs="宋体"/>
          <w:sz w:val="21"/>
          <w:szCs w:val="21"/>
        </w:rPr>
        <w:t>1</w:t>
      </w:r>
      <w:r>
        <w:rPr>
          <w:rFonts w:hint="eastAsia" w:ascii="宋体" w:hAnsi="宋体" w:cs="宋体"/>
          <w:sz w:val="21"/>
          <w:szCs w:val="21"/>
          <w:lang w:val="en-US" w:eastAsia="zh-CN"/>
        </w:rPr>
        <w:t>4</w:t>
      </w:r>
      <w:r>
        <w:rPr>
          <w:rFonts w:hint="eastAsia" w:ascii="宋体" w:hAnsi="宋体" w:cs="宋体"/>
          <w:sz w:val="21"/>
          <w:szCs w:val="21"/>
        </w:rPr>
        <w:t>.2乙方未按约定时间完成服务内容，或提交的服务成果不符合甲方规定要求，甲方有权扣除相应部分服务费用；由此给甲方造成损失的，乙方应承担赔偿费用及责任。</w:t>
      </w:r>
    </w:p>
    <w:p w14:paraId="7ACA233F">
      <w:pPr>
        <w:snapToGrid w:val="0"/>
        <w:spacing w:before="156" w:beforeLines="50" w:line="360" w:lineRule="auto"/>
        <w:outlineLvl w:val="1"/>
        <w:rPr>
          <w:rFonts w:hint="eastAsia" w:ascii="宋体" w:hAnsi="宋体" w:cs="宋体"/>
          <w:b/>
          <w:sz w:val="21"/>
          <w:szCs w:val="21"/>
        </w:rPr>
      </w:pPr>
      <w:r>
        <w:rPr>
          <w:rFonts w:hint="eastAsia" w:ascii="宋体" w:hAnsi="宋体" w:cs="宋体"/>
          <w:b/>
          <w:sz w:val="21"/>
          <w:szCs w:val="21"/>
        </w:rPr>
        <w:t>十</w:t>
      </w:r>
      <w:r>
        <w:rPr>
          <w:rFonts w:hint="eastAsia" w:ascii="宋体" w:hAnsi="宋体" w:cs="宋体"/>
          <w:b/>
          <w:sz w:val="21"/>
          <w:szCs w:val="21"/>
          <w:lang w:val="en-US" w:eastAsia="zh-CN"/>
        </w:rPr>
        <w:t>五</w:t>
      </w:r>
      <w:r>
        <w:rPr>
          <w:rFonts w:hint="eastAsia" w:ascii="宋体" w:hAnsi="宋体" w:cs="宋体"/>
          <w:b/>
          <w:sz w:val="21"/>
          <w:szCs w:val="21"/>
        </w:rPr>
        <w:t>、不可抗力</w:t>
      </w:r>
    </w:p>
    <w:p w14:paraId="4A82A79F">
      <w:pPr>
        <w:snapToGrid w:val="0"/>
        <w:spacing w:line="360" w:lineRule="auto"/>
        <w:ind w:firstLine="405" w:firstLineChars="193"/>
        <w:rPr>
          <w:rFonts w:hint="eastAsia" w:ascii="宋体" w:hAnsi="宋体" w:cs="宋体"/>
          <w:sz w:val="21"/>
          <w:szCs w:val="21"/>
        </w:rPr>
      </w:pPr>
      <w:r>
        <w:rPr>
          <w:rFonts w:hint="eastAsia" w:ascii="宋体" w:hAnsi="宋体" w:cs="宋体"/>
          <w:sz w:val="21"/>
          <w:szCs w:val="21"/>
        </w:rPr>
        <w:t>1</w:t>
      </w:r>
      <w:r>
        <w:rPr>
          <w:rFonts w:hint="eastAsia" w:ascii="宋体" w:hAnsi="宋体" w:cs="宋体"/>
          <w:sz w:val="21"/>
          <w:szCs w:val="21"/>
          <w:lang w:val="en-US" w:eastAsia="zh-CN"/>
        </w:rPr>
        <w:t>5</w:t>
      </w:r>
      <w:r>
        <w:rPr>
          <w:rFonts w:hint="eastAsia" w:ascii="宋体" w:hAnsi="宋体" w:cs="宋体"/>
          <w:sz w:val="21"/>
          <w:szCs w:val="21"/>
        </w:rPr>
        <w:t>.1在合同有效期内，任何一方因不可抗力事件导致不能履行合同，则合同履行期可延长，其延长期与不可抗力影响期相同。</w:t>
      </w:r>
    </w:p>
    <w:p w14:paraId="7C7583CC">
      <w:pPr>
        <w:snapToGrid w:val="0"/>
        <w:spacing w:line="360" w:lineRule="auto"/>
        <w:ind w:firstLine="405" w:firstLineChars="193"/>
        <w:rPr>
          <w:rFonts w:hint="eastAsia" w:ascii="宋体" w:hAnsi="宋体" w:cs="宋体"/>
          <w:sz w:val="21"/>
          <w:szCs w:val="21"/>
        </w:rPr>
      </w:pPr>
      <w:r>
        <w:rPr>
          <w:rFonts w:hint="eastAsia" w:ascii="宋体" w:hAnsi="宋体" w:cs="宋体"/>
          <w:sz w:val="21"/>
          <w:szCs w:val="21"/>
        </w:rPr>
        <w:t>1</w:t>
      </w:r>
      <w:r>
        <w:rPr>
          <w:rFonts w:hint="eastAsia" w:ascii="宋体" w:hAnsi="宋体" w:cs="宋体"/>
          <w:sz w:val="21"/>
          <w:szCs w:val="21"/>
          <w:lang w:val="en-US" w:eastAsia="zh-CN"/>
        </w:rPr>
        <w:t>5</w:t>
      </w:r>
      <w:r>
        <w:rPr>
          <w:rFonts w:hint="eastAsia" w:ascii="宋体" w:hAnsi="宋体" w:cs="宋体"/>
          <w:sz w:val="21"/>
          <w:szCs w:val="21"/>
        </w:rPr>
        <w:t>.2不可抗力事件发生后，应立即通知对方，并寄送有关权威机构出具的证明。</w:t>
      </w:r>
    </w:p>
    <w:p w14:paraId="40944FD7">
      <w:pPr>
        <w:snapToGrid w:val="0"/>
        <w:spacing w:line="360" w:lineRule="auto"/>
        <w:ind w:firstLine="405" w:firstLineChars="193"/>
        <w:rPr>
          <w:rFonts w:hint="eastAsia" w:ascii="宋体" w:hAnsi="宋体" w:cs="宋体"/>
          <w:sz w:val="21"/>
          <w:szCs w:val="21"/>
        </w:rPr>
      </w:pPr>
      <w:r>
        <w:rPr>
          <w:rFonts w:hint="eastAsia" w:ascii="宋体" w:hAnsi="宋体" w:cs="宋体"/>
          <w:sz w:val="21"/>
          <w:szCs w:val="21"/>
        </w:rPr>
        <w:t>1</w:t>
      </w:r>
      <w:r>
        <w:rPr>
          <w:rFonts w:hint="eastAsia" w:ascii="宋体" w:hAnsi="宋体" w:cs="宋体"/>
          <w:sz w:val="21"/>
          <w:szCs w:val="21"/>
          <w:lang w:val="en-US" w:eastAsia="zh-CN"/>
        </w:rPr>
        <w:t>5</w:t>
      </w:r>
      <w:r>
        <w:rPr>
          <w:rFonts w:hint="eastAsia" w:ascii="宋体" w:hAnsi="宋体" w:cs="宋体"/>
          <w:sz w:val="21"/>
          <w:szCs w:val="21"/>
        </w:rPr>
        <w:t>.3不可抗力事件延续120天以上，双方应通过友好协商，确定是否继续履行合同。</w:t>
      </w:r>
    </w:p>
    <w:p w14:paraId="02C1D98C">
      <w:pPr>
        <w:snapToGrid w:val="0"/>
        <w:spacing w:before="156" w:beforeLines="50" w:line="360" w:lineRule="auto"/>
        <w:outlineLvl w:val="1"/>
        <w:rPr>
          <w:rFonts w:hint="eastAsia" w:ascii="宋体" w:hAnsi="宋体" w:cs="宋体"/>
          <w:b/>
          <w:sz w:val="21"/>
          <w:szCs w:val="21"/>
        </w:rPr>
      </w:pPr>
      <w:r>
        <w:rPr>
          <w:rFonts w:hint="eastAsia" w:ascii="宋体" w:hAnsi="宋体" w:cs="宋体"/>
          <w:b/>
          <w:sz w:val="21"/>
          <w:szCs w:val="21"/>
        </w:rPr>
        <w:t>十</w:t>
      </w:r>
      <w:r>
        <w:rPr>
          <w:rFonts w:hint="eastAsia" w:ascii="宋体" w:hAnsi="宋体" w:cs="宋体"/>
          <w:b/>
          <w:sz w:val="21"/>
          <w:szCs w:val="21"/>
          <w:lang w:val="en-US" w:eastAsia="zh-CN"/>
        </w:rPr>
        <w:t>六</w:t>
      </w:r>
      <w:r>
        <w:rPr>
          <w:rFonts w:hint="eastAsia" w:ascii="宋体" w:hAnsi="宋体" w:cs="宋体"/>
          <w:b/>
          <w:sz w:val="21"/>
          <w:szCs w:val="21"/>
        </w:rPr>
        <w:t>、争议解决</w:t>
      </w:r>
    </w:p>
    <w:p w14:paraId="5D2547FF">
      <w:pPr>
        <w:snapToGrid w:val="0"/>
        <w:spacing w:line="360" w:lineRule="auto"/>
        <w:ind w:left="23" w:firstLine="384" w:firstLineChars="183"/>
        <w:rPr>
          <w:rFonts w:hint="eastAsia" w:ascii="宋体" w:hAnsi="宋体" w:cs="宋体"/>
          <w:sz w:val="21"/>
          <w:szCs w:val="21"/>
        </w:rPr>
      </w:pPr>
      <w:r>
        <w:rPr>
          <w:rFonts w:hint="eastAsia" w:ascii="宋体" w:hAnsi="宋体" w:cs="宋体"/>
          <w:sz w:val="21"/>
          <w:szCs w:val="21"/>
        </w:rPr>
        <w:t>1</w:t>
      </w:r>
      <w:r>
        <w:rPr>
          <w:rFonts w:hint="eastAsia" w:ascii="宋体" w:hAnsi="宋体" w:cs="宋体"/>
          <w:sz w:val="21"/>
          <w:szCs w:val="21"/>
          <w:lang w:val="en-US" w:eastAsia="zh-CN"/>
        </w:rPr>
        <w:t>6</w:t>
      </w:r>
      <w:r>
        <w:rPr>
          <w:rFonts w:hint="eastAsia" w:ascii="宋体" w:hAnsi="宋体" w:cs="宋体"/>
          <w:sz w:val="21"/>
          <w:szCs w:val="21"/>
        </w:rPr>
        <w:t>.1因本合同引起的或者与本合同有关的任何争议，双方应当协商解决。经双方协商不能解决的，可以提请</w:t>
      </w:r>
      <w:r>
        <w:rPr>
          <w:rFonts w:hint="eastAsia" w:ascii="宋体" w:hAnsi="宋体" w:cs="宋体"/>
          <w:sz w:val="21"/>
          <w:szCs w:val="21"/>
          <w:u w:val="single"/>
        </w:rPr>
        <w:t xml:space="preserve">  </w:t>
      </w:r>
      <w:r>
        <w:rPr>
          <w:rFonts w:hint="eastAsia" w:ascii="宋体" w:hAnsi="宋体" w:cs="宋体"/>
          <w:sz w:val="21"/>
          <w:szCs w:val="21"/>
          <w:u w:val="single"/>
          <w:lang w:val="en-US" w:eastAsia="zh-CN"/>
        </w:rPr>
        <w:t xml:space="preserve"> </w:t>
      </w:r>
      <w:r>
        <w:rPr>
          <w:rFonts w:hint="eastAsia" w:ascii="宋体" w:hAnsi="宋体" w:cs="宋体"/>
          <w:sz w:val="21"/>
          <w:szCs w:val="21"/>
          <w:u w:val="single"/>
        </w:rPr>
        <w:t xml:space="preserve">  </w:t>
      </w:r>
      <w:r>
        <w:rPr>
          <w:rFonts w:hint="eastAsia" w:ascii="宋体" w:hAnsi="宋体" w:cs="宋体"/>
          <w:sz w:val="21"/>
          <w:szCs w:val="21"/>
        </w:rPr>
        <w:t>市仲裁中心，按照其仲裁规则进行仲裁；或者向合同签订地法院起诉，合同签订地在此约定为</w:t>
      </w:r>
      <w:r>
        <w:rPr>
          <w:rFonts w:hint="eastAsia" w:ascii="宋体" w:hAnsi="宋体" w:cs="宋体"/>
          <w:sz w:val="21"/>
          <w:szCs w:val="21"/>
          <w:u w:val="single"/>
        </w:rPr>
        <w:t xml:space="preserve"> </w:t>
      </w:r>
      <w:r>
        <w:rPr>
          <w:rFonts w:hint="eastAsia" w:ascii="宋体" w:hAnsi="宋体" w:cs="宋体"/>
          <w:sz w:val="21"/>
          <w:szCs w:val="21"/>
          <w:u w:val="single"/>
          <w:lang w:val="en-US" w:eastAsia="zh-CN"/>
        </w:rPr>
        <w:t>新昌</w:t>
      </w:r>
      <w:r>
        <w:rPr>
          <w:rFonts w:hint="eastAsia" w:ascii="宋体" w:hAnsi="宋体" w:cs="宋体"/>
          <w:sz w:val="21"/>
          <w:szCs w:val="21"/>
          <w:u w:val="single"/>
        </w:rPr>
        <w:t xml:space="preserve"> </w:t>
      </w:r>
      <w:r>
        <w:rPr>
          <w:rFonts w:hint="eastAsia" w:ascii="宋体" w:hAnsi="宋体" w:cs="宋体"/>
          <w:sz w:val="21"/>
          <w:szCs w:val="21"/>
        </w:rPr>
        <w:t>。</w:t>
      </w:r>
    </w:p>
    <w:p w14:paraId="6A48B481">
      <w:pPr>
        <w:snapToGrid w:val="0"/>
        <w:spacing w:before="156" w:beforeLines="50" w:line="360" w:lineRule="auto"/>
        <w:outlineLvl w:val="1"/>
        <w:rPr>
          <w:rFonts w:hint="eastAsia" w:ascii="宋体" w:hAnsi="宋体" w:cs="宋体"/>
          <w:b/>
          <w:sz w:val="21"/>
          <w:szCs w:val="21"/>
        </w:rPr>
      </w:pPr>
      <w:r>
        <w:rPr>
          <w:rFonts w:hint="eastAsia" w:ascii="宋体" w:hAnsi="宋体" w:cs="宋体"/>
          <w:b/>
          <w:sz w:val="21"/>
          <w:szCs w:val="21"/>
        </w:rPr>
        <w:t>十</w:t>
      </w:r>
      <w:r>
        <w:rPr>
          <w:rFonts w:hint="eastAsia" w:ascii="宋体" w:hAnsi="宋体" w:cs="宋体"/>
          <w:b/>
          <w:sz w:val="21"/>
          <w:szCs w:val="21"/>
          <w:lang w:val="en-US" w:eastAsia="zh-CN"/>
        </w:rPr>
        <w:t>七</w:t>
      </w:r>
      <w:r>
        <w:rPr>
          <w:rFonts w:hint="eastAsia" w:ascii="宋体" w:hAnsi="宋体" w:cs="宋体"/>
          <w:b/>
          <w:sz w:val="21"/>
          <w:szCs w:val="21"/>
        </w:rPr>
        <w:t>、合同效力及其他</w:t>
      </w:r>
    </w:p>
    <w:p w14:paraId="0C5CAD32">
      <w:pPr>
        <w:snapToGrid w:val="0"/>
        <w:spacing w:line="360" w:lineRule="auto"/>
        <w:ind w:firstLine="405" w:firstLineChars="193"/>
        <w:rPr>
          <w:rFonts w:hint="eastAsia" w:ascii="宋体" w:hAnsi="宋体" w:cs="宋体"/>
          <w:sz w:val="21"/>
          <w:szCs w:val="21"/>
        </w:rPr>
      </w:pPr>
      <w:r>
        <w:rPr>
          <w:rFonts w:hint="eastAsia" w:ascii="宋体" w:hAnsi="宋体" w:cs="宋体"/>
          <w:sz w:val="21"/>
          <w:szCs w:val="21"/>
        </w:rPr>
        <w:t>1</w:t>
      </w:r>
      <w:r>
        <w:rPr>
          <w:rFonts w:hint="eastAsia" w:ascii="宋体" w:hAnsi="宋体" w:cs="宋体"/>
          <w:sz w:val="21"/>
          <w:szCs w:val="21"/>
          <w:lang w:val="en-US" w:eastAsia="zh-CN"/>
        </w:rPr>
        <w:t>7</w:t>
      </w:r>
      <w:r>
        <w:rPr>
          <w:rFonts w:hint="eastAsia" w:ascii="宋体" w:hAnsi="宋体" w:cs="宋体"/>
          <w:sz w:val="21"/>
          <w:szCs w:val="21"/>
        </w:rPr>
        <w:t>.1本合同经双方法定代表人或授权委托代理人签字并加盖单位公章后生效。</w:t>
      </w:r>
    </w:p>
    <w:p w14:paraId="4CEB1B9C">
      <w:pPr>
        <w:snapToGrid w:val="0"/>
        <w:spacing w:line="360" w:lineRule="auto"/>
        <w:ind w:firstLine="405" w:firstLineChars="193"/>
        <w:rPr>
          <w:rFonts w:hint="eastAsia" w:ascii="宋体" w:hAnsi="宋体" w:cs="宋体"/>
          <w:sz w:val="21"/>
          <w:szCs w:val="21"/>
        </w:rPr>
      </w:pPr>
      <w:r>
        <w:rPr>
          <w:rFonts w:hint="eastAsia" w:ascii="宋体" w:hAnsi="宋体" w:cs="宋体"/>
          <w:sz w:val="21"/>
          <w:szCs w:val="21"/>
        </w:rPr>
        <w:t>1</w:t>
      </w:r>
      <w:r>
        <w:rPr>
          <w:rFonts w:hint="eastAsia" w:ascii="宋体" w:hAnsi="宋体" w:cs="宋体"/>
          <w:sz w:val="21"/>
          <w:szCs w:val="21"/>
          <w:lang w:val="en-US" w:eastAsia="zh-CN"/>
        </w:rPr>
        <w:t>7</w:t>
      </w:r>
      <w:r>
        <w:rPr>
          <w:rFonts w:hint="eastAsia" w:ascii="宋体" w:hAnsi="宋体" w:cs="宋体"/>
          <w:sz w:val="21"/>
          <w:szCs w:val="21"/>
        </w:rPr>
        <w:t>.2《中标通知书》、《招标文件》、《投标文件》作为本合同的组成部分，具有同等法律效力。</w:t>
      </w:r>
    </w:p>
    <w:p w14:paraId="3664F445">
      <w:pPr>
        <w:snapToGrid w:val="0"/>
        <w:spacing w:line="360" w:lineRule="auto"/>
        <w:ind w:firstLine="405" w:firstLineChars="193"/>
        <w:rPr>
          <w:rFonts w:hint="eastAsia" w:ascii="宋体" w:hAnsi="宋体" w:cs="宋体"/>
          <w:sz w:val="21"/>
          <w:szCs w:val="21"/>
        </w:rPr>
      </w:pPr>
      <w:r>
        <w:rPr>
          <w:rFonts w:hint="eastAsia" w:ascii="宋体" w:hAnsi="宋体" w:cs="宋体"/>
          <w:sz w:val="21"/>
          <w:szCs w:val="21"/>
        </w:rPr>
        <w:t>1</w:t>
      </w:r>
      <w:r>
        <w:rPr>
          <w:rFonts w:hint="eastAsia" w:ascii="宋体" w:hAnsi="宋体" w:cs="宋体"/>
          <w:sz w:val="21"/>
          <w:szCs w:val="21"/>
          <w:lang w:val="en-US" w:eastAsia="zh-CN"/>
        </w:rPr>
        <w:t>7</w:t>
      </w:r>
      <w:r>
        <w:rPr>
          <w:rFonts w:hint="eastAsia" w:ascii="宋体" w:hAnsi="宋体" w:cs="宋体"/>
          <w:sz w:val="21"/>
          <w:szCs w:val="21"/>
        </w:rPr>
        <w:t>.3本合同未尽事宜，遵照《</w:t>
      </w:r>
      <w:r>
        <w:rPr>
          <w:rFonts w:hint="eastAsia" w:ascii="宋体" w:hAnsi="宋体" w:cs="宋体"/>
          <w:sz w:val="21"/>
          <w:szCs w:val="21"/>
          <w:lang w:eastAsia="zh-CN"/>
        </w:rPr>
        <w:t>中华人民共和国民法典</w:t>
      </w:r>
      <w:r>
        <w:rPr>
          <w:rFonts w:hint="eastAsia" w:ascii="宋体" w:hAnsi="宋体" w:cs="宋体"/>
          <w:sz w:val="21"/>
          <w:szCs w:val="21"/>
        </w:rPr>
        <w:t>》有关条文执行。</w:t>
      </w:r>
    </w:p>
    <w:p w14:paraId="144220B3">
      <w:pPr>
        <w:snapToGrid w:val="0"/>
        <w:spacing w:line="360" w:lineRule="auto"/>
        <w:ind w:firstLine="405" w:firstLineChars="193"/>
        <w:rPr>
          <w:rFonts w:hint="eastAsia" w:ascii="宋体" w:hAnsi="宋体" w:cs="宋体"/>
          <w:sz w:val="21"/>
          <w:szCs w:val="21"/>
        </w:rPr>
      </w:pPr>
      <w:r>
        <w:rPr>
          <w:rFonts w:hint="eastAsia" w:ascii="宋体" w:hAnsi="宋体" w:cs="宋体"/>
          <w:sz w:val="21"/>
          <w:szCs w:val="21"/>
        </w:rPr>
        <w:t>1</w:t>
      </w:r>
      <w:r>
        <w:rPr>
          <w:rFonts w:hint="eastAsia" w:ascii="宋体" w:hAnsi="宋体" w:cs="宋体"/>
          <w:sz w:val="21"/>
          <w:szCs w:val="21"/>
          <w:lang w:val="en-US" w:eastAsia="zh-CN"/>
        </w:rPr>
        <w:t>7</w:t>
      </w:r>
      <w:r>
        <w:rPr>
          <w:rFonts w:hint="eastAsia" w:ascii="宋体" w:hAnsi="宋体" w:cs="宋体"/>
          <w:sz w:val="21"/>
          <w:szCs w:val="21"/>
        </w:rPr>
        <w:t>.4本合同正本一式五份，具有同等法律效力，甲乙双方各执二份，</w:t>
      </w:r>
      <w:r>
        <w:rPr>
          <w:rFonts w:hint="eastAsia" w:ascii="宋体" w:hAnsi="宋体" w:cs="宋体"/>
          <w:sz w:val="21"/>
          <w:szCs w:val="21"/>
          <w:lang w:val="en-US" w:eastAsia="zh-CN"/>
        </w:rPr>
        <w:t>代理</w:t>
      </w:r>
      <w:r>
        <w:rPr>
          <w:rFonts w:hint="eastAsia" w:ascii="宋体" w:hAnsi="宋体" w:cs="宋体"/>
          <w:sz w:val="21"/>
          <w:szCs w:val="21"/>
        </w:rPr>
        <w:t>方存档一份。</w:t>
      </w:r>
    </w:p>
    <w:p w14:paraId="53D0674D">
      <w:pPr>
        <w:snapToGrid w:val="0"/>
        <w:spacing w:line="360" w:lineRule="auto"/>
        <w:ind w:firstLine="405" w:firstLineChars="193"/>
        <w:rPr>
          <w:rFonts w:hint="eastAsia" w:ascii="宋体" w:hAnsi="宋体" w:cs="宋体"/>
          <w:b w:val="0"/>
          <w:bCs w:val="0"/>
          <w:sz w:val="21"/>
          <w:szCs w:val="21"/>
          <w:highlight w:val="none"/>
        </w:rPr>
      </w:pPr>
      <w:r>
        <w:rPr>
          <w:rFonts w:hint="eastAsia" w:ascii="宋体" w:hAnsi="宋体" w:cs="宋体"/>
          <w:b w:val="0"/>
          <w:bCs w:val="0"/>
          <w:sz w:val="21"/>
          <w:szCs w:val="21"/>
          <w:highlight w:val="none"/>
        </w:rPr>
        <w:t>17.5合同附件列表</w:t>
      </w:r>
    </w:p>
    <w:p w14:paraId="4552B424">
      <w:pPr>
        <w:snapToGrid w:val="0"/>
        <w:spacing w:line="360" w:lineRule="auto"/>
        <w:ind w:firstLine="405" w:firstLineChars="193"/>
        <w:rPr>
          <w:rFonts w:hint="eastAsia" w:ascii="宋体" w:hAnsi="宋体" w:cs="宋体"/>
          <w:b w:val="0"/>
          <w:bCs w:val="0"/>
          <w:sz w:val="21"/>
          <w:szCs w:val="21"/>
          <w:highlight w:val="none"/>
        </w:rPr>
      </w:pPr>
      <w:r>
        <w:rPr>
          <w:rFonts w:hint="eastAsia" w:ascii="宋体" w:hAnsi="宋体" w:cs="宋体"/>
          <w:b w:val="0"/>
          <w:bCs w:val="0"/>
          <w:sz w:val="21"/>
          <w:szCs w:val="21"/>
          <w:highlight w:val="none"/>
        </w:rPr>
        <w:t>附件一、乙方有效营业执照副本复印件</w:t>
      </w:r>
    </w:p>
    <w:p w14:paraId="5AD3865D">
      <w:pPr>
        <w:snapToGrid w:val="0"/>
        <w:spacing w:line="360" w:lineRule="auto"/>
        <w:ind w:firstLine="405" w:firstLineChars="193"/>
        <w:rPr>
          <w:rFonts w:hint="eastAsia" w:ascii="宋体" w:hAnsi="宋体" w:cs="宋体"/>
          <w:b w:val="0"/>
          <w:bCs w:val="0"/>
          <w:sz w:val="21"/>
          <w:szCs w:val="21"/>
          <w:highlight w:val="none"/>
        </w:rPr>
      </w:pPr>
      <w:r>
        <w:rPr>
          <w:rFonts w:hint="eastAsia" w:ascii="宋体" w:hAnsi="宋体" w:cs="宋体"/>
          <w:b w:val="0"/>
          <w:bCs w:val="0"/>
          <w:sz w:val="21"/>
          <w:szCs w:val="21"/>
          <w:highlight w:val="none"/>
        </w:rPr>
        <w:t>附件二、保密协议</w:t>
      </w:r>
    </w:p>
    <w:p w14:paraId="4D23413D">
      <w:pPr>
        <w:snapToGrid w:val="0"/>
        <w:spacing w:line="360" w:lineRule="auto"/>
        <w:ind w:firstLine="405" w:firstLineChars="193"/>
        <w:rPr>
          <w:rFonts w:hint="eastAsia" w:ascii="宋体" w:hAnsi="宋体" w:cs="宋体"/>
          <w:sz w:val="21"/>
          <w:szCs w:val="21"/>
        </w:rPr>
      </w:pPr>
    </w:p>
    <w:tbl>
      <w:tblPr>
        <w:tblStyle w:val="49"/>
        <w:tblW w:w="9400" w:type="dxa"/>
        <w:tblInd w:w="0" w:type="dxa"/>
        <w:tblLayout w:type="fixed"/>
        <w:tblCellMar>
          <w:top w:w="0" w:type="dxa"/>
          <w:left w:w="108" w:type="dxa"/>
          <w:bottom w:w="0" w:type="dxa"/>
          <w:right w:w="108" w:type="dxa"/>
        </w:tblCellMar>
      </w:tblPr>
      <w:tblGrid>
        <w:gridCol w:w="4700"/>
        <w:gridCol w:w="4700"/>
      </w:tblGrid>
      <w:tr w14:paraId="2BB44D75">
        <w:trPr>
          <w:trHeight w:val="1712" w:hRule="atLeast"/>
        </w:trPr>
        <w:tc>
          <w:tcPr>
            <w:tcW w:w="4700" w:type="dxa"/>
            <w:noWrap w:val="0"/>
            <w:vAlign w:val="top"/>
          </w:tcPr>
          <w:p w14:paraId="3269E1F3">
            <w:pPr>
              <w:snapToGrid w:val="0"/>
              <w:spacing w:line="360" w:lineRule="auto"/>
              <w:ind w:firstLine="405" w:firstLineChars="193"/>
              <w:rPr>
                <w:rFonts w:hint="eastAsia" w:ascii="宋体" w:hAnsi="宋体" w:cs="宋体"/>
                <w:sz w:val="21"/>
                <w:szCs w:val="21"/>
              </w:rPr>
            </w:pPr>
            <w:r>
              <w:rPr>
                <w:rFonts w:hint="eastAsia" w:ascii="宋体" w:hAnsi="宋体" w:cs="宋体"/>
                <w:sz w:val="21"/>
                <w:szCs w:val="21"/>
              </w:rPr>
              <w:t>甲方：</w:t>
            </w:r>
          </w:p>
          <w:p w14:paraId="33C73463">
            <w:pPr>
              <w:snapToGrid w:val="0"/>
              <w:spacing w:line="360" w:lineRule="auto"/>
              <w:ind w:firstLine="405" w:firstLineChars="193"/>
              <w:rPr>
                <w:rFonts w:hint="eastAsia" w:ascii="宋体" w:hAnsi="宋体" w:cs="宋体"/>
                <w:sz w:val="21"/>
                <w:szCs w:val="21"/>
              </w:rPr>
            </w:pPr>
            <w:r>
              <w:rPr>
                <w:rFonts w:hint="eastAsia" w:ascii="宋体" w:hAnsi="宋体" w:cs="宋体"/>
                <w:sz w:val="21"/>
                <w:szCs w:val="21"/>
              </w:rPr>
              <w:t>地址：</w:t>
            </w:r>
          </w:p>
          <w:p w14:paraId="206264C4">
            <w:pPr>
              <w:snapToGrid w:val="0"/>
              <w:spacing w:line="360" w:lineRule="auto"/>
              <w:ind w:firstLine="405" w:firstLineChars="193"/>
              <w:rPr>
                <w:rFonts w:hint="eastAsia" w:ascii="宋体" w:hAnsi="宋体" w:cs="宋体"/>
                <w:sz w:val="21"/>
                <w:szCs w:val="21"/>
              </w:rPr>
            </w:pPr>
            <w:r>
              <w:rPr>
                <w:rFonts w:hint="eastAsia" w:ascii="宋体" w:hAnsi="宋体" w:cs="宋体"/>
                <w:sz w:val="21"/>
                <w:szCs w:val="21"/>
              </w:rPr>
              <w:t>法定代表人或授权代表：</w:t>
            </w:r>
          </w:p>
          <w:p w14:paraId="13B05BF0">
            <w:pPr>
              <w:snapToGrid w:val="0"/>
              <w:spacing w:line="360" w:lineRule="auto"/>
              <w:ind w:firstLine="405" w:firstLineChars="193"/>
              <w:rPr>
                <w:rFonts w:hint="eastAsia" w:ascii="宋体" w:hAnsi="宋体" w:cs="宋体"/>
                <w:sz w:val="21"/>
                <w:szCs w:val="21"/>
              </w:rPr>
            </w:pPr>
            <w:r>
              <w:rPr>
                <w:rFonts w:hint="eastAsia" w:ascii="宋体" w:hAnsi="宋体" w:cs="宋体"/>
                <w:sz w:val="21"/>
                <w:szCs w:val="21"/>
              </w:rPr>
              <w:t>签订日期：</w:t>
            </w:r>
          </w:p>
        </w:tc>
        <w:tc>
          <w:tcPr>
            <w:tcW w:w="4700" w:type="dxa"/>
            <w:noWrap w:val="0"/>
            <w:vAlign w:val="top"/>
          </w:tcPr>
          <w:p w14:paraId="2347115F">
            <w:pPr>
              <w:snapToGrid w:val="0"/>
              <w:spacing w:line="360" w:lineRule="auto"/>
              <w:ind w:firstLine="405" w:firstLineChars="193"/>
              <w:rPr>
                <w:rFonts w:hint="eastAsia" w:ascii="宋体" w:hAnsi="宋体" w:cs="宋体"/>
                <w:sz w:val="21"/>
                <w:szCs w:val="21"/>
              </w:rPr>
            </w:pPr>
            <w:r>
              <w:rPr>
                <w:rFonts w:hint="eastAsia" w:ascii="宋体" w:hAnsi="宋体" w:cs="宋体"/>
                <w:sz w:val="21"/>
                <w:szCs w:val="21"/>
              </w:rPr>
              <w:t>乙方：</w:t>
            </w:r>
          </w:p>
          <w:p w14:paraId="3B6C425D">
            <w:pPr>
              <w:snapToGrid w:val="0"/>
              <w:spacing w:line="360" w:lineRule="auto"/>
              <w:ind w:firstLine="405" w:firstLineChars="193"/>
              <w:rPr>
                <w:rFonts w:hint="eastAsia" w:ascii="宋体" w:hAnsi="宋体" w:cs="宋体"/>
                <w:sz w:val="21"/>
                <w:szCs w:val="21"/>
              </w:rPr>
            </w:pPr>
            <w:r>
              <w:rPr>
                <w:rFonts w:hint="eastAsia" w:ascii="宋体" w:hAnsi="宋体" w:cs="宋体"/>
                <w:sz w:val="21"/>
                <w:szCs w:val="21"/>
              </w:rPr>
              <w:t>地址：</w:t>
            </w:r>
          </w:p>
          <w:p w14:paraId="1829C937">
            <w:pPr>
              <w:snapToGrid w:val="0"/>
              <w:spacing w:line="360" w:lineRule="auto"/>
              <w:ind w:firstLine="405" w:firstLineChars="193"/>
              <w:rPr>
                <w:rFonts w:hint="eastAsia" w:ascii="宋体" w:hAnsi="宋体" w:cs="宋体"/>
                <w:sz w:val="21"/>
                <w:szCs w:val="21"/>
              </w:rPr>
            </w:pPr>
            <w:r>
              <w:rPr>
                <w:rFonts w:hint="eastAsia" w:ascii="宋体" w:hAnsi="宋体" w:cs="宋体"/>
                <w:sz w:val="21"/>
                <w:szCs w:val="21"/>
              </w:rPr>
              <w:t>法定代表人或授权代表：</w:t>
            </w:r>
          </w:p>
          <w:p w14:paraId="513FCDC4">
            <w:pPr>
              <w:snapToGrid w:val="0"/>
              <w:spacing w:line="360" w:lineRule="auto"/>
              <w:ind w:firstLine="405" w:firstLineChars="193"/>
              <w:rPr>
                <w:rFonts w:hint="eastAsia" w:ascii="宋体" w:hAnsi="宋体" w:cs="宋体"/>
                <w:sz w:val="21"/>
                <w:szCs w:val="21"/>
              </w:rPr>
            </w:pPr>
            <w:r>
              <w:rPr>
                <w:rFonts w:hint="eastAsia" w:ascii="宋体" w:hAnsi="宋体" w:cs="宋体"/>
                <w:sz w:val="21"/>
                <w:szCs w:val="21"/>
              </w:rPr>
              <w:t>签订日期：</w:t>
            </w:r>
          </w:p>
        </w:tc>
      </w:tr>
    </w:tbl>
    <w:p w14:paraId="1FDEC942">
      <w:pPr>
        <w:spacing w:before="156" w:beforeLines="50" w:after="156" w:afterLines="50" w:line="460" w:lineRule="exact"/>
        <w:ind w:firstLine="422" w:firstLineChars="200"/>
        <w:rPr>
          <w:b/>
          <w:bCs/>
          <w:color w:val="000000"/>
          <w:sz w:val="21"/>
          <w:szCs w:val="21"/>
        </w:rPr>
      </w:pPr>
    </w:p>
    <w:p w14:paraId="169D3347">
      <w:pPr>
        <w:pageBreakBefore w:val="0"/>
        <w:kinsoku/>
        <w:wordWrap/>
        <w:overflowPunct/>
        <w:topLinePunct w:val="0"/>
        <w:bidi w:val="0"/>
        <w:spacing w:line="240" w:lineRule="auto"/>
        <w:ind w:firstLine="420" w:firstLineChars="200"/>
        <w:textAlignment w:val="auto"/>
        <w:rPr>
          <w:rFonts w:eastAsia="仿宋" w:cs="宋体"/>
          <w:sz w:val="21"/>
          <w:szCs w:val="21"/>
        </w:rPr>
      </w:pPr>
    </w:p>
    <w:p w14:paraId="4021B0A4">
      <w:pPr>
        <w:pageBreakBefore w:val="0"/>
        <w:kinsoku/>
        <w:wordWrap/>
        <w:overflowPunct/>
        <w:topLinePunct w:val="0"/>
        <w:bidi w:val="0"/>
        <w:spacing w:line="240" w:lineRule="auto"/>
        <w:ind w:firstLine="420" w:firstLineChars="200"/>
        <w:textAlignment w:val="auto"/>
        <w:rPr>
          <w:rFonts w:eastAsia="仿宋" w:cs="宋体"/>
          <w:sz w:val="21"/>
          <w:szCs w:val="21"/>
        </w:rPr>
      </w:pPr>
    </w:p>
    <w:p w14:paraId="0B7F95E4">
      <w:pPr>
        <w:pageBreakBefore w:val="0"/>
        <w:widowControl/>
        <w:kinsoku/>
        <w:wordWrap/>
        <w:overflowPunct/>
        <w:topLinePunct w:val="0"/>
        <w:bidi w:val="0"/>
        <w:spacing w:line="240" w:lineRule="auto"/>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（本合同仅作示范文本，具体以双方签定的正式合同为准，合同内容不得违背本公开招标文件实质性要求。）</w:t>
      </w:r>
    </w:p>
    <w:p w14:paraId="5E94FF42">
      <w:pPr>
        <w:pStyle w:val="2"/>
        <w:rPr>
          <w:rFonts w:hint="eastAsia" w:ascii="宋体" w:hAnsi="宋体" w:eastAsia="宋体" w:cs="宋体"/>
          <w:sz w:val="21"/>
          <w:szCs w:val="21"/>
        </w:rPr>
      </w:pPr>
    </w:p>
    <w:p w14:paraId="12AE7668">
      <w:pPr>
        <w:pStyle w:val="2"/>
        <w:rPr>
          <w:rFonts w:hint="eastAsia" w:ascii="宋体" w:hAnsi="宋体" w:eastAsia="宋体" w:cs="宋体"/>
          <w:sz w:val="21"/>
          <w:szCs w:val="21"/>
        </w:rPr>
      </w:pPr>
    </w:p>
    <w:p w14:paraId="2F81C761">
      <w:pPr>
        <w:pStyle w:val="2"/>
        <w:rPr>
          <w:rFonts w:hint="eastAsia" w:ascii="宋体" w:hAnsi="宋体" w:eastAsia="宋体" w:cs="宋体"/>
          <w:sz w:val="21"/>
          <w:szCs w:val="21"/>
        </w:rPr>
      </w:pPr>
    </w:p>
    <w:p w14:paraId="62EE2EFD">
      <w:pPr>
        <w:pStyle w:val="3"/>
        <w:numPr>
          <w:ilvl w:val="0"/>
          <w:numId w:val="0"/>
        </w:numPr>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附件一、乙方有效营业执照副本复印件</w:t>
      </w:r>
    </w:p>
    <w:p w14:paraId="5BD4F7DE">
      <w:pPr>
        <w:adjustRightInd w:val="0"/>
        <w:snapToGrid w:val="0"/>
        <w:spacing w:line="360" w:lineRule="auto"/>
        <w:ind w:firstLine="200"/>
        <w:rPr>
          <w:rFonts w:hint="eastAsia" w:ascii="宋体" w:hAnsi="宋体" w:eastAsia="宋体" w:cs="宋体"/>
          <w:sz w:val="24"/>
          <w:szCs w:val="24"/>
        </w:rPr>
      </w:pPr>
    </w:p>
    <w:p w14:paraId="531F30CF"/>
    <w:p w14:paraId="56194C9C">
      <w:pPr>
        <w:pStyle w:val="3"/>
        <w:numPr>
          <w:ilvl w:val="0"/>
          <w:numId w:val="0"/>
        </w:numPr>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附件二、保密协议</w:t>
      </w:r>
    </w:p>
    <w:p w14:paraId="4226A33A">
      <w:pPr>
        <w:adjustRightInd w:val="0"/>
        <w:snapToGrid w:val="0"/>
        <w:spacing w:before="240" w:beforeLines="100" w:after="50" w:line="360" w:lineRule="auto"/>
        <w:ind w:firstLine="420" w:firstLineChars="200"/>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甲方：</w:t>
      </w:r>
      <w:r>
        <w:rPr>
          <w:rFonts w:hint="eastAsia" w:ascii="宋体" w:hAnsi="宋体" w:eastAsia="宋体" w:cs="宋体"/>
          <w:b w:val="0"/>
          <w:bCs w:val="0"/>
          <w:color w:val="auto"/>
          <w:sz w:val="21"/>
          <w:szCs w:val="21"/>
          <w:highlight w:val="none"/>
          <w:u w:val="single"/>
        </w:rPr>
        <w:t xml:space="preserve">                                   </w:t>
      </w:r>
    </w:p>
    <w:p w14:paraId="23ECFB31">
      <w:pPr>
        <w:adjustRightInd w:val="0"/>
        <w:snapToGrid w:val="0"/>
        <w:spacing w:before="240" w:beforeLines="100" w:after="50" w:line="360" w:lineRule="auto"/>
        <w:ind w:firstLine="420" w:firstLineChars="200"/>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乙方：</w:t>
      </w:r>
      <w:r>
        <w:rPr>
          <w:rFonts w:hint="eastAsia" w:ascii="宋体" w:hAnsi="宋体" w:eastAsia="宋体" w:cs="宋体"/>
          <w:b w:val="0"/>
          <w:bCs w:val="0"/>
          <w:color w:val="auto"/>
          <w:sz w:val="21"/>
          <w:szCs w:val="21"/>
          <w:highlight w:val="none"/>
          <w:u w:val="single"/>
        </w:rPr>
        <w:t xml:space="preserve">                                   </w:t>
      </w:r>
    </w:p>
    <w:p w14:paraId="3BB8C6FC">
      <w:pPr>
        <w:adjustRightInd w:val="0"/>
        <w:snapToGrid w:val="0"/>
        <w:spacing w:before="240" w:beforeLines="100" w:after="50" w:line="360" w:lineRule="auto"/>
        <w:ind w:firstLine="420" w:firstLineChars="200"/>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甲乙双方拟就</w:t>
      </w:r>
      <w:r>
        <w:rPr>
          <w:rFonts w:hint="eastAsia" w:ascii="宋体" w:hAnsi="宋体" w:eastAsia="宋体" w:cs="宋体"/>
          <w:b w:val="0"/>
          <w:bCs w:val="0"/>
          <w:color w:val="auto"/>
          <w:sz w:val="21"/>
          <w:szCs w:val="21"/>
          <w:highlight w:val="none"/>
          <w:lang w:eastAsia="zh-CN"/>
        </w:rPr>
        <w:t>新昌高新技术产业园区化工园区突发水污染事件多级防控体系建设项目</w:t>
      </w:r>
      <w:r>
        <w:rPr>
          <w:rFonts w:hint="eastAsia" w:ascii="宋体" w:hAnsi="宋体" w:eastAsia="宋体" w:cs="宋体"/>
          <w:b w:val="0"/>
          <w:bCs w:val="0"/>
          <w:color w:val="auto"/>
          <w:sz w:val="21"/>
          <w:szCs w:val="21"/>
          <w:highlight w:val="none"/>
        </w:rPr>
        <w:t>技术服务开展合作。为保障甲乙双方商业秘密不受侵害，根据《民法典》《网络安全法》《反不正当竞争法》等法律法规规定，达成如下保密协议，以资共同遵守：</w:t>
      </w:r>
    </w:p>
    <w:p w14:paraId="46F24F2E">
      <w:pPr>
        <w:adjustRightInd w:val="0"/>
        <w:snapToGrid w:val="0"/>
        <w:spacing w:line="360" w:lineRule="auto"/>
        <w:ind w:firstLine="420" w:firstLineChars="200"/>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乙方因承接本合同约定项目所知悉的该项目信息或甲方信息，以及在项目实施过程中所产生的与该项目有关的全部信息均为甲方的保密信息，乙方应按照《中华人民共和国保守国家秘密法》、《中华人民共和国保守国家秘密法实施条例》及甲方关于保密工作的相关要求，对上述保密信息承担保密义务。未经甲方书面同意，乙方不得将甲方保密信息透露给任何第三方。</w:t>
      </w:r>
    </w:p>
    <w:p w14:paraId="3FCA7476">
      <w:pPr>
        <w:adjustRightInd w:val="0"/>
        <w:snapToGrid w:val="0"/>
        <w:spacing w:line="360" w:lineRule="auto"/>
        <w:ind w:firstLine="420" w:firstLineChars="200"/>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乙方应对上述保密信息予以妥善保存，并保证仅将其用于与完成本合同项下约定项目实施有关的用途或目的。在缺少相关保密条款约定时，对上述保密信息，乙方应至少采取适用于对自己核心机密进行保护的同等保护措施和审慎程度进行保密。</w:t>
      </w:r>
    </w:p>
    <w:p w14:paraId="4D5EDE39">
      <w:pPr>
        <w:adjustRightInd w:val="0"/>
        <w:snapToGrid w:val="0"/>
        <w:spacing w:line="360" w:lineRule="auto"/>
        <w:ind w:firstLine="420" w:firstLineChars="200"/>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3、乙方保证将保密信息的披露范围严格控制在直接从事该项目工作且因工作需要有必要知悉保密信息的工作人员范围内，对乙方非从事该项目的人员一律严格保密。</w:t>
      </w:r>
    </w:p>
    <w:p w14:paraId="468BB175">
      <w:pPr>
        <w:adjustRightInd w:val="0"/>
        <w:snapToGrid w:val="0"/>
        <w:spacing w:line="360" w:lineRule="auto"/>
        <w:ind w:firstLine="420" w:firstLineChars="200"/>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4、乙方应保证在向其工作人员披露甲方的保密信息前，认真做好员工的保密教育工作，明确告知其将知悉的为甲方的保密信息，并明确告知其需承担的保密义务及泄密所应承担的法律责任。</w:t>
      </w:r>
    </w:p>
    <w:p w14:paraId="68AE524E">
      <w:pPr>
        <w:adjustRightInd w:val="0"/>
        <w:snapToGrid w:val="0"/>
        <w:spacing w:line="360" w:lineRule="auto"/>
        <w:ind w:firstLine="420" w:firstLineChars="200"/>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5、任何时间内，一经甲方提出要求，乙方应按照甲方指示在收到甲方书面通知后【3】日内将含有保密信息的所有文件或其他资料归还甲方，且不得擅自复制留存。</w:t>
      </w:r>
    </w:p>
    <w:p w14:paraId="4EF3CB0A">
      <w:pPr>
        <w:adjustRightInd w:val="0"/>
        <w:snapToGrid w:val="0"/>
        <w:spacing w:line="360" w:lineRule="auto"/>
        <w:ind w:firstLine="420" w:firstLineChars="200"/>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6、非经甲方特别授权，甲方向乙方提供的任何保密信息并不包括授予乙方该保密信息包含的任何专利权、商标权、著作权、商业秘密或其它类型的知识产权。</w:t>
      </w:r>
    </w:p>
    <w:p w14:paraId="68782990">
      <w:pPr>
        <w:adjustRightInd w:val="0"/>
        <w:snapToGrid w:val="0"/>
        <w:spacing w:line="360" w:lineRule="auto"/>
        <w:ind w:firstLine="420" w:firstLineChars="200"/>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7、乙方承担上述保密义务的期限为合同有效期间及合同终止后【10】年。</w:t>
      </w:r>
    </w:p>
    <w:p w14:paraId="258F0012">
      <w:pPr>
        <w:adjustRightInd w:val="0"/>
        <w:snapToGrid w:val="0"/>
        <w:spacing w:line="360" w:lineRule="auto"/>
        <w:ind w:firstLine="420" w:firstLineChars="200"/>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8、承担上述保密义务的责任主体为乙方（含乙方工作人员）。如乙方或乙方工作人员违反了上述保密义务，给甲方造成损失的，乙方均应向甲方承担全部责任，并赔偿因此给甲方造成的全部损失。</w:t>
      </w:r>
    </w:p>
    <w:p w14:paraId="5F51AEDB">
      <w:pPr>
        <w:tabs>
          <w:tab w:val="left" w:pos="0"/>
        </w:tabs>
        <w:adjustRightInd w:val="0"/>
        <w:snapToGrid w:val="0"/>
        <w:spacing w:line="360" w:lineRule="auto"/>
        <w:ind w:firstLine="420" w:firstLineChars="200"/>
        <w:rPr>
          <w:rFonts w:hint="eastAsia" w:ascii="宋体" w:hAnsi="宋体" w:eastAsia="宋体" w:cs="宋体"/>
          <w:b w:val="0"/>
          <w:bCs w:val="0"/>
          <w:color w:val="auto"/>
          <w:sz w:val="21"/>
          <w:szCs w:val="21"/>
          <w:highlight w:val="none"/>
        </w:rPr>
      </w:pPr>
    </w:p>
    <w:p w14:paraId="06F055E7">
      <w:pPr>
        <w:tabs>
          <w:tab w:val="left" w:pos="0"/>
        </w:tabs>
        <w:adjustRightInd w:val="0"/>
        <w:snapToGrid w:val="0"/>
        <w:spacing w:line="360" w:lineRule="auto"/>
        <w:ind w:firstLine="4641" w:firstLineChars="2210"/>
        <w:rPr>
          <w:rFonts w:hint="eastAsia" w:ascii="宋体" w:hAnsi="宋体" w:eastAsia="宋体" w:cs="宋体"/>
          <w:b w:val="0"/>
          <w:bCs w:val="0"/>
          <w:color w:val="auto"/>
          <w:sz w:val="21"/>
          <w:szCs w:val="21"/>
          <w:highlight w:val="none"/>
          <w:u w:val="single"/>
        </w:rPr>
      </w:pPr>
      <w:r>
        <w:rPr>
          <w:rFonts w:hint="eastAsia" w:ascii="宋体" w:hAnsi="宋体" w:eastAsia="宋体" w:cs="宋体"/>
          <w:b w:val="0"/>
          <w:bCs w:val="0"/>
          <w:color w:val="auto"/>
          <w:sz w:val="21"/>
          <w:szCs w:val="21"/>
          <w:highlight w:val="none"/>
        </w:rPr>
        <w:t>乙方（公章）：</w:t>
      </w:r>
      <w:r>
        <w:rPr>
          <w:rFonts w:hint="eastAsia" w:ascii="宋体" w:hAnsi="宋体" w:eastAsia="宋体" w:cs="宋体"/>
          <w:b w:val="0"/>
          <w:bCs w:val="0"/>
          <w:color w:val="auto"/>
          <w:sz w:val="21"/>
          <w:szCs w:val="21"/>
          <w:highlight w:val="none"/>
          <w:u w:val="single"/>
        </w:rPr>
        <w:t xml:space="preserve">                    </w:t>
      </w:r>
    </w:p>
    <w:p w14:paraId="07B91855">
      <w:pPr>
        <w:tabs>
          <w:tab w:val="left" w:pos="0"/>
        </w:tabs>
        <w:adjustRightInd w:val="0"/>
        <w:snapToGrid w:val="0"/>
        <w:spacing w:line="360" w:lineRule="auto"/>
        <w:ind w:firstLine="4641" w:firstLineChars="2210"/>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甲方（公章）：</w:t>
      </w:r>
      <w:r>
        <w:rPr>
          <w:rFonts w:hint="eastAsia" w:ascii="宋体" w:hAnsi="宋体" w:eastAsia="宋体" w:cs="宋体"/>
          <w:b w:val="0"/>
          <w:bCs w:val="0"/>
          <w:color w:val="auto"/>
          <w:sz w:val="21"/>
          <w:szCs w:val="21"/>
          <w:highlight w:val="none"/>
          <w:u w:val="single"/>
        </w:rPr>
        <w:t xml:space="preserve">                    </w:t>
      </w:r>
    </w:p>
    <w:p w14:paraId="3B410C0E">
      <w:pPr>
        <w:pageBreakBefore w:val="0"/>
        <w:widowControl/>
        <w:kinsoku/>
        <w:wordWrap/>
        <w:overflowPunct/>
        <w:topLinePunct w:val="0"/>
        <w:bidi w:val="0"/>
        <w:spacing w:line="240" w:lineRule="auto"/>
        <w:ind w:firstLine="4620" w:firstLineChars="2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日        期：</w:t>
      </w:r>
      <w:r>
        <w:rPr>
          <w:rFonts w:hint="eastAsia" w:ascii="宋体" w:hAnsi="宋体" w:eastAsia="宋体" w:cs="宋体"/>
          <w:b w:val="0"/>
          <w:bCs w:val="0"/>
          <w:color w:val="auto"/>
          <w:sz w:val="21"/>
          <w:szCs w:val="21"/>
          <w:highlight w:val="none"/>
          <w:u w:val="single"/>
        </w:rPr>
        <w:t xml:space="preserve">                    </w:t>
      </w:r>
    </w:p>
    <w:p w14:paraId="33A6ADB7">
      <w:pPr>
        <w:rPr>
          <w:rFonts w:hint="eastAsia" w:ascii="宋体" w:hAnsi="宋体" w:eastAsia="宋体" w:cs="宋体"/>
          <w:sz w:val="21"/>
          <w:szCs w:val="21"/>
          <w:highlight w:val="none"/>
        </w:rPr>
      </w:pPr>
      <w:r>
        <w:rPr>
          <w:rFonts w:hint="eastAsia" w:ascii="宋体" w:hAnsi="宋体" w:eastAsia="宋体" w:cs="宋体"/>
          <w:sz w:val="21"/>
          <w:szCs w:val="21"/>
          <w:highlight w:val="none"/>
        </w:rPr>
        <w:br w:type="page"/>
      </w:r>
    </w:p>
    <w:p w14:paraId="13A3B14B">
      <w:pPr>
        <w:pStyle w:val="4"/>
        <w:spacing w:line="560" w:lineRule="exact"/>
        <w:rPr>
          <w:rFonts w:ascii="宋体" w:hAnsi="宋体" w:eastAsia="宋体" w:cs="宋体"/>
          <w:sz w:val="21"/>
          <w:szCs w:val="21"/>
          <w:highlight w:val="none"/>
        </w:rPr>
      </w:pPr>
      <w:r>
        <w:rPr>
          <w:rFonts w:hint="eastAsia" w:ascii="宋体" w:hAnsi="宋体" w:eastAsia="宋体" w:cs="宋体"/>
          <w:sz w:val="21"/>
          <w:szCs w:val="21"/>
          <w:highlight w:val="none"/>
        </w:rPr>
        <w:t>第五部分　投标相关文件格式</w:t>
      </w:r>
      <w:bookmarkEnd w:id="77"/>
      <w:bookmarkStart w:id="78" w:name="_Toc47756041"/>
      <w:bookmarkStart w:id="79" w:name="_Toc15805942"/>
      <w:bookmarkStart w:id="80" w:name="_Toc15813259"/>
      <w:bookmarkStart w:id="81" w:name="_Toc45506740"/>
    </w:p>
    <w:p w14:paraId="3749BACA">
      <w:pPr>
        <w:pStyle w:val="5"/>
        <w:ind w:firstLine="0" w:firstLineChars="0"/>
        <w:jc w:val="center"/>
        <w:rPr>
          <w:rFonts w:ascii="宋体" w:hAnsi="宋体" w:eastAsia="宋体" w:cs="宋体"/>
          <w:sz w:val="21"/>
          <w:szCs w:val="21"/>
          <w:highlight w:val="none"/>
        </w:rPr>
      </w:pPr>
      <w:bookmarkStart w:id="82" w:name="_Toc43498237"/>
      <w:r>
        <w:rPr>
          <w:rFonts w:hint="eastAsia" w:ascii="宋体" w:hAnsi="宋体" w:eastAsia="宋体" w:cs="宋体"/>
          <w:sz w:val="21"/>
          <w:szCs w:val="21"/>
          <w:highlight w:val="none"/>
        </w:rPr>
        <w:t>一 资格审查文件格式</w:t>
      </w:r>
      <w:bookmarkEnd w:id="82"/>
    </w:p>
    <w:p w14:paraId="79EA9DD4">
      <w:pPr>
        <w:numPr>
          <w:ilvl w:val="0"/>
          <w:numId w:val="8"/>
        </w:numPr>
        <w:spacing w:line="360" w:lineRule="auto"/>
        <w:jc w:val="left"/>
        <w:rPr>
          <w:rFonts w:ascii="宋体" w:hAnsi="宋体" w:cs="宋体"/>
          <w:highlight w:val="none"/>
        </w:rPr>
      </w:pPr>
      <w:bookmarkStart w:id="83" w:name="_Toc494555870"/>
      <w:bookmarkStart w:id="84" w:name="_Toc493956055"/>
      <w:bookmarkStart w:id="85" w:name="_Toc494555869"/>
      <w:bookmarkStart w:id="86" w:name="_Toc493956054"/>
      <w:bookmarkStart w:id="87" w:name="_Toc494555873"/>
      <w:bookmarkStart w:id="88" w:name="_Toc494555871"/>
      <w:bookmarkStart w:id="89" w:name="_Toc494555872"/>
      <w:bookmarkStart w:id="90" w:name="_Toc493956053"/>
      <w:r>
        <w:rPr>
          <w:rFonts w:hint="eastAsia" w:ascii="宋体" w:hAnsi="宋体" w:cs="宋体"/>
          <w:highlight w:val="none"/>
        </w:rPr>
        <w:t>营业执照</w:t>
      </w:r>
    </w:p>
    <w:p w14:paraId="7D98971E">
      <w:pPr>
        <w:numPr>
          <w:ilvl w:val="0"/>
          <w:numId w:val="8"/>
        </w:numPr>
        <w:spacing w:line="360" w:lineRule="auto"/>
        <w:jc w:val="left"/>
        <w:rPr>
          <w:rFonts w:ascii="宋体" w:hAnsi="宋体" w:cs="宋体"/>
          <w:highlight w:val="none"/>
        </w:rPr>
      </w:pPr>
      <w:r>
        <w:rPr>
          <w:rFonts w:hint="eastAsia" w:ascii="宋体" w:hAnsi="宋体" w:cs="宋体"/>
          <w:highlight w:val="none"/>
        </w:rPr>
        <w:t>关于财务状况、缴纳税收和社会保障资金的承诺函</w:t>
      </w:r>
    </w:p>
    <w:p w14:paraId="6F7AB16C">
      <w:pPr>
        <w:spacing w:line="360" w:lineRule="auto"/>
        <w:jc w:val="left"/>
        <w:rPr>
          <w:rFonts w:ascii="宋体" w:hAnsi="宋体" w:cs="宋体"/>
          <w:highlight w:val="none"/>
        </w:rPr>
      </w:pPr>
      <w:r>
        <w:rPr>
          <w:rFonts w:hint="eastAsia" w:ascii="宋体" w:hAnsi="宋体" w:cs="宋体"/>
          <w:highlight w:val="none"/>
        </w:rPr>
        <w:t>3、履约承诺函</w:t>
      </w:r>
    </w:p>
    <w:p w14:paraId="7E1BA7B3">
      <w:pPr>
        <w:spacing w:line="360" w:lineRule="auto"/>
        <w:jc w:val="left"/>
        <w:rPr>
          <w:rFonts w:ascii="宋体" w:hAnsi="宋体" w:cs="宋体"/>
          <w:highlight w:val="none"/>
        </w:rPr>
      </w:pPr>
      <w:r>
        <w:rPr>
          <w:rFonts w:hint="eastAsia" w:ascii="宋体" w:hAnsi="宋体" w:cs="宋体"/>
          <w:highlight w:val="none"/>
        </w:rPr>
        <w:t>4、具有履行合同必须的专业技术能力承诺函</w:t>
      </w:r>
    </w:p>
    <w:p w14:paraId="6DA2E0F8">
      <w:pPr>
        <w:spacing w:line="360" w:lineRule="auto"/>
        <w:jc w:val="left"/>
        <w:rPr>
          <w:rFonts w:ascii="宋体" w:hAnsi="宋体" w:cs="宋体"/>
          <w:highlight w:val="none"/>
        </w:rPr>
      </w:pPr>
      <w:r>
        <w:rPr>
          <w:rFonts w:hint="eastAsia" w:ascii="宋体" w:hAnsi="宋体" w:cs="宋体"/>
          <w:highlight w:val="none"/>
        </w:rPr>
        <w:t>5、无重大违法记录声明书</w:t>
      </w:r>
    </w:p>
    <w:p w14:paraId="088AA8B1">
      <w:pPr>
        <w:spacing w:line="360" w:lineRule="auto"/>
        <w:jc w:val="left"/>
        <w:rPr>
          <w:rFonts w:hint="eastAsia" w:ascii="宋体" w:hAnsi="宋体" w:cs="宋体"/>
          <w:highlight w:val="none"/>
        </w:rPr>
      </w:pPr>
      <w:r>
        <w:rPr>
          <w:rFonts w:hint="eastAsia" w:ascii="宋体" w:hAnsi="宋体" w:cs="宋体"/>
          <w:highlight w:val="none"/>
        </w:rPr>
        <w:t>6、授权委托书、身份证</w:t>
      </w:r>
      <w:bookmarkEnd w:id="83"/>
      <w:bookmarkEnd w:id="84"/>
      <w:bookmarkEnd w:id="85"/>
      <w:bookmarkEnd w:id="86"/>
      <w:bookmarkEnd w:id="87"/>
      <w:bookmarkEnd w:id="88"/>
      <w:bookmarkEnd w:id="89"/>
      <w:bookmarkEnd w:id="90"/>
    </w:p>
    <w:p w14:paraId="7EDCE0E9">
      <w:pPr>
        <w:spacing w:line="360" w:lineRule="auto"/>
        <w:jc w:val="left"/>
        <w:rPr>
          <w:rFonts w:hint="eastAsia" w:ascii="宋体" w:hAnsi="宋体" w:cs="宋体"/>
          <w:highlight w:val="none"/>
          <w:lang w:val="en-US" w:eastAsia="zh-CN"/>
        </w:rPr>
      </w:pPr>
      <w:r>
        <w:rPr>
          <w:rFonts w:hint="eastAsia" w:ascii="宋体" w:hAnsi="宋体" w:cs="宋体"/>
          <w:highlight w:val="none"/>
          <w:lang w:val="en-US" w:eastAsia="zh-CN"/>
        </w:rPr>
        <w:t>7、联合协议（若有）</w:t>
      </w:r>
    </w:p>
    <w:p w14:paraId="4C31ABF5">
      <w:pPr>
        <w:spacing w:line="360" w:lineRule="auto"/>
        <w:jc w:val="left"/>
        <w:rPr>
          <w:rFonts w:ascii="宋体" w:hAnsi="宋体" w:cs="宋体"/>
          <w:highlight w:val="none"/>
        </w:rPr>
      </w:pPr>
    </w:p>
    <w:p w14:paraId="19F64614">
      <w:pPr>
        <w:spacing w:line="360" w:lineRule="auto"/>
        <w:rPr>
          <w:rFonts w:ascii="宋体" w:hAnsi="宋体" w:cs="宋体"/>
          <w:highlight w:val="none"/>
        </w:rPr>
      </w:pPr>
    </w:p>
    <w:p w14:paraId="5EDAA244">
      <w:pPr>
        <w:spacing w:line="360" w:lineRule="auto"/>
        <w:rPr>
          <w:rFonts w:ascii="宋体" w:hAnsi="宋体" w:cs="宋体"/>
          <w:highlight w:val="none"/>
        </w:rPr>
        <w:sectPr>
          <w:pgSz w:w="11906" w:h="16838"/>
          <w:pgMar w:top="1361" w:right="1440" w:bottom="1361" w:left="1440" w:header="851" w:footer="992" w:gutter="0"/>
          <w:cols w:space="425" w:num="1"/>
          <w:titlePg/>
          <w:docGrid w:type="lines" w:linePitch="312" w:charSpace="0"/>
        </w:sectPr>
      </w:pPr>
    </w:p>
    <w:p w14:paraId="3C4ED817">
      <w:pPr>
        <w:numPr>
          <w:ilvl w:val="0"/>
          <w:numId w:val="9"/>
        </w:numPr>
        <w:jc w:val="center"/>
      </w:pPr>
      <w:r>
        <w:rPr>
          <w:rFonts w:hint="eastAsia" w:ascii="宋体" w:hAnsi="宋体" w:cs="宋体"/>
          <w:highlight w:val="none"/>
        </w:rPr>
        <w:t>营业执照</w:t>
      </w:r>
    </w:p>
    <w:p w14:paraId="793AB842">
      <w:pPr>
        <w:numPr>
          <w:ilvl w:val="0"/>
          <w:numId w:val="0"/>
        </w:numPr>
        <w:jc w:val="center"/>
      </w:pPr>
      <w:r>
        <w:rPr>
          <w:rFonts w:hint="eastAsia" w:ascii="宋体" w:hAnsi="宋体" w:cs="宋体"/>
          <w:highlight w:val="none"/>
          <w:lang w:eastAsia="zh-CN"/>
        </w:rPr>
        <w:t>（</w:t>
      </w:r>
      <w:r>
        <w:rPr>
          <w:rFonts w:hint="eastAsia" w:ascii="宋体" w:hAnsi="宋体" w:cs="宋体"/>
          <w:highlight w:val="none"/>
          <w:lang w:val="en-US" w:eastAsia="zh-CN"/>
        </w:rPr>
        <w:t>若为联合体投标，则提供双方营业执照扫描件或复印件</w:t>
      </w:r>
      <w:r>
        <w:rPr>
          <w:rFonts w:hint="eastAsia" w:ascii="宋体" w:hAnsi="宋体" w:cs="宋体"/>
          <w:highlight w:val="none"/>
          <w:lang w:eastAsia="zh-CN"/>
        </w:rPr>
        <w:t>）</w:t>
      </w:r>
    </w:p>
    <w:p w14:paraId="4750AC9C">
      <w:pPr>
        <w:spacing w:line="360" w:lineRule="auto"/>
        <w:rPr>
          <w:rFonts w:ascii="宋体" w:hAnsi="宋体" w:cs="宋体"/>
          <w:highlight w:val="none"/>
        </w:rPr>
      </w:pPr>
    </w:p>
    <w:p w14:paraId="12619CD4">
      <w:pPr>
        <w:spacing w:line="360" w:lineRule="auto"/>
        <w:rPr>
          <w:rFonts w:ascii="宋体" w:hAnsi="宋体" w:cs="宋体"/>
          <w:highlight w:val="none"/>
        </w:rPr>
      </w:pPr>
    </w:p>
    <w:p w14:paraId="7229339B">
      <w:pPr>
        <w:spacing w:line="360" w:lineRule="auto"/>
        <w:rPr>
          <w:rFonts w:ascii="宋体" w:hAnsi="宋体" w:cs="宋体"/>
          <w:highlight w:val="none"/>
        </w:rPr>
      </w:pPr>
    </w:p>
    <w:p w14:paraId="2D202044">
      <w:pPr>
        <w:spacing w:line="360" w:lineRule="auto"/>
        <w:jc w:val="center"/>
        <w:rPr>
          <w:rFonts w:ascii="宋体" w:hAnsi="宋体" w:cs="宋体"/>
          <w:highlight w:val="none"/>
        </w:rPr>
      </w:pPr>
      <w:r>
        <w:rPr>
          <w:rFonts w:hint="eastAsia" w:ascii="宋体" w:hAnsi="宋体" w:cs="宋体"/>
          <w:highlight w:val="none"/>
        </w:rPr>
        <w:t>2、关于财务状况、缴纳税收和社会保障资金的承诺函</w:t>
      </w:r>
    </w:p>
    <w:p w14:paraId="38AB53D7">
      <w:pPr>
        <w:numPr>
          <w:ilvl w:val="0"/>
          <w:numId w:val="0"/>
        </w:numPr>
        <w:jc w:val="center"/>
      </w:pPr>
      <w:r>
        <w:rPr>
          <w:rFonts w:hint="eastAsia" w:ascii="宋体" w:hAnsi="宋体" w:cs="宋体"/>
          <w:highlight w:val="none"/>
          <w:lang w:eastAsia="zh-CN"/>
        </w:rPr>
        <w:t>（</w:t>
      </w:r>
      <w:r>
        <w:rPr>
          <w:rFonts w:hint="eastAsia" w:ascii="宋体" w:hAnsi="宋体" w:cs="宋体"/>
          <w:highlight w:val="none"/>
          <w:lang w:val="en-US" w:eastAsia="zh-CN"/>
        </w:rPr>
        <w:t>若为联合体投标，则双方各自提供</w:t>
      </w:r>
      <w:r>
        <w:rPr>
          <w:rFonts w:hint="eastAsia" w:ascii="宋体" w:hAnsi="宋体" w:cs="宋体"/>
          <w:highlight w:val="none"/>
        </w:rPr>
        <w:t>承诺函</w:t>
      </w:r>
      <w:r>
        <w:rPr>
          <w:rFonts w:hint="eastAsia" w:ascii="宋体" w:hAnsi="宋体" w:cs="宋体"/>
          <w:highlight w:val="none"/>
          <w:lang w:val="en-US" w:eastAsia="zh-CN"/>
        </w:rPr>
        <w:t>并加盖公章</w:t>
      </w:r>
      <w:r>
        <w:rPr>
          <w:rFonts w:hint="eastAsia" w:ascii="宋体" w:hAnsi="宋体" w:cs="宋体"/>
          <w:highlight w:val="none"/>
          <w:lang w:eastAsia="zh-CN"/>
        </w:rPr>
        <w:t>）</w:t>
      </w:r>
    </w:p>
    <w:p w14:paraId="235AED8F">
      <w:pPr>
        <w:pStyle w:val="102"/>
        <w:spacing w:line="360" w:lineRule="auto"/>
        <w:rPr>
          <w:rFonts w:ascii="宋体" w:hAnsi="宋体" w:cs="宋体"/>
          <w:highlight w:val="none"/>
          <w:u w:val="single"/>
        </w:rPr>
      </w:pPr>
      <w:r>
        <w:rPr>
          <w:rFonts w:hint="eastAsia" w:ascii="宋体" w:hAnsi="宋体" w:cs="宋体"/>
          <w:highlight w:val="none"/>
          <w:u w:val="single"/>
        </w:rPr>
        <w:t>（采购人名称）：</w:t>
      </w:r>
    </w:p>
    <w:p w14:paraId="5B9D66BE">
      <w:pPr>
        <w:pStyle w:val="326"/>
        <w:spacing w:line="360" w:lineRule="auto"/>
        <w:ind w:firstLine="444" w:firstLineChars="200"/>
        <w:rPr>
          <w:rFonts w:ascii="宋体" w:hAnsi="宋体" w:cs="宋体"/>
          <w:highlight w:val="none"/>
        </w:rPr>
      </w:pPr>
      <w:r>
        <w:rPr>
          <w:rFonts w:hint="eastAsia" w:ascii="宋体" w:hAnsi="宋体" w:cs="宋体"/>
          <w:spacing w:val="6"/>
          <w:highlight w:val="none"/>
        </w:rPr>
        <w:t>贵公司组织的</w:t>
      </w:r>
      <w:r>
        <w:rPr>
          <w:rFonts w:hint="eastAsia" w:ascii="宋体" w:hAnsi="宋体" w:cs="宋体"/>
          <w:spacing w:val="6"/>
          <w:highlight w:val="none"/>
          <w:u w:val="single"/>
        </w:rPr>
        <w:t xml:space="preserve">                   </w:t>
      </w:r>
      <w:r>
        <w:rPr>
          <w:rFonts w:hint="eastAsia" w:ascii="宋体" w:hAnsi="宋体" w:cs="宋体"/>
          <w:spacing w:val="6"/>
          <w:highlight w:val="none"/>
        </w:rPr>
        <w:t>（采购项目名称）（采购编号：</w:t>
      </w:r>
      <w:r>
        <w:rPr>
          <w:rFonts w:hint="eastAsia" w:ascii="宋体" w:hAnsi="宋体" w:cs="宋体"/>
          <w:spacing w:val="6"/>
          <w:highlight w:val="none"/>
          <w:u w:val="single"/>
        </w:rPr>
        <w:t>　　  　　</w:t>
      </w:r>
      <w:r>
        <w:rPr>
          <w:rFonts w:hint="eastAsia" w:ascii="宋体" w:hAnsi="宋体" w:cs="宋体"/>
          <w:spacing w:val="6"/>
          <w:highlight w:val="none"/>
        </w:rPr>
        <w:t>）项目，</w:t>
      </w:r>
      <w:r>
        <w:rPr>
          <w:rFonts w:hint="eastAsia" w:ascii="宋体" w:hAnsi="宋体" w:cs="宋体"/>
          <w:highlight w:val="none"/>
        </w:rPr>
        <w:t>我公司作为该项目的投标人，郑重承诺具备以下条件：符合参与政府采购活动的资格条件，具有良好的商业信誉和健全的财务制度以及良好的财务状况，具有依法缴纳税收和社会保障资金的良好记录。</w:t>
      </w:r>
    </w:p>
    <w:p w14:paraId="4D6D65EC">
      <w:pPr>
        <w:pStyle w:val="102"/>
        <w:spacing w:line="360" w:lineRule="auto"/>
        <w:ind w:firstLine="472" w:firstLineChars="225"/>
        <w:rPr>
          <w:rFonts w:ascii="宋体" w:hAnsi="宋体" w:cs="宋体"/>
          <w:highlight w:val="none"/>
        </w:rPr>
      </w:pPr>
      <w:r>
        <w:rPr>
          <w:rFonts w:hint="eastAsia" w:ascii="宋体" w:hAnsi="宋体" w:cs="宋体"/>
          <w:highlight w:val="none"/>
        </w:rPr>
        <w:t>本公司对上述承诺的真实性负责,并依法承担相应法律责任。</w:t>
      </w:r>
    </w:p>
    <w:p w14:paraId="5E84242F">
      <w:pPr>
        <w:pStyle w:val="326"/>
        <w:spacing w:after="120" w:line="360" w:lineRule="auto"/>
        <w:rPr>
          <w:rFonts w:ascii="宋体" w:hAnsi="宋体" w:cs="宋体"/>
          <w:highlight w:val="none"/>
        </w:rPr>
      </w:pPr>
    </w:p>
    <w:p w14:paraId="554F0039">
      <w:pPr>
        <w:pStyle w:val="28"/>
        <w:spacing w:line="360" w:lineRule="auto"/>
        <w:ind w:right="480" w:firstLine="2100" w:firstLineChars="1000"/>
        <w:rPr>
          <w:rFonts w:hAnsi="宋体"/>
          <w:highlight w:val="none"/>
        </w:rPr>
      </w:pPr>
    </w:p>
    <w:p w14:paraId="7C0CA87B">
      <w:pPr>
        <w:pStyle w:val="28"/>
        <w:spacing w:line="360" w:lineRule="auto"/>
        <w:ind w:right="480"/>
        <w:jc w:val="center"/>
        <w:rPr>
          <w:rFonts w:hint="eastAsia" w:hAnsi="宋体"/>
          <w:highlight w:val="none"/>
        </w:rPr>
      </w:pPr>
      <w:r>
        <w:rPr>
          <w:rFonts w:hint="eastAsia" w:hAnsi="宋体"/>
          <w:highlight w:val="none"/>
        </w:rPr>
        <w:t>　　　　投标人(公章)：</w:t>
      </w:r>
    </w:p>
    <w:p w14:paraId="05A2F521">
      <w:pPr>
        <w:pStyle w:val="28"/>
        <w:wordWrap w:val="0"/>
        <w:spacing w:line="360" w:lineRule="auto"/>
        <w:ind w:right="480" w:firstLine="3990" w:firstLineChars="1900"/>
        <w:rPr>
          <w:rFonts w:hAnsi="宋体"/>
          <w:highlight w:val="none"/>
        </w:rPr>
      </w:pPr>
      <w:r>
        <w:rPr>
          <w:rFonts w:hint="eastAsia" w:hAnsi="宋体"/>
          <w:highlight w:val="none"/>
        </w:rPr>
        <w:t>日期：_____年____月____日</w:t>
      </w:r>
    </w:p>
    <w:p w14:paraId="5D065A3C">
      <w:pPr>
        <w:pStyle w:val="326"/>
        <w:spacing w:after="120" w:line="360" w:lineRule="auto"/>
        <w:ind w:firstLine="420" w:firstLineChars="200"/>
        <w:rPr>
          <w:rFonts w:ascii="宋体" w:hAnsi="宋体" w:cs="宋体"/>
          <w:highlight w:val="none"/>
        </w:rPr>
      </w:pPr>
    </w:p>
    <w:p w14:paraId="427FAF3A">
      <w:pPr>
        <w:pStyle w:val="102"/>
        <w:numPr>
          <w:ilvl w:val="255"/>
          <w:numId w:val="0"/>
        </w:numPr>
        <w:spacing w:line="360" w:lineRule="auto"/>
        <w:jc w:val="center"/>
        <w:rPr>
          <w:rFonts w:ascii="宋体" w:hAnsi="宋体" w:cs="宋体"/>
          <w:highlight w:val="none"/>
        </w:rPr>
      </w:pPr>
      <w:r>
        <w:rPr>
          <w:rFonts w:hint="eastAsia" w:ascii="宋体" w:hAnsi="宋体" w:cs="宋体"/>
          <w:highlight w:val="none"/>
        </w:rPr>
        <w:t>3、履约承诺函</w:t>
      </w:r>
    </w:p>
    <w:p w14:paraId="2F5B5C56">
      <w:pPr>
        <w:numPr>
          <w:ilvl w:val="0"/>
          <w:numId w:val="0"/>
        </w:numPr>
        <w:jc w:val="center"/>
      </w:pPr>
      <w:r>
        <w:rPr>
          <w:rFonts w:hint="eastAsia" w:ascii="宋体" w:hAnsi="宋体" w:cs="宋体"/>
          <w:highlight w:val="none"/>
          <w:lang w:eastAsia="zh-CN"/>
        </w:rPr>
        <w:t>（</w:t>
      </w:r>
      <w:r>
        <w:rPr>
          <w:rFonts w:hint="eastAsia" w:ascii="宋体" w:hAnsi="宋体" w:cs="宋体"/>
          <w:highlight w:val="none"/>
          <w:lang w:val="en-US" w:eastAsia="zh-CN"/>
        </w:rPr>
        <w:t>若为联合体投标，则双方各自提供</w:t>
      </w:r>
      <w:r>
        <w:rPr>
          <w:rFonts w:hint="eastAsia" w:ascii="宋体" w:hAnsi="宋体" w:cs="宋体"/>
          <w:highlight w:val="none"/>
        </w:rPr>
        <w:t>承诺函</w:t>
      </w:r>
      <w:r>
        <w:rPr>
          <w:rFonts w:hint="eastAsia" w:ascii="宋体" w:hAnsi="宋体" w:cs="宋体"/>
          <w:highlight w:val="none"/>
          <w:lang w:val="en-US" w:eastAsia="zh-CN"/>
        </w:rPr>
        <w:t>并加盖公章</w:t>
      </w:r>
      <w:r>
        <w:rPr>
          <w:rFonts w:hint="eastAsia" w:ascii="宋体" w:hAnsi="宋体" w:cs="宋体"/>
          <w:highlight w:val="none"/>
          <w:lang w:eastAsia="zh-CN"/>
        </w:rPr>
        <w:t>）</w:t>
      </w:r>
    </w:p>
    <w:p w14:paraId="56AC4DBB">
      <w:pPr>
        <w:pStyle w:val="102"/>
        <w:spacing w:line="360" w:lineRule="auto"/>
        <w:rPr>
          <w:rFonts w:ascii="宋体" w:hAnsi="宋体" w:cs="宋体"/>
          <w:highlight w:val="none"/>
          <w:u w:val="single"/>
        </w:rPr>
      </w:pPr>
      <w:r>
        <w:rPr>
          <w:rFonts w:hint="eastAsia" w:ascii="宋体" w:hAnsi="宋体" w:cs="宋体"/>
          <w:highlight w:val="none"/>
          <w:u w:val="single"/>
        </w:rPr>
        <w:t>（采购人名称）：</w:t>
      </w:r>
    </w:p>
    <w:p w14:paraId="430ADECA">
      <w:pPr>
        <w:pStyle w:val="326"/>
        <w:spacing w:line="360" w:lineRule="auto"/>
        <w:ind w:firstLine="444" w:firstLineChars="200"/>
        <w:rPr>
          <w:rFonts w:ascii="宋体" w:hAnsi="宋体" w:cs="宋体"/>
          <w:highlight w:val="none"/>
        </w:rPr>
      </w:pPr>
      <w:r>
        <w:rPr>
          <w:rFonts w:hint="eastAsia" w:ascii="宋体" w:hAnsi="宋体" w:cs="宋体"/>
          <w:spacing w:val="6"/>
          <w:highlight w:val="none"/>
        </w:rPr>
        <w:t>贵公司组织的</w:t>
      </w:r>
      <w:r>
        <w:rPr>
          <w:rFonts w:hint="eastAsia" w:ascii="宋体" w:hAnsi="宋体" w:cs="宋体"/>
          <w:spacing w:val="6"/>
          <w:highlight w:val="none"/>
          <w:u w:val="single"/>
        </w:rPr>
        <w:t xml:space="preserve">             </w:t>
      </w:r>
      <w:r>
        <w:rPr>
          <w:rFonts w:hint="eastAsia" w:ascii="宋体" w:hAnsi="宋体" w:cs="宋体"/>
          <w:spacing w:val="6"/>
          <w:highlight w:val="none"/>
          <w:u w:val="single"/>
          <w:lang w:val="en-US" w:eastAsia="zh-CN"/>
        </w:rPr>
        <w:t xml:space="preserve"> </w:t>
      </w:r>
      <w:r>
        <w:rPr>
          <w:rFonts w:hint="eastAsia" w:ascii="宋体" w:hAnsi="宋体" w:cs="宋体"/>
          <w:spacing w:val="6"/>
          <w:highlight w:val="none"/>
          <w:u w:val="single"/>
        </w:rPr>
        <w:t xml:space="preserve"> </w:t>
      </w:r>
      <w:r>
        <w:rPr>
          <w:rFonts w:hint="eastAsia" w:ascii="宋体" w:hAnsi="宋体" w:cs="宋体"/>
          <w:spacing w:val="6"/>
          <w:highlight w:val="none"/>
        </w:rPr>
        <w:t>（采购项目名称）（采购编号：</w:t>
      </w:r>
      <w:r>
        <w:rPr>
          <w:rFonts w:hint="eastAsia" w:ascii="宋体" w:hAnsi="宋体" w:cs="宋体"/>
          <w:spacing w:val="6"/>
          <w:highlight w:val="none"/>
          <w:u w:val="single"/>
        </w:rPr>
        <w:t>　　  　　</w:t>
      </w:r>
      <w:r>
        <w:rPr>
          <w:rFonts w:hint="eastAsia" w:ascii="宋体" w:hAnsi="宋体" w:cs="宋体"/>
          <w:spacing w:val="6"/>
          <w:highlight w:val="none"/>
        </w:rPr>
        <w:t>）项目，</w:t>
      </w:r>
      <w:r>
        <w:rPr>
          <w:rFonts w:hint="eastAsia" w:ascii="宋体" w:hAnsi="宋体" w:cs="宋体"/>
          <w:highlight w:val="none"/>
        </w:rPr>
        <w:t>我公司作为该项目的投标人，郑重承诺我公司按采购文件要求完成本项目</w:t>
      </w:r>
      <w:r>
        <w:rPr>
          <w:rFonts w:hint="eastAsia" w:ascii="宋体" w:hAnsi="宋体" w:cs="宋体"/>
          <w:highlight w:val="none"/>
          <w:lang w:val="en-US" w:eastAsia="zh-CN"/>
        </w:rPr>
        <w:t>服务内容</w:t>
      </w:r>
      <w:r>
        <w:rPr>
          <w:rFonts w:hint="eastAsia" w:ascii="宋体" w:hAnsi="宋体" w:cs="宋体"/>
          <w:highlight w:val="none"/>
        </w:rPr>
        <w:t>。</w:t>
      </w:r>
    </w:p>
    <w:p w14:paraId="0EE0F69F">
      <w:pPr>
        <w:pStyle w:val="102"/>
        <w:spacing w:line="360" w:lineRule="auto"/>
        <w:ind w:firstLine="472" w:firstLineChars="225"/>
        <w:rPr>
          <w:rFonts w:ascii="宋体" w:hAnsi="宋体" w:cs="宋体"/>
          <w:highlight w:val="none"/>
        </w:rPr>
      </w:pPr>
      <w:r>
        <w:rPr>
          <w:rFonts w:hint="eastAsia" w:ascii="宋体" w:hAnsi="宋体" w:cs="宋体"/>
          <w:highlight w:val="none"/>
        </w:rPr>
        <w:t>本公司对上述承诺的真实性负责,并依法承担相应法律责任。</w:t>
      </w:r>
    </w:p>
    <w:p w14:paraId="046E2323">
      <w:pPr>
        <w:pStyle w:val="326"/>
        <w:spacing w:after="120" w:line="360" w:lineRule="auto"/>
        <w:rPr>
          <w:rFonts w:ascii="宋体" w:hAnsi="宋体" w:cs="宋体"/>
          <w:highlight w:val="none"/>
        </w:rPr>
      </w:pPr>
    </w:p>
    <w:p w14:paraId="2151C75F">
      <w:pPr>
        <w:pStyle w:val="28"/>
        <w:spacing w:line="360" w:lineRule="auto"/>
        <w:ind w:right="480"/>
        <w:jc w:val="center"/>
        <w:rPr>
          <w:rFonts w:hint="eastAsia" w:hAnsi="宋体"/>
          <w:highlight w:val="none"/>
        </w:rPr>
      </w:pPr>
      <w:r>
        <w:rPr>
          <w:rFonts w:hint="eastAsia" w:hAnsi="宋体"/>
          <w:highlight w:val="none"/>
        </w:rPr>
        <w:t>　　　　投标人(公章)：</w:t>
      </w:r>
    </w:p>
    <w:p w14:paraId="4C094C73">
      <w:pPr>
        <w:pStyle w:val="28"/>
        <w:wordWrap w:val="0"/>
        <w:spacing w:line="360" w:lineRule="auto"/>
        <w:ind w:right="480" w:firstLine="3990" w:firstLineChars="1900"/>
        <w:rPr>
          <w:rFonts w:hAnsi="宋体"/>
          <w:highlight w:val="none"/>
        </w:rPr>
      </w:pPr>
      <w:r>
        <w:rPr>
          <w:rFonts w:hint="eastAsia" w:hAnsi="宋体"/>
          <w:highlight w:val="none"/>
        </w:rPr>
        <w:t>日期：_____年____月____日</w:t>
      </w:r>
    </w:p>
    <w:p w14:paraId="2EB5B7BD">
      <w:pPr>
        <w:spacing w:line="360" w:lineRule="auto"/>
        <w:jc w:val="center"/>
        <w:rPr>
          <w:rFonts w:ascii="宋体" w:hAnsi="宋体" w:cs="宋体"/>
          <w:sz w:val="24"/>
          <w:szCs w:val="24"/>
          <w:highlight w:val="none"/>
        </w:rPr>
      </w:pPr>
    </w:p>
    <w:p w14:paraId="405D1C6E">
      <w:pPr>
        <w:jc w:val="left"/>
        <w:rPr>
          <w:rFonts w:ascii="宋体" w:hAnsi="宋体" w:cs="宋体"/>
          <w:sz w:val="24"/>
          <w:szCs w:val="24"/>
          <w:highlight w:val="none"/>
        </w:rPr>
      </w:pPr>
      <w:r>
        <w:rPr>
          <w:rFonts w:hint="eastAsia" w:ascii="宋体" w:hAnsi="宋体" w:cs="宋体"/>
          <w:sz w:val="24"/>
          <w:szCs w:val="24"/>
          <w:highlight w:val="none"/>
        </w:rPr>
        <w:br w:type="page"/>
      </w:r>
    </w:p>
    <w:p w14:paraId="6ED9DDFD">
      <w:pPr>
        <w:spacing w:line="360" w:lineRule="auto"/>
        <w:jc w:val="center"/>
        <w:rPr>
          <w:rFonts w:hint="eastAsia" w:ascii="宋体" w:hAnsi="宋体" w:cs="宋体"/>
          <w:highlight w:val="none"/>
        </w:rPr>
      </w:pPr>
      <w:r>
        <w:rPr>
          <w:rFonts w:hint="eastAsia" w:ascii="宋体" w:hAnsi="宋体" w:cs="宋体"/>
          <w:highlight w:val="none"/>
        </w:rPr>
        <w:t>4、具有履行合同必须的专业技术能力承诺函</w:t>
      </w:r>
    </w:p>
    <w:p w14:paraId="655E78C0">
      <w:pPr>
        <w:numPr>
          <w:ilvl w:val="0"/>
          <w:numId w:val="0"/>
        </w:numPr>
        <w:jc w:val="center"/>
      </w:pPr>
      <w:r>
        <w:rPr>
          <w:rFonts w:hint="eastAsia" w:ascii="宋体" w:hAnsi="宋体" w:cs="宋体"/>
          <w:highlight w:val="none"/>
          <w:lang w:eastAsia="zh-CN"/>
        </w:rPr>
        <w:t>（</w:t>
      </w:r>
      <w:r>
        <w:rPr>
          <w:rFonts w:hint="eastAsia" w:ascii="宋体" w:hAnsi="宋体" w:cs="宋体"/>
          <w:highlight w:val="none"/>
          <w:lang w:val="en-US" w:eastAsia="zh-CN"/>
        </w:rPr>
        <w:t>若为联合体投标，则双方各自提供</w:t>
      </w:r>
      <w:r>
        <w:rPr>
          <w:rFonts w:hint="eastAsia" w:ascii="宋体" w:hAnsi="宋体" w:cs="宋体"/>
          <w:highlight w:val="none"/>
        </w:rPr>
        <w:t>承诺函</w:t>
      </w:r>
      <w:r>
        <w:rPr>
          <w:rFonts w:hint="eastAsia" w:ascii="宋体" w:hAnsi="宋体" w:cs="宋体"/>
          <w:highlight w:val="none"/>
          <w:lang w:val="en-US" w:eastAsia="zh-CN"/>
        </w:rPr>
        <w:t>并加盖公章</w:t>
      </w:r>
      <w:r>
        <w:rPr>
          <w:rFonts w:hint="eastAsia" w:ascii="宋体" w:hAnsi="宋体" w:cs="宋体"/>
          <w:highlight w:val="none"/>
          <w:lang w:eastAsia="zh-CN"/>
        </w:rPr>
        <w:t>）</w:t>
      </w:r>
    </w:p>
    <w:p w14:paraId="49102718">
      <w:pPr>
        <w:pStyle w:val="102"/>
        <w:spacing w:line="400" w:lineRule="exact"/>
        <w:rPr>
          <w:rFonts w:ascii="宋体" w:hAnsi="宋体" w:cs="宋体"/>
          <w:highlight w:val="none"/>
          <w:u w:val="single"/>
        </w:rPr>
      </w:pPr>
      <w:r>
        <w:rPr>
          <w:rFonts w:hint="eastAsia" w:ascii="宋体" w:hAnsi="宋体" w:cs="宋体"/>
          <w:highlight w:val="none"/>
          <w:u w:val="single"/>
        </w:rPr>
        <w:t>（采购人名称）：</w:t>
      </w:r>
    </w:p>
    <w:p w14:paraId="198597B2">
      <w:pPr>
        <w:pStyle w:val="102"/>
        <w:spacing w:line="400" w:lineRule="exact"/>
        <w:ind w:firstLine="499" w:firstLineChars="225"/>
        <w:rPr>
          <w:rFonts w:ascii="宋体" w:hAnsi="宋体" w:cs="宋体"/>
          <w:highlight w:val="none"/>
        </w:rPr>
      </w:pPr>
      <w:r>
        <w:rPr>
          <w:rFonts w:hint="eastAsia" w:ascii="宋体" w:hAnsi="宋体" w:cs="宋体"/>
          <w:spacing w:val="6"/>
          <w:highlight w:val="none"/>
        </w:rPr>
        <w:t>贵公司组织的</w:t>
      </w:r>
      <w:r>
        <w:rPr>
          <w:rFonts w:hint="eastAsia" w:ascii="宋体" w:hAnsi="宋体" w:cs="宋体"/>
          <w:spacing w:val="6"/>
          <w:highlight w:val="none"/>
          <w:u w:val="single"/>
        </w:rPr>
        <w:t xml:space="preserve">            </w:t>
      </w:r>
      <w:r>
        <w:rPr>
          <w:rFonts w:hint="eastAsia" w:ascii="宋体" w:hAnsi="宋体" w:cs="宋体"/>
          <w:spacing w:val="6"/>
          <w:highlight w:val="none"/>
        </w:rPr>
        <w:t>（采购项目名称）（采购编号：</w:t>
      </w:r>
      <w:r>
        <w:rPr>
          <w:rFonts w:hint="eastAsia" w:ascii="宋体" w:hAnsi="宋体" w:cs="宋体"/>
          <w:spacing w:val="6"/>
          <w:highlight w:val="none"/>
          <w:u w:val="single"/>
        </w:rPr>
        <w:t>　　  　　</w:t>
      </w:r>
      <w:r>
        <w:rPr>
          <w:rFonts w:hint="eastAsia" w:ascii="宋体" w:hAnsi="宋体" w:cs="宋体"/>
          <w:spacing w:val="6"/>
          <w:highlight w:val="none"/>
        </w:rPr>
        <w:t>）项目，</w:t>
      </w:r>
      <w:r>
        <w:rPr>
          <w:rFonts w:hint="eastAsia" w:ascii="宋体" w:hAnsi="宋体" w:cs="宋体"/>
          <w:highlight w:val="none"/>
        </w:rPr>
        <w:t>我公司在完全理解本项目招标的技术要求、商务条款及其他内容后, 决定参与该项目的招标活动。并承诺,如中标,我公司将提供足够的专业技术能力保证本合同履行。</w:t>
      </w:r>
    </w:p>
    <w:p w14:paraId="7A630997">
      <w:pPr>
        <w:pStyle w:val="102"/>
        <w:spacing w:line="400" w:lineRule="exact"/>
        <w:ind w:firstLine="474" w:firstLineChars="225"/>
        <w:rPr>
          <w:rFonts w:ascii="宋体" w:hAnsi="宋体" w:cs="宋体"/>
          <w:b/>
          <w:highlight w:val="none"/>
        </w:rPr>
      </w:pPr>
      <w:r>
        <w:rPr>
          <w:rFonts w:hint="eastAsia" w:ascii="宋体" w:hAnsi="宋体" w:cs="宋体"/>
          <w:b/>
          <w:highlight w:val="none"/>
        </w:rPr>
        <w:t>（一）企业基本情况</w:t>
      </w:r>
    </w:p>
    <w:p w14:paraId="734133F5">
      <w:pPr>
        <w:pStyle w:val="169"/>
        <w:spacing w:line="400" w:lineRule="exact"/>
        <w:ind w:firstLine="420"/>
        <w:rPr>
          <w:rFonts w:hAnsi="宋体" w:cs="宋体"/>
          <w:highlight w:val="none"/>
        </w:rPr>
      </w:pPr>
      <w:r>
        <w:rPr>
          <w:rFonts w:hint="eastAsia" w:hAnsi="宋体" w:cs="宋体"/>
          <w:highlight w:val="none"/>
        </w:rPr>
        <w:t xml:space="preserve">1．企业名称：________________________________________________ </w:t>
      </w:r>
    </w:p>
    <w:p w14:paraId="577A2922">
      <w:pPr>
        <w:pStyle w:val="169"/>
        <w:spacing w:line="400" w:lineRule="exact"/>
        <w:ind w:firstLine="420"/>
        <w:rPr>
          <w:rFonts w:hAnsi="宋体" w:cs="宋体"/>
          <w:b/>
          <w:bCs/>
          <w:highlight w:val="none"/>
        </w:rPr>
      </w:pPr>
      <w:r>
        <w:rPr>
          <w:rFonts w:hint="eastAsia" w:hAnsi="宋体" w:cs="宋体"/>
          <w:highlight w:val="none"/>
        </w:rPr>
        <w:t>银行开户名称：________________________________________________</w:t>
      </w:r>
    </w:p>
    <w:p w14:paraId="34CA13D3">
      <w:pPr>
        <w:pStyle w:val="169"/>
        <w:spacing w:line="400" w:lineRule="exact"/>
        <w:ind w:firstLine="420"/>
        <w:rPr>
          <w:rFonts w:hAnsi="宋体" w:cs="宋体"/>
          <w:highlight w:val="none"/>
        </w:rPr>
      </w:pPr>
      <w:r>
        <w:rPr>
          <w:rFonts w:hint="eastAsia" w:hAnsi="宋体" w:cs="宋体"/>
          <w:highlight w:val="none"/>
        </w:rPr>
        <w:t xml:space="preserve">    开户银行：_________________________________________________ </w:t>
      </w:r>
    </w:p>
    <w:p w14:paraId="29DAB22E">
      <w:pPr>
        <w:pStyle w:val="169"/>
        <w:spacing w:line="400" w:lineRule="exact"/>
        <w:ind w:firstLine="420"/>
        <w:rPr>
          <w:rFonts w:hAnsi="宋体" w:cs="宋体"/>
          <w:highlight w:val="none"/>
        </w:rPr>
      </w:pPr>
      <w:r>
        <w:rPr>
          <w:rFonts w:hint="eastAsia" w:hAnsi="宋体" w:cs="宋体"/>
          <w:highlight w:val="none"/>
        </w:rPr>
        <w:t xml:space="preserve">    账    号：________________________________________________ </w:t>
      </w:r>
    </w:p>
    <w:p w14:paraId="6B17AB99">
      <w:pPr>
        <w:pStyle w:val="169"/>
        <w:spacing w:line="400" w:lineRule="exact"/>
        <w:ind w:firstLine="420"/>
        <w:rPr>
          <w:rFonts w:hAnsi="宋体" w:cs="宋体"/>
          <w:highlight w:val="none"/>
        </w:rPr>
      </w:pPr>
      <w:r>
        <w:rPr>
          <w:rFonts w:hint="eastAsia" w:hAnsi="宋体" w:cs="宋体"/>
          <w:highlight w:val="none"/>
        </w:rPr>
        <w:t xml:space="preserve">企业详细地址：________________________________________________ </w:t>
      </w:r>
    </w:p>
    <w:p w14:paraId="7436673E">
      <w:pPr>
        <w:pStyle w:val="169"/>
        <w:spacing w:line="400" w:lineRule="exact"/>
        <w:ind w:firstLine="420"/>
        <w:rPr>
          <w:rFonts w:hAnsi="宋体" w:cs="宋体"/>
          <w:highlight w:val="none"/>
        </w:rPr>
      </w:pPr>
      <w:r>
        <w:rPr>
          <w:rFonts w:hint="eastAsia" w:hAnsi="宋体" w:cs="宋体"/>
          <w:highlight w:val="none"/>
        </w:rPr>
        <w:t xml:space="preserve">    传    真： ________________________________________________</w:t>
      </w:r>
    </w:p>
    <w:p w14:paraId="635F53CC">
      <w:pPr>
        <w:pStyle w:val="169"/>
        <w:spacing w:line="400" w:lineRule="exact"/>
        <w:ind w:firstLine="420"/>
        <w:rPr>
          <w:rFonts w:hAnsi="宋体" w:cs="宋体"/>
          <w:highlight w:val="none"/>
        </w:rPr>
      </w:pPr>
      <w:r>
        <w:rPr>
          <w:rFonts w:hint="eastAsia" w:hAnsi="宋体" w:cs="宋体"/>
          <w:highlight w:val="none"/>
        </w:rPr>
        <w:t xml:space="preserve">    电    话： ________________________________________________</w:t>
      </w:r>
    </w:p>
    <w:p w14:paraId="28D0478B">
      <w:pPr>
        <w:pStyle w:val="169"/>
        <w:spacing w:line="400" w:lineRule="exact"/>
        <w:ind w:firstLine="420"/>
        <w:rPr>
          <w:rFonts w:hAnsi="宋体" w:cs="宋体"/>
          <w:highlight w:val="none"/>
        </w:rPr>
      </w:pPr>
      <w:r>
        <w:rPr>
          <w:rFonts w:hint="eastAsia" w:hAnsi="宋体" w:cs="宋体"/>
          <w:highlight w:val="none"/>
        </w:rPr>
        <w:t xml:space="preserve">2．负责人姓名：___________________________________________ </w:t>
      </w:r>
    </w:p>
    <w:p w14:paraId="6541E89F">
      <w:pPr>
        <w:pStyle w:val="169"/>
        <w:spacing w:line="400" w:lineRule="exact"/>
        <w:ind w:firstLine="420"/>
        <w:rPr>
          <w:rFonts w:hAnsi="宋体" w:cs="宋体"/>
          <w:highlight w:val="none"/>
        </w:rPr>
      </w:pPr>
      <w:r>
        <w:rPr>
          <w:rFonts w:hint="eastAsia" w:hAnsi="宋体" w:cs="宋体"/>
          <w:highlight w:val="none"/>
        </w:rPr>
        <w:t>3．项目联系人：姓名__________职务：______电话______手机______</w:t>
      </w:r>
    </w:p>
    <w:p w14:paraId="634529FE">
      <w:pPr>
        <w:pStyle w:val="169"/>
        <w:spacing w:line="400" w:lineRule="exact"/>
        <w:ind w:firstLine="420"/>
        <w:rPr>
          <w:rFonts w:hAnsi="宋体" w:cs="宋体"/>
          <w:highlight w:val="none"/>
        </w:rPr>
      </w:pPr>
      <w:r>
        <w:rPr>
          <w:rFonts w:hint="eastAsia" w:hAnsi="宋体" w:cs="宋体"/>
          <w:highlight w:val="none"/>
        </w:rPr>
        <w:t>4．注册地址：________________________________________________</w:t>
      </w:r>
    </w:p>
    <w:p w14:paraId="0C964CC2">
      <w:pPr>
        <w:pStyle w:val="169"/>
        <w:spacing w:line="400" w:lineRule="exact"/>
        <w:ind w:firstLine="420"/>
        <w:rPr>
          <w:rFonts w:hAnsi="宋体" w:cs="宋体"/>
          <w:highlight w:val="none"/>
        </w:rPr>
      </w:pPr>
      <w:r>
        <w:rPr>
          <w:rFonts w:hint="eastAsia" w:hAnsi="宋体" w:cs="宋体"/>
          <w:highlight w:val="none"/>
        </w:rPr>
        <w:t xml:space="preserve">5．注册资金：________________________________________________ </w:t>
      </w:r>
    </w:p>
    <w:p w14:paraId="4D1FE34B">
      <w:pPr>
        <w:pStyle w:val="169"/>
        <w:spacing w:line="400" w:lineRule="exact"/>
        <w:ind w:firstLine="735"/>
        <w:rPr>
          <w:rFonts w:hAnsi="宋体" w:cs="宋体"/>
          <w:highlight w:val="none"/>
        </w:rPr>
      </w:pPr>
      <w:r>
        <w:rPr>
          <w:rFonts w:hint="eastAsia" w:hAnsi="宋体" w:cs="宋体"/>
          <w:highlight w:val="none"/>
        </w:rPr>
        <w:t>自有资金：________________________________________________</w:t>
      </w:r>
    </w:p>
    <w:p w14:paraId="6962B3FF">
      <w:pPr>
        <w:pStyle w:val="169"/>
        <w:spacing w:line="400" w:lineRule="exact"/>
        <w:ind w:firstLine="735"/>
        <w:rPr>
          <w:rFonts w:hAnsi="宋体" w:cs="宋体"/>
          <w:highlight w:val="none"/>
        </w:rPr>
      </w:pPr>
      <w:r>
        <w:rPr>
          <w:rFonts w:hint="eastAsia" w:hAnsi="宋体" w:cs="宋体"/>
          <w:highlight w:val="none"/>
        </w:rPr>
        <w:t>企业人数：______</w:t>
      </w:r>
      <w:r>
        <w:rPr>
          <w:rFonts w:hint="eastAsia" w:hAnsi="宋体" w:cs="宋体"/>
          <w:b/>
          <w:bCs/>
          <w:highlight w:val="none"/>
        </w:rPr>
        <w:t>_</w:t>
      </w:r>
      <w:r>
        <w:rPr>
          <w:rFonts w:hint="eastAsia" w:hAnsi="宋体" w:cs="宋体"/>
          <w:highlight w:val="none"/>
        </w:rPr>
        <w:t>人</w:t>
      </w:r>
    </w:p>
    <w:p w14:paraId="6A683DC6">
      <w:pPr>
        <w:pStyle w:val="169"/>
        <w:spacing w:line="400" w:lineRule="exact"/>
        <w:ind w:firstLine="420"/>
        <w:rPr>
          <w:rFonts w:hAnsi="宋体" w:cs="宋体"/>
          <w:highlight w:val="none"/>
        </w:rPr>
      </w:pPr>
      <w:r>
        <w:rPr>
          <w:rFonts w:hint="eastAsia" w:hAnsi="宋体" w:cs="宋体"/>
          <w:highlight w:val="none"/>
        </w:rPr>
        <w:t>6．企业性质：_________</w:t>
      </w:r>
    </w:p>
    <w:p w14:paraId="38C560FF">
      <w:pPr>
        <w:pStyle w:val="169"/>
        <w:spacing w:line="400" w:lineRule="exact"/>
        <w:ind w:firstLine="420"/>
        <w:rPr>
          <w:rFonts w:hAnsi="宋体" w:cs="宋体"/>
          <w:highlight w:val="none"/>
        </w:rPr>
      </w:pPr>
      <w:r>
        <w:rPr>
          <w:rFonts w:hint="eastAsia" w:hAnsi="宋体" w:cs="宋体"/>
          <w:highlight w:val="none"/>
        </w:rPr>
        <w:t xml:space="preserve">7．主要经营地点：_______________________________________________ </w:t>
      </w:r>
    </w:p>
    <w:p w14:paraId="22549318">
      <w:pPr>
        <w:pStyle w:val="169"/>
        <w:spacing w:line="400" w:lineRule="exact"/>
        <w:ind w:firstLine="420"/>
        <w:rPr>
          <w:rFonts w:hAnsi="宋体" w:cs="宋体"/>
          <w:highlight w:val="none"/>
        </w:rPr>
      </w:pPr>
      <w:r>
        <w:rPr>
          <w:rFonts w:hint="eastAsia" w:hAnsi="宋体" w:cs="宋体"/>
          <w:highlight w:val="none"/>
        </w:rPr>
        <w:t>如有派出机构，请列出名称及详细通讯地址如下：</w:t>
      </w:r>
      <w:r>
        <w:rPr>
          <w:rFonts w:hint="eastAsia" w:hAnsi="宋体" w:cs="宋体"/>
          <w:highlight w:val="none"/>
          <w:u w:val="single"/>
        </w:rPr>
        <w:t xml:space="preserve">               </w:t>
      </w:r>
    </w:p>
    <w:p w14:paraId="7D9DA027">
      <w:pPr>
        <w:pStyle w:val="102"/>
        <w:spacing w:line="400" w:lineRule="exact"/>
        <w:ind w:firstLine="472" w:firstLineChars="225"/>
        <w:rPr>
          <w:rFonts w:ascii="宋体" w:hAnsi="宋体" w:cs="宋体"/>
          <w:highlight w:val="none"/>
        </w:rPr>
      </w:pPr>
    </w:p>
    <w:p w14:paraId="78B15177">
      <w:pPr>
        <w:pStyle w:val="102"/>
        <w:spacing w:line="400" w:lineRule="exact"/>
        <w:ind w:firstLine="474" w:firstLineChars="225"/>
        <w:rPr>
          <w:rFonts w:ascii="宋体" w:hAnsi="宋体" w:cs="宋体"/>
          <w:b/>
          <w:highlight w:val="none"/>
        </w:rPr>
      </w:pPr>
      <w:r>
        <w:rPr>
          <w:rFonts w:hint="eastAsia" w:ascii="宋体" w:hAnsi="宋体" w:cs="宋体"/>
          <w:b/>
          <w:highlight w:val="none"/>
        </w:rPr>
        <w:t>（二）履行合同必须的专业技术能力材料</w:t>
      </w:r>
    </w:p>
    <w:p w14:paraId="793643C4">
      <w:pPr>
        <w:pStyle w:val="169"/>
        <w:spacing w:line="400" w:lineRule="exact"/>
        <w:ind w:firstLine="465"/>
        <w:rPr>
          <w:rFonts w:hAnsi="宋体" w:cs="宋体"/>
          <w:highlight w:val="none"/>
        </w:rPr>
      </w:pPr>
      <w:r>
        <w:rPr>
          <w:rFonts w:hint="eastAsia" w:hAnsi="宋体" w:cs="宋体"/>
          <w:highlight w:val="none"/>
        </w:rPr>
        <w:t>专业技术能力的证明材料：</w:t>
      </w:r>
      <w:r>
        <w:rPr>
          <w:rFonts w:hint="eastAsia" w:hAnsi="宋体" w:cs="宋体"/>
          <w:highlight w:val="none"/>
          <w:u w:val="single"/>
        </w:rPr>
        <w:t xml:space="preserve">                                              。 </w:t>
      </w:r>
    </w:p>
    <w:p w14:paraId="3ABCB4DD">
      <w:pPr>
        <w:pStyle w:val="102"/>
        <w:spacing w:line="400" w:lineRule="exact"/>
        <w:ind w:firstLine="472" w:firstLineChars="225"/>
        <w:rPr>
          <w:rFonts w:ascii="宋体" w:hAnsi="宋体" w:cs="宋体"/>
          <w:highlight w:val="none"/>
          <w:u w:val="single"/>
        </w:rPr>
      </w:pPr>
    </w:p>
    <w:p w14:paraId="20DD66FB">
      <w:pPr>
        <w:pStyle w:val="102"/>
        <w:spacing w:line="400" w:lineRule="exact"/>
        <w:ind w:firstLine="472" w:firstLineChars="225"/>
        <w:rPr>
          <w:rFonts w:ascii="宋体" w:hAnsi="宋体" w:cs="宋体"/>
          <w:highlight w:val="none"/>
        </w:rPr>
      </w:pPr>
      <w:r>
        <w:rPr>
          <w:rFonts w:hint="eastAsia" w:ascii="宋体" w:hAnsi="宋体" w:cs="宋体"/>
          <w:highlight w:val="none"/>
        </w:rPr>
        <w:t>本公司对上述承诺的真实性负责,并依法承担相应法律责任。</w:t>
      </w:r>
    </w:p>
    <w:p w14:paraId="02E3B80F">
      <w:pPr>
        <w:pStyle w:val="28"/>
        <w:spacing w:line="380" w:lineRule="exact"/>
        <w:ind w:right="480" w:firstLine="2100" w:firstLineChars="1000"/>
        <w:rPr>
          <w:rFonts w:hAnsi="宋体"/>
          <w:highlight w:val="none"/>
        </w:rPr>
      </w:pPr>
    </w:p>
    <w:p w14:paraId="079ACA3D">
      <w:pPr>
        <w:pStyle w:val="28"/>
        <w:spacing w:line="380" w:lineRule="exact"/>
        <w:ind w:right="480" w:firstLine="2100" w:firstLineChars="1000"/>
        <w:rPr>
          <w:rFonts w:hAnsi="宋体"/>
          <w:highlight w:val="none"/>
        </w:rPr>
      </w:pPr>
    </w:p>
    <w:p w14:paraId="715890B0">
      <w:pPr>
        <w:pStyle w:val="28"/>
        <w:spacing w:line="380" w:lineRule="exact"/>
        <w:ind w:right="480"/>
        <w:jc w:val="center"/>
        <w:rPr>
          <w:rFonts w:hAnsi="宋体"/>
          <w:highlight w:val="none"/>
          <w:u w:val="single"/>
        </w:rPr>
      </w:pPr>
      <w:r>
        <w:rPr>
          <w:rFonts w:hint="eastAsia" w:hAnsi="宋体"/>
          <w:highlight w:val="none"/>
        </w:rPr>
        <w:t>　　　　投标人(公章)：</w:t>
      </w:r>
      <w:r>
        <w:rPr>
          <w:rFonts w:hint="eastAsia" w:hAnsi="宋体"/>
          <w:highlight w:val="none"/>
          <w:u w:val="single"/>
        </w:rPr>
        <w:t xml:space="preserve">             </w:t>
      </w:r>
    </w:p>
    <w:p w14:paraId="5614FBA3">
      <w:pPr>
        <w:pStyle w:val="28"/>
        <w:wordWrap w:val="0"/>
        <w:spacing w:line="380" w:lineRule="exact"/>
        <w:ind w:right="480" w:firstLine="3990" w:firstLineChars="1900"/>
        <w:rPr>
          <w:rFonts w:hAnsi="宋体"/>
          <w:highlight w:val="none"/>
        </w:rPr>
      </w:pPr>
      <w:r>
        <w:rPr>
          <w:rFonts w:hint="eastAsia" w:hAnsi="宋体"/>
          <w:highlight w:val="none"/>
        </w:rPr>
        <w:t>日期：_____年____月____日</w:t>
      </w:r>
    </w:p>
    <w:p w14:paraId="5CB5A2BE">
      <w:pPr>
        <w:spacing w:line="360" w:lineRule="auto"/>
        <w:jc w:val="center"/>
        <w:rPr>
          <w:rFonts w:ascii="宋体" w:hAnsi="宋体" w:cs="宋体"/>
          <w:highlight w:val="none"/>
        </w:rPr>
      </w:pPr>
      <w:r>
        <w:rPr>
          <w:rFonts w:hint="eastAsia" w:ascii="宋体" w:hAnsi="宋体" w:cs="宋体"/>
          <w:highlight w:val="none"/>
        </w:rPr>
        <w:br w:type="page"/>
      </w:r>
    </w:p>
    <w:p w14:paraId="1C2B6C9B">
      <w:pPr>
        <w:spacing w:line="360" w:lineRule="auto"/>
        <w:jc w:val="center"/>
        <w:rPr>
          <w:rFonts w:hint="eastAsia" w:ascii="宋体" w:hAnsi="宋体" w:cs="宋体"/>
          <w:highlight w:val="none"/>
        </w:rPr>
      </w:pPr>
      <w:r>
        <w:rPr>
          <w:rFonts w:hint="eastAsia" w:ascii="宋体" w:hAnsi="宋体" w:cs="宋体"/>
          <w:highlight w:val="none"/>
        </w:rPr>
        <w:t>5、无重大违法记录声明书</w:t>
      </w:r>
    </w:p>
    <w:p w14:paraId="2ADDE202">
      <w:pPr>
        <w:numPr>
          <w:ilvl w:val="0"/>
          <w:numId w:val="0"/>
        </w:numPr>
        <w:jc w:val="center"/>
      </w:pPr>
      <w:r>
        <w:rPr>
          <w:rFonts w:hint="eastAsia" w:ascii="宋体" w:hAnsi="宋体" w:cs="宋体"/>
          <w:highlight w:val="none"/>
          <w:lang w:eastAsia="zh-CN"/>
        </w:rPr>
        <w:t>（</w:t>
      </w:r>
      <w:r>
        <w:rPr>
          <w:rFonts w:hint="eastAsia" w:ascii="宋体" w:hAnsi="宋体" w:cs="宋体"/>
          <w:highlight w:val="none"/>
          <w:lang w:val="en-US" w:eastAsia="zh-CN"/>
        </w:rPr>
        <w:t>若为联合体投标，则双方各自提供声明书并加盖公章</w:t>
      </w:r>
      <w:r>
        <w:rPr>
          <w:rFonts w:hint="eastAsia" w:ascii="宋体" w:hAnsi="宋体" w:cs="宋体"/>
          <w:highlight w:val="none"/>
          <w:lang w:eastAsia="zh-CN"/>
        </w:rPr>
        <w:t>）</w:t>
      </w:r>
    </w:p>
    <w:p w14:paraId="63F7253D">
      <w:pPr>
        <w:pStyle w:val="202"/>
        <w:spacing w:line="440" w:lineRule="exact"/>
        <w:rPr>
          <w:rFonts w:ascii="宋体" w:hAnsi="宋体" w:cs="宋体"/>
          <w:spacing w:val="6"/>
          <w:highlight w:val="none"/>
          <w:u w:val="single"/>
        </w:rPr>
      </w:pPr>
      <w:r>
        <w:rPr>
          <w:rFonts w:hint="eastAsia" w:ascii="宋体" w:hAnsi="宋体" w:cs="宋体"/>
          <w:spacing w:val="6"/>
          <w:highlight w:val="none"/>
          <w:u w:val="single"/>
        </w:rPr>
        <w:t>（采购人名称）：</w:t>
      </w:r>
    </w:p>
    <w:p w14:paraId="47A0B744">
      <w:pPr>
        <w:pStyle w:val="139"/>
        <w:spacing w:before="156" w:beforeLines="50" w:line="480" w:lineRule="auto"/>
        <w:ind w:firstLine="444" w:firstLineChars="200"/>
        <w:rPr>
          <w:rFonts w:ascii="宋体" w:hAnsi="宋体" w:cs="宋体"/>
          <w:spacing w:val="6"/>
          <w:highlight w:val="none"/>
        </w:rPr>
      </w:pPr>
      <w:r>
        <w:rPr>
          <w:rFonts w:hint="eastAsia" w:ascii="宋体" w:hAnsi="宋体" w:cs="宋体"/>
          <w:spacing w:val="6"/>
          <w:highlight w:val="none"/>
        </w:rPr>
        <w:t>我公司参与的</w:t>
      </w:r>
      <w:r>
        <w:rPr>
          <w:rFonts w:hint="eastAsia" w:ascii="宋体" w:hAnsi="宋体" w:cs="宋体"/>
          <w:spacing w:val="6"/>
          <w:highlight w:val="none"/>
          <w:u w:val="single"/>
          <w:lang w:val="en-US" w:eastAsia="zh-CN"/>
        </w:rPr>
        <w:t xml:space="preserve">                   </w:t>
      </w:r>
      <w:r>
        <w:rPr>
          <w:rFonts w:hint="eastAsia" w:ascii="宋体" w:hAnsi="宋体" w:cs="宋体"/>
          <w:spacing w:val="6"/>
          <w:highlight w:val="none"/>
        </w:rPr>
        <w:t>（采购项目名称）（采购编号：</w:t>
      </w:r>
      <w:r>
        <w:rPr>
          <w:rFonts w:hint="eastAsia" w:ascii="宋体" w:hAnsi="宋体" w:cs="宋体"/>
          <w:spacing w:val="6"/>
          <w:highlight w:val="none"/>
          <w:u w:val="single"/>
        </w:rPr>
        <w:t>　　　　</w:t>
      </w:r>
      <w:r>
        <w:rPr>
          <w:rFonts w:hint="eastAsia" w:ascii="宋体" w:hAnsi="宋体" w:cs="宋体"/>
          <w:spacing w:val="6"/>
          <w:highlight w:val="none"/>
        </w:rPr>
        <w:t>）项目的投标活动，我方郑重声明，我方参加本项目投标活动前三年内无重大违法记录（重大违法记录是指投标人因违法经营受到刑事处罚或者责令停产停业、吊销许可证或者执照、较大数额罚款等行政处罚），符合《中华人民共和国政府采购法》、《中华人民共和国政府采购法实施条例》的规定。我方对此声明负全部法律责任。</w:t>
      </w:r>
    </w:p>
    <w:p w14:paraId="519A9A58">
      <w:pPr>
        <w:pStyle w:val="139"/>
        <w:spacing w:line="480" w:lineRule="auto"/>
        <w:ind w:firstLine="444" w:firstLineChars="200"/>
        <w:rPr>
          <w:rFonts w:ascii="宋体" w:hAnsi="宋体" w:cs="宋体"/>
          <w:spacing w:val="6"/>
          <w:highlight w:val="none"/>
        </w:rPr>
      </w:pPr>
      <w:r>
        <w:rPr>
          <w:rFonts w:hint="eastAsia" w:ascii="宋体" w:hAnsi="宋体" w:cs="宋体"/>
          <w:spacing w:val="6"/>
          <w:highlight w:val="none"/>
        </w:rPr>
        <w:tab/>
      </w:r>
      <w:r>
        <w:rPr>
          <w:rFonts w:hint="eastAsia" w:ascii="宋体" w:hAnsi="宋体" w:cs="宋体"/>
          <w:spacing w:val="6"/>
          <w:highlight w:val="none"/>
        </w:rPr>
        <w:t>特此声明。</w:t>
      </w:r>
    </w:p>
    <w:p w14:paraId="001029B4">
      <w:pPr>
        <w:pStyle w:val="138"/>
        <w:jc w:val="center"/>
        <w:rPr>
          <w:rFonts w:hAnsi="宋体" w:cs="宋体"/>
          <w:highlight w:val="none"/>
        </w:rPr>
      </w:pPr>
    </w:p>
    <w:p w14:paraId="0A4DB75B">
      <w:pPr>
        <w:pStyle w:val="138"/>
        <w:jc w:val="center"/>
        <w:rPr>
          <w:rFonts w:hAnsi="宋体" w:cs="宋体"/>
          <w:highlight w:val="none"/>
        </w:rPr>
      </w:pPr>
    </w:p>
    <w:p w14:paraId="04406669">
      <w:pPr>
        <w:pStyle w:val="138"/>
        <w:jc w:val="center"/>
        <w:rPr>
          <w:rFonts w:hAnsi="宋体" w:cs="宋体"/>
          <w:highlight w:val="none"/>
        </w:rPr>
      </w:pPr>
    </w:p>
    <w:p w14:paraId="0C114FA2">
      <w:pPr>
        <w:pStyle w:val="28"/>
        <w:spacing w:line="360" w:lineRule="auto"/>
        <w:ind w:right="480"/>
        <w:jc w:val="center"/>
        <w:rPr>
          <w:rFonts w:hAnsi="宋体"/>
          <w:highlight w:val="none"/>
          <w:u w:val="single"/>
        </w:rPr>
      </w:pPr>
      <w:r>
        <w:rPr>
          <w:rFonts w:hint="eastAsia" w:hAnsi="宋体"/>
          <w:highlight w:val="none"/>
        </w:rPr>
        <w:t>　　　　投标人(公章)：</w:t>
      </w:r>
      <w:r>
        <w:rPr>
          <w:rFonts w:hint="eastAsia" w:hAnsi="宋体"/>
          <w:highlight w:val="none"/>
          <w:u w:val="single"/>
        </w:rPr>
        <w:t xml:space="preserve">              </w:t>
      </w:r>
    </w:p>
    <w:p w14:paraId="4CFC21AF">
      <w:pPr>
        <w:pStyle w:val="28"/>
        <w:wordWrap w:val="0"/>
        <w:spacing w:line="360" w:lineRule="auto"/>
        <w:ind w:right="480" w:firstLine="3990" w:firstLineChars="1900"/>
        <w:rPr>
          <w:rFonts w:hAnsi="宋体"/>
          <w:highlight w:val="none"/>
        </w:rPr>
      </w:pPr>
      <w:r>
        <w:rPr>
          <w:rFonts w:hint="eastAsia" w:hAnsi="宋体"/>
          <w:highlight w:val="none"/>
        </w:rPr>
        <w:t>日期：_____年____月____日</w:t>
      </w:r>
    </w:p>
    <w:p w14:paraId="1933DDBF">
      <w:pPr>
        <w:rPr>
          <w:rFonts w:ascii="宋体" w:hAnsi="宋体" w:cs="宋体"/>
          <w:highlight w:val="none"/>
        </w:rPr>
      </w:pPr>
      <w:r>
        <w:rPr>
          <w:rFonts w:ascii="宋体" w:hAnsi="宋体" w:cs="宋体"/>
          <w:highlight w:val="none"/>
        </w:rPr>
        <w:br w:type="page"/>
      </w:r>
    </w:p>
    <w:p w14:paraId="13D543C4">
      <w:pPr>
        <w:pStyle w:val="3"/>
        <w:rPr>
          <w:highlight w:val="none"/>
        </w:rPr>
      </w:pPr>
    </w:p>
    <w:p w14:paraId="1B2B1669">
      <w:pPr>
        <w:spacing w:line="360" w:lineRule="auto"/>
        <w:jc w:val="center"/>
        <w:rPr>
          <w:rFonts w:ascii="宋体" w:hAnsi="宋体" w:cs="宋体"/>
          <w:highlight w:val="none"/>
        </w:rPr>
      </w:pPr>
      <w:r>
        <w:rPr>
          <w:rFonts w:hint="eastAsia" w:ascii="宋体" w:hAnsi="宋体" w:cs="宋体"/>
          <w:highlight w:val="none"/>
          <w:lang w:val="en-US" w:eastAsia="zh-CN"/>
        </w:rPr>
        <w:t>6、</w:t>
      </w:r>
      <w:r>
        <w:rPr>
          <w:rFonts w:hint="eastAsia" w:ascii="宋体" w:hAnsi="宋体" w:cs="宋体"/>
          <w:highlight w:val="none"/>
        </w:rPr>
        <w:t>授权委托书</w:t>
      </w:r>
    </w:p>
    <w:p w14:paraId="59E214EC">
      <w:pPr>
        <w:pStyle w:val="202"/>
        <w:spacing w:line="440" w:lineRule="exact"/>
        <w:rPr>
          <w:rFonts w:ascii="宋体" w:hAnsi="宋体" w:cs="宋体"/>
          <w:b/>
          <w:bCs/>
          <w:highlight w:val="none"/>
        </w:rPr>
      </w:pPr>
      <w:r>
        <w:rPr>
          <w:rFonts w:hint="eastAsia" w:ascii="宋体" w:hAnsi="宋体" w:cs="宋体"/>
          <w:highlight w:val="none"/>
          <w:u w:val="single"/>
        </w:rPr>
        <w:t>（采购人名称）</w:t>
      </w:r>
      <w:r>
        <w:rPr>
          <w:rFonts w:hint="eastAsia" w:ascii="宋体" w:hAnsi="宋体" w:cs="宋体"/>
          <w:highlight w:val="none"/>
        </w:rPr>
        <w:t>：</w:t>
      </w:r>
    </w:p>
    <w:p w14:paraId="14BDD224">
      <w:pPr>
        <w:pStyle w:val="202"/>
        <w:autoSpaceDE w:val="0"/>
        <w:autoSpaceDN w:val="0"/>
        <w:spacing w:line="440" w:lineRule="exact"/>
        <w:ind w:firstLine="420" w:firstLineChars="200"/>
        <w:textAlignment w:val="bottom"/>
        <w:rPr>
          <w:rFonts w:ascii="宋体" w:hAnsi="宋体" w:cs="宋体"/>
          <w:highlight w:val="none"/>
        </w:rPr>
      </w:pPr>
      <w:r>
        <w:rPr>
          <w:rFonts w:hint="eastAsia" w:ascii="宋体" w:hAnsi="宋体" w:cs="宋体"/>
          <w:highlight w:val="none"/>
        </w:rPr>
        <w:t>我</w:t>
      </w:r>
      <w:r>
        <w:rPr>
          <w:rFonts w:hint="eastAsia" w:ascii="宋体" w:hAnsi="宋体" w:cs="宋体"/>
          <w:highlight w:val="none"/>
          <w:u w:val="single"/>
        </w:rPr>
        <w:t>（负责人姓名）</w:t>
      </w:r>
      <w:r>
        <w:rPr>
          <w:rFonts w:hint="eastAsia" w:ascii="宋体" w:hAnsi="宋体" w:cs="宋体"/>
          <w:highlight w:val="none"/>
        </w:rPr>
        <w:t>系（投标人全称）的负责人，现授权委托本单位</w:t>
      </w:r>
      <w:r>
        <w:rPr>
          <w:rFonts w:hint="eastAsia" w:ascii="宋体" w:hAnsi="宋体" w:cs="宋体"/>
          <w:b/>
          <w:bCs/>
          <w:highlight w:val="none"/>
        </w:rPr>
        <w:t>在职职工</w:t>
      </w:r>
      <w:r>
        <w:rPr>
          <w:rFonts w:hint="eastAsia" w:ascii="宋体" w:hAnsi="宋体" w:cs="宋体"/>
          <w:b/>
          <w:bCs/>
          <w:highlight w:val="none"/>
          <w:u w:val="single"/>
        </w:rPr>
        <w:t xml:space="preserve">      </w:t>
      </w:r>
      <w:r>
        <w:rPr>
          <w:rFonts w:hint="eastAsia" w:ascii="宋体" w:hAnsi="宋体" w:cs="宋体"/>
          <w:highlight w:val="none"/>
        </w:rPr>
        <w:t>（姓名）以我方</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及</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u w:val="single"/>
          <w:lang w:val="en-US" w:eastAsia="zh-CN"/>
        </w:rPr>
        <w:t>联合体成员名称，若无填写“/”</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lang w:eastAsia="zh-CN"/>
        </w:rPr>
        <w:t>）</w:t>
      </w:r>
      <w:r>
        <w:rPr>
          <w:rFonts w:hint="eastAsia" w:ascii="宋体" w:hAnsi="宋体" w:cs="宋体"/>
          <w:highlight w:val="none"/>
        </w:rPr>
        <w:t>的名义参加就贵方组织的</w:t>
      </w:r>
      <w:r>
        <w:rPr>
          <w:rFonts w:hint="eastAsia" w:ascii="宋体" w:hAnsi="宋体" w:cs="宋体"/>
          <w:highlight w:val="none"/>
          <w:u w:val="single"/>
          <w:lang w:val="en-US" w:eastAsia="zh-CN"/>
        </w:rPr>
        <w:t xml:space="preserve">              </w:t>
      </w:r>
      <w:r>
        <w:rPr>
          <w:rFonts w:hint="eastAsia" w:ascii="宋体" w:hAnsi="宋体" w:cs="宋体"/>
          <w:highlight w:val="none"/>
          <w:u w:val="none"/>
        </w:rPr>
        <w:t>（采购项目名称）</w:t>
      </w:r>
      <w:r>
        <w:rPr>
          <w:rFonts w:hint="eastAsia" w:ascii="宋体" w:hAnsi="宋体" w:cs="宋体"/>
          <w:highlight w:val="none"/>
        </w:rPr>
        <w:t>（采购编号：</w:t>
      </w:r>
      <w:r>
        <w:rPr>
          <w:rFonts w:hint="eastAsia" w:ascii="宋体" w:hAnsi="宋体" w:cs="宋体"/>
          <w:highlight w:val="none"/>
          <w:u w:val="single"/>
        </w:rPr>
        <w:t>　　　　</w:t>
      </w:r>
      <w:r>
        <w:rPr>
          <w:rFonts w:hint="eastAsia" w:ascii="宋体" w:hAnsi="宋体" w:cs="宋体"/>
          <w:highlight w:val="none"/>
        </w:rPr>
        <w:t>）项目的投标活动，并代表我方全权办理针对上述项目的投标、开标、评审、签约等具体事务和签署相关文件。</w:t>
      </w:r>
    </w:p>
    <w:p w14:paraId="3E54134F">
      <w:pPr>
        <w:pStyle w:val="202"/>
        <w:autoSpaceDE w:val="0"/>
        <w:autoSpaceDN w:val="0"/>
        <w:spacing w:line="440" w:lineRule="exact"/>
        <w:textAlignment w:val="bottom"/>
        <w:rPr>
          <w:rFonts w:ascii="宋体" w:hAnsi="宋体" w:cs="宋体"/>
          <w:highlight w:val="none"/>
        </w:rPr>
      </w:pPr>
      <w:r>
        <w:rPr>
          <w:rFonts w:hint="eastAsia" w:ascii="宋体" w:hAnsi="宋体" w:cs="宋体"/>
          <w:highlight w:val="none"/>
        </w:rPr>
        <w:t>我方对被委托人的签字或盖章事项负全部责任。</w:t>
      </w:r>
    </w:p>
    <w:p w14:paraId="16DA7B90">
      <w:pPr>
        <w:pStyle w:val="202"/>
        <w:spacing w:line="440" w:lineRule="exact"/>
        <w:ind w:firstLine="480"/>
        <w:rPr>
          <w:rFonts w:ascii="宋体" w:hAnsi="宋体" w:cs="宋体"/>
          <w:highlight w:val="none"/>
        </w:rPr>
      </w:pPr>
      <w:r>
        <w:rPr>
          <w:rFonts w:hint="eastAsia" w:ascii="宋体" w:hAnsi="宋体" w:cs="宋体"/>
          <w:highlight w:val="none"/>
        </w:rPr>
        <w:t>本授权书自签署之日起生效，在撤销授权的书面通知送达贵方以前，本授权委托书一直有效。被委托人在授权书有效期内签署的所有文件不因授权的撤销而失效。</w:t>
      </w:r>
    </w:p>
    <w:p w14:paraId="204C3B88">
      <w:pPr>
        <w:pStyle w:val="202"/>
        <w:spacing w:line="440" w:lineRule="exact"/>
        <w:ind w:firstLine="480"/>
        <w:rPr>
          <w:rFonts w:ascii="宋体" w:hAnsi="宋体" w:cs="宋体"/>
          <w:highlight w:val="none"/>
        </w:rPr>
      </w:pPr>
      <w:r>
        <w:rPr>
          <w:rFonts w:hint="eastAsia" w:ascii="宋体" w:hAnsi="宋体" w:cs="宋体"/>
          <w:highlight w:val="none"/>
        </w:rPr>
        <w:t>被委托人无转委托权，特此声明。</w:t>
      </w:r>
    </w:p>
    <w:p w14:paraId="53DE50A3">
      <w:pPr>
        <w:pStyle w:val="202"/>
        <w:spacing w:line="440" w:lineRule="exact"/>
        <w:ind w:firstLine="480"/>
        <w:rPr>
          <w:rFonts w:ascii="宋体" w:hAnsi="宋体" w:cs="宋体"/>
          <w:highlight w:val="none"/>
        </w:rPr>
      </w:pPr>
    </w:p>
    <w:p w14:paraId="5B3E3E0E">
      <w:pPr>
        <w:pStyle w:val="202"/>
        <w:spacing w:line="440" w:lineRule="exact"/>
        <w:ind w:firstLine="5250" w:firstLineChars="2100"/>
        <w:jc w:val="both"/>
        <w:rPr>
          <w:rFonts w:hint="eastAsia" w:ascii="宋体" w:hAnsi="宋体" w:cs="宋体"/>
          <w:spacing w:val="20"/>
          <w:highlight w:val="none"/>
          <w:u w:val="single"/>
        </w:rPr>
      </w:pPr>
      <w:r>
        <w:rPr>
          <w:rFonts w:hint="eastAsia" w:ascii="宋体" w:hAnsi="宋体" w:cs="宋体"/>
          <w:spacing w:val="20"/>
          <w:highlight w:val="none"/>
        </w:rPr>
        <w:t xml:space="preserve"> 负责人（签字或盖章）：</w:t>
      </w:r>
      <w:r>
        <w:rPr>
          <w:rFonts w:hint="eastAsia" w:ascii="宋体" w:hAnsi="宋体" w:cs="宋体"/>
          <w:spacing w:val="20"/>
          <w:highlight w:val="none"/>
          <w:u w:val="single"/>
        </w:rPr>
        <w:t xml:space="preserve">       </w:t>
      </w:r>
    </w:p>
    <w:p w14:paraId="1D029A14">
      <w:pPr>
        <w:pStyle w:val="202"/>
        <w:spacing w:line="440" w:lineRule="exact"/>
        <w:ind w:firstLine="4000" w:firstLineChars="1600"/>
        <w:jc w:val="center"/>
        <w:rPr>
          <w:rFonts w:hint="eastAsia" w:ascii="宋体" w:hAnsi="宋体" w:cs="宋体"/>
          <w:spacing w:val="20"/>
          <w:highlight w:val="none"/>
          <w:u w:val="none"/>
        </w:rPr>
      </w:pPr>
      <w:r>
        <w:rPr>
          <w:rFonts w:hint="eastAsia" w:ascii="宋体" w:hAnsi="宋体" w:cs="宋体"/>
          <w:spacing w:val="20"/>
          <w:highlight w:val="none"/>
          <w:u w:val="none"/>
          <w:lang w:val="en-US" w:eastAsia="zh-CN"/>
        </w:rPr>
        <w:t>或</w:t>
      </w:r>
      <w:r>
        <w:rPr>
          <w:rFonts w:hint="eastAsia" w:ascii="宋体" w:hAnsi="宋体" w:cs="宋体"/>
          <w:spacing w:val="20"/>
          <w:highlight w:val="none"/>
          <w:u w:val="none"/>
          <w:lang w:val="zh-CN" w:eastAsia="zh-CN"/>
        </w:rPr>
        <w:t>联合体成员名称(签名/公章)：</w:t>
      </w:r>
      <w:r>
        <w:rPr>
          <w:rFonts w:hint="eastAsia" w:ascii="宋体" w:hAnsi="宋体" w:cs="宋体"/>
          <w:spacing w:val="20"/>
          <w:highlight w:val="none"/>
          <w:u w:val="single"/>
          <w:lang w:val="en-US" w:eastAsia="zh-CN"/>
        </w:rPr>
        <w:t xml:space="preserve">    </w:t>
      </w:r>
      <w:r>
        <w:rPr>
          <w:rFonts w:hint="eastAsia" w:ascii="宋体" w:hAnsi="宋体" w:cs="宋体"/>
          <w:kern w:val="0"/>
          <w:highlight w:val="none"/>
          <w:u w:val="single"/>
        </w:rPr>
        <w:t xml:space="preserve">  </w:t>
      </w:r>
      <w:r>
        <w:rPr>
          <w:rFonts w:hint="eastAsia" w:ascii="宋体" w:hAnsi="宋体" w:cs="宋体"/>
          <w:spacing w:val="20"/>
          <w:highlight w:val="none"/>
          <w:u w:val="single"/>
        </w:rPr>
        <w:t xml:space="preserve">     </w:t>
      </w:r>
    </w:p>
    <w:p w14:paraId="0AFDCD8F">
      <w:pPr>
        <w:pStyle w:val="202"/>
        <w:spacing w:line="440" w:lineRule="exact"/>
        <w:ind w:firstLine="5460" w:firstLineChars="2600"/>
        <w:jc w:val="both"/>
        <w:rPr>
          <w:rFonts w:ascii="宋体" w:hAnsi="宋体" w:cs="宋体"/>
          <w:kern w:val="0"/>
          <w:highlight w:val="none"/>
          <w:u w:val="single"/>
        </w:rPr>
      </w:pPr>
      <w:r>
        <w:rPr>
          <w:rFonts w:hint="eastAsia" w:ascii="宋体" w:hAnsi="宋体" w:cs="宋体"/>
          <w:kern w:val="0"/>
          <w:highlight w:val="none"/>
          <w:lang w:val="zh-CN"/>
        </w:rPr>
        <w:t>投标人(公章)：</w:t>
      </w:r>
      <w:r>
        <w:rPr>
          <w:rFonts w:hint="eastAsia" w:ascii="宋体" w:hAnsi="宋体" w:cs="宋体"/>
          <w:kern w:val="0"/>
          <w:highlight w:val="none"/>
          <w:u w:val="single"/>
        </w:rPr>
        <w:t xml:space="preserve">          </w:t>
      </w:r>
    </w:p>
    <w:p w14:paraId="45FF812A">
      <w:pPr>
        <w:adjustRightInd w:val="0"/>
        <w:spacing w:line="360" w:lineRule="auto"/>
        <w:ind w:right="1120" w:firstLine="4620" w:firstLineChars="2200"/>
        <w:jc w:val="right"/>
        <w:rPr>
          <w:rFonts w:ascii="宋体" w:hAnsi="宋体" w:cs="宋体"/>
          <w:highlight w:val="none"/>
        </w:rPr>
      </w:pPr>
      <w:r>
        <w:rPr>
          <w:rFonts w:hint="eastAsia" w:ascii="宋体" w:hAnsi="宋体" w:cs="宋体"/>
          <w:kern w:val="0"/>
          <w:highlight w:val="none"/>
          <w:lang w:val="en-US" w:eastAsia="zh-CN"/>
        </w:rPr>
        <w:t xml:space="preserve">        </w:t>
      </w:r>
      <w:r>
        <w:rPr>
          <w:rFonts w:hint="eastAsia" w:ascii="宋体" w:hAnsi="宋体" w:cs="宋体"/>
          <w:kern w:val="0"/>
          <w:highlight w:val="none"/>
          <w:lang w:val="zh-CN"/>
        </w:rPr>
        <w:t>日期</w:t>
      </w:r>
      <w:r>
        <w:rPr>
          <w:rFonts w:hint="eastAsia" w:ascii="宋体" w:hAnsi="宋体" w:cs="宋体"/>
          <w:kern w:val="0"/>
          <w:highlight w:val="none"/>
        </w:rPr>
        <w:t>：</w:t>
      </w:r>
      <w:r>
        <w:rPr>
          <w:rFonts w:hint="eastAsia" w:ascii="宋体" w:hAnsi="宋体" w:cs="宋体"/>
          <w:kern w:val="0"/>
          <w:highlight w:val="none"/>
          <w:u w:val="single"/>
        </w:rPr>
        <w:t xml:space="preserve">   </w:t>
      </w:r>
      <w:r>
        <w:rPr>
          <w:rFonts w:hint="eastAsia" w:ascii="宋体" w:hAnsi="宋体" w:cs="宋体"/>
          <w:kern w:val="0"/>
          <w:highlight w:val="none"/>
        </w:rPr>
        <w:t>年</w:t>
      </w:r>
      <w:r>
        <w:rPr>
          <w:rFonts w:hint="eastAsia" w:ascii="宋体" w:hAnsi="宋体" w:cs="宋体"/>
          <w:kern w:val="0"/>
          <w:highlight w:val="none"/>
          <w:u w:val="single"/>
        </w:rPr>
        <w:t xml:space="preserve">    </w:t>
      </w:r>
      <w:r>
        <w:rPr>
          <w:rFonts w:hint="eastAsia" w:ascii="宋体" w:hAnsi="宋体" w:cs="宋体"/>
          <w:kern w:val="0"/>
          <w:highlight w:val="none"/>
          <w:lang w:val="zh-CN"/>
        </w:rPr>
        <w:t>月</w:t>
      </w:r>
      <w:r>
        <w:rPr>
          <w:rFonts w:hint="eastAsia" w:ascii="宋体" w:hAnsi="宋体" w:cs="宋体"/>
          <w:kern w:val="0"/>
          <w:highlight w:val="none"/>
          <w:u w:val="single"/>
        </w:rPr>
        <w:t xml:space="preserve">    </w:t>
      </w:r>
      <w:r>
        <w:rPr>
          <w:rFonts w:hint="eastAsia" w:ascii="宋体" w:hAnsi="宋体" w:cs="宋体"/>
          <w:kern w:val="0"/>
          <w:highlight w:val="none"/>
          <w:lang w:val="zh-CN"/>
        </w:rPr>
        <w:t>日</w:t>
      </w:r>
    </w:p>
    <w:p w14:paraId="51C02287">
      <w:pPr>
        <w:pStyle w:val="202"/>
        <w:spacing w:line="440" w:lineRule="exact"/>
        <w:ind w:firstLine="210" w:firstLineChars="100"/>
        <w:rPr>
          <w:rFonts w:ascii="宋体" w:hAnsi="宋体" w:cs="宋体"/>
          <w:highlight w:val="none"/>
        </w:rPr>
      </w:pPr>
      <w:r>
        <w:rPr>
          <w:rFonts w:hint="eastAsia" w:ascii="宋体" w:hAnsi="宋体" w:cs="宋体"/>
          <w:highlight w:val="none"/>
        </w:rPr>
        <w:t>_______________________________________________________________________________</w:t>
      </w:r>
    </w:p>
    <w:p w14:paraId="0250DB83">
      <w:pPr>
        <w:pStyle w:val="202"/>
        <w:spacing w:line="440" w:lineRule="exact"/>
        <w:ind w:firstLine="480"/>
        <w:rPr>
          <w:rFonts w:ascii="宋体" w:hAnsi="宋体" w:cs="宋体"/>
          <w:highlight w:val="none"/>
        </w:rPr>
      </w:pPr>
      <w:r>
        <w:rPr>
          <w:rFonts w:hint="eastAsia" w:ascii="宋体" w:hAnsi="宋体" w:cs="宋体"/>
          <w:highlight w:val="none"/>
        </w:rPr>
        <w:t>附：1、委托代理人工作单位：</w:t>
      </w:r>
      <w:r>
        <w:rPr>
          <w:rFonts w:hint="eastAsia" w:ascii="宋体" w:hAnsi="宋体" w:cs="宋体"/>
          <w:highlight w:val="none"/>
        </w:rPr>
        <w:tab/>
      </w:r>
      <w:r>
        <w:rPr>
          <w:rFonts w:hint="eastAsia" w:ascii="宋体" w:hAnsi="宋体" w:cs="宋体"/>
          <w:highlight w:val="none"/>
        </w:rPr>
        <w:tab/>
      </w:r>
      <w:r>
        <w:rPr>
          <w:rFonts w:hint="eastAsia" w:ascii="宋体" w:hAnsi="宋体" w:cs="宋体"/>
          <w:highlight w:val="none"/>
        </w:rPr>
        <w:tab/>
      </w:r>
      <w:r>
        <w:rPr>
          <w:rFonts w:hint="eastAsia" w:ascii="宋体" w:hAnsi="宋体" w:cs="宋体"/>
          <w:highlight w:val="none"/>
        </w:rPr>
        <w:tab/>
      </w:r>
      <w:r>
        <w:rPr>
          <w:rFonts w:hint="eastAsia" w:ascii="宋体" w:hAnsi="宋体" w:cs="宋体"/>
          <w:highlight w:val="none"/>
        </w:rPr>
        <w:tab/>
      </w:r>
      <w:r>
        <w:rPr>
          <w:rFonts w:hint="eastAsia" w:ascii="宋体" w:hAnsi="宋体" w:cs="宋体"/>
          <w:highlight w:val="none"/>
        </w:rPr>
        <w:t>职务：</w:t>
      </w:r>
    </w:p>
    <w:p w14:paraId="3FAF4E63">
      <w:pPr>
        <w:pStyle w:val="202"/>
        <w:spacing w:line="440" w:lineRule="exact"/>
        <w:ind w:firstLine="1260" w:firstLineChars="600"/>
        <w:rPr>
          <w:rFonts w:ascii="宋体" w:hAnsi="宋体" w:cs="宋体"/>
          <w:highlight w:val="none"/>
        </w:rPr>
      </w:pPr>
      <w:r>
        <w:rPr>
          <w:rFonts w:hint="eastAsia" w:ascii="宋体" w:hAnsi="宋体" w:cs="宋体"/>
          <w:highlight w:val="none"/>
        </w:rPr>
        <w:t>身份证号码：　　　　　　　　　　</w:t>
      </w:r>
      <w:r>
        <w:rPr>
          <w:rFonts w:hint="eastAsia" w:ascii="宋体" w:hAnsi="宋体" w:cs="宋体"/>
          <w:highlight w:val="none"/>
        </w:rPr>
        <w:tab/>
      </w:r>
      <w:r>
        <w:rPr>
          <w:rFonts w:hint="eastAsia" w:ascii="宋体" w:hAnsi="宋体" w:cs="宋体"/>
          <w:highlight w:val="none"/>
        </w:rPr>
        <w:t>性别：　</w:t>
      </w:r>
    </w:p>
    <w:p w14:paraId="6DCACFFE">
      <w:pPr>
        <w:pStyle w:val="202"/>
        <w:spacing w:line="360" w:lineRule="auto"/>
        <w:ind w:firstLine="420"/>
        <w:rPr>
          <w:rFonts w:ascii="宋体" w:hAnsi="宋体" w:cs="宋体"/>
          <w:b/>
          <w:bCs/>
          <w:highlight w:val="none"/>
        </w:rPr>
      </w:pPr>
    </w:p>
    <w:p w14:paraId="0AD83665">
      <w:pPr>
        <w:pStyle w:val="202"/>
        <w:spacing w:line="400" w:lineRule="exact"/>
        <w:ind w:firstLine="420"/>
        <w:rPr>
          <w:rFonts w:ascii="宋体" w:hAnsi="宋体" w:cs="宋体"/>
          <w:highlight w:val="none"/>
        </w:rPr>
      </w:pPr>
      <w:r>
        <w:rPr>
          <w:rFonts w:hint="eastAsia" w:ascii="宋体" w:hAnsi="宋体" w:cs="宋体"/>
          <w:b/>
          <w:highlight w:val="none"/>
        </w:rPr>
        <w:t>注：</w:t>
      </w:r>
      <w:r>
        <w:rPr>
          <w:rFonts w:hint="eastAsia" w:ascii="宋体" w:hAnsi="宋体" w:cs="宋体"/>
          <w:highlight w:val="none"/>
        </w:rPr>
        <w:t>1、投标人为法人企业的，其负责人为其法定代表人；投标人为其他组织的，其负责人为法律、行政法规规定代表单位行使职权的主要负责人。</w:t>
      </w:r>
    </w:p>
    <w:p w14:paraId="4CA3334E">
      <w:pPr>
        <w:pStyle w:val="202"/>
        <w:spacing w:line="400" w:lineRule="exact"/>
        <w:ind w:firstLine="787" w:firstLineChars="375"/>
        <w:rPr>
          <w:rFonts w:ascii="宋体" w:hAnsi="宋体" w:cs="宋体"/>
          <w:highlight w:val="none"/>
        </w:rPr>
      </w:pPr>
      <w:r>
        <w:rPr>
          <w:rFonts w:hint="eastAsia" w:ascii="宋体" w:hAnsi="宋体" w:cs="宋体"/>
          <w:highlight w:val="none"/>
        </w:rPr>
        <w:t>2、委托人为上述条款中的负责人。</w:t>
      </w:r>
    </w:p>
    <w:p w14:paraId="0ACD3A29">
      <w:pPr>
        <w:pStyle w:val="202"/>
        <w:spacing w:line="400" w:lineRule="exact"/>
        <w:ind w:firstLine="787" w:firstLineChars="375"/>
        <w:rPr>
          <w:rFonts w:ascii="宋体" w:hAnsi="宋体" w:cs="宋体"/>
          <w:b/>
          <w:highlight w:val="none"/>
        </w:rPr>
      </w:pPr>
      <w:r>
        <w:rPr>
          <w:rFonts w:hint="eastAsia" w:ascii="宋体" w:hAnsi="宋体" w:cs="宋体"/>
          <w:highlight w:val="none"/>
        </w:rPr>
        <w:t>3、本“授权委托书”需附负责人</w:t>
      </w:r>
      <w:r>
        <w:rPr>
          <w:rFonts w:hint="eastAsia" w:ascii="宋体" w:hAnsi="宋体" w:cs="宋体"/>
          <w:b/>
          <w:highlight w:val="none"/>
        </w:rPr>
        <w:t>和</w:t>
      </w:r>
      <w:r>
        <w:rPr>
          <w:rFonts w:hint="eastAsia" w:ascii="宋体" w:hAnsi="宋体" w:cs="宋体"/>
          <w:highlight w:val="none"/>
        </w:rPr>
        <w:t>委托代理人身份证扫描件</w:t>
      </w:r>
      <w:r>
        <w:rPr>
          <w:rFonts w:hint="eastAsia" w:ascii="宋体" w:hAnsi="宋体" w:cs="宋体"/>
          <w:highlight w:val="none"/>
          <w:lang w:val="en-US" w:eastAsia="zh-CN"/>
        </w:rPr>
        <w:t>或复印件</w:t>
      </w:r>
      <w:r>
        <w:rPr>
          <w:rFonts w:hint="eastAsia" w:ascii="宋体" w:hAnsi="宋体" w:cs="宋体"/>
          <w:highlight w:val="none"/>
        </w:rPr>
        <w:t>，如扫描件</w:t>
      </w:r>
      <w:r>
        <w:rPr>
          <w:rFonts w:hint="eastAsia" w:ascii="宋体" w:hAnsi="宋体" w:cs="宋体"/>
          <w:highlight w:val="none"/>
          <w:lang w:val="en-US" w:eastAsia="zh-CN"/>
        </w:rPr>
        <w:t>或复印件</w:t>
      </w:r>
      <w:r>
        <w:rPr>
          <w:rFonts w:hint="eastAsia" w:ascii="宋体" w:hAnsi="宋体" w:cs="宋体"/>
          <w:highlight w:val="none"/>
        </w:rPr>
        <w:t>不清晰或错误的，后果由投标人自行承担。</w:t>
      </w:r>
    </w:p>
    <w:p w14:paraId="3FAD16A8">
      <w:pPr>
        <w:pStyle w:val="201"/>
        <w:spacing w:line="440" w:lineRule="exact"/>
        <w:ind w:firstLine="422" w:firstLineChars="200"/>
        <w:rPr>
          <w:rFonts w:hAnsi="宋体" w:cs="宋体"/>
          <w:highlight w:val="none"/>
        </w:rPr>
      </w:pPr>
      <w:r>
        <w:rPr>
          <w:rFonts w:hint="eastAsia" w:hAnsi="宋体" w:cs="宋体"/>
          <w:b/>
          <w:highlight w:val="none"/>
        </w:rPr>
        <w:t>4、上述格式中的“负责人签字或盖章”，投标人通过</w:t>
      </w:r>
      <w:r>
        <w:rPr>
          <w:rFonts w:hint="eastAsia" w:hAnsi="宋体" w:cs="宋体"/>
          <w:b/>
          <w:highlight w:val="none"/>
          <w:lang w:val="en-US" w:eastAsia="zh-CN"/>
        </w:rPr>
        <w:t>乐采云</w:t>
      </w:r>
      <w:r>
        <w:rPr>
          <w:rFonts w:hint="eastAsia" w:hAnsi="宋体" w:cs="宋体"/>
          <w:b/>
          <w:highlight w:val="none"/>
        </w:rPr>
        <w:t>平台电子投标工具无法完成的，可以采用纸质签字完成后再扫描上传</w:t>
      </w:r>
      <w:r>
        <w:rPr>
          <w:rFonts w:hint="eastAsia" w:hAnsi="宋体" w:cs="宋体"/>
          <w:b/>
          <w:highlight w:val="none"/>
          <w:lang w:val="en-US" w:eastAsia="zh-CN"/>
        </w:rPr>
        <w:t>乐采云</w:t>
      </w:r>
      <w:r>
        <w:rPr>
          <w:rFonts w:hint="eastAsia" w:hAnsi="宋体" w:cs="宋体"/>
          <w:b/>
          <w:highlight w:val="none"/>
        </w:rPr>
        <w:t>平台电子投标工具。</w:t>
      </w:r>
      <w:r>
        <w:rPr>
          <w:rFonts w:hint="eastAsia" w:hAnsi="宋体" w:cs="宋体"/>
          <w:highlight w:val="none"/>
        </w:rPr>
        <w:br w:type="page"/>
      </w:r>
      <w:r>
        <w:rPr>
          <w:rFonts w:hint="eastAsia" w:hAnsi="宋体" w:cs="宋体"/>
          <w:highlight w:val="none"/>
        </w:rPr>
        <w:t>负责人身份证扫描件</w:t>
      </w:r>
      <w:r>
        <w:rPr>
          <w:rFonts w:hint="eastAsia" w:hAnsi="宋体" w:cs="宋体"/>
          <w:highlight w:val="none"/>
          <w:lang w:val="en-US" w:eastAsia="zh-CN"/>
        </w:rPr>
        <w:t>或复印件</w:t>
      </w:r>
      <w:r>
        <w:rPr>
          <w:rFonts w:hint="eastAsia" w:hAnsi="宋体" w:cs="宋体"/>
          <w:highlight w:val="none"/>
        </w:rPr>
        <w:t>：</w:t>
      </w:r>
    </w:p>
    <w:tbl>
      <w:tblPr>
        <w:tblStyle w:val="49"/>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290A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5EA58B7">
            <w:pPr>
              <w:pStyle w:val="201"/>
              <w:spacing w:line="440" w:lineRule="exact"/>
              <w:rPr>
                <w:rFonts w:hAnsi="宋体" w:cs="宋体"/>
                <w:highlight w:val="none"/>
              </w:rPr>
            </w:pPr>
            <w:r>
              <w:rPr>
                <w:rFonts w:hint="eastAsia" w:hAnsi="宋体" w:cs="宋体"/>
                <w:highlight w:val="none"/>
              </w:rPr>
              <w:t>正面：反面：</w:t>
            </w:r>
          </w:p>
          <w:p w14:paraId="73029CB3">
            <w:pPr>
              <w:pStyle w:val="201"/>
              <w:spacing w:line="440" w:lineRule="exact"/>
              <w:rPr>
                <w:rFonts w:hAnsi="宋体" w:cs="宋体"/>
                <w:highlight w:val="none"/>
              </w:rPr>
            </w:pPr>
          </w:p>
        </w:tc>
      </w:tr>
    </w:tbl>
    <w:p w14:paraId="63130C3B">
      <w:pPr>
        <w:pStyle w:val="201"/>
        <w:spacing w:line="440" w:lineRule="exact"/>
        <w:rPr>
          <w:rFonts w:hAnsi="宋体" w:cs="宋体"/>
          <w:highlight w:val="none"/>
        </w:rPr>
      </w:pPr>
      <w:r>
        <w:rPr>
          <w:rFonts w:hint="eastAsia" w:hAnsi="宋体" w:cs="宋体"/>
          <w:highlight w:val="none"/>
        </w:rPr>
        <w:t>委托代理人身份证扫描件</w:t>
      </w:r>
      <w:r>
        <w:rPr>
          <w:rFonts w:hint="eastAsia" w:hAnsi="宋体" w:cs="宋体"/>
          <w:highlight w:val="none"/>
          <w:lang w:val="en-US" w:eastAsia="zh-CN"/>
        </w:rPr>
        <w:t>或复印件</w:t>
      </w:r>
      <w:r>
        <w:rPr>
          <w:rFonts w:hint="eastAsia" w:hAnsi="宋体" w:cs="宋体"/>
          <w:highlight w:val="none"/>
        </w:rPr>
        <w:t>：</w:t>
      </w:r>
    </w:p>
    <w:tbl>
      <w:tblPr>
        <w:tblStyle w:val="49"/>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C959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61B1244D">
            <w:pPr>
              <w:pStyle w:val="201"/>
              <w:spacing w:line="440" w:lineRule="exact"/>
              <w:rPr>
                <w:rFonts w:hAnsi="宋体" w:cs="宋体"/>
                <w:highlight w:val="none"/>
              </w:rPr>
            </w:pPr>
            <w:r>
              <w:rPr>
                <w:rFonts w:hint="eastAsia" w:hAnsi="宋体" w:cs="宋体"/>
                <w:highlight w:val="none"/>
              </w:rPr>
              <w:t>正面：反面：</w:t>
            </w:r>
          </w:p>
          <w:p w14:paraId="329E0902">
            <w:pPr>
              <w:pStyle w:val="201"/>
              <w:spacing w:line="440" w:lineRule="exact"/>
              <w:rPr>
                <w:rFonts w:hAnsi="宋体" w:cs="宋体"/>
                <w:highlight w:val="none"/>
              </w:rPr>
            </w:pPr>
          </w:p>
        </w:tc>
      </w:tr>
    </w:tbl>
    <w:p w14:paraId="696D80EF">
      <w:pPr>
        <w:pStyle w:val="201"/>
        <w:spacing w:line="360" w:lineRule="auto"/>
        <w:ind w:firstLine="4000" w:firstLineChars="1600"/>
        <w:rPr>
          <w:rFonts w:hAnsi="宋体" w:cs="宋体"/>
          <w:spacing w:val="20"/>
          <w:highlight w:val="none"/>
        </w:rPr>
      </w:pPr>
    </w:p>
    <w:p w14:paraId="6F6DF76C">
      <w:pPr>
        <w:pStyle w:val="28"/>
        <w:spacing w:line="360" w:lineRule="auto"/>
        <w:ind w:right="480" w:firstLine="2100" w:firstLineChars="1000"/>
        <w:jc w:val="right"/>
        <w:rPr>
          <w:rFonts w:hAnsi="宋体"/>
          <w:highlight w:val="none"/>
        </w:rPr>
      </w:pPr>
      <w:r>
        <w:rPr>
          <w:rFonts w:hint="eastAsia" w:hAnsi="宋体"/>
          <w:highlight w:val="none"/>
        </w:rPr>
        <w:t>负责人（或委托代理人）（签字或盖章）_____________</w:t>
      </w:r>
    </w:p>
    <w:p w14:paraId="0FD6A127">
      <w:pPr>
        <w:pStyle w:val="28"/>
        <w:spacing w:line="360" w:lineRule="auto"/>
        <w:ind w:right="480"/>
        <w:jc w:val="right"/>
        <w:rPr>
          <w:rFonts w:hAnsi="宋体"/>
          <w:highlight w:val="none"/>
        </w:rPr>
      </w:pPr>
      <w:r>
        <w:rPr>
          <w:rFonts w:hint="eastAsia" w:hAnsi="宋体"/>
          <w:highlight w:val="none"/>
        </w:rPr>
        <w:t>　　　　　　　　　　　　　投标人（公章）_____________</w:t>
      </w:r>
    </w:p>
    <w:p w14:paraId="30CD5C9A">
      <w:pPr>
        <w:pStyle w:val="28"/>
        <w:wordWrap w:val="0"/>
        <w:spacing w:line="360" w:lineRule="auto"/>
        <w:ind w:right="480" w:firstLine="3990" w:firstLineChars="1900"/>
        <w:jc w:val="right"/>
        <w:rPr>
          <w:rFonts w:hAnsi="宋体"/>
          <w:highlight w:val="none"/>
        </w:rPr>
      </w:pPr>
      <w:r>
        <w:rPr>
          <w:rFonts w:hint="eastAsia" w:hAnsi="宋体"/>
          <w:highlight w:val="none"/>
        </w:rPr>
        <w:t>日期：_____年____月____日</w:t>
      </w:r>
    </w:p>
    <w:p w14:paraId="4E93DED4">
      <w:pPr>
        <w:snapToGrid w:val="0"/>
        <w:spacing w:line="500" w:lineRule="exact"/>
        <w:jc w:val="center"/>
        <w:rPr>
          <w:rFonts w:ascii="宋体" w:hAnsi="宋体" w:cs="宋体"/>
          <w:highlight w:val="none"/>
        </w:rPr>
      </w:pPr>
    </w:p>
    <w:p w14:paraId="37344238">
      <w:pPr>
        <w:rPr>
          <w:rFonts w:hint="eastAsia" w:ascii="宋体" w:hAnsi="宋体" w:cs="宋体"/>
          <w:highlight w:val="none"/>
          <w:lang w:val="en-US" w:eastAsia="zh-CN"/>
        </w:rPr>
      </w:pPr>
      <w:r>
        <w:rPr>
          <w:rFonts w:hint="eastAsia" w:ascii="宋体" w:hAnsi="宋体" w:cs="宋体"/>
          <w:highlight w:val="none"/>
          <w:lang w:val="en-US" w:eastAsia="zh-CN"/>
        </w:rPr>
        <w:br w:type="page"/>
      </w:r>
    </w:p>
    <w:p w14:paraId="1A12045C">
      <w:pPr>
        <w:spacing w:line="360" w:lineRule="auto"/>
        <w:jc w:val="center"/>
        <w:rPr>
          <w:rFonts w:hint="eastAsia" w:ascii="宋体" w:hAnsi="宋体" w:cs="宋体"/>
          <w:highlight w:val="none"/>
          <w:lang w:val="en-US" w:eastAsia="zh-CN"/>
        </w:rPr>
      </w:pPr>
      <w:r>
        <w:rPr>
          <w:rFonts w:hint="eastAsia" w:ascii="宋体" w:hAnsi="宋体" w:cs="宋体"/>
          <w:highlight w:val="none"/>
          <w:lang w:val="en-US" w:eastAsia="zh-CN"/>
        </w:rPr>
        <w:t>7、联合协议（若有）</w:t>
      </w:r>
    </w:p>
    <w:p w14:paraId="76D168CA">
      <w:pPr>
        <w:keepNext w:val="0"/>
        <w:keepLines w:val="0"/>
        <w:pageBreakBefore w:val="0"/>
        <w:widowControl/>
        <w:kinsoku/>
        <w:wordWrap/>
        <w:overflowPunct/>
        <w:topLinePunct w:val="0"/>
        <w:autoSpaceDE/>
        <w:autoSpaceDN/>
        <w:bidi w:val="0"/>
        <w:adjustRightInd/>
        <w:snapToGrid/>
        <w:spacing w:after="157" w:afterLines="50" w:line="360" w:lineRule="auto"/>
        <w:ind w:firstLine="422" w:firstLineChars="200"/>
        <w:jc w:val="center"/>
        <w:textAlignment w:val="auto"/>
        <w:rPr>
          <w:rFonts w:hint="eastAsia" w:ascii="宋体" w:hAnsi="宋体" w:eastAsia="宋体" w:cs="宋体"/>
          <w:b/>
          <w:color w:val="auto"/>
          <w:sz w:val="21"/>
          <w:szCs w:val="21"/>
        </w:rPr>
      </w:pPr>
      <w:r>
        <w:rPr>
          <w:rFonts w:hint="eastAsia" w:ascii="宋体" w:hAnsi="宋体" w:eastAsia="宋体" w:cs="宋体"/>
          <w:b/>
          <w:color w:val="auto"/>
          <w:sz w:val="21"/>
          <w:szCs w:val="21"/>
        </w:rPr>
        <w:t>（以联合体形式投标的，提供联合协议）</w:t>
      </w:r>
    </w:p>
    <w:p w14:paraId="1FF6A3F1">
      <w:pPr>
        <w:snapToGrid w:val="0"/>
        <w:spacing w:line="480" w:lineRule="auto"/>
        <w:ind w:firstLine="576"/>
        <w:rPr>
          <w:rFonts w:hint="eastAsia" w:ascii="宋体" w:hAnsi="宋体" w:eastAsia="宋体" w:cs="宋体"/>
          <w:color w:val="auto"/>
          <w:kern w:val="0"/>
          <w:sz w:val="21"/>
          <w:szCs w:val="21"/>
          <w:lang w:val="zh-CN"/>
        </w:rPr>
      </w:pPr>
      <w:r>
        <w:rPr>
          <w:rFonts w:hint="eastAsia" w:ascii="宋体" w:hAnsi="宋体" w:eastAsia="宋体" w:cs="宋体"/>
          <w:color w:val="auto"/>
          <w:kern w:val="0"/>
          <w:sz w:val="21"/>
          <w:szCs w:val="21"/>
          <w:u w:val="single"/>
        </w:rPr>
        <w:t>（联合体所有成员名称）</w:t>
      </w:r>
      <w:r>
        <w:rPr>
          <w:rFonts w:hint="eastAsia" w:ascii="宋体" w:hAnsi="宋体" w:eastAsia="宋体" w:cs="宋体"/>
          <w:color w:val="auto"/>
          <w:kern w:val="0"/>
          <w:sz w:val="21"/>
          <w:szCs w:val="21"/>
        </w:rPr>
        <w:t>自愿</w:t>
      </w:r>
      <w:r>
        <w:rPr>
          <w:rFonts w:hint="eastAsia" w:ascii="宋体" w:hAnsi="宋体" w:eastAsia="宋体" w:cs="宋体"/>
          <w:color w:val="auto"/>
          <w:kern w:val="0"/>
          <w:sz w:val="21"/>
          <w:szCs w:val="21"/>
          <w:lang w:val="zh-CN"/>
        </w:rPr>
        <w:t>组成一个联合体，以一个投标人的身份</w:t>
      </w:r>
      <w:r>
        <w:rPr>
          <w:rFonts w:hint="eastAsia" w:ascii="宋体" w:hAnsi="宋体" w:eastAsia="宋体" w:cs="宋体"/>
          <w:color w:val="auto"/>
          <w:kern w:val="0"/>
          <w:sz w:val="21"/>
          <w:szCs w:val="21"/>
        </w:rPr>
        <w:t>参加</w:t>
      </w:r>
      <w:r>
        <w:rPr>
          <w:rFonts w:hint="eastAsia" w:ascii="宋体" w:hAnsi="宋体" w:eastAsia="宋体" w:cs="宋体"/>
          <w:color w:val="auto"/>
          <w:sz w:val="21"/>
          <w:szCs w:val="21"/>
        </w:rPr>
        <w:t>（项目名称）【招标编号：（采购编号）】</w:t>
      </w:r>
      <w:r>
        <w:rPr>
          <w:rFonts w:hint="eastAsia" w:ascii="宋体" w:hAnsi="宋体" w:eastAsia="宋体" w:cs="宋体"/>
          <w:color w:val="auto"/>
          <w:kern w:val="0"/>
          <w:sz w:val="21"/>
          <w:szCs w:val="21"/>
          <w:lang w:val="zh-CN"/>
        </w:rPr>
        <w:t xml:space="preserve">投标。 </w:t>
      </w:r>
    </w:p>
    <w:p w14:paraId="56873CD6">
      <w:pPr>
        <w:snapToGrid w:val="0"/>
        <w:spacing w:line="480" w:lineRule="auto"/>
        <w:ind w:firstLine="576"/>
        <w:rPr>
          <w:rFonts w:hint="eastAsia" w:ascii="宋体" w:hAnsi="宋体" w:eastAsia="宋体" w:cs="宋体"/>
          <w:color w:val="auto"/>
          <w:kern w:val="0"/>
          <w:sz w:val="21"/>
          <w:szCs w:val="21"/>
          <w:lang w:val="zh-CN"/>
        </w:rPr>
      </w:pPr>
      <w:r>
        <w:rPr>
          <w:rFonts w:hint="eastAsia" w:ascii="宋体" w:hAnsi="宋体" w:eastAsia="宋体" w:cs="宋体"/>
          <w:color w:val="auto"/>
          <w:kern w:val="0"/>
          <w:sz w:val="21"/>
          <w:szCs w:val="21"/>
          <w:lang w:val="zh-CN"/>
        </w:rPr>
        <w:t>一、各方一致决定，</w:t>
      </w:r>
      <w:r>
        <w:rPr>
          <w:rFonts w:hint="eastAsia" w:ascii="宋体" w:hAnsi="宋体" w:eastAsia="宋体" w:cs="宋体"/>
          <w:color w:val="auto"/>
          <w:kern w:val="0"/>
          <w:sz w:val="21"/>
          <w:szCs w:val="21"/>
          <w:u w:val="single"/>
        </w:rPr>
        <w:t>（某联合体成员名称）</w:t>
      </w:r>
      <w:r>
        <w:rPr>
          <w:rFonts w:hint="eastAsia" w:ascii="宋体" w:hAnsi="宋体" w:eastAsia="宋体" w:cs="宋体"/>
          <w:color w:val="auto"/>
          <w:kern w:val="0"/>
          <w:sz w:val="21"/>
          <w:szCs w:val="21"/>
        </w:rPr>
        <w:t>为联合体</w:t>
      </w:r>
      <w:r>
        <w:rPr>
          <w:rFonts w:hint="eastAsia" w:ascii="宋体" w:hAnsi="宋体" w:eastAsia="宋体" w:cs="宋体"/>
          <w:color w:val="auto"/>
          <w:kern w:val="0"/>
          <w:sz w:val="21"/>
          <w:szCs w:val="21"/>
          <w:lang w:val="zh-CN"/>
        </w:rPr>
        <w:t>牵头人</w:t>
      </w:r>
      <w:r>
        <w:rPr>
          <w:rFonts w:hint="eastAsia" w:ascii="宋体" w:hAnsi="宋体" w:eastAsia="宋体" w:cs="宋体"/>
          <w:color w:val="auto"/>
          <w:sz w:val="21"/>
          <w:szCs w:val="21"/>
        </w:rPr>
        <w:t>，代表所有联合体成员负责投标和合同实施阶段的主办、协调工作</w:t>
      </w:r>
      <w:r>
        <w:rPr>
          <w:rFonts w:hint="eastAsia" w:ascii="宋体" w:hAnsi="宋体" w:eastAsia="宋体" w:cs="宋体"/>
          <w:color w:val="auto"/>
          <w:kern w:val="0"/>
          <w:sz w:val="21"/>
          <w:szCs w:val="21"/>
          <w:lang w:val="zh-CN"/>
        </w:rPr>
        <w:t>。</w:t>
      </w:r>
    </w:p>
    <w:p w14:paraId="4FCA59AD">
      <w:pPr>
        <w:snapToGrid w:val="0"/>
        <w:spacing w:line="480" w:lineRule="auto"/>
        <w:ind w:firstLine="576"/>
        <w:rPr>
          <w:rFonts w:hint="eastAsia" w:ascii="宋体" w:hAnsi="宋体" w:eastAsia="宋体" w:cs="宋体"/>
          <w:color w:val="auto"/>
          <w:kern w:val="0"/>
          <w:sz w:val="21"/>
          <w:szCs w:val="21"/>
          <w:lang w:val="zh-CN"/>
        </w:rPr>
      </w:pPr>
      <w:r>
        <w:rPr>
          <w:rFonts w:hint="eastAsia" w:ascii="宋体" w:hAnsi="宋体" w:eastAsia="宋体" w:cs="宋体"/>
          <w:color w:val="auto"/>
          <w:kern w:val="0"/>
          <w:sz w:val="21"/>
          <w:szCs w:val="21"/>
          <w:lang w:val="zh-CN"/>
        </w:rPr>
        <w:t>二、</w:t>
      </w:r>
      <w:r>
        <w:rPr>
          <w:rFonts w:hint="eastAsia" w:ascii="宋体" w:hAnsi="宋体" w:eastAsia="宋体" w:cs="宋体"/>
          <w:color w:val="auto"/>
          <w:sz w:val="21"/>
          <w:szCs w:val="21"/>
        </w:rPr>
        <w:t>所有联合体成员各方签署授权书，授权书载明的</w:t>
      </w:r>
      <w:r>
        <w:rPr>
          <w:rFonts w:hint="eastAsia" w:ascii="宋体" w:hAnsi="宋体" w:eastAsia="宋体" w:cs="宋体"/>
          <w:color w:val="auto"/>
          <w:kern w:val="0"/>
          <w:sz w:val="21"/>
          <w:szCs w:val="21"/>
          <w:lang w:val="zh-CN"/>
        </w:rPr>
        <w:t>授权代表根据</w:t>
      </w:r>
      <w:r>
        <w:rPr>
          <w:rFonts w:hint="eastAsia" w:ascii="宋体" w:hAnsi="宋体" w:eastAsia="宋体" w:cs="宋体"/>
          <w:color w:val="auto"/>
          <w:kern w:val="0"/>
          <w:sz w:val="21"/>
          <w:szCs w:val="21"/>
          <w:lang w:val="en-US" w:eastAsia="zh-CN"/>
        </w:rPr>
        <w:t>询价</w:t>
      </w:r>
      <w:r>
        <w:rPr>
          <w:rFonts w:hint="eastAsia" w:ascii="宋体" w:hAnsi="宋体" w:eastAsia="宋体" w:cs="宋体"/>
          <w:color w:val="auto"/>
          <w:kern w:val="0"/>
          <w:sz w:val="21"/>
          <w:szCs w:val="21"/>
          <w:lang w:val="zh-CN"/>
        </w:rPr>
        <w:t>文件规定及</w:t>
      </w:r>
      <w:r>
        <w:rPr>
          <w:rFonts w:hint="eastAsia" w:ascii="宋体" w:hAnsi="宋体" w:eastAsia="宋体" w:cs="宋体"/>
          <w:color w:val="auto"/>
          <w:kern w:val="0"/>
          <w:sz w:val="21"/>
          <w:szCs w:val="21"/>
          <w:lang w:val="en-US" w:eastAsia="zh-CN"/>
        </w:rPr>
        <w:t>响应</w:t>
      </w:r>
      <w:r>
        <w:rPr>
          <w:rFonts w:hint="eastAsia" w:ascii="宋体" w:hAnsi="宋体" w:eastAsia="宋体" w:cs="宋体"/>
          <w:color w:val="auto"/>
          <w:kern w:val="0"/>
          <w:sz w:val="21"/>
          <w:szCs w:val="21"/>
          <w:lang w:val="zh-CN"/>
        </w:rPr>
        <w:t>内容而对采购人、采购代理机构所作的任何合法承诺，包括书面澄清及相应等均对联合投标各方产生约束力。</w:t>
      </w:r>
    </w:p>
    <w:p w14:paraId="37F7B965">
      <w:pPr>
        <w:snapToGrid w:val="0"/>
        <w:spacing w:line="480" w:lineRule="auto"/>
        <w:ind w:firstLine="576"/>
        <w:rPr>
          <w:rFonts w:hint="eastAsia" w:ascii="宋体" w:hAnsi="宋体" w:eastAsia="宋体" w:cs="宋体"/>
          <w:color w:val="auto"/>
          <w:kern w:val="0"/>
          <w:sz w:val="21"/>
          <w:szCs w:val="21"/>
          <w:lang w:val="zh-CN"/>
        </w:rPr>
      </w:pPr>
      <w:r>
        <w:rPr>
          <w:rFonts w:hint="eastAsia" w:ascii="宋体" w:hAnsi="宋体" w:eastAsia="宋体" w:cs="宋体"/>
          <w:color w:val="auto"/>
          <w:kern w:val="0"/>
          <w:sz w:val="21"/>
          <w:szCs w:val="21"/>
          <w:lang w:val="zh-CN"/>
        </w:rPr>
        <w:t>三、本次联合投标中，分工如下：</w:t>
      </w:r>
    </w:p>
    <w:p w14:paraId="0E253DFF">
      <w:pPr>
        <w:snapToGrid w:val="0"/>
        <w:spacing w:line="480" w:lineRule="auto"/>
        <w:ind w:firstLine="576"/>
        <w:rPr>
          <w:rFonts w:hint="eastAsia" w:ascii="宋体" w:hAnsi="宋体" w:eastAsia="宋体" w:cs="宋体"/>
          <w:color w:val="auto"/>
          <w:kern w:val="0"/>
          <w:sz w:val="21"/>
          <w:szCs w:val="21"/>
          <w:lang w:val="zh-CN"/>
        </w:rPr>
      </w:pPr>
      <w:r>
        <w:rPr>
          <w:rFonts w:hint="eastAsia" w:ascii="宋体" w:hAnsi="宋体" w:eastAsia="宋体" w:cs="宋体"/>
          <w:color w:val="auto"/>
          <w:kern w:val="0"/>
          <w:sz w:val="21"/>
          <w:szCs w:val="21"/>
          <w:u w:val="single"/>
        </w:rPr>
        <w:t>（联合体成员1）</w:t>
      </w:r>
      <w:r>
        <w:rPr>
          <w:rFonts w:hint="eastAsia" w:ascii="宋体" w:hAnsi="宋体" w:eastAsia="宋体" w:cs="宋体"/>
          <w:color w:val="auto"/>
          <w:kern w:val="0"/>
          <w:sz w:val="21"/>
          <w:szCs w:val="21"/>
          <w:lang w:val="zh-CN"/>
        </w:rPr>
        <w:t>承担的工作和义务为：</w:t>
      </w:r>
      <w:r>
        <w:rPr>
          <w:rFonts w:hint="eastAsia" w:ascii="宋体" w:hAnsi="宋体" w:eastAsia="宋体" w:cs="宋体"/>
          <w:color w:val="auto"/>
          <w:sz w:val="21"/>
          <w:szCs w:val="21"/>
          <w:u w:val="single"/>
        </w:rPr>
        <w:t xml:space="preserve">             </w:t>
      </w:r>
      <w:r>
        <w:rPr>
          <w:rFonts w:hint="eastAsia" w:ascii="宋体" w:hAnsi="宋体" w:eastAsia="宋体" w:cs="宋体"/>
          <w:color w:val="auto"/>
          <w:kern w:val="0"/>
          <w:sz w:val="21"/>
          <w:szCs w:val="21"/>
          <w:lang w:val="zh-CN"/>
        </w:rPr>
        <w:t>；</w:t>
      </w:r>
    </w:p>
    <w:p w14:paraId="1C9F5D3E">
      <w:pPr>
        <w:snapToGrid w:val="0"/>
        <w:spacing w:line="480" w:lineRule="auto"/>
        <w:ind w:firstLine="576"/>
        <w:rPr>
          <w:rFonts w:hint="eastAsia" w:ascii="宋体" w:hAnsi="宋体" w:eastAsia="宋体" w:cs="宋体"/>
          <w:color w:val="auto"/>
          <w:kern w:val="0"/>
          <w:sz w:val="21"/>
          <w:szCs w:val="21"/>
          <w:lang w:val="zh-CN"/>
        </w:rPr>
      </w:pPr>
      <w:r>
        <w:rPr>
          <w:rFonts w:hint="eastAsia" w:ascii="宋体" w:hAnsi="宋体" w:eastAsia="宋体" w:cs="宋体"/>
          <w:color w:val="auto"/>
          <w:kern w:val="0"/>
          <w:sz w:val="21"/>
          <w:szCs w:val="21"/>
          <w:u w:val="single"/>
        </w:rPr>
        <w:t>（联合体成员2）</w:t>
      </w:r>
      <w:r>
        <w:rPr>
          <w:rFonts w:hint="eastAsia" w:ascii="宋体" w:hAnsi="宋体" w:eastAsia="宋体" w:cs="宋体"/>
          <w:color w:val="auto"/>
          <w:kern w:val="0"/>
          <w:sz w:val="21"/>
          <w:szCs w:val="21"/>
          <w:lang w:val="zh-CN"/>
        </w:rPr>
        <w:t>承担的工作和义务为：</w:t>
      </w:r>
      <w:r>
        <w:rPr>
          <w:rFonts w:hint="eastAsia" w:ascii="宋体" w:hAnsi="宋体" w:eastAsia="宋体" w:cs="宋体"/>
          <w:color w:val="auto"/>
          <w:sz w:val="21"/>
          <w:szCs w:val="21"/>
          <w:u w:val="single"/>
        </w:rPr>
        <w:t xml:space="preserve">             </w:t>
      </w:r>
      <w:r>
        <w:rPr>
          <w:rFonts w:hint="eastAsia" w:ascii="宋体" w:hAnsi="宋体" w:eastAsia="宋体" w:cs="宋体"/>
          <w:color w:val="auto"/>
          <w:kern w:val="0"/>
          <w:sz w:val="21"/>
          <w:szCs w:val="21"/>
          <w:lang w:val="zh-CN"/>
        </w:rPr>
        <w:t>；</w:t>
      </w:r>
    </w:p>
    <w:p w14:paraId="359E9EFE">
      <w:pPr>
        <w:snapToGrid w:val="0"/>
        <w:spacing w:line="480" w:lineRule="auto"/>
        <w:ind w:firstLine="576"/>
        <w:rPr>
          <w:rFonts w:hint="eastAsia" w:ascii="宋体" w:hAnsi="宋体" w:eastAsia="宋体" w:cs="宋体"/>
          <w:color w:val="auto"/>
          <w:kern w:val="0"/>
          <w:sz w:val="21"/>
          <w:szCs w:val="21"/>
          <w:lang w:val="zh-CN"/>
        </w:rPr>
      </w:pPr>
      <w:r>
        <w:rPr>
          <w:rFonts w:hint="eastAsia" w:ascii="宋体" w:hAnsi="宋体" w:eastAsia="宋体" w:cs="宋体"/>
          <w:color w:val="auto"/>
          <w:kern w:val="0"/>
          <w:sz w:val="21"/>
          <w:szCs w:val="21"/>
          <w:lang w:val="zh-CN"/>
        </w:rPr>
        <w:t>四、如果中标，</w:t>
      </w:r>
      <w:r>
        <w:rPr>
          <w:rFonts w:hint="eastAsia" w:ascii="宋体" w:hAnsi="宋体" w:eastAsia="宋体" w:cs="宋体"/>
          <w:color w:val="auto"/>
          <w:sz w:val="21"/>
          <w:szCs w:val="21"/>
        </w:rPr>
        <w:t>联合体各成员方共同与采购人签订合同，并就采购合同约定的事项对采购人承担连带责任。</w:t>
      </w:r>
    </w:p>
    <w:p w14:paraId="04B6C566">
      <w:pPr>
        <w:snapToGrid w:val="0"/>
        <w:spacing w:line="480" w:lineRule="auto"/>
        <w:ind w:firstLine="576"/>
        <w:rPr>
          <w:rFonts w:hint="eastAsia" w:ascii="宋体" w:hAnsi="宋体" w:eastAsia="宋体" w:cs="宋体"/>
          <w:color w:val="auto"/>
          <w:kern w:val="0"/>
          <w:sz w:val="21"/>
          <w:szCs w:val="21"/>
          <w:lang w:val="zh-CN"/>
        </w:rPr>
      </w:pPr>
      <w:r>
        <w:rPr>
          <w:rFonts w:hint="eastAsia" w:ascii="宋体" w:hAnsi="宋体" w:eastAsia="宋体" w:cs="宋体"/>
          <w:color w:val="auto"/>
          <w:kern w:val="0"/>
          <w:sz w:val="21"/>
          <w:szCs w:val="21"/>
          <w:lang w:val="en-US" w:eastAsia="zh-CN"/>
        </w:rPr>
        <w:t>五</w:t>
      </w:r>
      <w:r>
        <w:rPr>
          <w:rFonts w:hint="eastAsia" w:ascii="宋体" w:hAnsi="宋体" w:eastAsia="宋体" w:cs="宋体"/>
          <w:color w:val="auto"/>
          <w:kern w:val="0"/>
          <w:sz w:val="21"/>
          <w:szCs w:val="21"/>
          <w:lang w:val="zh-CN"/>
        </w:rPr>
        <w:t>、有关本次联合投标的其他事宜：</w:t>
      </w:r>
    </w:p>
    <w:p w14:paraId="5A18BEDE">
      <w:pPr>
        <w:snapToGrid w:val="0"/>
        <w:spacing w:line="480" w:lineRule="auto"/>
        <w:ind w:firstLine="576"/>
        <w:rPr>
          <w:rFonts w:hint="eastAsia" w:ascii="宋体" w:hAnsi="宋体" w:eastAsia="宋体" w:cs="宋体"/>
          <w:color w:val="auto"/>
          <w:kern w:val="0"/>
          <w:sz w:val="21"/>
          <w:szCs w:val="21"/>
          <w:lang w:val="zh-CN"/>
        </w:rPr>
      </w:pPr>
      <w:r>
        <w:rPr>
          <w:rFonts w:hint="eastAsia" w:ascii="宋体" w:hAnsi="宋体" w:eastAsia="宋体" w:cs="宋体"/>
          <w:color w:val="auto"/>
          <w:kern w:val="0"/>
          <w:sz w:val="21"/>
          <w:szCs w:val="21"/>
          <w:lang w:val="zh-CN"/>
        </w:rPr>
        <w:t>1、联合体各方不再单独参加或者与其他供应商另外组成联合体参加同一合同项下的采购活动。</w:t>
      </w:r>
    </w:p>
    <w:p w14:paraId="0A0B696F">
      <w:pPr>
        <w:snapToGrid w:val="0"/>
        <w:spacing w:line="480" w:lineRule="auto"/>
        <w:ind w:firstLine="576"/>
        <w:rPr>
          <w:rFonts w:hint="eastAsia" w:ascii="宋体" w:hAnsi="宋体" w:eastAsia="宋体" w:cs="宋体"/>
          <w:color w:val="auto"/>
          <w:kern w:val="0"/>
          <w:sz w:val="21"/>
          <w:szCs w:val="21"/>
          <w:lang w:val="zh-CN"/>
        </w:rPr>
      </w:pPr>
      <w:r>
        <w:rPr>
          <w:rFonts w:hint="eastAsia" w:ascii="宋体" w:hAnsi="宋体" w:eastAsia="宋体" w:cs="宋体"/>
          <w:color w:val="auto"/>
          <w:kern w:val="0"/>
          <w:sz w:val="21"/>
          <w:szCs w:val="21"/>
          <w:lang w:val="zh-CN"/>
        </w:rPr>
        <w:t>2、联合体中有同类资质的各方按照联合体分工承担相同工作的，按照资质等级较低的供应商确定资质等级。</w:t>
      </w:r>
    </w:p>
    <w:p w14:paraId="09751D4B">
      <w:pPr>
        <w:snapToGrid w:val="0"/>
        <w:spacing w:line="480" w:lineRule="auto"/>
        <w:ind w:firstLine="576"/>
        <w:rPr>
          <w:rFonts w:hint="eastAsia"/>
          <w:sz w:val="21"/>
          <w:szCs w:val="21"/>
          <w:lang w:val="en-US" w:eastAsia="zh-CN"/>
        </w:rPr>
      </w:pPr>
      <w:r>
        <w:rPr>
          <w:rFonts w:hint="eastAsia" w:ascii="宋体" w:hAnsi="宋体" w:eastAsia="宋体" w:cs="宋体"/>
          <w:color w:val="auto"/>
          <w:kern w:val="0"/>
          <w:sz w:val="21"/>
          <w:szCs w:val="21"/>
          <w:lang w:val="zh-CN"/>
        </w:rPr>
        <w:t>3、本协议提交采购人、采购代理机构后，联合体各方不得以任何形式对上述内容进行修改或撤销。</w:t>
      </w:r>
    </w:p>
    <w:p w14:paraId="42DFCEC3">
      <w:pPr>
        <w:keepNext w:val="0"/>
        <w:keepLines w:val="0"/>
        <w:pageBreakBefore w:val="0"/>
        <w:widowControl w:val="0"/>
        <w:shd w:val="clear" w:color="auto" w:fill="auto"/>
        <w:kinsoku/>
        <w:wordWrap/>
        <w:overflowPunct/>
        <w:topLinePunct w:val="0"/>
        <w:autoSpaceDE/>
        <w:autoSpaceDN/>
        <w:bidi w:val="0"/>
        <w:adjustRightInd w:val="0"/>
        <w:snapToGrid w:val="0"/>
        <w:spacing w:line="480" w:lineRule="auto"/>
        <w:ind w:firstLine="420"/>
        <w:jc w:val="center"/>
        <w:textAlignment w:val="auto"/>
        <w:rPr>
          <w:rFonts w:hint="eastAsia" w:ascii="宋体" w:hAnsi="宋体" w:eastAsia="宋体" w:cs="宋体"/>
          <w:color w:val="auto"/>
          <w:sz w:val="21"/>
          <w:szCs w:val="21"/>
          <w:highlight w:val="yellow"/>
          <w:lang w:val="en-US" w:eastAsia="zh-CN"/>
        </w:rPr>
      </w:pPr>
    </w:p>
    <w:p w14:paraId="0E5D8D59">
      <w:pPr>
        <w:keepNext w:val="0"/>
        <w:keepLines w:val="0"/>
        <w:pageBreakBefore w:val="0"/>
        <w:widowControl w:val="0"/>
        <w:shd w:val="clear" w:color="auto" w:fill="auto"/>
        <w:kinsoku/>
        <w:wordWrap/>
        <w:overflowPunct/>
        <w:topLinePunct w:val="0"/>
        <w:autoSpaceDE w:val="0"/>
        <w:autoSpaceDN w:val="0"/>
        <w:bidi w:val="0"/>
        <w:adjustRightInd w:val="0"/>
        <w:snapToGrid/>
        <w:spacing w:line="440" w:lineRule="exact"/>
        <w:ind w:firstLine="420" w:firstLineChars="2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联合体成员名称(签名/公章)：</w:t>
      </w:r>
    </w:p>
    <w:p w14:paraId="1621828F">
      <w:pPr>
        <w:keepNext w:val="0"/>
        <w:keepLines w:val="0"/>
        <w:pageBreakBefore w:val="0"/>
        <w:widowControl w:val="0"/>
        <w:shd w:val="clear" w:color="auto" w:fill="auto"/>
        <w:kinsoku/>
        <w:wordWrap/>
        <w:overflowPunct/>
        <w:topLinePunct w:val="0"/>
        <w:autoSpaceDE w:val="0"/>
        <w:autoSpaceDN w:val="0"/>
        <w:bidi w:val="0"/>
        <w:adjustRightInd w:val="0"/>
        <w:snapToGrid/>
        <w:spacing w:line="440" w:lineRule="exact"/>
        <w:ind w:firstLine="420" w:firstLineChars="2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联合体成员名称(签名/公章)：</w:t>
      </w:r>
    </w:p>
    <w:p w14:paraId="4AFCF103">
      <w:pPr>
        <w:keepNext w:val="0"/>
        <w:keepLines w:val="0"/>
        <w:pageBreakBefore w:val="0"/>
        <w:widowControl w:val="0"/>
        <w:shd w:val="clear" w:color="auto" w:fill="auto"/>
        <w:kinsoku/>
        <w:wordWrap/>
        <w:overflowPunct/>
        <w:topLinePunct w:val="0"/>
        <w:autoSpaceDE w:val="0"/>
        <w:autoSpaceDN w:val="0"/>
        <w:bidi w:val="0"/>
        <w:adjustRightInd w:val="0"/>
        <w:snapToGrid/>
        <w:spacing w:line="440" w:lineRule="exact"/>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w:t>
      </w:r>
    </w:p>
    <w:p w14:paraId="7AB075E1">
      <w:pPr>
        <w:keepNext w:val="0"/>
        <w:keepLines w:val="0"/>
        <w:pageBreakBefore w:val="0"/>
        <w:widowControl w:val="0"/>
        <w:shd w:val="clear" w:color="auto" w:fill="auto"/>
        <w:kinsoku/>
        <w:wordWrap/>
        <w:overflowPunct/>
        <w:topLinePunct w:val="0"/>
        <w:autoSpaceDE w:val="0"/>
        <w:autoSpaceDN w:val="0"/>
        <w:bidi w:val="0"/>
        <w:adjustRightInd w:val="0"/>
        <w:snapToGrid/>
        <w:spacing w:line="440" w:lineRule="exact"/>
        <w:ind w:firstLine="420" w:firstLineChars="200"/>
        <w:textAlignment w:val="auto"/>
        <w:rPr>
          <w:rFonts w:hint="eastAsia" w:ascii="宋体" w:hAnsi="宋体" w:eastAsia="宋体" w:cs="宋体"/>
          <w:color w:val="auto"/>
          <w:sz w:val="21"/>
          <w:szCs w:val="21"/>
          <w:highlight w:val="none"/>
          <w:lang w:val="en-US" w:eastAsia="zh-CN"/>
        </w:rPr>
        <w:sectPr>
          <w:headerReference r:id="rId9" w:type="default"/>
          <w:footerReference r:id="rId10" w:type="default"/>
          <w:pgSz w:w="11906" w:h="16838"/>
          <w:pgMar w:top="1247" w:right="1418" w:bottom="1247" w:left="1418" w:header="851" w:footer="907" w:gutter="0"/>
          <w:pgNumType w:fmt="decimal"/>
          <w:cols w:space="720" w:num="1"/>
          <w:docGrid w:type="lines" w:linePitch="312" w:charSpace="0"/>
        </w:sectPr>
      </w:pPr>
      <w:r>
        <w:rPr>
          <w:rFonts w:hint="eastAsia" w:ascii="宋体" w:hAnsi="宋体" w:eastAsia="宋体" w:cs="宋体"/>
          <w:color w:val="auto"/>
          <w:sz w:val="21"/>
          <w:szCs w:val="21"/>
          <w:highlight w:val="none"/>
          <w:lang w:val="zh-CN"/>
        </w:rPr>
        <w:t xml:space="preserve">日期：   年  月  </w:t>
      </w:r>
      <w:r>
        <w:rPr>
          <w:rFonts w:hint="eastAsia" w:ascii="宋体" w:hAnsi="宋体" w:eastAsia="宋体" w:cs="宋体"/>
          <w:color w:val="auto"/>
          <w:sz w:val="21"/>
          <w:szCs w:val="21"/>
          <w:highlight w:val="none"/>
          <w:lang w:val="en-US" w:eastAsia="zh-CN"/>
        </w:rPr>
        <w:t>日</w:t>
      </w:r>
    </w:p>
    <w:p w14:paraId="447347C1">
      <w:pPr>
        <w:pStyle w:val="5"/>
        <w:ind w:firstLine="2184" w:firstLineChars="1040"/>
        <w:rPr>
          <w:rFonts w:hint="eastAsia" w:ascii="宋体" w:hAnsi="宋体" w:eastAsia="宋体" w:cs="宋体"/>
          <w:b w:val="0"/>
          <w:bCs w:val="0"/>
          <w:sz w:val="21"/>
          <w:szCs w:val="21"/>
          <w:highlight w:val="none"/>
        </w:rPr>
      </w:pPr>
      <w:bookmarkStart w:id="91" w:name="_Toc43498238"/>
      <w:r>
        <w:rPr>
          <w:rFonts w:hint="eastAsia" w:ascii="宋体" w:hAnsi="宋体" w:eastAsia="宋体" w:cs="宋体"/>
          <w:b w:val="0"/>
          <w:bCs w:val="0"/>
          <w:sz w:val="21"/>
          <w:szCs w:val="21"/>
          <w:highlight w:val="none"/>
        </w:rPr>
        <w:t xml:space="preserve">     </w:t>
      </w:r>
    </w:p>
    <w:p w14:paraId="60A0946F">
      <w:pPr>
        <w:pStyle w:val="5"/>
        <w:ind w:left="0" w:leftChars="0" w:firstLine="0" w:firstLineChars="0"/>
        <w:jc w:val="center"/>
        <w:rPr>
          <w:rFonts w:ascii="宋体" w:hAnsi="宋体" w:eastAsia="宋体" w:cs="宋体"/>
          <w:b w:val="0"/>
          <w:bCs w:val="0"/>
          <w:sz w:val="21"/>
          <w:szCs w:val="21"/>
          <w:highlight w:val="none"/>
        </w:rPr>
      </w:pPr>
      <w:r>
        <w:rPr>
          <w:rFonts w:hint="eastAsia" w:ascii="宋体" w:hAnsi="宋体" w:eastAsia="宋体" w:cs="宋体"/>
          <w:kern w:val="0"/>
          <w:sz w:val="21"/>
          <w:szCs w:val="21"/>
          <w:highlight w:val="none"/>
        </w:rPr>
        <w:t>二  商务技术文件</w:t>
      </w:r>
      <w:bookmarkEnd w:id="91"/>
      <w:r>
        <w:rPr>
          <w:rFonts w:hint="eastAsia" w:ascii="宋体" w:hAnsi="宋体" w:eastAsia="宋体" w:cs="宋体"/>
          <w:kern w:val="0"/>
          <w:sz w:val="21"/>
          <w:szCs w:val="21"/>
          <w:highlight w:val="none"/>
        </w:rPr>
        <w:t>格式</w:t>
      </w:r>
    </w:p>
    <w:bookmarkEnd w:id="78"/>
    <w:bookmarkEnd w:id="79"/>
    <w:bookmarkEnd w:id="80"/>
    <w:bookmarkEnd w:id="81"/>
    <w:p w14:paraId="468D9F2C">
      <w:pPr>
        <w:spacing w:line="360" w:lineRule="auto"/>
        <w:jc w:val="left"/>
        <w:rPr>
          <w:rFonts w:ascii="宋体" w:hAnsi="宋体" w:cs="宋体"/>
          <w:highlight w:val="none"/>
        </w:rPr>
      </w:pPr>
      <w:bookmarkStart w:id="92" w:name="_Toc493956059"/>
      <w:bookmarkStart w:id="93" w:name="_Toc494555875"/>
      <w:bookmarkStart w:id="94" w:name="_Toc494555876"/>
      <w:bookmarkStart w:id="95" w:name="_Toc494555880"/>
      <w:bookmarkStart w:id="96" w:name="_Toc493956065"/>
      <w:bookmarkStart w:id="97" w:name="_Toc493956062"/>
      <w:bookmarkStart w:id="98" w:name="_Toc493956064"/>
      <w:bookmarkStart w:id="99" w:name="_Toc494555879"/>
      <w:bookmarkStart w:id="100" w:name="_Toc493956060"/>
      <w:bookmarkStart w:id="101" w:name="_Toc494555877"/>
      <w:bookmarkStart w:id="102" w:name="_Toc69635465"/>
      <w:r>
        <w:rPr>
          <w:rFonts w:hint="eastAsia" w:ascii="宋体" w:hAnsi="宋体" w:cs="宋体"/>
          <w:highlight w:val="none"/>
        </w:rPr>
        <w:t>1、自评分表（格式自拟）</w:t>
      </w:r>
    </w:p>
    <w:p w14:paraId="260D4432">
      <w:pPr>
        <w:spacing w:line="360" w:lineRule="auto"/>
        <w:jc w:val="left"/>
        <w:rPr>
          <w:rFonts w:ascii="宋体" w:hAnsi="宋体" w:cs="宋体"/>
          <w:highlight w:val="none"/>
        </w:rPr>
      </w:pPr>
      <w:r>
        <w:rPr>
          <w:rFonts w:hint="eastAsia" w:ascii="宋体" w:hAnsi="宋体" w:cs="宋体"/>
          <w:highlight w:val="none"/>
        </w:rPr>
        <w:t>2、投标声明书</w:t>
      </w:r>
      <w:bookmarkEnd w:id="92"/>
      <w:bookmarkEnd w:id="93"/>
    </w:p>
    <w:p w14:paraId="54AE634E">
      <w:pPr>
        <w:spacing w:line="360" w:lineRule="auto"/>
        <w:jc w:val="left"/>
        <w:rPr>
          <w:rFonts w:ascii="宋体" w:hAnsi="宋体" w:cs="宋体"/>
          <w:highlight w:val="none"/>
        </w:rPr>
      </w:pPr>
      <w:r>
        <w:rPr>
          <w:rFonts w:hint="eastAsia" w:ascii="宋体" w:hAnsi="宋体" w:cs="宋体"/>
          <w:highlight w:val="none"/>
        </w:rPr>
        <w:t>3、</w:t>
      </w:r>
      <w:bookmarkEnd w:id="94"/>
      <w:bookmarkEnd w:id="95"/>
      <w:bookmarkEnd w:id="96"/>
      <w:bookmarkEnd w:id="97"/>
      <w:bookmarkEnd w:id="98"/>
      <w:bookmarkEnd w:id="99"/>
      <w:bookmarkEnd w:id="100"/>
      <w:bookmarkEnd w:id="101"/>
      <w:r>
        <w:rPr>
          <w:rFonts w:hint="eastAsia" w:ascii="宋体" w:hAnsi="宋体" w:cs="宋体"/>
          <w:highlight w:val="none"/>
        </w:rPr>
        <w:t>参数规格偏离表</w:t>
      </w:r>
    </w:p>
    <w:p w14:paraId="2B43AC38">
      <w:pPr>
        <w:spacing w:line="360" w:lineRule="auto"/>
        <w:jc w:val="left"/>
        <w:rPr>
          <w:rFonts w:ascii="宋体" w:hAnsi="宋体" w:cs="宋体"/>
          <w:highlight w:val="none"/>
        </w:rPr>
      </w:pPr>
      <w:r>
        <w:rPr>
          <w:rFonts w:hint="eastAsia" w:ascii="宋体" w:hAnsi="宋体" w:cs="宋体"/>
          <w:highlight w:val="none"/>
        </w:rPr>
        <w:t>4</w:t>
      </w:r>
      <w:r>
        <w:rPr>
          <w:rFonts w:hint="eastAsia" w:ascii="宋体" w:hAnsi="宋体" w:cs="宋体"/>
          <w:highlight w:val="none"/>
          <w:lang w:eastAsia="zh-CN"/>
        </w:rPr>
        <w:t>、</w:t>
      </w:r>
      <w:r>
        <w:rPr>
          <w:rFonts w:hint="eastAsia" w:ascii="宋体" w:hAnsi="宋体" w:cs="宋体"/>
          <w:highlight w:val="none"/>
        </w:rPr>
        <w:t>根据评分表及项目需求情况，自行添加相关表格及资料</w:t>
      </w:r>
    </w:p>
    <w:p w14:paraId="384ECB7E">
      <w:pPr>
        <w:spacing w:line="360" w:lineRule="auto"/>
        <w:jc w:val="left"/>
        <w:rPr>
          <w:rFonts w:ascii="宋体" w:hAnsi="宋体" w:cs="宋体"/>
          <w:highlight w:val="none"/>
        </w:rPr>
      </w:pPr>
    </w:p>
    <w:p w14:paraId="6CF33437">
      <w:pPr>
        <w:widowControl/>
        <w:jc w:val="left"/>
        <w:rPr>
          <w:rFonts w:ascii="宋体" w:hAnsi="宋体" w:cs="宋体"/>
          <w:b/>
          <w:bCs/>
          <w:highlight w:val="none"/>
        </w:rPr>
      </w:pPr>
      <w:r>
        <w:rPr>
          <w:rFonts w:hint="eastAsia" w:ascii="宋体" w:hAnsi="宋体" w:cs="宋体"/>
          <w:b/>
          <w:bCs/>
          <w:highlight w:val="none"/>
        </w:rPr>
        <w:br w:type="page"/>
      </w:r>
    </w:p>
    <w:p w14:paraId="2119884A">
      <w:pPr>
        <w:widowControl/>
        <w:numPr>
          <w:ilvl w:val="0"/>
          <w:numId w:val="10"/>
        </w:numPr>
        <w:jc w:val="center"/>
        <w:rPr>
          <w:rFonts w:hint="eastAsia" w:ascii="宋体" w:hAnsi="宋体" w:cs="宋体"/>
          <w:b/>
          <w:bCs/>
          <w:highlight w:val="none"/>
        </w:rPr>
      </w:pPr>
      <w:bookmarkStart w:id="103" w:name="_Toc43498239"/>
      <w:r>
        <w:rPr>
          <w:rFonts w:hint="eastAsia" w:ascii="宋体" w:hAnsi="宋体" w:cs="宋体"/>
          <w:b/>
          <w:bCs/>
          <w:highlight w:val="none"/>
        </w:rPr>
        <w:t>投标声明书</w:t>
      </w:r>
    </w:p>
    <w:p w14:paraId="32DED329">
      <w:pPr>
        <w:numPr>
          <w:ilvl w:val="0"/>
          <w:numId w:val="0"/>
        </w:numPr>
        <w:jc w:val="center"/>
      </w:pPr>
      <w:r>
        <w:rPr>
          <w:rFonts w:hint="eastAsia" w:ascii="宋体" w:hAnsi="宋体" w:cs="宋体"/>
          <w:highlight w:val="none"/>
          <w:lang w:eastAsia="zh-CN"/>
        </w:rPr>
        <w:t>（</w:t>
      </w:r>
      <w:r>
        <w:rPr>
          <w:rFonts w:hint="eastAsia" w:ascii="宋体" w:hAnsi="宋体" w:cs="宋体"/>
          <w:highlight w:val="none"/>
          <w:lang w:val="en-US" w:eastAsia="zh-CN"/>
        </w:rPr>
        <w:t>若为联合体投标，则由联合体牵头人提供</w:t>
      </w:r>
      <w:r>
        <w:rPr>
          <w:rFonts w:hint="eastAsia" w:ascii="宋体" w:hAnsi="宋体" w:cs="宋体"/>
          <w:highlight w:val="none"/>
          <w:lang w:eastAsia="zh-CN"/>
        </w:rPr>
        <w:t>）</w:t>
      </w:r>
    </w:p>
    <w:p w14:paraId="2C18602E">
      <w:pPr>
        <w:pStyle w:val="202"/>
        <w:spacing w:before="62" w:after="62" w:line="440" w:lineRule="exact"/>
        <w:rPr>
          <w:rFonts w:ascii="宋体" w:hAnsi="宋体" w:cs="宋体"/>
          <w:kern w:val="0"/>
          <w:highlight w:val="none"/>
          <w:u w:val="single"/>
        </w:rPr>
      </w:pPr>
      <w:r>
        <w:rPr>
          <w:rFonts w:hint="eastAsia" w:ascii="宋体" w:hAnsi="宋体" w:cs="宋体"/>
          <w:kern w:val="0"/>
          <w:highlight w:val="none"/>
          <w:u w:val="single"/>
        </w:rPr>
        <w:t>（采购人名称）：</w:t>
      </w:r>
    </w:p>
    <w:p w14:paraId="148D7DE9">
      <w:pPr>
        <w:pStyle w:val="149"/>
        <w:spacing w:line="440" w:lineRule="exact"/>
        <w:ind w:firstLine="720"/>
        <w:rPr>
          <w:rFonts w:hAnsi="宋体" w:cs="宋体"/>
          <w:sz w:val="21"/>
          <w:szCs w:val="21"/>
          <w:highlight w:val="none"/>
        </w:rPr>
      </w:pPr>
      <w:r>
        <w:rPr>
          <w:rFonts w:hint="eastAsia" w:hAnsi="宋体" w:cs="宋体"/>
          <w:sz w:val="21"/>
          <w:szCs w:val="21"/>
          <w:highlight w:val="none"/>
          <w:u w:val="single"/>
        </w:rPr>
        <w:t xml:space="preserve">        (投标人全称</w:t>
      </w:r>
      <w:r>
        <w:rPr>
          <w:rFonts w:hint="eastAsia" w:hAnsi="宋体" w:cs="宋体"/>
          <w:sz w:val="21"/>
          <w:szCs w:val="21"/>
          <w:highlight w:val="none"/>
        </w:rPr>
        <w:t>)系中华人民共和国合法企业，经营地址</w:t>
      </w:r>
      <w:r>
        <w:rPr>
          <w:rFonts w:hint="eastAsia" w:hAnsi="宋体" w:cs="宋体"/>
          <w:sz w:val="21"/>
          <w:szCs w:val="21"/>
          <w:highlight w:val="none"/>
          <w:lang w:eastAsia="zh-CN"/>
        </w:rPr>
        <w:t>：</w:t>
      </w:r>
      <w:r>
        <w:rPr>
          <w:rFonts w:hint="eastAsia" w:hAnsi="宋体" w:cs="宋体"/>
          <w:sz w:val="21"/>
          <w:szCs w:val="21"/>
          <w:highlight w:val="none"/>
          <w:u w:val="single"/>
          <w:lang w:val="en-US" w:eastAsia="zh-CN"/>
        </w:rPr>
        <w:t xml:space="preserve">               </w:t>
      </w:r>
      <w:r>
        <w:rPr>
          <w:rFonts w:hint="eastAsia" w:hAnsi="宋体" w:cs="宋体"/>
          <w:sz w:val="21"/>
          <w:szCs w:val="21"/>
          <w:highlight w:val="none"/>
        </w:rPr>
        <w:t>。</w:t>
      </w:r>
    </w:p>
    <w:p w14:paraId="6AD063D5">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我</w:t>
      </w:r>
      <w:r>
        <w:rPr>
          <w:rFonts w:hint="eastAsia" w:hAnsi="宋体" w:cs="宋体"/>
          <w:sz w:val="21"/>
          <w:szCs w:val="21"/>
          <w:highlight w:val="none"/>
          <w:u w:val="single"/>
        </w:rPr>
        <w:t>(法定代表人或负责人名字)</w:t>
      </w:r>
      <w:r>
        <w:rPr>
          <w:rFonts w:hint="eastAsia" w:hAnsi="宋体" w:cs="宋体"/>
          <w:sz w:val="21"/>
          <w:szCs w:val="21"/>
          <w:highlight w:val="none"/>
        </w:rPr>
        <w:t>系</w:t>
      </w:r>
      <w:r>
        <w:rPr>
          <w:rFonts w:hint="eastAsia" w:hAnsi="宋体" w:cs="宋体"/>
          <w:sz w:val="21"/>
          <w:szCs w:val="21"/>
          <w:highlight w:val="none"/>
          <w:u w:val="single"/>
        </w:rPr>
        <w:t xml:space="preserve">    (投标人名称)       </w:t>
      </w:r>
      <w:r>
        <w:rPr>
          <w:rFonts w:hint="eastAsia" w:hAnsi="宋体" w:cs="宋体"/>
          <w:sz w:val="21"/>
          <w:szCs w:val="21"/>
          <w:highlight w:val="none"/>
        </w:rPr>
        <w:t>为负责人，我方愿意参加贵方组织的</w:t>
      </w:r>
      <w:r>
        <w:rPr>
          <w:rFonts w:hint="eastAsia" w:hAnsi="宋体" w:cs="宋体"/>
          <w:sz w:val="21"/>
          <w:szCs w:val="21"/>
          <w:highlight w:val="none"/>
          <w:lang w:val="en-US" w:eastAsia="zh-CN"/>
        </w:rPr>
        <w:t xml:space="preserve"> </w:t>
      </w:r>
      <w:r>
        <w:rPr>
          <w:rFonts w:hint="eastAsia" w:hAnsi="宋体" w:cs="宋体"/>
          <w:sz w:val="21"/>
          <w:szCs w:val="21"/>
          <w:highlight w:val="none"/>
          <w:u w:val="single"/>
          <w:lang w:val="en-US" w:eastAsia="zh-CN"/>
        </w:rPr>
        <w:t xml:space="preserve">                </w:t>
      </w:r>
      <w:r>
        <w:rPr>
          <w:rFonts w:hint="eastAsia" w:hAnsi="宋体" w:cs="宋体"/>
          <w:sz w:val="21"/>
          <w:szCs w:val="21"/>
          <w:highlight w:val="none"/>
          <w:u w:val="single"/>
        </w:rPr>
        <w:t>（项目名称）（采购编号：）</w:t>
      </w:r>
      <w:r>
        <w:rPr>
          <w:rFonts w:hint="eastAsia" w:hAnsi="宋体" w:cs="宋体"/>
          <w:sz w:val="21"/>
          <w:szCs w:val="21"/>
          <w:highlight w:val="none"/>
        </w:rPr>
        <w:t>的投标。为便于贵方公正、择优地确定中标人以及投标产品和服务，我方就本次投标有关事项郑重承诺如下：</w:t>
      </w:r>
    </w:p>
    <w:p w14:paraId="7788319D">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1、我方向贵方提交的所有投标文件、资料都是准确的和真实的。</w:t>
      </w:r>
    </w:p>
    <w:p w14:paraId="71D20EF7">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2、我方承诺已经具备《中华人民共和国政府采购法》、《中华人民共和国政府采购法实施条例》中规定的参加政府采购活动的投标人应当具备的条件，并真实提供相关材料。</w:t>
      </w:r>
    </w:p>
    <w:p w14:paraId="656BBB9C">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3、提供投标人须知规定的全部投标文件，包括：</w:t>
      </w:r>
    </w:p>
    <w:p w14:paraId="05886FBA">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资格审查文件；</w:t>
      </w:r>
    </w:p>
    <w:p w14:paraId="0B852F68">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商务技术文件；</w:t>
      </w:r>
    </w:p>
    <w:p w14:paraId="61E0B81D">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报价文件；</w:t>
      </w:r>
    </w:p>
    <w:p w14:paraId="5DBCA299">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投标人须知要求的投标人提交的全部文件；</w:t>
      </w:r>
    </w:p>
    <w:p w14:paraId="286B026A">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按招标文件要求提供和交付的服务的投标报价详见报价表。</w:t>
      </w:r>
    </w:p>
    <w:p w14:paraId="766578D1">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4、如果我方中标，将派出</w:t>
      </w:r>
      <w:r>
        <w:rPr>
          <w:rFonts w:hint="eastAsia" w:hAnsi="宋体" w:cs="宋体"/>
          <w:sz w:val="21"/>
          <w:szCs w:val="21"/>
          <w:highlight w:val="none"/>
          <w:u w:val="single"/>
        </w:rPr>
        <w:t>（姓名及身份证号码），</w:t>
      </w:r>
      <w:r>
        <w:rPr>
          <w:rFonts w:hint="eastAsia" w:hAnsi="宋体" w:cs="宋体"/>
          <w:sz w:val="21"/>
          <w:szCs w:val="21"/>
          <w:highlight w:val="none"/>
        </w:rPr>
        <w:t>作为本项目与采购单位联系的项目实施负责人，联系手机号码：</w:t>
      </w:r>
      <w:r>
        <w:rPr>
          <w:rFonts w:hint="eastAsia" w:hAnsi="宋体" w:cs="宋体"/>
          <w:sz w:val="21"/>
          <w:szCs w:val="21"/>
          <w:highlight w:val="none"/>
          <w:u w:val="single"/>
          <w:lang w:val="en-US" w:eastAsia="zh-CN"/>
        </w:rPr>
        <w:t xml:space="preserve">    </w:t>
      </w:r>
      <w:r>
        <w:rPr>
          <w:rFonts w:hint="eastAsia" w:hAnsi="宋体" w:cs="宋体"/>
          <w:sz w:val="21"/>
          <w:szCs w:val="21"/>
          <w:highlight w:val="none"/>
          <w:lang w:val="en-US" w:eastAsia="zh-CN"/>
        </w:rPr>
        <w:t xml:space="preserve"> </w:t>
      </w:r>
      <w:r>
        <w:rPr>
          <w:rFonts w:hint="eastAsia" w:hAnsi="宋体" w:cs="宋体"/>
          <w:sz w:val="21"/>
          <w:szCs w:val="21"/>
          <w:highlight w:val="none"/>
        </w:rPr>
        <w:t>。在项目实施过程中，并承诺项目实施负责人不更换，若确需要更换的，书面征得采购人同意后才准予更换。</w:t>
      </w:r>
    </w:p>
    <w:p w14:paraId="0BF05C2B">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5、我方的投标有效期自</w:t>
      </w:r>
      <w:r>
        <w:rPr>
          <w:rFonts w:hint="eastAsia" w:hAnsi="宋体" w:cs="宋体"/>
          <w:snapToGrid w:val="0"/>
          <w:kern w:val="2"/>
          <w:sz w:val="21"/>
          <w:szCs w:val="21"/>
          <w:highlight w:val="none"/>
        </w:rPr>
        <w:t>提交投标文件的截止之日起</w:t>
      </w:r>
      <w:r>
        <w:rPr>
          <w:rFonts w:hint="eastAsia" w:hAnsi="宋体" w:cs="宋体"/>
          <w:sz w:val="21"/>
          <w:szCs w:val="21"/>
          <w:highlight w:val="none"/>
          <w:u w:val="single"/>
        </w:rPr>
        <w:t>90</w:t>
      </w:r>
      <w:r>
        <w:rPr>
          <w:rFonts w:hint="eastAsia" w:hAnsi="宋体" w:cs="宋体"/>
          <w:sz w:val="21"/>
          <w:szCs w:val="21"/>
          <w:highlight w:val="none"/>
        </w:rPr>
        <w:t>天内有效。</w:t>
      </w:r>
    </w:p>
    <w:p w14:paraId="256B6049">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6、我方在投标之前已经与贵方进行了充分的沟通，完全理解并接受招标文件的各项规定和要求，对招标文件的合理性、合法性不再有异议。</w:t>
      </w:r>
    </w:p>
    <w:p w14:paraId="509210F8">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我方愿意向贵方提供真实完整的任何与该项投标有关的数据、情况和技术资料。若贵方需要，我方愿意提供我方作出的一切承诺的证明材料。</w:t>
      </w:r>
    </w:p>
    <w:p w14:paraId="1FD963EA">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7、我方已详细审核全部招标文件，包括招标文件的澄清或修改文件（如有的话）、参考资料及有关附件，已经了解我方对于招标文件、采购过程、采购结果有依法进行询问、质疑、投诉的权利及相关渠道和要求。</w:t>
      </w:r>
    </w:p>
    <w:p w14:paraId="06339AC5">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8、我方不是采购人的附属机构，并未为本项目提供整体设计、规范编制或者项目管理、监理、监测等服务。</w:t>
      </w:r>
    </w:p>
    <w:p w14:paraId="1062C118">
      <w:pPr>
        <w:pStyle w:val="149"/>
        <w:spacing w:line="440" w:lineRule="exact"/>
        <w:ind w:firstLine="420" w:firstLineChars="200"/>
        <w:rPr>
          <w:rFonts w:hAnsi="宋体" w:cs="宋体"/>
          <w:sz w:val="21"/>
          <w:szCs w:val="21"/>
          <w:highlight w:val="none"/>
        </w:rPr>
      </w:pPr>
      <w:r>
        <w:rPr>
          <w:rFonts w:hint="eastAsia" w:hAnsi="宋体" w:cs="宋体"/>
          <w:sz w:val="21"/>
          <w:szCs w:val="21"/>
          <w:highlight w:val="none"/>
        </w:rPr>
        <w:t>9、我方将严格遵守：投标人有下列情形之一的，处以采购金额5‰以上10‰以下的罚款，列入不良行为记录名单，在一至三年内禁止参加采购活动；有违法所得的，并处没收违法所得；情节严重的，由工商行政管理机关吊销营业执照；构成犯罪的，依法追究刑事责任：</w:t>
      </w:r>
    </w:p>
    <w:p w14:paraId="0FEABB09">
      <w:pPr>
        <w:pStyle w:val="149"/>
        <w:spacing w:line="440" w:lineRule="exact"/>
        <w:ind w:firstLine="210" w:firstLineChars="100"/>
        <w:rPr>
          <w:rFonts w:hAnsi="宋体" w:cs="宋体"/>
          <w:sz w:val="21"/>
          <w:szCs w:val="21"/>
          <w:highlight w:val="none"/>
        </w:rPr>
      </w:pPr>
      <w:r>
        <w:rPr>
          <w:rFonts w:hint="eastAsia" w:hAnsi="宋体" w:cs="宋体"/>
          <w:sz w:val="21"/>
          <w:szCs w:val="21"/>
          <w:highlight w:val="none"/>
        </w:rPr>
        <w:t>（一）提供虚假材料谋取中标、中标的；</w:t>
      </w:r>
    </w:p>
    <w:p w14:paraId="4BCF4FCD">
      <w:pPr>
        <w:pStyle w:val="149"/>
        <w:spacing w:line="440" w:lineRule="exact"/>
        <w:ind w:firstLine="210" w:firstLineChars="100"/>
        <w:rPr>
          <w:rFonts w:hAnsi="宋体" w:cs="宋体"/>
          <w:sz w:val="21"/>
          <w:szCs w:val="21"/>
          <w:highlight w:val="none"/>
        </w:rPr>
      </w:pPr>
      <w:r>
        <w:rPr>
          <w:rFonts w:hint="eastAsia" w:hAnsi="宋体" w:cs="宋体"/>
          <w:sz w:val="21"/>
          <w:szCs w:val="21"/>
          <w:highlight w:val="none"/>
        </w:rPr>
        <w:t>（二）采取不正当手段诋毁、排挤其他投标人的；</w:t>
      </w:r>
    </w:p>
    <w:p w14:paraId="5F1F6640">
      <w:pPr>
        <w:pStyle w:val="149"/>
        <w:spacing w:line="440" w:lineRule="exact"/>
        <w:ind w:firstLine="210" w:firstLineChars="100"/>
        <w:rPr>
          <w:rFonts w:hAnsi="宋体" w:cs="宋体"/>
          <w:sz w:val="21"/>
          <w:szCs w:val="21"/>
          <w:highlight w:val="none"/>
        </w:rPr>
      </w:pPr>
      <w:r>
        <w:rPr>
          <w:rFonts w:hint="eastAsia" w:hAnsi="宋体" w:cs="宋体"/>
          <w:sz w:val="21"/>
          <w:szCs w:val="21"/>
          <w:highlight w:val="none"/>
        </w:rPr>
        <w:t>（三）与采购人、其它投标人或者采购代理机构恶意串通的；</w:t>
      </w:r>
    </w:p>
    <w:p w14:paraId="7F43906E">
      <w:pPr>
        <w:pStyle w:val="149"/>
        <w:spacing w:line="440" w:lineRule="exact"/>
        <w:ind w:firstLine="210" w:firstLineChars="100"/>
        <w:rPr>
          <w:rFonts w:hAnsi="宋体" w:cs="宋体"/>
          <w:sz w:val="21"/>
          <w:szCs w:val="21"/>
          <w:highlight w:val="none"/>
        </w:rPr>
      </w:pPr>
      <w:r>
        <w:rPr>
          <w:rFonts w:hint="eastAsia" w:hAnsi="宋体" w:cs="宋体"/>
          <w:sz w:val="21"/>
          <w:szCs w:val="21"/>
          <w:highlight w:val="none"/>
        </w:rPr>
        <w:t>（四）向采购人、采购代理机构行贿或者提供其他不正当利益的；</w:t>
      </w:r>
    </w:p>
    <w:p w14:paraId="6FA9B4EE">
      <w:pPr>
        <w:pStyle w:val="149"/>
        <w:spacing w:line="440" w:lineRule="exact"/>
        <w:ind w:firstLine="210" w:firstLineChars="100"/>
        <w:rPr>
          <w:rFonts w:hAnsi="宋体" w:cs="宋体"/>
          <w:sz w:val="21"/>
          <w:szCs w:val="21"/>
          <w:highlight w:val="none"/>
        </w:rPr>
      </w:pPr>
      <w:r>
        <w:rPr>
          <w:rFonts w:hint="eastAsia" w:hAnsi="宋体" w:cs="宋体"/>
          <w:sz w:val="21"/>
          <w:szCs w:val="21"/>
          <w:highlight w:val="none"/>
        </w:rPr>
        <w:t>（五）在招标采购过程中与采购人进行协商谈判的；</w:t>
      </w:r>
    </w:p>
    <w:p w14:paraId="0854067D">
      <w:pPr>
        <w:pStyle w:val="149"/>
        <w:spacing w:line="440" w:lineRule="exact"/>
        <w:ind w:firstLine="210" w:firstLineChars="100"/>
        <w:rPr>
          <w:rFonts w:hAnsi="宋体" w:cs="宋体"/>
          <w:sz w:val="21"/>
          <w:szCs w:val="21"/>
          <w:highlight w:val="none"/>
        </w:rPr>
      </w:pPr>
      <w:r>
        <w:rPr>
          <w:rFonts w:hint="eastAsia" w:hAnsi="宋体" w:cs="宋体"/>
          <w:sz w:val="21"/>
          <w:szCs w:val="21"/>
          <w:highlight w:val="none"/>
        </w:rPr>
        <w:t>（六）拒绝有关部门监督检查或提供虚假情况的。</w:t>
      </w:r>
    </w:p>
    <w:p w14:paraId="02A08C7C">
      <w:pPr>
        <w:pStyle w:val="149"/>
        <w:spacing w:line="440" w:lineRule="exact"/>
        <w:ind w:firstLine="210" w:firstLineChars="100"/>
        <w:rPr>
          <w:rFonts w:hAnsi="宋体" w:cs="宋体"/>
          <w:sz w:val="21"/>
          <w:szCs w:val="21"/>
          <w:highlight w:val="none"/>
        </w:rPr>
      </w:pPr>
      <w:r>
        <w:rPr>
          <w:rFonts w:hint="eastAsia" w:hAnsi="宋体" w:cs="宋体"/>
          <w:sz w:val="21"/>
          <w:szCs w:val="21"/>
          <w:highlight w:val="none"/>
        </w:rPr>
        <w:t>10、如中标，本投标文件至本项目合同履行完毕止均保持有效，我方将按招标文件及采购法律、法规的规定履行合同责任和义务。</w:t>
      </w:r>
    </w:p>
    <w:p w14:paraId="476DAB67">
      <w:pPr>
        <w:pStyle w:val="149"/>
        <w:spacing w:line="440" w:lineRule="exact"/>
        <w:ind w:firstLine="210" w:firstLineChars="100"/>
        <w:rPr>
          <w:rFonts w:hAnsi="宋体" w:cs="宋体"/>
          <w:sz w:val="21"/>
          <w:szCs w:val="21"/>
          <w:highlight w:val="none"/>
        </w:rPr>
      </w:pPr>
      <w:r>
        <w:rPr>
          <w:rFonts w:hint="eastAsia" w:hAnsi="宋体" w:cs="宋体"/>
          <w:sz w:val="21"/>
          <w:szCs w:val="21"/>
          <w:highlight w:val="none"/>
        </w:rPr>
        <w:t>11、以上事项如有虚假或隐瞒，我方愿意承担一切不利后果，并不再寻求任何旨在减轻或免除法律责任。</w:t>
      </w:r>
    </w:p>
    <w:p w14:paraId="2547D519">
      <w:pPr>
        <w:pStyle w:val="149"/>
        <w:spacing w:line="440" w:lineRule="exact"/>
        <w:ind w:firstLine="480"/>
        <w:rPr>
          <w:rFonts w:hAnsi="宋体" w:cs="宋体"/>
          <w:sz w:val="21"/>
          <w:szCs w:val="21"/>
          <w:highlight w:val="none"/>
        </w:rPr>
      </w:pPr>
      <w:r>
        <w:rPr>
          <w:rFonts w:hint="eastAsia" w:hAnsi="宋体" w:cs="宋体"/>
          <w:sz w:val="21"/>
          <w:szCs w:val="21"/>
          <w:highlight w:val="none"/>
        </w:rPr>
        <w:t>与本次投标有关的一切正式往来信函请寄：</w:t>
      </w:r>
    </w:p>
    <w:p w14:paraId="0B9E9C36">
      <w:pPr>
        <w:pStyle w:val="149"/>
        <w:spacing w:line="440" w:lineRule="exact"/>
        <w:ind w:firstLine="480"/>
        <w:rPr>
          <w:rFonts w:hint="eastAsia" w:hAnsi="宋体" w:cs="宋体"/>
          <w:sz w:val="21"/>
          <w:szCs w:val="21"/>
          <w:highlight w:val="none"/>
        </w:rPr>
      </w:pPr>
      <w:r>
        <w:rPr>
          <w:rFonts w:hint="eastAsia" w:hAnsi="宋体" w:cs="宋体"/>
          <w:sz w:val="21"/>
          <w:szCs w:val="21"/>
          <w:highlight w:val="none"/>
        </w:rPr>
        <w:t>地址：             邮编：　</w:t>
      </w:r>
    </w:p>
    <w:p w14:paraId="3926DE77">
      <w:pPr>
        <w:pStyle w:val="149"/>
        <w:ind w:firstLine="480"/>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电话：          </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rPr>
        <w:t xml:space="preserve">  传真：</w:t>
      </w:r>
    </w:p>
    <w:p w14:paraId="43EC6505">
      <w:pPr>
        <w:pStyle w:val="149"/>
        <w:spacing w:line="440" w:lineRule="exact"/>
        <w:rPr>
          <w:rFonts w:hAnsi="宋体" w:cs="宋体"/>
          <w:sz w:val="21"/>
          <w:szCs w:val="21"/>
          <w:highlight w:val="none"/>
        </w:rPr>
      </w:pPr>
    </w:p>
    <w:p w14:paraId="1CC8D5C1">
      <w:pPr>
        <w:pStyle w:val="28"/>
        <w:spacing w:line="360" w:lineRule="auto"/>
        <w:ind w:right="480" w:firstLine="2100" w:firstLineChars="1000"/>
        <w:jc w:val="right"/>
        <w:rPr>
          <w:rFonts w:hAnsi="宋体"/>
          <w:highlight w:val="none"/>
        </w:rPr>
      </w:pPr>
      <w:r>
        <w:rPr>
          <w:rFonts w:hint="eastAsia" w:hAnsi="宋体"/>
          <w:highlight w:val="none"/>
        </w:rPr>
        <w:t>负责人或委托代理人（签字或盖章）_____________</w:t>
      </w:r>
    </w:p>
    <w:p w14:paraId="6650C42A">
      <w:pPr>
        <w:pStyle w:val="28"/>
        <w:spacing w:line="360" w:lineRule="auto"/>
        <w:ind w:right="480"/>
        <w:jc w:val="right"/>
        <w:rPr>
          <w:rFonts w:hAnsi="宋体"/>
          <w:highlight w:val="none"/>
        </w:rPr>
      </w:pPr>
      <w:r>
        <w:rPr>
          <w:rFonts w:hint="eastAsia" w:hAnsi="宋体"/>
          <w:highlight w:val="none"/>
        </w:rPr>
        <w:t>　　　　　　　　　　　　　投标人（公章）_____________</w:t>
      </w:r>
    </w:p>
    <w:p w14:paraId="20D3D61D">
      <w:pPr>
        <w:pStyle w:val="28"/>
        <w:wordWrap w:val="0"/>
        <w:spacing w:line="360" w:lineRule="auto"/>
        <w:ind w:right="480" w:firstLine="3990" w:firstLineChars="1900"/>
        <w:jc w:val="right"/>
        <w:rPr>
          <w:rFonts w:hAnsi="宋体"/>
          <w:highlight w:val="none"/>
        </w:rPr>
      </w:pPr>
      <w:r>
        <w:rPr>
          <w:rFonts w:hint="eastAsia" w:hAnsi="宋体"/>
          <w:highlight w:val="none"/>
        </w:rPr>
        <w:t>日期：_____年____月____日</w:t>
      </w:r>
    </w:p>
    <w:p w14:paraId="6F16DCA2">
      <w:pPr>
        <w:pStyle w:val="13"/>
        <w:spacing w:line="360" w:lineRule="auto"/>
        <w:ind w:firstLine="0"/>
        <w:jc w:val="center"/>
        <w:rPr>
          <w:rFonts w:ascii="宋体" w:hAnsi="宋体" w:cs="宋体"/>
          <w:highlight w:val="none"/>
        </w:rPr>
      </w:pPr>
      <w:r>
        <w:rPr>
          <w:rFonts w:hint="eastAsia" w:ascii="宋体" w:hAnsi="宋体" w:cs="宋体"/>
          <w:highlight w:val="none"/>
        </w:rPr>
        <w:br w:type="page"/>
      </w:r>
      <w:r>
        <w:rPr>
          <w:rFonts w:hint="eastAsia" w:ascii="宋体" w:hAnsi="宋体" w:cs="宋体"/>
          <w:highlight w:val="none"/>
        </w:rPr>
        <w:t>2、</w:t>
      </w:r>
      <w:bookmarkStart w:id="104" w:name="OLE_LINK1"/>
      <w:r>
        <w:rPr>
          <w:rFonts w:hint="eastAsia" w:ascii="宋体" w:hAnsi="宋体" w:cs="宋体"/>
          <w:highlight w:val="none"/>
        </w:rPr>
        <w:t>参数规格偏离表</w:t>
      </w:r>
      <w:bookmarkEnd w:id="104"/>
    </w:p>
    <w:p w14:paraId="790A83F9">
      <w:pPr>
        <w:spacing w:line="360" w:lineRule="auto"/>
        <w:rPr>
          <w:rFonts w:ascii="宋体" w:hAnsi="宋体" w:cs="宋体"/>
          <w:spacing w:val="20"/>
          <w:highlight w:val="none"/>
        </w:rPr>
      </w:pPr>
      <w:r>
        <w:rPr>
          <w:rFonts w:hint="eastAsia" w:ascii="宋体" w:hAnsi="宋体" w:cs="宋体"/>
          <w:spacing w:val="20"/>
          <w:highlight w:val="none"/>
        </w:rPr>
        <w:t>采购项目：</w:t>
      </w:r>
      <w:r>
        <w:rPr>
          <w:rFonts w:hint="eastAsia" w:ascii="宋体" w:hAnsi="宋体" w:cs="宋体"/>
          <w:spacing w:val="20"/>
          <w:highlight w:val="none"/>
          <w:lang w:val="en-US" w:eastAsia="zh-CN"/>
        </w:rPr>
        <w:t xml:space="preserve">       </w:t>
      </w:r>
    </w:p>
    <w:p w14:paraId="146A5D4B">
      <w:pPr>
        <w:tabs>
          <w:tab w:val="left" w:pos="1418"/>
        </w:tabs>
        <w:spacing w:line="360" w:lineRule="auto"/>
        <w:rPr>
          <w:rFonts w:ascii="宋体" w:hAnsi="宋体" w:cs="宋体"/>
          <w:highlight w:val="none"/>
        </w:rPr>
      </w:pPr>
      <w:r>
        <w:rPr>
          <w:rFonts w:hint="eastAsia" w:ascii="宋体" w:hAnsi="宋体" w:cs="宋体"/>
          <w:spacing w:val="20"/>
          <w:highlight w:val="none"/>
        </w:rPr>
        <w:t>采购编号</w:t>
      </w:r>
      <w:r>
        <w:rPr>
          <w:rFonts w:hint="eastAsia" w:ascii="宋体" w:hAnsi="宋体" w:cs="宋体"/>
          <w:highlight w:val="none"/>
        </w:rPr>
        <w:t>：</w:t>
      </w:r>
      <w:r>
        <w:rPr>
          <w:rFonts w:hint="eastAsia" w:ascii="宋体" w:hAnsi="宋体" w:cs="宋体"/>
          <w:highlight w:val="none"/>
          <w:lang w:val="en-GB"/>
        </w:rPr>
        <w:tab/>
      </w:r>
      <w:r>
        <w:rPr>
          <w:rFonts w:hint="eastAsia" w:ascii="宋体" w:hAnsi="宋体" w:cs="宋体"/>
          <w:highlight w:val="none"/>
          <w:lang w:val="en-GB"/>
        </w:rPr>
        <w:tab/>
      </w:r>
      <w:r>
        <w:rPr>
          <w:rFonts w:hint="eastAsia" w:ascii="宋体" w:hAnsi="宋体" w:cs="宋体"/>
          <w:highlight w:val="none"/>
          <w:lang w:val="en-GB"/>
        </w:rPr>
        <w:tab/>
      </w:r>
      <w:r>
        <w:rPr>
          <w:rFonts w:hint="eastAsia" w:ascii="宋体" w:hAnsi="宋体" w:cs="宋体"/>
          <w:highlight w:val="none"/>
          <w:lang w:val="en-GB"/>
        </w:rPr>
        <w:tab/>
      </w:r>
      <w:r>
        <w:rPr>
          <w:rFonts w:hint="eastAsia" w:ascii="宋体" w:hAnsi="宋体" w:cs="宋体"/>
          <w:highlight w:val="none"/>
          <w:lang w:val="en-GB"/>
        </w:rPr>
        <w:tab/>
      </w:r>
    </w:p>
    <w:tbl>
      <w:tblPr>
        <w:tblStyle w:val="49"/>
        <w:tblW w:w="9853"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016"/>
        <w:gridCol w:w="3038"/>
        <w:gridCol w:w="2328"/>
        <w:gridCol w:w="3471"/>
      </w:tblGrid>
      <w:tr w14:paraId="71AC4A7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2091133F">
            <w:pPr>
              <w:jc w:val="center"/>
              <w:rPr>
                <w:rFonts w:ascii="Arial" w:hAnsi="Arial" w:cs="Arial"/>
                <w:sz w:val="21"/>
                <w:szCs w:val="18"/>
                <w:highlight w:val="none"/>
              </w:rPr>
            </w:pPr>
            <w:r>
              <w:rPr>
                <w:rFonts w:ascii="Arial" w:hAnsi="Arial" w:cs="Arial"/>
                <w:sz w:val="21"/>
                <w:szCs w:val="18"/>
                <w:highlight w:val="none"/>
              </w:rPr>
              <w:t>序号</w:t>
            </w:r>
          </w:p>
        </w:tc>
        <w:tc>
          <w:tcPr>
            <w:tcW w:w="3038" w:type="dxa"/>
            <w:vAlign w:val="center"/>
          </w:tcPr>
          <w:p w14:paraId="2D9425A2">
            <w:pPr>
              <w:jc w:val="center"/>
              <w:rPr>
                <w:rFonts w:ascii="Arial" w:hAnsi="Arial" w:cs="Arial"/>
                <w:sz w:val="21"/>
                <w:szCs w:val="18"/>
                <w:highlight w:val="none"/>
              </w:rPr>
            </w:pPr>
            <w:r>
              <w:rPr>
                <w:rFonts w:ascii="Arial" w:hAnsi="Arial" w:cs="Arial"/>
                <w:sz w:val="21"/>
                <w:szCs w:val="18"/>
                <w:highlight w:val="none"/>
              </w:rPr>
              <w:t>采购文件要求</w:t>
            </w:r>
          </w:p>
        </w:tc>
        <w:tc>
          <w:tcPr>
            <w:tcW w:w="2328" w:type="dxa"/>
            <w:vAlign w:val="center"/>
          </w:tcPr>
          <w:p w14:paraId="58F49D5D">
            <w:pPr>
              <w:jc w:val="center"/>
              <w:rPr>
                <w:rFonts w:ascii="Arial" w:hAnsi="Arial" w:cs="Arial"/>
                <w:sz w:val="21"/>
                <w:szCs w:val="18"/>
                <w:highlight w:val="none"/>
              </w:rPr>
            </w:pPr>
            <w:r>
              <w:rPr>
                <w:rFonts w:ascii="Arial" w:hAnsi="Arial" w:cs="Arial"/>
                <w:sz w:val="21"/>
                <w:szCs w:val="18"/>
                <w:highlight w:val="none"/>
              </w:rPr>
              <w:t>响应内容</w:t>
            </w:r>
          </w:p>
        </w:tc>
        <w:tc>
          <w:tcPr>
            <w:tcW w:w="3471" w:type="dxa"/>
            <w:vAlign w:val="center"/>
          </w:tcPr>
          <w:p w14:paraId="1D53BA6C">
            <w:pPr>
              <w:jc w:val="center"/>
              <w:rPr>
                <w:rFonts w:ascii="Arial" w:hAnsi="Arial" w:cs="Arial"/>
                <w:sz w:val="21"/>
                <w:szCs w:val="18"/>
                <w:highlight w:val="none"/>
              </w:rPr>
            </w:pPr>
            <w:r>
              <w:rPr>
                <w:rFonts w:ascii="Arial" w:hAnsi="Arial" w:cs="Arial"/>
                <w:sz w:val="21"/>
                <w:szCs w:val="18"/>
                <w:highlight w:val="none"/>
              </w:rPr>
              <w:t>说明（正偏离/负偏离</w:t>
            </w:r>
            <w:r>
              <w:rPr>
                <w:rFonts w:hint="eastAsia" w:ascii="Arial" w:hAnsi="Arial" w:cs="Arial"/>
                <w:sz w:val="21"/>
                <w:szCs w:val="18"/>
                <w:highlight w:val="none"/>
                <w:lang w:val="en-US" w:eastAsia="zh-CN"/>
              </w:rPr>
              <w:t>/无偏离</w:t>
            </w:r>
            <w:r>
              <w:rPr>
                <w:rFonts w:ascii="Arial" w:hAnsi="Arial" w:cs="Arial"/>
                <w:sz w:val="21"/>
                <w:szCs w:val="18"/>
                <w:highlight w:val="none"/>
              </w:rPr>
              <w:t>）</w:t>
            </w:r>
          </w:p>
        </w:tc>
      </w:tr>
      <w:tr w14:paraId="63B640D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7681A420">
            <w:pPr>
              <w:jc w:val="center"/>
              <w:rPr>
                <w:rFonts w:ascii="Arial" w:hAnsi="Arial" w:cs="Arial"/>
                <w:spacing w:val="20"/>
                <w:sz w:val="24"/>
                <w:highlight w:val="none"/>
              </w:rPr>
            </w:pPr>
          </w:p>
        </w:tc>
        <w:tc>
          <w:tcPr>
            <w:tcW w:w="3038" w:type="dxa"/>
            <w:vAlign w:val="center"/>
          </w:tcPr>
          <w:p w14:paraId="2764AC2B">
            <w:pPr>
              <w:jc w:val="center"/>
              <w:rPr>
                <w:rFonts w:ascii="Arial" w:hAnsi="Arial" w:cs="Arial"/>
                <w:spacing w:val="20"/>
                <w:sz w:val="24"/>
                <w:highlight w:val="none"/>
              </w:rPr>
            </w:pPr>
          </w:p>
        </w:tc>
        <w:tc>
          <w:tcPr>
            <w:tcW w:w="2328" w:type="dxa"/>
            <w:vAlign w:val="center"/>
          </w:tcPr>
          <w:p w14:paraId="7B28C794">
            <w:pPr>
              <w:jc w:val="center"/>
              <w:rPr>
                <w:rFonts w:ascii="Arial" w:hAnsi="Arial" w:cs="Arial"/>
                <w:spacing w:val="20"/>
                <w:sz w:val="24"/>
                <w:highlight w:val="none"/>
              </w:rPr>
            </w:pPr>
          </w:p>
        </w:tc>
        <w:tc>
          <w:tcPr>
            <w:tcW w:w="3471" w:type="dxa"/>
            <w:vAlign w:val="center"/>
          </w:tcPr>
          <w:p w14:paraId="4206EB67">
            <w:pPr>
              <w:jc w:val="center"/>
              <w:rPr>
                <w:rFonts w:ascii="Arial" w:hAnsi="Arial" w:cs="Arial"/>
                <w:spacing w:val="20"/>
                <w:sz w:val="24"/>
                <w:highlight w:val="none"/>
              </w:rPr>
            </w:pPr>
          </w:p>
        </w:tc>
      </w:tr>
      <w:tr w14:paraId="3AE8AE9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5D68B1D1">
            <w:pPr>
              <w:jc w:val="center"/>
              <w:rPr>
                <w:rFonts w:ascii="Arial" w:hAnsi="Arial" w:cs="Arial"/>
                <w:spacing w:val="20"/>
                <w:sz w:val="24"/>
                <w:highlight w:val="none"/>
              </w:rPr>
            </w:pPr>
          </w:p>
        </w:tc>
        <w:tc>
          <w:tcPr>
            <w:tcW w:w="3038" w:type="dxa"/>
            <w:vAlign w:val="center"/>
          </w:tcPr>
          <w:p w14:paraId="238F3D76">
            <w:pPr>
              <w:jc w:val="center"/>
              <w:rPr>
                <w:rFonts w:ascii="Arial" w:hAnsi="Arial" w:cs="Arial"/>
                <w:spacing w:val="20"/>
                <w:sz w:val="24"/>
                <w:highlight w:val="none"/>
              </w:rPr>
            </w:pPr>
          </w:p>
        </w:tc>
        <w:tc>
          <w:tcPr>
            <w:tcW w:w="2328" w:type="dxa"/>
            <w:vAlign w:val="center"/>
          </w:tcPr>
          <w:p w14:paraId="4926212B">
            <w:pPr>
              <w:jc w:val="center"/>
              <w:rPr>
                <w:rFonts w:ascii="Arial" w:hAnsi="Arial" w:cs="Arial"/>
                <w:spacing w:val="20"/>
                <w:sz w:val="24"/>
                <w:highlight w:val="none"/>
              </w:rPr>
            </w:pPr>
          </w:p>
        </w:tc>
        <w:tc>
          <w:tcPr>
            <w:tcW w:w="3471" w:type="dxa"/>
            <w:vAlign w:val="center"/>
          </w:tcPr>
          <w:p w14:paraId="107907E0">
            <w:pPr>
              <w:jc w:val="center"/>
              <w:rPr>
                <w:rFonts w:ascii="Arial" w:hAnsi="Arial" w:cs="Arial"/>
                <w:spacing w:val="20"/>
                <w:sz w:val="24"/>
                <w:highlight w:val="none"/>
              </w:rPr>
            </w:pPr>
          </w:p>
        </w:tc>
      </w:tr>
      <w:tr w14:paraId="796F56F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3E09BB2C">
            <w:pPr>
              <w:jc w:val="center"/>
              <w:rPr>
                <w:rFonts w:ascii="Arial" w:hAnsi="Arial" w:cs="Arial"/>
                <w:spacing w:val="20"/>
                <w:sz w:val="24"/>
                <w:highlight w:val="none"/>
              </w:rPr>
            </w:pPr>
          </w:p>
        </w:tc>
        <w:tc>
          <w:tcPr>
            <w:tcW w:w="3038" w:type="dxa"/>
            <w:vAlign w:val="center"/>
          </w:tcPr>
          <w:p w14:paraId="153CE610">
            <w:pPr>
              <w:jc w:val="center"/>
              <w:rPr>
                <w:rFonts w:ascii="Arial" w:hAnsi="Arial" w:cs="Arial"/>
                <w:spacing w:val="20"/>
                <w:sz w:val="24"/>
                <w:highlight w:val="none"/>
              </w:rPr>
            </w:pPr>
          </w:p>
        </w:tc>
        <w:tc>
          <w:tcPr>
            <w:tcW w:w="2328" w:type="dxa"/>
            <w:vAlign w:val="center"/>
          </w:tcPr>
          <w:p w14:paraId="0E12C265">
            <w:pPr>
              <w:jc w:val="center"/>
              <w:rPr>
                <w:rFonts w:ascii="Arial" w:hAnsi="Arial" w:cs="Arial"/>
                <w:spacing w:val="20"/>
                <w:sz w:val="24"/>
                <w:highlight w:val="none"/>
              </w:rPr>
            </w:pPr>
          </w:p>
        </w:tc>
        <w:tc>
          <w:tcPr>
            <w:tcW w:w="3471" w:type="dxa"/>
            <w:vAlign w:val="center"/>
          </w:tcPr>
          <w:p w14:paraId="3B7332CB">
            <w:pPr>
              <w:jc w:val="center"/>
              <w:rPr>
                <w:rFonts w:ascii="Arial" w:hAnsi="Arial" w:cs="Arial"/>
                <w:spacing w:val="20"/>
                <w:sz w:val="24"/>
                <w:highlight w:val="none"/>
              </w:rPr>
            </w:pPr>
          </w:p>
        </w:tc>
      </w:tr>
      <w:tr w14:paraId="4609C00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4A80A6AC">
            <w:pPr>
              <w:jc w:val="center"/>
              <w:rPr>
                <w:rFonts w:ascii="Arial" w:hAnsi="Arial" w:cs="Arial"/>
                <w:spacing w:val="20"/>
                <w:sz w:val="24"/>
                <w:highlight w:val="none"/>
              </w:rPr>
            </w:pPr>
          </w:p>
        </w:tc>
        <w:tc>
          <w:tcPr>
            <w:tcW w:w="3038" w:type="dxa"/>
            <w:vAlign w:val="center"/>
          </w:tcPr>
          <w:p w14:paraId="77798A88">
            <w:pPr>
              <w:jc w:val="center"/>
              <w:rPr>
                <w:rFonts w:ascii="Arial" w:hAnsi="Arial" w:cs="Arial"/>
                <w:spacing w:val="20"/>
                <w:sz w:val="24"/>
                <w:highlight w:val="none"/>
              </w:rPr>
            </w:pPr>
          </w:p>
        </w:tc>
        <w:tc>
          <w:tcPr>
            <w:tcW w:w="2328" w:type="dxa"/>
            <w:vAlign w:val="center"/>
          </w:tcPr>
          <w:p w14:paraId="303E890C">
            <w:pPr>
              <w:jc w:val="center"/>
              <w:rPr>
                <w:rFonts w:ascii="Arial" w:hAnsi="Arial" w:cs="Arial"/>
                <w:spacing w:val="20"/>
                <w:sz w:val="24"/>
                <w:highlight w:val="none"/>
              </w:rPr>
            </w:pPr>
          </w:p>
        </w:tc>
        <w:tc>
          <w:tcPr>
            <w:tcW w:w="3471" w:type="dxa"/>
            <w:vAlign w:val="center"/>
          </w:tcPr>
          <w:p w14:paraId="5B9F4F25">
            <w:pPr>
              <w:jc w:val="center"/>
              <w:rPr>
                <w:rFonts w:ascii="Arial" w:hAnsi="Arial" w:cs="Arial"/>
                <w:spacing w:val="20"/>
                <w:sz w:val="24"/>
                <w:highlight w:val="none"/>
              </w:rPr>
            </w:pPr>
          </w:p>
        </w:tc>
      </w:tr>
      <w:tr w14:paraId="4AC0EDF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71769ACA">
            <w:pPr>
              <w:jc w:val="center"/>
              <w:rPr>
                <w:rFonts w:ascii="Arial" w:hAnsi="Arial" w:cs="Arial"/>
                <w:spacing w:val="20"/>
                <w:sz w:val="24"/>
                <w:highlight w:val="none"/>
              </w:rPr>
            </w:pPr>
          </w:p>
        </w:tc>
        <w:tc>
          <w:tcPr>
            <w:tcW w:w="3038" w:type="dxa"/>
            <w:vAlign w:val="center"/>
          </w:tcPr>
          <w:p w14:paraId="273D9DA3">
            <w:pPr>
              <w:jc w:val="center"/>
              <w:rPr>
                <w:rFonts w:ascii="Arial" w:hAnsi="Arial" w:cs="Arial"/>
                <w:spacing w:val="20"/>
                <w:sz w:val="24"/>
                <w:highlight w:val="none"/>
              </w:rPr>
            </w:pPr>
          </w:p>
        </w:tc>
        <w:tc>
          <w:tcPr>
            <w:tcW w:w="2328" w:type="dxa"/>
            <w:vAlign w:val="center"/>
          </w:tcPr>
          <w:p w14:paraId="233302E2">
            <w:pPr>
              <w:jc w:val="center"/>
              <w:rPr>
                <w:rFonts w:ascii="Arial" w:hAnsi="Arial" w:cs="Arial"/>
                <w:spacing w:val="20"/>
                <w:sz w:val="24"/>
                <w:highlight w:val="none"/>
              </w:rPr>
            </w:pPr>
          </w:p>
        </w:tc>
        <w:tc>
          <w:tcPr>
            <w:tcW w:w="3471" w:type="dxa"/>
            <w:vAlign w:val="center"/>
          </w:tcPr>
          <w:p w14:paraId="0805D725">
            <w:pPr>
              <w:jc w:val="center"/>
              <w:rPr>
                <w:rFonts w:ascii="Arial" w:hAnsi="Arial" w:cs="Arial"/>
                <w:spacing w:val="20"/>
                <w:sz w:val="24"/>
                <w:highlight w:val="none"/>
              </w:rPr>
            </w:pPr>
          </w:p>
        </w:tc>
      </w:tr>
      <w:tr w14:paraId="62D796F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1B830447">
            <w:pPr>
              <w:jc w:val="center"/>
              <w:rPr>
                <w:rFonts w:ascii="Arial" w:hAnsi="Arial" w:cs="Arial"/>
                <w:spacing w:val="20"/>
                <w:sz w:val="24"/>
                <w:highlight w:val="none"/>
              </w:rPr>
            </w:pPr>
          </w:p>
        </w:tc>
        <w:tc>
          <w:tcPr>
            <w:tcW w:w="3038" w:type="dxa"/>
            <w:vAlign w:val="center"/>
          </w:tcPr>
          <w:p w14:paraId="21674A58">
            <w:pPr>
              <w:jc w:val="center"/>
              <w:rPr>
                <w:rFonts w:ascii="Arial" w:hAnsi="Arial" w:cs="Arial"/>
                <w:spacing w:val="20"/>
                <w:sz w:val="24"/>
                <w:highlight w:val="none"/>
              </w:rPr>
            </w:pPr>
          </w:p>
        </w:tc>
        <w:tc>
          <w:tcPr>
            <w:tcW w:w="2328" w:type="dxa"/>
            <w:vAlign w:val="center"/>
          </w:tcPr>
          <w:p w14:paraId="56BD9246">
            <w:pPr>
              <w:jc w:val="center"/>
              <w:rPr>
                <w:rFonts w:ascii="Arial" w:hAnsi="Arial" w:cs="Arial"/>
                <w:spacing w:val="20"/>
                <w:sz w:val="24"/>
                <w:highlight w:val="none"/>
              </w:rPr>
            </w:pPr>
          </w:p>
        </w:tc>
        <w:tc>
          <w:tcPr>
            <w:tcW w:w="3471" w:type="dxa"/>
            <w:vAlign w:val="center"/>
          </w:tcPr>
          <w:p w14:paraId="320961C6">
            <w:pPr>
              <w:jc w:val="center"/>
              <w:rPr>
                <w:rFonts w:ascii="Arial" w:hAnsi="Arial" w:cs="Arial"/>
                <w:spacing w:val="20"/>
                <w:sz w:val="24"/>
                <w:highlight w:val="none"/>
              </w:rPr>
            </w:pPr>
          </w:p>
        </w:tc>
      </w:tr>
      <w:tr w14:paraId="393F687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6F5ADA04">
            <w:pPr>
              <w:jc w:val="center"/>
              <w:rPr>
                <w:rFonts w:ascii="Arial" w:hAnsi="Arial" w:cs="Arial"/>
                <w:spacing w:val="20"/>
                <w:sz w:val="24"/>
                <w:highlight w:val="none"/>
              </w:rPr>
            </w:pPr>
          </w:p>
        </w:tc>
        <w:tc>
          <w:tcPr>
            <w:tcW w:w="3038" w:type="dxa"/>
            <w:vAlign w:val="center"/>
          </w:tcPr>
          <w:p w14:paraId="3B968A88">
            <w:pPr>
              <w:jc w:val="center"/>
              <w:rPr>
                <w:rFonts w:ascii="Arial" w:hAnsi="Arial" w:cs="Arial"/>
                <w:spacing w:val="20"/>
                <w:sz w:val="24"/>
                <w:highlight w:val="none"/>
              </w:rPr>
            </w:pPr>
          </w:p>
        </w:tc>
        <w:tc>
          <w:tcPr>
            <w:tcW w:w="2328" w:type="dxa"/>
            <w:vAlign w:val="center"/>
          </w:tcPr>
          <w:p w14:paraId="3E2DADC2">
            <w:pPr>
              <w:jc w:val="center"/>
              <w:rPr>
                <w:rFonts w:ascii="Arial" w:hAnsi="Arial" w:cs="Arial"/>
                <w:spacing w:val="20"/>
                <w:sz w:val="24"/>
                <w:highlight w:val="none"/>
              </w:rPr>
            </w:pPr>
          </w:p>
        </w:tc>
        <w:tc>
          <w:tcPr>
            <w:tcW w:w="3471" w:type="dxa"/>
            <w:vAlign w:val="center"/>
          </w:tcPr>
          <w:p w14:paraId="4128A714">
            <w:pPr>
              <w:jc w:val="center"/>
              <w:rPr>
                <w:rFonts w:ascii="Arial" w:hAnsi="Arial" w:cs="Arial"/>
                <w:spacing w:val="20"/>
                <w:sz w:val="24"/>
                <w:highlight w:val="none"/>
              </w:rPr>
            </w:pPr>
          </w:p>
        </w:tc>
      </w:tr>
      <w:tr w14:paraId="3E1A704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360EE7EF">
            <w:pPr>
              <w:jc w:val="center"/>
              <w:rPr>
                <w:rFonts w:ascii="Arial" w:hAnsi="Arial" w:cs="Arial"/>
                <w:spacing w:val="20"/>
                <w:sz w:val="24"/>
                <w:highlight w:val="none"/>
              </w:rPr>
            </w:pPr>
          </w:p>
        </w:tc>
        <w:tc>
          <w:tcPr>
            <w:tcW w:w="3038" w:type="dxa"/>
            <w:vAlign w:val="center"/>
          </w:tcPr>
          <w:p w14:paraId="51CDD6ED">
            <w:pPr>
              <w:jc w:val="center"/>
              <w:rPr>
                <w:rFonts w:ascii="Arial" w:hAnsi="Arial" w:cs="Arial"/>
                <w:spacing w:val="20"/>
                <w:sz w:val="24"/>
                <w:highlight w:val="none"/>
              </w:rPr>
            </w:pPr>
          </w:p>
        </w:tc>
        <w:tc>
          <w:tcPr>
            <w:tcW w:w="2328" w:type="dxa"/>
            <w:vAlign w:val="center"/>
          </w:tcPr>
          <w:p w14:paraId="49EDC744">
            <w:pPr>
              <w:jc w:val="center"/>
              <w:rPr>
                <w:rFonts w:ascii="Arial" w:hAnsi="Arial" w:cs="Arial"/>
                <w:spacing w:val="20"/>
                <w:sz w:val="24"/>
                <w:highlight w:val="none"/>
              </w:rPr>
            </w:pPr>
          </w:p>
        </w:tc>
        <w:tc>
          <w:tcPr>
            <w:tcW w:w="3471" w:type="dxa"/>
            <w:vAlign w:val="center"/>
          </w:tcPr>
          <w:p w14:paraId="6B6CD244">
            <w:pPr>
              <w:jc w:val="center"/>
              <w:rPr>
                <w:rFonts w:ascii="Arial" w:hAnsi="Arial" w:cs="Arial"/>
                <w:spacing w:val="20"/>
                <w:sz w:val="24"/>
                <w:highlight w:val="none"/>
              </w:rPr>
            </w:pPr>
          </w:p>
        </w:tc>
      </w:tr>
      <w:tr w14:paraId="6A656C8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384D8F57">
            <w:pPr>
              <w:jc w:val="center"/>
              <w:rPr>
                <w:rFonts w:ascii="Arial" w:hAnsi="Arial" w:cs="Arial"/>
                <w:spacing w:val="20"/>
                <w:sz w:val="24"/>
                <w:highlight w:val="none"/>
              </w:rPr>
            </w:pPr>
          </w:p>
        </w:tc>
        <w:tc>
          <w:tcPr>
            <w:tcW w:w="3038" w:type="dxa"/>
            <w:vAlign w:val="center"/>
          </w:tcPr>
          <w:p w14:paraId="732260F3">
            <w:pPr>
              <w:jc w:val="center"/>
              <w:rPr>
                <w:rFonts w:ascii="Arial" w:hAnsi="Arial" w:cs="Arial"/>
                <w:spacing w:val="20"/>
                <w:sz w:val="24"/>
                <w:highlight w:val="none"/>
              </w:rPr>
            </w:pPr>
          </w:p>
        </w:tc>
        <w:tc>
          <w:tcPr>
            <w:tcW w:w="2328" w:type="dxa"/>
            <w:vAlign w:val="center"/>
          </w:tcPr>
          <w:p w14:paraId="3768B2E7">
            <w:pPr>
              <w:jc w:val="center"/>
              <w:rPr>
                <w:rFonts w:ascii="Arial" w:hAnsi="Arial" w:cs="Arial"/>
                <w:spacing w:val="20"/>
                <w:sz w:val="24"/>
                <w:highlight w:val="none"/>
              </w:rPr>
            </w:pPr>
          </w:p>
        </w:tc>
        <w:tc>
          <w:tcPr>
            <w:tcW w:w="3471" w:type="dxa"/>
            <w:vAlign w:val="center"/>
          </w:tcPr>
          <w:p w14:paraId="22E07DAE">
            <w:pPr>
              <w:jc w:val="center"/>
              <w:rPr>
                <w:rFonts w:ascii="Arial" w:hAnsi="Arial" w:cs="Arial"/>
                <w:spacing w:val="20"/>
                <w:sz w:val="24"/>
                <w:highlight w:val="none"/>
              </w:rPr>
            </w:pPr>
          </w:p>
        </w:tc>
      </w:tr>
      <w:tr w14:paraId="16F1962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6473272C">
            <w:pPr>
              <w:jc w:val="center"/>
              <w:rPr>
                <w:rFonts w:ascii="Arial" w:hAnsi="Arial" w:cs="Arial"/>
                <w:spacing w:val="20"/>
                <w:sz w:val="24"/>
                <w:highlight w:val="none"/>
              </w:rPr>
            </w:pPr>
          </w:p>
        </w:tc>
        <w:tc>
          <w:tcPr>
            <w:tcW w:w="3038" w:type="dxa"/>
            <w:vAlign w:val="center"/>
          </w:tcPr>
          <w:p w14:paraId="7FE2AE63">
            <w:pPr>
              <w:jc w:val="center"/>
              <w:rPr>
                <w:rFonts w:ascii="Arial" w:hAnsi="Arial" w:cs="Arial"/>
                <w:spacing w:val="20"/>
                <w:sz w:val="24"/>
                <w:highlight w:val="none"/>
              </w:rPr>
            </w:pPr>
          </w:p>
        </w:tc>
        <w:tc>
          <w:tcPr>
            <w:tcW w:w="2328" w:type="dxa"/>
            <w:vAlign w:val="center"/>
          </w:tcPr>
          <w:p w14:paraId="0ED5B5A0">
            <w:pPr>
              <w:jc w:val="center"/>
              <w:rPr>
                <w:rFonts w:ascii="Arial" w:hAnsi="Arial" w:cs="Arial"/>
                <w:spacing w:val="20"/>
                <w:sz w:val="24"/>
                <w:highlight w:val="none"/>
              </w:rPr>
            </w:pPr>
          </w:p>
        </w:tc>
        <w:tc>
          <w:tcPr>
            <w:tcW w:w="3471" w:type="dxa"/>
            <w:vAlign w:val="center"/>
          </w:tcPr>
          <w:p w14:paraId="23787224">
            <w:pPr>
              <w:jc w:val="center"/>
              <w:rPr>
                <w:rFonts w:ascii="Arial" w:hAnsi="Arial" w:cs="Arial"/>
                <w:spacing w:val="20"/>
                <w:sz w:val="24"/>
                <w:highlight w:val="none"/>
              </w:rPr>
            </w:pPr>
          </w:p>
        </w:tc>
      </w:tr>
    </w:tbl>
    <w:p w14:paraId="212C0551">
      <w:pPr>
        <w:spacing w:line="360" w:lineRule="auto"/>
        <w:rPr>
          <w:rFonts w:ascii="宋体" w:hAnsi="宋体" w:cs="宋体"/>
          <w:highlight w:val="none"/>
          <w:lang w:val="en-GB"/>
        </w:rPr>
      </w:pPr>
      <w:r>
        <w:rPr>
          <w:rFonts w:hint="eastAsia" w:ascii="宋体" w:hAnsi="宋体" w:cs="宋体"/>
          <w:highlight w:val="none"/>
          <w:lang w:val="en-GB"/>
        </w:rPr>
        <w:t>注：请各投标人参照招标文件第三部分严格按以下要求认真填写偏离表</w:t>
      </w:r>
    </w:p>
    <w:p w14:paraId="6DBEAE68">
      <w:pPr>
        <w:pStyle w:val="28"/>
        <w:spacing w:line="360" w:lineRule="auto"/>
        <w:ind w:firstLine="420" w:firstLineChars="200"/>
        <w:rPr>
          <w:rFonts w:hAnsi="宋体"/>
          <w:highlight w:val="none"/>
          <w:lang w:val="en-GB"/>
        </w:rPr>
      </w:pPr>
      <w:r>
        <w:rPr>
          <w:rFonts w:hint="eastAsia" w:hAnsi="宋体"/>
          <w:highlight w:val="none"/>
          <w:lang w:val="en-GB"/>
        </w:rPr>
        <w:t>1.投标人应根据</w:t>
      </w:r>
      <w:r>
        <w:rPr>
          <w:rFonts w:hint="eastAsia" w:hAnsi="宋体"/>
          <w:highlight w:val="none"/>
          <w:lang w:val="en-US" w:eastAsia="zh-CN"/>
        </w:rPr>
        <w:t>所投</w:t>
      </w:r>
      <w:r>
        <w:rPr>
          <w:rFonts w:hint="eastAsia" w:hAnsi="宋体"/>
          <w:highlight w:val="none"/>
          <w:lang w:val="en-GB"/>
        </w:rPr>
        <w:t>的实际规格,并对照招标文件要求，对确实存在</w:t>
      </w:r>
      <w:r>
        <w:rPr>
          <w:rFonts w:hint="eastAsia" w:hAnsi="宋体"/>
          <w:highlight w:val="none"/>
          <w:lang w:val="en-US" w:eastAsia="zh-CN"/>
        </w:rPr>
        <w:t>所投服务</w:t>
      </w:r>
      <w:r>
        <w:rPr>
          <w:rFonts w:hint="eastAsia" w:hAnsi="宋体"/>
          <w:highlight w:val="none"/>
          <w:lang w:val="en-GB"/>
        </w:rPr>
        <w:t>要求与招标文件要求有偏离的情况，应真实、认真的填写本表。完全满足采购文件要求的供应商只需填写【完全满足采购文件的全部要求】</w:t>
      </w:r>
      <w:r>
        <w:rPr>
          <w:rFonts w:hint="eastAsia" w:hAnsi="宋体"/>
          <w:highlight w:val="none"/>
          <w:lang w:val="en-GB" w:eastAsia="zh-CN"/>
        </w:rPr>
        <w:t>；</w:t>
      </w:r>
      <w:r>
        <w:rPr>
          <w:rFonts w:hint="eastAsia" w:hAnsi="宋体"/>
          <w:highlight w:val="none"/>
          <w:lang w:val="en-GB"/>
        </w:rPr>
        <w:t>投标人应任何原因漏写或缺项或填写不正确的，后果由投标人自行承担。</w:t>
      </w:r>
    </w:p>
    <w:p w14:paraId="6A13A5B6">
      <w:pPr>
        <w:pStyle w:val="28"/>
        <w:tabs>
          <w:tab w:val="left" w:pos="1267"/>
        </w:tabs>
        <w:spacing w:line="360" w:lineRule="auto"/>
        <w:ind w:firstLine="420" w:firstLineChars="200"/>
        <w:rPr>
          <w:rFonts w:hAnsi="宋体"/>
          <w:highlight w:val="none"/>
          <w:lang w:val="en-GB"/>
        </w:rPr>
      </w:pPr>
      <w:r>
        <w:rPr>
          <w:rFonts w:hint="eastAsia" w:hAnsi="宋体"/>
          <w:highlight w:val="none"/>
          <w:lang w:val="en-GB"/>
        </w:rPr>
        <w:t>2.投标人真实填写本表，并对其真实性负责。评审委员会将根据评审办法和细则进行打分。</w:t>
      </w:r>
    </w:p>
    <w:p w14:paraId="1E132358">
      <w:pPr>
        <w:pStyle w:val="28"/>
        <w:spacing w:line="360" w:lineRule="auto"/>
        <w:ind w:firstLine="420" w:firstLineChars="200"/>
        <w:rPr>
          <w:rFonts w:hAnsi="宋体"/>
          <w:highlight w:val="none"/>
          <w:lang w:val="en-GB"/>
        </w:rPr>
      </w:pPr>
      <w:r>
        <w:rPr>
          <w:rFonts w:hint="eastAsia" w:hAnsi="宋体"/>
          <w:highlight w:val="none"/>
          <w:lang w:val="en-GB"/>
        </w:rPr>
        <w:t>3.投标人注明的偏离情况只作为评审专家评定的参考，最终是否构成偏离或实质性偏离情况应由评审委员会决定。</w:t>
      </w:r>
    </w:p>
    <w:p w14:paraId="74A82B8F">
      <w:pPr>
        <w:pStyle w:val="28"/>
        <w:tabs>
          <w:tab w:val="left" w:pos="1267"/>
        </w:tabs>
        <w:spacing w:line="360" w:lineRule="auto"/>
        <w:ind w:firstLine="420" w:firstLineChars="200"/>
        <w:rPr>
          <w:rFonts w:hAnsi="宋体"/>
          <w:highlight w:val="none"/>
          <w:lang w:val="en-GB"/>
        </w:rPr>
      </w:pPr>
      <w:r>
        <w:rPr>
          <w:rFonts w:hint="eastAsia" w:hAnsi="宋体"/>
          <w:highlight w:val="none"/>
          <w:lang w:val="en-GB"/>
        </w:rPr>
        <w:t>4.不允许存在实质性负偏离。</w:t>
      </w:r>
    </w:p>
    <w:p w14:paraId="4490CF3A">
      <w:pPr>
        <w:pStyle w:val="28"/>
        <w:tabs>
          <w:tab w:val="left" w:pos="1267"/>
        </w:tabs>
        <w:spacing w:line="360" w:lineRule="auto"/>
        <w:ind w:firstLine="420" w:firstLineChars="200"/>
        <w:rPr>
          <w:rFonts w:hint="eastAsia" w:hAnsi="宋体"/>
          <w:highlight w:val="none"/>
          <w:lang w:val="en-GB"/>
        </w:rPr>
      </w:pPr>
      <w:r>
        <w:rPr>
          <w:rFonts w:hint="eastAsia" w:hAnsi="宋体"/>
          <w:highlight w:val="none"/>
          <w:lang w:val="en-GB"/>
        </w:rPr>
        <w:t>5.供应商可调整、修改上述表格。</w:t>
      </w:r>
    </w:p>
    <w:p w14:paraId="729C6D86">
      <w:pPr>
        <w:pStyle w:val="28"/>
        <w:tabs>
          <w:tab w:val="left" w:pos="1267"/>
        </w:tabs>
        <w:spacing w:line="360" w:lineRule="auto"/>
        <w:ind w:firstLine="420" w:firstLineChars="200"/>
        <w:rPr>
          <w:rFonts w:hint="eastAsia" w:hAnsi="宋体"/>
          <w:highlight w:val="none"/>
          <w:lang w:val="en-US" w:eastAsia="zh-CN"/>
        </w:rPr>
      </w:pPr>
      <w:r>
        <w:rPr>
          <w:rFonts w:hint="eastAsia" w:hAnsi="宋体"/>
          <w:highlight w:val="none"/>
          <w:lang w:val="en-US" w:eastAsia="zh-CN"/>
        </w:rPr>
        <w:t>6.如不填写，采购人有权视作投标文件完全响应采购文件要求。</w:t>
      </w:r>
    </w:p>
    <w:p w14:paraId="3B70F1DA">
      <w:pPr>
        <w:pStyle w:val="28"/>
        <w:tabs>
          <w:tab w:val="left" w:pos="1267"/>
        </w:tabs>
        <w:spacing w:line="360" w:lineRule="auto"/>
        <w:ind w:firstLine="420" w:firstLineChars="200"/>
        <w:rPr>
          <w:rFonts w:hAnsi="宋体"/>
          <w:highlight w:val="none"/>
          <w:lang w:val="en-GB"/>
        </w:rPr>
      </w:pPr>
      <w:r>
        <w:rPr>
          <w:rFonts w:hint="eastAsia" w:hAnsi="宋体"/>
          <w:highlight w:val="none"/>
          <w:lang w:val="en-US" w:eastAsia="zh-CN"/>
        </w:rPr>
        <w:t>7.</w:t>
      </w:r>
      <w:r>
        <w:rPr>
          <w:rFonts w:hint="eastAsia" w:hAnsi="宋体"/>
          <w:highlight w:val="none"/>
          <w:lang w:val="en-GB"/>
        </w:rPr>
        <w:t>投标规格的实际偏离情况以评审委员会综合评价为准，</w:t>
      </w:r>
      <w:r>
        <w:rPr>
          <w:rFonts w:hint="eastAsia" w:hAnsi="宋体"/>
          <w:bCs/>
          <w:highlight w:val="none"/>
        </w:rPr>
        <w:t>解释权属评审委员会。</w:t>
      </w:r>
    </w:p>
    <w:p w14:paraId="1F3269F9">
      <w:pPr>
        <w:tabs>
          <w:tab w:val="left" w:pos="2355"/>
          <w:tab w:val="center" w:pos="4513"/>
        </w:tabs>
        <w:spacing w:line="360" w:lineRule="auto"/>
        <w:ind w:firstLine="420" w:firstLineChars="200"/>
        <w:jc w:val="center"/>
        <w:rPr>
          <w:rFonts w:ascii="宋体" w:hAnsi="宋体" w:cs="宋体"/>
          <w:highlight w:val="none"/>
          <w:lang w:val="en-GB"/>
        </w:rPr>
      </w:pPr>
    </w:p>
    <w:p w14:paraId="4DB3F077">
      <w:pPr>
        <w:tabs>
          <w:tab w:val="left" w:pos="2355"/>
          <w:tab w:val="center" w:pos="4513"/>
        </w:tabs>
        <w:spacing w:line="360" w:lineRule="auto"/>
        <w:ind w:firstLine="420" w:firstLineChars="200"/>
        <w:jc w:val="center"/>
        <w:rPr>
          <w:rFonts w:ascii="宋体" w:hAnsi="宋体" w:cs="宋体"/>
          <w:highlight w:val="none"/>
        </w:rPr>
      </w:pPr>
    </w:p>
    <w:p w14:paraId="05D758DC">
      <w:pPr>
        <w:pStyle w:val="28"/>
        <w:spacing w:line="360" w:lineRule="auto"/>
        <w:ind w:left="630" w:right="480" w:firstLine="2310" w:firstLineChars="1100"/>
        <w:jc w:val="right"/>
        <w:rPr>
          <w:rFonts w:hAnsi="宋体"/>
          <w:highlight w:val="none"/>
        </w:rPr>
      </w:pPr>
      <w:r>
        <w:rPr>
          <w:rFonts w:hint="eastAsia" w:hAnsi="宋体"/>
          <w:highlight w:val="none"/>
        </w:rPr>
        <w:t>负责人或委托代理人（签字或盖章）_____________</w:t>
      </w:r>
    </w:p>
    <w:p w14:paraId="10C6DA2F">
      <w:pPr>
        <w:pStyle w:val="28"/>
        <w:spacing w:line="360" w:lineRule="auto"/>
        <w:ind w:right="480"/>
        <w:jc w:val="right"/>
        <w:rPr>
          <w:rFonts w:hAnsi="宋体"/>
          <w:highlight w:val="none"/>
        </w:rPr>
      </w:pPr>
      <w:r>
        <w:rPr>
          <w:rFonts w:hint="eastAsia" w:hAnsi="宋体"/>
          <w:highlight w:val="none"/>
        </w:rPr>
        <w:t>　　　　　　　　　　　　　投标人（公章）_____________</w:t>
      </w:r>
    </w:p>
    <w:p w14:paraId="0B15EE72">
      <w:pPr>
        <w:pStyle w:val="28"/>
        <w:wordWrap w:val="0"/>
        <w:spacing w:line="360" w:lineRule="auto"/>
        <w:ind w:right="480"/>
        <w:jc w:val="right"/>
        <w:rPr>
          <w:rFonts w:ascii="宋体" w:hAnsi="宋体" w:cs="宋体"/>
          <w:sz w:val="21"/>
          <w:highlight w:val="none"/>
        </w:rPr>
      </w:pPr>
      <w:r>
        <w:rPr>
          <w:rFonts w:hint="eastAsia" w:hAnsi="宋体"/>
          <w:highlight w:val="none"/>
        </w:rPr>
        <w:t xml:space="preserve">                       日期：_____年____月____日</w:t>
      </w:r>
    </w:p>
    <w:p w14:paraId="28FF9A1A">
      <w:pPr>
        <w:tabs>
          <w:tab w:val="left" w:pos="2355"/>
          <w:tab w:val="center" w:pos="4513"/>
        </w:tabs>
        <w:spacing w:line="360" w:lineRule="auto"/>
        <w:jc w:val="center"/>
        <w:rPr>
          <w:rFonts w:ascii="宋体" w:hAnsi="宋体" w:cs="宋体"/>
          <w:highlight w:val="none"/>
        </w:rPr>
      </w:pPr>
      <w:r>
        <w:rPr>
          <w:rFonts w:hint="eastAsia" w:ascii="宋体" w:hAnsi="宋体" w:cs="宋体"/>
          <w:b/>
          <w:bCs/>
          <w:highlight w:val="none"/>
        </w:rPr>
        <w:t>三  报价文件格式</w:t>
      </w:r>
      <w:bookmarkEnd w:id="102"/>
      <w:bookmarkEnd w:id="103"/>
    </w:p>
    <w:p w14:paraId="031C9417">
      <w:pPr>
        <w:spacing w:line="360" w:lineRule="auto"/>
        <w:rPr>
          <w:rFonts w:ascii="宋体" w:hAnsi="宋体" w:cs="宋体"/>
          <w:highlight w:val="none"/>
        </w:rPr>
      </w:pPr>
    </w:p>
    <w:p w14:paraId="65F3BF23">
      <w:pPr>
        <w:spacing w:line="360" w:lineRule="auto"/>
        <w:rPr>
          <w:rFonts w:ascii="宋体" w:hAnsi="宋体" w:cs="宋体"/>
          <w:highlight w:val="none"/>
        </w:rPr>
      </w:pPr>
      <w:r>
        <w:rPr>
          <w:rFonts w:hint="eastAsia" w:ascii="宋体" w:hAnsi="宋体" w:cs="宋体"/>
          <w:highlight w:val="none"/>
        </w:rPr>
        <w:t>1、开标一览表</w:t>
      </w:r>
    </w:p>
    <w:p w14:paraId="22E56C74">
      <w:pPr>
        <w:spacing w:line="360" w:lineRule="auto"/>
        <w:rPr>
          <w:rFonts w:hint="default" w:ascii="宋体" w:hAnsi="宋体" w:cs="宋体"/>
          <w:highlight w:val="none"/>
          <w:lang w:val="en-US" w:eastAsia="zh-CN"/>
        </w:rPr>
      </w:pPr>
      <w:r>
        <w:rPr>
          <w:rFonts w:hint="eastAsia" w:ascii="宋体" w:hAnsi="宋体" w:cs="宋体"/>
          <w:highlight w:val="none"/>
          <w:lang w:val="en-US" w:eastAsia="zh-CN"/>
        </w:rPr>
        <w:t>2、开标明细表</w:t>
      </w:r>
    </w:p>
    <w:p w14:paraId="6C26F225">
      <w:pPr>
        <w:spacing w:line="360" w:lineRule="auto"/>
        <w:rPr>
          <w:rFonts w:hint="default" w:ascii="宋体" w:hAnsi="宋体" w:cs="宋体"/>
          <w:highlight w:val="none"/>
          <w:lang w:val="en-US" w:eastAsia="zh-CN"/>
        </w:rPr>
      </w:pPr>
    </w:p>
    <w:p w14:paraId="0FA053E5">
      <w:pPr>
        <w:pStyle w:val="3"/>
        <w:rPr>
          <w:highlight w:val="none"/>
        </w:rPr>
      </w:pPr>
    </w:p>
    <w:p w14:paraId="09224596">
      <w:pPr>
        <w:pStyle w:val="13"/>
        <w:rPr>
          <w:rFonts w:ascii="宋体" w:hAnsi="宋体" w:cs="宋体"/>
          <w:highlight w:val="none"/>
        </w:rPr>
      </w:pPr>
    </w:p>
    <w:p w14:paraId="1FFF7803">
      <w:pPr>
        <w:pStyle w:val="13"/>
        <w:rPr>
          <w:rFonts w:ascii="宋体" w:hAnsi="宋体" w:cs="宋体"/>
          <w:highlight w:val="none"/>
        </w:rPr>
      </w:pPr>
    </w:p>
    <w:p w14:paraId="4154D52F">
      <w:pPr>
        <w:pStyle w:val="13"/>
        <w:rPr>
          <w:rFonts w:ascii="宋体" w:hAnsi="宋体" w:cs="宋体"/>
          <w:highlight w:val="none"/>
        </w:rPr>
      </w:pPr>
    </w:p>
    <w:p w14:paraId="20CF8961">
      <w:pPr>
        <w:pStyle w:val="13"/>
        <w:rPr>
          <w:rFonts w:ascii="宋体" w:hAnsi="宋体" w:cs="宋体"/>
          <w:highlight w:val="none"/>
        </w:rPr>
      </w:pPr>
    </w:p>
    <w:p w14:paraId="2B2EE47D">
      <w:pPr>
        <w:pStyle w:val="13"/>
        <w:rPr>
          <w:rFonts w:ascii="宋体" w:hAnsi="宋体" w:cs="宋体"/>
          <w:highlight w:val="none"/>
        </w:rPr>
      </w:pPr>
    </w:p>
    <w:p w14:paraId="4E5F9016">
      <w:pPr>
        <w:pStyle w:val="13"/>
        <w:rPr>
          <w:rFonts w:ascii="宋体" w:hAnsi="宋体" w:cs="宋体"/>
          <w:highlight w:val="none"/>
        </w:rPr>
      </w:pPr>
    </w:p>
    <w:p w14:paraId="5CD10E1C">
      <w:pPr>
        <w:pStyle w:val="13"/>
        <w:rPr>
          <w:rFonts w:ascii="宋体" w:hAnsi="宋体" w:cs="宋体"/>
          <w:highlight w:val="none"/>
        </w:rPr>
      </w:pPr>
    </w:p>
    <w:p w14:paraId="1B7363EA">
      <w:pPr>
        <w:pStyle w:val="13"/>
        <w:rPr>
          <w:rFonts w:ascii="宋体" w:hAnsi="宋体" w:cs="宋体"/>
          <w:highlight w:val="none"/>
        </w:rPr>
      </w:pPr>
    </w:p>
    <w:p w14:paraId="094FF321">
      <w:pPr>
        <w:pStyle w:val="13"/>
        <w:rPr>
          <w:rFonts w:ascii="宋体" w:hAnsi="宋体" w:cs="宋体"/>
          <w:highlight w:val="none"/>
        </w:rPr>
      </w:pPr>
    </w:p>
    <w:p w14:paraId="2AE7949F">
      <w:pPr>
        <w:pStyle w:val="13"/>
        <w:rPr>
          <w:rFonts w:ascii="宋体" w:hAnsi="宋体" w:cs="宋体"/>
          <w:highlight w:val="none"/>
        </w:rPr>
      </w:pPr>
    </w:p>
    <w:p w14:paraId="02AE3D07">
      <w:pPr>
        <w:pStyle w:val="13"/>
        <w:rPr>
          <w:rFonts w:ascii="宋体" w:hAnsi="宋体" w:cs="宋体"/>
          <w:highlight w:val="none"/>
        </w:rPr>
      </w:pPr>
    </w:p>
    <w:p w14:paraId="692E994F">
      <w:pPr>
        <w:pStyle w:val="13"/>
        <w:rPr>
          <w:rFonts w:ascii="宋体" w:hAnsi="宋体" w:cs="宋体"/>
          <w:highlight w:val="none"/>
        </w:rPr>
      </w:pPr>
    </w:p>
    <w:p w14:paraId="1F649665">
      <w:pPr>
        <w:pStyle w:val="13"/>
        <w:rPr>
          <w:rFonts w:ascii="宋体" w:hAnsi="宋体" w:cs="宋体"/>
          <w:highlight w:val="none"/>
        </w:rPr>
      </w:pPr>
    </w:p>
    <w:p w14:paraId="2D1F7C9D">
      <w:pPr>
        <w:pStyle w:val="13"/>
        <w:rPr>
          <w:rFonts w:ascii="宋体" w:hAnsi="宋体" w:cs="宋体"/>
          <w:highlight w:val="none"/>
        </w:rPr>
      </w:pPr>
    </w:p>
    <w:p w14:paraId="4E7ABBA3">
      <w:pPr>
        <w:pStyle w:val="13"/>
        <w:rPr>
          <w:rFonts w:ascii="宋体" w:hAnsi="宋体" w:cs="宋体"/>
          <w:highlight w:val="none"/>
        </w:rPr>
      </w:pPr>
    </w:p>
    <w:p w14:paraId="6E9CAD4E">
      <w:pPr>
        <w:pStyle w:val="13"/>
        <w:rPr>
          <w:rFonts w:ascii="宋体" w:hAnsi="宋体" w:cs="宋体"/>
          <w:highlight w:val="none"/>
        </w:rPr>
      </w:pPr>
    </w:p>
    <w:p w14:paraId="303E5DBC">
      <w:pPr>
        <w:pStyle w:val="13"/>
        <w:rPr>
          <w:rFonts w:ascii="宋体" w:hAnsi="宋体" w:cs="宋体"/>
          <w:highlight w:val="none"/>
        </w:rPr>
      </w:pPr>
    </w:p>
    <w:p w14:paraId="67B24F53">
      <w:pPr>
        <w:pStyle w:val="13"/>
        <w:rPr>
          <w:rFonts w:ascii="宋体" w:hAnsi="宋体" w:cs="宋体"/>
          <w:highlight w:val="none"/>
        </w:rPr>
      </w:pPr>
    </w:p>
    <w:p w14:paraId="41F7601B">
      <w:pPr>
        <w:pStyle w:val="13"/>
        <w:rPr>
          <w:rFonts w:ascii="宋体" w:hAnsi="宋体" w:cs="宋体"/>
          <w:highlight w:val="none"/>
        </w:rPr>
      </w:pPr>
    </w:p>
    <w:p w14:paraId="6259562F">
      <w:pPr>
        <w:pStyle w:val="13"/>
        <w:rPr>
          <w:rFonts w:ascii="宋体" w:hAnsi="宋体" w:cs="宋体"/>
          <w:highlight w:val="none"/>
        </w:rPr>
      </w:pPr>
    </w:p>
    <w:p w14:paraId="4E88C5F4">
      <w:pPr>
        <w:pStyle w:val="13"/>
        <w:rPr>
          <w:rFonts w:ascii="宋体" w:hAnsi="宋体" w:cs="宋体"/>
          <w:highlight w:val="none"/>
        </w:rPr>
      </w:pPr>
    </w:p>
    <w:p w14:paraId="0BDC45E4">
      <w:pPr>
        <w:pStyle w:val="13"/>
        <w:rPr>
          <w:rFonts w:ascii="宋体" w:hAnsi="宋体" w:cs="宋体"/>
          <w:highlight w:val="none"/>
        </w:rPr>
      </w:pPr>
    </w:p>
    <w:p w14:paraId="25AF96F9">
      <w:pPr>
        <w:pStyle w:val="13"/>
        <w:rPr>
          <w:rFonts w:ascii="宋体" w:hAnsi="宋体" w:cs="宋体"/>
          <w:highlight w:val="none"/>
        </w:rPr>
      </w:pPr>
    </w:p>
    <w:p w14:paraId="61AF4F52">
      <w:pPr>
        <w:pStyle w:val="13"/>
        <w:rPr>
          <w:rFonts w:ascii="宋体" w:hAnsi="宋体" w:cs="宋体"/>
          <w:highlight w:val="none"/>
        </w:rPr>
      </w:pPr>
    </w:p>
    <w:p w14:paraId="04DAFF77">
      <w:pPr>
        <w:pStyle w:val="13"/>
        <w:rPr>
          <w:rFonts w:ascii="宋体" w:hAnsi="宋体" w:cs="宋体"/>
          <w:highlight w:val="none"/>
        </w:rPr>
      </w:pPr>
    </w:p>
    <w:p w14:paraId="7E98199D">
      <w:pPr>
        <w:pStyle w:val="13"/>
        <w:rPr>
          <w:rFonts w:ascii="宋体" w:hAnsi="宋体" w:cs="宋体"/>
          <w:highlight w:val="none"/>
        </w:rPr>
      </w:pPr>
    </w:p>
    <w:p w14:paraId="003DB7F3">
      <w:pPr>
        <w:pStyle w:val="13"/>
        <w:rPr>
          <w:rFonts w:ascii="宋体" w:hAnsi="宋体" w:cs="宋体"/>
          <w:highlight w:val="none"/>
        </w:rPr>
      </w:pPr>
    </w:p>
    <w:p w14:paraId="2B155E0F">
      <w:pPr>
        <w:pStyle w:val="13"/>
        <w:rPr>
          <w:rFonts w:ascii="宋体" w:hAnsi="宋体" w:cs="宋体"/>
          <w:highlight w:val="none"/>
        </w:rPr>
      </w:pPr>
    </w:p>
    <w:p w14:paraId="6691EDBB">
      <w:pPr>
        <w:pStyle w:val="13"/>
        <w:rPr>
          <w:rFonts w:ascii="宋体" w:hAnsi="宋体" w:cs="宋体"/>
          <w:highlight w:val="none"/>
        </w:rPr>
      </w:pPr>
    </w:p>
    <w:p w14:paraId="16B0EBD0">
      <w:pPr>
        <w:pStyle w:val="13"/>
        <w:rPr>
          <w:rFonts w:ascii="宋体" w:hAnsi="宋体" w:cs="宋体"/>
          <w:highlight w:val="none"/>
        </w:rPr>
      </w:pPr>
    </w:p>
    <w:p w14:paraId="3BA86A2E">
      <w:pPr>
        <w:pStyle w:val="13"/>
        <w:rPr>
          <w:rFonts w:ascii="宋体" w:hAnsi="宋体" w:cs="宋体"/>
          <w:highlight w:val="none"/>
        </w:rPr>
      </w:pPr>
    </w:p>
    <w:p w14:paraId="350BA97D">
      <w:pPr>
        <w:pStyle w:val="13"/>
        <w:rPr>
          <w:rFonts w:ascii="宋体" w:hAnsi="宋体" w:cs="宋体"/>
          <w:highlight w:val="none"/>
        </w:rPr>
      </w:pPr>
    </w:p>
    <w:p w14:paraId="5F6F30A1">
      <w:pPr>
        <w:pStyle w:val="22"/>
        <w:rPr>
          <w:rFonts w:ascii="宋体" w:hAnsi="宋体" w:cs="宋体"/>
          <w:highlight w:val="none"/>
        </w:rPr>
      </w:pPr>
    </w:p>
    <w:p w14:paraId="5FDD78AA">
      <w:pPr>
        <w:pStyle w:val="13"/>
        <w:rPr>
          <w:rFonts w:ascii="宋体" w:hAnsi="宋体" w:cs="宋体"/>
          <w:highlight w:val="none"/>
        </w:rPr>
      </w:pPr>
    </w:p>
    <w:p w14:paraId="28294BA9">
      <w:pPr>
        <w:jc w:val="center"/>
        <w:rPr>
          <w:rFonts w:hAnsi="宋体"/>
          <w:b/>
          <w:bCs/>
          <w:highlight w:val="none"/>
        </w:rPr>
      </w:pPr>
      <w:r>
        <w:rPr>
          <w:rFonts w:hint="eastAsia" w:hAnsi="宋体"/>
          <w:highlight w:val="none"/>
          <w:lang w:val="en-US" w:eastAsia="zh-CN"/>
        </w:rPr>
        <w:t>1、</w:t>
      </w:r>
      <w:r>
        <w:rPr>
          <w:rFonts w:hint="eastAsia" w:hAnsi="宋体"/>
          <w:highlight w:val="none"/>
        </w:rPr>
        <w:t>开标一览表</w:t>
      </w:r>
    </w:p>
    <w:p w14:paraId="30E45DC9">
      <w:pPr>
        <w:keepNext w:val="0"/>
        <w:keepLines w:val="0"/>
        <w:pageBreakBefore w:val="0"/>
        <w:kinsoku/>
        <w:wordWrap/>
        <w:overflowPunct/>
        <w:topLinePunct w:val="0"/>
        <w:autoSpaceDE/>
        <w:autoSpaceDN/>
        <w:bidi w:val="0"/>
        <w:adjustRightInd/>
        <w:spacing w:line="360" w:lineRule="auto"/>
        <w:ind w:firstLine="105" w:firstLineChars="50"/>
        <w:outlineLvl w:val="9"/>
        <w:rPr>
          <w:rFonts w:hint="eastAsia" w:ascii="宋体" w:hAnsi="宋体"/>
          <w:color w:val="auto"/>
          <w:sz w:val="21"/>
          <w:szCs w:val="21"/>
          <w:highlight w:val="none"/>
          <w:lang w:val="en-US" w:eastAsia="zh-CN"/>
        </w:rPr>
      </w:pPr>
      <w:r>
        <w:rPr>
          <w:rFonts w:hint="eastAsia" w:ascii="宋体" w:hAnsi="宋体"/>
          <w:color w:val="auto"/>
          <w:sz w:val="21"/>
          <w:szCs w:val="21"/>
          <w:highlight w:val="none"/>
        </w:rPr>
        <w:t>项目名称：</w:t>
      </w:r>
      <w:r>
        <w:rPr>
          <w:rFonts w:hint="eastAsia" w:ascii="宋体" w:hAnsi="宋体"/>
          <w:color w:val="auto"/>
          <w:sz w:val="21"/>
          <w:szCs w:val="21"/>
          <w:highlight w:val="none"/>
          <w:lang w:val="en-US" w:eastAsia="zh-CN"/>
        </w:rPr>
        <w:t xml:space="preserve">                                          </w:t>
      </w:r>
    </w:p>
    <w:p w14:paraId="65AAD45F">
      <w:pPr>
        <w:keepNext w:val="0"/>
        <w:keepLines w:val="0"/>
        <w:pageBreakBefore w:val="0"/>
        <w:kinsoku/>
        <w:wordWrap/>
        <w:overflowPunct/>
        <w:topLinePunct w:val="0"/>
        <w:autoSpaceDE/>
        <w:autoSpaceDN/>
        <w:bidi w:val="0"/>
        <w:adjustRightInd/>
        <w:spacing w:line="360" w:lineRule="auto"/>
        <w:ind w:firstLine="105" w:firstLineChars="50"/>
        <w:outlineLvl w:val="9"/>
        <w:rPr>
          <w:rFonts w:hint="eastAsia" w:ascii="宋体" w:hAnsi="宋体"/>
          <w:color w:val="auto"/>
          <w:sz w:val="21"/>
          <w:szCs w:val="21"/>
          <w:highlight w:val="none"/>
        </w:rPr>
      </w:pPr>
      <w:r>
        <w:rPr>
          <w:rFonts w:hint="eastAsia" w:ascii="宋体" w:hAnsi="宋体"/>
          <w:color w:val="auto"/>
          <w:sz w:val="21"/>
          <w:szCs w:val="21"/>
          <w:highlight w:val="none"/>
        </w:rPr>
        <w:t>项目编号：</w:t>
      </w:r>
    </w:p>
    <w:p w14:paraId="44651A6D">
      <w:pPr>
        <w:keepNext w:val="0"/>
        <w:keepLines w:val="0"/>
        <w:pageBreakBefore w:val="0"/>
        <w:kinsoku/>
        <w:wordWrap/>
        <w:overflowPunct/>
        <w:topLinePunct w:val="0"/>
        <w:autoSpaceDE/>
        <w:autoSpaceDN/>
        <w:bidi w:val="0"/>
        <w:adjustRightInd/>
        <w:spacing w:line="360" w:lineRule="auto"/>
        <w:ind w:firstLine="105" w:firstLineChars="50"/>
        <w:jc w:val="right"/>
        <w:outlineLvl w:val="9"/>
        <w:rPr>
          <w:rFonts w:hint="default" w:ascii="宋体" w:hAnsi="宋体" w:eastAsia="宋体"/>
          <w:color w:val="auto"/>
          <w:sz w:val="21"/>
          <w:szCs w:val="21"/>
          <w:highlight w:val="none"/>
          <w:lang w:val="en-US" w:eastAsia="zh-CN"/>
        </w:rPr>
      </w:pPr>
      <w:r>
        <w:rPr>
          <w:rFonts w:hint="eastAsia" w:ascii="宋体" w:hAnsi="宋体"/>
          <w:color w:val="auto"/>
          <w:sz w:val="21"/>
          <w:szCs w:val="21"/>
          <w:highlight w:val="none"/>
        </w:rPr>
        <w:t>单位：元</w:t>
      </w:r>
    </w:p>
    <w:tbl>
      <w:tblPr>
        <w:tblStyle w:val="50"/>
        <w:tblW w:w="9885" w:type="dxa"/>
        <w:tblInd w:w="-38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3982"/>
        <w:gridCol w:w="3780"/>
        <w:gridCol w:w="1373"/>
      </w:tblGrid>
      <w:tr w14:paraId="4EB69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50" w:type="dxa"/>
            <w:noWrap w:val="0"/>
            <w:vAlign w:val="center"/>
          </w:tcPr>
          <w:p w14:paraId="1FA38C7E">
            <w:pPr>
              <w:keepNext w:val="0"/>
              <w:keepLines w:val="0"/>
              <w:pageBreakBefore w:val="0"/>
              <w:kinsoku/>
              <w:wordWrap/>
              <w:overflowPunct/>
              <w:topLinePunct w:val="0"/>
              <w:autoSpaceDE/>
              <w:autoSpaceDN/>
              <w:bidi w:val="0"/>
              <w:adjustRightInd/>
              <w:snapToGrid w:val="0"/>
              <w:spacing w:before="50" w:afterLines="50" w:line="360" w:lineRule="auto"/>
              <w:ind w:firstLine="0" w:firstLineChars="0"/>
              <w:jc w:val="center"/>
              <w:outlineLvl w:val="9"/>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序号</w:t>
            </w:r>
          </w:p>
        </w:tc>
        <w:tc>
          <w:tcPr>
            <w:tcW w:w="3982" w:type="dxa"/>
            <w:noWrap w:val="0"/>
            <w:vAlign w:val="center"/>
          </w:tcPr>
          <w:p w14:paraId="0BD5B7AE">
            <w:pPr>
              <w:keepNext w:val="0"/>
              <w:keepLines w:val="0"/>
              <w:pageBreakBefore w:val="0"/>
              <w:kinsoku/>
              <w:wordWrap/>
              <w:overflowPunct/>
              <w:topLinePunct w:val="0"/>
              <w:autoSpaceDE/>
              <w:autoSpaceDN/>
              <w:bidi w:val="0"/>
              <w:adjustRightInd/>
              <w:snapToGrid w:val="0"/>
              <w:spacing w:before="50" w:afterLines="50" w:line="360" w:lineRule="auto"/>
              <w:ind w:firstLine="0" w:firstLineChars="0"/>
              <w:jc w:val="center"/>
              <w:outlineLvl w:val="9"/>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项目名称</w:t>
            </w:r>
          </w:p>
        </w:tc>
        <w:tc>
          <w:tcPr>
            <w:tcW w:w="3780" w:type="dxa"/>
            <w:noWrap w:val="0"/>
            <w:vAlign w:val="center"/>
          </w:tcPr>
          <w:p w14:paraId="7211E582">
            <w:pPr>
              <w:keepNext w:val="0"/>
              <w:keepLines w:val="0"/>
              <w:pageBreakBefore w:val="0"/>
              <w:kinsoku/>
              <w:wordWrap/>
              <w:overflowPunct/>
              <w:topLinePunct w:val="0"/>
              <w:autoSpaceDE/>
              <w:autoSpaceDN/>
              <w:bidi w:val="0"/>
              <w:adjustRightInd/>
              <w:snapToGrid w:val="0"/>
              <w:spacing w:before="50" w:afterLines="50" w:line="360" w:lineRule="auto"/>
              <w:ind w:firstLine="0" w:firstLineChars="0"/>
              <w:jc w:val="center"/>
              <w:outlineLvl w:val="9"/>
              <w:rPr>
                <w:rFonts w:hint="default"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投标报价（元）</w:t>
            </w:r>
          </w:p>
        </w:tc>
        <w:tc>
          <w:tcPr>
            <w:tcW w:w="1373" w:type="dxa"/>
            <w:noWrap w:val="0"/>
            <w:vAlign w:val="center"/>
          </w:tcPr>
          <w:p w14:paraId="03C05B36">
            <w:pPr>
              <w:keepNext w:val="0"/>
              <w:keepLines w:val="0"/>
              <w:pageBreakBefore w:val="0"/>
              <w:kinsoku/>
              <w:wordWrap/>
              <w:overflowPunct/>
              <w:topLinePunct w:val="0"/>
              <w:autoSpaceDE/>
              <w:autoSpaceDN/>
              <w:bidi w:val="0"/>
              <w:adjustRightInd/>
              <w:snapToGrid w:val="0"/>
              <w:spacing w:before="50" w:afterLines="50" w:line="360" w:lineRule="auto"/>
              <w:ind w:firstLine="0" w:firstLineChars="0"/>
              <w:jc w:val="center"/>
              <w:outlineLvl w:val="9"/>
              <w:rPr>
                <w:rFonts w:hint="default"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备注</w:t>
            </w:r>
          </w:p>
        </w:tc>
      </w:tr>
      <w:tr w14:paraId="2D179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trPr>
        <w:tc>
          <w:tcPr>
            <w:tcW w:w="750" w:type="dxa"/>
            <w:vMerge w:val="restart"/>
            <w:noWrap w:val="0"/>
            <w:vAlign w:val="center"/>
          </w:tcPr>
          <w:p w14:paraId="22D63E9A">
            <w:pPr>
              <w:keepNext w:val="0"/>
              <w:keepLines w:val="0"/>
              <w:pageBreakBefore w:val="0"/>
              <w:kinsoku/>
              <w:wordWrap/>
              <w:overflowPunct/>
              <w:topLinePunct w:val="0"/>
              <w:autoSpaceDE/>
              <w:autoSpaceDN/>
              <w:bidi w:val="0"/>
              <w:adjustRightInd/>
              <w:snapToGrid w:val="0"/>
              <w:spacing w:before="50" w:afterLines="50" w:line="360" w:lineRule="auto"/>
              <w:ind w:firstLine="0" w:firstLineChars="0"/>
              <w:jc w:val="center"/>
              <w:outlineLvl w:val="9"/>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1</w:t>
            </w:r>
          </w:p>
        </w:tc>
        <w:tc>
          <w:tcPr>
            <w:tcW w:w="3982" w:type="dxa"/>
            <w:vMerge w:val="restart"/>
            <w:noWrap w:val="0"/>
            <w:vAlign w:val="center"/>
          </w:tcPr>
          <w:p w14:paraId="67B50162">
            <w:pPr>
              <w:keepNext w:val="0"/>
              <w:keepLines w:val="0"/>
              <w:pageBreakBefore w:val="0"/>
              <w:widowControl/>
              <w:kinsoku/>
              <w:wordWrap/>
              <w:overflowPunct/>
              <w:topLinePunct w:val="0"/>
              <w:autoSpaceDE/>
              <w:autoSpaceDN/>
              <w:bidi w:val="0"/>
              <w:adjustRightInd/>
              <w:spacing w:line="360" w:lineRule="auto"/>
              <w:ind w:firstLine="0" w:firstLineChars="0"/>
              <w:jc w:val="center"/>
              <w:textAlignment w:val="center"/>
              <w:outlineLvl w:val="9"/>
              <w:rPr>
                <w:rFonts w:ascii="宋体" w:hAnsi="宋体" w:eastAsia="宋体" w:cs="宋体"/>
                <w:bCs/>
                <w:color w:val="auto"/>
                <w:sz w:val="21"/>
                <w:szCs w:val="21"/>
                <w:highlight w:val="none"/>
              </w:rPr>
            </w:pPr>
            <w:r>
              <w:rPr>
                <w:rFonts w:hint="eastAsia" w:ascii="宋体" w:hAnsi="宋体" w:cs="宋体"/>
                <w:bCs/>
                <w:color w:val="auto"/>
                <w:sz w:val="21"/>
                <w:szCs w:val="21"/>
                <w:highlight w:val="none"/>
                <w:lang w:eastAsia="zh-CN"/>
              </w:rPr>
              <w:t>新昌高新技术产业园区化工园区突发水污染事件多级防控体系建设项目</w:t>
            </w:r>
          </w:p>
        </w:tc>
        <w:tc>
          <w:tcPr>
            <w:tcW w:w="3780" w:type="dxa"/>
            <w:noWrap w:val="0"/>
            <w:vAlign w:val="center"/>
          </w:tcPr>
          <w:p w14:paraId="6A589920">
            <w:pPr>
              <w:keepNext w:val="0"/>
              <w:keepLines w:val="0"/>
              <w:pageBreakBefore w:val="0"/>
              <w:kinsoku/>
              <w:wordWrap/>
              <w:overflowPunct/>
              <w:topLinePunct w:val="0"/>
              <w:autoSpaceDE/>
              <w:autoSpaceDN/>
              <w:bidi w:val="0"/>
              <w:adjustRightInd/>
              <w:snapToGrid w:val="0"/>
              <w:spacing w:before="50" w:afterLines="50" w:line="360" w:lineRule="auto"/>
              <w:jc w:val="left"/>
              <w:outlineLvl w:val="9"/>
              <w:rPr>
                <w:rFonts w:hint="default" w:ascii="宋体" w:hAnsi="宋体" w:cs="Times New Roman"/>
                <w:color w:val="auto"/>
                <w:sz w:val="21"/>
                <w:szCs w:val="21"/>
                <w:highlight w:val="none"/>
                <w:lang w:val="en-US" w:eastAsia="zh-CN"/>
              </w:rPr>
            </w:pPr>
            <w:r>
              <w:rPr>
                <w:rFonts w:hint="eastAsia" w:ascii="宋体" w:hAnsi="宋体" w:cs="Times New Roman"/>
                <w:color w:val="auto"/>
                <w:sz w:val="21"/>
                <w:szCs w:val="21"/>
                <w:highlight w:val="none"/>
                <w:lang w:val="en-US" w:eastAsia="zh-CN"/>
              </w:rPr>
              <w:t>小写：</w:t>
            </w:r>
          </w:p>
        </w:tc>
        <w:tc>
          <w:tcPr>
            <w:tcW w:w="1373" w:type="dxa"/>
            <w:vMerge w:val="restart"/>
            <w:noWrap w:val="0"/>
            <w:vAlign w:val="center"/>
          </w:tcPr>
          <w:p w14:paraId="706D9E2D">
            <w:pPr>
              <w:keepNext w:val="0"/>
              <w:keepLines w:val="0"/>
              <w:pageBreakBefore w:val="0"/>
              <w:kinsoku/>
              <w:wordWrap/>
              <w:overflowPunct/>
              <w:topLinePunct w:val="0"/>
              <w:autoSpaceDE/>
              <w:autoSpaceDN/>
              <w:bidi w:val="0"/>
              <w:adjustRightInd/>
              <w:snapToGrid w:val="0"/>
              <w:spacing w:before="50" w:afterLines="50" w:line="360" w:lineRule="auto"/>
              <w:ind w:firstLine="0" w:firstLineChars="0"/>
              <w:jc w:val="center"/>
              <w:outlineLvl w:val="9"/>
              <w:rPr>
                <w:rFonts w:hint="default" w:ascii="宋体" w:hAnsi="宋体" w:eastAsia="宋体" w:cs="Times New Roman"/>
                <w:color w:val="auto"/>
                <w:sz w:val="21"/>
                <w:szCs w:val="21"/>
                <w:highlight w:val="none"/>
                <w:lang w:val="en-US" w:eastAsia="zh-CN"/>
              </w:rPr>
            </w:pPr>
          </w:p>
        </w:tc>
      </w:tr>
      <w:tr w14:paraId="24DF9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750" w:type="dxa"/>
            <w:vMerge w:val="continue"/>
            <w:noWrap w:val="0"/>
            <w:vAlign w:val="center"/>
          </w:tcPr>
          <w:p w14:paraId="777B7513">
            <w:pPr>
              <w:keepNext w:val="0"/>
              <w:keepLines w:val="0"/>
              <w:pageBreakBefore w:val="0"/>
              <w:kinsoku/>
              <w:wordWrap/>
              <w:overflowPunct/>
              <w:topLinePunct w:val="0"/>
              <w:autoSpaceDE/>
              <w:autoSpaceDN/>
              <w:bidi w:val="0"/>
              <w:adjustRightInd/>
              <w:snapToGrid w:val="0"/>
              <w:spacing w:before="50" w:afterLines="50" w:line="360" w:lineRule="auto"/>
              <w:ind w:firstLine="420" w:firstLineChars="200"/>
              <w:jc w:val="left"/>
              <w:outlineLvl w:val="9"/>
              <w:rPr>
                <w:sz w:val="21"/>
                <w:szCs w:val="21"/>
                <w:highlight w:val="none"/>
              </w:rPr>
            </w:pPr>
          </w:p>
        </w:tc>
        <w:tc>
          <w:tcPr>
            <w:tcW w:w="3982" w:type="dxa"/>
            <w:vMerge w:val="continue"/>
            <w:noWrap w:val="0"/>
            <w:vAlign w:val="center"/>
          </w:tcPr>
          <w:p w14:paraId="72356FF2">
            <w:pPr>
              <w:keepNext w:val="0"/>
              <w:keepLines w:val="0"/>
              <w:pageBreakBefore w:val="0"/>
              <w:kinsoku/>
              <w:wordWrap/>
              <w:overflowPunct/>
              <w:topLinePunct w:val="0"/>
              <w:autoSpaceDE/>
              <w:autoSpaceDN/>
              <w:bidi w:val="0"/>
              <w:adjustRightInd/>
              <w:snapToGrid w:val="0"/>
              <w:spacing w:before="50" w:afterLines="50" w:line="360" w:lineRule="auto"/>
              <w:ind w:firstLine="420" w:firstLineChars="200"/>
              <w:jc w:val="left"/>
              <w:outlineLvl w:val="9"/>
              <w:rPr>
                <w:sz w:val="21"/>
                <w:szCs w:val="21"/>
                <w:highlight w:val="none"/>
              </w:rPr>
            </w:pPr>
          </w:p>
        </w:tc>
        <w:tc>
          <w:tcPr>
            <w:tcW w:w="3780" w:type="dxa"/>
            <w:noWrap w:val="0"/>
            <w:vAlign w:val="center"/>
          </w:tcPr>
          <w:p w14:paraId="1562A168">
            <w:pPr>
              <w:keepNext w:val="0"/>
              <w:keepLines w:val="0"/>
              <w:pageBreakBefore w:val="0"/>
              <w:kinsoku/>
              <w:wordWrap/>
              <w:overflowPunct/>
              <w:topLinePunct w:val="0"/>
              <w:autoSpaceDE/>
              <w:autoSpaceDN/>
              <w:bidi w:val="0"/>
              <w:adjustRightInd/>
              <w:snapToGrid w:val="0"/>
              <w:spacing w:before="50" w:afterLines="50" w:line="360" w:lineRule="auto"/>
              <w:jc w:val="left"/>
              <w:outlineLvl w:val="9"/>
              <w:rPr>
                <w:rFonts w:hint="default" w:ascii="宋体" w:hAnsi="宋体" w:cs="Times New Roman"/>
                <w:color w:val="auto"/>
                <w:sz w:val="21"/>
                <w:szCs w:val="21"/>
                <w:highlight w:val="none"/>
                <w:lang w:val="en-US" w:eastAsia="zh-CN"/>
              </w:rPr>
            </w:pPr>
            <w:r>
              <w:rPr>
                <w:rFonts w:hint="eastAsia" w:ascii="宋体" w:hAnsi="宋体" w:cs="Times New Roman"/>
                <w:color w:val="auto"/>
                <w:sz w:val="21"/>
                <w:szCs w:val="21"/>
                <w:highlight w:val="none"/>
                <w:lang w:val="en-US" w:eastAsia="zh-CN"/>
              </w:rPr>
              <w:t>大写：</w:t>
            </w:r>
          </w:p>
        </w:tc>
        <w:tc>
          <w:tcPr>
            <w:tcW w:w="1373" w:type="dxa"/>
            <w:vMerge w:val="continue"/>
            <w:noWrap w:val="0"/>
            <w:vAlign w:val="center"/>
          </w:tcPr>
          <w:p w14:paraId="21CF99DE">
            <w:pPr>
              <w:keepNext w:val="0"/>
              <w:keepLines w:val="0"/>
              <w:pageBreakBefore w:val="0"/>
              <w:kinsoku/>
              <w:wordWrap/>
              <w:overflowPunct/>
              <w:topLinePunct w:val="0"/>
              <w:autoSpaceDE/>
              <w:autoSpaceDN/>
              <w:bidi w:val="0"/>
              <w:adjustRightInd/>
              <w:snapToGrid w:val="0"/>
              <w:spacing w:before="50" w:afterLines="50" w:line="360" w:lineRule="auto"/>
              <w:ind w:firstLine="420" w:firstLineChars="200"/>
              <w:jc w:val="left"/>
              <w:outlineLvl w:val="9"/>
              <w:rPr>
                <w:rFonts w:hint="default" w:ascii="宋体" w:hAnsi="宋体" w:cs="Times New Roman"/>
                <w:color w:val="auto"/>
                <w:sz w:val="21"/>
                <w:szCs w:val="21"/>
                <w:highlight w:val="none"/>
                <w:lang w:val="en-US" w:eastAsia="zh-CN"/>
              </w:rPr>
            </w:pPr>
          </w:p>
        </w:tc>
      </w:tr>
    </w:tbl>
    <w:p w14:paraId="2C7E5390">
      <w:pPr>
        <w:keepNext w:val="0"/>
        <w:keepLines w:val="0"/>
        <w:pageBreakBefore w:val="0"/>
        <w:widowControl w:val="0"/>
        <w:kinsoku/>
        <w:wordWrap/>
        <w:overflowPunct/>
        <w:topLinePunct w:val="0"/>
        <w:autoSpaceDE/>
        <w:autoSpaceDN/>
        <w:bidi w:val="0"/>
        <w:adjustRightInd/>
        <w:spacing w:line="360" w:lineRule="auto"/>
        <w:ind w:left="0" w:leftChars="0" w:firstLine="210" w:firstLineChars="100"/>
        <w:jc w:val="left"/>
        <w:textAlignment w:val="auto"/>
        <w:outlineLvl w:val="9"/>
        <w:rPr>
          <w:rFonts w:hint="eastAsia" w:ascii="宋体" w:hAnsi="宋体" w:eastAsia="宋体"/>
          <w:color w:val="auto"/>
          <w:sz w:val="21"/>
          <w:szCs w:val="21"/>
          <w:highlight w:val="none"/>
          <w:lang w:eastAsia="zh-CN"/>
        </w:rPr>
      </w:pPr>
      <w:r>
        <w:rPr>
          <w:rFonts w:hint="eastAsia" w:ascii="宋体" w:hAnsi="宋体"/>
          <w:b w:val="0"/>
          <w:bCs/>
          <w:color w:val="auto"/>
          <w:sz w:val="21"/>
          <w:szCs w:val="21"/>
          <w:highlight w:val="none"/>
        </w:rPr>
        <w:t>注：</w:t>
      </w:r>
      <w:r>
        <w:rPr>
          <w:rFonts w:hint="eastAsia" w:ascii="宋体" w:hAnsi="宋体"/>
          <w:b w:val="0"/>
          <w:bCs/>
          <w:color w:val="auto"/>
          <w:sz w:val="21"/>
          <w:szCs w:val="21"/>
          <w:highlight w:val="none"/>
          <w:lang w:eastAsia="zh-CN"/>
        </w:rPr>
        <w:t>1.</w:t>
      </w:r>
      <w:r>
        <w:rPr>
          <w:rFonts w:hint="eastAsia" w:ascii="宋体" w:hAnsi="宋体"/>
          <w:color w:val="auto"/>
          <w:sz w:val="21"/>
          <w:szCs w:val="21"/>
          <w:highlight w:val="none"/>
          <w:lang w:val="en-US" w:eastAsia="zh-CN"/>
        </w:rPr>
        <w:t>本项目报价应包括完成本项目配置单的所有工作人员的一切费用</w:t>
      </w:r>
      <w:r>
        <w:rPr>
          <w:rFonts w:hint="eastAsia" w:ascii="宋体" w:hAnsi="宋体"/>
          <w:color w:val="auto"/>
          <w:sz w:val="21"/>
          <w:szCs w:val="21"/>
          <w:highlight w:val="none"/>
        </w:rPr>
        <w:t>，</w:t>
      </w:r>
      <w:r>
        <w:rPr>
          <w:rFonts w:hint="eastAsia" w:ascii="宋体" w:hAnsi="宋体" w:cs="宋体"/>
          <w:color w:val="auto"/>
          <w:sz w:val="21"/>
          <w:szCs w:val="21"/>
          <w:highlight w:val="none"/>
        </w:rPr>
        <w:t>包括提供服务所需的一切人员工资、</w:t>
      </w:r>
      <w:r>
        <w:rPr>
          <w:rFonts w:hint="eastAsia" w:ascii="宋体" w:hAnsi="宋体" w:cs="宋体"/>
          <w:color w:val="auto"/>
          <w:sz w:val="21"/>
          <w:szCs w:val="21"/>
          <w:highlight w:val="none"/>
          <w:lang w:val="en-US" w:eastAsia="zh-CN"/>
        </w:rPr>
        <w:t>福利、</w:t>
      </w:r>
      <w:r>
        <w:rPr>
          <w:rFonts w:hint="eastAsia" w:ascii="宋体" w:hAnsi="宋体" w:cs="宋体"/>
          <w:color w:val="auto"/>
          <w:sz w:val="21"/>
          <w:szCs w:val="21"/>
          <w:highlight w:val="none"/>
        </w:rPr>
        <w:t>奖金、</w:t>
      </w:r>
      <w:r>
        <w:rPr>
          <w:rFonts w:hint="eastAsia" w:ascii="宋体" w:hAnsi="宋体" w:cs="宋体"/>
          <w:color w:val="auto"/>
          <w:sz w:val="21"/>
          <w:szCs w:val="21"/>
          <w:highlight w:val="none"/>
          <w:lang w:val="en-US" w:eastAsia="zh-CN"/>
        </w:rPr>
        <w:t>补贴</w:t>
      </w:r>
      <w:r>
        <w:rPr>
          <w:rFonts w:hint="eastAsia" w:ascii="宋体" w:hAnsi="宋体" w:cs="宋体"/>
          <w:color w:val="auto"/>
          <w:sz w:val="21"/>
          <w:szCs w:val="21"/>
          <w:highlight w:val="none"/>
        </w:rPr>
        <w:t>、各种社会保险、食宿与交通、服装、安全、体检费</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税费、利润、招标代理服务费</w:t>
      </w:r>
      <w:r>
        <w:rPr>
          <w:rFonts w:hint="eastAsia" w:ascii="宋体" w:hAnsi="宋体" w:cs="宋体"/>
          <w:color w:val="auto"/>
          <w:sz w:val="21"/>
          <w:szCs w:val="21"/>
          <w:highlight w:val="none"/>
          <w:lang w:val="en-US" w:eastAsia="zh-CN"/>
        </w:rPr>
        <w:t>等</w:t>
      </w:r>
      <w:r>
        <w:rPr>
          <w:rFonts w:hint="eastAsia" w:ascii="宋体" w:hAnsi="宋体" w:cs="宋体"/>
          <w:color w:val="auto"/>
          <w:sz w:val="21"/>
          <w:szCs w:val="21"/>
          <w:highlight w:val="none"/>
        </w:rPr>
        <w:t>完成合同所需的所有费用</w:t>
      </w:r>
      <w:r>
        <w:rPr>
          <w:rFonts w:hint="eastAsia" w:ascii="宋体" w:hAnsi="宋体" w:cs="宋体"/>
          <w:color w:val="auto"/>
          <w:sz w:val="21"/>
          <w:szCs w:val="21"/>
          <w:highlight w:val="none"/>
          <w:lang w:eastAsia="zh-CN"/>
        </w:rPr>
        <w:t>。</w:t>
      </w:r>
    </w:p>
    <w:p w14:paraId="07A59D91">
      <w:pPr>
        <w:keepNext w:val="0"/>
        <w:keepLines w:val="0"/>
        <w:pageBreakBefore w:val="0"/>
        <w:widowControl w:val="0"/>
        <w:kinsoku/>
        <w:wordWrap/>
        <w:overflowPunct/>
        <w:topLinePunct w:val="0"/>
        <w:autoSpaceDE/>
        <w:autoSpaceDN/>
        <w:bidi w:val="0"/>
        <w:adjustRightInd/>
        <w:snapToGrid w:val="0"/>
        <w:spacing w:line="360" w:lineRule="auto"/>
        <w:ind w:left="0" w:leftChars="0" w:firstLine="420" w:firstLineChars="200"/>
        <w:jc w:val="left"/>
        <w:textAlignment w:val="auto"/>
        <w:outlineLvl w:val="9"/>
        <w:rPr>
          <w:rFonts w:hint="eastAsia" w:ascii="宋体" w:hAnsi="宋体"/>
          <w:color w:val="auto"/>
          <w:sz w:val="21"/>
          <w:szCs w:val="21"/>
          <w:highlight w:val="none"/>
        </w:rPr>
      </w:pPr>
      <w:r>
        <w:rPr>
          <w:rFonts w:hint="eastAsia" w:ascii="宋体" w:hAnsi="宋体"/>
          <w:color w:val="auto"/>
          <w:sz w:val="21"/>
          <w:szCs w:val="21"/>
          <w:highlight w:val="none"/>
        </w:rPr>
        <w:t>2</w:t>
      </w:r>
      <w:r>
        <w:rPr>
          <w:rFonts w:hint="eastAsia" w:ascii="宋体" w:hAnsi="宋体"/>
          <w:color w:val="auto"/>
          <w:sz w:val="21"/>
          <w:szCs w:val="21"/>
          <w:highlight w:val="none"/>
          <w:lang w:val="en-US" w:eastAsia="zh-CN"/>
        </w:rPr>
        <w:t>.</w:t>
      </w:r>
      <w:r>
        <w:rPr>
          <w:rFonts w:hint="eastAsia" w:ascii="宋体" w:hAnsi="宋体"/>
          <w:color w:val="auto"/>
          <w:sz w:val="21"/>
          <w:szCs w:val="21"/>
          <w:highlight w:val="none"/>
        </w:rPr>
        <w:t>报价一经涂改，应在涂改处加盖单位公章或者由法定代表人签字或盖章，否则其投标作无效标处理。</w:t>
      </w:r>
    </w:p>
    <w:p w14:paraId="2D182784">
      <w:pPr>
        <w:keepNext w:val="0"/>
        <w:keepLines w:val="0"/>
        <w:pageBreakBefore w:val="0"/>
        <w:widowControl w:val="0"/>
        <w:kinsoku/>
        <w:wordWrap/>
        <w:overflowPunct/>
        <w:topLinePunct w:val="0"/>
        <w:autoSpaceDE/>
        <w:autoSpaceDN/>
        <w:bidi w:val="0"/>
        <w:adjustRightInd/>
        <w:snapToGrid w:val="0"/>
        <w:spacing w:line="360" w:lineRule="auto"/>
        <w:ind w:left="0" w:leftChars="0" w:firstLine="420" w:firstLineChars="200"/>
        <w:textAlignment w:val="auto"/>
        <w:outlineLvl w:val="9"/>
        <w:rPr>
          <w:rFonts w:ascii="宋体" w:hAnsi="宋体" w:cs="宋体"/>
          <w:b/>
          <w:bCs/>
          <w:highlight w:val="none"/>
        </w:rPr>
      </w:pPr>
      <w:r>
        <w:rPr>
          <w:rFonts w:hint="eastAsia" w:ascii="宋体" w:hAnsi="宋体" w:cs="Times New Roman"/>
          <w:b w:val="0"/>
          <w:bCs w:val="0"/>
          <w:color w:val="auto"/>
          <w:sz w:val="21"/>
          <w:szCs w:val="21"/>
          <w:highlight w:val="none"/>
          <w:lang w:val="en-US" w:eastAsia="zh-CN"/>
        </w:rPr>
        <w:t>3</w:t>
      </w:r>
      <w:r>
        <w:rPr>
          <w:rFonts w:hint="eastAsia" w:ascii="宋体" w:hAnsi="宋体" w:eastAsia="宋体" w:cs="Times New Roman"/>
          <w:b w:val="0"/>
          <w:bCs w:val="0"/>
          <w:color w:val="auto"/>
          <w:sz w:val="21"/>
          <w:szCs w:val="21"/>
          <w:highlight w:val="none"/>
          <w:lang w:val="en-US" w:eastAsia="zh-CN"/>
        </w:rPr>
        <w:t>.采购人将以合同形式有偿取得货物或服务，不接受投标人给予的赠品、回扣或者与采购无关的其他商品、服务，不得出现“0元”、“免费赠送”等形式的无偿报价，否则视为投标文件含有采购人不能接受的附加条件，投标无效。</w:t>
      </w:r>
    </w:p>
    <w:p w14:paraId="25F9F8C3">
      <w:pPr>
        <w:pStyle w:val="28"/>
        <w:spacing w:line="360" w:lineRule="auto"/>
        <w:ind w:right="480" w:firstLine="2100" w:firstLineChars="1000"/>
        <w:jc w:val="right"/>
        <w:rPr>
          <w:rFonts w:hAnsi="宋体"/>
          <w:highlight w:val="none"/>
        </w:rPr>
      </w:pPr>
      <w:r>
        <w:rPr>
          <w:rFonts w:hint="eastAsia" w:hAnsi="宋体"/>
          <w:highlight w:val="none"/>
        </w:rPr>
        <w:t>负责人或委托代理人（签字或盖章）_____________</w:t>
      </w:r>
    </w:p>
    <w:p w14:paraId="7A029544">
      <w:pPr>
        <w:pStyle w:val="28"/>
        <w:spacing w:line="360" w:lineRule="auto"/>
        <w:ind w:right="480"/>
        <w:jc w:val="right"/>
        <w:rPr>
          <w:rFonts w:hAnsi="宋体"/>
          <w:highlight w:val="none"/>
        </w:rPr>
      </w:pPr>
      <w:r>
        <w:rPr>
          <w:rFonts w:hint="eastAsia" w:hAnsi="宋体"/>
          <w:highlight w:val="none"/>
        </w:rPr>
        <w:t>　　　　　　　　　　　　　投标人（公章）_____________</w:t>
      </w:r>
    </w:p>
    <w:p w14:paraId="04FF270D">
      <w:pPr>
        <w:pStyle w:val="28"/>
        <w:wordWrap w:val="0"/>
        <w:spacing w:line="360" w:lineRule="auto"/>
        <w:ind w:right="480" w:firstLine="3990" w:firstLineChars="1900"/>
        <w:jc w:val="right"/>
        <w:rPr>
          <w:rFonts w:hAnsi="宋体"/>
          <w:highlight w:val="none"/>
        </w:rPr>
      </w:pPr>
      <w:r>
        <w:rPr>
          <w:rFonts w:hint="eastAsia" w:hAnsi="宋体"/>
          <w:highlight w:val="none"/>
        </w:rPr>
        <w:t>日期：_____年____月____日</w:t>
      </w:r>
    </w:p>
    <w:p w14:paraId="00990708">
      <w:pPr>
        <w:pStyle w:val="28"/>
        <w:wordWrap w:val="0"/>
        <w:spacing w:line="360" w:lineRule="auto"/>
        <w:ind w:right="480" w:firstLine="3990" w:firstLineChars="1900"/>
        <w:jc w:val="right"/>
        <w:rPr>
          <w:rFonts w:hAnsi="宋体"/>
          <w:highlight w:val="none"/>
        </w:rPr>
      </w:pPr>
      <w:r>
        <w:rPr>
          <w:rFonts w:hint="eastAsia" w:hAnsi="宋体"/>
          <w:highlight w:val="none"/>
        </w:rPr>
        <w:br w:type="page"/>
      </w:r>
    </w:p>
    <w:p w14:paraId="668E0532">
      <w:pPr>
        <w:jc w:val="center"/>
        <w:rPr>
          <w:rFonts w:hAnsi="宋体"/>
          <w:b/>
          <w:bCs/>
          <w:highlight w:val="none"/>
        </w:rPr>
      </w:pPr>
      <w:r>
        <w:rPr>
          <w:rFonts w:hint="eastAsia" w:ascii="宋体" w:hAnsi="宋体" w:cs="宋体"/>
          <w:highlight w:val="none"/>
          <w:lang w:val="en-US" w:eastAsia="zh-CN"/>
        </w:rPr>
        <w:t>2、开标明细表</w:t>
      </w:r>
    </w:p>
    <w:p w14:paraId="061516D6">
      <w:pPr>
        <w:jc w:val="center"/>
        <w:rPr>
          <w:rFonts w:cs="宋体"/>
          <w:b/>
          <w:bCs/>
          <w:sz w:val="24"/>
          <w:highlight w:val="none"/>
        </w:rPr>
      </w:pPr>
    </w:p>
    <w:p w14:paraId="651FB34E">
      <w:pPr>
        <w:keepNext w:val="0"/>
        <w:keepLines w:val="0"/>
        <w:pageBreakBefore w:val="0"/>
        <w:widowControl w:val="0"/>
        <w:kinsoku/>
        <w:wordWrap/>
        <w:overflowPunct/>
        <w:topLinePunct w:val="0"/>
        <w:autoSpaceDE/>
        <w:autoSpaceDN/>
        <w:bidi w:val="0"/>
        <w:adjustRightInd/>
        <w:snapToGrid/>
        <w:spacing w:after="157" w:afterLines="50"/>
        <w:jc w:val="both"/>
        <w:textAlignment w:val="auto"/>
        <w:rPr>
          <w:rFonts w:hint="eastAsia" w:ascii="宋体" w:hAnsi="宋体" w:cs="宋体"/>
          <w:sz w:val="21"/>
          <w:szCs w:val="21"/>
          <w:highlight w:val="none"/>
          <w:lang w:val="en-US" w:eastAsia="zh-CN"/>
        </w:rPr>
      </w:pPr>
      <w:r>
        <w:rPr>
          <w:rFonts w:cs="宋体"/>
          <w:sz w:val="21"/>
          <w:szCs w:val="21"/>
          <w:highlight w:val="none"/>
        </w:rPr>
        <w:t>项目</w:t>
      </w:r>
      <w:r>
        <w:rPr>
          <w:rFonts w:hint="eastAsia" w:cs="宋体"/>
          <w:sz w:val="21"/>
          <w:szCs w:val="21"/>
          <w:highlight w:val="none"/>
        </w:rPr>
        <w:t>名称：</w:t>
      </w:r>
      <w:r>
        <w:rPr>
          <w:rFonts w:hint="eastAsia" w:ascii="宋体" w:cs="Tahoma"/>
          <w:sz w:val="21"/>
          <w:szCs w:val="21"/>
          <w:highlight w:val="none"/>
          <w:lang w:eastAsia="zh-CN"/>
        </w:rPr>
        <w:t>新昌高新技术产业园区化工园区突发水污染事件多级防控体系建设项目</w:t>
      </w:r>
      <w:r>
        <w:rPr>
          <w:rFonts w:hint="eastAsia" w:ascii="宋体" w:cs="Tahoma"/>
          <w:sz w:val="21"/>
          <w:szCs w:val="21"/>
          <w:highlight w:val="none"/>
        </w:rPr>
        <w:t xml:space="preserve"> </w:t>
      </w:r>
    </w:p>
    <w:tbl>
      <w:tblPr>
        <w:tblStyle w:val="49"/>
        <w:tblW w:w="9450" w:type="dxa"/>
        <w:jc w:val="center"/>
        <w:tblLayout w:type="fixed"/>
        <w:tblCellMar>
          <w:top w:w="0" w:type="dxa"/>
          <w:left w:w="0" w:type="dxa"/>
          <w:bottom w:w="0" w:type="dxa"/>
          <w:right w:w="0" w:type="dxa"/>
        </w:tblCellMar>
      </w:tblPr>
      <w:tblGrid>
        <w:gridCol w:w="681"/>
        <w:gridCol w:w="1683"/>
        <w:gridCol w:w="1016"/>
        <w:gridCol w:w="1986"/>
        <w:gridCol w:w="643"/>
        <w:gridCol w:w="643"/>
        <w:gridCol w:w="858"/>
        <w:gridCol w:w="858"/>
        <w:gridCol w:w="1082"/>
      </w:tblGrid>
      <w:tr w14:paraId="2E8463E5">
        <w:tblPrEx>
          <w:tblCellMar>
            <w:top w:w="0" w:type="dxa"/>
            <w:left w:w="0" w:type="dxa"/>
            <w:bottom w:w="0" w:type="dxa"/>
            <w:right w:w="0" w:type="dxa"/>
          </w:tblCellMar>
        </w:tblPrEx>
        <w:trPr>
          <w:trHeight w:val="1018" w:hRule="atLeast"/>
          <w:jc w:val="center"/>
        </w:trPr>
        <w:tc>
          <w:tcPr>
            <w:tcW w:w="681" w:type="dxa"/>
            <w:tcBorders>
              <w:top w:val="single" w:color="000000" w:sz="4" w:space="0"/>
              <w:left w:val="single" w:color="000000" w:sz="4" w:space="0"/>
              <w:bottom w:val="single" w:color="000000" w:sz="6" w:space="0"/>
              <w:right w:val="single" w:color="000000" w:sz="6" w:space="0"/>
            </w:tcBorders>
            <w:noWrap w:val="0"/>
            <w:vAlign w:val="center"/>
          </w:tcPr>
          <w:p w14:paraId="0B3012E2">
            <w:pPr>
              <w:jc w:val="center"/>
              <w:rPr>
                <w:sz w:val="21"/>
                <w:szCs w:val="21"/>
                <w:highlight w:val="none"/>
              </w:rPr>
            </w:pPr>
            <w:r>
              <w:rPr>
                <w:rFonts w:hint="eastAsia" w:cs="宋体"/>
                <w:sz w:val="21"/>
                <w:szCs w:val="21"/>
                <w:highlight w:val="none"/>
              </w:rPr>
              <w:t>序号</w:t>
            </w:r>
          </w:p>
        </w:tc>
        <w:tc>
          <w:tcPr>
            <w:tcW w:w="1683" w:type="dxa"/>
            <w:tcBorders>
              <w:top w:val="single" w:color="000000" w:sz="4" w:space="0"/>
              <w:left w:val="single" w:color="000000" w:sz="6" w:space="0"/>
              <w:bottom w:val="single" w:color="000000" w:sz="6" w:space="0"/>
              <w:right w:val="single" w:color="000000" w:sz="6" w:space="0"/>
            </w:tcBorders>
            <w:noWrap w:val="0"/>
            <w:vAlign w:val="center"/>
          </w:tcPr>
          <w:p w14:paraId="1F8B02AC">
            <w:pPr>
              <w:jc w:val="center"/>
              <w:rPr>
                <w:sz w:val="21"/>
                <w:szCs w:val="21"/>
                <w:highlight w:val="none"/>
              </w:rPr>
            </w:pPr>
            <w:r>
              <w:rPr>
                <w:rFonts w:hint="eastAsia" w:cs="宋体"/>
                <w:sz w:val="21"/>
                <w:szCs w:val="21"/>
                <w:highlight w:val="none"/>
              </w:rPr>
              <w:t>名称</w:t>
            </w:r>
          </w:p>
        </w:tc>
        <w:tc>
          <w:tcPr>
            <w:tcW w:w="1016" w:type="dxa"/>
            <w:tcBorders>
              <w:top w:val="single" w:color="000000" w:sz="4" w:space="0"/>
              <w:left w:val="single" w:color="000000" w:sz="6" w:space="0"/>
              <w:bottom w:val="single" w:color="000000" w:sz="6" w:space="0"/>
              <w:right w:val="single" w:color="000000" w:sz="6" w:space="0"/>
            </w:tcBorders>
            <w:noWrap w:val="0"/>
            <w:vAlign w:val="center"/>
          </w:tcPr>
          <w:p w14:paraId="3F5D2974">
            <w:pPr>
              <w:jc w:val="center"/>
              <w:rPr>
                <w:sz w:val="21"/>
                <w:szCs w:val="21"/>
                <w:highlight w:val="none"/>
              </w:rPr>
            </w:pPr>
            <w:r>
              <w:rPr>
                <w:rFonts w:hint="eastAsia" w:cs="宋体"/>
                <w:sz w:val="21"/>
                <w:szCs w:val="21"/>
                <w:highlight w:val="none"/>
              </w:rPr>
              <w:t>品牌</w:t>
            </w:r>
          </w:p>
        </w:tc>
        <w:tc>
          <w:tcPr>
            <w:tcW w:w="1986" w:type="dxa"/>
            <w:tcBorders>
              <w:top w:val="single" w:color="000000" w:sz="4" w:space="0"/>
              <w:left w:val="single" w:color="000000" w:sz="6" w:space="0"/>
              <w:bottom w:val="single" w:color="000000" w:sz="6" w:space="0"/>
              <w:right w:val="single" w:color="000000" w:sz="6" w:space="0"/>
            </w:tcBorders>
            <w:noWrap w:val="0"/>
            <w:vAlign w:val="center"/>
          </w:tcPr>
          <w:p w14:paraId="38E65AC8">
            <w:pPr>
              <w:jc w:val="center"/>
              <w:rPr>
                <w:sz w:val="21"/>
                <w:szCs w:val="21"/>
                <w:highlight w:val="none"/>
              </w:rPr>
            </w:pPr>
            <w:r>
              <w:rPr>
                <w:rFonts w:hint="eastAsia" w:cs="宋体"/>
                <w:sz w:val="21"/>
                <w:szCs w:val="21"/>
                <w:highlight w:val="none"/>
              </w:rPr>
              <w:t>规格及型号</w:t>
            </w:r>
          </w:p>
        </w:tc>
        <w:tc>
          <w:tcPr>
            <w:tcW w:w="643" w:type="dxa"/>
            <w:tcBorders>
              <w:top w:val="single" w:color="000000" w:sz="4" w:space="0"/>
              <w:left w:val="single" w:color="000000" w:sz="6" w:space="0"/>
              <w:bottom w:val="single" w:color="000000" w:sz="6" w:space="0"/>
              <w:right w:val="single" w:color="000000" w:sz="6" w:space="0"/>
            </w:tcBorders>
            <w:noWrap w:val="0"/>
            <w:vAlign w:val="center"/>
          </w:tcPr>
          <w:p w14:paraId="33BBA434">
            <w:pPr>
              <w:jc w:val="center"/>
              <w:rPr>
                <w:sz w:val="21"/>
                <w:szCs w:val="21"/>
                <w:highlight w:val="none"/>
              </w:rPr>
            </w:pPr>
            <w:r>
              <w:rPr>
                <w:rFonts w:hint="eastAsia" w:cs="宋体"/>
                <w:sz w:val="21"/>
                <w:szCs w:val="21"/>
                <w:highlight w:val="none"/>
              </w:rPr>
              <w:t>单位</w:t>
            </w:r>
          </w:p>
        </w:tc>
        <w:tc>
          <w:tcPr>
            <w:tcW w:w="643" w:type="dxa"/>
            <w:tcBorders>
              <w:top w:val="single" w:color="000000" w:sz="4" w:space="0"/>
              <w:left w:val="single" w:color="000000" w:sz="6" w:space="0"/>
              <w:bottom w:val="single" w:color="000000" w:sz="6" w:space="0"/>
              <w:right w:val="single" w:color="000000" w:sz="6" w:space="0"/>
            </w:tcBorders>
            <w:noWrap w:val="0"/>
            <w:vAlign w:val="center"/>
          </w:tcPr>
          <w:p w14:paraId="04C5FA4E">
            <w:pPr>
              <w:jc w:val="center"/>
              <w:rPr>
                <w:sz w:val="21"/>
                <w:szCs w:val="21"/>
                <w:highlight w:val="none"/>
              </w:rPr>
            </w:pPr>
            <w:r>
              <w:rPr>
                <w:rFonts w:hint="eastAsia" w:cs="宋体"/>
                <w:sz w:val="21"/>
                <w:szCs w:val="21"/>
                <w:highlight w:val="none"/>
              </w:rPr>
              <w:t>数量</w:t>
            </w:r>
          </w:p>
        </w:tc>
        <w:tc>
          <w:tcPr>
            <w:tcW w:w="858" w:type="dxa"/>
            <w:tcBorders>
              <w:top w:val="single" w:color="000000" w:sz="4" w:space="0"/>
              <w:left w:val="single" w:color="000000" w:sz="6" w:space="0"/>
              <w:bottom w:val="single" w:color="000000" w:sz="6" w:space="0"/>
              <w:right w:val="single" w:color="000000" w:sz="6" w:space="0"/>
            </w:tcBorders>
            <w:noWrap w:val="0"/>
            <w:vAlign w:val="center"/>
          </w:tcPr>
          <w:p w14:paraId="6F410570">
            <w:pPr>
              <w:jc w:val="center"/>
              <w:rPr>
                <w:sz w:val="21"/>
                <w:szCs w:val="21"/>
                <w:highlight w:val="none"/>
              </w:rPr>
            </w:pPr>
            <w:r>
              <w:rPr>
                <w:rFonts w:hint="eastAsia" w:cs="宋体"/>
                <w:sz w:val="21"/>
                <w:szCs w:val="21"/>
                <w:highlight w:val="none"/>
              </w:rPr>
              <w:t>单价</w:t>
            </w:r>
          </w:p>
        </w:tc>
        <w:tc>
          <w:tcPr>
            <w:tcW w:w="858" w:type="dxa"/>
            <w:tcBorders>
              <w:top w:val="single" w:color="000000" w:sz="4" w:space="0"/>
              <w:left w:val="single" w:color="000000" w:sz="6" w:space="0"/>
              <w:bottom w:val="single" w:color="000000" w:sz="6" w:space="0"/>
              <w:right w:val="single" w:color="000000" w:sz="6" w:space="0"/>
            </w:tcBorders>
            <w:noWrap w:val="0"/>
            <w:vAlign w:val="center"/>
          </w:tcPr>
          <w:p w14:paraId="5CC35FDB">
            <w:pPr>
              <w:jc w:val="center"/>
              <w:rPr>
                <w:sz w:val="21"/>
                <w:szCs w:val="21"/>
                <w:highlight w:val="none"/>
              </w:rPr>
            </w:pPr>
            <w:r>
              <w:rPr>
                <w:rFonts w:hint="eastAsia" w:cs="宋体"/>
                <w:sz w:val="21"/>
                <w:szCs w:val="21"/>
                <w:highlight w:val="none"/>
              </w:rPr>
              <w:t>金额</w:t>
            </w:r>
          </w:p>
        </w:tc>
        <w:tc>
          <w:tcPr>
            <w:tcW w:w="1082" w:type="dxa"/>
            <w:tcBorders>
              <w:top w:val="single" w:color="000000" w:sz="4" w:space="0"/>
              <w:left w:val="single" w:color="000000" w:sz="6" w:space="0"/>
              <w:bottom w:val="single" w:color="000000" w:sz="6" w:space="0"/>
              <w:right w:val="single" w:color="000000" w:sz="4" w:space="0"/>
            </w:tcBorders>
            <w:noWrap w:val="0"/>
            <w:vAlign w:val="center"/>
          </w:tcPr>
          <w:p w14:paraId="4DF34557">
            <w:pPr>
              <w:jc w:val="center"/>
              <w:rPr>
                <w:sz w:val="21"/>
                <w:szCs w:val="21"/>
                <w:highlight w:val="none"/>
              </w:rPr>
            </w:pPr>
            <w:r>
              <w:rPr>
                <w:rFonts w:hint="eastAsia" w:cs="宋体"/>
                <w:sz w:val="21"/>
                <w:szCs w:val="21"/>
                <w:highlight w:val="none"/>
              </w:rPr>
              <w:t>备注</w:t>
            </w:r>
          </w:p>
        </w:tc>
      </w:tr>
      <w:tr w14:paraId="5BD94C83">
        <w:tblPrEx>
          <w:tblCellMar>
            <w:top w:w="0" w:type="dxa"/>
            <w:left w:w="0" w:type="dxa"/>
            <w:bottom w:w="0" w:type="dxa"/>
            <w:right w:w="0" w:type="dxa"/>
          </w:tblCellMar>
        </w:tblPrEx>
        <w:trPr>
          <w:trHeight w:val="638" w:hRule="atLeast"/>
          <w:jc w:val="center"/>
        </w:trPr>
        <w:tc>
          <w:tcPr>
            <w:tcW w:w="681" w:type="dxa"/>
            <w:tcBorders>
              <w:top w:val="single" w:color="000000" w:sz="6" w:space="0"/>
              <w:left w:val="single" w:color="000000" w:sz="4" w:space="0"/>
              <w:bottom w:val="single" w:color="000000" w:sz="6" w:space="0"/>
              <w:right w:val="single" w:color="000000" w:sz="6" w:space="0"/>
            </w:tcBorders>
            <w:noWrap w:val="0"/>
            <w:vAlign w:val="center"/>
          </w:tcPr>
          <w:p w14:paraId="1F61B4F5">
            <w:pPr>
              <w:jc w:val="center"/>
              <w:rPr>
                <w:sz w:val="21"/>
                <w:szCs w:val="21"/>
                <w:highlight w:val="none"/>
              </w:rPr>
            </w:pPr>
            <w:r>
              <w:rPr>
                <w:rFonts w:cs="宋体"/>
                <w:sz w:val="21"/>
                <w:szCs w:val="21"/>
                <w:highlight w:val="none"/>
              </w:rPr>
              <w:t>1</w:t>
            </w:r>
          </w:p>
        </w:tc>
        <w:tc>
          <w:tcPr>
            <w:tcW w:w="1683" w:type="dxa"/>
            <w:tcBorders>
              <w:top w:val="single" w:color="000000" w:sz="6" w:space="0"/>
              <w:left w:val="single" w:color="000000" w:sz="6" w:space="0"/>
              <w:bottom w:val="single" w:color="000000" w:sz="6" w:space="0"/>
              <w:right w:val="single" w:color="000000" w:sz="6" w:space="0"/>
            </w:tcBorders>
            <w:noWrap w:val="0"/>
            <w:vAlign w:val="center"/>
          </w:tcPr>
          <w:p w14:paraId="50CE2467">
            <w:pPr>
              <w:snapToGrid w:val="0"/>
              <w:rPr>
                <w:rFonts w:cs="宋体"/>
                <w:sz w:val="21"/>
                <w:szCs w:val="21"/>
                <w:highlight w:val="none"/>
              </w:rPr>
            </w:pPr>
          </w:p>
        </w:tc>
        <w:tc>
          <w:tcPr>
            <w:tcW w:w="1016" w:type="dxa"/>
            <w:tcBorders>
              <w:top w:val="single" w:color="000000" w:sz="6" w:space="0"/>
              <w:left w:val="single" w:color="000000" w:sz="6" w:space="0"/>
              <w:bottom w:val="single" w:color="000000" w:sz="6" w:space="0"/>
              <w:right w:val="single" w:color="000000" w:sz="6" w:space="0"/>
            </w:tcBorders>
            <w:noWrap w:val="0"/>
            <w:vAlign w:val="center"/>
          </w:tcPr>
          <w:p w14:paraId="4D79DA64">
            <w:pPr>
              <w:snapToGrid w:val="0"/>
              <w:rPr>
                <w:rFonts w:cs="宋体"/>
                <w:sz w:val="21"/>
                <w:szCs w:val="21"/>
                <w:highlight w:val="none"/>
              </w:rPr>
            </w:pPr>
          </w:p>
        </w:tc>
        <w:tc>
          <w:tcPr>
            <w:tcW w:w="1986" w:type="dxa"/>
            <w:tcBorders>
              <w:top w:val="single" w:color="000000" w:sz="6" w:space="0"/>
              <w:left w:val="single" w:color="000000" w:sz="6" w:space="0"/>
              <w:bottom w:val="single" w:color="000000" w:sz="6" w:space="0"/>
              <w:right w:val="single" w:color="000000" w:sz="6" w:space="0"/>
            </w:tcBorders>
            <w:noWrap w:val="0"/>
            <w:vAlign w:val="center"/>
          </w:tcPr>
          <w:p w14:paraId="031D3460">
            <w:pPr>
              <w:snapToGrid w:val="0"/>
              <w:rPr>
                <w:rFonts w:cs="宋体"/>
                <w:sz w:val="21"/>
                <w:szCs w:val="21"/>
                <w:highlight w:val="none"/>
              </w:rPr>
            </w:pPr>
          </w:p>
        </w:tc>
        <w:tc>
          <w:tcPr>
            <w:tcW w:w="643" w:type="dxa"/>
            <w:tcBorders>
              <w:top w:val="single" w:color="000000" w:sz="6" w:space="0"/>
              <w:left w:val="single" w:color="000000" w:sz="6" w:space="0"/>
              <w:bottom w:val="single" w:color="000000" w:sz="6" w:space="0"/>
              <w:right w:val="single" w:color="000000" w:sz="6" w:space="0"/>
            </w:tcBorders>
            <w:noWrap w:val="0"/>
            <w:vAlign w:val="center"/>
          </w:tcPr>
          <w:p w14:paraId="761EF702">
            <w:pPr>
              <w:snapToGrid w:val="0"/>
              <w:rPr>
                <w:rFonts w:cs="宋体"/>
                <w:sz w:val="21"/>
                <w:szCs w:val="21"/>
                <w:highlight w:val="none"/>
              </w:rPr>
            </w:pPr>
          </w:p>
        </w:tc>
        <w:tc>
          <w:tcPr>
            <w:tcW w:w="643" w:type="dxa"/>
            <w:tcBorders>
              <w:top w:val="single" w:color="000000" w:sz="6" w:space="0"/>
              <w:left w:val="single" w:color="000000" w:sz="6" w:space="0"/>
              <w:bottom w:val="single" w:color="000000" w:sz="6" w:space="0"/>
              <w:right w:val="single" w:color="000000" w:sz="6" w:space="0"/>
            </w:tcBorders>
            <w:noWrap w:val="0"/>
            <w:vAlign w:val="center"/>
          </w:tcPr>
          <w:p w14:paraId="44F69474">
            <w:pPr>
              <w:snapToGrid w:val="0"/>
              <w:rPr>
                <w:rFonts w:cs="宋体"/>
                <w:sz w:val="21"/>
                <w:szCs w:val="21"/>
                <w:highlight w:val="none"/>
              </w:rPr>
            </w:pPr>
          </w:p>
        </w:tc>
        <w:tc>
          <w:tcPr>
            <w:tcW w:w="858" w:type="dxa"/>
            <w:tcBorders>
              <w:top w:val="single" w:color="000000" w:sz="6" w:space="0"/>
              <w:left w:val="single" w:color="000000" w:sz="6" w:space="0"/>
              <w:bottom w:val="single" w:color="000000" w:sz="6" w:space="0"/>
              <w:right w:val="single" w:color="000000" w:sz="6" w:space="0"/>
            </w:tcBorders>
            <w:noWrap w:val="0"/>
            <w:vAlign w:val="center"/>
          </w:tcPr>
          <w:p w14:paraId="60BEC3F6">
            <w:pPr>
              <w:snapToGrid w:val="0"/>
              <w:rPr>
                <w:rFonts w:cs="宋体"/>
                <w:sz w:val="21"/>
                <w:szCs w:val="21"/>
                <w:highlight w:val="none"/>
              </w:rPr>
            </w:pPr>
          </w:p>
        </w:tc>
        <w:tc>
          <w:tcPr>
            <w:tcW w:w="858" w:type="dxa"/>
            <w:tcBorders>
              <w:top w:val="single" w:color="000000" w:sz="6" w:space="0"/>
              <w:left w:val="single" w:color="000000" w:sz="6" w:space="0"/>
              <w:bottom w:val="single" w:color="000000" w:sz="6" w:space="0"/>
              <w:right w:val="single" w:color="000000" w:sz="6" w:space="0"/>
            </w:tcBorders>
            <w:noWrap w:val="0"/>
            <w:vAlign w:val="center"/>
          </w:tcPr>
          <w:p w14:paraId="415F2D16">
            <w:pPr>
              <w:snapToGrid w:val="0"/>
              <w:rPr>
                <w:rFonts w:cs="宋体"/>
                <w:sz w:val="21"/>
                <w:szCs w:val="21"/>
                <w:highlight w:val="none"/>
              </w:rPr>
            </w:pPr>
          </w:p>
        </w:tc>
        <w:tc>
          <w:tcPr>
            <w:tcW w:w="1082" w:type="dxa"/>
            <w:tcBorders>
              <w:top w:val="single" w:color="000000" w:sz="6" w:space="0"/>
              <w:left w:val="single" w:color="000000" w:sz="6" w:space="0"/>
              <w:bottom w:val="single" w:color="000000" w:sz="6" w:space="0"/>
              <w:right w:val="single" w:color="000000" w:sz="4" w:space="0"/>
            </w:tcBorders>
            <w:noWrap w:val="0"/>
            <w:vAlign w:val="center"/>
          </w:tcPr>
          <w:p w14:paraId="425D5D54">
            <w:pPr>
              <w:snapToGrid w:val="0"/>
              <w:rPr>
                <w:rFonts w:cs="宋体"/>
                <w:sz w:val="21"/>
                <w:szCs w:val="21"/>
                <w:highlight w:val="none"/>
              </w:rPr>
            </w:pPr>
          </w:p>
        </w:tc>
      </w:tr>
      <w:tr w14:paraId="22868D99">
        <w:tblPrEx>
          <w:tblCellMar>
            <w:top w:w="0" w:type="dxa"/>
            <w:left w:w="0" w:type="dxa"/>
            <w:bottom w:w="0" w:type="dxa"/>
            <w:right w:w="0" w:type="dxa"/>
          </w:tblCellMar>
        </w:tblPrEx>
        <w:trPr>
          <w:trHeight w:val="638" w:hRule="atLeast"/>
          <w:jc w:val="center"/>
        </w:trPr>
        <w:tc>
          <w:tcPr>
            <w:tcW w:w="681" w:type="dxa"/>
            <w:tcBorders>
              <w:top w:val="single" w:color="000000" w:sz="6" w:space="0"/>
              <w:left w:val="single" w:color="000000" w:sz="4" w:space="0"/>
              <w:bottom w:val="single" w:color="000000" w:sz="6" w:space="0"/>
              <w:right w:val="single" w:color="000000" w:sz="6" w:space="0"/>
            </w:tcBorders>
            <w:noWrap w:val="0"/>
            <w:vAlign w:val="center"/>
          </w:tcPr>
          <w:p w14:paraId="270193CF">
            <w:pPr>
              <w:jc w:val="center"/>
              <w:rPr>
                <w:sz w:val="21"/>
                <w:szCs w:val="21"/>
                <w:highlight w:val="none"/>
              </w:rPr>
            </w:pPr>
            <w:r>
              <w:rPr>
                <w:rFonts w:cs="宋体"/>
                <w:sz w:val="21"/>
                <w:szCs w:val="21"/>
                <w:highlight w:val="none"/>
              </w:rPr>
              <w:t>2</w:t>
            </w:r>
          </w:p>
        </w:tc>
        <w:tc>
          <w:tcPr>
            <w:tcW w:w="1683" w:type="dxa"/>
            <w:tcBorders>
              <w:top w:val="single" w:color="000000" w:sz="6" w:space="0"/>
              <w:left w:val="single" w:color="000000" w:sz="6" w:space="0"/>
              <w:bottom w:val="single" w:color="000000" w:sz="6" w:space="0"/>
              <w:right w:val="single" w:color="000000" w:sz="6" w:space="0"/>
            </w:tcBorders>
            <w:noWrap w:val="0"/>
            <w:vAlign w:val="center"/>
          </w:tcPr>
          <w:p w14:paraId="3B307F38">
            <w:pPr>
              <w:snapToGrid w:val="0"/>
              <w:rPr>
                <w:rFonts w:cs="宋体"/>
                <w:sz w:val="21"/>
                <w:szCs w:val="21"/>
                <w:highlight w:val="none"/>
              </w:rPr>
            </w:pPr>
          </w:p>
        </w:tc>
        <w:tc>
          <w:tcPr>
            <w:tcW w:w="1016" w:type="dxa"/>
            <w:tcBorders>
              <w:top w:val="single" w:color="000000" w:sz="6" w:space="0"/>
              <w:left w:val="single" w:color="000000" w:sz="6" w:space="0"/>
              <w:bottom w:val="single" w:color="000000" w:sz="6" w:space="0"/>
              <w:right w:val="single" w:color="000000" w:sz="6" w:space="0"/>
            </w:tcBorders>
            <w:noWrap w:val="0"/>
            <w:vAlign w:val="center"/>
          </w:tcPr>
          <w:p w14:paraId="23052196">
            <w:pPr>
              <w:snapToGrid w:val="0"/>
              <w:rPr>
                <w:rFonts w:cs="宋体"/>
                <w:sz w:val="21"/>
                <w:szCs w:val="21"/>
                <w:highlight w:val="none"/>
              </w:rPr>
            </w:pPr>
          </w:p>
        </w:tc>
        <w:tc>
          <w:tcPr>
            <w:tcW w:w="1986" w:type="dxa"/>
            <w:tcBorders>
              <w:top w:val="single" w:color="000000" w:sz="6" w:space="0"/>
              <w:left w:val="single" w:color="000000" w:sz="6" w:space="0"/>
              <w:bottom w:val="single" w:color="000000" w:sz="6" w:space="0"/>
              <w:right w:val="single" w:color="000000" w:sz="6" w:space="0"/>
            </w:tcBorders>
            <w:noWrap w:val="0"/>
            <w:vAlign w:val="center"/>
          </w:tcPr>
          <w:p w14:paraId="48840AB5">
            <w:pPr>
              <w:snapToGrid w:val="0"/>
              <w:rPr>
                <w:rFonts w:cs="宋体"/>
                <w:sz w:val="21"/>
                <w:szCs w:val="21"/>
                <w:highlight w:val="none"/>
              </w:rPr>
            </w:pPr>
          </w:p>
        </w:tc>
        <w:tc>
          <w:tcPr>
            <w:tcW w:w="643" w:type="dxa"/>
            <w:tcBorders>
              <w:top w:val="single" w:color="000000" w:sz="6" w:space="0"/>
              <w:left w:val="single" w:color="000000" w:sz="6" w:space="0"/>
              <w:bottom w:val="single" w:color="000000" w:sz="6" w:space="0"/>
              <w:right w:val="single" w:color="000000" w:sz="6" w:space="0"/>
            </w:tcBorders>
            <w:noWrap w:val="0"/>
            <w:vAlign w:val="center"/>
          </w:tcPr>
          <w:p w14:paraId="4FA8B2B6">
            <w:pPr>
              <w:snapToGrid w:val="0"/>
              <w:rPr>
                <w:rFonts w:cs="宋体"/>
                <w:sz w:val="21"/>
                <w:szCs w:val="21"/>
                <w:highlight w:val="none"/>
              </w:rPr>
            </w:pPr>
          </w:p>
        </w:tc>
        <w:tc>
          <w:tcPr>
            <w:tcW w:w="643" w:type="dxa"/>
            <w:tcBorders>
              <w:top w:val="single" w:color="000000" w:sz="6" w:space="0"/>
              <w:left w:val="single" w:color="000000" w:sz="6" w:space="0"/>
              <w:bottom w:val="single" w:color="000000" w:sz="6" w:space="0"/>
              <w:right w:val="single" w:color="000000" w:sz="6" w:space="0"/>
            </w:tcBorders>
            <w:noWrap w:val="0"/>
            <w:vAlign w:val="center"/>
          </w:tcPr>
          <w:p w14:paraId="35D04FC4">
            <w:pPr>
              <w:snapToGrid w:val="0"/>
              <w:rPr>
                <w:rFonts w:cs="宋体"/>
                <w:sz w:val="21"/>
                <w:szCs w:val="21"/>
                <w:highlight w:val="none"/>
              </w:rPr>
            </w:pPr>
          </w:p>
        </w:tc>
        <w:tc>
          <w:tcPr>
            <w:tcW w:w="858" w:type="dxa"/>
            <w:tcBorders>
              <w:top w:val="single" w:color="000000" w:sz="6" w:space="0"/>
              <w:left w:val="single" w:color="000000" w:sz="6" w:space="0"/>
              <w:bottom w:val="single" w:color="000000" w:sz="6" w:space="0"/>
              <w:right w:val="single" w:color="000000" w:sz="6" w:space="0"/>
            </w:tcBorders>
            <w:noWrap w:val="0"/>
            <w:vAlign w:val="center"/>
          </w:tcPr>
          <w:p w14:paraId="34E5DA91">
            <w:pPr>
              <w:snapToGrid w:val="0"/>
              <w:rPr>
                <w:rFonts w:cs="宋体"/>
                <w:sz w:val="21"/>
                <w:szCs w:val="21"/>
                <w:highlight w:val="none"/>
              </w:rPr>
            </w:pPr>
          </w:p>
        </w:tc>
        <w:tc>
          <w:tcPr>
            <w:tcW w:w="858" w:type="dxa"/>
            <w:tcBorders>
              <w:top w:val="single" w:color="000000" w:sz="6" w:space="0"/>
              <w:left w:val="single" w:color="000000" w:sz="6" w:space="0"/>
              <w:bottom w:val="single" w:color="000000" w:sz="6" w:space="0"/>
              <w:right w:val="single" w:color="000000" w:sz="6" w:space="0"/>
            </w:tcBorders>
            <w:noWrap w:val="0"/>
            <w:vAlign w:val="center"/>
          </w:tcPr>
          <w:p w14:paraId="780B96E2">
            <w:pPr>
              <w:snapToGrid w:val="0"/>
              <w:rPr>
                <w:rFonts w:cs="宋体"/>
                <w:sz w:val="21"/>
                <w:szCs w:val="21"/>
                <w:highlight w:val="none"/>
              </w:rPr>
            </w:pPr>
          </w:p>
        </w:tc>
        <w:tc>
          <w:tcPr>
            <w:tcW w:w="1082" w:type="dxa"/>
            <w:tcBorders>
              <w:top w:val="single" w:color="000000" w:sz="6" w:space="0"/>
              <w:left w:val="single" w:color="000000" w:sz="6" w:space="0"/>
              <w:bottom w:val="single" w:color="000000" w:sz="6" w:space="0"/>
              <w:right w:val="single" w:color="000000" w:sz="4" w:space="0"/>
            </w:tcBorders>
            <w:noWrap w:val="0"/>
            <w:vAlign w:val="center"/>
          </w:tcPr>
          <w:p w14:paraId="2A50461F">
            <w:pPr>
              <w:snapToGrid w:val="0"/>
              <w:rPr>
                <w:rFonts w:cs="宋体"/>
                <w:sz w:val="21"/>
                <w:szCs w:val="21"/>
                <w:highlight w:val="none"/>
              </w:rPr>
            </w:pPr>
          </w:p>
        </w:tc>
      </w:tr>
      <w:tr w14:paraId="2D68C22F">
        <w:tblPrEx>
          <w:tblCellMar>
            <w:top w:w="0" w:type="dxa"/>
            <w:left w:w="0" w:type="dxa"/>
            <w:bottom w:w="0" w:type="dxa"/>
            <w:right w:w="0" w:type="dxa"/>
          </w:tblCellMar>
        </w:tblPrEx>
        <w:trPr>
          <w:trHeight w:val="638" w:hRule="atLeast"/>
          <w:jc w:val="center"/>
        </w:trPr>
        <w:tc>
          <w:tcPr>
            <w:tcW w:w="681" w:type="dxa"/>
            <w:tcBorders>
              <w:top w:val="single" w:color="000000" w:sz="6" w:space="0"/>
              <w:left w:val="single" w:color="000000" w:sz="4" w:space="0"/>
              <w:bottom w:val="single" w:color="000000" w:sz="6" w:space="0"/>
              <w:right w:val="single" w:color="000000" w:sz="6" w:space="0"/>
            </w:tcBorders>
            <w:noWrap w:val="0"/>
            <w:vAlign w:val="center"/>
          </w:tcPr>
          <w:p w14:paraId="2C39E007">
            <w:pPr>
              <w:jc w:val="center"/>
              <w:rPr>
                <w:sz w:val="21"/>
                <w:szCs w:val="21"/>
                <w:highlight w:val="none"/>
              </w:rPr>
            </w:pPr>
            <w:r>
              <w:rPr>
                <w:rFonts w:cs="宋体"/>
                <w:sz w:val="21"/>
                <w:szCs w:val="21"/>
                <w:highlight w:val="none"/>
              </w:rPr>
              <w:t>3</w:t>
            </w:r>
          </w:p>
        </w:tc>
        <w:tc>
          <w:tcPr>
            <w:tcW w:w="1683" w:type="dxa"/>
            <w:tcBorders>
              <w:top w:val="single" w:color="000000" w:sz="6" w:space="0"/>
              <w:left w:val="single" w:color="000000" w:sz="6" w:space="0"/>
              <w:bottom w:val="single" w:color="000000" w:sz="6" w:space="0"/>
              <w:right w:val="single" w:color="000000" w:sz="6" w:space="0"/>
            </w:tcBorders>
            <w:noWrap w:val="0"/>
            <w:vAlign w:val="center"/>
          </w:tcPr>
          <w:p w14:paraId="2194C16C">
            <w:pPr>
              <w:snapToGrid w:val="0"/>
              <w:rPr>
                <w:rFonts w:cs="宋体"/>
                <w:sz w:val="21"/>
                <w:szCs w:val="21"/>
                <w:highlight w:val="none"/>
              </w:rPr>
            </w:pPr>
          </w:p>
        </w:tc>
        <w:tc>
          <w:tcPr>
            <w:tcW w:w="1016" w:type="dxa"/>
            <w:tcBorders>
              <w:top w:val="single" w:color="000000" w:sz="6" w:space="0"/>
              <w:left w:val="single" w:color="000000" w:sz="6" w:space="0"/>
              <w:bottom w:val="single" w:color="000000" w:sz="6" w:space="0"/>
              <w:right w:val="single" w:color="000000" w:sz="6" w:space="0"/>
            </w:tcBorders>
            <w:noWrap w:val="0"/>
            <w:vAlign w:val="center"/>
          </w:tcPr>
          <w:p w14:paraId="244DBFC3">
            <w:pPr>
              <w:snapToGrid w:val="0"/>
              <w:rPr>
                <w:rFonts w:cs="宋体"/>
                <w:sz w:val="21"/>
                <w:szCs w:val="21"/>
                <w:highlight w:val="none"/>
              </w:rPr>
            </w:pPr>
          </w:p>
        </w:tc>
        <w:tc>
          <w:tcPr>
            <w:tcW w:w="1986" w:type="dxa"/>
            <w:tcBorders>
              <w:top w:val="single" w:color="000000" w:sz="6" w:space="0"/>
              <w:left w:val="single" w:color="000000" w:sz="6" w:space="0"/>
              <w:bottom w:val="single" w:color="000000" w:sz="6" w:space="0"/>
              <w:right w:val="single" w:color="000000" w:sz="6" w:space="0"/>
            </w:tcBorders>
            <w:noWrap w:val="0"/>
            <w:vAlign w:val="center"/>
          </w:tcPr>
          <w:p w14:paraId="028C79E4">
            <w:pPr>
              <w:snapToGrid w:val="0"/>
              <w:rPr>
                <w:rFonts w:cs="宋体"/>
                <w:sz w:val="21"/>
                <w:szCs w:val="21"/>
                <w:highlight w:val="none"/>
              </w:rPr>
            </w:pPr>
          </w:p>
        </w:tc>
        <w:tc>
          <w:tcPr>
            <w:tcW w:w="643" w:type="dxa"/>
            <w:tcBorders>
              <w:top w:val="single" w:color="000000" w:sz="6" w:space="0"/>
              <w:left w:val="single" w:color="000000" w:sz="6" w:space="0"/>
              <w:bottom w:val="single" w:color="000000" w:sz="6" w:space="0"/>
              <w:right w:val="single" w:color="000000" w:sz="6" w:space="0"/>
            </w:tcBorders>
            <w:noWrap w:val="0"/>
            <w:vAlign w:val="center"/>
          </w:tcPr>
          <w:p w14:paraId="17D9381B">
            <w:pPr>
              <w:snapToGrid w:val="0"/>
              <w:rPr>
                <w:rFonts w:cs="宋体"/>
                <w:sz w:val="21"/>
                <w:szCs w:val="21"/>
                <w:highlight w:val="none"/>
              </w:rPr>
            </w:pPr>
          </w:p>
        </w:tc>
        <w:tc>
          <w:tcPr>
            <w:tcW w:w="643" w:type="dxa"/>
            <w:tcBorders>
              <w:top w:val="single" w:color="000000" w:sz="6" w:space="0"/>
              <w:left w:val="single" w:color="000000" w:sz="6" w:space="0"/>
              <w:bottom w:val="single" w:color="000000" w:sz="6" w:space="0"/>
              <w:right w:val="single" w:color="000000" w:sz="6" w:space="0"/>
            </w:tcBorders>
            <w:noWrap w:val="0"/>
            <w:vAlign w:val="center"/>
          </w:tcPr>
          <w:p w14:paraId="09BA5E8D">
            <w:pPr>
              <w:snapToGrid w:val="0"/>
              <w:rPr>
                <w:rFonts w:cs="宋体"/>
                <w:sz w:val="21"/>
                <w:szCs w:val="21"/>
                <w:highlight w:val="none"/>
              </w:rPr>
            </w:pPr>
          </w:p>
        </w:tc>
        <w:tc>
          <w:tcPr>
            <w:tcW w:w="858" w:type="dxa"/>
            <w:tcBorders>
              <w:top w:val="single" w:color="000000" w:sz="6" w:space="0"/>
              <w:left w:val="single" w:color="000000" w:sz="6" w:space="0"/>
              <w:bottom w:val="single" w:color="000000" w:sz="6" w:space="0"/>
              <w:right w:val="single" w:color="000000" w:sz="6" w:space="0"/>
            </w:tcBorders>
            <w:noWrap w:val="0"/>
            <w:vAlign w:val="center"/>
          </w:tcPr>
          <w:p w14:paraId="31DC56A5">
            <w:pPr>
              <w:snapToGrid w:val="0"/>
              <w:rPr>
                <w:rFonts w:cs="宋体"/>
                <w:sz w:val="21"/>
                <w:szCs w:val="21"/>
                <w:highlight w:val="none"/>
              </w:rPr>
            </w:pPr>
          </w:p>
        </w:tc>
        <w:tc>
          <w:tcPr>
            <w:tcW w:w="858" w:type="dxa"/>
            <w:tcBorders>
              <w:top w:val="single" w:color="000000" w:sz="6" w:space="0"/>
              <w:left w:val="single" w:color="000000" w:sz="6" w:space="0"/>
              <w:bottom w:val="single" w:color="000000" w:sz="6" w:space="0"/>
              <w:right w:val="single" w:color="000000" w:sz="6" w:space="0"/>
            </w:tcBorders>
            <w:noWrap w:val="0"/>
            <w:vAlign w:val="center"/>
          </w:tcPr>
          <w:p w14:paraId="08CE71AF">
            <w:pPr>
              <w:snapToGrid w:val="0"/>
              <w:rPr>
                <w:rFonts w:cs="宋体"/>
                <w:sz w:val="21"/>
                <w:szCs w:val="21"/>
                <w:highlight w:val="none"/>
              </w:rPr>
            </w:pPr>
          </w:p>
        </w:tc>
        <w:tc>
          <w:tcPr>
            <w:tcW w:w="1082" w:type="dxa"/>
            <w:tcBorders>
              <w:top w:val="single" w:color="000000" w:sz="6" w:space="0"/>
              <w:left w:val="single" w:color="000000" w:sz="6" w:space="0"/>
              <w:bottom w:val="single" w:color="000000" w:sz="6" w:space="0"/>
              <w:right w:val="single" w:color="000000" w:sz="4" w:space="0"/>
            </w:tcBorders>
            <w:noWrap w:val="0"/>
            <w:vAlign w:val="center"/>
          </w:tcPr>
          <w:p w14:paraId="1BA5C884">
            <w:pPr>
              <w:snapToGrid w:val="0"/>
              <w:rPr>
                <w:rFonts w:cs="宋体"/>
                <w:sz w:val="21"/>
                <w:szCs w:val="21"/>
                <w:highlight w:val="none"/>
              </w:rPr>
            </w:pPr>
          </w:p>
        </w:tc>
      </w:tr>
      <w:tr w14:paraId="02C23FA4">
        <w:tblPrEx>
          <w:tblCellMar>
            <w:top w:w="0" w:type="dxa"/>
            <w:left w:w="0" w:type="dxa"/>
            <w:bottom w:w="0" w:type="dxa"/>
            <w:right w:w="0" w:type="dxa"/>
          </w:tblCellMar>
        </w:tblPrEx>
        <w:trPr>
          <w:trHeight w:val="638" w:hRule="atLeast"/>
          <w:jc w:val="center"/>
        </w:trPr>
        <w:tc>
          <w:tcPr>
            <w:tcW w:w="681" w:type="dxa"/>
            <w:tcBorders>
              <w:top w:val="single" w:color="000000" w:sz="6" w:space="0"/>
              <w:left w:val="single" w:color="000000" w:sz="4" w:space="0"/>
              <w:bottom w:val="single" w:color="000000" w:sz="6" w:space="0"/>
              <w:right w:val="single" w:color="000000" w:sz="6" w:space="0"/>
            </w:tcBorders>
            <w:noWrap w:val="0"/>
            <w:vAlign w:val="center"/>
          </w:tcPr>
          <w:p w14:paraId="7EA954C5">
            <w:pPr>
              <w:jc w:val="center"/>
              <w:rPr>
                <w:sz w:val="21"/>
                <w:szCs w:val="21"/>
                <w:highlight w:val="none"/>
              </w:rPr>
            </w:pPr>
            <w:r>
              <w:rPr>
                <w:rFonts w:cs="宋体"/>
                <w:sz w:val="21"/>
                <w:szCs w:val="21"/>
                <w:highlight w:val="none"/>
              </w:rPr>
              <w:t>4</w:t>
            </w:r>
          </w:p>
        </w:tc>
        <w:tc>
          <w:tcPr>
            <w:tcW w:w="1683" w:type="dxa"/>
            <w:tcBorders>
              <w:top w:val="single" w:color="000000" w:sz="6" w:space="0"/>
              <w:left w:val="single" w:color="000000" w:sz="6" w:space="0"/>
              <w:bottom w:val="single" w:color="000000" w:sz="6" w:space="0"/>
              <w:right w:val="single" w:color="000000" w:sz="6" w:space="0"/>
            </w:tcBorders>
            <w:noWrap w:val="0"/>
            <w:vAlign w:val="center"/>
          </w:tcPr>
          <w:p w14:paraId="5D057776">
            <w:pPr>
              <w:snapToGrid w:val="0"/>
              <w:rPr>
                <w:rFonts w:cs="宋体"/>
                <w:sz w:val="21"/>
                <w:szCs w:val="21"/>
                <w:highlight w:val="none"/>
              </w:rPr>
            </w:pPr>
          </w:p>
        </w:tc>
        <w:tc>
          <w:tcPr>
            <w:tcW w:w="1016" w:type="dxa"/>
            <w:tcBorders>
              <w:top w:val="single" w:color="000000" w:sz="6" w:space="0"/>
              <w:left w:val="single" w:color="000000" w:sz="6" w:space="0"/>
              <w:bottom w:val="single" w:color="000000" w:sz="6" w:space="0"/>
              <w:right w:val="single" w:color="000000" w:sz="6" w:space="0"/>
            </w:tcBorders>
            <w:noWrap w:val="0"/>
            <w:vAlign w:val="center"/>
          </w:tcPr>
          <w:p w14:paraId="373294F7">
            <w:pPr>
              <w:snapToGrid w:val="0"/>
              <w:rPr>
                <w:rFonts w:cs="宋体"/>
                <w:sz w:val="21"/>
                <w:szCs w:val="21"/>
                <w:highlight w:val="none"/>
              </w:rPr>
            </w:pPr>
          </w:p>
        </w:tc>
        <w:tc>
          <w:tcPr>
            <w:tcW w:w="1986" w:type="dxa"/>
            <w:tcBorders>
              <w:top w:val="single" w:color="000000" w:sz="6" w:space="0"/>
              <w:left w:val="single" w:color="000000" w:sz="6" w:space="0"/>
              <w:bottom w:val="single" w:color="000000" w:sz="6" w:space="0"/>
              <w:right w:val="single" w:color="000000" w:sz="6" w:space="0"/>
            </w:tcBorders>
            <w:noWrap w:val="0"/>
            <w:vAlign w:val="center"/>
          </w:tcPr>
          <w:p w14:paraId="7E8D6BC3">
            <w:pPr>
              <w:snapToGrid w:val="0"/>
              <w:rPr>
                <w:rFonts w:cs="宋体"/>
                <w:sz w:val="21"/>
                <w:szCs w:val="21"/>
                <w:highlight w:val="none"/>
              </w:rPr>
            </w:pPr>
          </w:p>
        </w:tc>
        <w:tc>
          <w:tcPr>
            <w:tcW w:w="643" w:type="dxa"/>
            <w:tcBorders>
              <w:top w:val="single" w:color="000000" w:sz="6" w:space="0"/>
              <w:left w:val="single" w:color="000000" w:sz="6" w:space="0"/>
              <w:bottom w:val="single" w:color="000000" w:sz="6" w:space="0"/>
              <w:right w:val="single" w:color="000000" w:sz="6" w:space="0"/>
            </w:tcBorders>
            <w:noWrap w:val="0"/>
            <w:vAlign w:val="center"/>
          </w:tcPr>
          <w:p w14:paraId="5E4F77D0">
            <w:pPr>
              <w:snapToGrid w:val="0"/>
              <w:rPr>
                <w:rFonts w:cs="宋体"/>
                <w:sz w:val="21"/>
                <w:szCs w:val="21"/>
                <w:highlight w:val="none"/>
              </w:rPr>
            </w:pPr>
          </w:p>
        </w:tc>
        <w:tc>
          <w:tcPr>
            <w:tcW w:w="643" w:type="dxa"/>
            <w:tcBorders>
              <w:top w:val="single" w:color="000000" w:sz="6" w:space="0"/>
              <w:left w:val="single" w:color="000000" w:sz="6" w:space="0"/>
              <w:bottom w:val="single" w:color="000000" w:sz="6" w:space="0"/>
              <w:right w:val="single" w:color="000000" w:sz="6" w:space="0"/>
            </w:tcBorders>
            <w:noWrap w:val="0"/>
            <w:vAlign w:val="center"/>
          </w:tcPr>
          <w:p w14:paraId="37EDF90D">
            <w:pPr>
              <w:snapToGrid w:val="0"/>
              <w:rPr>
                <w:rFonts w:cs="宋体"/>
                <w:sz w:val="21"/>
                <w:szCs w:val="21"/>
                <w:highlight w:val="none"/>
              </w:rPr>
            </w:pPr>
          </w:p>
        </w:tc>
        <w:tc>
          <w:tcPr>
            <w:tcW w:w="858" w:type="dxa"/>
            <w:tcBorders>
              <w:top w:val="single" w:color="000000" w:sz="6" w:space="0"/>
              <w:left w:val="single" w:color="000000" w:sz="6" w:space="0"/>
              <w:bottom w:val="single" w:color="000000" w:sz="6" w:space="0"/>
              <w:right w:val="single" w:color="000000" w:sz="6" w:space="0"/>
            </w:tcBorders>
            <w:noWrap w:val="0"/>
            <w:vAlign w:val="center"/>
          </w:tcPr>
          <w:p w14:paraId="68EEA80A">
            <w:pPr>
              <w:snapToGrid w:val="0"/>
              <w:rPr>
                <w:rFonts w:cs="宋体"/>
                <w:sz w:val="21"/>
                <w:szCs w:val="21"/>
                <w:highlight w:val="none"/>
              </w:rPr>
            </w:pPr>
          </w:p>
        </w:tc>
        <w:tc>
          <w:tcPr>
            <w:tcW w:w="858" w:type="dxa"/>
            <w:tcBorders>
              <w:top w:val="single" w:color="000000" w:sz="6" w:space="0"/>
              <w:left w:val="single" w:color="000000" w:sz="6" w:space="0"/>
              <w:bottom w:val="single" w:color="000000" w:sz="6" w:space="0"/>
              <w:right w:val="single" w:color="000000" w:sz="6" w:space="0"/>
            </w:tcBorders>
            <w:noWrap w:val="0"/>
            <w:vAlign w:val="center"/>
          </w:tcPr>
          <w:p w14:paraId="4206C179">
            <w:pPr>
              <w:snapToGrid w:val="0"/>
              <w:rPr>
                <w:rFonts w:cs="宋体"/>
                <w:sz w:val="21"/>
                <w:szCs w:val="21"/>
                <w:highlight w:val="none"/>
              </w:rPr>
            </w:pPr>
          </w:p>
        </w:tc>
        <w:tc>
          <w:tcPr>
            <w:tcW w:w="1082" w:type="dxa"/>
            <w:tcBorders>
              <w:top w:val="single" w:color="000000" w:sz="6" w:space="0"/>
              <w:left w:val="single" w:color="000000" w:sz="6" w:space="0"/>
              <w:bottom w:val="single" w:color="000000" w:sz="6" w:space="0"/>
              <w:right w:val="single" w:color="000000" w:sz="4" w:space="0"/>
            </w:tcBorders>
            <w:noWrap w:val="0"/>
            <w:vAlign w:val="center"/>
          </w:tcPr>
          <w:p w14:paraId="6E1683E8">
            <w:pPr>
              <w:snapToGrid w:val="0"/>
              <w:rPr>
                <w:rFonts w:cs="宋体"/>
                <w:sz w:val="21"/>
                <w:szCs w:val="21"/>
                <w:highlight w:val="none"/>
              </w:rPr>
            </w:pPr>
          </w:p>
        </w:tc>
      </w:tr>
      <w:tr w14:paraId="2D287A3F">
        <w:tblPrEx>
          <w:tblCellMar>
            <w:top w:w="0" w:type="dxa"/>
            <w:left w:w="0" w:type="dxa"/>
            <w:bottom w:w="0" w:type="dxa"/>
            <w:right w:w="0" w:type="dxa"/>
          </w:tblCellMar>
        </w:tblPrEx>
        <w:trPr>
          <w:trHeight w:val="638" w:hRule="atLeast"/>
          <w:jc w:val="center"/>
        </w:trPr>
        <w:tc>
          <w:tcPr>
            <w:tcW w:w="681" w:type="dxa"/>
            <w:tcBorders>
              <w:top w:val="single" w:color="000000" w:sz="6" w:space="0"/>
              <w:left w:val="single" w:color="000000" w:sz="4" w:space="0"/>
              <w:bottom w:val="single" w:color="000000" w:sz="6" w:space="0"/>
              <w:right w:val="single" w:color="000000" w:sz="6" w:space="0"/>
            </w:tcBorders>
            <w:noWrap w:val="0"/>
            <w:vAlign w:val="center"/>
          </w:tcPr>
          <w:p w14:paraId="111C4404">
            <w:pPr>
              <w:jc w:val="center"/>
              <w:rPr>
                <w:sz w:val="21"/>
                <w:szCs w:val="21"/>
                <w:highlight w:val="none"/>
              </w:rPr>
            </w:pPr>
            <w:r>
              <w:rPr>
                <w:rFonts w:cs="宋体"/>
                <w:sz w:val="21"/>
                <w:szCs w:val="21"/>
                <w:highlight w:val="none"/>
              </w:rPr>
              <w:t>5</w:t>
            </w:r>
          </w:p>
        </w:tc>
        <w:tc>
          <w:tcPr>
            <w:tcW w:w="1683" w:type="dxa"/>
            <w:tcBorders>
              <w:top w:val="single" w:color="000000" w:sz="6" w:space="0"/>
              <w:left w:val="single" w:color="000000" w:sz="6" w:space="0"/>
              <w:bottom w:val="single" w:color="000000" w:sz="6" w:space="0"/>
              <w:right w:val="single" w:color="000000" w:sz="6" w:space="0"/>
            </w:tcBorders>
            <w:noWrap w:val="0"/>
            <w:vAlign w:val="center"/>
          </w:tcPr>
          <w:p w14:paraId="69EF91DE">
            <w:pPr>
              <w:snapToGrid w:val="0"/>
              <w:rPr>
                <w:rFonts w:cs="宋体"/>
                <w:sz w:val="21"/>
                <w:szCs w:val="21"/>
                <w:highlight w:val="none"/>
              </w:rPr>
            </w:pPr>
          </w:p>
        </w:tc>
        <w:tc>
          <w:tcPr>
            <w:tcW w:w="1016" w:type="dxa"/>
            <w:tcBorders>
              <w:top w:val="single" w:color="000000" w:sz="6" w:space="0"/>
              <w:left w:val="single" w:color="000000" w:sz="6" w:space="0"/>
              <w:bottom w:val="single" w:color="000000" w:sz="6" w:space="0"/>
              <w:right w:val="single" w:color="000000" w:sz="6" w:space="0"/>
            </w:tcBorders>
            <w:noWrap w:val="0"/>
            <w:vAlign w:val="center"/>
          </w:tcPr>
          <w:p w14:paraId="41B750C4">
            <w:pPr>
              <w:snapToGrid w:val="0"/>
              <w:rPr>
                <w:rFonts w:cs="宋体"/>
                <w:sz w:val="21"/>
                <w:szCs w:val="21"/>
                <w:highlight w:val="none"/>
              </w:rPr>
            </w:pPr>
          </w:p>
        </w:tc>
        <w:tc>
          <w:tcPr>
            <w:tcW w:w="1986" w:type="dxa"/>
            <w:tcBorders>
              <w:top w:val="single" w:color="000000" w:sz="6" w:space="0"/>
              <w:left w:val="single" w:color="000000" w:sz="6" w:space="0"/>
              <w:bottom w:val="single" w:color="000000" w:sz="6" w:space="0"/>
              <w:right w:val="single" w:color="000000" w:sz="6" w:space="0"/>
            </w:tcBorders>
            <w:noWrap w:val="0"/>
            <w:vAlign w:val="center"/>
          </w:tcPr>
          <w:p w14:paraId="36A32436">
            <w:pPr>
              <w:snapToGrid w:val="0"/>
              <w:rPr>
                <w:rFonts w:cs="宋体"/>
                <w:sz w:val="21"/>
                <w:szCs w:val="21"/>
                <w:highlight w:val="none"/>
              </w:rPr>
            </w:pPr>
          </w:p>
        </w:tc>
        <w:tc>
          <w:tcPr>
            <w:tcW w:w="643" w:type="dxa"/>
            <w:tcBorders>
              <w:top w:val="single" w:color="000000" w:sz="6" w:space="0"/>
              <w:left w:val="single" w:color="000000" w:sz="6" w:space="0"/>
              <w:bottom w:val="single" w:color="000000" w:sz="6" w:space="0"/>
              <w:right w:val="single" w:color="000000" w:sz="6" w:space="0"/>
            </w:tcBorders>
            <w:noWrap w:val="0"/>
            <w:vAlign w:val="center"/>
          </w:tcPr>
          <w:p w14:paraId="5BF1E11C">
            <w:pPr>
              <w:snapToGrid w:val="0"/>
              <w:rPr>
                <w:rFonts w:cs="宋体"/>
                <w:sz w:val="21"/>
                <w:szCs w:val="21"/>
                <w:highlight w:val="none"/>
              </w:rPr>
            </w:pPr>
          </w:p>
        </w:tc>
        <w:tc>
          <w:tcPr>
            <w:tcW w:w="643" w:type="dxa"/>
            <w:tcBorders>
              <w:top w:val="single" w:color="000000" w:sz="6" w:space="0"/>
              <w:left w:val="single" w:color="000000" w:sz="6" w:space="0"/>
              <w:bottom w:val="single" w:color="000000" w:sz="6" w:space="0"/>
              <w:right w:val="single" w:color="000000" w:sz="6" w:space="0"/>
            </w:tcBorders>
            <w:noWrap w:val="0"/>
            <w:vAlign w:val="center"/>
          </w:tcPr>
          <w:p w14:paraId="2891263B">
            <w:pPr>
              <w:snapToGrid w:val="0"/>
              <w:rPr>
                <w:rFonts w:cs="宋体"/>
                <w:sz w:val="21"/>
                <w:szCs w:val="21"/>
                <w:highlight w:val="none"/>
              </w:rPr>
            </w:pPr>
          </w:p>
        </w:tc>
        <w:tc>
          <w:tcPr>
            <w:tcW w:w="858" w:type="dxa"/>
            <w:tcBorders>
              <w:top w:val="single" w:color="000000" w:sz="6" w:space="0"/>
              <w:left w:val="single" w:color="000000" w:sz="6" w:space="0"/>
              <w:bottom w:val="single" w:color="000000" w:sz="6" w:space="0"/>
              <w:right w:val="single" w:color="000000" w:sz="6" w:space="0"/>
            </w:tcBorders>
            <w:noWrap w:val="0"/>
            <w:vAlign w:val="center"/>
          </w:tcPr>
          <w:p w14:paraId="28E8E228">
            <w:pPr>
              <w:snapToGrid w:val="0"/>
              <w:rPr>
                <w:rFonts w:cs="宋体"/>
                <w:sz w:val="21"/>
                <w:szCs w:val="21"/>
                <w:highlight w:val="none"/>
              </w:rPr>
            </w:pPr>
          </w:p>
        </w:tc>
        <w:tc>
          <w:tcPr>
            <w:tcW w:w="858" w:type="dxa"/>
            <w:tcBorders>
              <w:top w:val="single" w:color="000000" w:sz="6" w:space="0"/>
              <w:left w:val="single" w:color="000000" w:sz="6" w:space="0"/>
              <w:bottom w:val="single" w:color="000000" w:sz="6" w:space="0"/>
              <w:right w:val="single" w:color="000000" w:sz="6" w:space="0"/>
            </w:tcBorders>
            <w:noWrap w:val="0"/>
            <w:vAlign w:val="center"/>
          </w:tcPr>
          <w:p w14:paraId="6C4F79F8">
            <w:pPr>
              <w:snapToGrid w:val="0"/>
              <w:rPr>
                <w:rFonts w:cs="宋体"/>
                <w:sz w:val="21"/>
                <w:szCs w:val="21"/>
                <w:highlight w:val="none"/>
              </w:rPr>
            </w:pPr>
          </w:p>
        </w:tc>
        <w:tc>
          <w:tcPr>
            <w:tcW w:w="1082" w:type="dxa"/>
            <w:tcBorders>
              <w:top w:val="single" w:color="000000" w:sz="6" w:space="0"/>
              <w:left w:val="single" w:color="000000" w:sz="6" w:space="0"/>
              <w:bottom w:val="single" w:color="000000" w:sz="6" w:space="0"/>
              <w:right w:val="single" w:color="000000" w:sz="4" w:space="0"/>
            </w:tcBorders>
            <w:noWrap w:val="0"/>
            <w:vAlign w:val="center"/>
          </w:tcPr>
          <w:p w14:paraId="4D5AAAE2">
            <w:pPr>
              <w:snapToGrid w:val="0"/>
              <w:rPr>
                <w:rFonts w:cs="宋体"/>
                <w:sz w:val="21"/>
                <w:szCs w:val="21"/>
                <w:highlight w:val="none"/>
              </w:rPr>
            </w:pPr>
          </w:p>
        </w:tc>
      </w:tr>
      <w:tr w14:paraId="4B0406A7">
        <w:tblPrEx>
          <w:tblCellMar>
            <w:top w:w="0" w:type="dxa"/>
            <w:left w:w="0" w:type="dxa"/>
            <w:bottom w:w="0" w:type="dxa"/>
            <w:right w:w="0" w:type="dxa"/>
          </w:tblCellMar>
        </w:tblPrEx>
        <w:trPr>
          <w:trHeight w:val="638" w:hRule="atLeast"/>
          <w:jc w:val="center"/>
        </w:trPr>
        <w:tc>
          <w:tcPr>
            <w:tcW w:w="681" w:type="dxa"/>
            <w:tcBorders>
              <w:top w:val="single" w:color="000000" w:sz="6" w:space="0"/>
              <w:left w:val="single" w:color="000000" w:sz="4" w:space="0"/>
              <w:bottom w:val="single" w:color="000000" w:sz="6" w:space="0"/>
              <w:right w:val="single" w:color="000000" w:sz="6" w:space="0"/>
            </w:tcBorders>
            <w:noWrap w:val="0"/>
            <w:vAlign w:val="center"/>
          </w:tcPr>
          <w:p w14:paraId="63CD4E66">
            <w:pPr>
              <w:jc w:val="center"/>
              <w:rPr>
                <w:sz w:val="21"/>
                <w:szCs w:val="21"/>
                <w:highlight w:val="none"/>
              </w:rPr>
            </w:pPr>
            <w:r>
              <w:rPr>
                <w:rFonts w:hint="eastAsia" w:cs="宋体"/>
                <w:sz w:val="21"/>
                <w:szCs w:val="21"/>
                <w:highlight w:val="none"/>
              </w:rPr>
              <w:t>……</w:t>
            </w:r>
          </w:p>
        </w:tc>
        <w:tc>
          <w:tcPr>
            <w:tcW w:w="1683" w:type="dxa"/>
            <w:tcBorders>
              <w:top w:val="single" w:color="000000" w:sz="6" w:space="0"/>
              <w:left w:val="single" w:color="000000" w:sz="6" w:space="0"/>
              <w:bottom w:val="single" w:color="000000" w:sz="6" w:space="0"/>
              <w:right w:val="single" w:color="000000" w:sz="6" w:space="0"/>
            </w:tcBorders>
            <w:noWrap w:val="0"/>
            <w:vAlign w:val="center"/>
          </w:tcPr>
          <w:p w14:paraId="05E53B0C">
            <w:pPr>
              <w:snapToGrid w:val="0"/>
              <w:rPr>
                <w:rFonts w:cs="宋体"/>
                <w:sz w:val="21"/>
                <w:szCs w:val="21"/>
                <w:highlight w:val="none"/>
              </w:rPr>
            </w:pPr>
          </w:p>
        </w:tc>
        <w:tc>
          <w:tcPr>
            <w:tcW w:w="1016" w:type="dxa"/>
            <w:tcBorders>
              <w:top w:val="single" w:color="000000" w:sz="6" w:space="0"/>
              <w:left w:val="single" w:color="000000" w:sz="6" w:space="0"/>
              <w:bottom w:val="single" w:color="000000" w:sz="6" w:space="0"/>
              <w:right w:val="single" w:color="000000" w:sz="6" w:space="0"/>
            </w:tcBorders>
            <w:noWrap w:val="0"/>
            <w:vAlign w:val="center"/>
          </w:tcPr>
          <w:p w14:paraId="7971149C">
            <w:pPr>
              <w:snapToGrid w:val="0"/>
              <w:rPr>
                <w:rFonts w:cs="宋体"/>
                <w:sz w:val="21"/>
                <w:szCs w:val="21"/>
                <w:highlight w:val="none"/>
              </w:rPr>
            </w:pPr>
          </w:p>
        </w:tc>
        <w:tc>
          <w:tcPr>
            <w:tcW w:w="1986" w:type="dxa"/>
            <w:tcBorders>
              <w:top w:val="single" w:color="000000" w:sz="6" w:space="0"/>
              <w:left w:val="single" w:color="000000" w:sz="6" w:space="0"/>
              <w:bottom w:val="single" w:color="000000" w:sz="6" w:space="0"/>
              <w:right w:val="single" w:color="000000" w:sz="6" w:space="0"/>
            </w:tcBorders>
            <w:noWrap w:val="0"/>
            <w:vAlign w:val="center"/>
          </w:tcPr>
          <w:p w14:paraId="56B58BF7">
            <w:pPr>
              <w:snapToGrid w:val="0"/>
              <w:rPr>
                <w:rFonts w:cs="宋体"/>
                <w:sz w:val="21"/>
                <w:szCs w:val="21"/>
                <w:highlight w:val="none"/>
              </w:rPr>
            </w:pPr>
          </w:p>
        </w:tc>
        <w:tc>
          <w:tcPr>
            <w:tcW w:w="643" w:type="dxa"/>
            <w:tcBorders>
              <w:top w:val="single" w:color="000000" w:sz="6" w:space="0"/>
              <w:left w:val="single" w:color="000000" w:sz="6" w:space="0"/>
              <w:bottom w:val="single" w:color="000000" w:sz="6" w:space="0"/>
              <w:right w:val="single" w:color="000000" w:sz="6" w:space="0"/>
            </w:tcBorders>
            <w:noWrap w:val="0"/>
            <w:vAlign w:val="center"/>
          </w:tcPr>
          <w:p w14:paraId="07AFDADC">
            <w:pPr>
              <w:snapToGrid w:val="0"/>
              <w:rPr>
                <w:rFonts w:cs="宋体"/>
                <w:sz w:val="21"/>
                <w:szCs w:val="21"/>
                <w:highlight w:val="none"/>
              </w:rPr>
            </w:pPr>
          </w:p>
        </w:tc>
        <w:tc>
          <w:tcPr>
            <w:tcW w:w="643" w:type="dxa"/>
            <w:tcBorders>
              <w:top w:val="single" w:color="000000" w:sz="6" w:space="0"/>
              <w:left w:val="single" w:color="000000" w:sz="6" w:space="0"/>
              <w:bottom w:val="single" w:color="000000" w:sz="6" w:space="0"/>
              <w:right w:val="single" w:color="000000" w:sz="6" w:space="0"/>
            </w:tcBorders>
            <w:noWrap w:val="0"/>
            <w:vAlign w:val="center"/>
          </w:tcPr>
          <w:p w14:paraId="09E60213">
            <w:pPr>
              <w:snapToGrid w:val="0"/>
              <w:rPr>
                <w:rFonts w:cs="宋体"/>
                <w:sz w:val="21"/>
                <w:szCs w:val="21"/>
                <w:highlight w:val="none"/>
              </w:rPr>
            </w:pPr>
          </w:p>
        </w:tc>
        <w:tc>
          <w:tcPr>
            <w:tcW w:w="858" w:type="dxa"/>
            <w:tcBorders>
              <w:top w:val="single" w:color="000000" w:sz="6" w:space="0"/>
              <w:left w:val="single" w:color="000000" w:sz="6" w:space="0"/>
              <w:bottom w:val="single" w:color="000000" w:sz="6" w:space="0"/>
              <w:right w:val="single" w:color="000000" w:sz="6" w:space="0"/>
            </w:tcBorders>
            <w:noWrap w:val="0"/>
            <w:vAlign w:val="center"/>
          </w:tcPr>
          <w:p w14:paraId="0DCA26B8">
            <w:pPr>
              <w:snapToGrid w:val="0"/>
              <w:rPr>
                <w:rFonts w:cs="宋体"/>
                <w:sz w:val="21"/>
                <w:szCs w:val="21"/>
                <w:highlight w:val="none"/>
              </w:rPr>
            </w:pPr>
          </w:p>
        </w:tc>
        <w:tc>
          <w:tcPr>
            <w:tcW w:w="858" w:type="dxa"/>
            <w:tcBorders>
              <w:top w:val="single" w:color="000000" w:sz="6" w:space="0"/>
              <w:left w:val="single" w:color="000000" w:sz="6" w:space="0"/>
              <w:bottom w:val="single" w:color="000000" w:sz="6" w:space="0"/>
              <w:right w:val="single" w:color="000000" w:sz="6" w:space="0"/>
            </w:tcBorders>
            <w:noWrap w:val="0"/>
            <w:vAlign w:val="center"/>
          </w:tcPr>
          <w:p w14:paraId="3131E438">
            <w:pPr>
              <w:snapToGrid w:val="0"/>
              <w:rPr>
                <w:rFonts w:cs="宋体"/>
                <w:sz w:val="21"/>
                <w:szCs w:val="21"/>
                <w:highlight w:val="none"/>
              </w:rPr>
            </w:pPr>
          </w:p>
        </w:tc>
        <w:tc>
          <w:tcPr>
            <w:tcW w:w="1082" w:type="dxa"/>
            <w:tcBorders>
              <w:top w:val="single" w:color="000000" w:sz="6" w:space="0"/>
              <w:left w:val="single" w:color="000000" w:sz="6" w:space="0"/>
              <w:bottom w:val="single" w:color="000000" w:sz="6" w:space="0"/>
              <w:right w:val="single" w:color="000000" w:sz="4" w:space="0"/>
            </w:tcBorders>
            <w:noWrap w:val="0"/>
            <w:vAlign w:val="center"/>
          </w:tcPr>
          <w:p w14:paraId="6F647E46">
            <w:pPr>
              <w:snapToGrid w:val="0"/>
              <w:rPr>
                <w:rFonts w:cs="宋体"/>
                <w:sz w:val="21"/>
                <w:szCs w:val="21"/>
                <w:highlight w:val="none"/>
              </w:rPr>
            </w:pPr>
          </w:p>
        </w:tc>
      </w:tr>
      <w:tr w14:paraId="3C89C0AC">
        <w:tblPrEx>
          <w:tblCellMar>
            <w:top w:w="0" w:type="dxa"/>
            <w:left w:w="0" w:type="dxa"/>
            <w:bottom w:w="0" w:type="dxa"/>
            <w:right w:w="0" w:type="dxa"/>
          </w:tblCellMar>
        </w:tblPrEx>
        <w:trPr>
          <w:trHeight w:val="638" w:hRule="atLeast"/>
          <w:jc w:val="center"/>
        </w:trPr>
        <w:tc>
          <w:tcPr>
            <w:tcW w:w="681" w:type="dxa"/>
            <w:tcBorders>
              <w:top w:val="single" w:color="000000" w:sz="6" w:space="0"/>
              <w:left w:val="single" w:color="000000" w:sz="4" w:space="0"/>
              <w:bottom w:val="single" w:color="000000" w:sz="6" w:space="0"/>
              <w:right w:val="single" w:color="000000" w:sz="6" w:space="0"/>
            </w:tcBorders>
            <w:noWrap w:val="0"/>
            <w:vAlign w:val="center"/>
          </w:tcPr>
          <w:p w14:paraId="4CF8BDF0">
            <w:pPr>
              <w:jc w:val="center"/>
              <w:rPr>
                <w:sz w:val="21"/>
                <w:szCs w:val="21"/>
                <w:highlight w:val="none"/>
              </w:rPr>
            </w:pPr>
            <w:r>
              <w:rPr>
                <w:rFonts w:hint="eastAsia" w:cs="宋体"/>
                <w:sz w:val="21"/>
                <w:szCs w:val="21"/>
                <w:highlight w:val="none"/>
              </w:rPr>
              <w:t>31</w:t>
            </w:r>
          </w:p>
        </w:tc>
        <w:tc>
          <w:tcPr>
            <w:tcW w:w="1683" w:type="dxa"/>
            <w:tcBorders>
              <w:top w:val="single" w:color="000000" w:sz="6" w:space="0"/>
              <w:left w:val="single" w:color="000000" w:sz="6" w:space="0"/>
              <w:bottom w:val="single" w:color="000000" w:sz="6" w:space="0"/>
              <w:right w:val="single" w:color="000000" w:sz="6" w:space="0"/>
            </w:tcBorders>
            <w:noWrap w:val="0"/>
            <w:vAlign w:val="center"/>
          </w:tcPr>
          <w:p w14:paraId="0FD532E3">
            <w:pPr>
              <w:snapToGrid w:val="0"/>
              <w:rPr>
                <w:rFonts w:cs="宋体"/>
                <w:sz w:val="21"/>
                <w:szCs w:val="21"/>
                <w:highlight w:val="none"/>
              </w:rPr>
            </w:pPr>
          </w:p>
        </w:tc>
        <w:tc>
          <w:tcPr>
            <w:tcW w:w="1016" w:type="dxa"/>
            <w:tcBorders>
              <w:top w:val="single" w:color="000000" w:sz="6" w:space="0"/>
              <w:left w:val="single" w:color="000000" w:sz="6" w:space="0"/>
              <w:bottom w:val="single" w:color="000000" w:sz="6" w:space="0"/>
              <w:right w:val="single" w:color="000000" w:sz="6" w:space="0"/>
            </w:tcBorders>
            <w:noWrap w:val="0"/>
            <w:vAlign w:val="center"/>
          </w:tcPr>
          <w:p w14:paraId="566320D1">
            <w:pPr>
              <w:snapToGrid w:val="0"/>
              <w:rPr>
                <w:rFonts w:cs="宋体"/>
                <w:sz w:val="21"/>
                <w:szCs w:val="21"/>
                <w:highlight w:val="none"/>
              </w:rPr>
            </w:pPr>
          </w:p>
        </w:tc>
        <w:tc>
          <w:tcPr>
            <w:tcW w:w="1986" w:type="dxa"/>
            <w:tcBorders>
              <w:top w:val="single" w:color="000000" w:sz="6" w:space="0"/>
              <w:left w:val="single" w:color="000000" w:sz="6" w:space="0"/>
              <w:bottom w:val="single" w:color="000000" w:sz="6" w:space="0"/>
              <w:right w:val="single" w:color="000000" w:sz="6" w:space="0"/>
            </w:tcBorders>
            <w:noWrap w:val="0"/>
            <w:vAlign w:val="center"/>
          </w:tcPr>
          <w:p w14:paraId="4181307F">
            <w:pPr>
              <w:snapToGrid w:val="0"/>
              <w:rPr>
                <w:rFonts w:cs="宋体"/>
                <w:sz w:val="21"/>
                <w:szCs w:val="21"/>
                <w:highlight w:val="none"/>
              </w:rPr>
            </w:pPr>
          </w:p>
        </w:tc>
        <w:tc>
          <w:tcPr>
            <w:tcW w:w="643" w:type="dxa"/>
            <w:tcBorders>
              <w:top w:val="single" w:color="000000" w:sz="6" w:space="0"/>
              <w:left w:val="single" w:color="000000" w:sz="6" w:space="0"/>
              <w:bottom w:val="single" w:color="000000" w:sz="6" w:space="0"/>
              <w:right w:val="single" w:color="000000" w:sz="6" w:space="0"/>
            </w:tcBorders>
            <w:noWrap w:val="0"/>
            <w:vAlign w:val="center"/>
          </w:tcPr>
          <w:p w14:paraId="25739F27">
            <w:pPr>
              <w:snapToGrid w:val="0"/>
              <w:rPr>
                <w:rFonts w:cs="宋体"/>
                <w:sz w:val="21"/>
                <w:szCs w:val="21"/>
                <w:highlight w:val="none"/>
              </w:rPr>
            </w:pPr>
          </w:p>
        </w:tc>
        <w:tc>
          <w:tcPr>
            <w:tcW w:w="643" w:type="dxa"/>
            <w:tcBorders>
              <w:top w:val="single" w:color="000000" w:sz="6" w:space="0"/>
              <w:left w:val="single" w:color="000000" w:sz="6" w:space="0"/>
              <w:bottom w:val="single" w:color="000000" w:sz="6" w:space="0"/>
              <w:right w:val="single" w:color="000000" w:sz="6" w:space="0"/>
            </w:tcBorders>
            <w:noWrap w:val="0"/>
            <w:vAlign w:val="center"/>
          </w:tcPr>
          <w:p w14:paraId="7813E865">
            <w:pPr>
              <w:snapToGrid w:val="0"/>
              <w:rPr>
                <w:rFonts w:cs="宋体"/>
                <w:sz w:val="21"/>
                <w:szCs w:val="21"/>
                <w:highlight w:val="none"/>
              </w:rPr>
            </w:pPr>
          </w:p>
        </w:tc>
        <w:tc>
          <w:tcPr>
            <w:tcW w:w="858" w:type="dxa"/>
            <w:tcBorders>
              <w:top w:val="single" w:color="000000" w:sz="6" w:space="0"/>
              <w:left w:val="single" w:color="000000" w:sz="6" w:space="0"/>
              <w:bottom w:val="single" w:color="000000" w:sz="6" w:space="0"/>
              <w:right w:val="single" w:color="000000" w:sz="6" w:space="0"/>
            </w:tcBorders>
            <w:noWrap w:val="0"/>
            <w:vAlign w:val="center"/>
          </w:tcPr>
          <w:p w14:paraId="7DC2E7EF">
            <w:pPr>
              <w:snapToGrid w:val="0"/>
              <w:rPr>
                <w:rFonts w:cs="宋体"/>
                <w:sz w:val="21"/>
                <w:szCs w:val="21"/>
                <w:highlight w:val="none"/>
              </w:rPr>
            </w:pPr>
          </w:p>
        </w:tc>
        <w:tc>
          <w:tcPr>
            <w:tcW w:w="858" w:type="dxa"/>
            <w:tcBorders>
              <w:top w:val="single" w:color="000000" w:sz="6" w:space="0"/>
              <w:left w:val="single" w:color="000000" w:sz="6" w:space="0"/>
              <w:bottom w:val="single" w:color="000000" w:sz="6" w:space="0"/>
              <w:right w:val="single" w:color="000000" w:sz="6" w:space="0"/>
            </w:tcBorders>
            <w:noWrap w:val="0"/>
            <w:vAlign w:val="center"/>
          </w:tcPr>
          <w:p w14:paraId="51394E54">
            <w:pPr>
              <w:snapToGrid w:val="0"/>
              <w:rPr>
                <w:rFonts w:cs="宋体"/>
                <w:sz w:val="21"/>
                <w:szCs w:val="21"/>
                <w:highlight w:val="none"/>
              </w:rPr>
            </w:pPr>
          </w:p>
        </w:tc>
        <w:tc>
          <w:tcPr>
            <w:tcW w:w="1082" w:type="dxa"/>
            <w:tcBorders>
              <w:top w:val="single" w:color="000000" w:sz="6" w:space="0"/>
              <w:left w:val="single" w:color="000000" w:sz="6" w:space="0"/>
              <w:bottom w:val="single" w:color="000000" w:sz="6" w:space="0"/>
              <w:right w:val="single" w:color="000000" w:sz="4" w:space="0"/>
            </w:tcBorders>
            <w:noWrap w:val="0"/>
            <w:vAlign w:val="center"/>
          </w:tcPr>
          <w:p w14:paraId="6B736FF2">
            <w:pPr>
              <w:snapToGrid w:val="0"/>
              <w:rPr>
                <w:rFonts w:cs="宋体"/>
                <w:sz w:val="21"/>
                <w:szCs w:val="21"/>
                <w:highlight w:val="none"/>
              </w:rPr>
            </w:pPr>
          </w:p>
        </w:tc>
      </w:tr>
      <w:tr w14:paraId="22B79BF8">
        <w:tblPrEx>
          <w:tblCellMar>
            <w:top w:w="0" w:type="dxa"/>
            <w:left w:w="0" w:type="dxa"/>
            <w:bottom w:w="0" w:type="dxa"/>
            <w:right w:w="0" w:type="dxa"/>
          </w:tblCellMar>
        </w:tblPrEx>
        <w:trPr>
          <w:trHeight w:val="656" w:hRule="atLeast"/>
          <w:jc w:val="center"/>
        </w:trPr>
        <w:tc>
          <w:tcPr>
            <w:tcW w:w="9450" w:type="dxa"/>
            <w:gridSpan w:val="9"/>
            <w:tcBorders>
              <w:top w:val="single" w:color="000000" w:sz="6" w:space="0"/>
              <w:left w:val="single" w:color="000000" w:sz="4" w:space="0"/>
              <w:bottom w:val="single" w:color="000000" w:sz="4" w:space="0"/>
              <w:right w:val="single" w:color="000000" w:sz="4" w:space="0"/>
            </w:tcBorders>
            <w:noWrap w:val="0"/>
            <w:vAlign w:val="center"/>
          </w:tcPr>
          <w:p w14:paraId="6CE42C4F">
            <w:pPr>
              <w:snapToGrid w:val="0"/>
              <w:jc w:val="center"/>
              <w:rPr>
                <w:rFonts w:cs="宋体"/>
                <w:sz w:val="21"/>
                <w:szCs w:val="21"/>
                <w:highlight w:val="none"/>
              </w:rPr>
            </w:pPr>
            <w:r>
              <w:rPr>
                <w:rFonts w:hint="eastAsia" w:cs="宋体"/>
                <w:sz w:val="21"/>
                <w:szCs w:val="21"/>
                <w:highlight w:val="none"/>
              </w:rPr>
              <w:t>总报价</w:t>
            </w:r>
            <w:r>
              <w:rPr>
                <w:rFonts w:hint="eastAsia" w:cs="宋体"/>
                <w:sz w:val="21"/>
                <w:szCs w:val="21"/>
                <w:highlight w:val="none"/>
                <w:lang w:val="en-US" w:eastAsia="zh-CN"/>
              </w:rPr>
              <w:t xml:space="preserve"> </w:t>
            </w:r>
            <w:r>
              <w:rPr>
                <w:rFonts w:hint="eastAsia" w:cs="宋体"/>
                <w:sz w:val="21"/>
                <w:szCs w:val="21"/>
                <w:highlight w:val="none"/>
                <w:u w:val="single"/>
                <w:lang w:val="en-US" w:eastAsia="zh-CN"/>
              </w:rPr>
              <w:t xml:space="preserve">      </w:t>
            </w:r>
            <w:r>
              <w:rPr>
                <w:rFonts w:hint="eastAsia" w:cs="宋体"/>
                <w:sz w:val="21"/>
                <w:szCs w:val="21"/>
                <w:highlight w:val="none"/>
              </w:rPr>
              <w:t>（元）</w:t>
            </w:r>
          </w:p>
        </w:tc>
      </w:tr>
    </w:tbl>
    <w:p w14:paraId="740E2E61">
      <w:pPr>
        <w:keepNext w:val="0"/>
        <w:keepLines w:val="0"/>
        <w:pageBreakBefore w:val="0"/>
        <w:widowControl w:val="0"/>
        <w:kinsoku/>
        <w:wordWrap/>
        <w:overflowPunct/>
        <w:topLinePunct w:val="0"/>
        <w:autoSpaceDE/>
        <w:autoSpaceDN/>
        <w:bidi w:val="0"/>
        <w:adjustRightInd/>
        <w:snapToGrid w:val="0"/>
        <w:spacing w:before="251" w:beforeLines="80" w:line="360" w:lineRule="auto"/>
        <w:ind w:left="0" w:leftChars="0" w:firstLine="420" w:firstLineChars="200"/>
        <w:jc w:val="left"/>
        <w:textAlignment w:val="auto"/>
        <w:outlineLvl w:val="9"/>
        <w:rPr>
          <w:rFonts w:hint="eastAsia" w:ascii="Times New Roman" w:hAnsi="Times New Roman" w:eastAsia="宋体" w:cs="宋体"/>
          <w:b w:val="0"/>
          <w:bCs w:val="0"/>
          <w:sz w:val="21"/>
          <w:szCs w:val="21"/>
          <w:highlight w:val="none"/>
          <w:lang w:val="en-US" w:eastAsia="zh-CN"/>
        </w:rPr>
      </w:pPr>
      <w:r>
        <w:rPr>
          <w:rFonts w:hint="eastAsia" w:ascii="Times New Roman" w:hAnsi="Times New Roman" w:eastAsia="宋体" w:cs="宋体"/>
          <w:b w:val="0"/>
          <w:bCs w:val="0"/>
          <w:sz w:val="21"/>
          <w:szCs w:val="21"/>
          <w:highlight w:val="none"/>
          <w:lang w:val="en-US" w:eastAsia="zh-CN"/>
        </w:rPr>
        <w:t>注：</w:t>
      </w:r>
    </w:p>
    <w:p w14:paraId="1471FE4A">
      <w:pPr>
        <w:keepNext w:val="0"/>
        <w:keepLines w:val="0"/>
        <w:pageBreakBefore w:val="0"/>
        <w:widowControl w:val="0"/>
        <w:kinsoku/>
        <w:wordWrap/>
        <w:overflowPunct/>
        <w:topLinePunct w:val="0"/>
        <w:autoSpaceDE/>
        <w:autoSpaceDN/>
        <w:bidi w:val="0"/>
        <w:adjustRightInd/>
        <w:snapToGrid w:val="0"/>
        <w:spacing w:line="360" w:lineRule="auto"/>
        <w:ind w:left="0" w:leftChars="0" w:firstLine="420" w:firstLineChars="200"/>
        <w:jc w:val="left"/>
        <w:textAlignment w:val="auto"/>
        <w:outlineLvl w:val="9"/>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1.此表可根据实际情况自行扩展或调整格式，须根据本项目采购需求实际情况进行报价。</w:t>
      </w:r>
    </w:p>
    <w:p w14:paraId="26E203BA">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Chars="200"/>
        <w:jc w:val="left"/>
        <w:textAlignment w:val="auto"/>
        <w:outlineLvl w:val="9"/>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2.所有报价须为含税价格。</w:t>
      </w:r>
    </w:p>
    <w:p w14:paraId="7A426586">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Chars="200"/>
        <w:jc w:val="left"/>
        <w:textAlignment w:val="auto"/>
        <w:outlineLvl w:val="9"/>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val="en-US" w:eastAsia="zh-CN"/>
        </w:rPr>
        <w:t>3.本项目报价应包括完成本项目配置单的所有工作人员的一切费用</w:t>
      </w:r>
      <w:r>
        <w:rPr>
          <w:rFonts w:hint="eastAsia" w:ascii="宋体" w:hAnsi="宋体"/>
          <w:color w:val="auto"/>
          <w:sz w:val="21"/>
          <w:szCs w:val="21"/>
          <w:highlight w:val="none"/>
        </w:rPr>
        <w:t>，</w:t>
      </w:r>
      <w:r>
        <w:rPr>
          <w:rFonts w:hint="eastAsia" w:ascii="宋体" w:hAnsi="宋体" w:cs="宋体"/>
          <w:color w:val="auto"/>
          <w:sz w:val="21"/>
          <w:szCs w:val="21"/>
          <w:highlight w:val="none"/>
        </w:rPr>
        <w:t>包括提供服务所需的一切人员工资、</w:t>
      </w:r>
      <w:r>
        <w:rPr>
          <w:rFonts w:hint="eastAsia" w:ascii="宋体" w:hAnsi="宋体" w:cs="宋体"/>
          <w:color w:val="auto"/>
          <w:sz w:val="21"/>
          <w:szCs w:val="21"/>
          <w:highlight w:val="none"/>
          <w:lang w:val="en-US" w:eastAsia="zh-CN"/>
        </w:rPr>
        <w:t>福利、</w:t>
      </w:r>
      <w:r>
        <w:rPr>
          <w:rFonts w:hint="eastAsia" w:ascii="宋体" w:hAnsi="宋体" w:cs="宋体"/>
          <w:color w:val="auto"/>
          <w:sz w:val="21"/>
          <w:szCs w:val="21"/>
          <w:highlight w:val="none"/>
        </w:rPr>
        <w:t>奖金、</w:t>
      </w:r>
      <w:r>
        <w:rPr>
          <w:rFonts w:hint="eastAsia" w:ascii="宋体" w:hAnsi="宋体" w:cs="宋体"/>
          <w:color w:val="auto"/>
          <w:sz w:val="21"/>
          <w:szCs w:val="21"/>
          <w:highlight w:val="none"/>
          <w:lang w:val="en-US" w:eastAsia="zh-CN"/>
        </w:rPr>
        <w:t>补贴</w:t>
      </w:r>
      <w:r>
        <w:rPr>
          <w:rFonts w:hint="eastAsia" w:ascii="宋体" w:hAnsi="宋体" w:cs="宋体"/>
          <w:color w:val="auto"/>
          <w:sz w:val="21"/>
          <w:szCs w:val="21"/>
          <w:highlight w:val="none"/>
        </w:rPr>
        <w:t>、各种社会保险、食宿与交通、服装、安全、体检费</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税费、利润、招标代理服务费</w:t>
      </w:r>
      <w:r>
        <w:rPr>
          <w:rFonts w:hint="eastAsia" w:ascii="宋体" w:hAnsi="宋体" w:cs="宋体"/>
          <w:color w:val="auto"/>
          <w:sz w:val="21"/>
          <w:szCs w:val="21"/>
          <w:highlight w:val="none"/>
          <w:lang w:val="en-US" w:eastAsia="zh-CN"/>
        </w:rPr>
        <w:t>等</w:t>
      </w:r>
      <w:r>
        <w:rPr>
          <w:rFonts w:hint="eastAsia" w:ascii="宋体" w:hAnsi="宋体" w:cs="宋体"/>
          <w:color w:val="auto"/>
          <w:sz w:val="21"/>
          <w:szCs w:val="21"/>
          <w:highlight w:val="none"/>
        </w:rPr>
        <w:t>完成合同所需的所有费用</w:t>
      </w:r>
      <w:r>
        <w:rPr>
          <w:rFonts w:hint="eastAsia" w:ascii="宋体" w:hAnsi="宋体" w:cs="宋体"/>
          <w:color w:val="auto"/>
          <w:sz w:val="21"/>
          <w:szCs w:val="21"/>
          <w:highlight w:val="none"/>
          <w:lang w:eastAsia="zh-CN"/>
        </w:rPr>
        <w:t>。</w:t>
      </w:r>
    </w:p>
    <w:p w14:paraId="1D420923">
      <w:pPr>
        <w:keepNext w:val="0"/>
        <w:keepLines w:val="0"/>
        <w:pageBreakBefore w:val="0"/>
        <w:widowControl w:val="0"/>
        <w:kinsoku/>
        <w:wordWrap/>
        <w:overflowPunct/>
        <w:topLinePunct w:val="0"/>
        <w:autoSpaceDE/>
        <w:autoSpaceDN/>
        <w:bidi w:val="0"/>
        <w:adjustRightInd/>
        <w:snapToGrid w:val="0"/>
        <w:spacing w:line="360" w:lineRule="auto"/>
        <w:ind w:left="0" w:leftChars="0" w:firstLine="420" w:firstLineChars="200"/>
        <w:textAlignment w:val="auto"/>
        <w:outlineLvl w:val="9"/>
        <w:rPr>
          <w:rFonts w:hint="eastAsia" w:ascii="宋体" w:hAnsi="宋体" w:eastAsia="宋体" w:cs="Times New Roman"/>
          <w:b w:val="0"/>
          <w:bCs w:val="0"/>
          <w:color w:val="auto"/>
          <w:sz w:val="21"/>
          <w:szCs w:val="21"/>
          <w:highlight w:val="none"/>
          <w:lang w:val="en-US" w:eastAsia="zh-CN"/>
        </w:rPr>
      </w:pPr>
      <w:r>
        <w:rPr>
          <w:rFonts w:hint="eastAsia" w:ascii="宋体" w:hAnsi="宋体" w:eastAsia="宋体" w:cs="Times New Roman"/>
          <w:b w:val="0"/>
          <w:bCs w:val="0"/>
          <w:color w:val="auto"/>
          <w:sz w:val="21"/>
          <w:szCs w:val="21"/>
          <w:highlight w:val="none"/>
          <w:lang w:val="en-US" w:eastAsia="zh-CN"/>
        </w:rPr>
        <w:t>4.报价一经涂改，应在涂改处加盖单位公章或者由法定代表人签字或盖章，否则其投标作无效标处理。</w:t>
      </w:r>
    </w:p>
    <w:p w14:paraId="5F2C6B46">
      <w:pPr>
        <w:keepNext w:val="0"/>
        <w:keepLines w:val="0"/>
        <w:pageBreakBefore w:val="0"/>
        <w:widowControl w:val="0"/>
        <w:kinsoku/>
        <w:wordWrap/>
        <w:overflowPunct/>
        <w:topLinePunct w:val="0"/>
        <w:autoSpaceDE/>
        <w:autoSpaceDN/>
        <w:bidi w:val="0"/>
        <w:adjustRightInd/>
        <w:snapToGrid w:val="0"/>
        <w:spacing w:line="360" w:lineRule="auto"/>
        <w:ind w:left="0" w:leftChars="0" w:firstLine="420" w:firstLineChars="200"/>
        <w:textAlignment w:val="auto"/>
        <w:outlineLvl w:val="9"/>
        <w:rPr>
          <w:rFonts w:hint="eastAsia" w:ascii="宋体" w:hAnsi="宋体" w:eastAsia="宋体" w:cs="Times New Roman"/>
          <w:b w:val="0"/>
          <w:bCs w:val="0"/>
          <w:color w:val="auto"/>
          <w:sz w:val="21"/>
          <w:szCs w:val="21"/>
          <w:highlight w:val="none"/>
          <w:lang w:val="en-US" w:eastAsia="zh-CN"/>
        </w:rPr>
      </w:pPr>
      <w:r>
        <w:rPr>
          <w:rFonts w:hint="eastAsia" w:ascii="宋体" w:hAnsi="宋体" w:eastAsia="宋体" w:cs="Times New Roman"/>
          <w:b w:val="0"/>
          <w:bCs w:val="0"/>
          <w:color w:val="auto"/>
          <w:sz w:val="21"/>
          <w:szCs w:val="21"/>
          <w:highlight w:val="none"/>
          <w:lang w:val="en-US" w:eastAsia="zh-CN"/>
        </w:rPr>
        <w:t>5.采购人将以合同形式有偿取得货物或服务，不接受投标人给予的赠品、回扣或者与采购无关的其他商品、服务，不得出现“0元”、“免费赠送”等形式的无偿报价，否则视为投标文件含有采购人不能接受的附加条件，投标无效。</w:t>
      </w:r>
    </w:p>
    <w:p w14:paraId="56877E15">
      <w:pPr>
        <w:pStyle w:val="28"/>
        <w:spacing w:line="360" w:lineRule="auto"/>
        <w:ind w:right="480" w:firstLine="2100" w:firstLineChars="1000"/>
        <w:jc w:val="right"/>
        <w:rPr>
          <w:rFonts w:hAnsi="宋体"/>
          <w:highlight w:val="none"/>
        </w:rPr>
      </w:pPr>
      <w:r>
        <w:rPr>
          <w:rFonts w:hint="eastAsia" w:hAnsi="宋体"/>
          <w:highlight w:val="none"/>
        </w:rPr>
        <w:t>负责人或委托代理人（签字或盖章）_____________</w:t>
      </w:r>
    </w:p>
    <w:p w14:paraId="5DA34046">
      <w:pPr>
        <w:pStyle w:val="28"/>
        <w:spacing w:line="360" w:lineRule="auto"/>
        <w:ind w:right="480"/>
        <w:jc w:val="right"/>
        <w:rPr>
          <w:rFonts w:hAnsi="宋体"/>
          <w:highlight w:val="none"/>
        </w:rPr>
      </w:pPr>
      <w:r>
        <w:rPr>
          <w:rFonts w:hint="eastAsia" w:hAnsi="宋体"/>
          <w:highlight w:val="none"/>
        </w:rPr>
        <w:t>　　　　　　　　　　　　　投标人（公章）_____________</w:t>
      </w:r>
    </w:p>
    <w:p w14:paraId="2B705C6D">
      <w:pPr>
        <w:pStyle w:val="28"/>
        <w:wordWrap w:val="0"/>
        <w:spacing w:line="360" w:lineRule="auto"/>
        <w:ind w:right="480" w:firstLine="3990" w:firstLineChars="1900"/>
        <w:jc w:val="right"/>
        <w:rPr>
          <w:rFonts w:hAnsi="宋体"/>
          <w:highlight w:val="none"/>
        </w:rPr>
      </w:pPr>
      <w:r>
        <w:rPr>
          <w:rFonts w:hint="eastAsia" w:hAnsi="宋体"/>
          <w:highlight w:val="none"/>
        </w:rPr>
        <w:t>日期：_____年____月____日</w:t>
      </w:r>
    </w:p>
    <w:p w14:paraId="6C9E1C90">
      <w:pPr>
        <w:rPr>
          <w:rFonts w:hint="eastAsia" w:ascii="宋体" w:hAnsi="宋体" w:cs="宋体"/>
          <w:b/>
          <w:bCs/>
          <w:kern w:val="0"/>
          <w:highlight w:val="none"/>
        </w:rPr>
      </w:pPr>
    </w:p>
    <w:p w14:paraId="189E83B6">
      <w:pPr>
        <w:rPr>
          <w:rFonts w:hint="eastAsia" w:ascii="宋体" w:hAnsi="宋体" w:cs="宋体"/>
          <w:b/>
          <w:bCs/>
          <w:kern w:val="0"/>
          <w:highlight w:val="none"/>
        </w:rPr>
      </w:pPr>
      <w:r>
        <w:rPr>
          <w:rFonts w:hint="eastAsia" w:ascii="宋体" w:hAnsi="宋体" w:cs="宋体"/>
          <w:b/>
          <w:bCs/>
          <w:kern w:val="0"/>
          <w:highlight w:val="none"/>
        </w:rPr>
        <w:br w:type="page"/>
      </w:r>
    </w:p>
    <w:p w14:paraId="5CE38D18">
      <w:pPr>
        <w:keepNext/>
        <w:adjustRightInd w:val="0"/>
        <w:snapToGrid w:val="0"/>
        <w:spacing w:before="120" w:after="120" w:line="560" w:lineRule="exact"/>
        <w:jc w:val="center"/>
        <w:textAlignment w:val="baseline"/>
        <w:outlineLvl w:val="1"/>
        <w:rPr>
          <w:rFonts w:ascii="宋体" w:hAnsi="宋体" w:cs="宋体"/>
          <w:b/>
          <w:bCs/>
          <w:kern w:val="0"/>
          <w:highlight w:val="none"/>
        </w:rPr>
      </w:pPr>
      <w:r>
        <w:rPr>
          <w:rFonts w:hint="eastAsia" w:ascii="宋体" w:hAnsi="宋体" w:cs="宋体"/>
          <w:b/>
          <w:bCs/>
          <w:kern w:val="0"/>
          <w:highlight w:val="none"/>
        </w:rPr>
        <w:t>第六部分  评标办法和细则</w:t>
      </w:r>
    </w:p>
    <w:p w14:paraId="016FAB86">
      <w:pPr>
        <w:autoSpaceDE w:val="0"/>
        <w:snapToGrid w:val="0"/>
        <w:spacing w:line="360" w:lineRule="auto"/>
        <w:ind w:firstLine="420" w:firstLineChars="200"/>
        <w:rPr>
          <w:rFonts w:ascii="宋体" w:hAnsi="宋体"/>
          <w:highlight w:val="none"/>
        </w:rPr>
      </w:pPr>
      <w:r>
        <w:rPr>
          <w:rFonts w:hint="eastAsia" w:ascii="宋体" w:hAnsi="宋体"/>
          <w:highlight w:val="none"/>
        </w:rPr>
        <w:t>根据有关法律法规的规定，并结合本项目的实际，按照公正、公平、科学、择优的原则选择中标人，特制定本办法。</w:t>
      </w:r>
    </w:p>
    <w:p w14:paraId="2366A731">
      <w:pPr>
        <w:keepNext/>
        <w:autoSpaceDE w:val="0"/>
        <w:snapToGrid w:val="0"/>
        <w:spacing w:line="360" w:lineRule="auto"/>
        <w:outlineLvl w:val="2"/>
        <w:rPr>
          <w:rFonts w:ascii="宋体" w:hAnsi="宋体" w:cs="宋体"/>
          <w:b/>
          <w:bCs/>
          <w:highlight w:val="none"/>
        </w:rPr>
      </w:pPr>
      <w:r>
        <w:rPr>
          <w:rFonts w:hint="eastAsia" w:ascii="宋体" w:hAnsi="宋体" w:cs="宋体"/>
          <w:b/>
          <w:bCs/>
          <w:highlight w:val="none"/>
        </w:rPr>
        <w:t>一  总则</w:t>
      </w:r>
    </w:p>
    <w:p w14:paraId="69962F8B">
      <w:pPr>
        <w:autoSpaceDE w:val="0"/>
        <w:snapToGrid w:val="0"/>
        <w:spacing w:line="360" w:lineRule="auto"/>
        <w:ind w:firstLine="420" w:firstLineChars="200"/>
        <w:rPr>
          <w:rFonts w:ascii="宋体" w:hAnsi="宋体"/>
          <w:highlight w:val="none"/>
        </w:rPr>
      </w:pPr>
      <w:r>
        <w:rPr>
          <w:rFonts w:hint="eastAsia" w:ascii="宋体" w:hAnsi="宋体"/>
          <w:highlight w:val="none"/>
        </w:rPr>
        <w:t>1.1 为最大限度地保护各当事人的权益，评标委员会应严格按照招标文件的商务、技术、报价要求，对</w:t>
      </w:r>
      <w:r>
        <w:rPr>
          <w:rFonts w:hint="eastAsia" w:ascii="宋体" w:hAnsi="宋体"/>
          <w:kern w:val="0"/>
          <w:highlight w:val="none"/>
        </w:rPr>
        <w:t>投标文件</w:t>
      </w:r>
      <w:r>
        <w:rPr>
          <w:rFonts w:hint="eastAsia" w:ascii="宋体" w:hAnsi="宋体"/>
          <w:highlight w:val="none"/>
        </w:rPr>
        <w:t>进行综合分析评价并编制评标报告。评审专家必须严格遵守保密规定，不得泄漏评标有关的情况，不得索贿受贿，不得参加影响评标的任何活动。</w:t>
      </w:r>
    </w:p>
    <w:p w14:paraId="108902D7">
      <w:pPr>
        <w:autoSpaceDE w:val="0"/>
        <w:snapToGrid w:val="0"/>
        <w:spacing w:line="360" w:lineRule="auto"/>
        <w:ind w:firstLine="422" w:firstLineChars="200"/>
        <w:rPr>
          <w:rFonts w:hint="eastAsia" w:ascii="宋体" w:hAnsi="宋体" w:eastAsia="宋体"/>
          <w:b/>
          <w:bCs/>
          <w:highlight w:val="none"/>
          <w:lang w:val="en-US" w:eastAsia="zh-CN"/>
        </w:rPr>
      </w:pPr>
      <w:r>
        <w:rPr>
          <w:rFonts w:hint="eastAsia" w:ascii="宋体" w:hAnsi="宋体"/>
          <w:b/>
          <w:bCs/>
          <w:highlight w:val="none"/>
        </w:rPr>
        <w:t>1.2 本次评审方法采取综合评分法，按最终得分由高到低顺序排列。最终得分相同的，按投标报价由低到高顺序排列；最终得分且投标报价相同的，按技术得分由高到低顺序排列；</w:t>
      </w:r>
      <w:r>
        <w:rPr>
          <w:rFonts w:hint="eastAsia" w:ascii="宋体" w:hAnsi="宋体"/>
          <w:b/>
          <w:highlight w:val="none"/>
        </w:rPr>
        <w:t>以上得分均相同的，抽签产生中标候选人</w:t>
      </w:r>
      <w:r>
        <w:rPr>
          <w:rFonts w:hint="eastAsia" w:ascii="宋体" w:hAnsi="宋体"/>
          <w:b/>
          <w:bCs/>
          <w:highlight w:val="none"/>
        </w:rPr>
        <w:t>。评标委员会推荐最终得分最高的投标人为中标候选人。本项目推荐中标候选人1名</w:t>
      </w:r>
      <w:r>
        <w:rPr>
          <w:rFonts w:hint="eastAsia" w:ascii="宋体" w:hAnsi="宋体"/>
          <w:b/>
          <w:bCs/>
          <w:highlight w:val="none"/>
          <w:lang w:eastAsia="zh-CN"/>
        </w:rPr>
        <w:t>。</w:t>
      </w:r>
    </w:p>
    <w:p w14:paraId="3D8947B2">
      <w:pPr>
        <w:keepNext/>
        <w:autoSpaceDE w:val="0"/>
        <w:snapToGrid w:val="0"/>
        <w:spacing w:line="360" w:lineRule="auto"/>
        <w:outlineLvl w:val="2"/>
        <w:rPr>
          <w:rFonts w:ascii="宋体" w:hAnsi="宋体" w:cs="宋体"/>
          <w:b/>
          <w:bCs/>
          <w:highlight w:val="none"/>
        </w:rPr>
      </w:pPr>
      <w:r>
        <w:rPr>
          <w:rFonts w:hint="eastAsia" w:ascii="宋体" w:hAnsi="宋体" w:cs="宋体"/>
          <w:b/>
          <w:bCs/>
          <w:highlight w:val="none"/>
        </w:rPr>
        <w:t>二  评审委员会</w:t>
      </w:r>
    </w:p>
    <w:p w14:paraId="53056A40">
      <w:pPr>
        <w:autoSpaceDE w:val="0"/>
        <w:snapToGrid w:val="0"/>
        <w:spacing w:line="360" w:lineRule="auto"/>
        <w:ind w:firstLine="420" w:firstLineChars="200"/>
        <w:rPr>
          <w:rFonts w:ascii="宋体" w:hAnsi="宋体"/>
          <w:highlight w:val="none"/>
        </w:rPr>
      </w:pPr>
      <w:r>
        <w:rPr>
          <w:rFonts w:hint="eastAsia" w:ascii="宋体" w:hAnsi="宋体"/>
          <w:highlight w:val="none"/>
        </w:rPr>
        <w:t>2.1评审委员会</w:t>
      </w:r>
    </w:p>
    <w:p w14:paraId="6A337461">
      <w:pPr>
        <w:autoSpaceDE w:val="0"/>
        <w:snapToGrid w:val="0"/>
        <w:spacing w:line="360" w:lineRule="auto"/>
        <w:ind w:firstLine="420" w:firstLineChars="200"/>
        <w:rPr>
          <w:rFonts w:ascii="宋体" w:hAnsi="宋体"/>
          <w:highlight w:val="none"/>
        </w:rPr>
      </w:pPr>
      <w:r>
        <w:rPr>
          <w:rFonts w:hint="eastAsia" w:ascii="宋体" w:hAnsi="宋体"/>
          <w:highlight w:val="none"/>
        </w:rPr>
        <w:t>2.1.1成员：由采购人代表和评审专家组成五人及以上单数，其中评审专家不得少于评审委员会总人数的三分之二。除国务院财政部门规定的情形外，评审专家由采购代理机构在采购专家库中随机抽取。</w:t>
      </w:r>
    </w:p>
    <w:p w14:paraId="2800F09A">
      <w:pPr>
        <w:autoSpaceDE w:val="0"/>
        <w:snapToGrid w:val="0"/>
        <w:spacing w:line="360" w:lineRule="auto"/>
        <w:ind w:firstLine="420" w:firstLineChars="200"/>
        <w:rPr>
          <w:rFonts w:ascii="宋体" w:hAnsi="宋体"/>
          <w:highlight w:val="none"/>
        </w:rPr>
      </w:pPr>
      <w:r>
        <w:rPr>
          <w:rFonts w:hint="eastAsia" w:ascii="宋体" w:hAnsi="宋体"/>
          <w:highlight w:val="none"/>
        </w:rPr>
        <w:t>2.1.2职责：严格按采购法律法规的有关规定执行，评审专家应按招标文件规定的评审要求、评审程序、评审内容、评审方法和评审标准进行评审，对评审意见承担个人责任。</w:t>
      </w:r>
    </w:p>
    <w:p w14:paraId="2D60D3B2">
      <w:pPr>
        <w:autoSpaceDE w:val="0"/>
        <w:snapToGrid w:val="0"/>
        <w:spacing w:line="360" w:lineRule="auto"/>
        <w:rPr>
          <w:rFonts w:ascii="宋体" w:hAnsi="宋体"/>
          <w:highlight w:val="none"/>
        </w:rPr>
      </w:pPr>
      <w:r>
        <w:rPr>
          <w:rFonts w:hint="eastAsia" w:ascii="宋体" w:hAnsi="宋体"/>
          <w:highlight w:val="none"/>
        </w:rPr>
        <w:t xml:space="preserve">    2.2评审专家的评审情况和评审意见受监督人员和采购代理机构审查，如发现评审专家的评审意见带有明显倾向性，或不按规定程序和标准评审、计分的，可要求评审专家进行书面澄清和说明。</w:t>
      </w:r>
    </w:p>
    <w:p w14:paraId="0A87FA12">
      <w:pPr>
        <w:keepNext/>
        <w:autoSpaceDE w:val="0"/>
        <w:snapToGrid w:val="0"/>
        <w:spacing w:line="360" w:lineRule="auto"/>
        <w:outlineLvl w:val="2"/>
        <w:rPr>
          <w:rFonts w:ascii="宋体" w:hAnsi="宋体" w:cs="宋体"/>
          <w:b/>
          <w:bCs/>
          <w:highlight w:val="none"/>
        </w:rPr>
      </w:pPr>
      <w:r>
        <w:rPr>
          <w:rFonts w:hint="eastAsia" w:ascii="宋体" w:hAnsi="宋体" w:cs="宋体"/>
          <w:b/>
          <w:bCs/>
          <w:highlight w:val="none"/>
        </w:rPr>
        <w:t>三  评标程序</w:t>
      </w:r>
    </w:p>
    <w:p w14:paraId="56D9D5BC">
      <w:pPr>
        <w:autoSpaceDE w:val="0"/>
        <w:snapToGrid w:val="0"/>
        <w:spacing w:line="360" w:lineRule="auto"/>
        <w:ind w:firstLine="422" w:firstLineChars="200"/>
        <w:rPr>
          <w:rFonts w:ascii="宋体" w:hAnsi="宋体"/>
          <w:b/>
          <w:bCs/>
          <w:highlight w:val="none"/>
        </w:rPr>
      </w:pPr>
      <w:r>
        <w:rPr>
          <w:rFonts w:hint="eastAsia" w:ascii="宋体" w:hAnsi="宋体"/>
          <w:b/>
          <w:bCs/>
          <w:highlight w:val="none"/>
        </w:rPr>
        <w:t>3.1 符合性审查</w:t>
      </w:r>
    </w:p>
    <w:p w14:paraId="256AB788">
      <w:pPr>
        <w:autoSpaceDE w:val="0"/>
        <w:snapToGrid w:val="0"/>
        <w:spacing w:line="360" w:lineRule="auto"/>
        <w:ind w:firstLine="420" w:firstLineChars="200"/>
        <w:rPr>
          <w:rFonts w:ascii="宋体" w:hAnsi="宋体"/>
          <w:highlight w:val="none"/>
        </w:rPr>
      </w:pPr>
      <w:r>
        <w:rPr>
          <w:rFonts w:hint="eastAsia" w:ascii="宋体" w:hAnsi="宋体"/>
          <w:highlight w:val="none"/>
        </w:rPr>
        <w:t>评标委员会依据招标文件的规定，从投标文件的有效性、完整性和对招标文件的响应程度进行审查，以确定是否对招标文件的实质性要求作出响应。通过符合性审查不足三家的，除采购任务取消情形外，按相关规定重新组织招标。</w:t>
      </w:r>
    </w:p>
    <w:p w14:paraId="3FC59BA8">
      <w:pPr>
        <w:autoSpaceDE w:val="0"/>
        <w:snapToGrid w:val="0"/>
        <w:spacing w:line="360" w:lineRule="auto"/>
        <w:ind w:firstLine="422" w:firstLineChars="200"/>
        <w:rPr>
          <w:rFonts w:ascii="宋体" w:hAnsi="宋体"/>
          <w:b/>
          <w:bCs/>
          <w:highlight w:val="none"/>
        </w:rPr>
      </w:pPr>
      <w:r>
        <w:rPr>
          <w:rFonts w:hint="eastAsia" w:ascii="宋体" w:hAnsi="宋体"/>
          <w:b/>
          <w:bCs/>
          <w:highlight w:val="none"/>
        </w:rPr>
        <w:t>3.2 商务技术文件评审</w:t>
      </w:r>
    </w:p>
    <w:p w14:paraId="2A0EBCFE">
      <w:pPr>
        <w:autoSpaceDE w:val="0"/>
        <w:snapToGrid w:val="0"/>
        <w:spacing w:line="360" w:lineRule="auto"/>
        <w:ind w:firstLine="420" w:firstLineChars="200"/>
        <w:rPr>
          <w:rFonts w:ascii="宋体" w:hAnsi="宋体"/>
          <w:highlight w:val="none"/>
        </w:rPr>
      </w:pPr>
      <w:r>
        <w:rPr>
          <w:rFonts w:hint="eastAsia" w:ascii="宋体" w:hAnsi="宋体"/>
          <w:highlight w:val="none"/>
        </w:rPr>
        <w:t>3.2.1评标委员会依据招标文件的规定，对各</w:t>
      </w:r>
      <w:r>
        <w:rPr>
          <w:rFonts w:hint="eastAsia" w:ascii="宋体" w:hAnsi="宋体"/>
          <w:kern w:val="0"/>
          <w:highlight w:val="none"/>
        </w:rPr>
        <w:t>投标人的商务</w:t>
      </w:r>
      <w:r>
        <w:rPr>
          <w:rFonts w:hint="eastAsia" w:ascii="宋体" w:hAnsi="宋体"/>
          <w:highlight w:val="none"/>
        </w:rPr>
        <w:t>技术文件进行独立评审。对各</w:t>
      </w:r>
      <w:r>
        <w:rPr>
          <w:rFonts w:hint="eastAsia" w:ascii="宋体" w:hAnsi="宋体"/>
          <w:kern w:val="0"/>
          <w:highlight w:val="none"/>
        </w:rPr>
        <w:t>投标文件</w:t>
      </w:r>
      <w:r>
        <w:rPr>
          <w:rFonts w:hint="eastAsia" w:ascii="宋体" w:hAnsi="宋体"/>
          <w:highlight w:val="none"/>
        </w:rPr>
        <w:t>进行比较和必要的澄清，若有演示、样品要求和商务技术文件评审同步进行，演示顺序为投标文件递交顺序，并根据审查、澄清、演示、样品等情况结合评审办法进行独立打分。</w:t>
      </w:r>
    </w:p>
    <w:p w14:paraId="15E43A2F">
      <w:pPr>
        <w:autoSpaceDE w:val="0"/>
        <w:snapToGrid w:val="0"/>
        <w:spacing w:line="360" w:lineRule="auto"/>
        <w:ind w:firstLine="420" w:firstLineChars="200"/>
        <w:rPr>
          <w:rFonts w:ascii="宋体" w:hAnsi="宋体"/>
          <w:highlight w:val="none"/>
        </w:rPr>
      </w:pPr>
      <w:r>
        <w:rPr>
          <w:rFonts w:hint="eastAsia" w:ascii="宋体" w:hAnsi="宋体"/>
          <w:highlight w:val="none"/>
        </w:rPr>
        <w:t>3.2.2 各投标人的商务技术得分，为各评审专家对该投标人的商务技术得分结果汇总后的算术平均数。</w:t>
      </w:r>
    </w:p>
    <w:p w14:paraId="1D4173F7">
      <w:pPr>
        <w:autoSpaceDE w:val="0"/>
        <w:snapToGrid w:val="0"/>
        <w:spacing w:line="360" w:lineRule="auto"/>
        <w:ind w:firstLine="422" w:firstLineChars="200"/>
        <w:rPr>
          <w:rFonts w:ascii="宋体" w:hAnsi="宋体"/>
          <w:b/>
          <w:bCs/>
          <w:highlight w:val="none"/>
        </w:rPr>
      </w:pPr>
      <w:r>
        <w:rPr>
          <w:rFonts w:hint="eastAsia" w:ascii="宋体" w:hAnsi="宋体"/>
          <w:b/>
          <w:bCs/>
          <w:highlight w:val="none"/>
        </w:rPr>
        <w:t>3.3 报价文件评审</w:t>
      </w:r>
    </w:p>
    <w:p w14:paraId="09274A5E">
      <w:pPr>
        <w:autoSpaceDE w:val="0"/>
        <w:snapToGrid w:val="0"/>
        <w:spacing w:line="360" w:lineRule="auto"/>
        <w:ind w:firstLine="420" w:firstLineChars="200"/>
        <w:rPr>
          <w:rFonts w:ascii="宋体" w:hAnsi="宋体"/>
          <w:highlight w:val="none"/>
        </w:rPr>
      </w:pPr>
      <w:r>
        <w:rPr>
          <w:rFonts w:hint="eastAsia" w:ascii="宋体" w:hAnsi="宋体"/>
          <w:highlight w:val="none"/>
        </w:rPr>
        <w:t>3.3.1 评标委员会依据招标文件的规定，对各投标人的报价的合理性进行审查，必要时可要求投标人对其报价做出澄清、说明。</w:t>
      </w:r>
    </w:p>
    <w:p w14:paraId="78F6C743">
      <w:pPr>
        <w:autoSpaceDE w:val="0"/>
        <w:snapToGrid w:val="0"/>
        <w:spacing w:line="360" w:lineRule="auto"/>
        <w:ind w:firstLine="422" w:firstLineChars="200"/>
        <w:rPr>
          <w:rFonts w:ascii="宋体" w:hAnsi="宋体"/>
          <w:b/>
          <w:bCs/>
          <w:highlight w:val="none"/>
        </w:rPr>
      </w:pPr>
      <w:r>
        <w:rPr>
          <w:rFonts w:hint="eastAsia" w:ascii="宋体" w:hAnsi="宋体"/>
          <w:b/>
          <w:bCs/>
          <w:highlight w:val="none"/>
        </w:rPr>
        <w:t>3.4 评标结果</w:t>
      </w:r>
    </w:p>
    <w:p w14:paraId="7CB5208F">
      <w:pPr>
        <w:autoSpaceDE w:val="0"/>
        <w:snapToGrid w:val="0"/>
        <w:spacing w:line="360" w:lineRule="auto"/>
        <w:ind w:firstLine="420" w:firstLineChars="200"/>
        <w:rPr>
          <w:rFonts w:ascii="宋体" w:hAnsi="宋体"/>
          <w:highlight w:val="none"/>
        </w:rPr>
      </w:pPr>
      <w:r>
        <w:rPr>
          <w:rFonts w:hint="eastAsia" w:ascii="宋体" w:hAnsi="宋体"/>
          <w:highlight w:val="none"/>
        </w:rPr>
        <w:t>3.4.1 评审结果汇总，同品牌投标人的确定，投标人结果排序；</w:t>
      </w:r>
    </w:p>
    <w:p w14:paraId="6176C0FC">
      <w:pPr>
        <w:autoSpaceDE w:val="0"/>
        <w:snapToGrid w:val="0"/>
        <w:spacing w:line="360" w:lineRule="auto"/>
        <w:ind w:firstLine="420" w:firstLineChars="200"/>
        <w:rPr>
          <w:rFonts w:ascii="宋体" w:hAnsi="宋体"/>
          <w:highlight w:val="none"/>
        </w:rPr>
      </w:pPr>
      <w:r>
        <w:rPr>
          <w:rFonts w:hint="eastAsia" w:ascii="宋体" w:hAnsi="宋体"/>
          <w:highlight w:val="none"/>
        </w:rPr>
        <w:t>3.4.2 起草评标报告，确定中标候选人；</w:t>
      </w:r>
    </w:p>
    <w:p w14:paraId="6A34B9DB">
      <w:pPr>
        <w:autoSpaceDE w:val="0"/>
        <w:snapToGrid w:val="0"/>
        <w:spacing w:line="360" w:lineRule="auto"/>
        <w:ind w:firstLine="420" w:firstLineChars="200"/>
        <w:rPr>
          <w:rFonts w:ascii="宋体" w:hAnsi="宋体"/>
          <w:highlight w:val="none"/>
        </w:rPr>
      </w:pPr>
      <w:r>
        <w:rPr>
          <w:rFonts w:hint="eastAsia" w:ascii="宋体" w:hAnsi="宋体"/>
          <w:highlight w:val="none"/>
        </w:rPr>
        <w:t>3.4.3 评标报告由全体评标委员会成员确认后提交。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8B2AADD">
      <w:pPr>
        <w:keepNext/>
        <w:autoSpaceDE w:val="0"/>
        <w:snapToGrid w:val="0"/>
        <w:spacing w:line="360" w:lineRule="auto"/>
        <w:outlineLvl w:val="2"/>
        <w:rPr>
          <w:rFonts w:ascii="宋体" w:hAnsi="宋体" w:cs="宋体"/>
          <w:b/>
          <w:bCs/>
          <w:highlight w:val="none"/>
        </w:rPr>
      </w:pPr>
      <w:r>
        <w:rPr>
          <w:rFonts w:hint="eastAsia" w:ascii="宋体" w:hAnsi="宋体" w:cs="宋体"/>
          <w:b/>
          <w:bCs/>
          <w:highlight w:val="none"/>
        </w:rPr>
        <w:t>四  评标一般规定</w:t>
      </w:r>
    </w:p>
    <w:p w14:paraId="410280C5">
      <w:pPr>
        <w:autoSpaceDE w:val="0"/>
        <w:snapToGrid w:val="0"/>
        <w:spacing w:line="360" w:lineRule="auto"/>
        <w:ind w:firstLine="420" w:firstLineChars="200"/>
        <w:rPr>
          <w:rFonts w:ascii="宋体" w:hAnsi="宋体"/>
          <w:highlight w:val="none"/>
        </w:rPr>
      </w:pPr>
      <w:r>
        <w:rPr>
          <w:rFonts w:hint="eastAsia" w:ascii="宋体" w:hAnsi="宋体"/>
          <w:highlight w:val="none"/>
        </w:rPr>
        <w:t>4.本评标办法采用综合评分法,总分100分。</w:t>
      </w:r>
    </w:p>
    <w:p w14:paraId="354028FE">
      <w:pPr>
        <w:autoSpaceDE w:val="0"/>
        <w:snapToGrid w:val="0"/>
        <w:spacing w:line="360" w:lineRule="auto"/>
        <w:ind w:firstLine="420" w:firstLineChars="200"/>
        <w:rPr>
          <w:rFonts w:ascii="宋体" w:hAnsi="宋体"/>
          <w:highlight w:val="none"/>
        </w:rPr>
      </w:pPr>
      <w:r>
        <w:rPr>
          <w:rFonts w:hint="eastAsia" w:ascii="宋体" w:hAnsi="宋体"/>
          <w:highlight w:val="none"/>
        </w:rPr>
        <w:t>4.1项目商务技术分为</w:t>
      </w:r>
      <w:r>
        <w:rPr>
          <w:rFonts w:hint="eastAsia" w:ascii="宋体" w:hAnsi="宋体"/>
          <w:highlight w:val="none"/>
          <w:lang w:val="en-US" w:eastAsia="zh-CN"/>
        </w:rPr>
        <w:t>70</w:t>
      </w:r>
      <w:r>
        <w:rPr>
          <w:rFonts w:hint="eastAsia" w:ascii="宋体" w:hAnsi="宋体"/>
          <w:highlight w:val="none"/>
        </w:rPr>
        <w:t>分，评委对各投标文件的技术标经充分审核、讨论后，在规定的分值内由评委单独评定打分。如果某个单项的打分超过所规定的分值范围，则该张打分表无效，各投标人的技术得分为各评委打分的算数平均值。</w:t>
      </w:r>
    </w:p>
    <w:p w14:paraId="374E37FD">
      <w:pPr>
        <w:autoSpaceDE w:val="0"/>
        <w:snapToGrid w:val="0"/>
        <w:spacing w:line="360" w:lineRule="auto"/>
        <w:ind w:firstLine="420" w:firstLineChars="200"/>
        <w:rPr>
          <w:rFonts w:ascii="宋体" w:hAnsi="宋体"/>
          <w:highlight w:val="none"/>
        </w:rPr>
      </w:pPr>
      <w:r>
        <w:rPr>
          <w:rFonts w:hint="eastAsia" w:ascii="宋体" w:hAnsi="宋体"/>
          <w:highlight w:val="none"/>
        </w:rPr>
        <w:t>4.2报价分为</w:t>
      </w:r>
      <w:r>
        <w:rPr>
          <w:rFonts w:hint="eastAsia" w:ascii="宋体" w:hAnsi="宋体"/>
          <w:highlight w:val="none"/>
          <w:lang w:val="en-US" w:eastAsia="zh-CN"/>
        </w:rPr>
        <w:t>30</w:t>
      </w:r>
      <w:r>
        <w:rPr>
          <w:rFonts w:hint="eastAsia" w:ascii="宋体" w:hAnsi="宋体"/>
          <w:highlight w:val="none"/>
        </w:rPr>
        <w:t>分，由评委按各投标人的报价统一计算。</w:t>
      </w:r>
    </w:p>
    <w:p w14:paraId="5DDF3BD8">
      <w:pPr>
        <w:autoSpaceDE w:val="0"/>
        <w:snapToGrid w:val="0"/>
        <w:spacing w:line="360" w:lineRule="auto"/>
        <w:ind w:firstLine="420" w:firstLineChars="200"/>
        <w:rPr>
          <w:rFonts w:ascii="宋体" w:hAnsi="宋体"/>
          <w:highlight w:val="none"/>
        </w:rPr>
      </w:pPr>
      <w:r>
        <w:rPr>
          <w:rFonts w:hint="eastAsia" w:ascii="宋体" w:hAnsi="宋体"/>
          <w:highlight w:val="none"/>
        </w:rPr>
        <w:t>4.3评审专家在规定的分值范围内独立打分，评分保留两位小数。</w:t>
      </w:r>
    </w:p>
    <w:p w14:paraId="3FEF0351">
      <w:pPr>
        <w:keepNext/>
        <w:autoSpaceDE w:val="0"/>
        <w:snapToGrid w:val="0"/>
        <w:spacing w:line="360" w:lineRule="auto"/>
        <w:outlineLvl w:val="2"/>
        <w:rPr>
          <w:rFonts w:ascii="宋体" w:hAnsi="宋体" w:cs="宋体"/>
          <w:b/>
          <w:bCs/>
          <w:highlight w:val="none"/>
        </w:rPr>
      </w:pPr>
      <w:r>
        <w:rPr>
          <w:rFonts w:hint="eastAsia" w:ascii="宋体" w:hAnsi="宋体" w:cs="宋体"/>
          <w:b/>
          <w:bCs/>
          <w:highlight w:val="none"/>
        </w:rPr>
        <w:t>五  评标办法和细则</w:t>
      </w:r>
    </w:p>
    <w:p w14:paraId="1AC1F179">
      <w:pPr>
        <w:autoSpaceDE w:val="0"/>
        <w:snapToGrid w:val="0"/>
        <w:spacing w:line="360" w:lineRule="auto"/>
        <w:ind w:firstLine="422" w:firstLineChars="200"/>
        <w:rPr>
          <w:rFonts w:hint="eastAsia" w:ascii="宋体" w:hAnsi="宋体"/>
          <w:b/>
          <w:bCs/>
          <w:highlight w:val="none"/>
        </w:rPr>
      </w:pPr>
      <w:r>
        <w:rPr>
          <w:rFonts w:hint="eastAsia" w:ascii="宋体" w:hAnsi="宋体"/>
          <w:b/>
          <w:bCs/>
          <w:highlight w:val="none"/>
        </w:rPr>
        <w:t>5.1商务技术文件得分为</w:t>
      </w:r>
      <w:r>
        <w:rPr>
          <w:rFonts w:hint="eastAsia" w:ascii="宋体" w:hAnsi="宋体"/>
          <w:b/>
          <w:bCs/>
          <w:highlight w:val="none"/>
          <w:lang w:val="en-US" w:eastAsia="zh-CN"/>
        </w:rPr>
        <w:t>70</w:t>
      </w:r>
      <w:r>
        <w:rPr>
          <w:rFonts w:hint="eastAsia" w:ascii="宋体" w:hAnsi="宋体"/>
          <w:b/>
          <w:bCs/>
          <w:highlight w:val="none"/>
        </w:rPr>
        <w:t>分，由评委独立完成打分。</w:t>
      </w:r>
    </w:p>
    <w:tbl>
      <w:tblPr>
        <w:tblStyle w:val="49"/>
        <w:tblW w:w="97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9"/>
        <w:gridCol w:w="7369"/>
        <w:gridCol w:w="1060"/>
      </w:tblGrid>
      <w:tr w14:paraId="04F50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79" w:type="dxa"/>
            <w:noWrap w:val="0"/>
            <w:vAlign w:val="center"/>
          </w:tcPr>
          <w:p w14:paraId="376892D7">
            <w:pPr>
              <w:keepNext w:val="0"/>
              <w:keepLines w:val="0"/>
              <w:pageBreakBefore w:val="0"/>
              <w:widowControl/>
              <w:kinsoku/>
              <w:wordWrap/>
              <w:overflowPunct/>
              <w:topLinePunct w:val="0"/>
              <w:autoSpaceDE/>
              <w:autoSpaceDN/>
              <w:bidi w:val="0"/>
              <w:adjustRightInd/>
              <w:spacing w:line="360" w:lineRule="auto"/>
              <w:jc w:val="center"/>
              <w:textAlignment w:val="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评分项目</w:t>
            </w:r>
          </w:p>
        </w:tc>
        <w:tc>
          <w:tcPr>
            <w:tcW w:w="7369" w:type="dxa"/>
            <w:noWrap w:val="0"/>
            <w:vAlign w:val="center"/>
          </w:tcPr>
          <w:p w14:paraId="46D1DC60">
            <w:pPr>
              <w:keepNext w:val="0"/>
              <w:keepLines w:val="0"/>
              <w:pageBreakBefore w:val="0"/>
              <w:widowControl/>
              <w:kinsoku/>
              <w:wordWrap/>
              <w:overflowPunct/>
              <w:topLinePunct w:val="0"/>
              <w:autoSpaceDE/>
              <w:autoSpaceDN/>
              <w:bidi w:val="0"/>
              <w:adjustRightInd/>
              <w:spacing w:line="360" w:lineRule="auto"/>
              <w:jc w:val="center"/>
              <w:textAlignment w:val="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评分标准</w:t>
            </w:r>
          </w:p>
        </w:tc>
        <w:tc>
          <w:tcPr>
            <w:tcW w:w="1060" w:type="dxa"/>
            <w:noWrap w:val="0"/>
            <w:vAlign w:val="center"/>
          </w:tcPr>
          <w:p w14:paraId="418760DD">
            <w:pPr>
              <w:keepNext w:val="0"/>
              <w:keepLines w:val="0"/>
              <w:pageBreakBefore w:val="0"/>
              <w:widowControl/>
              <w:kinsoku/>
              <w:wordWrap/>
              <w:overflowPunct/>
              <w:topLinePunct w:val="0"/>
              <w:autoSpaceDE/>
              <w:autoSpaceDN/>
              <w:bidi w:val="0"/>
              <w:adjustRightInd/>
              <w:spacing w:line="360" w:lineRule="auto"/>
              <w:jc w:val="center"/>
              <w:textAlignment w:val="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分值</w:t>
            </w:r>
          </w:p>
        </w:tc>
      </w:tr>
      <w:tr w14:paraId="7343A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79" w:type="dxa"/>
            <w:noWrap w:val="0"/>
            <w:vAlign w:val="center"/>
          </w:tcPr>
          <w:p w14:paraId="5FBA56F8">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企业实力</w:t>
            </w:r>
          </w:p>
        </w:tc>
        <w:tc>
          <w:tcPr>
            <w:tcW w:w="7369" w:type="dxa"/>
            <w:noWrap w:val="0"/>
            <w:vAlign w:val="center"/>
          </w:tcPr>
          <w:p w14:paraId="55697E9C">
            <w:pPr>
              <w:keepNext w:val="0"/>
              <w:keepLines w:val="0"/>
              <w:pageBreakBefore w:val="0"/>
              <w:widowControl/>
              <w:numPr>
                <w:ilvl w:val="0"/>
                <w:numId w:val="0"/>
              </w:numPr>
              <w:kinsoku/>
              <w:wordWrap/>
              <w:overflowPunct/>
              <w:topLinePunct w:val="0"/>
              <w:autoSpaceDE/>
              <w:autoSpaceDN/>
              <w:bidi w:val="0"/>
              <w:adjustRightInd/>
              <w:snapToGrid w:val="0"/>
              <w:spacing w:line="360" w:lineRule="auto"/>
              <w:ind w:leftChars="0"/>
              <w:jc w:val="left"/>
              <w:textAlignment w:val="auto"/>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1、投标单位具有职业健康安全管理体系认证证书得1分。</w:t>
            </w:r>
          </w:p>
          <w:p w14:paraId="653D28E8">
            <w:pPr>
              <w:keepNext w:val="0"/>
              <w:keepLines w:val="0"/>
              <w:pageBreakBefore w:val="0"/>
              <w:widowControl/>
              <w:numPr>
                <w:ilvl w:val="0"/>
                <w:numId w:val="0"/>
              </w:numPr>
              <w:kinsoku/>
              <w:wordWrap/>
              <w:overflowPunct/>
              <w:topLinePunct w:val="0"/>
              <w:autoSpaceDE/>
              <w:autoSpaceDN/>
              <w:bidi w:val="0"/>
              <w:adjustRightInd/>
              <w:snapToGrid w:val="0"/>
              <w:spacing w:line="360" w:lineRule="auto"/>
              <w:ind w:leftChars="0"/>
              <w:jc w:val="left"/>
              <w:textAlignment w:val="auto"/>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2、投标单位具有环境管理体系认证证书ISO14001得1分。</w:t>
            </w:r>
          </w:p>
          <w:p w14:paraId="45E1F69E">
            <w:pPr>
              <w:keepNext w:val="0"/>
              <w:keepLines w:val="0"/>
              <w:pageBreakBefore w:val="0"/>
              <w:widowControl/>
              <w:numPr>
                <w:ilvl w:val="0"/>
                <w:numId w:val="0"/>
              </w:numPr>
              <w:kinsoku/>
              <w:wordWrap/>
              <w:overflowPunct/>
              <w:topLinePunct w:val="0"/>
              <w:autoSpaceDE/>
              <w:autoSpaceDN/>
              <w:bidi w:val="0"/>
              <w:adjustRightInd/>
              <w:snapToGrid w:val="0"/>
              <w:spacing w:line="360" w:lineRule="auto"/>
              <w:ind w:leftChars="0"/>
              <w:jc w:val="left"/>
              <w:textAlignment w:val="auto"/>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3、投标单位具有CMMI3级认证证书得1分。</w:t>
            </w:r>
          </w:p>
          <w:p w14:paraId="6EF50DBA">
            <w:pPr>
              <w:keepNext w:val="0"/>
              <w:keepLines w:val="0"/>
              <w:pageBreakBefore w:val="0"/>
              <w:widowControl/>
              <w:numPr>
                <w:ilvl w:val="0"/>
                <w:numId w:val="0"/>
              </w:numPr>
              <w:kinsoku/>
              <w:wordWrap/>
              <w:overflowPunct/>
              <w:topLinePunct w:val="0"/>
              <w:autoSpaceDE/>
              <w:autoSpaceDN/>
              <w:bidi w:val="0"/>
              <w:adjustRightInd/>
              <w:snapToGrid w:val="0"/>
              <w:spacing w:line="360" w:lineRule="auto"/>
              <w:ind w:leftChars="0"/>
              <w:jc w:val="left"/>
              <w:textAlignment w:val="auto"/>
              <w:rPr>
                <w:rFonts w:hint="eastAsia" w:ascii="宋体" w:hAnsi="宋体" w:eastAsia="宋体" w:cs="宋体"/>
                <w:i w:val="0"/>
                <w:iCs w:val="0"/>
                <w:strike w:val="0"/>
                <w:dstrike w:val="0"/>
                <w:color w:val="000000"/>
                <w:kern w:val="0"/>
                <w:sz w:val="21"/>
                <w:szCs w:val="21"/>
                <w:highlight w:val="none"/>
                <w:u w:val="none"/>
                <w:lang w:val="en-US" w:eastAsia="zh-CN" w:bidi="ar"/>
              </w:rPr>
            </w:pPr>
            <w:r>
              <w:rPr>
                <w:rFonts w:hint="eastAsia" w:ascii="宋体" w:hAnsi="宋体" w:eastAsia="宋体" w:cs="宋体"/>
                <w:i w:val="0"/>
                <w:iCs w:val="0"/>
                <w:strike w:val="0"/>
                <w:dstrike w:val="0"/>
                <w:color w:val="000000"/>
                <w:kern w:val="0"/>
                <w:sz w:val="21"/>
                <w:szCs w:val="21"/>
                <w:highlight w:val="none"/>
                <w:u w:val="none"/>
                <w:lang w:val="en-US" w:eastAsia="zh-CN" w:bidi="ar"/>
              </w:rPr>
              <w:t>4、投标单位具有数据安全能力成熟度认证证书ISO37988得1分。</w:t>
            </w:r>
          </w:p>
          <w:p w14:paraId="43CA4ED8">
            <w:pPr>
              <w:keepNext w:val="0"/>
              <w:keepLines w:val="0"/>
              <w:pageBreakBefore w:val="0"/>
              <w:widowControl/>
              <w:numPr>
                <w:ilvl w:val="0"/>
                <w:numId w:val="0"/>
              </w:numPr>
              <w:kinsoku/>
              <w:wordWrap/>
              <w:overflowPunct/>
              <w:topLinePunct w:val="0"/>
              <w:autoSpaceDE/>
              <w:autoSpaceDN/>
              <w:bidi w:val="0"/>
              <w:adjustRightInd/>
              <w:snapToGrid w:val="0"/>
              <w:spacing w:line="360" w:lineRule="auto"/>
              <w:ind w:leftChars="0"/>
              <w:jc w:val="left"/>
              <w:textAlignment w:val="auto"/>
              <w:rPr>
                <w:rFonts w:hint="eastAsia" w:ascii="宋体" w:hAnsi="宋体" w:eastAsia="宋体" w:cs="宋体"/>
                <w:i w:val="0"/>
                <w:iCs w:val="0"/>
                <w:strike w:val="0"/>
                <w:dstrike w:val="0"/>
                <w:color w:val="000000"/>
                <w:kern w:val="0"/>
                <w:sz w:val="21"/>
                <w:szCs w:val="21"/>
                <w:highlight w:val="none"/>
                <w:u w:val="none"/>
                <w:lang w:val="en-US" w:eastAsia="zh-CN" w:bidi="ar"/>
              </w:rPr>
            </w:pPr>
            <w:r>
              <w:rPr>
                <w:rFonts w:hint="eastAsia" w:ascii="宋体" w:hAnsi="宋体" w:eastAsia="宋体" w:cs="宋体"/>
                <w:i w:val="0"/>
                <w:iCs w:val="0"/>
                <w:strike w:val="0"/>
                <w:dstrike w:val="0"/>
                <w:color w:val="000000"/>
                <w:kern w:val="0"/>
                <w:sz w:val="21"/>
                <w:szCs w:val="21"/>
                <w:highlight w:val="none"/>
                <w:u w:val="none"/>
                <w:lang w:val="en-US" w:eastAsia="zh-CN" w:bidi="ar"/>
              </w:rPr>
              <w:t>5、投标单位具有信息安全管理体系认证证书得1分。</w:t>
            </w:r>
          </w:p>
          <w:p w14:paraId="5BAF91BF">
            <w:pPr>
              <w:keepNext w:val="0"/>
              <w:keepLines w:val="0"/>
              <w:pageBreakBefore w:val="0"/>
              <w:widowControl/>
              <w:numPr>
                <w:ilvl w:val="0"/>
                <w:numId w:val="0"/>
              </w:numPr>
              <w:kinsoku/>
              <w:wordWrap/>
              <w:overflowPunct/>
              <w:topLinePunct w:val="0"/>
              <w:autoSpaceDE/>
              <w:autoSpaceDN/>
              <w:bidi w:val="0"/>
              <w:adjustRightInd/>
              <w:snapToGrid w:val="0"/>
              <w:spacing w:line="360" w:lineRule="auto"/>
              <w:ind w:leftChars="0"/>
              <w:jc w:val="left"/>
              <w:textAlignment w:val="auto"/>
              <w:rPr>
                <w:rFonts w:hint="default" w:ascii="宋体" w:hAnsi="宋体" w:eastAsia="宋体" w:cs="宋体"/>
                <w:i w:val="0"/>
                <w:iCs w:val="0"/>
                <w:strike w:val="0"/>
                <w:dstrike w:val="0"/>
                <w:color w:val="000000"/>
                <w:kern w:val="0"/>
                <w:sz w:val="21"/>
                <w:szCs w:val="21"/>
                <w:highlight w:val="none"/>
                <w:u w:val="none"/>
                <w:lang w:val="en-US" w:eastAsia="zh-CN" w:bidi="ar"/>
              </w:rPr>
            </w:pPr>
            <w:r>
              <w:rPr>
                <w:rFonts w:hint="eastAsia" w:ascii="宋体" w:hAnsi="宋体" w:eastAsia="宋体" w:cs="宋体"/>
                <w:i w:val="0"/>
                <w:iCs w:val="0"/>
                <w:strike w:val="0"/>
                <w:dstrike w:val="0"/>
                <w:color w:val="000000"/>
                <w:kern w:val="0"/>
                <w:sz w:val="21"/>
                <w:szCs w:val="21"/>
                <w:highlight w:val="none"/>
                <w:u w:val="none"/>
                <w:lang w:val="en-US" w:eastAsia="zh-CN" w:bidi="ar"/>
              </w:rPr>
              <w:t>6、投标单位具有建设主管部门颁发的合格有效的环境工程（水污染防治工程）专项乙级及以上工程设计资质，且资质证书在有效期内的，得2分。</w:t>
            </w:r>
          </w:p>
          <w:p w14:paraId="394B9156">
            <w:pPr>
              <w:pStyle w:val="20"/>
              <w:keepNext w:val="0"/>
              <w:keepLines w:val="0"/>
              <w:pageBreakBefore w:val="0"/>
              <w:kinsoku/>
              <w:wordWrap/>
              <w:overflowPunct/>
              <w:topLinePunct w:val="0"/>
              <w:autoSpaceDE/>
              <w:autoSpaceDN/>
              <w:bidi w:val="0"/>
              <w:adjustRightInd/>
              <w:spacing w:line="360" w:lineRule="auto"/>
              <w:ind w:left="0" w:leftChars="0" w:firstLine="0" w:firstLineChars="0"/>
              <w:textAlignment w:val="auto"/>
              <w:rPr>
                <w:rFonts w:hint="default"/>
                <w:sz w:val="21"/>
                <w:szCs w:val="21"/>
                <w:highlight w:val="none"/>
                <w:lang w:val="en-US" w:eastAsia="zh-CN"/>
              </w:rPr>
            </w:pPr>
            <w:r>
              <w:rPr>
                <w:rFonts w:hint="eastAsia" w:ascii="宋体" w:hAnsi="宋体" w:eastAsia="宋体" w:cs="宋体"/>
                <w:b/>
                <w:bCs/>
                <w:i w:val="0"/>
                <w:iCs w:val="0"/>
                <w:color w:val="000000"/>
                <w:kern w:val="0"/>
                <w:sz w:val="21"/>
                <w:szCs w:val="21"/>
                <w:highlight w:val="none"/>
                <w:u w:val="none"/>
                <w:lang w:val="en-US" w:eastAsia="zh-CN" w:bidi="ar"/>
              </w:rPr>
              <w:t>注：提供有效证明资料复印件并加盖投标人公章，如为联合体投标，联合体任意一方具有上述证书或资质均认可。</w:t>
            </w:r>
          </w:p>
        </w:tc>
        <w:tc>
          <w:tcPr>
            <w:tcW w:w="1060" w:type="dxa"/>
            <w:noWrap w:val="0"/>
            <w:vAlign w:val="center"/>
          </w:tcPr>
          <w:p w14:paraId="4319D62C">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0-7分</w:t>
            </w:r>
          </w:p>
        </w:tc>
      </w:tr>
      <w:tr w14:paraId="3700D6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79" w:type="dxa"/>
            <w:noWrap w:val="0"/>
            <w:vAlign w:val="center"/>
          </w:tcPr>
          <w:p w14:paraId="56356255">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类似业绩</w:t>
            </w:r>
          </w:p>
        </w:tc>
        <w:tc>
          <w:tcPr>
            <w:tcW w:w="7369" w:type="dxa"/>
            <w:noWrap w:val="0"/>
            <w:vAlign w:val="center"/>
          </w:tcPr>
          <w:p w14:paraId="06262445">
            <w:pPr>
              <w:keepNext w:val="0"/>
              <w:keepLines w:val="0"/>
              <w:pageBreakBefore w:val="0"/>
              <w:widowControl/>
              <w:numPr>
                <w:ilvl w:val="0"/>
                <w:numId w:val="0"/>
              </w:numPr>
              <w:kinsoku/>
              <w:wordWrap/>
              <w:overflowPunct/>
              <w:topLinePunct w:val="0"/>
              <w:autoSpaceDE/>
              <w:autoSpaceDN/>
              <w:bidi w:val="0"/>
              <w:adjustRightInd/>
              <w:snapToGrid w:val="0"/>
              <w:spacing w:line="360" w:lineRule="auto"/>
              <w:ind w:leftChars="0"/>
              <w:jc w:val="left"/>
              <w:textAlignment w:val="auto"/>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2022年1月1日（含）至投标截止日（不含），每提供一个类似</w:t>
            </w:r>
            <w:r>
              <w:rPr>
                <w:rFonts w:hint="eastAsia" w:ascii="宋体" w:hAnsi="宋体" w:cs="宋体"/>
                <w:bCs/>
                <w:sz w:val="21"/>
                <w:szCs w:val="21"/>
                <w:highlight w:val="none"/>
                <w:lang w:eastAsia="zh-CN"/>
              </w:rPr>
              <w:t>突发水污染事件</w:t>
            </w:r>
            <w:r>
              <w:rPr>
                <w:rFonts w:hint="eastAsia" w:ascii="宋体" w:hAnsi="宋体" w:cs="宋体"/>
                <w:bCs/>
                <w:sz w:val="21"/>
                <w:szCs w:val="21"/>
                <w:highlight w:val="none"/>
                <w:lang w:val="en-US" w:eastAsia="zh-CN"/>
              </w:rPr>
              <w:t>多级</w:t>
            </w:r>
            <w:r>
              <w:rPr>
                <w:rFonts w:hint="eastAsia" w:ascii="宋体" w:hAnsi="宋体" w:cs="宋体"/>
                <w:bCs/>
                <w:sz w:val="21"/>
                <w:szCs w:val="21"/>
                <w:highlight w:val="none"/>
                <w:lang w:eastAsia="zh-CN"/>
              </w:rPr>
              <w:t>防控体系</w:t>
            </w:r>
            <w:r>
              <w:rPr>
                <w:rFonts w:hint="eastAsia" w:ascii="宋体" w:hAnsi="宋体" w:eastAsia="宋体" w:cs="宋体"/>
                <w:i w:val="0"/>
                <w:iCs w:val="0"/>
                <w:color w:val="000000"/>
                <w:kern w:val="0"/>
                <w:sz w:val="21"/>
                <w:szCs w:val="21"/>
                <w:highlight w:val="none"/>
                <w:u w:val="none"/>
                <w:lang w:val="en-US" w:eastAsia="zh-CN" w:bidi="ar"/>
              </w:rPr>
              <w:t>案例的得1分，最多得3分。</w:t>
            </w:r>
          </w:p>
          <w:p w14:paraId="49A119CC">
            <w:pPr>
              <w:pStyle w:val="20"/>
              <w:spacing w:line="360" w:lineRule="auto"/>
              <w:ind w:left="0" w:leftChars="0" w:firstLine="0" w:firstLineChars="0"/>
              <w:rPr>
                <w:rFonts w:hint="default"/>
                <w:sz w:val="21"/>
                <w:szCs w:val="21"/>
                <w:highlight w:val="none"/>
                <w:lang w:val="en-US" w:eastAsia="zh-CN"/>
              </w:rPr>
            </w:pPr>
            <w:r>
              <w:rPr>
                <w:rFonts w:hint="eastAsia" w:ascii="宋体" w:hAnsi="宋体" w:eastAsia="宋体" w:cs="宋体"/>
                <w:b/>
                <w:bCs/>
                <w:i w:val="0"/>
                <w:iCs w:val="0"/>
                <w:color w:val="000000"/>
                <w:kern w:val="0"/>
                <w:sz w:val="21"/>
                <w:szCs w:val="21"/>
                <w:highlight w:val="none"/>
                <w:u w:val="none"/>
                <w:lang w:val="en-US" w:eastAsia="zh-CN" w:bidi="ar"/>
              </w:rPr>
              <w:t>注：提供上述合同复印件并加盖公章，以合同签订时间为准。否则不得分。如为联合体投标，</w:t>
            </w:r>
            <w:r>
              <w:rPr>
                <w:rFonts w:hint="eastAsia" w:ascii="宋体" w:hAnsi="宋体" w:eastAsia="宋体" w:cs="宋体"/>
                <w:b/>
                <w:bCs/>
                <w:strike w:val="0"/>
                <w:dstrike w:val="0"/>
                <w:color w:val="auto"/>
                <w:sz w:val="21"/>
                <w:szCs w:val="21"/>
                <w:highlight w:val="none"/>
                <w:lang w:val="en-US" w:eastAsia="zh-CN"/>
              </w:rPr>
              <w:t>联合体任意一方具有上述业绩均认可。</w:t>
            </w:r>
          </w:p>
        </w:tc>
        <w:tc>
          <w:tcPr>
            <w:tcW w:w="1060" w:type="dxa"/>
            <w:noWrap w:val="0"/>
            <w:vAlign w:val="center"/>
          </w:tcPr>
          <w:p w14:paraId="3C40B4B8">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0-3分</w:t>
            </w:r>
          </w:p>
        </w:tc>
      </w:tr>
      <w:tr w14:paraId="6E948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79" w:type="dxa"/>
            <w:noWrap w:val="0"/>
            <w:vAlign w:val="center"/>
          </w:tcPr>
          <w:p w14:paraId="7A72EF06">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项目负责人</w:t>
            </w:r>
          </w:p>
        </w:tc>
        <w:tc>
          <w:tcPr>
            <w:tcW w:w="7369" w:type="dxa"/>
            <w:noWrap w:val="0"/>
            <w:vAlign w:val="center"/>
          </w:tcPr>
          <w:p w14:paraId="27022842">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1、具备信息技术（技术开发）专业高级工程师证书得1分。</w:t>
            </w:r>
          </w:p>
          <w:p w14:paraId="3086FD9F">
            <w:pPr>
              <w:keepNext w:val="0"/>
              <w:keepLines w:val="0"/>
              <w:widowControl/>
              <w:suppressLineNumbers w:val="0"/>
              <w:spacing w:line="360" w:lineRule="auto"/>
              <w:jc w:val="left"/>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2、具备信息系统项目管理师（人社部颁发）证书得</w:t>
            </w:r>
            <w:r>
              <w:rPr>
                <w:rFonts w:hint="default" w:ascii="宋体" w:hAnsi="宋体" w:eastAsia="宋体" w:cs="宋体"/>
                <w:i w:val="0"/>
                <w:iCs w:val="0"/>
                <w:color w:val="000000"/>
                <w:kern w:val="0"/>
                <w:sz w:val="21"/>
                <w:szCs w:val="21"/>
                <w:highlight w:val="none"/>
                <w:u w:val="none"/>
                <w:lang w:val="en-US" w:eastAsia="zh-CN" w:bidi="ar"/>
              </w:rPr>
              <w:t>1</w:t>
            </w:r>
            <w:r>
              <w:rPr>
                <w:rFonts w:hint="eastAsia" w:ascii="宋体" w:hAnsi="宋体" w:eastAsia="宋体" w:cs="宋体"/>
                <w:i w:val="0"/>
                <w:iCs w:val="0"/>
                <w:color w:val="000000"/>
                <w:kern w:val="0"/>
                <w:sz w:val="21"/>
                <w:szCs w:val="21"/>
                <w:highlight w:val="none"/>
                <w:u w:val="none"/>
                <w:lang w:val="en-US" w:eastAsia="zh-CN" w:bidi="ar"/>
              </w:rPr>
              <w:t>分。</w:t>
            </w:r>
          </w:p>
          <w:p w14:paraId="2FF70F64">
            <w:pPr>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3、具备信息安全保障人员认证证书得</w:t>
            </w:r>
            <w:r>
              <w:rPr>
                <w:rFonts w:hint="default" w:ascii="宋体" w:hAnsi="宋体" w:eastAsia="宋体" w:cs="宋体"/>
                <w:i w:val="0"/>
                <w:iCs w:val="0"/>
                <w:color w:val="000000"/>
                <w:kern w:val="0"/>
                <w:sz w:val="21"/>
                <w:szCs w:val="21"/>
                <w:highlight w:val="none"/>
                <w:u w:val="none"/>
                <w:lang w:val="en-US" w:eastAsia="zh-CN" w:bidi="ar"/>
              </w:rPr>
              <w:t>1</w:t>
            </w:r>
            <w:r>
              <w:rPr>
                <w:rFonts w:hint="eastAsia" w:ascii="宋体" w:hAnsi="宋体" w:eastAsia="宋体" w:cs="宋体"/>
                <w:i w:val="0"/>
                <w:iCs w:val="0"/>
                <w:color w:val="000000"/>
                <w:kern w:val="0"/>
                <w:sz w:val="21"/>
                <w:szCs w:val="21"/>
                <w:highlight w:val="none"/>
                <w:u w:val="none"/>
                <w:lang w:val="en-US" w:eastAsia="zh-CN" w:bidi="ar"/>
              </w:rPr>
              <w:t>分。</w:t>
            </w:r>
          </w:p>
          <w:p w14:paraId="6BD34822">
            <w:pPr>
              <w:keepNext w:val="0"/>
              <w:keepLines w:val="0"/>
              <w:pageBreakBefore w:val="0"/>
              <w:widowControl/>
              <w:kinsoku/>
              <w:wordWrap/>
              <w:overflowPunct/>
              <w:topLinePunct w:val="0"/>
              <w:autoSpaceDE/>
              <w:autoSpaceDN/>
              <w:bidi w:val="0"/>
              <w:adjustRightInd/>
              <w:snapToGrid w:val="0"/>
              <w:spacing w:line="360" w:lineRule="auto"/>
              <w:textAlignment w:val="auto"/>
              <w:rPr>
                <w:rFonts w:hint="default"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b/>
                <w:bCs/>
                <w:strike w:val="0"/>
                <w:dstrike w:val="0"/>
                <w:color w:val="auto"/>
                <w:sz w:val="21"/>
                <w:szCs w:val="21"/>
                <w:highlight w:val="none"/>
                <w:lang w:val="en-US" w:eastAsia="zh-CN"/>
              </w:rPr>
              <w:t>注：投标文件中提供上述人员相关证书复印件和近三个月由投标人缴纳的社保证明扫描件并加盖投标人公章，证书、社保证明缺一不可，人员证书及社保证明需为投标单位员工，否则不得分。</w:t>
            </w:r>
            <w:r>
              <w:rPr>
                <w:rFonts w:hint="eastAsia" w:ascii="宋体" w:hAnsi="宋体" w:eastAsia="宋体" w:cs="宋体"/>
                <w:b/>
                <w:bCs/>
                <w:i w:val="0"/>
                <w:iCs w:val="0"/>
                <w:color w:val="000000"/>
                <w:kern w:val="0"/>
                <w:sz w:val="21"/>
                <w:szCs w:val="21"/>
                <w:highlight w:val="none"/>
                <w:u w:val="none"/>
                <w:lang w:val="en-US" w:eastAsia="zh-CN" w:bidi="ar"/>
              </w:rPr>
              <w:t>如为联合体投标，联合体任意一方人员具有上述证书均认可。</w:t>
            </w:r>
          </w:p>
        </w:tc>
        <w:tc>
          <w:tcPr>
            <w:tcW w:w="1060" w:type="dxa"/>
            <w:noWrap w:val="0"/>
            <w:vAlign w:val="center"/>
          </w:tcPr>
          <w:p w14:paraId="0102AD7F">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0-3分</w:t>
            </w:r>
          </w:p>
        </w:tc>
      </w:tr>
      <w:tr w14:paraId="39BC3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79" w:type="dxa"/>
            <w:noWrap w:val="0"/>
            <w:vAlign w:val="center"/>
          </w:tcPr>
          <w:p w14:paraId="0A99FFF4">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技术服务负责人</w:t>
            </w:r>
          </w:p>
        </w:tc>
        <w:tc>
          <w:tcPr>
            <w:tcW w:w="7369" w:type="dxa"/>
            <w:noWrap w:val="0"/>
            <w:vAlign w:val="center"/>
          </w:tcPr>
          <w:p w14:paraId="2D2EE924">
            <w:pPr>
              <w:keepNext w:val="0"/>
              <w:keepLines w:val="0"/>
              <w:widowControl/>
              <w:numPr>
                <w:ilvl w:val="0"/>
                <w:numId w:val="0"/>
              </w:numPr>
              <w:suppressLineNumbers w:val="0"/>
              <w:spacing w:line="360" w:lineRule="auto"/>
              <w:jc w:val="left"/>
              <w:textAlignment w:val="auto"/>
              <w:rPr>
                <w:rFonts w:hint="eastAsia" w:ascii="宋体" w:hAnsi="宋体" w:eastAsia="宋体" w:cs="宋体"/>
                <w:i w:val="0"/>
                <w:iCs w:val="0"/>
                <w:strike w:val="0"/>
                <w:dstrike w:val="0"/>
                <w:color w:val="000000"/>
                <w:kern w:val="0"/>
                <w:sz w:val="21"/>
                <w:szCs w:val="21"/>
                <w:highlight w:val="none"/>
                <w:u w:val="none"/>
                <w:lang w:val="en-US" w:eastAsia="zh-CN" w:bidi="ar"/>
              </w:rPr>
            </w:pPr>
            <w:r>
              <w:rPr>
                <w:rFonts w:hint="eastAsia" w:ascii="宋体" w:hAnsi="宋体" w:eastAsia="宋体" w:cs="宋体"/>
                <w:i w:val="0"/>
                <w:iCs w:val="0"/>
                <w:strike w:val="0"/>
                <w:dstrike w:val="0"/>
                <w:color w:val="000000"/>
                <w:kern w:val="0"/>
                <w:sz w:val="21"/>
                <w:szCs w:val="21"/>
                <w:highlight w:val="none"/>
                <w:u w:val="none"/>
                <w:lang w:val="en-US" w:eastAsia="zh-CN" w:bidi="ar"/>
              </w:rPr>
              <w:t>1、具备环保类正高级职称且具有注册环保工程师执业证书的得2分。</w:t>
            </w:r>
          </w:p>
          <w:p w14:paraId="3C756AB6">
            <w:pPr>
              <w:pStyle w:val="48"/>
              <w:ind w:firstLine="0" w:firstLineChars="0"/>
              <w:rPr>
                <w:rFonts w:hint="default"/>
                <w:sz w:val="21"/>
                <w:szCs w:val="21"/>
                <w:highlight w:val="none"/>
                <w:lang w:val="en-US" w:eastAsia="zh-CN"/>
              </w:rPr>
            </w:pPr>
            <w:r>
              <w:rPr>
                <w:rFonts w:hint="eastAsia"/>
                <w:sz w:val="21"/>
                <w:szCs w:val="21"/>
                <w:highlight w:val="none"/>
                <w:lang w:val="en-US" w:eastAsia="zh-CN"/>
              </w:rPr>
              <w:t>2、</w:t>
            </w:r>
            <w:r>
              <w:rPr>
                <w:rFonts w:hint="default"/>
                <w:sz w:val="21"/>
                <w:szCs w:val="21"/>
                <w:highlight w:val="none"/>
                <w:lang w:val="en-US" w:eastAsia="zh-CN"/>
              </w:rPr>
              <w:t>以项目负责人身份完成过多级防控体系建设</w:t>
            </w:r>
            <w:r>
              <w:rPr>
                <w:rFonts w:hint="eastAsia"/>
                <w:sz w:val="21"/>
                <w:szCs w:val="21"/>
                <w:highlight w:val="none"/>
                <w:lang w:val="en-US" w:eastAsia="zh-CN"/>
              </w:rPr>
              <w:t>服务</w:t>
            </w:r>
            <w:r>
              <w:rPr>
                <w:rFonts w:hint="default"/>
                <w:sz w:val="21"/>
                <w:szCs w:val="21"/>
                <w:highlight w:val="none"/>
                <w:lang w:val="en-US" w:eastAsia="zh-CN"/>
              </w:rPr>
              <w:t>项目业绩</w:t>
            </w:r>
            <w:r>
              <w:rPr>
                <w:rFonts w:hint="eastAsia"/>
                <w:sz w:val="21"/>
                <w:szCs w:val="21"/>
                <w:highlight w:val="none"/>
                <w:lang w:val="en-US" w:eastAsia="zh-CN"/>
              </w:rPr>
              <w:t>，且项目通过省级主管部门现场核验</w:t>
            </w:r>
            <w:r>
              <w:rPr>
                <w:rFonts w:hint="default"/>
                <w:sz w:val="21"/>
                <w:szCs w:val="21"/>
                <w:highlight w:val="none"/>
                <w:lang w:val="en-US" w:eastAsia="zh-CN"/>
              </w:rPr>
              <w:t>的得</w:t>
            </w:r>
            <w:r>
              <w:rPr>
                <w:rFonts w:hint="eastAsia"/>
                <w:sz w:val="21"/>
                <w:szCs w:val="21"/>
                <w:highlight w:val="none"/>
                <w:lang w:val="en-US" w:eastAsia="zh-CN"/>
              </w:rPr>
              <w:t>1</w:t>
            </w:r>
            <w:r>
              <w:rPr>
                <w:rFonts w:hint="default"/>
                <w:sz w:val="21"/>
                <w:szCs w:val="21"/>
                <w:highlight w:val="none"/>
                <w:lang w:val="en-US" w:eastAsia="zh-CN"/>
              </w:rPr>
              <w:t>分，否则不得分。</w:t>
            </w:r>
          </w:p>
          <w:p w14:paraId="6E0E545C">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bCs/>
                <w:strike w:val="0"/>
                <w:dstrike w:val="0"/>
                <w:color w:val="auto"/>
                <w:sz w:val="21"/>
                <w:szCs w:val="21"/>
                <w:highlight w:val="none"/>
                <w:lang w:val="en-US" w:eastAsia="zh-CN"/>
              </w:rPr>
            </w:pPr>
            <w:r>
              <w:rPr>
                <w:rFonts w:hint="eastAsia" w:ascii="宋体" w:hAnsi="宋体" w:eastAsia="宋体" w:cs="宋体"/>
                <w:b/>
                <w:bCs/>
                <w:strike w:val="0"/>
                <w:dstrike w:val="0"/>
                <w:color w:val="auto"/>
                <w:sz w:val="21"/>
                <w:szCs w:val="21"/>
                <w:highlight w:val="none"/>
                <w:lang w:val="en-US" w:eastAsia="zh-CN"/>
              </w:rPr>
              <w:t>注：提供上述相关证书、业绩合同</w:t>
            </w:r>
            <w:r>
              <w:rPr>
                <w:rFonts w:hint="eastAsia" w:ascii="宋体" w:hAnsi="宋体" w:eastAsia="宋体" w:cs="宋体"/>
                <w:i w:val="0"/>
                <w:iCs w:val="0"/>
                <w:strike w:val="0"/>
                <w:dstrike w:val="0"/>
                <w:color w:val="000000"/>
                <w:kern w:val="0"/>
                <w:sz w:val="21"/>
                <w:szCs w:val="21"/>
                <w:highlight w:val="none"/>
                <w:u w:val="none"/>
                <w:lang w:val="en-US" w:eastAsia="zh-CN" w:bidi="ar"/>
              </w:rPr>
              <w:t>（若未体现项目负责人信息，则需由业主单位出具并加盖公章的能体现项目负责人信息的相关证明）</w:t>
            </w:r>
            <w:r>
              <w:rPr>
                <w:rFonts w:hint="eastAsia" w:ascii="宋体" w:hAnsi="宋体" w:eastAsia="宋体" w:cs="宋体"/>
                <w:b/>
                <w:bCs/>
                <w:strike w:val="0"/>
                <w:dstrike w:val="0"/>
                <w:color w:val="auto"/>
                <w:sz w:val="21"/>
                <w:szCs w:val="21"/>
                <w:highlight w:val="none"/>
                <w:lang w:val="en-US" w:eastAsia="zh-CN"/>
              </w:rPr>
              <w:t>及</w:t>
            </w:r>
            <w:r>
              <w:rPr>
                <w:rFonts w:hint="eastAsia" w:ascii="宋体" w:hAnsi="宋体" w:eastAsia="宋体" w:cs="宋体"/>
                <w:i w:val="0"/>
                <w:iCs w:val="0"/>
                <w:strike w:val="0"/>
                <w:dstrike w:val="0"/>
                <w:color w:val="000000"/>
                <w:kern w:val="0"/>
                <w:sz w:val="21"/>
                <w:szCs w:val="21"/>
                <w:highlight w:val="none"/>
                <w:u w:val="none"/>
                <w:lang w:val="en-US" w:eastAsia="zh-CN" w:bidi="ar"/>
              </w:rPr>
              <w:t>通过省级主管部门现场核验的相关证明扫描件</w:t>
            </w:r>
            <w:r>
              <w:rPr>
                <w:rFonts w:hint="eastAsia" w:ascii="宋体" w:hAnsi="宋体" w:eastAsia="宋体" w:cs="宋体"/>
                <w:b/>
                <w:bCs/>
                <w:strike w:val="0"/>
                <w:dstrike w:val="0"/>
                <w:color w:val="auto"/>
                <w:sz w:val="21"/>
                <w:szCs w:val="21"/>
                <w:highlight w:val="none"/>
                <w:lang w:val="en-US" w:eastAsia="zh-CN"/>
              </w:rPr>
              <w:t>，并提供上述人员近三个月由投标人缴纳的社保证明扫描件，加盖投标人公章，证书、社保证明缺一不可，人员证书及社保证明需为投标单位员工，否则不得分。</w:t>
            </w:r>
            <w:r>
              <w:rPr>
                <w:rFonts w:hint="eastAsia" w:ascii="宋体" w:hAnsi="宋体" w:eastAsia="宋体" w:cs="宋体"/>
                <w:b/>
                <w:bCs/>
                <w:i w:val="0"/>
                <w:iCs w:val="0"/>
                <w:color w:val="000000"/>
                <w:kern w:val="0"/>
                <w:sz w:val="21"/>
                <w:szCs w:val="21"/>
                <w:highlight w:val="none"/>
                <w:u w:val="none"/>
                <w:lang w:val="en-US" w:eastAsia="zh-CN" w:bidi="ar"/>
              </w:rPr>
              <w:t>如为联合体投标，联合体任意一方人员具有上述证书均认可。</w:t>
            </w:r>
          </w:p>
        </w:tc>
        <w:tc>
          <w:tcPr>
            <w:tcW w:w="1060" w:type="dxa"/>
            <w:noWrap w:val="0"/>
            <w:vAlign w:val="center"/>
          </w:tcPr>
          <w:p w14:paraId="14170EE2">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strike w:val="0"/>
                <w:dstrike w:val="0"/>
                <w:color w:val="auto"/>
                <w:sz w:val="21"/>
                <w:szCs w:val="21"/>
                <w:highlight w:val="none"/>
                <w:lang w:val="en-US" w:eastAsia="zh-CN"/>
              </w:rPr>
              <w:t>0-3分</w:t>
            </w:r>
          </w:p>
        </w:tc>
      </w:tr>
      <w:tr w14:paraId="0B7F7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79" w:type="dxa"/>
            <w:noWrap w:val="0"/>
            <w:vAlign w:val="center"/>
          </w:tcPr>
          <w:p w14:paraId="4BA5C1F5">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开发负责人</w:t>
            </w:r>
          </w:p>
        </w:tc>
        <w:tc>
          <w:tcPr>
            <w:tcW w:w="7369" w:type="dxa"/>
            <w:noWrap w:val="0"/>
            <w:vAlign w:val="center"/>
          </w:tcPr>
          <w:p w14:paraId="634FE8FE">
            <w:pPr>
              <w:keepNext w:val="0"/>
              <w:keepLines w:val="0"/>
              <w:widowControl/>
              <w:suppressLineNumbers w:val="0"/>
              <w:spacing w:line="360" w:lineRule="auto"/>
              <w:jc w:val="left"/>
              <w:textAlignment w:val="center"/>
              <w:rPr>
                <w:rFonts w:hint="eastAsia" w:ascii="宋体" w:hAnsi="宋体" w:eastAsia="宋体" w:cs="宋体"/>
                <w:i w:val="0"/>
                <w:iCs w:val="0"/>
                <w:strike w:val="0"/>
                <w:dstrike w:val="0"/>
                <w:color w:val="000000"/>
                <w:kern w:val="0"/>
                <w:sz w:val="21"/>
                <w:szCs w:val="21"/>
                <w:highlight w:val="none"/>
                <w:u w:val="none"/>
                <w:lang w:val="en-US" w:eastAsia="zh-CN" w:bidi="ar"/>
              </w:rPr>
            </w:pPr>
            <w:r>
              <w:rPr>
                <w:rFonts w:hint="eastAsia" w:ascii="宋体" w:hAnsi="宋体" w:eastAsia="宋体" w:cs="宋体"/>
                <w:i w:val="0"/>
                <w:iCs w:val="0"/>
                <w:strike w:val="0"/>
                <w:dstrike w:val="0"/>
                <w:color w:val="000000"/>
                <w:kern w:val="0"/>
                <w:sz w:val="21"/>
                <w:szCs w:val="21"/>
                <w:highlight w:val="none"/>
                <w:u w:val="none"/>
                <w:lang w:val="en-US" w:eastAsia="zh-CN" w:bidi="ar"/>
              </w:rPr>
              <w:t>1、具备软件设计师证书（人社部颁发）得1分。</w:t>
            </w:r>
          </w:p>
          <w:p w14:paraId="6D014F65">
            <w:pPr>
              <w:keepNext w:val="0"/>
              <w:keepLines w:val="0"/>
              <w:widowControl/>
              <w:suppressLineNumbers w:val="0"/>
              <w:spacing w:line="360" w:lineRule="auto"/>
              <w:jc w:val="left"/>
              <w:textAlignment w:val="center"/>
              <w:rPr>
                <w:rFonts w:hint="eastAsia" w:ascii="宋体" w:hAnsi="宋体" w:eastAsia="宋体" w:cs="宋体"/>
                <w:i w:val="0"/>
                <w:iCs w:val="0"/>
                <w:strike w:val="0"/>
                <w:dstrike w:val="0"/>
                <w:color w:val="000000"/>
                <w:kern w:val="0"/>
                <w:sz w:val="21"/>
                <w:szCs w:val="21"/>
                <w:highlight w:val="none"/>
                <w:u w:val="none"/>
                <w:lang w:val="en-US" w:eastAsia="zh-CN" w:bidi="ar"/>
              </w:rPr>
            </w:pPr>
            <w:r>
              <w:rPr>
                <w:rFonts w:hint="eastAsia" w:ascii="宋体" w:hAnsi="宋体" w:eastAsia="宋体" w:cs="宋体"/>
                <w:i w:val="0"/>
                <w:iCs w:val="0"/>
                <w:strike w:val="0"/>
                <w:dstrike w:val="0"/>
                <w:color w:val="000000"/>
                <w:kern w:val="0"/>
                <w:sz w:val="21"/>
                <w:szCs w:val="21"/>
                <w:highlight w:val="none"/>
                <w:u w:val="none"/>
                <w:lang w:val="en-US" w:eastAsia="zh-CN" w:bidi="ar"/>
              </w:rPr>
              <w:t>2、具备系统分析师证书（人社部颁发）得1分。</w:t>
            </w:r>
          </w:p>
          <w:p w14:paraId="514DB832">
            <w:pPr>
              <w:keepNext w:val="0"/>
              <w:keepLines w:val="0"/>
              <w:widowControl/>
              <w:suppressLineNumbers w:val="0"/>
              <w:spacing w:line="360" w:lineRule="auto"/>
              <w:jc w:val="left"/>
              <w:textAlignment w:val="center"/>
              <w:rPr>
                <w:rFonts w:hint="eastAsia" w:ascii="宋体" w:hAnsi="宋体" w:eastAsia="宋体" w:cs="宋体"/>
                <w:i w:val="0"/>
                <w:iCs w:val="0"/>
                <w:strike w:val="0"/>
                <w:dstrike w:val="0"/>
                <w:color w:val="000000"/>
                <w:kern w:val="0"/>
                <w:sz w:val="21"/>
                <w:szCs w:val="21"/>
                <w:highlight w:val="none"/>
                <w:u w:val="none"/>
                <w:lang w:val="en-US" w:eastAsia="zh-CN" w:bidi="ar"/>
              </w:rPr>
            </w:pPr>
            <w:r>
              <w:rPr>
                <w:rFonts w:hint="eastAsia" w:ascii="宋体" w:hAnsi="宋体" w:eastAsia="宋体" w:cs="宋体"/>
                <w:b/>
                <w:bCs/>
                <w:strike w:val="0"/>
                <w:dstrike w:val="0"/>
                <w:color w:val="auto"/>
                <w:sz w:val="21"/>
                <w:szCs w:val="21"/>
                <w:highlight w:val="none"/>
                <w:lang w:val="en-US" w:eastAsia="zh-CN"/>
              </w:rPr>
              <w:t>注：投标文件中提供上述人员相关证书复印件和近三个月由投标人缴纳的社保证明扫描件并加盖投标人公章，证书、社保证明缺一不可，人员证书及社保证明需为投标单位员工，否则不得分。</w:t>
            </w:r>
            <w:r>
              <w:rPr>
                <w:rFonts w:hint="eastAsia" w:ascii="宋体" w:hAnsi="宋体" w:eastAsia="宋体" w:cs="宋体"/>
                <w:b/>
                <w:bCs/>
                <w:i w:val="0"/>
                <w:iCs w:val="0"/>
                <w:color w:val="000000"/>
                <w:kern w:val="0"/>
                <w:sz w:val="21"/>
                <w:szCs w:val="21"/>
                <w:highlight w:val="none"/>
                <w:u w:val="none"/>
                <w:lang w:val="en-US" w:eastAsia="zh-CN" w:bidi="ar"/>
              </w:rPr>
              <w:t>如为联合体投标，联合体任意一方人员具有上述证书均认可。</w:t>
            </w:r>
          </w:p>
        </w:tc>
        <w:tc>
          <w:tcPr>
            <w:tcW w:w="1060" w:type="dxa"/>
            <w:noWrap w:val="0"/>
            <w:vAlign w:val="center"/>
          </w:tcPr>
          <w:p w14:paraId="48BBA5FA">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default" w:ascii="宋体" w:hAnsi="宋体" w:eastAsia="宋体" w:cs="宋体"/>
                <w:strike w:val="0"/>
                <w:dstrike w:val="0"/>
                <w:color w:val="auto"/>
                <w:sz w:val="21"/>
                <w:szCs w:val="21"/>
                <w:highlight w:val="none"/>
                <w:lang w:val="en-US" w:eastAsia="zh-CN"/>
              </w:rPr>
            </w:pPr>
            <w:r>
              <w:rPr>
                <w:rFonts w:hint="eastAsia" w:ascii="宋体" w:hAnsi="宋体" w:eastAsia="宋体" w:cs="宋体"/>
                <w:strike w:val="0"/>
                <w:dstrike w:val="0"/>
                <w:color w:val="auto"/>
                <w:sz w:val="21"/>
                <w:szCs w:val="21"/>
                <w:highlight w:val="none"/>
                <w:lang w:val="en-US" w:eastAsia="zh-CN"/>
              </w:rPr>
              <w:t>0-2分</w:t>
            </w:r>
          </w:p>
        </w:tc>
      </w:tr>
      <w:tr w14:paraId="0D3121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79" w:type="dxa"/>
            <w:noWrap w:val="0"/>
            <w:vAlign w:val="center"/>
          </w:tcPr>
          <w:p w14:paraId="2A12915D">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售后负责人</w:t>
            </w:r>
          </w:p>
        </w:tc>
        <w:tc>
          <w:tcPr>
            <w:tcW w:w="7369" w:type="dxa"/>
            <w:noWrap w:val="0"/>
            <w:vAlign w:val="center"/>
          </w:tcPr>
          <w:p w14:paraId="2A3EA7E8">
            <w:pPr>
              <w:keepNext w:val="0"/>
              <w:keepLines w:val="0"/>
              <w:widowControl/>
              <w:suppressLineNumbers w:val="0"/>
              <w:spacing w:line="360" w:lineRule="auto"/>
              <w:jc w:val="left"/>
              <w:textAlignment w:val="center"/>
              <w:rPr>
                <w:rFonts w:hint="eastAsia" w:ascii="宋体" w:hAnsi="宋体" w:eastAsia="宋体" w:cs="宋体"/>
                <w:i w:val="0"/>
                <w:iCs w:val="0"/>
                <w:strike w:val="0"/>
                <w:dstrike w:val="0"/>
                <w:color w:val="000000"/>
                <w:kern w:val="0"/>
                <w:sz w:val="21"/>
                <w:szCs w:val="21"/>
                <w:highlight w:val="none"/>
                <w:u w:val="none"/>
                <w:lang w:val="en-US" w:eastAsia="zh-CN" w:bidi="ar"/>
              </w:rPr>
            </w:pPr>
            <w:r>
              <w:rPr>
                <w:rFonts w:hint="eastAsia" w:ascii="宋体" w:hAnsi="宋体" w:eastAsia="宋体" w:cs="宋体"/>
                <w:i w:val="0"/>
                <w:iCs w:val="0"/>
                <w:strike w:val="0"/>
                <w:dstrike w:val="0"/>
                <w:color w:val="000000"/>
                <w:kern w:val="0"/>
                <w:sz w:val="21"/>
                <w:szCs w:val="21"/>
                <w:highlight w:val="none"/>
                <w:u w:val="none"/>
                <w:lang w:val="en-US" w:eastAsia="zh-CN" w:bidi="ar"/>
              </w:rPr>
              <w:t>1、具备信息安全工程师得1分。</w:t>
            </w:r>
          </w:p>
          <w:p w14:paraId="2C784231">
            <w:pPr>
              <w:keepNext w:val="0"/>
              <w:keepLines w:val="0"/>
              <w:widowControl/>
              <w:suppressLineNumbers w:val="0"/>
              <w:spacing w:line="360" w:lineRule="auto"/>
              <w:jc w:val="left"/>
              <w:textAlignment w:val="center"/>
              <w:rPr>
                <w:rFonts w:hint="eastAsia" w:ascii="宋体" w:hAnsi="宋体" w:eastAsia="宋体" w:cs="宋体"/>
                <w:i w:val="0"/>
                <w:iCs w:val="0"/>
                <w:strike w:val="0"/>
                <w:dstrike w:val="0"/>
                <w:color w:val="000000"/>
                <w:kern w:val="0"/>
                <w:sz w:val="21"/>
                <w:szCs w:val="21"/>
                <w:highlight w:val="none"/>
                <w:u w:val="none"/>
                <w:lang w:val="en-US" w:eastAsia="zh-CN" w:bidi="ar"/>
              </w:rPr>
            </w:pPr>
            <w:r>
              <w:rPr>
                <w:rFonts w:hint="eastAsia" w:ascii="宋体" w:hAnsi="宋体" w:eastAsia="宋体" w:cs="宋体"/>
                <w:i w:val="0"/>
                <w:iCs w:val="0"/>
                <w:strike w:val="0"/>
                <w:dstrike w:val="0"/>
                <w:color w:val="000000"/>
                <w:kern w:val="0"/>
                <w:sz w:val="21"/>
                <w:szCs w:val="21"/>
                <w:highlight w:val="none"/>
                <w:u w:val="none"/>
                <w:lang w:val="en-US" w:eastAsia="zh-CN" w:bidi="ar"/>
              </w:rPr>
              <w:t>2、具备信息系统管理工程师证书得1分。</w:t>
            </w:r>
          </w:p>
          <w:p w14:paraId="38EA6F61">
            <w:pPr>
              <w:keepNext w:val="0"/>
              <w:keepLines w:val="0"/>
              <w:widowControl/>
              <w:suppressLineNumbers w:val="0"/>
              <w:spacing w:line="360" w:lineRule="auto"/>
              <w:jc w:val="left"/>
              <w:textAlignment w:val="center"/>
              <w:rPr>
                <w:rFonts w:hint="default" w:ascii="宋体" w:hAnsi="宋体" w:eastAsia="宋体" w:cs="宋体"/>
                <w:i w:val="0"/>
                <w:iCs w:val="0"/>
                <w:strike w:val="0"/>
                <w:dstrike w:val="0"/>
                <w:color w:val="000000"/>
                <w:kern w:val="0"/>
                <w:sz w:val="21"/>
                <w:szCs w:val="21"/>
                <w:highlight w:val="none"/>
                <w:u w:val="none"/>
                <w:lang w:val="en-US" w:eastAsia="zh-CN" w:bidi="ar"/>
              </w:rPr>
            </w:pPr>
            <w:r>
              <w:rPr>
                <w:rFonts w:hint="eastAsia" w:ascii="宋体" w:hAnsi="宋体" w:eastAsia="宋体" w:cs="宋体"/>
                <w:b/>
                <w:bCs/>
                <w:strike w:val="0"/>
                <w:dstrike w:val="0"/>
                <w:color w:val="auto"/>
                <w:sz w:val="21"/>
                <w:szCs w:val="21"/>
                <w:highlight w:val="none"/>
                <w:lang w:val="en-US" w:eastAsia="zh-CN"/>
              </w:rPr>
              <w:t>注：投标文件中提供上述人员相关证书复印件和近三个月由投标人缴纳的社保证明扫描件并加盖投标人公章，证书、社保证明缺一不可，人员证书及社保证明需为投标单位员工，否则不得分。</w:t>
            </w:r>
            <w:r>
              <w:rPr>
                <w:rFonts w:hint="eastAsia" w:ascii="宋体" w:hAnsi="宋体" w:eastAsia="宋体" w:cs="宋体"/>
                <w:b/>
                <w:bCs/>
                <w:i w:val="0"/>
                <w:iCs w:val="0"/>
                <w:color w:val="000000"/>
                <w:kern w:val="0"/>
                <w:sz w:val="21"/>
                <w:szCs w:val="21"/>
                <w:highlight w:val="none"/>
                <w:u w:val="none"/>
                <w:lang w:val="en-US" w:eastAsia="zh-CN" w:bidi="ar"/>
              </w:rPr>
              <w:t>如为联合体投标，联合体任意一方人员具有上述证书均认可。</w:t>
            </w:r>
          </w:p>
        </w:tc>
        <w:tc>
          <w:tcPr>
            <w:tcW w:w="1060" w:type="dxa"/>
            <w:noWrap w:val="0"/>
            <w:vAlign w:val="center"/>
          </w:tcPr>
          <w:p w14:paraId="251A9CE5">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default" w:ascii="宋体" w:hAnsi="宋体" w:eastAsia="宋体" w:cs="宋体"/>
                <w:strike w:val="0"/>
                <w:dstrike w:val="0"/>
                <w:color w:val="auto"/>
                <w:sz w:val="21"/>
                <w:szCs w:val="21"/>
                <w:highlight w:val="none"/>
                <w:lang w:val="en-US" w:eastAsia="zh-CN"/>
              </w:rPr>
            </w:pPr>
            <w:r>
              <w:rPr>
                <w:rFonts w:hint="eastAsia" w:ascii="宋体" w:hAnsi="宋体" w:eastAsia="宋体" w:cs="宋体"/>
                <w:strike w:val="0"/>
                <w:dstrike w:val="0"/>
                <w:color w:val="auto"/>
                <w:sz w:val="21"/>
                <w:szCs w:val="21"/>
                <w:highlight w:val="none"/>
                <w:lang w:val="en-US" w:eastAsia="zh-CN"/>
              </w:rPr>
              <w:t>0-2分</w:t>
            </w:r>
          </w:p>
        </w:tc>
      </w:tr>
      <w:tr w14:paraId="12108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79" w:type="dxa"/>
            <w:noWrap w:val="0"/>
            <w:vAlign w:val="center"/>
          </w:tcPr>
          <w:p w14:paraId="6934002B">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监测设备产品符合度</w:t>
            </w:r>
          </w:p>
        </w:tc>
        <w:tc>
          <w:tcPr>
            <w:tcW w:w="7369" w:type="dxa"/>
            <w:noWrap w:val="0"/>
            <w:vAlign w:val="center"/>
          </w:tcPr>
          <w:p w14:paraId="12D35266">
            <w:pPr>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完全满足招标文件要求的得8分，打“★”为重要指标出现负偏离的每项扣1分；其他指标出现负偏离的每项扣0.5分；扣完为止。</w:t>
            </w:r>
          </w:p>
          <w:p w14:paraId="7A3A45E3">
            <w:pPr>
              <w:pStyle w:val="20"/>
              <w:spacing w:line="360" w:lineRule="auto"/>
              <w:ind w:left="0" w:leftChars="0" w:firstLine="0" w:firstLineChars="0"/>
              <w:rPr>
                <w:rFonts w:hint="default"/>
                <w:sz w:val="21"/>
                <w:szCs w:val="21"/>
                <w:highlight w:val="none"/>
                <w:lang w:val="en-US" w:eastAsia="zh-CN"/>
              </w:rPr>
            </w:pPr>
            <w:r>
              <w:rPr>
                <w:rFonts w:hint="eastAsia" w:ascii="宋体" w:hAnsi="宋体" w:eastAsia="宋体" w:cs="宋体"/>
                <w:b/>
                <w:bCs/>
                <w:color w:val="auto"/>
                <w:kern w:val="2"/>
                <w:sz w:val="21"/>
                <w:szCs w:val="21"/>
                <w:highlight w:val="none"/>
                <w:lang w:val="en-US" w:eastAsia="zh-CN" w:bidi="ar-SA"/>
              </w:rPr>
              <w:t>注：涉及到需提供相关证明材料的内容，需提供相应的证明材料，不提供视为负偏离。</w:t>
            </w:r>
          </w:p>
        </w:tc>
        <w:tc>
          <w:tcPr>
            <w:tcW w:w="1060" w:type="dxa"/>
            <w:noWrap w:val="0"/>
            <w:vAlign w:val="center"/>
          </w:tcPr>
          <w:p w14:paraId="0160812F">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0-8分</w:t>
            </w:r>
          </w:p>
        </w:tc>
      </w:tr>
      <w:tr w14:paraId="15292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79" w:type="dxa"/>
            <w:noWrap w:val="0"/>
            <w:vAlign w:val="center"/>
          </w:tcPr>
          <w:p w14:paraId="7E93B2C9">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对园区现状的认识与理解</w:t>
            </w:r>
          </w:p>
        </w:tc>
        <w:tc>
          <w:tcPr>
            <w:tcW w:w="7369" w:type="dxa"/>
            <w:noWrap w:val="0"/>
            <w:vAlign w:val="center"/>
          </w:tcPr>
          <w:p w14:paraId="71955D7D">
            <w:pPr>
              <w:keepNext w:val="0"/>
              <w:keepLines w:val="0"/>
              <w:widowControl/>
              <w:suppressLineNumbers w:val="0"/>
              <w:spacing w:line="360" w:lineRule="auto"/>
              <w:jc w:val="both"/>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根据投标人对园区环保监管和“多级防控体系”建设的认识和理解内容的符合程度、完整性进行打分。</w:t>
            </w:r>
            <w:r>
              <w:rPr>
                <w:rFonts w:hint="eastAsia" w:ascii="宋体" w:hAnsi="宋体" w:eastAsia="宋体" w:cs="宋体"/>
                <w:i w:val="0"/>
                <w:iCs w:val="0"/>
                <w:color w:val="000000"/>
                <w:kern w:val="0"/>
                <w:sz w:val="21"/>
                <w:szCs w:val="21"/>
                <w:highlight w:val="none"/>
                <w:u w:val="none"/>
                <w:lang w:val="en-US" w:eastAsia="zh-CN" w:bidi="ar"/>
              </w:rPr>
              <w:t>对园区、企业情况及环保管理现状认识清晰，对“多级防控体系”建设理解透彻和分析到位的得4.1-6分；对园区、企业情况及环保管理现状认识不全面、对“多级防控体系”建设理解不够透彻和分析不够深入的得2.1-4分；对园区、企业情况及环保管理现状认识缺失，对“多级防控体系”建设理解和分析缺失的得0.1-2分,未提供不得分。</w:t>
            </w:r>
          </w:p>
        </w:tc>
        <w:tc>
          <w:tcPr>
            <w:tcW w:w="1060" w:type="dxa"/>
            <w:noWrap w:val="0"/>
            <w:vAlign w:val="center"/>
          </w:tcPr>
          <w:p w14:paraId="5209D0F6">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0-6分</w:t>
            </w:r>
          </w:p>
        </w:tc>
      </w:tr>
      <w:tr w14:paraId="54A15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79" w:type="dxa"/>
            <w:noWrap w:val="0"/>
            <w:vAlign w:val="center"/>
          </w:tcPr>
          <w:p w14:paraId="0720F854">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建设方案</w:t>
            </w:r>
          </w:p>
        </w:tc>
        <w:tc>
          <w:tcPr>
            <w:tcW w:w="7369" w:type="dxa"/>
            <w:noWrap w:val="0"/>
            <w:vAlign w:val="center"/>
          </w:tcPr>
          <w:p w14:paraId="49DA2AF8">
            <w:pPr>
              <w:keepNext w:val="0"/>
              <w:keepLines w:val="0"/>
              <w:widowControl/>
              <w:suppressLineNumbers w:val="0"/>
              <w:spacing w:line="360" w:lineRule="auto"/>
              <w:jc w:val="both"/>
              <w:textAlignment w:val="center"/>
              <w:rPr>
                <w:rFonts w:hint="eastAsia" w:ascii="宋体" w:hAnsi="宋体" w:eastAsia="宋体" w:cs="宋体"/>
                <w:kern w:val="2"/>
                <w:sz w:val="21"/>
                <w:szCs w:val="21"/>
                <w:highlight w:val="none"/>
                <w:lang w:val="en-US" w:eastAsia="zh-CN" w:bidi="ar-SA"/>
              </w:rPr>
            </w:pPr>
            <w:r>
              <w:rPr>
                <w:rFonts w:hint="eastAsia" w:ascii="宋体" w:hAnsi="宋体" w:eastAsia="宋体" w:cs="宋体"/>
                <w:i w:val="0"/>
                <w:iCs w:val="0"/>
                <w:color w:val="000000"/>
                <w:kern w:val="0"/>
                <w:sz w:val="21"/>
                <w:szCs w:val="21"/>
                <w:highlight w:val="none"/>
                <w:u w:val="none"/>
                <w:lang w:val="en-US" w:eastAsia="zh-CN" w:bidi="ar"/>
              </w:rPr>
              <w:t>针对投标人结合园区现状提出的“多级防控体系”建设方案，进行打分。方案内容完整，技术路线科学合理，可行性强的，得4.1-6分；方案内容比较完整，技术路线比较科学合理，比较具有可行性的，得2.1-4分；方案内容不完整，技术路线不合理，缺少可行性的，得0.1-2分,未提供不得分。</w:t>
            </w:r>
          </w:p>
        </w:tc>
        <w:tc>
          <w:tcPr>
            <w:tcW w:w="1060" w:type="dxa"/>
            <w:noWrap w:val="0"/>
            <w:vAlign w:val="center"/>
          </w:tcPr>
          <w:p w14:paraId="699357EC">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default"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0-6分</w:t>
            </w:r>
          </w:p>
        </w:tc>
      </w:tr>
      <w:tr w14:paraId="3DF49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79" w:type="dxa"/>
            <w:noWrap w:val="0"/>
            <w:vAlign w:val="center"/>
          </w:tcPr>
          <w:p w14:paraId="6F1817B6">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对接方案</w:t>
            </w:r>
          </w:p>
        </w:tc>
        <w:tc>
          <w:tcPr>
            <w:tcW w:w="7369" w:type="dxa"/>
            <w:noWrap w:val="0"/>
            <w:vAlign w:val="center"/>
          </w:tcPr>
          <w:p w14:paraId="208B9AE7">
            <w:pPr>
              <w:keepNext w:val="0"/>
              <w:keepLines w:val="0"/>
              <w:widowControl/>
              <w:suppressLineNumbers w:val="0"/>
              <w:spacing w:line="360" w:lineRule="auto"/>
              <w:jc w:val="both"/>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根据需要，本项目相关数据需与园区环保管理系统衔接，投标人结合园区现状及多级防控建设要求提出数据对接方案，进行打分。方案内容完整，技术路线科学合理，可行性强，与现有环保管理体系衔接性好的，得4.1-6分；方案内容比较完整，技术路线比较科学合理，比较具有可行性，与现有环保管理体系具有一定衔接性的，得2.1-4分；方案内容不完整，技术路线不合理，缺少可行性的，与现有环保管理体系缺少衔接性的，得0.1-2分，未提供不得分。</w:t>
            </w:r>
          </w:p>
        </w:tc>
        <w:tc>
          <w:tcPr>
            <w:tcW w:w="1060" w:type="dxa"/>
            <w:noWrap w:val="0"/>
            <w:vAlign w:val="center"/>
          </w:tcPr>
          <w:p w14:paraId="49A06C58">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default"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0-6分</w:t>
            </w:r>
          </w:p>
        </w:tc>
      </w:tr>
      <w:tr w14:paraId="1CEAF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79" w:type="dxa"/>
            <w:noWrap w:val="0"/>
            <w:vAlign w:val="center"/>
          </w:tcPr>
          <w:p w14:paraId="7F7BA9E6">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项目实施方案</w:t>
            </w:r>
          </w:p>
        </w:tc>
        <w:tc>
          <w:tcPr>
            <w:tcW w:w="7369" w:type="dxa"/>
            <w:noWrap w:val="0"/>
            <w:vAlign w:val="center"/>
          </w:tcPr>
          <w:p w14:paraId="4B8BA58C">
            <w:pPr>
              <w:keepNext w:val="0"/>
              <w:keepLines w:val="0"/>
              <w:widowControl/>
              <w:suppressLineNumbers w:val="0"/>
              <w:spacing w:line="360" w:lineRule="auto"/>
              <w:jc w:val="both"/>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针对投标人提供的项目进度安排、项目质量保障方案的合理性、科学性、可行性，进行打分。进度计划安排科学合理，时间节点清晰，质量保障措施可操作性强的，得4.1-5分；进度计划安排较科学合理，时间节点较清晰，质量保障措施可操作性较强的，得2.1-4分；进度计划安排科学合理性、时间节点清晰性一般，质量保障措施可操作性一般的，得0.1-2分,未提供不得分。</w:t>
            </w:r>
          </w:p>
        </w:tc>
        <w:tc>
          <w:tcPr>
            <w:tcW w:w="1060" w:type="dxa"/>
            <w:noWrap w:val="0"/>
            <w:vAlign w:val="center"/>
          </w:tcPr>
          <w:p w14:paraId="01612F77">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default"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0-5分</w:t>
            </w:r>
          </w:p>
        </w:tc>
      </w:tr>
      <w:tr w14:paraId="52E9B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79" w:type="dxa"/>
            <w:noWrap w:val="0"/>
            <w:vAlign w:val="center"/>
          </w:tcPr>
          <w:p w14:paraId="57CE6C14">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运维服务方案</w:t>
            </w:r>
          </w:p>
        </w:tc>
        <w:tc>
          <w:tcPr>
            <w:tcW w:w="7369" w:type="dxa"/>
            <w:noWrap w:val="0"/>
            <w:vAlign w:val="center"/>
          </w:tcPr>
          <w:p w14:paraId="7ABA0B33">
            <w:pPr>
              <w:keepNext w:val="0"/>
              <w:keepLines w:val="0"/>
              <w:widowControl/>
              <w:suppressLineNumbers w:val="0"/>
              <w:spacing w:line="360" w:lineRule="auto"/>
              <w:jc w:val="both"/>
              <w:textAlignment w:val="center"/>
              <w:rPr>
                <w:rFonts w:hint="default"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运维服务方案包括服务内容、服务标准、故障响应修复时间方式及保障措施等，由专家进行横向比较综合评审。运维方案完整、合理、具有针对性及可行性的得2.1-3；运维方案缺少可行性，且内容不完整的得0.1-2；未提供不得分。</w:t>
            </w:r>
          </w:p>
        </w:tc>
        <w:tc>
          <w:tcPr>
            <w:tcW w:w="1060" w:type="dxa"/>
            <w:noWrap w:val="0"/>
            <w:vAlign w:val="center"/>
          </w:tcPr>
          <w:p w14:paraId="2529ABF9">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default"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0-3分</w:t>
            </w:r>
          </w:p>
        </w:tc>
      </w:tr>
      <w:tr w14:paraId="45178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79" w:type="dxa"/>
            <w:noWrap w:val="0"/>
            <w:vAlign w:val="center"/>
          </w:tcPr>
          <w:p w14:paraId="7CCB83BA">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售后服务方案</w:t>
            </w:r>
          </w:p>
        </w:tc>
        <w:tc>
          <w:tcPr>
            <w:tcW w:w="7369" w:type="dxa"/>
            <w:noWrap w:val="0"/>
            <w:vAlign w:val="center"/>
          </w:tcPr>
          <w:p w14:paraId="47B6D7F9">
            <w:pPr>
              <w:keepNext w:val="0"/>
              <w:keepLines w:val="0"/>
              <w:widowControl/>
              <w:suppressLineNumbers w:val="0"/>
              <w:spacing w:line="360" w:lineRule="auto"/>
              <w:jc w:val="both"/>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根据投标人提供的售后服务方案（包括售后服务内容、售后服务范围、服务标准、售后技术力量配备等），由专家进行横向比较综合评审。方案完整、合理、具有针对性及可行性的得2.1-3；方案缺少可行性，且内容不完整的得0.1-2；未提供不得分。</w:t>
            </w:r>
          </w:p>
        </w:tc>
        <w:tc>
          <w:tcPr>
            <w:tcW w:w="1060" w:type="dxa"/>
            <w:noWrap w:val="0"/>
            <w:vAlign w:val="center"/>
          </w:tcPr>
          <w:p w14:paraId="6E6D84A1">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default"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0-3分</w:t>
            </w:r>
          </w:p>
        </w:tc>
      </w:tr>
      <w:tr w14:paraId="5697EA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79" w:type="dxa"/>
            <w:noWrap w:val="0"/>
            <w:vAlign w:val="center"/>
          </w:tcPr>
          <w:p w14:paraId="6302ADDE">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体系功能演示</w:t>
            </w:r>
          </w:p>
        </w:tc>
        <w:tc>
          <w:tcPr>
            <w:tcW w:w="7369" w:type="dxa"/>
            <w:noWrap w:val="0"/>
            <w:vAlign w:val="center"/>
          </w:tcPr>
          <w:p w14:paraId="21352514">
            <w:pPr>
              <w:keepNext w:val="0"/>
              <w:keepLines w:val="0"/>
              <w:widowControl/>
              <w:suppressLineNumbers w:val="0"/>
              <w:spacing w:line="360" w:lineRule="auto"/>
              <w:jc w:val="both"/>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评委对投标人提供的体系功能演示进行评议：</w:t>
            </w:r>
          </w:p>
          <w:p w14:paraId="31C8F922">
            <w:pPr>
              <w:keepNext w:val="0"/>
              <w:keepLines w:val="0"/>
              <w:widowControl/>
              <w:suppressLineNumbers w:val="0"/>
              <w:spacing w:line="360" w:lineRule="auto"/>
              <w:jc w:val="both"/>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演示视频应稳定、清晰，以整体不间断拍摄视频存储于U盘中，每个投标人的讲解视频时间总长不得多于10分钟。以U盘为媒界单独密封并在开标截止时间前邮寄至</w:t>
            </w:r>
            <w:r>
              <w:rPr>
                <w:rFonts w:hint="eastAsia" w:ascii="宋体" w:hAnsi="宋体" w:cs="宋体"/>
                <w:i w:val="0"/>
                <w:iCs w:val="0"/>
                <w:color w:val="000000"/>
                <w:kern w:val="0"/>
                <w:sz w:val="21"/>
                <w:szCs w:val="21"/>
                <w:highlight w:val="none"/>
                <w:u w:val="none"/>
                <w:lang w:val="en-US" w:eastAsia="zh-CN" w:bidi="ar"/>
              </w:rPr>
              <w:t>指定地点（浙江省新昌县七星街道文锦东苑体育场路98号）</w:t>
            </w:r>
            <w:r>
              <w:rPr>
                <w:rFonts w:hint="eastAsia" w:ascii="宋体" w:hAnsi="宋体" w:eastAsia="宋体" w:cs="宋体"/>
                <w:i w:val="0"/>
                <w:iCs w:val="0"/>
                <w:color w:val="000000"/>
                <w:kern w:val="0"/>
                <w:sz w:val="21"/>
                <w:szCs w:val="21"/>
                <w:highlight w:val="none"/>
                <w:u w:val="none"/>
                <w:lang w:val="en-US" w:eastAsia="zh-CN" w:bidi="ar"/>
              </w:rPr>
              <w:t>，以签收时间为准，逾期送达不予接收，投标人应当确保U盘能够打开运行并正式使用，超过演示时间或未按规定递交的，采用PPT、word文档、讲义等其他形式演示的该项不得分，演示下列功能：</w:t>
            </w:r>
            <w:r>
              <w:rPr>
                <w:rFonts w:hint="eastAsia" w:ascii="宋体" w:hAnsi="宋体" w:eastAsia="宋体" w:cs="宋体"/>
                <w:i w:val="0"/>
                <w:iCs w:val="0"/>
                <w:color w:val="000000"/>
                <w:kern w:val="0"/>
                <w:sz w:val="21"/>
                <w:szCs w:val="21"/>
                <w:highlight w:val="none"/>
                <w:u w:val="none"/>
                <w:lang w:val="en-US" w:eastAsia="zh-CN" w:bidi="ar"/>
              </w:rPr>
              <w:br w:type="textWrapping"/>
            </w:r>
            <w:r>
              <w:rPr>
                <w:rFonts w:hint="eastAsia" w:ascii="宋体" w:hAnsi="宋体" w:eastAsia="宋体" w:cs="宋体"/>
                <w:i w:val="0"/>
                <w:iCs w:val="0"/>
                <w:color w:val="000000"/>
                <w:kern w:val="0"/>
                <w:sz w:val="21"/>
                <w:szCs w:val="21"/>
                <w:highlight w:val="none"/>
                <w:u w:val="none"/>
                <w:lang w:val="en-US" w:eastAsia="zh-CN" w:bidi="ar"/>
              </w:rPr>
              <w:t>1、应急指挥驾驶舱：结合地图对园区内风险源、应急物资、应急空间与设施等要素进行可视化管理，并支持查看具体信息；可在地图上查看园区各类监测监控设备分布位置和信息，点击可以查看监测设备的监测数据变化趋势；制定防控应急预案，当出现突发水污染事故时，平台可通过预先设定的预案场景给出引导性操作，指导用户逐步开展风险应对措施；（0-4分）</w:t>
            </w:r>
            <w:r>
              <w:rPr>
                <w:rFonts w:hint="eastAsia" w:ascii="宋体" w:hAnsi="宋体" w:eastAsia="宋体" w:cs="宋体"/>
                <w:i w:val="0"/>
                <w:iCs w:val="0"/>
                <w:color w:val="000000"/>
                <w:kern w:val="0"/>
                <w:sz w:val="21"/>
                <w:szCs w:val="21"/>
                <w:highlight w:val="none"/>
                <w:u w:val="none"/>
                <w:lang w:val="en-US" w:eastAsia="zh-CN" w:bidi="ar"/>
              </w:rPr>
              <w:br w:type="textWrapping"/>
            </w:r>
            <w:r>
              <w:rPr>
                <w:rFonts w:hint="eastAsia" w:ascii="宋体" w:hAnsi="宋体" w:eastAsia="宋体" w:cs="宋体"/>
                <w:i w:val="0"/>
                <w:iCs w:val="0"/>
                <w:color w:val="000000"/>
                <w:kern w:val="0"/>
                <w:sz w:val="21"/>
                <w:szCs w:val="21"/>
                <w:highlight w:val="none"/>
                <w:u w:val="none"/>
                <w:lang w:val="en-US" w:eastAsia="zh-CN" w:bidi="ar"/>
              </w:rPr>
              <w:t>2、空间与设施基础信息管理：对园区及流域周边用于拦截、引流、存储污染物的环境应急空间与设施信息，实现档案化管理；（0-3分）</w:t>
            </w:r>
            <w:r>
              <w:rPr>
                <w:rFonts w:hint="eastAsia" w:ascii="宋体" w:hAnsi="宋体" w:eastAsia="宋体" w:cs="宋体"/>
                <w:i w:val="0"/>
                <w:iCs w:val="0"/>
                <w:color w:val="000000"/>
                <w:kern w:val="0"/>
                <w:sz w:val="21"/>
                <w:szCs w:val="21"/>
                <w:highlight w:val="none"/>
                <w:u w:val="none"/>
                <w:lang w:val="en-US" w:eastAsia="zh-CN" w:bidi="ar"/>
              </w:rPr>
              <w:br w:type="textWrapping"/>
            </w:r>
            <w:r>
              <w:rPr>
                <w:rFonts w:hint="eastAsia" w:ascii="宋体" w:hAnsi="宋体" w:eastAsia="宋体" w:cs="宋体"/>
                <w:i w:val="0"/>
                <w:iCs w:val="0"/>
                <w:color w:val="000000"/>
                <w:kern w:val="0"/>
                <w:sz w:val="21"/>
                <w:szCs w:val="21"/>
                <w:highlight w:val="none"/>
                <w:u w:val="none"/>
                <w:lang w:val="en-US" w:eastAsia="zh-CN" w:bidi="ar"/>
              </w:rPr>
              <w:t>3、应急物资信息管理：对园区应急物资进行分级分类管理；（0-2分）</w:t>
            </w:r>
            <w:r>
              <w:rPr>
                <w:rFonts w:hint="eastAsia" w:ascii="宋体" w:hAnsi="宋体" w:eastAsia="宋体" w:cs="宋体"/>
                <w:i w:val="0"/>
                <w:iCs w:val="0"/>
                <w:color w:val="000000"/>
                <w:kern w:val="0"/>
                <w:sz w:val="21"/>
                <w:szCs w:val="21"/>
                <w:highlight w:val="none"/>
                <w:u w:val="none"/>
                <w:lang w:val="en-US" w:eastAsia="zh-CN" w:bidi="ar"/>
              </w:rPr>
              <w:br w:type="textWrapping"/>
            </w:r>
            <w:r>
              <w:rPr>
                <w:rFonts w:hint="eastAsia" w:ascii="宋体" w:hAnsi="宋体" w:eastAsia="宋体" w:cs="宋体"/>
                <w:i w:val="0"/>
                <w:iCs w:val="0"/>
                <w:color w:val="000000"/>
                <w:kern w:val="0"/>
                <w:sz w:val="21"/>
                <w:szCs w:val="21"/>
                <w:highlight w:val="none"/>
                <w:u w:val="none"/>
                <w:lang w:val="en-US" w:eastAsia="zh-CN" w:bidi="ar"/>
              </w:rPr>
              <w:t>4、分级防控管理：对企业雨排口、排水管网、园区公共雨排口、河道等各类监测监控设施设备实现在线监管，能够对闸阀实现远程控制。支持告警规则设置，实现突发水污染异常告警，整合污水零直排告警事件和多级防控告警事件，建立多部门协同处置流程。（0-4分）</w:t>
            </w:r>
          </w:p>
        </w:tc>
        <w:tc>
          <w:tcPr>
            <w:tcW w:w="1060" w:type="dxa"/>
            <w:noWrap w:val="0"/>
            <w:vAlign w:val="center"/>
          </w:tcPr>
          <w:p w14:paraId="48FF504D">
            <w:pPr>
              <w:keepNext w:val="0"/>
              <w:keepLines w:val="0"/>
              <w:pageBreakBefore w:val="0"/>
              <w:widowControl/>
              <w:kinsoku/>
              <w:wordWrap/>
              <w:overflowPunct/>
              <w:topLinePunct w:val="0"/>
              <w:autoSpaceDE/>
              <w:autoSpaceDN/>
              <w:bidi w:val="0"/>
              <w:adjustRightInd/>
              <w:snapToGrid w:val="0"/>
              <w:spacing w:line="360" w:lineRule="auto"/>
              <w:jc w:val="center"/>
              <w:textAlignment w:val="auto"/>
              <w:rPr>
                <w:rFonts w:hint="default"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0-13分</w:t>
            </w:r>
          </w:p>
        </w:tc>
      </w:tr>
    </w:tbl>
    <w:p w14:paraId="5AE49810">
      <w:pPr>
        <w:keepNext w:val="0"/>
        <w:keepLines w:val="0"/>
        <w:pageBreakBefore w:val="0"/>
        <w:widowControl w:val="0"/>
        <w:kinsoku/>
        <w:wordWrap/>
        <w:overflowPunct/>
        <w:topLinePunct w:val="0"/>
        <w:autoSpaceDE w:val="0"/>
        <w:autoSpaceDN/>
        <w:bidi w:val="0"/>
        <w:adjustRightInd/>
        <w:snapToGrid w:val="0"/>
        <w:spacing w:before="95" w:beforeLines="30" w:line="360" w:lineRule="auto"/>
        <w:ind w:firstLine="422" w:firstLineChars="200"/>
        <w:textAlignment w:val="auto"/>
        <w:rPr>
          <w:rFonts w:ascii="宋体" w:hAnsi="宋体"/>
          <w:b/>
          <w:bCs/>
          <w:highlight w:val="none"/>
        </w:rPr>
      </w:pPr>
      <w:r>
        <w:rPr>
          <w:rFonts w:hint="eastAsia" w:ascii="宋体" w:hAnsi="宋体"/>
          <w:b/>
          <w:bCs/>
          <w:highlight w:val="none"/>
        </w:rPr>
        <w:t>注：证明材料提供扫描件或</w:t>
      </w:r>
      <w:r>
        <w:rPr>
          <w:rFonts w:hint="eastAsia" w:ascii="宋体" w:hAnsi="宋体"/>
          <w:b/>
          <w:bCs/>
          <w:highlight w:val="none"/>
          <w:lang w:val="en-US" w:eastAsia="zh-CN"/>
        </w:rPr>
        <w:t>复印件</w:t>
      </w:r>
      <w:r>
        <w:rPr>
          <w:rFonts w:hint="eastAsia" w:ascii="宋体" w:hAnsi="宋体"/>
          <w:b/>
          <w:bCs/>
          <w:highlight w:val="none"/>
        </w:rPr>
        <w:t>并加盖公章，未提供的不得分。</w:t>
      </w:r>
    </w:p>
    <w:p w14:paraId="35492354">
      <w:pPr>
        <w:autoSpaceDE w:val="0"/>
        <w:snapToGrid w:val="0"/>
        <w:spacing w:line="360" w:lineRule="auto"/>
        <w:ind w:firstLine="422" w:firstLineChars="200"/>
        <w:rPr>
          <w:rFonts w:ascii="宋体" w:hAnsi="宋体"/>
          <w:b/>
          <w:bCs/>
          <w:highlight w:val="none"/>
        </w:rPr>
      </w:pPr>
      <w:r>
        <w:rPr>
          <w:rFonts w:hint="eastAsia" w:ascii="宋体" w:hAnsi="宋体"/>
          <w:b/>
          <w:bCs/>
          <w:highlight w:val="none"/>
        </w:rPr>
        <w:t>5.2投标人报价满分为</w:t>
      </w:r>
      <w:r>
        <w:rPr>
          <w:rFonts w:hint="eastAsia" w:ascii="宋体" w:hAnsi="宋体"/>
          <w:b/>
          <w:bCs/>
          <w:highlight w:val="none"/>
          <w:lang w:val="en-US" w:eastAsia="zh-CN"/>
        </w:rPr>
        <w:t>30</w:t>
      </w:r>
      <w:r>
        <w:rPr>
          <w:rFonts w:hint="eastAsia" w:ascii="宋体" w:hAnsi="宋体"/>
          <w:b/>
          <w:bCs/>
          <w:highlight w:val="none"/>
        </w:rPr>
        <w:t>分，由评标委员会根据以下内容统一计算打分：</w:t>
      </w:r>
    </w:p>
    <w:p w14:paraId="4AC1FCF2">
      <w:pPr>
        <w:autoSpaceDE w:val="0"/>
        <w:snapToGrid w:val="0"/>
        <w:spacing w:line="360" w:lineRule="auto"/>
        <w:ind w:firstLine="420" w:firstLineChars="200"/>
        <w:rPr>
          <w:rFonts w:ascii="宋体" w:hAnsi="宋体"/>
          <w:highlight w:val="none"/>
        </w:rPr>
      </w:pPr>
      <w:r>
        <w:rPr>
          <w:rFonts w:hint="eastAsia" w:ascii="宋体" w:hAnsi="宋体"/>
          <w:highlight w:val="none"/>
        </w:rPr>
        <w:t>5.2.1 报价评分应在投标报价范围口径一致的评定价基础上进行。属招标文件不清楚引起的报价内容和口径不一致的，则按有关规定统一调整投标报价内容和口径，计算出投标人的最终评定价。属投标人失误造成的报价差错和遗漏，不得调整。</w:t>
      </w:r>
    </w:p>
    <w:p w14:paraId="66A753EC">
      <w:pPr>
        <w:autoSpaceDE w:val="0"/>
        <w:snapToGrid w:val="0"/>
        <w:spacing w:line="360" w:lineRule="auto"/>
        <w:ind w:firstLine="420" w:firstLineChars="200"/>
        <w:rPr>
          <w:rFonts w:ascii="宋体" w:hAnsi="宋体"/>
          <w:highlight w:val="none"/>
        </w:rPr>
      </w:pPr>
      <w:r>
        <w:rPr>
          <w:rFonts w:hint="eastAsia" w:ascii="宋体" w:hAnsi="宋体"/>
          <w:highlight w:val="none"/>
        </w:rPr>
        <w:t>5.2.2 最终报价高于最高限价的投标人不进入报价评分。</w:t>
      </w:r>
    </w:p>
    <w:p w14:paraId="2B31D000">
      <w:pPr>
        <w:autoSpaceDE w:val="0"/>
        <w:snapToGrid w:val="0"/>
        <w:spacing w:line="360" w:lineRule="auto"/>
        <w:ind w:firstLine="420" w:firstLineChars="200"/>
        <w:rPr>
          <w:rFonts w:ascii="宋体" w:hAnsi="宋体"/>
          <w:highlight w:val="none"/>
        </w:rPr>
      </w:pPr>
      <w:r>
        <w:rPr>
          <w:rFonts w:hint="eastAsia" w:ascii="宋体" w:hAnsi="宋体"/>
          <w:highlight w:val="none"/>
        </w:rPr>
        <w:t>5.2.3最终报价有漏项的或报价数量少于招标文件要求数量的，其报价无效。</w:t>
      </w:r>
    </w:p>
    <w:p w14:paraId="694E500E">
      <w:pPr>
        <w:autoSpaceDE w:val="0"/>
        <w:snapToGrid w:val="0"/>
        <w:spacing w:line="360" w:lineRule="auto"/>
        <w:ind w:firstLine="420" w:firstLineChars="200"/>
        <w:rPr>
          <w:rFonts w:ascii="宋体" w:hAnsi="宋体"/>
          <w:highlight w:val="none"/>
        </w:rPr>
      </w:pPr>
      <w:r>
        <w:rPr>
          <w:rFonts w:hint="eastAsia" w:ascii="宋体" w:hAnsi="宋体"/>
          <w:highlight w:val="none"/>
        </w:rPr>
        <w:t>如最终报价有增项的或报价数量多于招标文件要求数量的，不对其价格进行修正。若该投标人成交的，将按其承诺的有利于采购人的增项和数量进行供货，风险由成交人自行承担。</w:t>
      </w:r>
    </w:p>
    <w:p w14:paraId="7123B7FB">
      <w:pPr>
        <w:autoSpaceDE w:val="0"/>
        <w:snapToGrid w:val="0"/>
        <w:spacing w:line="360" w:lineRule="auto"/>
        <w:ind w:firstLine="422" w:firstLineChars="200"/>
        <w:rPr>
          <w:rFonts w:ascii="宋体" w:hAnsi="宋体"/>
          <w:b/>
          <w:bCs/>
          <w:highlight w:val="none"/>
        </w:rPr>
      </w:pPr>
      <w:r>
        <w:rPr>
          <w:rFonts w:hint="eastAsia" w:ascii="宋体" w:hAnsi="宋体"/>
          <w:b/>
          <w:bCs/>
          <w:highlight w:val="none"/>
        </w:rPr>
        <w:t>5.2.4报价得分计算：</w:t>
      </w:r>
    </w:p>
    <w:p w14:paraId="7D0CFE9D">
      <w:pPr>
        <w:autoSpaceDE w:val="0"/>
        <w:snapToGrid w:val="0"/>
        <w:spacing w:line="360" w:lineRule="auto"/>
        <w:ind w:firstLine="420" w:firstLineChars="200"/>
        <w:rPr>
          <w:rFonts w:ascii="宋体" w:hAnsi="宋体"/>
          <w:highlight w:val="none"/>
        </w:rPr>
      </w:pPr>
      <w:r>
        <w:rPr>
          <w:rFonts w:hint="eastAsia" w:ascii="宋体" w:hAnsi="宋体"/>
          <w:highlight w:val="none"/>
        </w:rPr>
        <w:t>（1）评标基准价=进入报价评分的有效投标报价中的最低报价；</w:t>
      </w:r>
    </w:p>
    <w:p w14:paraId="05DAD588">
      <w:pPr>
        <w:autoSpaceDE w:val="0"/>
        <w:snapToGrid w:val="0"/>
        <w:spacing w:line="360" w:lineRule="auto"/>
        <w:ind w:firstLine="420" w:firstLineChars="200"/>
        <w:rPr>
          <w:rFonts w:ascii="宋体" w:hAnsi="宋体"/>
          <w:highlight w:val="none"/>
        </w:rPr>
      </w:pPr>
      <w:r>
        <w:rPr>
          <w:rFonts w:hint="eastAsia" w:ascii="宋体" w:hAnsi="宋体"/>
          <w:highlight w:val="none"/>
        </w:rPr>
        <w:t>（2）投标报价等于评标基准价的得</w:t>
      </w:r>
      <w:r>
        <w:rPr>
          <w:rFonts w:hint="eastAsia" w:ascii="宋体" w:hAnsi="宋体"/>
          <w:highlight w:val="none"/>
          <w:lang w:val="en-US" w:eastAsia="zh-CN"/>
        </w:rPr>
        <w:t>30</w:t>
      </w:r>
      <w:r>
        <w:rPr>
          <w:rFonts w:hint="eastAsia" w:ascii="宋体" w:hAnsi="宋体"/>
          <w:highlight w:val="none"/>
        </w:rPr>
        <w:t>分，其他投标人的报价得分按下列公式计算：</w:t>
      </w:r>
    </w:p>
    <w:p w14:paraId="2171708D">
      <w:pPr>
        <w:autoSpaceDE w:val="0"/>
        <w:snapToGrid w:val="0"/>
        <w:spacing w:line="360" w:lineRule="auto"/>
        <w:ind w:firstLine="420" w:firstLineChars="200"/>
        <w:rPr>
          <w:rFonts w:ascii="宋体" w:hAnsi="宋体"/>
          <w:highlight w:val="none"/>
        </w:rPr>
      </w:pPr>
      <w:r>
        <w:rPr>
          <w:rFonts w:hint="eastAsia" w:ascii="宋体" w:hAnsi="宋体"/>
          <w:highlight w:val="none"/>
        </w:rPr>
        <w:t>投标报价得分=（评定基准价/投标报价）×</w:t>
      </w:r>
      <w:r>
        <w:rPr>
          <w:rFonts w:hint="eastAsia" w:ascii="宋体" w:hAnsi="宋体"/>
          <w:highlight w:val="none"/>
          <w:lang w:val="en-US" w:eastAsia="zh-CN"/>
        </w:rPr>
        <w:t>30%</w:t>
      </w:r>
      <w:r>
        <w:rPr>
          <w:rFonts w:hint="eastAsia" w:ascii="宋体" w:hAnsi="宋体"/>
          <w:highlight w:val="none"/>
        </w:rPr>
        <w:t>×</w:t>
      </w:r>
      <w:r>
        <w:rPr>
          <w:rFonts w:hint="eastAsia" w:ascii="宋体" w:hAnsi="宋体"/>
          <w:highlight w:val="none"/>
          <w:lang w:val="en-US" w:eastAsia="zh-CN"/>
        </w:rPr>
        <w:t>100</w:t>
      </w:r>
      <w:r>
        <w:rPr>
          <w:rFonts w:hint="eastAsia" w:ascii="宋体" w:hAnsi="宋体"/>
          <w:highlight w:val="none"/>
        </w:rPr>
        <w:t>。</w:t>
      </w:r>
    </w:p>
    <w:p w14:paraId="4600D75F">
      <w:pPr>
        <w:autoSpaceDE w:val="0"/>
        <w:snapToGrid w:val="0"/>
        <w:spacing w:line="360" w:lineRule="auto"/>
        <w:ind w:firstLine="422" w:firstLineChars="200"/>
        <w:rPr>
          <w:rFonts w:ascii="宋体" w:hAnsi="宋体"/>
          <w:b/>
          <w:bCs/>
          <w:highlight w:val="none"/>
        </w:rPr>
      </w:pPr>
      <w:r>
        <w:rPr>
          <w:rFonts w:hint="eastAsia" w:ascii="宋体" w:hAnsi="宋体"/>
          <w:b/>
          <w:bCs/>
          <w:highlight w:val="none"/>
        </w:rPr>
        <w:t>5.3 本项目最终得分=商务技术得分＋报价得分；</w:t>
      </w:r>
    </w:p>
    <w:p w14:paraId="5C594822">
      <w:pPr>
        <w:autoSpaceDE w:val="0"/>
        <w:snapToGrid w:val="0"/>
        <w:spacing w:line="360" w:lineRule="auto"/>
        <w:ind w:firstLine="420" w:firstLineChars="200"/>
        <w:rPr>
          <w:rFonts w:ascii="宋体" w:hAnsi="宋体"/>
          <w:highlight w:val="none"/>
        </w:rPr>
      </w:pPr>
      <w:r>
        <w:rPr>
          <w:rFonts w:hint="eastAsia" w:ascii="宋体" w:hAnsi="宋体"/>
          <w:highlight w:val="none"/>
        </w:rPr>
        <w:t>5.4 评分时保留小数2位，计算评分值时保留小数2位，小数点采用四舍五入方法。</w:t>
      </w:r>
    </w:p>
    <w:p w14:paraId="12024517">
      <w:pPr>
        <w:keepNext/>
        <w:autoSpaceDE w:val="0"/>
        <w:snapToGrid w:val="0"/>
        <w:spacing w:line="360" w:lineRule="auto"/>
        <w:outlineLvl w:val="2"/>
        <w:rPr>
          <w:rFonts w:ascii="宋体" w:hAnsi="宋体" w:cs="宋体"/>
          <w:b/>
          <w:bCs/>
          <w:highlight w:val="none"/>
        </w:rPr>
      </w:pPr>
      <w:r>
        <w:rPr>
          <w:rFonts w:hint="eastAsia" w:ascii="宋体" w:hAnsi="宋体" w:cs="宋体"/>
          <w:b/>
          <w:bCs/>
          <w:highlight w:val="none"/>
        </w:rPr>
        <w:t>六  评审纪律和要求</w:t>
      </w:r>
    </w:p>
    <w:p w14:paraId="01314E88">
      <w:pPr>
        <w:autoSpaceDE w:val="0"/>
        <w:snapToGrid w:val="0"/>
        <w:spacing w:line="360" w:lineRule="auto"/>
        <w:ind w:firstLine="420" w:firstLineChars="200"/>
        <w:rPr>
          <w:rFonts w:ascii="宋体" w:hAnsi="宋体"/>
          <w:highlight w:val="none"/>
        </w:rPr>
      </w:pPr>
      <w:r>
        <w:rPr>
          <w:rFonts w:hint="eastAsia" w:ascii="宋体" w:hAnsi="宋体"/>
          <w:highlight w:val="none"/>
        </w:rPr>
        <w:t>6.1 评审专家必须公平、公正评审，遵纪守法，客观、廉洁地履行职责。</w:t>
      </w:r>
    </w:p>
    <w:p w14:paraId="22455108">
      <w:pPr>
        <w:autoSpaceDE w:val="0"/>
        <w:snapToGrid w:val="0"/>
        <w:spacing w:line="360" w:lineRule="auto"/>
        <w:ind w:firstLine="420" w:firstLineChars="200"/>
        <w:rPr>
          <w:rFonts w:ascii="宋体" w:hAnsi="宋体"/>
          <w:highlight w:val="none"/>
        </w:rPr>
      </w:pPr>
      <w:r>
        <w:rPr>
          <w:rFonts w:hint="eastAsia" w:ascii="宋体" w:hAnsi="宋体"/>
          <w:highlight w:val="none"/>
        </w:rPr>
        <w:t>6.2 评审专家在评审开始前，应关闭并上交随身携带的各种通信工具。</w:t>
      </w:r>
    </w:p>
    <w:p w14:paraId="71495173">
      <w:pPr>
        <w:autoSpaceDE w:val="0"/>
        <w:snapToGrid w:val="0"/>
        <w:spacing w:line="360" w:lineRule="auto"/>
        <w:ind w:firstLine="420" w:firstLineChars="200"/>
        <w:rPr>
          <w:rFonts w:ascii="宋体" w:hAnsi="宋体"/>
          <w:highlight w:val="none"/>
        </w:rPr>
      </w:pPr>
      <w:r>
        <w:rPr>
          <w:rFonts w:hint="eastAsia" w:ascii="宋体" w:hAnsi="宋体"/>
          <w:highlight w:val="none"/>
        </w:rPr>
        <w:t>6.3 评审专家在评审过程中，未经许可不得中途离开评审现场，不得迟到早退。</w:t>
      </w:r>
    </w:p>
    <w:p w14:paraId="3F7B46E1">
      <w:pPr>
        <w:autoSpaceDE w:val="0"/>
        <w:snapToGrid w:val="0"/>
        <w:spacing w:line="360" w:lineRule="auto"/>
        <w:ind w:firstLine="420" w:firstLineChars="200"/>
        <w:rPr>
          <w:rFonts w:ascii="宋体" w:hAnsi="宋体"/>
          <w:highlight w:val="none"/>
        </w:rPr>
      </w:pPr>
      <w:r>
        <w:rPr>
          <w:rFonts w:hint="eastAsia" w:ascii="宋体" w:hAnsi="宋体"/>
          <w:highlight w:val="none"/>
        </w:rPr>
        <w:t>6.4 评审专家和工作人员不得透露评审过程中的讨论情况和评审结果。</w:t>
      </w:r>
    </w:p>
    <w:p w14:paraId="08FE5179">
      <w:pPr>
        <w:autoSpaceDE w:val="0"/>
        <w:snapToGrid w:val="0"/>
        <w:spacing w:line="360" w:lineRule="auto"/>
        <w:ind w:firstLine="480"/>
        <w:rPr>
          <w:rFonts w:ascii="宋体" w:hAnsi="宋体"/>
          <w:highlight w:val="none"/>
        </w:rPr>
      </w:pPr>
      <w:r>
        <w:rPr>
          <w:rFonts w:hint="eastAsia" w:ascii="宋体" w:hAnsi="宋体"/>
          <w:highlight w:val="none"/>
        </w:rPr>
        <w:t>6.5 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14:paraId="32572A44">
      <w:pPr>
        <w:autoSpaceDE w:val="0"/>
        <w:snapToGrid w:val="0"/>
        <w:spacing w:line="360" w:lineRule="auto"/>
        <w:ind w:firstLine="420" w:firstLineChars="200"/>
        <w:rPr>
          <w:rFonts w:ascii="宋体" w:hAnsi="宋体"/>
          <w:highlight w:val="none"/>
        </w:rPr>
      </w:pPr>
      <w:r>
        <w:rPr>
          <w:rFonts w:hint="eastAsia" w:ascii="宋体" w:hAnsi="宋体"/>
          <w:highlight w:val="none"/>
        </w:rPr>
        <w:t>6.6 采购人、采购代理机构不得向评标委员会的评审专家作倾向性、误导性的解释或者说明。</w:t>
      </w:r>
    </w:p>
    <w:p w14:paraId="22E8DA64">
      <w:pPr>
        <w:autoSpaceDE w:val="0"/>
        <w:snapToGrid w:val="0"/>
        <w:spacing w:line="360" w:lineRule="auto"/>
        <w:ind w:firstLine="420" w:firstLineChars="200"/>
        <w:rPr>
          <w:rFonts w:ascii="宋体" w:hAnsi="宋体"/>
          <w:highlight w:val="none"/>
        </w:rPr>
      </w:pPr>
      <w:r>
        <w:rPr>
          <w:rFonts w:hint="eastAsia" w:ascii="宋体" w:hAnsi="宋体"/>
          <w:highlight w:val="none"/>
        </w:rPr>
        <w:t>6.7 采购代理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提醒相关评审专家进行复核或书面说明理由。</w:t>
      </w:r>
    </w:p>
    <w:p w14:paraId="1DBA9E0B">
      <w:pPr>
        <w:autoSpaceDE w:val="0"/>
        <w:snapToGrid w:val="0"/>
        <w:spacing w:line="360" w:lineRule="auto"/>
        <w:ind w:firstLine="420" w:firstLineChars="200"/>
        <w:rPr>
          <w:rFonts w:ascii="宋体" w:hAnsi="宋体"/>
          <w:highlight w:val="none"/>
        </w:rPr>
      </w:pPr>
      <w:r>
        <w:rPr>
          <w:rFonts w:hint="eastAsia" w:ascii="宋体" w:hAnsi="宋体"/>
          <w:highlight w:val="none"/>
        </w:rPr>
        <w:t>6.8 评审专家在评审过程中不得将自己的观点强加给其他评审专家，评审专家应自主发表见解，对评审意见承担个人责任。</w:t>
      </w:r>
    </w:p>
    <w:p w14:paraId="645A8E82">
      <w:pPr>
        <w:autoSpaceDE w:val="0"/>
        <w:snapToGrid w:val="0"/>
        <w:spacing w:line="360" w:lineRule="auto"/>
        <w:ind w:firstLine="420" w:firstLineChars="200"/>
        <w:rPr>
          <w:rFonts w:ascii="宋体" w:hAnsi="宋体"/>
          <w:highlight w:val="none"/>
        </w:rPr>
      </w:pPr>
      <w:r>
        <w:rPr>
          <w:rFonts w:hint="eastAsia" w:ascii="宋体" w:hAnsi="宋体"/>
          <w:highlight w:val="none"/>
        </w:rPr>
        <w:t>6.9 评审结束后，评标委员会应向采购代理机构提交项目评审报告。评审报告是采购人确定中标人的合法依据，评标委员会应当如实、客观地反映评审情况，按招标文件的评审办法和细则的规定推荐中标候选人，说明推荐理由，并重点对中标候选人的技术、服务和价格等情况进行评价和比较。</w:t>
      </w:r>
    </w:p>
    <w:p w14:paraId="63BE31F7">
      <w:pPr>
        <w:autoSpaceDE w:val="0"/>
        <w:snapToGrid w:val="0"/>
        <w:spacing w:line="360" w:lineRule="auto"/>
        <w:ind w:firstLine="420" w:firstLineChars="200"/>
        <w:rPr>
          <w:rFonts w:ascii="宋体" w:hAnsi="宋体"/>
          <w:highlight w:val="none"/>
        </w:rPr>
      </w:pPr>
      <w:r>
        <w:rPr>
          <w:rFonts w:hint="eastAsia" w:ascii="宋体" w:hAnsi="宋体"/>
          <w:highlight w:val="none"/>
        </w:rPr>
        <w:t>6.10 评审专家应当独立、客观、公正地提出评审意见，不得带有倾向性，不得影响其他评审专家评审，并在评审报告上签字；如对评审报告有异议的，可在报告上签署不同意见，并说明理由，否则将视为同意。</w:t>
      </w:r>
    </w:p>
    <w:p w14:paraId="56B3A478">
      <w:pPr>
        <w:autoSpaceDE w:val="0"/>
        <w:snapToGrid w:val="0"/>
        <w:spacing w:line="360" w:lineRule="auto"/>
        <w:ind w:firstLine="396" w:firstLineChars="200"/>
        <w:rPr>
          <w:rFonts w:ascii="宋体" w:hAnsi="宋体"/>
          <w:highlight w:val="none"/>
        </w:rPr>
      </w:pPr>
      <w:r>
        <w:rPr>
          <w:rFonts w:hint="eastAsia" w:ascii="宋体" w:hAnsi="宋体"/>
          <w:spacing w:val="-6"/>
          <w:highlight w:val="none"/>
        </w:rPr>
        <w:t>6.11 评审专家应当遵守评审工作纪律，不得泄露评审文件、评审情况和评审中获悉的商业秘密</w:t>
      </w:r>
      <w:r>
        <w:rPr>
          <w:rFonts w:hint="eastAsia" w:ascii="宋体" w:hAnsi="宋体"/>
          <w:highlight w:val="none"/>
        </w:rPr>
        <w:t>。</w:t>
      </w:r>
    </w:p>
    <w:p w14:paraId="10E9B2B1">
      <w:pPr>
        <w:autoSpaceDE w:val="0"/>
        <w:snapToGrid w:val="0"/>
        <w:spacing w:line="360" w:lineRule="auto"/>
        <w:ind w:firstLine="420" w:firstLineChars="200"/>
        <w:rPr>
          <w:rFonts w:ascii="宋体" w:hAnsi="宋体"/>
          <w:highlight w:val="none"/>
        </w:rPr>
      </w:pPr>
      <w:r>
        <w:rPr>
          <w:rFonts w:hint="eastAsia" w:ascii="宋体" w:hAnsi="宋体"/>
          <w:highlight w:val="none"/>
        </w:rPr>
        <w:t>评标委员会在评审过程中发现投标人有行贿、提供虚假材料或者串通等违法行为的，应当及时向财政部门报告。</w:t>
      </w:r>
    </w:p>
    <w:p w14:paraId="54CC6230">
      <w:pPr>
        <w:autoSpaceDE w:val="0"/>
        <w:snapToGrid w:val="0"/>
        <w:spacing w:line="360" w:lineRule="auto"/>
        <w:ind w:firstLine="420" w:firstLineChars="200"/>
        <w:rPr>
          <w:rFonts w:ascii="宋体" w:hAnsi="宋体"/>
          <w:highlight w:val="none"/>
        </w:rPr>
      </w:pPr>
      <w:r>
        <w:rPr>
          <w:rFonts w:hint="eastAsia" w:ascii="宋体" w:hAnsi="宋体"/>
          <w:highlight w:val="none"/>
        </w:rPr>
        <w:t>6.12 招标文件内容违反国家有关强制性规定的，评标委员会应当停止评审并向采购代理机构说明情况。</w:t>
      </w:r>
    </w:p>
    <w:p w14:paraId="0C98B3A5">
      <w:pPr>
        <w:autoSpaceDE w:val="0"/>
        <w:snapToGrid w:val="0"/>
        <w:spacing w:line="360" w:lineRule="auto"/>
        <w:ind w:firstLine="420" w:firstLineChars="200"/>
        <w:rPr>
          <w:rFonts w:ascii="宋体" w:hAnsi="宋体"/>
          <w:highlight w:val="none"/>
        </w:rPr>
      </w:pPr>
      <w:r>
        <w:rPr>
          <w:rFonts w:hint="eastAsia" w:ascii="宋体" w:hAnsi="宋体"/>
          <w:highlight w:val="none"/>
        </w:rPr>
        <w:t>6.13 评审专家应当配合采购代理机构答复投标人提出的质疑。</w:t>
      </w:r>
    </w:p>
    <w:p w14:paraId="2576A5F3">
      <w:pPr>
        <w:snapToGrid w:val="0"/>
        <w:spacing w:line="360" w:lineRule="auto"/>
        <w:ind w:firstLine="420" w:firstLineChars="200"/>
        <w:rPr>
          <w:rFonts w:ascii="宋体" w:hAnsi="宋体" w:cs="宋体"/>
          <w:highlight w:val="none"/>
        </w:rPr>
      </w:pPr>
      <w:r>
        <w:rPr>
          <w:rFonts w:hint="eastAsia" w:ascii="宋体" w:hAnsi="宋体"/>
          <w:highlight w:val="none"/>
        </w:rPr>
        <w:t>6.14 评审专家应当配合财政部门的投诉处理工作。</w:t>
      </w:r>
    </w:p>
    <w:p w14:paraId="407FAA0C">
      <w:pPr>
        <w:rPr>
          <w:highlight w:val="none"/>
        </w:rPr>
      </w:pPr>
    </w:p>
    <w:sectPr>
      <w:pgSz w:w="11906" w:h="16838"/>
      <w:pgMar w:top="1361" w:right="1440" w:bottom="1361" w:left="1440" w:header="851" w:footer="992"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0D"/>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 w:name="Arial Unicode MS">
    <w:panose1 w:val="020B0604020202020204"/>
    <w:charset w:val="86"/>
    <w:family w:val="swiss"/>
    <w:pitch w:val="default"/>
    <w:sig w:usb0="FFFFFFFF" w:usb1="E9FFFFFF" w:usb2="0000003F" w:usb3="00000000" w:csb0="603F01FF" w:csb1="FFFF0000"/>
  </w:font>
  <w:font w:name="华文细黑">
    <w:panose1 w:val="02010600040101010101"/>
    <w:charset w:val="86"/>
    <w:family w:val="auto"/>
    <w:pitch w:val="default"/>
    <w:sig w:usb0="00000287" w:usb1="080F0000" w:usb2="00000000" w:usb3="00000000" w:csb0="0004009F" w:csb1="DFD70000"/>
  </w:font>
  <w:font w:name="Helvetica">
    <w:altName w:val="Arial"/>
    <w:panose1 w:val="020B0604020202020204"/>
    <w:charset w:val="00"/>
    <w:family w:val="swiss"/>
    <w:pitch w:val="default"/>
    <w:sig w:usb0="00000000" w:usb1="00000000" w:usb2="00000000" w:usb3="00000000" w:csb0="00000000" w:csb1="00000000"/>
  </w:font>
  <w:font w:name="微软雅黑">
    <w:panose1 w:val="020B0503020204020204"/>
    <w:charset w:val="86"/>
    <w:family w:val="swiss"/>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楷体_gb18030">
    <w:altName w:val="楷体"/>
    <w:panose1 w:val="00000000000000000000"/>
    <w:charset w:val="86"/>
    <w:family w:val="roma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Arail">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6FB3BB">
    <w:pPr>
      <w:pStyle w:val="33"/>
      <w:ind w:right="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CF875E">
    <w:pPr>
      <w:pStyle w:val="33"/>
      <w:ind w:right="360"/>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D2FFF2">
    <w:pPr>
      <w:pStyle w:val="3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1F4E4B">
    <w:pPr>
      <w:pStyle w:val="33"/>
      <w:ind w:right="360"/>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886455">
                          <w:pPr>
                            <w:pStyle w:val="33"/>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xXU/0tAgAAVwQAAA4AAABkcnMvZTJvRG9jLnhtbK1UzY7TMBC+I/EO&#10;lu80bVe7qqqmq7JVEVLFrrQgzq7jNJH8J9ttUh4A3oATF+48V5+Dz07SRQuHPXBxxp7xN/6+mcni&#10;tlWSHIXztdE5nYzGlAjNTVHrfU4/fdy8mVHiA9MFk0aLnJ6Ep7fL168WjZ2LqamMLIQjANF+3tic&#10;ViHYeZZ5XgnF/MhYoeEsjVMsYOv2WeFYA3Qls+l4fJM1xhXWGS68x+m6c9Ie0b0E0JRlzcXa8IMS&#10;OnSoTkgWQMlXtfV0mV5bloKH+7L0IhCZUzANaUUS2Lu4ZssFm+8ds1XN+yewlzzhGSfFao2kF6g1&#10;C4wcXP0XlKq5M96UYcSNyjoiSRGwmIyfafNYMSsSF0jt7UV0//9g+YfjgyN1kdOra0o0U6j4+fu3&#10;849f559fCc4gUGP9HHGPFpGhfWtatM1w7nEYebelU/ELRgR+yHu6yCvaQHi8NJvOZmO4OHzDBvjZ&#10;03XrfHgnjCLRyKlD/ZKs7Lj1oQsdQmI2bTa1lKmGUpMmpzdX1+N04eIBuNTIEUl0j41WaHdtz2xn&#10;ihOIOdP1hrd8UyP5lvnwwByaAQ/GuIR7LKU0SGJ6i5LKuC//Oo/xqBG8lDRorpxqzBIl8r1G7QAY&#10;BsMNxm4w9EHdGXTrBGNoeTJxwQU5mKUz6jNmaBVzwMU0R6achsG8C12DYwa5WK1SELrNsrDVj5ZH&#10;6Ciet6tDgIBJ1yhKp0SvFfotVaafjdjQf+5T1NP/YPk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OxXU/0tAgAAVwQAAA4AAAAAAAAAAQAgAAAAHwEAAGRycy9lMm9Eb2MueG1sUEsFBgAAAAAG&#10;AAYAWQEAAL4FAAAAAA==&#10;">
              <v:fill on="f" focussize="0,0"/>
              <v:stroke on="f" weight="0.5pt"/>
              <v:imagedata o:title=""/>
              <o:lock v:ext="edit" aspectratio="f"/>
              <v:textbox inset="0mm,0mm,0mm,0mm" style="mso-fit-shape-to-text:t;">
                <w:txbxContent>
                  <w:p w14:paraId="57886455">
                    <w:pPr>
                      <w:pStyle w:val="33"/>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033308">
    <w:pPr>
      <w:pStyle w:val="33"/>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433CF9">
                          <w:pPr>
                            <w:pStyle w:val="33"/>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SBpj0tAgAAV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odssC1u9szxC&#10;R/G8XR0DBGx1jaJ0SvRaod/ayvSzERv6z30b9fQ/WD4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BSBpj0tAgAAVwQAAA4AAAAAAAAAAQAgAAAAHwEAAGRycy9lMm9Eb2MueG1sUEsFBgAAAAAG&#10;AAYAWQEAAL4FAAAAAA==&#10;">
              <v:fill on="f" focussize="0,0"/>
              <v:stroke on="f" weight="0.5pt"/>
              <v:imagedata o:title=""/>
              <o:lock v:ext="edit" aspectratio="f"/>
              <v:textbox inset="0mm,0mm,0mm,0mm" style="mso-fit-shape-to-text:t;">
                <w:txbxContent>
                  <w:p w14:paraId="54433CF9">
                    <w:pPr>
                      <w:pStyle w:val="33"/>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6718D7">
    <w:pPr>
      <w:pStyle w:val="33"/>
      <w:spacing w:line="440" w:lineRule="exact"/>
      <w:rPr>
        <w:rFonts w:ascii="微软雅黑" w:hAnsi="微软雅黑" w:eastAsia="微软雅黑" w:cs="微软雅黑"/>
        <w:b/>
        <w:bCs/>
        <w:color w:val="002060"/>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4EADDE9B">
                          <w:pPr>
                            <w:pStyle w:val="33"/>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MDfc5/XAQAAsQMAAA4AAABkcnMvZTJvRG9jLnhtbK1TS27bMBDd&#10;F+gdCO5rKQbSCILlIIWRokCRFkhzAJoiLQL8gUNb8gXaG3TVTfc9l8/RISU5QbLJIhtqhjN8M+/N&#10;aHU9GE0OIoBytqEXi5ISYblrld019OHH7YeKEojMtkw7Kxp6FECv1+/frXpfi6XrnG5FIAhioe59&#10;Q7sYfV0UwDthGCycFxaD0gXDIrphV7SB9YhudLEsy49F70Lrg+MCAG83Y5BOiOE1gE5KxcXG8b0R&#10;No6oQWgWkRJ0ygNd526lFDx+kxJEJLqhyDTmE4ugvU1nsV6xeheY7xSfWmCvaeEZJ8OUxaJnqA2L&#10;jOyDegFlFA8OnIwL7kwxEsmKIIuL8pk29x3zInNBqcGfRYe3g+V3h++BqLahOHbLDA789PvX6c+/&#10;09+fpEry9B5qzLr3mBeHT27ApZnvAS8T60EGk77Ih2AcxT2exRVDJDw9qpZVVWKIY2x2EL94fO4D&#10;xM/CGZKMhgacXhaVHb5CHFPnlFTNululdZ6gtqRH1Mvq6jK/OIcQXduULPIyTDiJ09h7suKwHSai&#10;W9cekWePC9FQi/tPif5iUe+0O7MRZmM7G3sf1K7Ly5Vqgb/ZR2wu95wqjLDINTk4ycx62rq0Kk/9&#10;nPX4p63/A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GhpgkvTAAAABQEAAA8AAAAAAAAAAQAgAAAA&#10;IgAAAGRycy9kb3ducmV2LnhtbFBLAQIUABQAAAAIAIdO4kDA33Of1wEAALEDAAAOAAAAAAAAAAEA&#10;IAAAACIBAABkcnMvZTJvRG9jLnhtbFBLBQYAAAAABgAGAFkBAABrBQAAAAA=&#10;">
              <v:fill on="f" focussize="0,0"/>
              <v:stroke on="f" weight="1.25pt"/>
              <v:imagedata o:title=""/>
              <o:lock v:ext="edit" aspectratio="f"/>
              <v:textbox inset="0mm,0mm,0mm,0mm" style="mso-fit-shape-to-text:t;">
                <w:txbxContent>
                  <w:p w14:paraId="4EADDE9B">
                    <w:pPr>
                      <w:pStyle w:val="33"/>
                    </w:pPr>
                    <w:r>
                      <w:fldChar w:fldCharType="begin"/>
                    </w:r>
                    <w:r>
                      <w:instrText xml:space="preserve"> PAGE  \* MERGEFORMAT </w:instrText>
                    </w:r>
                    <w:r>
                      <w:fldChar w:fldCharType="separate"/>
                    </w:r>
                    <w:r>
                      <w:t>1</w:t>
                    </w:r>
                    <w:r>
                      <w:fldChar w:fldCharType="end"/>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posOffset>2419985</wp:posOffset>
              </wp:positionH>
              <wp:positionV relativeFrom="paragraph">
                <wp:posOffset>0</wp:posOffset>
              </wp:positionV>
              <wp:extent cx="1322705" cy="3175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322705" cy="317500"/>
                      </a:xfrm>
                      <a:prstGeom prst="rect">
                        <a:avLst/>
                      </a:prstGeom>
                      <a:noFill/>
                      <a:ln>
                        <a:noFill/>
                      </a:ln>
                      <a:effectLst/>
                    </wps:spPr>
                    <wps:txbx>
                      <w:txbxContent>
                        <w:p w14:paraId="178AFFA3">
                          <w:pPr>
                            <w:pStyle w:val="33"/>
                            <w:rPr>
                              <w:rFonts w:ascii="仿宋" w:hAnsi="仿宋" w:eastAsia="仿宋" w:cs="仿宋"/>
                              <w:color w:val="002060"/>
                            </w:rPr>
                          </w:pPr>
                        </w:p>
                      </w:txbxContent>
                    </wps:txbx>
                    <wps:bodyPr lIns="0" tIns="0" rIns="0" bIns="0" upright="1">
                      <a:spAutoFit/>
                    </wps:bodyPr>
                  </wps:wsp>
                </a:graphicData>
              </a:graphic>
            </wp:anchor>
          </w:drawing>
        </mc:Choice>
        <mc:Fallback>
          <w:pict>
            <v:shape id="_x0000_s1026" o:spid="_x0000_s1026" o:spt="202" type="#_x0000_t202" style="position:absolute;left:0pt;margin-left:190.55pt;margin-top:0pt;height:25pt;width:104.15pt;mso-position-horizontal-relative:margin;z-index:251660288;mso-width-relative:page;mso-height-relative:page;" filled="f" stroked="f" coordsize="21600,21600" o:gfxdata="UEsDBAoAAAAAAIdO4kAAAAAAAAAAAAAAAAAEAAAAZHJzL1BLAwQUAAAACACHTuJA69IVotQAAAAH&#10;AQAADwAAAGRycy9kb3ducmV2LnhtbE2PMU/DMBCFdyT+g3VILIjaLlClIU4HBAsbLQubGx9JhH2O&#10;YjcJ/fUcE2zv9J7e+67aLcGLCcfURzKgVwoEUhNdT62B98PLbQEiZUvO+kho4BsT7OrLi8qWLs70&#10;htM+t4JLKJXWQJfzUEqZmg6DTas4ILH3GcdgM59jK91oZy4PXq6V2shge+KFzg741GHztT8FA5vl&#10;ebh53eJ6Pjd+oo+z1hm1MddXWj2CyLjkvzD84jM61Mx0jCdySXgDd4XWHDXAH7H9UGzvQRxZKAWy&#10;ruR//voHUEsDBBQAAAAIAIdO4kAH4GpezQEAAJoDAAAOAAAAZHJzL2Uyb0RvYy54bWytU0tu2zAQ&#10;3RfIHQjua8kO0jSC5SCFkaBA0RZIewCaIi0C/IFDW/IF2ht01U33PZfP0SElOU2yySIbajgzfHzv&#10;cbS87o0mexFAOVvT+aykRFjuGmW3Nf3+7fbte0ogMtsw7ayo6UEAvV6dvVl2vhIL1zrdiEAQxELV&#10;+Zq2MfqqKIC3wjCYOS8sFqULhkXchm3RBNYhutHFoizfFZ0LjQ+OCwDMrociHRHDSwCdlIqLteM7&#10;I2wcUIPQLKIkaJUHuspspRQ8fpESRCS6pqg05hUvwXiT1mK1ZNU2MN8qPlJgL6HwRJNhyuKlJ6g1&#10;i4zsgnoGZRQPDpyMM+5MMQjJjqCKefnEm/uWeZG1oNXgT6bD68Hyz/uvgaimpleUWGbwwY+/fh5/&#10;/z3++UGukj2dhwq77j32xf6D63FopjxgMqnuZTDpi3oI1tHcw8lc0UfC06HzxeKyvKCEY+18fnlR&#10;ZveLh9M+QLwTzpAU1DTg42VP2f4TRGSCrVNLusy6W6V1fkBtHyWwcciIPAHj6SRkIJyi2G/6Ud3G&#10;NQcUpz9aNDYNyRSEKdhMwc4HtW2R3DwzA3+zi0gjs0uoAxRSTRt8skx6HK80E//vc9fDL7X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OvSFaLUAAAABwEAAA8AAAAAAAAAAQAgAAAAIgAAAGRycy9k&#10;b3ducmV2LnhtbFBLAQIUABQAAAAIAIdO4kAH4GpezQEAAJoDAAAOAAAAAAAAAAEAIAAAACMBAABk&#10;cnMvZTJvRG9jLnhtbFBLBQYAAAAABgAGAFkBAABiBQAAAAA=&#10;">
              <v:fill on="f" focussize="0,0"/>
              <v:stroke on="f"/>
              <v:imagedata o:title=""/>
              <o:lock v:ext="edit" aspectratio="f"/>
              <v:textbox inset="0mm,0mm,0mm,0mm" style="mso-fit-shape-to-text:t;">
                <w:txbxContent>
                  <w:p w14:paraId="178AFFA3">
                    <w:pPr>
                      <w:pStyle w:val="33"/>
                      <w:rPr>
                        <w:rFonts w:ascii="仿宋" w:hAnsi="仿宋" w:eastAsia="仿宋" w:cs="仿宋"/>
                        <w:color w:val="002060"/>
                      </w:rPr>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4D9344">
    <w:pPr>
      <w:autoSpaceDE w:val="0"/>
      <w:autoSpaceDN w:val="0"/>
      <w:spacing w:line="360" w:lineRule="auto"/>
      <w:jc w:val="left"/>
      <w:textAlignment w:val="bottom"/>
      <w:outlineLvl w:val="0"/>
      <w:rPr>
        <w:kern w:val="0"/>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E61D66">
    <w:pPr>
      <w:pStyle w:val="35"/>
      <w:pBdr>
        <w:bottom w:val="none" w:color="auto" w:sz="0" w:space="0"/>
      </w:pBdr>
      <w:kinsoku w:val="0"/>
      <w:overflowPunct w:val="0"/>
      <w:spacing w:line="360" w:lineRule="exact"/>
      <w:jc w:val="left"/>
      <w:rPr>
        <w:rFonts w:hint="eastAsia" w:ascii="宋体" w:hAnsi="宋体" w:eastAsia="微软雅黑" w:cs="宋体"/>
        <w:bCs/>
        <w:color w:val="7030A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A7AFFA"/>
    <w:multiLevelType w:val="singleLevel"/>
    <w:tmpl w:val="84A7AFFA"/>
    <w:lvl w:ilvl="0" w:tentative="0">
      <w:start w:val="1"/>
      <w:numFmt w:val="decimal"/>
      <w:suff w:val="nothing"/>
      <w:lvlText w:val="%1、"/>
      <w:lvlJc w:val="left"/>
    </w:lvl>
  </w:abstractNum>
  <w:abstractNum w:abstractNumId="1">
    <w:nsid w:val="9FC697C8"/>
    <w:multiLevelType w:val="singleLevel"/>
    <w:tmpl w:val="9FC697C8"/>
    <w:lvl w:ilvl="0" w:tentative="0">
      <w:start w:val="1"/>
      <w:numFmt w:val="decimal"/>
      <w:suff w:val="nothing"/>
      <w:lvlText w:val="%1、"/>
      <w:lvlJc w:val="left"/>
    </w:lvl>
  </w:abstractNum>
  <w:abstractNum w:abstractNumId="2">
    <w:nsid w:val="BE80F6C3"/>
    <w:multiLevelType w:val="singleLevel"/>
    <w:tmpl w:val="BE80F6C3"/>
    <w:lvl w:ilvl="0" w:tentative="0">
      <w:start w:val="4"/>
      <w:numFmt w:val="chineseCounting"/>
      <w:suff w:val="nothing"/>
      <w:lvlText w:val="第%1部分　"/>
      <w:lvlJc w:val="left"/>
      <w:rPr>
        <w:rFonts w:hint="eastAsia"/>
      </w:rPr>
    </w:lvl>
  </w:abstractNum>
  <w:abstractNum w:abstractNumId="3">
    <w:nsid w:val="D149B249"/>
    <w:multiLevelType w:val="singleLevel"/>
    <w:tmpl w:val="D149B249"/>
    <w:lvl w:ilvl="0" w:tentative="0">
      <w:start w:val="19"/>
      <w:numFmt w:val="decimal"/>
      <w:suff w:val="space"/>
      <w:lvlText w:val="%1."/>
      <w:lvlJc w:val="left"/>
    </w:lvl>
  </w:abstractNum>
  <w:abstractNum w:abstractNumId="4">
    <w:nsid w:val="FE5F3AF9"/>
    <w:multiLevelType w:val="singleLevel"/>
    <w:tmpl w:val="FE5F3AF9"/>
    <w:lvl w:ilvl="0" w:tentative="0">
      <w:start w:val="1"/>
      <w:numFmt w:val="chineseCounting"/>
      <w:suff w:val="nothing"/>
      <w:lvlText w:val="%1、"/>
      <w:lvlJc w:val="left"/>
      <w:rPr>
        <w:rFonts w:hint="eastAsia"/>
      </w:rPr>
    </w:lvl>
  </w:abstractNum>
  <w:abstractNum w:abstractNumId="5">
    <w:nsid w:val="00000001"/>
    <w:multiLevelType w:val="singleLevel"/>
    <w:tmpl w:val="00000001"/>
    <w:lvl w:ilvl="0" w:tentative="0">
      <w:start w:val="9"/>
      <w:numFmt w:val="decimal"/>
      <w:pStyle w:val="446"/>
      <w:lvlText w:val="%1."/>
      <w:lvlJc w:val="left"/>
      <w:pPr>
        <w:tabs>
          <w:tab w:val="left" w:pos="312"/>
        </w:tabs>
      </w:pPr>
    </w:lvl>
  </w:abstractNum>
  <w:abstractNum w:abstractNumId="6">
    <w:nsid w:val="068CE94F"/>
    <w:multiLevelType w:val="singleLevel"/>
    <w:tmpl w:val="068CE94F"/>
    <w:lvl w:ilvl="0" w:tentative="0">
      <w:start w:val="1"/>
      <w:numFmt w:val="decimal"/>
      <w:suff w:val="nothing"/>
      <w:lvlText w:val="%1、"/>
      <w:lvlJc w:val="left"/>
    </w:lvl>
  </w:abstractNum>
  <w:abstractNum w:abstractNumId="7">
    <w:nsid w:val="4731C571"/>
    <w:multiLevelType w:val="singleLevel"/>
    <w:tmpl w:val="4731C571"/>
    <w:lvl w:ilvl="0" w:tentative="0">
      <w:start w:val="33"/>
      <w:numFmt w:val="decimal"/>
      <w:lvlText w:val="%1."/>
      <w:lvlJc w:val="left"/>
      <w:pPr>
        <w:tabs>
          <w:tab w:val="left" w:pos="312"/>
        </w:tabs>
      </w:pPr>
    </w:lvl>
  </w:abstractNum>
  <w:abstractNum w:abstractNumId="8">
    <w:nsid w:val="509C8B73"/>
    <w:multiLevelType w:val="singleLevel"/>
    <w:tmpl w:val="509C8B73"/>
    <w:lvl w:ilvl="0" w:tentative="0">
      <w:start w:val="8"/>
      <w:numFmt w:val="chineseCounting"/>
      <w:suff w:val="nothing"/>
      <w:lvlText w:val="%1、"/>
      <w:lvlJc w:val="left"/>
      <w:rPr>
        <w:rFonts w:hint="eastAsia"/>
      </w:rPr>
    </w:lvl>
  </w:abstractNum>
  <w:abstractNum w:abstractNumId="9">
    <w:nsid w:val="7BDDEEE6"/>
    <w:multiLevelType w:val="singleLevel"/>
    <w:tmpl w:val="7BDDEEE6"/>
    <w:lvl w:ilvl="0" w:tentative="0">
      <w:start w:val="1"/>
      <w:numFmt w:val="decimal"/>
      <w:suff w:val="nothing"/>
      <w:lvlText w:val="%1、"/>
      <w:lvlJc w:val="left"/>
    </w:lvl>
  </w:abstractNum>
  <w:num w:numId="1">
    <w:abstractNumId w:val="5"/>
  </w:num>
  <w:num w:numId="2">
    <w:abstractNumId w:val="3"/>
  </w:num>
  <w:num w:numId="3">
    <w:abstractNumId w:val="7"/>
  </w:num>
  <w:num w:numId="4">
    <w:abstractNumId w:val="4"/>
  </w:num>
  <w:num w:numId="5">
    <w:abstractNumId w:val="6"/>
  </w:num>
  <w:num w:numId="6">
    <w:abstractNumId w:val="2"/>
  </w:num>
  <w:num w:numId="7">
    <w:abstractNumId w:val="8"/>
  </w:num>
  <w:num w:numId="8">
    <w:abstractNumId w:val="1"/>
  </w:num>
  <w:num w:numId="9">
    <w:abstractNumId w:val="0"/>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hideSpellingErrors/>
  <w:documentProtection w:enforcement="0"/>
  <w:defaultTabStop w:val="42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kxYzNjOTkyYTllMDIxN2NjYWU5YTcxZmMyNGZkYjQifQ=="/>
  </w:docVars>
  <w:rsids>
    <w:rsidRoot w:val="005B3533"/>
    <w:rsid w:val="000053B7"/>
    <w:rsid w:val="00011A22"/>
    <w:rsid w:val="00020092"/>
    <w:rsid w:val="00050E5C"/>
    <w:rsid w:val="0006330F"/>
    <w:rsid w:val="0007681A"/>
    <w:rsid w:val="00080CA8"/>
    <w:rsid w:val="0008232E"/>
    <w:rsid w:val="000957BE"/>
    <w:rsid w:val="000B7CB9"/>
    <w:rsid w:val="000C06EC"/>
    <w:rsid w:val="000D4153"/>
    <w:rsid w:val="000E1026"/>
    <w:rsid w:val="000E5911"/>
    <w:rsid w:val="000F5935"/>
    <w:rsid w:val="00107325"/>
    <w:rsid w:val="00110B30"/>
    <w:rsid w:val="00115EFF"/>
    <w:rsid w:val="001279A6"/>
    <w:rsid w:val="0013169C"/>
    <w:rsid w:val="001453AB"/>
    <w:rsid w:val="0016196C"/>
    <w:rsid w:val="00174840"/>
    <w:rsid w:val="0018188D"/>
    <w:rsid w:val="0019015B"/>
    <w:rsid w:val="00193755"/>
    <w:rsid w:val="001B77EB"/>
    <w:rsid w:val="001B7BCF"/>
    <w:rsid w:val="00204FC1"/>
    <w:rsid w:val="0021126E"/>
    <w:rsid w:val="0022297F"/>
    <w:rsid w:val="00232641"/>
    <w:rsid w:val="00235557"/>
    <w:rsid w:val="002361CC"/>
    <w:rsid w:val="00237209"/>
    <w:rsid w:val="002508AB"/>
    <w:rsid w:val="00253AB4"/>
    <w:rsid w:val="00261EBE"/>
    <w:rsid w:val="002673D0"/>
    <w:rsid w:val="0026757E"/>
    <w:rsid w:val="00284FCB"/>
    <w:rsid w:val="002915BE"/>
    <w:rsid w:val="0029538C"/>
    <w:rsid w:val="002A48E3"/>
    <w:rsid w:val="002A5505"/>
    <w:rsid w:val="002C1447"/>
    <w:rsid w:val="002C5345"/>
    <w:rsid w:val="002C7832"/>
    <w:rsid w:val="002D1AE1"/>
    <w:rsid w:val="002E4381"/>
    <w:rsid w:val="002E67A5"/>
    <w:rsid w:val="002F70F7"/>
    <w:rsid w:val="0032485E"/>
    <w:rsid w:val="00333B67"/>
    <w:rsid w:val="00334266"/>
    <w:rsid w:val="0033596A"/>
    <w:rsid w:val="00356232"/>
    <w:rsid w:val="00356624"/>
    <w:rsid w:val="003829E6"/>
    <w:rsid w:val="00385FA9"/>
    <w:rsid w:val="0038634B"/>
    <w:rsid w:val="00396ADF"/>
    <w:rsid w:val="003A0B99"/>
    <w:rsid w:val="003B3F3D"/>
    <w:rsid w:val="003B3F6A"/>
    <w:rsid w:val="003B5328"/>
    <w:rsid w:val="003C09AB"/>
    <w:rsid w:val="003D61CD"/>
    <w:rsid w:val="003E4F4E"/>
    <w:rsid w:val="003F19A8"/>
    <w:rsid w:val="003F2435"/>
    <w:rsid w:val="0040027C"/>
    <w:rsid w:val="00400852"/>
    <w:rsid w:val="00406149"/>
    <w:rsid w:val="0041138C"/>
    <w:rsid w:val="004113AD"/>
    <w:rsid w:val="00414F8C"/>
    <w:rsid w:val="00422CCA"/>
    <w:rsid w:val="004236A7"/>
    <w:rsid w:val="00424FFC"/>
    <w:rsid w:val="00430968"/>
    <w:rsid w:val="00431F1F"/>
    <w:rsid w:val="00437A8A"/>
    <w:rsid w:val="00454365"/>
    <w:rsid w:val="00455857"/>
    <w:rsid w:val="004842C5"/>
    <w:rsid w:val="004A7A05"/>
    <w:rsid w:val="004B67F4"/>
    <w:rsid w:val="004C0105"/>
    <w:rsid w:val="004C6854"/>
    <w:rsid w:val="004D0DCF"/>
    <w:rsid w:val="004D1360"/>
    <w:rsid w:val="004D32B2"/>
    <w:rsid w:val="004E055A"/>
    <w:rsid w:val="004E563F"/>
    <w:rsid w:val="004E66CB"/>
    <w:rsid w:val="0050741D"/>
    <w:rsid w:val="0051442E"/>
    <w:rsid w:val="0051648E"/>
    <w:rsid w:val="00521580"/>
    <w:rsid w:val="00524ABA"/>
    <w:rsid w:val="005271E5"/>
    <w:rsid w:val="00527F09"/>
    <w:rsid w:val="00531485"/>
    <w:rsid w:val="005542CC"/>
    <w:rsid w:val="005555CD"/>
    <w:rsid w:val="00565A1D"/>
    <w:rsid w:val="005672C1"/>
    <w:rsid w:val="00593580"/>
    <w:rsid w:val="005B3533"/>
    <w:rsid w:val="005B410F"/>
    <w:rsid w:val="005C6800"/>
    <w:rsid w:val="005D3F8F"/>
    <w:rsid w:val="005D74A7"/>
    <w:rsid w:val="005F21DD"/>
    <w:rsid w:val="005F687B"/>
    <w:rsid w:val="0060758E"/>
    <w:rsid w:val="006114D5"/>
    <w:rsid w:val="006142BF"/>
    <w:rsid w:val="006313B1"/>
    <w:rsid w:val="006342B3"/>
    <w:rsid w:val="00641896"/>
    <w:rsid w:val="006452FB"/>
    <w:rsid w:val="006549BF"/>
    <w:rsid w:val="006668CF"/>
    <w:rsid w:val="00666BE3"/>
    <w:rsid w:val="00681688"/>
    <w:rsid w:val="00683C0E"/>
    <w:rsid w:val="00693C56"/>
    <w:rsid w:val="00693DB9"/>
    <w:rsid w:val="006A1F17"/>
    <w:rsid w:val="006A26D5"/>
    <w:rsid w:val="006A7DCD"/>
    <w:rsid w:val="006C1BEB"/>
    <w:rsid w:val="006F47B6"/>
    <w:rsid w:val="006F4FFB"/>
    <w:rsid w:val="00703077"/>
    <w:rsid w:val="0072333E"/>
    <w:rsid w:val="007266C4"/>
    <w:rsid w:val="007277DE"/>
    <w:rsid w:val="00731629"/>
    <w:rsid w:val="00731DC4"/>
    <w:rsid w:val="007327E8"/>
    <w:rsid w:val="00746A16"/>
    <w:rsid w:val="0078351C"/>
    <w:rsid w:val="00790B8D"/>
    <w:rsid w:val="0079235D"/>
    <w:rsid w:val="007A1BEA"/>
    <w:rsid w:val="007A524E"/>
    <w:rsid w:val="007A783C"/>
    <w:rsid w:val="007B0E7D"/>
    <w:rsid w:val="007B423D"/>
    <w:rsid w:val="007C27EE"/>
    <w:rsid w:val="007C4509"/>
    <w:rsid w:val="007C6304"/>
    <w:rsid w:val="007E0F55"/>
    <w:rsid w:val="007E44B4"/>
    <w:rsid w:val="007F2822"/>
    <w:rsid w:val="00806F5A"/>
    <w:rsid w:val="00814C4C"/>
    <w:rsid w:val="008266DE"/>
    <w:rsid w:val="008314E3"/>
    <w:rsid w:val="008369ED"/>
    <w:rsid w:val="00837F96"/>
    <w:rsid w:val="0084374B"/>
    <w:rsid w:val="0084416A"/>
    <w:rsid w:val="0085302D"/>
    <w:rsid w:val="0085611C"/>
    <w:rsid w:val="00857304"/>
    <w:rsid w:val="0086045C"/>
    <w:rsid w:val="00880AAE"/>
    <w:rsid w:val="008918C2"/>
    <w:rsid w:val="008A291E"/>
    <w:rsid w:val="008A5F94"/>
    <w:rsid w:val="008A5FAF"/>
    <w:rsid w:val="008B7C59"/>
    <w:rsid w:val="008C1E63"/>
    <w:rsid w:val="008C503A"/>
    <w:rsid w:val="008C5756"/>
    <w:rsid w:val="008D731B"/>
    <w:rsid w:val="008E60B6"/>
    <w:rsid w:val="008F4929"/>
    <w:rsid w:val="008F4D38"/>
    <w:rsid w:val="008F6F8E"/>
    <w:rsid w:val="00900960"/>
    <w:rsid w:val="00902FDA"/>
    <w:rsid w:val="00904075"/>
    <w:rsid w:val="009223EF"/>
    <w:rsid w:val="009421BC"/>
    <w:rsid w:val="009540B9"/>
    <w:rsid w:val="009717BB"/>
    <w:rsid w:val="009A17EA"/>
    <w:rsid w:val="009A1FD9"/>
    <w:rsid w:val="009A45B3"/>
    <w:rsid w:val="009A6882"/>
    <w:rsid w:val="009C193E"/>
    <w:rsid w:val="009C721A"/>
    <w:rsid w:val="009D1B0A"/>
    <w:rsid w:val="009D2947"/>
    <w:rsid w:val="009E1E46"/>
    <w:rsid w:val="009E6D38"/>
    <w:rsid w:val="009F5541"/>
    <w:rsid w:val="00A00380"/>
    <w:rsid w:val="00A0046D"/>
    <w:rsid w:val="00A02981"/>
    <w:rsid w:val="00A139FB"/>
    <w:rsid w:val="00A313DA"/>
    <w:rsid w:val="00A31407"/>
    <w:rsid w:val="00A34BDC"/>
    <w:rsid w:val="00A40CA3"/>
    <w:rsid w:val="00A42FD3"/>
    <w:rsid w:val="00A47B07"/>
    <w:rsid w:val="00A621EC"/>
    <w:rsid w:val="00A634FB"/>
    <w:rsid w:val="00A67C1E"/>
    <w:rsid w:val="00A67CE5"/>
    <w:rsid w:val="00A71647"/>
    <w:rsid w:val="00A73141"/>
    <w:rsid w:val="00A73D81"/>
    <w:rsid w:val="00A824A1"/>
    <w:rsid w:val="00A87F07"/>
    <w:rsid w:val="00A92C43"/>
    <w:rsid w:val="00A9463A"/>
    <w:rsid w:val="00A97C96"/>
    <w:rsid w:val="00AA1C9C"/>
    <w:rsid w:val="00AA6F9F"/>
    <w:rsid w:val="00AD3EF8"/>
    <w:rsid w:val="00AD60C5"/>
    <w:rsid w:val="00AE1FE6"/>
    <w:rsid w:val="00AE4268"/>
    <w:rsid w:val="00AE7F37"/>
    <w:rsid w:val="00AF721D"/>
    <w:rsid w:val="00B0086E"/>
    <w:rsid w:val="00B044A5"/>
    <w:rsid w:val="00B07732"/>
    <w:rsid w:val="00B10F7E"/>
    <w:rsid w:val="00B11D83"/>
    <w:rsid w:val="00B1484C"/>
    <w:rsid w:val="00B150E7"/>
    <w:rsid w:val="00B17ED6"/>
    <w:rsid w:val="00B432CA"/>
    <w:rsid w:val="00B43B22"/>
    <w:rsid w:val="00B45CAE"/>
    <w:rsid w:val="00B62E72"/>
    <w:rsid w:val="00B701B7"/>
    <w:rsid w:val="00B74398"/>
    <w:rsid w:val="00B76B77"/>
    <w:rsid w:val="00B86A11"/>
    <w:rsid w:val="00B97AF9"/>
    <w:rsid w:val="00BA3EAD"/>
    <w:rsid w:val="00BA483E"/>
    <w:rsid w:val="00BB2B02"/>
    <w:rsid w:val="00BB52CE"/>
    <w:rsid w:val="00BC202B"/>
    <w:rsid w:val="00BC4388"/>
    <w:rsid w:val="00BD25C1"/>
    <w:rsid w:val="00BE5764"/>
    <w:rsid w:val="00C02EA5"/>
    <w:rsid w:val="00C076CD"/>
    <w:rsid w:val="00C1179C"/>
    <w:rsid w:val="00C22B34"/>
    <w:rsid w:val="00C2693B"/>
    <w:rsid w:val="00C50A09"/>
    <w:rsid w:val="00C73F6C"/>
    <w:rsid w:val="00C82E4D"/>
    <w:rsid w:val="00C84492"/>
    <w:rsid w:val="00C858C0"/>
    <w:rsid w:val="00C86494"/>
    <w:rsid w:val="00C867DB"/>
    <w:rsid w:val="00C91938"/>
    <w:rsid w:val="00CA138C"/>
    <w:rsid w:val="00CB150E"/>
    <w:rsid w:val="00CB496D"/>
    <w:rsid w:val="00CC1424"/>
    <w:rsid w:val="00CD2811"/>
    <w:rsid w:val="00CD761E"/>
    <w:rsid w:val="00CE1C70"/>
    <w:rsid w:val="00D055D7"/>
    <w:rsid w:val="00D065CD"/>
    <w:rsid w:val="00D07960"/>
    <w:rsid w:val="00D13BFD"/>
    <w:rsid w:val="00D23A10"/>
    <w:rsid w:val="00D23D8A"/>
    <w:rsid w:val="00D30D54"/>
    <w:rsid w:val="00D41A36"/>
    <w:rsid w:val="00D552E8"/>
    <w:rsid w:val="00D63BB8"/>
    <w:rsid w:val="00D8066F"/>
    <w:rsid w:val="00D863B3"/>
    <w:rsid w:val="00DA33CA"/>
    <w:rsid w:val="00DA49CC"/>
    <w:rsid w:val="00DB1442"/>
    <w:rsid w:val="00DD6155"/>
    <w:rsid w:val="00DF47C7"/>
    <w:rsid w:val="00DF62A4"/>
    <w:rsid w:val="00E008C8"/>
    <w:rsid w:val="00E06B69"/>
    <w:rsid w:val="00E21B04"/>
    <w:rsid w:val="00E21F29"/>
    <w:rsid w:val="00E235EE"/>
    <w:rsid w:val="00E26E1C"/>
    <w:rsid w:val="00E33B0F"/>
    <w:rsid w:val="00E369D0"/>
    <w:rsid w:val="00E60D55"/>
    <w:rsid w:val="00E73D4C"/>
    <w:rsid w:val="00E9638A"/>
    <w:rsid w:val="00EB0656"/>
    <w:rsid w:val="00EB26D1"/>
    <w:rsid w:val="00EB3703"/>
    <w:rsid w:val="00ED4867"/>
    <w:rsid w:val="00ED4ED2"/>
    <w:rsid w:val="00EF2C1B"/>
    <w:rsid w:val="00EF52A5"/>
    <w:rsid w:val="00EF765A"/>
    <w:rsid w:val="00F16427"/>
    <w:rsid w:val="00F206A8"/>
    <w:rsid w:val="00F34B20"/>
    <w:rsid w:val="00F37D20"/>
    <w:rsid w:val="00F51D1F"/>
    <w:rsid w:val="00F67873"/>
    <w:rsid w:val="00F9640B"/>
    <w:rsid w:val="00F975FC"/>
    <w:rsid w:val="00F97FF8"/>
    <w:rsid w:val="00FB13DA"/>
    <w:rsid w:val="00FB1F52"/>
    <w:rsid w:val="00FB34B6"/>
    <w:rsid w:val="00FC0BCD"/>
    <w:rsid w:val="00FC243F"/>
    <w:rsid w:val="00FC2A49"/>
    <w:rsid w:val="00FD24BD"/>
    <w:rsid w:val="00FE1942"/>
    <w:rsid w:val="00FE2201"/>
    <w:rsid w:val="00FE3014"/>
    <w:rsid w:val="00FE3D9D"/>
    <w:rsid w:val="010333FC"/>
    <w:rsid w:val="01047C38"/>
    <w:rsid w:val="01075C11"/>
    <w:rsid w:val="010A4B74"/>
    <w:rsid w:val="01214C67"/>
    <w:rsid w:val="01253372"/>
    <w:rsid w:val="012D5C29"/>
    <w:rsid w:val="015A65CB"/>
    <w:rsid w:val="016E6DCC"/>
    <w:rsid w:val="016F4726"/>
    <w:rsid w:val="017114A5"/>
    <w:rsid w:val="017842DE"/>
    <w:rsid w:val="01A85CF6"/>
    <w:rsid w:val="01DA5A10"/>
    <w:rsid w:val="01DB7918"/>
    <w:rsid w:val="01DD1E9F"/>
    <w:rsid w:val="01DD4B3B"/>
    <w:rsid w:val="01E13B59"/>
    <w:rsid w:val="01EF13EE"/>
    <w:rsid w:val="020739D5"/>
    <w:rsid w:val="02123C1A"/>
    <w:rsid w:val="023522FA"/>
    <w:rsid w:val="023F66B6"/>
    <w:rsid w:val="024C6323"/>
    <w:rsid w:val="02607008"/>
    <w:rsid w:val="026774FC"/>
    <w:rsid w:val="026D2583"/>
    <w:rsid w:val="02700596"/>
    <w:rsid w:val="029E45BD"/>
    <w:rsid w:val="02AF1B27"/>
    <w:rsid w:val="02E45CC7"/>
    <w:rsid w:val="02ED79E5"/>
    <w:rsid w:val="03000794"/>
    <w:rsid w:val="03091115"/>
    <w:rsid w:val="032D3A42"/>
    <w:rsid w:val="03414CA5"/>
    <w:rsid w:val="03504B24"/>
    <w:rsid w:val="03621775"/>
    <w:rsid w:val="03684A71"/>
    <w:rsid w:val="036B5067"/>
    <w:rsid w:val="037800D1"/>
    <w:rsid w:val="037B73C5"/>
    <w:rsid w:val="038D536B"/>
    <w:rsid w:val="039C5BA0"/>
    <w:rsid w:val="03A6112C"/>
    <w:rsid w:val="03B9623A"/>
    <w:rsid w:val="03CC4D9B"/>
    <w:rsid w:val="03CE7C8F"/>
    <w:rsid w:val="03DD4779"/>
    <w:rsid w:val="03E147EA"/>
    <w:rsid w:val="03E77005"/>
    <w:rsid w:val="03FE43AE"/>
    <w:rsid w:val="040F0986"/>
    <w:rsid w:val="04231131"/>
    <w:rsid w:val="043E0559"/>
    <w:rsid w:val="04407FCB"/>
    <w:rsid w:val="04480CE1"/>
    <w:rsid w:val="04500690"/>
    <w:rsid w:val="045D1075"/>
    <w:rsid w:val="046D4A7A"/>
    <w:rsid w:val="049A11BC"/>
    <w:rsid w:val="04B8274F"/>
    <w:rsid w:val="04E35692"/>
    <w:rsid w:val="04E64D49"/>
    <w:rsid w:val="04FC07BA"/>
    <w:rsid w:val="04FF173F"/>
    <w:rsid w:val="050A5551"/>
    <w:rsid w:val="050C54EF"/>
    <w:rsid w:val="050F7AF7"/>
    <w:rsid w:val="051E25B2"/>
    <w:rsid w:val="052E6336"/>
    <w:rsid w:val="053064DD"/>
    <w:rsid w:val="054742C7"/>
    <w:rsid w:val="05572737"/>
    <w:rsid w:val="055A1D03"/>
    <w:rsid w:val="056736ED"/>
    <w:rsid w:val="0568287C"/>
    <w:rsid w:val="056E448D"/>
    <w:rsid w:val="0578142E"/>
    <w:rsid w:val="05963B1E"/>
    <w:rsid w:val="05A60942"/>
    <w:rsid w:val="05CC12E2"/>
    <w:rsid w:val="05D3081E"/>
    <w:rsid w:val="05D70457"/>
    <w:rsid w:val="05DA64B7"/>
    <w:rsid w:val="06000652"/>
    <w:rsid w:val="061843BC"/>
    <w:rsid w:val="06464CE1"/>
    <w:rsid w:val="06752568"/>
    <w:rsid w:val="0683335E"/>
    <w:rsid w:val="06971860"/>
    <w:rsid w:val="06A76277"/>
    <w:rsid w:val="06AD7CBB"/>
    <w:rsid w:val="06DA4126"/>
    <w:rsid w:val="06F3181D"/>
    <w:rsid w:val="06F668B3"/>
    <w:rsid w:val="070D203D"/>
    <w:rsid w:val="071D189F"/>
    <w:rsid w:val="073162F8"/>
    <w:rsid w:val="07415313"/>
    <w:rsid w:val="07476917"/>
    <w:rsid w:val="074B3407"/>
    <w:rsid w:val="076158F6"/>
    <w:rsid w:val="077B0AE3"/>
    <w:rsid w:val="078F7ABA"/>
    <w:rsid w:val="07A42C97"/>
    <w:rsid w:val="07B33965"/>
    <w:rsid w:val="07BA39FD"/>
    <w:rsid w:val="07C02047"/>
    <w:rsid w:val="07C04D9F"/>
    <w:rsid w:val="07C2201C"/>
    <w:rsid w:val="07E029EC"/>
    <w:rsid w:val="07E263D1"/>
    <w:rsid w:val="07EB3442"/>
    <w:rsid w:val="08071A24"/>
    <w:rsid w:val="080B233F"/>
    <w:rsid w:val="082A4D00"/>
    <w:rsid w:val="08327D56"/>
    <w:rsid w:val="08382B51"/>
    <w:rsid w:val="08621A08"/>
    <w:rsid w:val="088F1F66"/>
    <w:rsid w:val="089E6732"/>
    <w:rsid w:val="08AF4880"/>
    <w:rsid w:val="08BB3CF8"/>
    <w:rsid w:val="08DB55EE"/>
    <w:rsid w:val="08DD3C99"/>
    <w:rsid w:val="090C7ACE"/>
    <w:rsid w:val="09104908"/>
    <w:rsid w:val="091A6E51"/>
    <w:rsid w:val="09211EA8"/>
    <w:rsid w:val="092F3FA2"/>
    <w:rsid w:val="094000D3"/>
    <w:rsid w:val="095473DE"/>
    <w:rsid w:val="09547CAD"/>
    <w:rsid w:val="0968167E"/>
    <w:rsid w:val="096D58B6"/>
    <w:rsid w:val="097950BE"/>
    <w:rsid w:val="09862E2D"/>
    <w:rsid w:val="0990373C"/>
    <w:rsid w:val="09916DDD"/>
    <w:rsid w:val="09BE4C33"/>
    <w:rsid w:val="09C42B4D"/>
    <w:rsid w:val="09CE4C5B"/>
    <w:rsid w:val="09D2138F"/>
    <w:rsid w:val="09EA2540"/>
    <w:rsid w:val="0A1E77DC"/>
    <w:rsid w:val="0A4D7B7C"/>
    <w:rsid w:val="0A670B1F"/>
    <w:rsid w:val="0A7460B2"/>
    <w:rsid w:val="0A823CEB"/>
    <w:rsid w:val="0A8E0EBA"/>
    <w:rsid w:val="0A9173AA"/>
    <w:rsid w:val="0ABD632B"/>
    <w:rsid w:val="0AC018B0"/>
    <w:rsid w:val="0AE41BA8"/>
    <w:rsid w:val="0B154457"/>
    <w:rsid w:val="0B1D3123"/>
    <w:rsid w:val="0B30096F"/>
    <w:rsid w:val="0B462E0D"/>
    <w:rsid w:val="0B653E82"/>
    <w:rsid w:val="0B6F074F"/>
    <w:rsid w:val="0B84338B"/>
    <w:rsid w:val="0BB94293"/>
    <w:rsid w:val="0BC07254"/>
    <w:rsid w:val="0BC83278"/>
    <w:rsid w:val="0BEB340A"/>
    <w:rsid w:val="0BF87835"/>
    <w:rsid w:val="0BFF135C"/>
    <w:rsid w:val="0C0618A4"/>
    <w:rsid w:val="0C154066"/>
    <w:rsid w:val="0C1666D9"/>
    <w:rsid w:val="0C27455C"/>
    <w:rsid w:val="0C2A074F"/>
    <w:rsid w:val="0C3A02BC"/>
    <w:rsid w:val="0C610FDC"/>
    <w:rsid w:val="0C874EE1"/>
    <w:rsid w:val="0CA041F5"/>
    <w:rsid w:val="0CB15920"/>
    <w:rsid w:val="0CF053C7"/>
    <w:rsid w:val="0D037AAD"/>
    <w:rsid w:val="0D046532"/>
    <w:rsid w:val="0D0C55A5"/>
    <w:rsid w:val="0D144A9A"/>
    <w:rsid w:val="0D1A15D5"/>
    <w:rsid w:val="0D2729F3"/>
    <w:rsid w:val="0D287A4D"/>
    <w:rsid w:val="0D2C5A88"/>
    <w:rsid w:val="0D3E64D2"/>
    <w:rsid w:val="0D4975B0"/>
    <w:rsid w:val="0D4A065F"/>
    <w:rsid w:val="0D501EA5"/>
    <w:rsid w:val="0D5E412D"/>
    <w:rsid w:val="0D720104"/>
    <w:rsid w:val="0D8D3E4E"/>
    <w:rsid w:val="0DC444A6"/>
    <w:rsid w:val="0DD71E42"/>
    <w:rsid w:val="0DDC300B"/>
    <w:rsid w:val="0DDE0560"/>
    <w:rsid w:val="0DF05E8F"/>
    <w:rsid w:val="0DF43970"/>
    <w:rsid w:val="0DFF747B"/>
    <w:rsid w:val="0DFF7FE2"/>
    <w:rsid w:val="0E270CC8"/>
    <w:rsid w:val="0E2802E4"/>
    <w:rsid w:val="0E2D3511"/>
    <w:rsid w:val="0E4312DC"/>
    <w:rsid w:val="0E4F531A"/>
    <w:rsid w:val="0E5F3AA0"/>
    <w:rsid w:val="0E7917D2"/>
    <w:rsid w:val="0E842BAA"/>
    <w:rsid w:val="0E9646AE"/>
    <w:rsid w:val="0E9647FF"/>
    <w:rsid w:val="0E983ACE"/>
    <w:rsid w:val="0EAD69A2"/>
    <w:rsid w:val="0EAE6E76"/>
    <w:rsid w:val="0EB06EB9"/>
    <w:rsid w:val="0ED2335F"/>
    <w:rsid w:val="0EE4486D"/>
    <w:rsid w:val="0EEA2A9B"/>
    <w:rsid w:val="0EFE54A8"/>
    <w:rsid w:val="0F053294"/>
    <w:rsid w:val="0F0C0954"/>
    <w:rsid w:val="0F255367"/>
    <w:rsid w:val="0F370B05"/>
    <w:rsid w:val="0F3E4AD0"/>
    <w:rsid w:val="0F617A43"/>
    <w:rsid w:val="0F6B0AFC"/>
    <w:rsid w:val="0F74458B"/>
    <w:rsid w:val="0F755507"/>
    <w:rsid w:val="0F8C0A60"/>
    <w:rsid w:val="0F9C598E"/>
    <w:rsid w:val="0FA51139"/>
    <w:rsid w:val="0FAA6DAA"/>
    <w:rsid w:val="0FE77A57"/>
    <w:rsid w:val="0FEA19B8"/>
    <w:rsid w:val="0FEE2832"/>
    <w:rsid w:val="0FF51D93"/>
    <w:rsid w:val="10102A21"/>
    <w:rsid w:val="10273C90"/>
    <w:rsid w:val="102C517C"/>
    <w:rsid w:val="103A1E90"/>
    <w:rsid w:val="104F5D4E"/>
    <w:rsid w:val="105C3B34"/>
    <w:rsid w:val="105F58AC"/>
    <w:rsid w:val="106E22E2"/>
    <w:rsid w:val="10771491"/>
    <w:rsid w:val="10904B92"/>
    <w:rsid w:val="10924AD3"/>
    <w:rsid w:val="10B4201D"/>
    <w:rsid w:val="10B43DB0"/>
    <w:rsid w:val="10C3614D"/>
    <w:rsid w:val="10CB5992"/>
    <w:rsid w:val="1106605B"/>
    <w:rsid w:val="112D433B"/>
    <w:rsid w:val="112F3D99"/>
    <w:rsid w:val="11342369"/>
    <w:rsid w:val="11456666"/>
    <w:rsid w:val="11472DC8"/>
    <w:rsid w:val="11491C7C"/>
    <w:rsid w:val="114A6F49"/>
    <w:rsid w:val="11534DF8"/>
    <w:rsid w:val="11566614"/>
    <w:rsid w:val="117513B4"/>
    <w:rsid w:val="117A1736"/>
    <w:rsid w:val="117A5D8E"/>
    <w:rsid w:val="117F4DC6"/>
    <w:rsid w:val="11873B72"/>
    <w:rsid w:val="11874B5D"/>
    <w:rsid w:val="11A1386B"/>
    <w:rsid w:val="11A510B3"/>
    <w:rsid w:val="11B4471C"/>
    <w:rsid w:val="11B64DB5"/>
    <w:rsid w:val="11CE0656"/>
    <w:rsid w:val="11D00C85"/>
    <w:rsid w:val="11D4394C"/>
    <w:rsid w:val="11DB0A96"/>
    <w:rsid w:val="11E80F39"/>
    <w:rsid w:val="11EF57FA"/>
    <w:rsid w:val="12026A19"/>
    <w:rsid w:val="120E4807"/>
    <w:rsid w:val="121410E2"/>
    <w:rsid w:val="12301AE7"/>
    <w:rsid w:val="12347CD5"/>
    <w:rsid w:val="124C3305"/>
    <w:rsid w:val="125A0DAB"/>
    <w:rsid w:val="125C1B64"/>
    <w:rsid w:val="127C1AAE"/>
    <w:rsid w:val="12977D6E"/>
    <w:rsid w:val="129D39F5"/>
    <w:rsid w:val="12C21B50"/>
    <w:rsid w:val="12E62EA4"/>
    <w:rsid w:val="12F552D9"/>
    <w:rsid w:val="13103B2D"/>
    <w:rsid w:val="13110E08"/>
    <w:rsid w:val="132135EE"/>
    <w:rsid w:val="13285110"/>
    <w:rsid w:val="133E688D"/>
    <w:rsid w:val="133F2AD6"/>
    <w:rsid w:val="13450604"/>
    <w:rsid w:val="137E3987"/>
    <w:rsid w:val="138B15E4"/>
    <w:rsid w:val="13954308"/>
    <w:rsid w:val="13A1281B"/>
    <w:rsid w:val="13A8509F"/>
    <w:rsid w:val="13AA629D"/>
    <w:rsid w:val="13DA0C71"/>
    <w:rsid w:val="13DC6892"/>
    <w:rsid w:val="14231F17"/>
    <w:rsid w:val="142E7A0B"/>
    <w:rsid w:val="144D5ECF"/>
    <w:rsid w:val="145D4CF2"/>
    <w:rsid w:val="147A543A"/>
    <w:rsid w:val="149371D6"/>
    <w:rsid w:val="14942891"/>
    <w:rsid w:val="14985759"/>
    <w:rsid w:val="149E3862"/>
    <w:rsid w:val="14A26550"/>
    <w:rsid w:val="14A276A2"/>
    <w:rsid w:val="14A71C69"/>
    <w:rsid w:val="14B85505"/>
    <w:rsid w:val="14E04B12"/>
    <w:rsid w:val="14E632DA"/>
    <w:rsid w:val="14F002D3"/>
    <w:rsid w:val="14F32CDA"/>
    <w:rsid w:val="14F97022"/>
    <w:rsid w:val="15065D8D"/>
    <w:rsid w:val="151D67B9"/>
    <w:rsid w:val="15347683"/>
    <w:rsid w:val="15643BA8"/>
    <w:rsid w:val="15713DA7"/>
    <w:rsid w:val="15761F97"/>
    <w:rsid w:val="157B57FF"/>
    <w:rsid w:val="15A30627"/>
    <w:rsid w:val="15A75BCB"/>
    <w:rsid w:val="15C65513"/>
    <w:rsid w:val="15CD2329"/>
    <w:rsid w:val="15F20E8D"/>
    <w:rsid w:val="15FC02F6"/>
    <w:rsid w:val="161426C7"/>
    <w:rsid w:val="162E64CC"/>
    <w:rsid w:val="163A5FE3"/>
    <w:rsid w:val="163B6372"/>
    <w:rsid w:val="16403DB5"/>
    <w:rsid w:val="16450281"/>
    <w:rsid w:val="16460C5B"/>
    <w:rsid w:val="165226B5"/>
    <w:rsid w:val="165C1919"/>
    <w:rsid w:val="167270ED"/>
    <w:rsid w:val="167508B7"/>
    <w:rsid w:val="16815185"/>
    <w:rsid w:val="168C0E7B"/>
    <w:rsid w:val="16970417"/>
    <w:rsid w:val="16986E8A"/>
    <w:rsid w:val="16A77C0A"/>
    <w:rsid w:val="16A90DAB"/>
    <w:rsid w:val="16B965DF"/>
    <w:rsid w:val="16BB0BC4"/>
    <w:rsid w:val="170963F8"/>
    <w:rsid w:val="174F48F1"/>
    <w:rsid w:val="17522D9E"/>
    <w:rsid w:val="175401EC"/>
    <w:rsid w:val="1754315E"/>
    <w:rsid w:val="17886D19"/>
    <w:rsid w:val="17905436"/>
    <w:rsid w:val="1794007B"/>
    <w:rsid w:val="179C125C"/>
    <w:rsid w:val="17AD27E8"/>
    <w:rsid w:val="17B07142"/>
    <w:rsid w:val="17DD417D"/>
    <w:rsid w:val="17E91348"/>
    <w:rsid w:val="17F30145"/>
    <w:rsid w:val="17FF788A"/>
    <w:rsid w:val="180D33A6"/>
    <w:rsid w:val="18276C54"/>
    <w:rsid w:val="183543BF"/>
    <w:rsid w:val="183B2ED3"/>
    <w:rsid w:val="18826F52"/>
    <w:rsid w:val="189975CD"/>
    <w:rsid w:val="189A548D"/>
    <w:rsid w:val="18A6717D"/>
    <w:rsid w:val="18AE6667"/>
    <w:rsid w:val="18D54727"/>
    <w:rsid w:val="18E14395"/>
    <w:rsid w:val="18FD0D8C"/>
    <w:rsid w:val="191C263F"/>
    <w:rsid w:val="192A2DE3"/>
    <w:rsid w:val="195B2CD4"/>
    <w:rsid w:val="197008C7"/>
    <w:rsid w:val="198A7AC0"/>
    <w:rsid w:val="1993112E"/>
    <w:rsid w:val="19945121"/>
    <w:rsid w:val="19C340D1"/>
    <w:rsid w:val="19C44475"/>
    <w:rsid w:val="19CA7395"/>
    <w:rsid w:val="19D3216D"/>
    <w:rsid w:val="19E44606"/>
    <w:rsid w:val="19FA4090"/>
    <w:rsid w:val="19FA79D0"/>
    <w:rsid w:val="1A184E60"/>
    <w:rsid w:val="1A1D6F29"/>
    <w:rsid w:val="1A221EEC"/>
    <w:rsid w:val="1A2F1FB7"/>
    <w:rsid w:val="1A574945"/>
    <w:rsid w:val="1A8D72A4"/>
    <w:rsid w:val="1A97792D"/>
    <w:rsid w:val="1A9E3498"/>
    <w:rsid w:val="1AAF1A1F"/>
    <w:rsid w:val="1AE31FAA"/>
    <w:rsid w:val="1B1D2E5E"/>
    <w:rsid w:val="1B3C15F9"/>
    <w:rsid w:val="1B4F71EE"/>
    <w:rsid w:val="1B5310EE"/>
    <w:rsid w:val="1B612879"/>
    <w:rsid w:val="1B7A0E8E"/>
    <w:rsid w:val="1BA05BE1"/>
    <w:rsid w:val="1BA911BE"/>
    <w:rsid w:val="1BD14334"/>
    <w:rsid w:val="1BD143CB"/>
    <w:rsid w:val="1BF142A3"/>
    <w:rsid w:val="1BF84071"/>
    <w:rsid w:val="1C0038E5"/>
    <w:rsid w:val="1C1E650E"/>
    <w:rsid w:val="1C27133D"/>
    <w:rsid w:val="1C2A2BDE"/>
    <w:rsid w:val="1C5A616E"/>
    <w:rsid w:val="1C5E2A60"/>
    <w:rsid w:val="1C8A66C6"/>
    <w:rsid w:val="1C991A36"/>
    <w:rsid w:val="1C9B12FC"/>
    <w:rsid w:val="1CA6190B"/>
    <w:rsid w:val="1CAC4358"/>
    <w:rsid w:val="1CB63AD4"/>
    <w:rsid w:val="1CC03ABA"/>
    <w:rsid w:val="1CC418B7"/>
    <w:rsid w:val="1CD85960"/>
    <w:rsid w:val="1CFA2ACE"/>
    <w:rsid w:val="1CFC5E9D"/>
    <w:rsid w:val="1D220904"/>
    <w:rsid w:val="1D391679"/>
    <w:rsid w:val="1D3C79E6"/>
    <w:rsid w:val="1D6B43AB"/>
    <w:rsid w:val="1D8F7689"/>
    <w:rsid w:val="1D9149A9"/>
    <w:rsid w:val="1D917DF9"/>
    <w:rsid w:val="1DA575B0"/>
    <w:rsid w:val="1DD51DD3"/>
    <w:rsid w:val="1DD62ACD"/>
    <w:rsid w:val="1DDF3386"/>
    <w:rsid w:val="1DE2263A"/>
    <w:rsid w:val="1DE2466D"/>
    <w:rsid w:val="1DEE2ACD"/>
    <w:rsid w:val="1E092B29"/>
    <w:rsid w:val="1E2E1CEC"/>
    <w:rsid w:val="1E303A24"/>
    <w:rsid w:val="1E472EB9"/>
    <w:rsid w:val="1E591D2E"/>
    <w:rsid w:val="1E6359B1"/>
    <w:rsid w:val="1EAC2360"/>
    <w:rsid w:val="1EBD007C"/>
    <w:rsid w:val="1EF1567C"/>
    <w:rsid w:val="1EFC79EE"/>
    <w:rsid w:val="1F090B41"/>
    <w:rsid w:val="1F1F369F"/>
    <w:rsid w:val="1F256646"/>
    <w:rsid w:val="1F2F3CAC"/>
    <w:rsid w:val="1F3F789D"/>
    <w:rsid w:val="1F612D89"/>
    <w:rsid w:val="1F680BA2"/>
    <w:rsid w:val="1F6F386D"/>
    <w:rsid w:val="1F8020CE"/>
    <w:rsid w:val="1F8345C2"/>
    <w:rsid w:val="1F884DA0"/>
    <w:rsid w:val="1FA80734"/>
    <w:rsid w:val="1FBE6D3F"/>
    <w:rsid w:val="1FC14756"/>
    <w:rsid w:val="1FCD5877"/>
    <w:rsid w:val="1FCF67EB"/>
    <w:rsid w:val="1FD4596B"/>
    <w:rsid w:val="1FD47FE6"/>
    <w:rsid w:val="20045E15"/>
    <w:rsid w:val="20087C99"/>
    <w:rsid w:val="20270A5D"/>
    <w:rsid w:val="203543E6"/>
    <w:rsid w:val="205E3900"/>
    <w:rsid w:val="20734143"/>
    <w:rsid w:val="20931BF2"/>
    <w:rsid w:val="20B9542D"/>
    <w:rsid w:val="20BD28D3"/>
    <w:rsid w:val="20C626AD"/>
    <w:rsid w:val="20EF5C95"/>
    <w:rsid w:val="21041C00"/>
    <w:rsid w:val="2104629C"/>
    <w:rsid w:val="210F504D"/>
    <w:rsid w:val="21170B21"/>
    <w:rsid w:val="211E3350"/>
    <w:rsid w:val="2148258B"/>
    <w:rsid w:val="216B481E"/>
    <w:rsid w:val="21703D3E"/>
    <w:rsid w:val="217D0370"/>
    <w:rsid w:val="21A23175"/>
    <w:rsid w:val="21B32625"/>
    <w:rsid w:val="21D320CC"/>
    <w:rsid w:val="21E63DAC"/>
    <w:rsid w:val="21EB4182"/>
    <w:rsid w:val="220252EF"/>
    <w:rsid w:val="222212FD"/>
    <w:rsid w:val="223D1B17"/>
    <w:rsid w:val="225D0CCB"/>
    <w:rsid w:val="2268661C"/>
    <w:rsid w:val="229D5007"/>
    <w:rsid w:val="22C55AC9"/>
    <w:rsid w:val="22FD3CF7"/>
    <w:rsid w:val="23055AE2"/>
    <w:rsid w:val="23100E8A"/>
    <w:rsid w:val="232079E6"/>
    <w:rsid w:val="232A43C0"/>
    <w:rsid w:val="233B6F6D"/>
    <w:rsid w:val="234A44CD"/>
    <w:rsid w:val="236D6B4E"/>
    <w:rsid w:val="23AC19E3"/>
    <w:rsid w:val="23D322D3"/>
    <w:rsid w:val="23DB76DF"/>
    <w:rsid w:val="23FA7D8F"/>
    <w:rsid w:val="240F3CE2"/>
    <w:rsid w:val="241B3D4C"/>
    <w:rsid w:val="241F40BC"/>
    <w:rsid w:val="242106E3"/>
    <w:rsid w:val="242320B4"/>
    <w:rsid w:val="2437271F"/>
    <w:rsid w:val="243E45C7"/>
    <w:rsid w:val="244B7BF2"/>
    <w:rsid w:val="245F252D"/>
    <w:rsid w:val="24785650"/>
    <w:rsid w:val="249C349D"/>
    <w:rsid w:val="24A24B56"/>
    <w:rsid w:val="24A474E4"/>
    <w:rsid w:val="24A831E4"/>
    <w:rsid w:val="24C1313C"/>
    <w:rsid w:val="24D3401A"/>
    <w:rsid w:val="24ED1154"/>
    <w:rsid w:val="24F829C8"/>
    <w:rsid w:val="25056918"/>
    <w:rsid w:val="251870E7"/>
    <w:rsid w:val="253201D9"/>
    <w:rsid w:val="253C4D26"/>
    <w:rsid w:val="2572021B"/>
    <w:rsid w:val="257F22D1"/>
    <w:rsid w:val="259A3A7F"/>
    <w:rsid w:val="25B76FF0"/>
    <w:rsid w:val="25C33172"/>
    <w:rsid w:val="25C65F86"/>
    <w:rsid w:val="25F25669"/>
    <w:rsid w:val="260E79FF"/>
    <w:rsid w:val="26145C7C"/>
    <w:rsid w:val="2620356A"/>
    <w:rsid w:val="2651575E"/>
    <w:rsid w:val="266D3E6D"/>
    <w:rsid w:val="267731D1"/>
    <w:rsid w:val="267907D5"/>
    <w:rsid w:val="26873E45"/>
    <w:rsid w:val="26B353DC"/>
    <w:rsid w:val="26DC0619"/>
    <w:rsid w:val="27195933"/>
    <w:rsid w:val="273B3CF7"/>
    <w:rsid w:val="27475541"/>
    <w:rsid w:val="275671B8"/>
    <w:rsid w:val="277577D6"/>
    <w:rsid w:val="27762C81"/>
    <w:rsid w:val="277933CE"/>
    <w:rsid w:val="27810899"/>
    <w:rsid w:val="27967104"/>
    <w:rsid w:val="27996673"/>
    <w:rsid w:val="279D596A"/>
    <w:rsid w:val="27A50D40"/>
    <w:rsid w:val="27A7649B"/>
    <w:rsid w:val="27B824C4"/>
    <w:rsid w:val="27F87DFF"/>
    <w:rsid w:val="28331903"/>
    <w:rsid w:val="28586DA0"/>
    <w:rsid w:val="285F2F3A"/>
    <w:rsid w:val="286B1703"/>
    <w:rsid w:val="287E64FF"/>
    <w:rsid w:val="28865B09"/>
    <w:rsid w:val="289D43F9"/>
    <w:rsid w:val="289E124B"/>
    <w:rsid w:val="28BD2CF4"/>
    <w:rsid w:val="28E274DE"/>
    <w:rsid w:val="28F238F0"/>
    <w:rsid w:val="28F95311"/>
    <w:rsid w:val="291A0D29"/>
    <w:rsid w:val="29311825"/>
    <w:rsid w:val="295E6B72"/>
    <w:rsid w:val="29606AF1"/>
    <w:rsid w:val="297840D8"/>
    <w:rsid w:val="298F4EF3"/>
    <w:rsid w:val="299F78B6"/>
    <w:rsid w:val="29B3230C"/>
    <w:rsid w:val="29B97BA4"/>
    <w:rsid w:val="29CB06D7"/>
    <w:rsid w:val="29D30EAF"/>
    <w:rsid w:val="29D357B2"/>
    <w:rsid w:val="29E62EBE"/>
    <w:rsid w:val="29EE1BD8"/>
    <w:rsid w:val="29F73A25"/>
    <w:rsid w:val="2A04012A"/>
    <w:rsid w:val="2A06146B"/>
    <w:rsid w:val="2A164F5A"/>
    <w:rsid w:val="2A1D6EA4"/>
    <w:rsid w:val="2A6B02A8"/>
    <w:rsid w:val="2A7B2BC2"/>
    <w:rsid w:val="2A7F14C7"/>
    <w:rsid w:val="2A9845F0"/>
    <w:rsid w:val="2AC63C23"/>
    <w:rsid w:val="2AD4774F"/>
    <w:rsid w:val="2AE90B77"/>
    <w:rsid w:val="2AFC4894"/>
    <w:rsid w:val="2B230BC7"/>
    <w:rsid w:val="2B25767C"/>
    <w:rsid w:val="2B376DFF"/>
    <w:rsid w:val="2B4C1378"/>
    <w:rsid w:val="2B5841C1"/>
    <w:rsid w:val="2B634913"/>
    <w:rsid w:val="2B664AA8"/>
    <w:rsid w:val="2B68108F"/>
    <w:rsid w:val="2B6E5792"/>
    <w:rsid w:val="2B6F54BD"/>
    <w:rsid w:val="2B84102E"/>
    <w:rsid w:val="2B8751C0"/>
    <w:rsid w:val="2B8B0C1D"/>
    <w:rsid w:val="2BCB1306"/>
    <w:rsid w:val="2BCD0DE9"/>
    <w:rsid w:val="2BCF20EE"/>
    <w:rsid w:val="2BD34CF1"/>
    <w:rsid w:val="2BD71724"/>
    <w:rsid w:val="2BEE56AA"/>
    <w:rsid w:val="2BFF4DBC"/>
    <w:rsid w:val="2C165AE7"/>
    <w:rsid w:val="2C197C11"/>
    <w:rsid w:val="2C1D7C6F"/>
    <w:rsid w:val="2C5A484A"/>
    <w:rsid w:val="2C974E26"/>
    <w:rsid w:val="2C9E14C2"/>
    <w:rsid w:val="2CC13BF5"/>
    <w:rsid w:val="2CCD05D7"/>
    <w:rsid w:val="2CE85574"/>
    <w:rsid w:val="2CEA3B3F"/>
    <w:rsid w:val="2CFF066C"/>
    <w:rsid w:val="2D0068BE"/>
    <w:rsid w:val="2D1C4BA9"/>
    <w:rsid w:val="2D44062F"/>
    <w:rsid w:val="2D5503F3"/>
    <w:rsid w:val="2D5931D7"/>
    <w:rsid w:val="2D805233"/>
    <w:rsid w:val="2D880734"/>
    <w:rsid w:val="2D9F5D44"/>
    <w:rsid w:val="2DA127E9"/>
    <w:rsid w:val="2DBA61AE"/>
    <w:rsid w:val="2DD05C44"/>
    <w:rsid w:val="2DE00818"/>
    <w:rsid w:val="2DE30D73"/>
    <w:rsid w:val="2DE95C61"/>
    <w:rsid w:val="2DFC3737"/>
    <w:rsid w:val="2E092E20"/>
    <w:rsid w:val="2E1D799E"/>
    <w:rsid w:val="2E445064"/>
    <w:rsid w:val="2E5E4C46"/>
    <w:rsid w:val="2E9564D6"/>
    <w:rsid w:val="2EAF7ABA"/>
    <w:rsid w:val="2EF04710"/>
    <w:rsid w:val="2EFC2207"/>
    <w:rsid w:val="2F3C63B4"/>
    <w:rsid w:val="2F3D1F5C"/>
    <w:rsid w:val="2F5E6405"/>
    <w:rsid w:val="2F6A44C2"/>
    <w:rsid w:val="2F7368A7"/>
    <w:rsid w:val="2F9B5D64"/>
    <w:rsid w:val="2FAE0E52"/>
    <w:rsid w:val="2FB96E4E"/>
    <w:rsid w:val="2FCC1679"/>
    <w:rsid w:val="2FF47A4A"/>
    <w:rsid w:val="30041AE8"/>
    <w:rsid w:val="301B5CE7"/>
    <w:rsid w:val="301D51DB"/>
    <w:rsid w:val="302B1EEE"/>
    <w:rsid w:val="303D4E30"/>
    <w:rsid w:val="30611B6D"/>
    <w:rsid w:val="306D7B1F"/>
    <w:rsid w:val="30902D63"/>
    <w:rsid w:val="309532C1"/>
    <w:rsid w:val="30A751D7"/>
    <w:rsid w:val="30EC6FAC"/>
    <w:rsid w:val="30EF53E6"/>
    <w:rsid w:val="30F350F6"/>
    <w:rsid w:val="310C2B63"/>
    <w:rsid w:val="313E1763"/>
    <w:rsid w:val="313E79B5"/>
    <w:rsid w:val="315D0B0B"/>
    <w:rsid w:val="31740F1E"/>
    <w:rsid w:val="317653A0"/>
    <w:rsid w:val="318B18A1"/>
    <w:rsid w:val="319B6CE9"/>
    <w:rsid w:val="31BA5621"/>
    <w:rsid w:val="31BD2FCF"/>
    <w:rsid w:val="31E72423"/>
    <w:rsid w:val="31F1357D"/>
    <w:rsid w:val="321D2357"/>
    <w:rsid w:val="32300AE3"/>
    <w:rsid w:val="323B37F3"/>
    <w:rsid w:val="32413B97"/>
    <w:rsid w:val="32490D4C"/>
    <w:rsid w:val="328A3658"/>
    <w:rsid w:val="329769BD"/>
    <w:rsid w:val="32C0342E"/>
    <w:rsid w:val="32D260EE"/>
    <w:rsid w:val="32DC6FA1"/>
    <w:rsid w:val="32F74077"/>
    <w:rsid w:val="33267D80"/>
    <w:rsid w:val="332A457E"/>
    <w:rsid w:val="332E662C"/>
    <w:rsid w:val="334C55A8"/>
    <w:rsid w:val="334F6D3D"/>
    <w:rsid w:val="335453C3"/>
    <w:rsid w:val="335C6818"/>
    <w:rsid w:val="337A0A4C"/>
    <w:rsid w:val="33A41CCA"/>
    <w:rsid w:val="33DA14EB"/>
    <w:rsid w:val="33DB43A2"/>
    <w:rsid w:val="33E826A8"/>
    <w:rsid w:val="340B70F0"/>
    <w:rsid w:val="34152278"/>
    <w:rsid w:val="342C56A3"/>
    <w:rsid w:val="34341772"/>
    <w:rsid w:val="34356E11"/>
    <w:rsid w:val="346929A5"/>
    <w:rsid w:val="346D5E8F"/>
    <w:rsid w:val="34773A53"/>
    <w:rsid w:val="34785525"/>
    <w:rsid w:val="347F0388"/>
    <w:rsid w:val="348979BE"/>
    <w:rsid w:val="349F4C0E"/>
    <w:rsid w:val="34AC6619"/>
    <w:rsid w:val="34D20A45"/>
    <w:rsid w:val="34D83C7C"/>
    <w:rsid w:val="34FC00D9"/>
    <w:rsid w:val="34FE3200"/>
    <w:rsid w:val="350015E8"/>
    <w:rsid w:val="350506B1"/>
    <w:rsid w:val="35247985"/>
    <w:rsid w:val="352A7547"/>
    <w:rsid w:val="35321AF6"/>
    <w:rsid w:val="35354FF1"/>
    <w:rsid w:val="35370DDB"/>
    <w:rsid w:val="35415CC5"/>
    <w:rsid w:val="354256C3"/>
    <w:rsid w:val="354A495E"/>
    <w:rsid w:val="35511985"/>
    <w:rsid w:val="356C5F96"/>
    <w:rsid w:val="35787646"/>
    <w:rsid w:val="35952619"/>
    <w:rsid w:val="35B55932"/>
    <w:rsid w:val="35B7305A"/>
    <w:rsid w:val="35CF2253"/>
    <w:rsid w:val="35D16939"/>
    <w:rsid w:val="35DA7F09"/>
    <w:rsid w:val="35E92FBB"/>
    <w:rsid w:val="35F0600B"/>
    <w:rsid w:val="35FB0557"/>
    <w:rsid w:val="36026AA7"/>
    <w:rsid w:val="360F30AC"/>
    <w:rsid w:val="361F5A02"/>
    <w:rsid w:val="36222011"/>
    <w:rsid w:val="36453517"/>
    <w:rsid w:val="36524DCE"/>
    <w:rsid w:val="36867804"/>
    <w:rsid w:val="36891E17"/>
    <w:rsid w:val="368F7C07"/>
    <w:rsid w:val="36A62889"/>
    <w:rsid w:val="36AC65E1"/>
    <w:rsid w:val="36D1436C"/>
    <w:rsid w:val="36E71175"/>
    <w:rsid w:val="36EE0EF7"/>
    <w:rsid w:val="36FE23CF"/>
    <w:rsid w:val="36FF31AB"/>
    <w:rsid w:val="370152BB"/>
    <w:rsid w:val="371151BF"/>
    <w:rsid w:val="37120D69"/>
    <w:rsid w:val="3715036C"/>
    <w:rsid w:val="371B7CF7"/>
    <w:rsid w:val="37306998"/>
    <w:rsid w:val="37322CBC"/>
    <w:rsid w:val="37364DBD"/>
    <w:rsid w:val="3738315E"/>
    <w:rsid w:val="373A57F2"/>
    <w:rsid w:val="37445638"/>
    <w:rsid w:val="374704C4"/>
    <w:rsid w:val="374B5BA2"/>
    <w:rsid w:val="37734130"/>
    <w:rsid w:val="37870763"/>
    <w:rsid w:val="37874E28"/>
    <w:rsid w:val="37974803"/>
    <w:rsid w:val="37981102"/>
    <w:rsid w:val="37AA7989"/>
    <w:rsid w:val="37B41D4B"/>
    <w:rsid w:val="37B80E66"/>
    <w:rsid w:val="37C4374F"/>
    <w:rsid w:val="37CD795F"/>
    <w:rsid w:val="37D6042A"/>
    <w:rsid w:val="37F9FFC0"/>
    <w:rsid w:val="38014688"/>
    <w:rsid w:val="38194620"/>
    <w:rsid w:val="38310116"/>
    <w:rsid w:val="38483784"/>
    <w:rsid w:val="384F5B68"/>
    <w:rsid w:val="385A0A04"/>
    <w:rsid w:val="3878252B"/>
    <w:rsid w:val="38791ABA"/>
    <w:rsid w:val="387C0EB5"/>
    <w:rsid w:val="38B77E9B"/>
    <w:rsid w:val="38BA6025"/>
    <w:rsid w:val="38F4304F"/>
    <w:rsid w:val="39417E72"/>
    <w:rsid w:val="396337C9"/>
    <w:rsid w:val="39654509"/>
    <w:rsid w:val="396F69B4"/>
    <w:rsid w:val="3983100C"/>
    <w:rsid w:val="398D0725"/>
    <w:rsid w:val="399B2270"/>
    <w:rsid w:val="39CD2AE4"/>
    <w:rsid w:val="39D228A1"/>
    <w:rsid w:val="39DA212F"/>
    <w:rsid w:val="39DD7046"/>
    <w:rsid w:val="39E65C0C"/>
    <w:rsid w:val="39F02D83"/>
    <w:rsid w:val="39F95935"/>
    <w:rsid w:val="39FB0887"/>
    <w:rsid w:val="3A0834D5"/>
    <w:rsid w:val="3A0B68A2"/>
    <w:rsid w:val="3A134E7C"/>
    <w:rsid w:val="3A1976E0"/>
    <w:rsid w:val="3A2A049B"/>
    <w:rsid w:val="3A2B061E"/>
    <w:rsid w:val="3A2D368A"/>
    <w:rsid w:val="3A30545C"/>
    <w:rsid w:val="3A3D2D97"/>
    <w:rsid w:val="3A43505D"/>
    <w:rsid w:val="3A7204EA"/>
    <w:rsid w:val="3ABC01EE"/>
    <w:rsid w:val="3AC23843"/>
    <w:rsid w:val="3AC74A80"/>
    <w:rsid w:val="3AC84000"/>
    <w:rsid w:val="3AF41507"/>
    <w:rsid w:val="3B021F36"/>
    <w:rsid w:val="3B3458AE"/>
    <w:rsid w:val="3B452519"/>
    <w:rsid w:val="3B54686E"/>
    <w:rsid w:val="3B617677"/>
    <w:rsid w:val="3B942635"/>
    <w:rsid w:val="3B9B6557"/>
    <w:rsid w:val="3BA96B71"/>
    <w:rsid w:val="3BAC2D91"/>
    <w:rsid w:val="3BC769F3"/>
    <w:rsid w:val="3BDE70DF"/>
    <w:rsid w:val="3BDF44B4"/>
    <w:rsid w:val="3BE432F7"/>
    <w:rsid w:val="3BEB7BAD"/>
    <w:rsid w:val="3BF359E8"/>
    <w:rsid w:val="3C0B2548"/>
    <w:rsid w:val="3C1B64BB"/>
    <w:rsid w:val="3C381E36"/>
    <w:rsid w:val="3C4E70C5"/>
    <w:rsid w:val="3C7B5E65"/>
    <w:rsid w:val="3C966616"/>
    <w:rsid w:val="3CB22926"/>
    <w:rsid w:val="3CB477A3"/>
    <w:rsid w:val="3CB52527"/>
    <w:rsid w:val="3CDB3C72"/>
    <w:rsid w:val="3CE81A7C"/>
    <w:rsid w:val="3D1069DA"/>
    <w:rsid w:val="3D221ACF"/>
    <w:rsid w:val="3D2A7F67"/>
    <w:rsid w:val="3D471A96"/>
    <w:rsid w:val="3D614BBF"/>
    <w:rsid w:val="3D833E79"/>
    <w:rsid w:val="3D866FAA"/>
    <w:rsid w:val="3D914A71"/>
    <w:rsid w:val="3D993E1E"/>
    <w:rsid w:val="3DA71B01"/>
    <w:rsid w:val="3DB60AC0"/>
    <w:rsid w:val="3DDC3DA2"/>
    <w:rsid w:val="3DE27716"/>
    <w:rsid w:val="3DEE2977"/>
    <w:rsid w:val="3DF85193"/>
    <w:rsid w:val="3E171AC4"/>
    <w:rsid w:val="3E18216E"/>
    <w:rsid w:val="3E216694"/>
    <w:rsid w:val="3E2A2088"/>
    <w:rsid w:val="3E2D5D2F"/>
    <w:rsid w:val="3E361F0D"/>
    <w:rsid w:val="3E3E0189"/>
    <w:rsid w:val="3E560707"/>
    <w:rsid w:val="3E92439A"/>
    <w:rsid w:val="3EAA3358"/>
    <w:rsid w:val="3EAB07F9"/>
    <w:rsid w:val="3EAC7F9F"/>
    <w:rsid w:val="3ED62333"/>
    <w:rsid w:val="3EE11F9F"/>
    <w:rsid w:val="3EE549F5"/>
    <w:rsid w:val="3EF7158A"/>
    <w:rsid w:val="3EFF5F12"/>
    <w:rsid w:val="3F017AAD"/>
    <w:rsid w:val="3F077838"/>
    <w:rsid w:val="3F1B4469"/>
    <w:rsid w:val="3F224BED"/>
    <w:rsid w:val="3F2B709E"/>
    <w:rsid w:val="3F4809F7"/>
    <w:rsid w:val="3F5E5528"/>
    <w:rsid w:val="3F6D4CB2"/>
    <w:rsid w:val="3F8216E0"/>
    <w:rsid w:val="3F843BBE"/>
    <w:rsid w:val="3FA32CC6"/>
    <w:rsid w:val="3FB47B8D"/>
    <w:rsid w:val="3FE23867"/>
    <w:rsid w:val="3FE54091"/>
    <w:rsid w:val="3FE61943"/>
    <w:rsid w:val="3FF17476"/>
    <w:rsid w:val="3FF2080A"/>
    <w:rsid w:val="40014D4C"/>
    <w:rsid w:val="4003089F"/>
    <w:rsid w:val="400C43FC"/>
    <w:rsid w:val="402406BD"/>
    <w:rsid w:val="40326890"/>
    <w:rsid w:val="403C59C0"/>
    <w:rsid w:val="40657240"/>
    <w:rsid w:val="406F7D44"/>
    <w:rsid w:val="4081207C"/>
    <w:rsid w:val="40965A05"/>
    <w:rsid w:val="40BF0055"/>
    <w:rsid w:val="40DB1222"/>
    <w:rsid w:val="40EE24DC"/>
    <w:rsid w:val="40F77B80"/>
    <w:rsid w:val="4127313D"/>
    <w:rsid w:val="413B04EA"/>
    <w:rsid w:val="41A24424"/>
    <w:rsid w:val="41A97B8E"/>
    <w:rsid w:val="41D731B5"/>
    <w:rsid w:val="42012A59"/>
    <w:rsid w:val="420F4049"/>
    <w:rsid w:val="42295B17"/>
    <w:rsid w:val="422C360E"/>
    <w:rsid w:val="42503C7F"/>
    <w:rsid w:val="42702248"/>
    <w:rsid w:val="427F7E2D"/>
    <w:rsid w:val="428414F0"/>
    <w:rsid w:val="42905FED"/>
    <w:rsid w:val="429338D8"/>
    <w:rsid w:val="429C1FDF"/>
    <w:rsid w:val="42AD6C5D"/>
    <w:rsid w:val="42AD715E"/>
    <w:rsid w:val="42B05E18"/>
    <w:rsid w:val="42CB59A5"/>
    <w:rsid w:val="42EF6C21"/>
    <w:rsid w:val="430516D1"/>
    <w:rsid w:val="431C0C27"/>
    <w:rsid w:val="432E54A2"/>
    <w:rsid w:val="433832DD"/>
    <w:rsid w:val="434F017C"/>
    <w:rsid w:val="4362139B"/>
    <w:rsid w:val="436A06BA"/>
    <w:rsid w:val="43966024"/>
    <w:rsid w:val="43990A6F"/>
    <w:rsid w:val="43A35F00"/>
    <w:rsid w:val="43D2324F"/>
    <w:rsid w:val="43F6411F"/>
    <w:rsid w:val="441D5B50"/>
    <w:rsid w:val="442F6BA5"/>
    <w:rsid w:val="4431076F"/>
    <w:rsid w:val="448434D9"/>
    <w:rsid w:val="449A1171"/>
    <w:rsid w:val="44AA7191"/>
    <w:rsid w:val="44BE5DD5"/>
    <w:rsid w:val="44C070D7"/>
    <w:rsid w:val="44DE0CB4"/>
    <w:rsid w:val="44EE00F9"/>
    <w:rsid w:val="44FC16F7"/>
    <w:rsid w:val="450C4F1D"/>
    <w:rsid w:val="45266E38"/>
    <w:rsid w:val="45344135"/>
    <w:rsid w:val="4536001D"/>
    <w:rsid w:val="453C49D0"/>
    <w:rsid w:val="453E1BA6"/>
    <w:rsid w:val="45534E7E"/>
    <w:rsid w:val="455659FE"/>
    <w:rsid w:val="4586705D"/>
    <w:rsid w:val="45876384"/>
    <w:rsid w:val="459B196B"/>
    <w:rsid w:val="45C71DB1"/>
    <w:rsid w:val="45D24FF7"/>
    <w:rsid w:val="45D77B37"/>
    <w:rsid w:val="45DD4DC1"/>
    <w:rsid w:val="45E91640"/>
    <w:rsid w:val="45ED15CB"/>
    <w:rsid w:val="45F14B9E"/>
    <w:rsid w:val="45FF7A66"/>
    <w:rsid w:val="4617510C"/>
    <w:rsid w:val="461B0248"/>
    <w:rsid w:val="461D6A8E"/>
    <w:rsid w:val="462D66FA"/>
    <w:rsid w:val="462F3918"/>
    <w:rsid w:val="46472A10"/>
    <w:rsid w:val="4666290D"/>
    <w:rsid w:val="466B6D95"/>
    <w:rsid w:val="46780C70"/>
    <w:rsid w:val="46851FCA"/>
    <w:rsid w:val="4697073F"/>
    <w:rsid w:val="469A077B"/>
    <w:rsid w:val="469E0B58"/>
    <w:rsid w:val="46A2629B"/>
    <w:rsid w:val="46B11CD5"/>
    <w:rsid w:val="46B3785E"/>
    <w:rsid w:val="46B756B9"/>
    <w:rsid w:val="46FA1DA3"/>
    <w:rsid w:val="47072FAE"/>
    <w:rsid w:val="47112DA6"/>
    <w:rsid w:val="471A14B7"/>
    <w:rsid w:val="47430B28"/>
    <w:rsid w:val="474657FE"/>
    <w:rsid w:val="47761545"/>
    <w:rsid w:val="47775452"/>
    <w:rsid w:val="477B03E8"/>
    <w:rsid w:val="478E5CD5"/>
    <w:rsid w:val="47AB6FCE"/>
    <w:rsid w:val="47B5739B"/>
    <w:rsid w:val="47BE36AE"/>
    <w:rsid w:val="47D85D6C"/>
    <w:rsid w:val="47DC5924"/>
    <w:rsid w:val="47EE4D13"/>
    <w:rsid w:val="48050312"/>
    <w:rsid w:val="48172D6C"/>
    <w:rsid w:val="481935D8"/>
    <w:rsid w:val="481A3538"/>
    <w:rsid w:val="48381089"/>
    <w:rsid w:val="483B187F"/>
    <w:rsid w:val="48497FAC"/>
    <w:rsid w:val="485338EE"/>
    <w:rsid w:val="485E47AF"/>
    <w:rsid w:val="489133E5"/>
    <w:rsid w:val="48A104E1"/>
    <w:rsid w:val="48A759E8"/>
    <w:rsid w:val="48B60321"/>
    <w:rsid w:val="48C86911"/>
    <w:rsid w:val="48CA2893"/>
    <w:rsid w:val="48DB7303"/>
    <w:rsid w:val="48F232BB"/>
    <w:rsid w:val="491E4377"/>
    <w:rsid w:val="493B2B85"/>
    <w:rsid w:val="49476BC8"/>
    <w:rsid w:val="49495EC9"/>
    <w:rsid w:val="49601FFF"/>
    <w:rsid w:val="496C6BB4"/>
    <w:rsid w:val="496F2879"/>
    <w:rsid w:val="497345F8"/>
    <w:rsid w:val="497B39E0"/>
    <w:rsid w:val="4983317C"/>
    <w:rsid w:val="498404CE"/>
    <w:rsid w:val="49AB7BBB"/>
    <w:rsid w:val="49B7484D"/>
    <w:rsid w:val="49CA15DA"/>
    <w:rsid w:val="49CB203A"/>
    <w:rsid w:val="49D04EA8"/>
    <w:rsid w:val="49EF5898"/>
    <w:rsid w:val="49F90CD3"/>
    <w:rsid w:val="49FE0680"/>
    <w:rsid w:val="4A077580"/>
    <w:rsid w:val="4A190B1F"/>
    <w:rsid w:val="4A1C3B3B"/>
    <w:rsid w:val="4A356CEB"/>
    <w:rsid w:val="4A3D03E0"/>
    <w:rsid w:val="4A4C2CEB"/>
    <w:rsid w:val="4A531BFE"/>
    <w:rsid w:val="4A6025A7"/>
    <w:rsid w:val="4A6401CF"/>
    <w:rsid w:val="4A64791A"/>
    <w:rsid w:val="4A6E7BB8"/>
    <w:rsid w:val="4A861153"/>
    <w:rsid w:val="4AA74793"/>
    <w:rsid w:val="4AEA6325"/>
    <w:rsid w:val="4AF22A01"/>
    <w:rsid w:val="4B3777B4"/>
    <w:rsid w:val="4B585C28"/>
    <w:rsid w:val="4BCF4727"/>
    <w:rsid w:val="4BD24D75"/>
    <w:rsid w:val="4BDE16DD"/>
    <w:rsid w:val="4BE41090"/>
    <w:rsid w:val="4BEE55BB"/>
    <w:rsid w:val="4C1A5CE7"/>
    <w:rsid w:val="4C1F6E90"/>
    <w:rsid w:val="4C570FDC"/>
    <w:rsid w:val="4C784527"/>
    <w:rsid w:val="4C80766E"/>
    <w:rsid w:val="4C9F1D79"/>
    <w:rsid w:val="4CC91BA1"/>
    <w:rsid w:val="4CE21929"/>
    <w:rsid w:val="4CE36A34"/>
    <w:rsid w:val="4CE4545C"/>
    <w:rsid w:val="4CF17B79"/>
    <w:rsid w:val="4D1C7E93"/>
    <w:rsid w:val="4D377DC3"/>
    <w:rsid w:val="4D5A40F4"/>
    <w:rsid w:val="4D677E3B"/>
    <w:rsid w:val="4DC11902"/>
    <w:rsid w:val="4DC16DD5"/>
    <w:rsid w:val="4E1F19BD"/>
    <w:rsid w:val="4E4D7793"/>
    <w:rsid w:val="4E52163B"/>
    <w:rsid w:val="4E533B9E"/>
    <w:rsid w:val="4E6F3D74"/>
    <w:rsid w:val="4E944A86"/>
    <w:rsid w:val="4E9F5BF5"/>
    <w:rsid w:val="4EAE429A"/>
    <w:rsid w:val="4EC15329"/>
    <w:rsid w:val="4ED57E88"/>
    <w:rsid w:val="4ED9366C"/>
    <w:rsid w:val="4EE87E31"/>
    <w:rsid w:val="4EE96D5A"/>
    <w:rsid w:val="4F0771E0"/>
    <w:rsid w:val="4F165675"/>
    <w:rsid w:val="4F1B0216"/>
    <w:rsid w:val="4F213764"/>
    <w:rsid w:val="4F2A2171"/>
    <w:rsid w:val="4F314E1D"/>
    <w:rsid w:val="4F442E5D"/>
    <w:rsid w:val="4F44379D"/>
    <w:rsid w:val="4F465D3C"/>
    <w:rsid w:val="4F545C2A"/>
    <w:rsid w:val="4F5A37B4"/>
    <w:rsid w:val="4F886CA3"/>
    <w:rsid w:val="4FBC1439"/>
    <w:rsid w:val="4FBF4BE3"/>
    <w:rsid w:val="4FCB6477"/>
    <w:rsid w:val="4FD028FF"/>
    <w:rsid w:val="4FE626BF"/>
    <w:rsid w:val="501F267E"/>
    <w:rsid w:val="502838B2"/>
    <w:rsid w:val="50330D94"/>
    <w:rsid w:val="50421C69"/>
    <w:rsid w:val="504466E3"/>
    <w:rsid w:val="50471644"/>
    <w:rsid w:val="504A4CA7"/>
    <w:rsid w:val="5076286F"/>
    <w:rsid w:val="507C3E36"/>
    <w:rsid w:val="508D0734"/>
    <w:rsid w:val="50CE3319"/>
    <w:rsid w:val="50D0772D"/>
    <w:rsid w:val="50DF2ABC"/>
    <w:rsid w:val="50F97C41"/>
    <w:rsid w:val="51051E45"/>
    <w:rsid w:val="510B1E8D"/>
    <w:rsid w:val="51442461"/>
    <w:rsid w:val="515962F8"/>
    <w:rsid w:val="516A3A56"/>
    <w:rsid w:val="516B26E9"/>
    <w:rsid w:val="517664B3"/>
    <w:rsid w:val="517C04A2"/>
    <w:rsid w:val="51805044"/>
    <w:rsid w:val="51964007"/>
    <w:rsid w:val="51CB39BF"/>
    <w:rsid w:val="51DC782B"/>
    <w:rsid w:val="51DC7922"/>
    <w:rsid w:val="51F11262"/>
    <w:rsid w:val="52183ABE"/>
    <w:rsid w:val="5237602E"/>
    <w:rsid w:val="523F0155"/>
    <w:rsid w:val="52461B6F"/>
    <w:rsid w:val="526C46B1"/>
    <w:rsid w:val="527B6989"/>
    <w:rsid w:val="527B792D"/>
    <w:rsid w:val="527D63D3"/>
    <w:rsid w:val="52800F51"/>
    <w:rsid w:val="52A515EE"/>
    <w:rsid w:val="52A673B3"/>
    <w:rsid w:val="52A720A8"/>
    <w:rsid w:val="52A955AB"/>
    <w:rsid w:val="52BE7ACF"/>
    <w:rsid w:val="53337777"/>
    <w:rsid w:val="53640D14"/>
    <w:rsid w:val="536B7B4C"/>
    <w:rsid w:val="53A76E30"/>
    <w:rsid w:val="53AA6453"/>
    <w:rsid w:val="53AB1E00"/>
    <w:rsid w:val="53C9483F"/>
    <w:rsid w:val="53D03DB1"/>
    <w:rsid w:val="53E14EEE"/>
    <w:rsid w:val="53E227A0"/>
    <w:rsid w:val="53EB7352"/>
    <w:rsid w:val="54091C4C"/>
    <w:rsid w:val="541926B1"/>
    <w:rsid w:val="5422686A"/>
    <w:rsid w:val="542720D3"/>
    <w:rsid w:val="54275A1C"/>
    <w:rsid w:val="542B5673"/>
    <w:rsid w:val="54324DA4"/>
    <w:rsid w:val="5445084F"/>
    <w:rsid w:val="54462AAE"/>
    <w:rsid w:val="54712F93"/>
    <w:rsid w:val="54AA5233"/>
    <w:rsid w:val="54BF7C08"/>
    <w:rsid w:val="54D526BD"/>
    <w:rsid w:val="54E37BAF"/>
    <w:rsid w:val="54F945DF"/>
    <w:rsid w:val="55050BB9"/>
    <w:rsid w:val="550D1A53"/>
    <w:rsid w:val="5514470E"/>
    <w:rsid w:val="551E1977"/>
    <w:rsid w:val="552A59D6"/>
    <w:rsid w:val="554C277D"/>
    <w:rsid w:val="554E2794"/>
    <w:rsid w:val="555F06A6"/>
    <w:rsid w:val="5566566D"/>
    <w:rsid w:val="5572737D"/>
    <w:rsid w:val="55801BAC"/>
    <w:rsid w:val="558934D9"/>
    <w:rsid w:val="559343F8"/>
    <w:rsid w:val="55945546"/>
    <w:rsid w:val="55A048E4"/>
    <w:rsid w:val="55A84C13"/>
    <w:rsid w:val="55B07AA1"/>
    <w:rsid w:val="55BC501B"/>
    <w:rsid w:val="55C53C6A"/>
    <w:rsid w:val="55F34F36"/>
    <w:rsid w:val="55FF537E"/>
    <w:rsid w:val="5620701B"/>
    <w:rsid w:val="563F277C"/>
    <w:rsid w:val="566717CE"/>
    <w:rsid w:val="566F5D6B"/>
    <w:rsid w:val="567A2B6B"/>
    <w:rsid w:val="56856B80"/>
    <w:rsid w:val="569A4B9D"/>
    <w:rsid w:val="56AE7644"/>
    <w:rsid w:val="56D01AD6"/>
    <w:rsid w:val="56D025AE"/>
    <w:rsid w:val="56E31118"/>
    <w:rsid w:val="56E37EF6"/>
    <w:rsid w:val="56EA2DBB"/>
    <w:rsid w:val="56EE5184"/>
    <w:rsid w:val="56F225F5"/>
    <w:rsid w:val="56F60F76"/>
    <w:rsid w:val="571B011B"/>
    <w:rsid w:val="572440FC"/>
    <w:rsid w:val="572C6AC1"/>
    <w:rsid w:val="573F72B3"/>
    <w:rsid w:val="574355A9"/>
    <w:rsid w:val="576158FB"/>
    <w:rsid w:val="577E261B"/>
    <w:rsid w:val="57952E30"/>
    <w:rsid w:val="57A604AB"/>
    <w:rsid w:val="57BF34B0"/>
    <w:rsid w:val="57BF51F9"/>
    <w:rsid w:val="57D34F8E"/>
    <w:rsid w:val="57DE2A0D"/>
    <w:rsid w:val="57DF3E9C"/>
    <w:rsid w:val="5804599B"/>
    <w:rsid w:val="58105328"/>
    <w:rsid w:val="58111B8A"/>
    <w:rsid w:val="58191195"/>
    <w:rsid w:val="581F7145"/>
    <w:rsid w:val="582A7A9E"/>
    <w:rsid w:val="5867301D"/>
    <w:rsid w:val="589D1C70"/>
    <w:rsid w:val="58A96885"/>
    <w:rsid w:val="58B008E9"/>
    <w:rsid w:val="58B638C1"/>
    <w:rsid w:val="58B9564B"/>
    <w:rsid w:val="58CB2E83"/>
    <w:rsid w:val="58D97E3F"/>
    <w:rsid w:val="58DC2558"/>
    <w:rsid w:val="58E819D3"/>
    <w:rsid w:val="58E96CBE"/>
    <w:rsid w:val="58FC6126"/>
    <w:rsid w:val="59024134"/>
    <w:rsid w:val="591D0966"/>
    <w:rsid w:val="59266DFD"/>
    <w:rsid w:val="592E6ADF"/>
    <w:rsid w:val="59701E26"/>
    <w:rsid w:val="597C465F"/>
    <w:rsid w:val="59814F23"/>
    <w:rsid w:val="59907A7D"/>
    <w:rsid w:val="599E0097"/>
    <w:rsid w:val="59AC3452"/>
    <w:rsid w:val="59B00B7E"/>
    <w:rsid w:val="59BA410A"/>
    <w:rsid w:val="59C524D5"/>
    <w:rsid w:val="59D414DC"/>
    <w:rsid w:val="59E5393F"/>
    <w:rsid w:val="59E910F2"/>
    <w:rsid w:val="59FB2037"/>
    <w:rsid w:val="59FE6BB8"/>
    <w:rsid w:val="5A05126A"/>
    <w:rsid w:val="5A156A5E"/>
    <w:rsid w:val="5A200011"/>
    <w:rsid w:val="5A201415"/>
    <w:rsid w:val="5A3A0E2B"/>
    <w:rsid w:val="5A4E6713"/>
    <w:rsid w:val="5A5D71D1"/>
    <w:rsid w:val="5A5F09E5"/>
    <w:rsid w:val="5A6C3F68"/>
    <w:rsid w:val="5A8D1F1E"/>
    <w:rsid w:val="5AA96B31"/>
    <w:rsid w:val="5ABF39F2"/>
    <w:rsid w:val="5ADB3276"/>
    <w:rsid w:val="5ADF7E93"/>
    <w:rsid w:val="5AEB2F58"/>
    <w:rsid w:val="5B0519EE"/>
    <w:rsid w:val="5B143171"/>
    <w:rsid w:val="5B3C6463"/>
    <w:rsid w:val="5B7A08A2"/>
    <w:rsid w:val="5B8D2B5D"/>
    <w:rsid w:val="5BA23E80"/>
    <w:rsid w:val="5BAE46C1"/>
    <w:rsid w:val="5BF277E2"/>
    <w:rsid w:val="5BFF627E"/>
    <w:rsid w:val="5C024437"/>
    <w:rsid w:val="5C19093C"/>
    <w:rsid w:val="5C1D5B1C"/>
    <w:rsid w:val="5C2E5019"/>
    <w:rsid w:val="5C372408"/>
    <w:rsid w:val="5C414DE8"/>
    <w:rsid w:val="5C4C447D"/>
    <w:rsid w:val="5C570A5A"/>
    <w:rsid w:val="5C98591B"/>
    <w:rsid w:val="5C9D6C8F"/>
    <w:rsid w:val="5CB52A3B"/>
    <w:rsid w:val="5CC35690"/>
    <w:rsid w:val="5CC41329"/>
    <w:rsid w:val="5CC50CC2"/>
    <w:rsid w:val="5CCF5950"/>
    <w:rsid w:val="5CDC5791"/>
    <w:rsid w:val="5CDF6288"/>
    <w:rsid w:val="5CEB1EEF"/>
    <w:rsid w:val="5CFC0118"/>
    <w:rsid w:val="5D33189B"/>
    <w:rsid w:val="5D3C01FC"/>
    <w:rsid w:val="5D54201E"/>
    <w:rsid w:val="5D5C68C4"/>
    <w:rsid w:val="5D6B1203"/>
    <w:rsid w:val="5D6E725A"/>
    <w:rsid w:val="5D745F06"/>
    <w:rsid w:val="5D835912"/>
    <w:rsid w:val="5D8F6D1E"/>
    <w:rsid w:val="5D927228"/>
    <w:rsid w:val="5DA7596F"/>
    <w:rsid w:val="5DBA4DF7"/>
    <w:rsid w:val="5DC310BE"/>
    <w:rsid w:val="5DCB1D21"/>
    <w:rsid w:val="5DD56E47"/>
    <w:rsid w:val="5E045388"/>
    <w:rsid w:val="5E0B315A"/>
    <w:rsid w:val="5E2C2894"/>
    <w:rsid w:val="5E2E6509"/>
    <w:rsid w:val="5E457D25"/>
    <w:rsid w:val="5E600665"/>
    <w:rsid w:val="5E844D28"/>
    <w:rsid w:val="5E8940A1"/>
    <w:rsid w:val="5E8D4E37"/>
    <w:rsid w:val="5E940365"/>
    <w:rsid w:val="5E9807BF"/>
    <w:rsid w:val="5E9F6680"/>
    <w:rsid w:val="5EA1374F"/>
    <w:rsid w:val="5EB86AF5"/>
    <w:rsid w:val="5EC23861"/>
    <w:rsid w:val="5ED21F89"/>
    <w:rsid w:val="5EF6729B"/>
    <w:rsid w:val="5EF808F3"/>
    <w:rsid w:val="5EF9755F"/>
    <w:rsid w:val="5F110E89"/>
    <w:rsid w:val="5F1A04A7"/>
    <w:rsid w:val="5F276322"/>
    <w:rsid w:val="5F4D5684"/>
    <w:rsid w:val="5F63118D"/>
    <w:rsid w:val="5FA62A45"/>
    <w:rsid w:val="5FB17037"/>
    <w:rsid w:val="5FB9411A"/>
    <w:rsid w:val="5FD84E93"/>
    <w:rsid w:val="5FDD6B34"/>
    <w:rsid w:val="5FE307E1"/>
    <w:rsid w:val="5FE93453"/>
    <w:rsid w:val="5FF17AF7"/>
    <w:rsid w:val="600C08A3"/>
    <w:rsid w:val="60171F35"/>
    <w:rsid w:val="603C0E70"/>
    <w:rsid w:val="60444A7D"/>
    <w:rsid w:val="605178A7"/>
    <w:rsid w:val="605D4C28"/>
    <w:rsid w:val="60735155"/>
    <w:rsid w:val="608834ED"/>
    <w:rsid w:val="60B5698B"/>
    <w:rsid w:val="60B71B8D"/>
    <w:rsid w:val="60C05091"/>
    <w:rsid w:val="60C51A2C"/>
    <w:rsid w:val="60FD44EB"/>
    <w:rsid w:val="61012499"/>
    <w:rsid w:val="612B657A"/>
    <w:rsid w:val="6136238C"/>
    <w:rsid w:val="61466A22"/>
    <w:rsid w:val="61620C52"/>
    <w:rsid w:val="6176052D"/>
    <w:rsid w:val="617F70AA"/>
    <w:rsid w:val="61841955"/>
    <w:rsid w:val="618941F1"/>
    <w:rsid w:val="61920BFB"/>
    <w:rsid w:val="619B20B1"/>
    <w:rsid w:val="61A84047"/>
    <w:rsid w:val="61AE3D33"/>
    <w:rsid w:val="61D506D1"/>
    <w:rsid w:val="61D615AF"/>
    <w:rsid w:val="61E82EA1"/>
    <w:rsid w:val="61EF0F8B"/>
    <w:rsid w:val="61F71336"/>
    <w:rsid w:val="61FC0A35"/>
    <w:rsid w:val="620F7B24"/>
    <w:rsid w:val="621243C2"/>
    <w:rsid w:val="62550EC2"/>
    <w:rsid w:val="625E7607"/>
    <w:rsid w:val="627B095F"/>
    <w:rsid w:val="629038C3"/>
    <w:rsid w:val="62A20E69"/>
    <w:rsid w:val="62B8390B"/>
    <w:rsid w:val="62D37F0E"/>
    <w:rsid w:val="62DD677E"/>
    <w:rsid w:val="62E83734"/>
    <w:rsid w:val="62EA5256"/>
    <w:rsid w:val="62EC2CC1"/>
    <w:rsid w:val="62F50E97"/>
    <w:rsid w:val="62F64FE7"/>
    <w:rsid w:val="62FB09B2"/>
    <w:rsid w:val="63056EA3"/>
    <w:rsid w:val="63082288"/>
    <w:rsid w:val="6310583B"/>
    <w:rsid w:val="631C2DE5"/>
    <w:rsid w:val="633419F7"/>
    <w:rsid w:val="634E3EC3"/>
    <w:rsid w:val="635051A2"/>
    <w:rsid w:val="63513C84"/>
    <w:rsid w:val="635241C3"/>
    <w:rsid w:val="637473B8"/>
    <w:rsid w:val="638D24E1"/>
    <w:rsid w:val="63901267"/>
    <w:rsid w:val="639C0A01"/>
    <w:rsid w:val="63A55989"/>
    <w:rsid w:val="63A80B14"/>
    <w:rsid w:val="63B401A2"/>
    <w:rsid w:val="63BD660D"/>
    <w:rsid w:val="63EA4DF9"/>
    <w:rsid w:val="63EA6DE7"/>
    <w:rsid w:val="640D448F"/>
    <w:rsid w:val="64236257"/>
    <w:rsid w:val="644C161A"/>
    <w:rsid w:val="64572560"/>
    <w:rsid w:val="646802C9"/>
    <w:rsid w:val="64680F4A"/>
    <w:rsid w:val="6477675E"/>
    <w:rsid w:val="648F1840"/>
    <w:rsid w:val="64B8674B"/>
    <w:rsid w:val="64CC1DFF"/>
    <w:rsid w:val="64D97516"/>
    <w:rsid w:val="650A2CD2"/>
    <w:rsid w:val="65135B60"/>
    <w:rsid w:val="651E4E2C"/>
    <w:rsid w:val="6521472D"/>
    <w:rsid w:val="65347083"/>
    <w:rsid w:val="654F4FE5"/>
    <w:rsid w:val="65865E9F"/>
    <w:rsid w:val="65890D33"/>
    <w:rsid w:val="65890E41"/>
    <w:rsid w:val="65C030DF"/>
    <w:rsid w:val="65C4199C"/>
    <w:rsid w:val="65D12F00"/>
    <w:rsid w:val="65DE7FBC"/>
    <w:rsid w:val="65F00576"/>
    <w:rsid w:val="66084D38"/>
    <w:rsid w:val="661E7F05"/>
    <w:rsid w:val="66223BF7"/>
    <w:rsid w:val="662E6A71"/>
    <w:rsid w:val="663E1840"/>
    <w:rsid w:val="66A678D4"/>
    <w:rsid w:val="66A67C41"/>
    <w:rsid w:val="66D87AF9"/>
    <w:rsid w:val="66DB1411"/>
    <w:rsid w:val="66DE1953"/>
    <w:rsid w:val="66DF4A22"/>
    <w:rsid w:val="66E15165"/>
    <w:rsid w:val="66FB5C7F"/>
    <w:rsid w:val="67096FB5"/>
    <w:rsid w:val="672901E4"/>
    <w:rsid w:val="674006F3"/>
    <w:rsid w:val="67710478"/>
    <w:rsid w:val="677B1E9B"/>
    <w:rsid w:val="6780286C"/>
    <w:rsid w:val="6787315C"/>
    <w:rsid w:val="67BD2A9F"/>
    <w:rsid w:val="67BE4F1B"/>
    <w:rsid w:val="67C344D1"/>
    <w:rsid w:val="67D45E88"/>
    <w:rsid w:val="67D7520C"/>
    <w:rsid w:val="67DC19B5"/>
    <w:rsid w:val="67E74384"/>
    <w:rsid w:val="67FC13D5"/>
    <w:rsid w:val="680F1CC5"/>
    <w:rsid w:val="68347D07"/>
    <w:rsid w:val="6839418E"/>
    <w:rsid w:val="685079F2"/>
    <w:rsid w:val="685C1EF3"/>
    <w:rsid w:val="68626BDC"/>
    <w:rsid w:val="686E380E"/>
    <w:rsid w:val="68754EED"/>
    <w:rsid w:val="68792F37"/>
    <w:rsid w:val="688D3549"/>
    <w:rsid w:val="688D479A"/>
    <w:rsid w:val="68914293"/>
    <w:rsid w:val="68C2756A"/>
    <w:rsid w:val="68C741AB"/>
    <w:rsid w:val="68E06DC4"/>
    <w:rsid w:val="68E92CAD"/>
    <w:rsid w:val="68EF30C0"/>
    <w:rsid w:val="68F0088D"/>
    <w:rsid w:val="68F906D4"/>
    <w:rsid w:val="690D0296"/>
    <w:rsid w:val="69174E12"/>
    <w:rsid w:val="695074D3"/>
    <w:rsid w:val="69995F07"/>
    <w:rsid w:val="69A4394B"/>
    <w:rsid w:val="69A555DF"/>
    <w:rsid w:val="69CA528A"/>
    <w:rsid w:val="69CD4538"/>
    <w:rsid w:val="69DF14E6"/>
    <w:rsid w:val="69E162E0"/>
    <w:rsid w:val="69F46F40"/>
    <w:rsid w:val="6A0E06A6"/>
    <w:rsid w:val="6A2E0688"/>
    <w:rsid w:val="6A2E3D63"/>
    <w:rsid w:val="6A445338"/>
    <w:rsid w:val="6A736AB1"/>
    <w:rsid w:val="6A7D079A"/>
    <w:rsid w:val="6A961000"/>
    <w:rsid w:val="6AB42D1F"/>
    <w:rsid w:val="6AD31520"/>
    <w:rsid w:val="6AE66E71"/>
    <w:rsid w:val="6B154282"/>
    <w:rsid w:val="6B1B22C6"/>
    <w:rsid w:val="6B2C2D57"/>
    <w:rsid w:val="6B4A6F94"/>
    <w:rsid w:val="6B721796"/>
    <w:rsid w:val="6B9F0E1E"/>
    <w:rsid w:val="6BAC7F32"/>
    <w:rsid w:val="6BB10A0B"/>
    <w:rsid w:val="6BCF6251"/>
    <w:rsid w:val="6BD239F5"/>
    <w:rsid w:val="6BD30D56"/>
    <w:rsid w:val="6BDB6883"/>
    <w:rsid w:val="6BF270CE"/>
    <w:rsid w:val="6BF914ED"/>
    <w:rsid w:val="6BFBAB96"/>
    <w:rsid w:val="6C0C37CF"/>
    <w:rsid w:val="6C19498A"/>
    <w:rsid w:val="6C2E2A8A"/>
    <w:rsid w:val="6C334D13"/>
    <w:rsid w:val="6C6509E5"/>
    <w:rsid w:val="6C6F193B"/>
    <w:rsid w:val="6C700348"/>
    <w:rsid w:val="6C706D77"/>
    <w:rsid w:val="6C7D6C05"/>
    <w:rsid w:val="6CAA6B80"/>
    <w:rsid w:val="6CB334A2"/>
    <w:rsid w:val="6CBD2E59"/>
    <w:rsid w:val="6CC50C24"/>
    <w:rsid w:val="6CC71984"/>
    <w:rsid w:val="6CF84761"/>
    <w:rsid w:val="6CFB5196"/>
    <w:rsid w:val="6CFE2412"/>
    <w:rsid w:val="6D5411B2"/>
    <w:rsid w:val="6D9A3AEA"/>
    <w:rsid w:val="6DBB3970"/>
    <w:rsid w:val="6DC72505"/>
    <w:rsid w:val="6E0B0D16"/>
    <w:rsid w:val="6E0C4BC3"/>
    <w:rsid w:val="6E112B79"/>
    <w:rsid w:val="6E4271BE"/>
    <w:rsid w:val="6E437F76"/>
    <w:rsid w:val="6E4E0F43"/>
    <w:rsid w:val="6E4E41FF"/>
    <w:rsid w:val="6E5B71E2"/>
    <w:rsid w:val="6E7440FF"/>
    <w:rsid w:val="6E852996"/>
    <w:rsid w:val="6E8D72AA"/>
    <w:rsid w:val="6E927F9B"/>
    <w:rsid w:val="6E975014"/>
    <w:rsid w:val="6E9C64BD"/>
    <w:rsid w:val="6ED21C8D"/>
    <w:rsid w:val="6EDF7DF5"/>
    <w:rsid w:val="6EE025C2"/>
    <w:rsid w:val="6EF44215"/>
    <w:rsid w:val="6F0B4673"/>
    <w:rsid w:val="6F3473E5"/>
    <w:rsid w:val="6F3E1B52"/>
    <w:rsid w:val="6F3E3D86"/>
    <w:rsid w:val="6F410E91"/>
    <w:rsid w:val="6F5903D3"/>
    <w:rsid w:val="6F5A2F04"/>
    <w:rsid w:val="6F8B33CF"/>
    <w:rsid w:val="6F9E54E7"/>
    <w:rsid w:val="6FA14A68"/>
    <w:rsid w:val="6FAA39D1"/>
    <w:rsid w:val="6FAA74EA"/>
    <w:rsid w:val="6FC07322"/>
    <w:rsid w:val="6FC165CF"/>
    <w:rsid w:val="6FD00A02"/>
    <w:rsid w:val="6FD6290B"/>
    <w:rsid w:val="6FDA6603"/>
    <w:rsid w:val="6FE25B6B"/>
    <w:rsid w:val="700C06A3"/>
    <w:rsid w:val="70157E72"/>
    <w:rsid w:val="70745C8D"/>
    <w:rsid w:val="70760363"/>
    <w:rsid w:val="70833188"/>
    <w:rsid w:val="70C57CAA"/>
    <w:rsid w:val="70DB3E63"/>
    <w:rsid w:val="70EE078E"/>
    <w:rsid w:val="70FD0687"/>
    <w:rsid w:val="70FE1851"/>
    <w:rsid w:val="712831B2"/>
    <w:rsid w:val="712C22C1"/>
    <w:rsid w:val="713E0882"/>
    <w:rsid w:val="71425CBB"/>
    <w:rsid w:val="714F6867"/>
    <w:rsid w:val="716F0310"/>
    <w:rsid w:val="71705FC9"/>
    <w:rsid w:val="718D0958"/>
    <w:rsid w:val="719E6674"/>
    <w:rsid w:val="71CD4E75"/>
    <w:rsid w:val="71DE5A3B"/>
    <w:rsid w:val="71E35433"/>
    <w:rsid w:val="71E44A95"/>
    <w:rsid w:val="72007C50"/>
    <w:rsid w:val="72293C49"/>
    <w:rsid w:val="723050F8"/>
    <w:rsid w:val="72486C6C"/>
    <w:rsid w:val="724E4FA2"/>
    <w:rsid w:val="72506CC5"/>
    <w:rsid w:val="725325B9"/>
    <w:rsid w:val="725F4037"/>
    <w:rsid w:val="726E34C9"/>
    <w:rsid w:val="727042AD"/>
    <w:rsid w:val="72A96169"/>
    <w:rsid w:val="72A9667D"/>
    <w:rsid w:val="72DD4E02"/>
    <w:rsid w:val="72E17BC5"/>
    <w:rsid w:val="72E31EB7"/>
    <w:rsid w:val="72F91E31"/>
    <w:rsid w:val="730F3052"/>
    <w:rsid w:val="73365C79"/>
    <w:rsid w:val="73371144"/>
    <w:rsid w:val="733A3E96"/>
    <w:rsid w:val="73571248"/>
    <w:rsid w:val="736A5D47"/>
    <w:rsid w:val="736F43C8"/>
    <w:rsid w:val="737179EE"/>
    <w:rsid w:val="73774085"/>
    <w:rsid w:val="737819DC"/>
    <w:rsid w:val="73886AD8"/>
    <w:rsid w:val="738F302B"/>
    <w:rsid w:val="73966566"/>
    <w:rsid w:val="73AE2DD7"/>
    <w:rsid w:val="73B85BA3"/>
    <w:rsid w:val="74196686"/>
    <w:rsid w:val="74233153"/>
    <w:rsid w:val="74353480"/>
    <w:rsid w:val="746B313D"/>
    <w:rsid w:val="74740A98"/>
    <w:rsid w:val="747A2B0E"/>
    <w:rsid w:val="7489001F"/>
    <w:rsid w:val="749A67C9"/>
    <w:rsid w:val="74A27042"/>
    <w:rsid w:val="74A9621B"/>
    <w:rsid w:val="74B0277E"/>
    <w:rsid w:val="74B80DF9"/>
    <w:rsid w:val="74F01506"/>
    <w:rsid w:val="74F75E16"/>
    <w:rsid w:val="74FA5671"/>
    <w:rsid w:val="74FC0783"/>
    <w:rsid w:val="7521148F"/>
    <w:rsid w:val="75241724"/>
    <w:rsid w:val="752A52EA"/>
    <w:rsid w:val="752A6BC5"/>
    <w:rsid w:val="75362D2B"/>
    <w:rsid w:val="754F2990"/>
    <w:rsid w:val="755D620A"/>
    <w:rsid w:val="755E3B9C"/>
    <w:rsid w:val="7592220F"/>
    <w:rsid w:val="759A5F7F"/>
    <w:rsid w:val="759C7644"/>
    <w:rsid w:val="75AA6219"/>
    <w:rsid w:val="75AC563B"/>
    <w:rsid w:val="75AF26A1"/>
    <w:rsid w:val="75F234F5"/>
    <w:rsid w:val="75F60897"/>
    <w:rsid w:val="76230FA6"/>
    <w:rsid w:val="762C2E26"/>
    <w:rsid w:val="763518A9"/>
    <w:rsid w:val="7641097A"/>
    <w:rsid w:val="76495653"/>
    <w:rsid w:val="764F4E86"/>
    <w:rsid w:val="76527399"/>
    <w:rsid w:val="76662BEC"/>
    <w:rsid w:val="768F53CD"/>
    <w:rsid w:val="76B33626"/>
    <w:rsid w:val="76E6374A"/>
    <w:rsid w:val="76EC4D8A"/>
    <w:rsid w:val="76EF6DD7"/>
    <w:rsid w:val="770164E5"/>
    <w:rsid w:val="770177F9"/>
    <w:rsid w:val="77025A15"/>
    <w:rsid w:val="770A56C6"/>
    <w:rsid w:val="770C75F3"/>
    <w:rsid w:val="771C6966"/>
    <w:rsid w:val="77257379"/>
    <w:rsid w:val="772F1899"/>
    <w:rsid w:val="77334767"/>
    <w:rsid w:val="773F40B1"/>
    <w:rsid w:val="77501DCD"/>
    <w:rsid w:val="77546D15"/>
    <w:rsid w:val="77591BE9"/>
    <w:rsid w:val="776506EB"/>
    <w:rsid w:val="77661522"/>
    <w:rsid w:val="776D40C1"/>
    <w:rsid w:val="777462C8"/>
    <w:rsid w:val="779B4B59"/>
    <w:rsid w:val="77B87AD6"/>
    <w:rsid w:val="77C12134"/>
    <w:rsid w:val="77E05E39"/>
    <w:rsid w:val="77EF4773"/>
    <w:rsid w:val="77EF6155"/>
    <w:rsid w:val="78095E2C"/>
    <w:rsid w:val="78193FB6"/>
    <w:rsid w:val="783469E8"/>
    <w:rsid w:val="78367C29"/>
    <w:rsid w:val="78475DCA"/>
    <w:rsid w:val="784F583C"/>
    <w:rsid w:val="786363F3"/>
    <w:rsid w:val="78661915"/>
    <w:rsid w:val="7881126C"/>
    <w:rsid w:val="7887764D"/>
    <w:rsid w:val="789C3FEE"/>
    <w:rsid w:val="78AC5F5A"/>
    <w:rsid w:val="78E0470C"/>
    <w:rsid w:val="78F10436"/>
    <w:rsid w:val="79511727"/>
    <w:rsid w:val="79746AC8"/>
    <w:rsid w:val="79863FE5"/>
    <w:rsid w:val="798D141B"/>
    <w:rsid w:val="79A00398"/>
    <w:rsid w:val="79A376E3"/>
    <w:rsid w:val="79AB36E9"/>
    <w:rsid w:val="79C36276"/>
    <w:rsid w:val="79C466B2"/>
    <w:rsid w:val="79D5122D"/>
    <w:rsid w:val="79D64E6E"/>
    <w:rsid w:val="79E34F76"/>
    <w:rsid w:val="79E42912"/>
    <w:rsid w:val="79EF706B"/>
    <w:rsid w:val="79FA4FE6"/>
    <w:rsid w:val="7A0A223C"/>
    <w:rsid w:val="7A212DD9"/>
    <w:rsid w:val="7A2F6982"/>
    <w:rsid w:val="7A454629"/>
    <w:rsid w:val="7A5201EB"/>
    <w:rsid w:val="7A5670F2"/>
    <w:rsid w:val="7A6841AF"/>
    <w:rsid w:val="7A6D6467"/>
    <w:rsid w:val="7A8969A3"/>
    <w:rsid w:val="7A8976BD"/>
    <w:rsid w:val="7A9E28FC"/>
    <w:rsid w:val="7ABF0705"/>
    <w:rsid w:val="7AE33563"/>
    <w:rsid w:val="7AE96BD1"/>
    <w:rsid w:val="7AF53199"/>
    <w:rsid w:val="7AFE15D9"/>
    <w:rsid w:val="7B094167"/>
    <w:rsid w:val="7B1B6CA4"/>
    <w:rsid w:val="7B3661C2"/>
    <w:rsid w:val="7B3D4778"/>
    <w:rsid w:val="7B4C47A0"/>
    <w:rsid w:val="7B5007B7"/>
    <w:rsid w:val="7B716112"/>
    <w:rsid w:val="7B8878D2"/>
    <w:rsid w:val="7B9652C4"/>
    <w:rsid w:val="7B9B0B2D"/>
    <w:rsid w:val="7BA52164"/>
    <w:rsid w:val="7BB32FBA"/>
    <w:rsid w:val="7C1C7050"/>
    <w:rsid w:val="7C1E0E08"/>
    <w:rsid w:val="7C1F04B7"/>
    <w:rsid w:val="7C2646F0"/>
    <w:rsid w:val="7C3D1EE5"/>
    <w:rsid w:val="7C416BFD"/>
    <w:rsid w:val="7C4D7068"/>
    <w:rsid w:val="7C686194"/>
    <w:rsid w:val="7C75642A"/>
    <w:rsid w:val="7C777B41"/>
    <w:rsid w:val="7C852D0B"/>
    <w:rsid w:val="7C8810B1"/>
    <w:rsid w:val="7CC14A62"/>
    <w:rsid w:val="7CD2057E"/>
    <w:rsid w:val="7CE02CE0"/>
    <w:rsid w:val="7D0857B2"/>
    <w:rsid w:val="7D0A03B5"/>
    <w:rsid w:val="7D13378D"/>
    <w:rsid w:val="7D145441"/>
    <w:rsid w:val="7D3746FC"/>
    <w:rsid w:val="7D5847AD"/>
    <w:rsid w:val="7D592A4D"/>
    <w:rsid w:val="7D8A1D89"/>
    <w:rsid w:val="7D8E227D"/>
    <w:rsid w:val="7DCA3510"/>
    <w:rsid w:val="7DCB59C3"/>
    <w:rsid w:val="7DF65158"/>
    <w:rsid w:val="7DF70D09"/>
    <w:rsid w:val="7E027FF7"/>
    <w:rsid w:val="7E1E1E6D"/>
    <w:rsid w:val="7E24488A"/>
    <w:rsid w:val="7E274433"/>
    <w:rsid w:val="7E2F7B9D"/>
    <w:rsid w:val="7E322E22"/>
    <w:rsid w:val="7E573587"/>
    <w:rsid w:val="7E6416AA"/>
    <w:rsid w:val="7E8A5499"/>
    <w:rsid w:val="7E9114B5"/>
    <w:rsid w:val="7EB44715"/>
    <w:rsid w:val="7EC04D90"/>
    <w:rsid w:val="7EE23ABA"/>
    <w:rsid w:val="7EEE748F"/>
    <w:rsid w:val="7F0206DD"/>
    <w:rsid w:val="7F115AF8"/>
    <w:rsid w:val="7F297097"/>
    <w:rsid w:val="7F3F158A"/>
    <w:rsid w:val="7F4E64DD"/>
    <w:rsid w:val="7F5E72BF"/>
    <w:rsid w:val="7F761B34"/>
    <w:rsid w:val="7F862B2A"/>
    <w:rsid w:val="7FBA3C77"/>
    <w:rsid w:val="7FCF43C0"/>
    <w:rsid w:val="7FE92714"/>
    <w:rsid w:val="9DBF22A7"/>
    <w:rsid w:val="B92BFDDD"/>
    <w:rsid w:val="FD77883C"/>
    <w:rsid w:val="FFFE6B09"/>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iPriority="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qFormat="1" w:uiPriority="99"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nhideWhenUsed="0" w:uiPriority="99" w:semiHidden="0" w:name="List"/>
    <w:lsdException w:qFormat="1" w:unhideWhenUsed="0" w:uiPriority="0" w:semiHidden="0" w:name="List Bullet"/>
    <w:lsdException w:unhideWhenUsed="0" w:uiPriority="0" w:semiHidden="0" w:name="List Number"/>
    <w:lsdException w:qFormat="1" w:unhideWhenUsed="0" w:uiPriority="0" w:semiHidden="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iPriority="99"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99" w:semiHidden="0" w:name="Plain Text"/>
    <w:lsdException w:uiPriority="0" w:name="E-mail Signature"/>
    <w:lsdException w:qFormat="1" w:unhideWhenUsed="0" w:uiPriority="0" w:semiHidden="0" w:name="Normal (Web)"/>
    <w:lsdException w:uiPriority="0" w:name="HTML Acronym"/>
    <w:lsdException w:uiPriority="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iPriority="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qFormat="1" w:unhideWhenUsed="0" w:uiPriority="0" w:semiHidden="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link w:val="71"/>
    <w:qFormat/>
    <w:uiPriority w:val="0"/>
    <w:pPr>
      <w:keepNext/>
      <w:autoSpaceDE w:val="0"/>
      <w:autoSpaceDN w:val="0"/>
      <w:spacing w:line="360" w:lineRule="auto"/>
      <w:jc w:val="center"/>
      <w:textAlignment w:val="bottom"/>
      <w:outlineLvl w:val="0"/>
    </w:pPr>
    <w:rPr>
      <w:rFonts w:ascii="仿宋_GB2312" w:eastAsia="仿宋_GB2312" w:cs="仿宋_GB2312"/>
      <w:b/>
      <w:bCs/>
      <w:sz w:val="44"/>
      <w:szCs w:val="44"/>
    </w:rPr>
  </w:style>
  <w:style w:type="paragraph" w:styleId="4">
    <w:name w:val="heading 2"/>
    <w:basedOn w:val="1"/>
    <w:next w:val="1"/>
    <w:link w:val="72"/>
    <w:qFormat/>
    <w:uiPriority w:val="9"/>
    <w:pPr>
      <w:keepNext/>
      <w:adjustRightInd w:val="0"/>
      <w:snapToGrid w:val="0"/>
      <w:spacing w:before="120" w:after="120" w:line="360" w:lineRule="auto"/>
      <w:jc w:val="center"/>
      <w:textAlignment w:val="baseline"/>
      <w:outlineLvl w:val="1"/>
    </w:pPr>
    <w:rPr>
      <w:rFonts w:ascii="仿宋_GB2312" w:eastAsia="仿宋_GB2312" w:cs="仿宋_GB2312"/>
      <w:b/>
      <w:bCs/>
      <w:kern w:val="0"/>
      <w:sz w:val="36"/>
      <w:szCs w:val="36"/>
    </w:rPr>
  </w:style>
  <w:style w:type="paragraph" w:styleId="5">
    <w:name w:val="heading 3"/>
    <w:basedOn w:val="1"/>
    <w:next w:val="1"/>
    <w:link w:val="70"/>
    <w:qFormat/>
    <w:uiPriority w:val="0"/>
    <w:pPr>
      <w:keepNext/>
      <w:keepLines/>
      <w:spacing w:before="260" w:after="260" w:line="360" w:lineRule="auto"/>
      <w:ind w:firstLine="602" w:firstLineChars="200"/>
      <w:outlineLvl w:val="2"/>
    </w:pPr>
    <w:rPr>
      <w:rFonts w:ascii="仿宋_GB2312" w:eastAsia="仿宋_GB2312" w:cs="仿宋_GB2312"/>
      <w:b/>
      <w:bCs/>
      <w:sz w:val="30"/>
      <w:szCs w:val="30"/>
    </w:rPr>
  </w:style>
  <w:style w:type="paragraph" w:styleId="6">
    <w:name w:val="heading 4"/>
    <w:basedOn w:val="1"/>
    <w:next w:val="1"/>
    <w:link w:val="73"/>
    <w:qFormat/>
    <w:uiPriority w:val="0"/>
    <w:pPr>
      <w:keepLines/>
      <w:widowControl/>
      <w:spacing w:before="280" w:after="290" w:line="372" w:lineRule="auto"/>
      <w:outlineLvl w:val="3"/>
    </w:pPr>
    <w:rPr>
      <w:rFonts w:ascii="Arial" w:hAnsi="Arial" w:eastAsia="黑体" w:cs="Arial"/>
      <w:b/>
      <w:bCs/>
      <w:color w:val="000000"/>
      <w:sz w:val="28"/>
      <w:szCs w:val="28"/>
    </w:rPr>
  </w:style>
  <w:style w:type="paragraph" w:styleId="7">
    <w:name w:val="heading 5"/>
    <w:basedOn w:val="1"/>
    <w:next w:val="1"/>
    <w:link w:val="74"/>
    <w:qFormat/>
    <w:uiPriority w:val="0"/>
    <w:pPr>
      <w:keepLines/>
      <w:widowControl/>
      <w:spacing w:before="280" w:after="290" w:line="372" w:lineRule="auto"/>
      <w:outlineLvl w:val="4"/>
    </w:pPr>
    <w:rPr>
      <w:b/>
      <w:bCs/>
      <w:color w:val="000000"/>
      <w:sz w:val="28"/>
      <w:szCs w:val="28"/>
    </w:rPr>
  </w:style>
  <w:style w:type="paragraph" w:styleId="8">
    <w:name w:val="heading 6"/>
    <w:basedOn w:val="1"/>
    <w:next w:val="1"/>
    <w:link w:val="75"/>
    <w:qFormat/>
    <w:uiPriority w:val="0"/>
    <w:pPr>
      <w:keepLines/>
      <w:widowControl/>
      <w:spacing w:before="240" w:after="64" w:line="312" w:lineRule="auto"/>
      <w:outlineLvl w:val="5"/>
    </w:pPr>
    <w:rPr>
      <w:rFonts w:ascii="Arial" w:hAnsi="Arial" w:eastAsia="黑体" w:cs="Arial"/>
      <w:b/>
      <w:bCs/>
      <w:color w:val="000000"/>
      <w:sz w:val="24"/>
      <w:szCs w:val="24"/>
    </w:rPr>
  </w:style>
  <w:style w:type="paragraph" w:styleId="9">
    <w:name w:val="heading 7"/>
    <w:basedOn w:val="1"/>
    <w:next w:val="1"/>
    <w:link w:val="76"/>
    <w:qFormat/>
    <w:uiPriority w:val="0"/>
    <w:pPr>
      <w:keepLines/>
      <w:widowControl/>
      <w:spacing w:before="240" w:after="64" w:line="312" w:lineRule="auto"/>
      <w:outlineLvl w:val="6"/>
    </w:pPr>
    <w:rPr>
      <w:b/>
      <w:bCs/>
      <w:color w:val="000000"/>
      <w:sz w:val="24"/>
      <w:szCs w:val="24"/>
    </w:rPr>
  </w:style>
  <w:style w:type="paragraph" w:styleId="10">
    <w:name w:val="heading 8"/>
    <w:basedOn w:val="1"/>
    <w:next w:val="1"/>
    <w:link w:val="77"/>
    <w:qFormat/>
    <w:uiPriority w:val="0"/>
    <w:pPr>
      <w:keepLines/>
      <w:widowControl/>
      <w:spacing w:before="240" w:after="64" w:line="312" w:lineRule="auto"/>
      <w:outlineLvl w:val="7"/>
    </w:pPr>
    <w:rPr>
      <w:rFonts w:ascii="Arial" w:hAnsi="Arial" w:eastAsia="黑体" w:cs="Arial"/>
      <w:color w:val="000000"/>
      <w:sz w:val="24"/>
      <w:szCs w:val="24"/>
    </w:rPr>
  </w:style>
  <w:style w:type="paragraph" w:styleId="11">
    <w:name w:val="heading 9"/>
    <w:basedOn w:val="1"/>
    <w:next w:val="1"/>
    <w:link w:val="78"/>
    <w:qFormat/>
    <w:uiPriority w:val="0"/>
    <w:pPr>
      <w:keepLines/>
      <w:widowControl/>
      <w:spacing w:before="240" w:after="64" w:line="312" w:lineRule="auto"/>
      <w:outlineLvl w:val="8"/>
    </w:pPr>
    <w:rPr>
      <w:rFonts w:ascii="Arial" w:hAnsi="Arial" w:eastAsia="黑体" w:cs="Arial"/>
      <w:color w:val="000000"/>
    </w:rPr>
  </w:style>
  <w:style w:type="character" w:default="1" w:styleId="52">
    <w:name w:val="Default Paragraph Font"/>
    <w:semiHidden/>
    <w:unhideWhenUsed/>
    <w:qFormat/>
    <w:uiPriority w:val="1"/>
  </w:style>
  <w:style w:type="table" w:default="1" w:styleId="49">
    <w:name w:val="Normal Table"/>
    <w:semiHidden/>
    <w:unhideWhenUsed/>
    <w:qFormat/>
    <w:uiPriority w:val="99"/>
    <w:tblPr>
      <w:tblCellMar>
        <w:top w:w="0" w:type="dxa"/>
        <w:left w:w="108" w:type="dxa"/>
        <w:bottom w:w="0" w:type="dxa"/>
        <w:right w:w="108" w:type="dxa"/>
      </w:tblCellMar>
    </w:tblPr>
  </w:style>
  <w:style w:type="paragraph" w:styleId="2">
    <w:name w:val="Body Text 2"/>
    <w:basedOn w:val="1"/>
    <w:link w:val="93"/>
    <w:qFormat/>
    <w:uiPriority w:val="0"/>
    <w:pPr>
      <w:spacing w:line="560" w:lineRule="exact"/>
    </w:pPr>
    <w:rPr>
      <w:rFonts w:ascii="仿宋_GB2312" w:eastAsia="仿宋_GB2312" w:cs="仿宋_GB2312"/>
      <w:sz w:val="24"/>
      <w:szCs w:val="24"/>
    </w:rPr>
  </w:style>
  <w:style w:type="paragraph" w:styleId="12">
    <w:name w:val="toc 7"/>
    <w:basedOn w:val="1"/>
    <w:next w:val="1"/>
    <w:qFormat/>
    <w:uiPriority w:val="39"/>
    <w:pPr>
      <w:ind w:left="2520" w:leftChars="1200"/>
    </w:pPr>
    <w:rPr>
      <w:rFonts w:ascii="Calibri" w:hAnsi="Calibri" w:cs="Calibri"/>
    </w:rPr>
  </w:style>
  <w:style w:type="paragraph" w:styleId="13">
    <w:name w:val="Normal Indent"/>
    <w:basedOn w:val="1"/>
    <w:qFormat/>
    <w:uiPriority w:val="0"/>
    <w:pPr>
      <w:ind w:firstLine="420"/>
    </w:pPr>
  </w:style>
  <w:style w:type="paragraph" w:styleId="14">
    <w:name w:val="caption"/>
    <w:basedOn w:val="1"/>
    <w:next w:val="1"/>
    <w:link w:val="98"/>
    <w:qFormat/>
    <w:uiPriority w:val="0"/>
    <w:pPr>
      <w:spacing w:before="152" w:after="160"/>
    </w:pPr>
    <w:rPr>
      <w:rFonts w:ascii="Arial" w:hAnsi="Arial" w:eastAsia="黑体"/>
      <w:sz w:val="20"/>
      <w:szCs w:val="20"/>
    </w:rPr>
  </w:style>
  <w:style w:type="paragraph" w:styleId="15">
    <w:name w:val="List Bullet"/>
    <w:basedOn w:val="1"/>
    <w:qFormat/>
    <w:uiPriority w:val="0"/>
    <w:pPr>
      <w:tabs>
        <w:tab w:val="left" w:pos="360"/>
      </w:tabs>
      <w:ind w:left="360" w:hanging="360"/>
    </w:pPr>
  </w:style>
  <w:style w:type="paragraph" w:styleId="16">
    <w:name w:val="Document Map"/>
    <w:basedOn w:val="1"/>
    <w:link w:val="79"/>
    <w:qFormat/>
    <w:uiPriority w:val="99"/>
    <w:pPr>
      <w:widowControl/>
      <w:adjustRightInd w:val="0"/>
      <w:snapToGrid w:val="0"/>
      <w:spacing w:after="200"/>
      <w:jc w:val="left"/>
    </w:pPr>
    <w:rPr>
      <w:rFonts w:ascii="宋体" w:hAnsi="Tahoma" w:cs="宋体"/>
      <w:kern w:val="0"/>
      <w:sz w:val="18"/>
      <w:szCs w:val="18"/>
    </w:rPr>
  </w:style>
  <w:style w:type="paragraph" w:styleId="17">
    <w:name w:val="annotation text"/>
    <w:basedOn w:val="1"/>
    <w:link w:val="80"/>
    <w:qFormat/>
    <w:uiPriority w:val="99"/>
    <w:pPr>
      <w:jc w:val="left"/>
    </w:pPr>
  </w:style>
  <w:style w:type="paragraph" w:styleId="18">
    <w:name w:val="Body Text 3"/>
    <w:basedOn w:val="1"/>
    <w:link w:val="81"/>
    <w:qFormat/>
    <w:uiPriority w:val="0"/>
    <w:pPr>
      <w:widowControl/>
      <w:spacing w:line="360" w:lineRule="auto"/>
    </w:pPr>
    <w:rPr>
      <w:rFonts w:ascii="仿宋_GB2312" w:eastAsia="仿宋_GB2312" w:cs="仿宋_GB2312"/>
      <w:sz w:val="24"/>
      <w:szCs w:val="24"/>
    </w:rPr>
  </w:style>
  <w:style w:type="paragraph" w:styleId="19">
    <w:name w:val="Body Text"/>
    <w:basedOn w:val="1"/>
    <w:next w:val="20"/>
    <w:link w:val="82"/>
    <w:qFormat/>
    <w:uiPriority w:val="0"/>
    <w:pPr>
      <w:tabs>
        <w:tab w:val="left" w:pos="208"/>
      </w:tabs>
      <w:spacing w:line="432" w:lineRule="auto"/>
    </w:pPr>
    <w:rPr>
      <w:rFonts w:ascii="仿宋_GB2312" w:eastAsia="仿宋_GB2312" w:cs="仿宋_GB2312"/>
      <w:sz w:val="28"/>
      <w:szCs w:val="28"/>
    </w:rPr>
  </w:style>
  <w:style w:type="paragraph" w:styleId="20">
    <w:name w:val="Body Text First Indent"/>
    <w:basedOn w:val="19"/>
    <w:next w:val="21"/>
    <w:link w:val="97"/>
    <w:qFormat/>
    <w:uiPriority w:val="0"/>
    <w:pPr>
      <w:spacing w:after="120" w:line="240" w:lineRule="auto"/>
      <w:ind w:firstLine="420"/>
    </w:pPr>
    <w:rPr>
      <w:lang w:val="zh-CN"/>
    </w:rPr>
  </w:style>
  <w:style w:type="paragraph" w:styleId="21">
    <w:name w:val="toc 6"/>
    <w:basedOn w:val="1"/>
    <w:next w:val="1"/>
    <w:qFormat/>
    <w:uiPriority w:val="39"/>
    <w:pPr>
      <w:ind w:left="2100" w:leftChars="1000"/>
    </w:pPr>
    <w:rPr>
      <w:rFonts w:ascii="Calibri" w:hAnsi="Calibri" w:cs="Calibri"/>
    </w:rPr>
  </w:style>
  <w:style w:type="paragraph" w:styleId="22">
    <w:name w:val="Body Text Indent"/>
    <w:basedOn w:val="1"/>
    <w:next w:val="1"/>
    <w:link w:val="83"/>
    <w:qFormat/>
    <w:uiPriority w:val="0"/>
    <w:pPr>
      <w:ind w:firstLine="540"/>
    </w:pPr>
    <w:rPr>
      <w:sz w:val="28"/>
      <w:szCs w:val="28"/>
    </w:rPr>
  </w:style>
  <w:style w:type="paragraph" w:styleId="23">
    <w:name w:val="List Number 3"/>
    <w:basedOn w:val="1"/>
    <w:qFormat/>
    <w:uiPriority w:val="0"/>
    <w:pPr>
      <w:tabs>
        <w:tab w:val="left" w:pos="1200"/>
      </w:tabs>
      <w:spacing w:beforeLines="40" w:afterLines="40" w:line="300" w:lineRule="auto"/>
      <w:ind w:left="1200" w:hanging="360"/>
    </w:pPr>
    <w:rPr>
      <w:sz w:val="24"/>
      <w:szCs w:val="24"/>
    </w:rPr>
  </w:style>
  <w:style w:type="paragraph" w:styleId="24">
    <w:name w:val="List 2"/>
    <w:basedOn w:val="1"/>
    <w:qFormat/>
    <w:uiPriority w:val="0"/>
    <w:pPr>
      <w:widowControl/>
      <w:spacing w:after="160"/>
      <w:ind w:left="100" w:leftChars="200" w:hanging="200" w:hangingChars="200"/>
      <w:jc w:val="left"/>
    </w:pPr>
    <w:rPr>
      <w:kern w:val="0"/>
      <w:lang w:eastAsia="en-US"/>
    </w:rPr>
  </w:style>
  <w:style w:type="paragraph" w:styleId="25">
    <w:name w:val="Block Text"/>
    <w:basedOn w:val="1"/>
    <w:unhideWhenUsed/>
    <w:qFormat/>
    <w:uiPriority w:val="99"/>
    <w:pPr>
      <w:spacing w:after="120"/>
      <w:ind w:left="1440" w:leftChars="700" w:right="1440" w:rightChars="700"/>
    </w:pPr>
  </w:style>
  <w:style w:type="paragraph" w:styleId="26">
    <w:name w:val="toc 5"/>
    <w:basedOn w:val="1"/>
    <w:next w:val="1"/>
    <w:qFormat/>
    <w:uiPriority w:val="39"/>
    <w:pPr>
      <w:ind w:left="1680" w:leftChars="800"/>
    </w:pPr>
    <w:rPr>
      <w:rFonts w:ascii="Calibri" w:hAnsi="Calibri" w:cs="Calibri"/>
    </w:rPr>
  </w:style>
  <w:style w:type="paragraph" w:styleId="27">
    <w:name w:val="toc 3"/>
    <w:basedOn w:val="1"/>
    <w:next w:val="1"/>
    <w:qFormat/>
    <w:uiPriority w:val="39"/>
    <w:pPr>
      <w:tabs>
        <w:tab w:val="right" w:leader="dot" w:pos="9060"/>
      </w:tabs>
      <w:ind w:left="750" w:leftChars="300" w:hanging="120" w:hangingChars="50"/>
    </w:pPr>
    <w:rPr>
      <w:rFonts w:ascii="仿宋_GB2312" w:eastAsia="仿宋_GB2312" w:cs="仿宋_GB2312"/>
      <w:sz w:val="24"/>
      <w:szCs w:val="24"/>
    </w:rPr>
  </w:style>
  <w:style w:type="paragraph" w:styleId="28">
    <w:name w:val="Plain Text"/>
    <w:basedOn w:val="1"/>
    <w:next w:val="1"/>
    <w:link w:val="84"/>
    <w:qFormat/>
    <w:uiPriority w:val="99"/>
    <w:rPr>
      <w:rFonts w:ascii="宋体" w:hAnsi="Courier New" w:cs="宋体"/>
    </w:rPr>
  </w:style>
  <w:style w:type="paragraph" w:styleId="29">
    <w:name w:val="toc 8"/>
    <w:basedOn w:val="1"/>
    <w:next w:val="1"/>
    <w:qFormat/>
    <w:uiPriority w:val="39"/>
    <w:pPr>
      <w:ind w:left="2940" w:leftChars="1400"/>
    </w:pPr>
    <w:rPr>
      <w:rFonts w:ascii="Calibri" w:hAnsi="Calibri" w:cs="Calibri"/>
    </w:rPr>
  </w:style>
  <w:style w:type="paragraph" w:styleId="30">
    <w:name w:val="Date"/>
    <w:basedOn w:val="1"/>
    <w:next w:val="1"/>
    <w:link w:val="85"/>
    <w:qFormat/>
    <w:uiPriority w:val="0"/>
    <w:pPr>
      <w:adjustRightInd w:val="0"/>
      <w:spacing w:line="312" w:lineRule="atLeast"/>
    </w:pPr>
    <w:rPr>
      <w:rFonts w:ascii="仿宋_GB2312" w:eastAsia="仿宋_GB2312" w:cs="仿宋_GB2312"/>
      <w:kern w:val="0"/>
      <w:sz w:val="28"/>
      <w:szCs w:val="28"/>
    </w:rPr>
  </w:style>
  <w:style w:type="paragraph" w:styleId="31">
    <w:name w:val="Body Text Indent 2"/>
    <w:basedOn w:val="1"/>
    <w:link w:val="86"/>
    <w:qFormat/>
    <w:uiPriority w:val="0"/>
    <w:pPr>
      <w:snapToGrid w:val="0"/>
      <w:spacing w:line="400" w:lineRule="exact"/>
      <w:ind w:firstLine="480"/>
    </w:pPr>
    <w:rPr>
      <w:rFonts w:eastAsia="仿宋_GB2312"/>
      <w:sz w:val="24"/>
      <w:szCs w:val="24"/>
    </w:rPr>
  </w:style>
  <w:style w:type="paragraph" w:styleId="32">
    <w:name w:val="Balloon Text"/>
    <w:basedOn w:val="1"/>
    <w:link w:val="87"/>
    <w:qFormat/>
    <w:uiPriority w:val="0"/>
    <w:rPr>
      <w:sz w:val="18"/>
      <w:szCs w:val="18"/>
    </w:rPr>
  </w:style>
  <w:style w:type="paragraph" w:styleId="33">
    <w:name w:val="footer"/>
    <w:basedOn w:val="1"/>
    <w:link w:val="88"/>
    <w:qFormat/>
    <w:uiPriority w:val="99"/>
    <w:pPr>
      <w:tabs>
        <w:tab w:val="center" w:pos="4153"/>
        <w:tab w:val="right" w:pos="8306"/>
      </w:tabs>
      <w:snapToGrid w:val="0"/>
      <w:jc w:val="left"/>
    </w:pPr>
    <w:rPr>
      <w:sz w:val="18"/>
      <w:szCs w:val="18"/>
    </w:rPr>
  </w:style>
  <w:style w:type="paragraph" w:styleId="34">
    <w:name w:val="envelope return"/>
    <w:basedOn w:val="1"/>
    <w:semiHidden/>
    <w:unhideWhenUsed/>
    <w:qFormat/>
    <w:uiPriority w:val="99"/>
    <w:pPr>
      <w:snapToGrid w:val="0"/>
    </w:pPr>
    <w:rPr>
      <w:rFonts w:asciiTheme="majorHAnsi" w:hAnsiTheme="majorHAnsi" w:eastAsiaTheme="majorEastAsia" w:cstheme="majorBidi"/>
    </w:rPr>
  </w:style>
  <w:style w:type="paragraph" w:styleId="35">
    <w:name w:val="header"/>
    <w:basedOn w:val="1"/>
    <w:link w:val="89"/>
    <w:qFormat/>
    <w:uiPriority w:val="99"/>
    <w:pPr>
      <w:pBdr>
        <w:bottom w:val="single" w:color="auto" w:sz="6" w:space="1"/>
      </w:pBdr>
      <w:tabs>
        <w:tab w:val="center" w:pos="4153"/>
        <w:tab w:val="right" w:pos="8306"/>
      </w:tabs>
      <w:adjustRightInd w:val="0"/>
      <w:spacing w:line="240" w:lineRule="atLeast"/>
      <w:jc w:val="center"/>
    </w:pPr>
    <w:rPr>
      <w:kern w:val="0"/>
      <w:sz w:val="18"/>
      <w:szCs w:val="18"/>
    </w:rPr>
  </w:style>
  <w:style w:type="paragraph" w:styleId="36">
    <w:name w:val="Signature"/>
    <w:basedOn w:val="1"/>
    <w:next w:val="1"/>
    <w:link w:val="90"/>
    <w:qFormat/>
    <w:uiPriority w:val="0"/>
    <w:pPr>
      <w:keepNext/>
      <w:widowControl/>
      <w:tabs>
        <w:tab w:val="left" w:pos="780"/>
      </w:tabs>
      <w:adjustRightInd w:val="0"/>
      <w:spacing w:line="220" w:lineRule="atLeast"/>
      <w:ind w:hanging="360"/>
      <w:jc w:val="right"/>
      <w:textAlignment w:val="baseline"/>
    </w:pPr>
    <w:rPr>
      <w:rFonts w:ascii="Arial" w:hAnsi="Arial" w:cs="Arial"/>
      <w:spacing w:val="-5"/>
      <w:kern w:val="0"/>
      <w:sz w:val="24"/>
      <w:szCs w:val="24"/>
    </w:rPr>
  </w:style>
  <w:style w:type="paragraph" w:styleId="37">
    <w:name w:val="toc 1"/>
    <w:basedOn w:val="1"/>
    <w:next w:val="1"/>
    <w:qFormat/>
    <w:uiPriority w:val="39"/>
    <w:pPr>
      <w:tabs>
        <w:tab w:val="left" w:pos="1470"/>
        <w:tab w:val="right" w:leader="dot" w:pos="9016"/>
      </w:tabs>
      <w:ind w:firstLine="480"/>
    </w:pPr>
    <w:rPr>
      <w:rFonts w:ascii="宋体" w:hAnsi="宋体" w:eastAsia="仿宋_GB2312" w:cs="宋体"/>
      <w:b/>
      <w:bCs/>
      <w:sz w:val="30"/>
      <w:szCs w:val="30"/>
    </w:rPr>
  </w:style>
  <w:style w:type="paragraph" w:styleId="38">
    <w:name w:val="toc 4"/>
    <w:basedOn w:val="1"/>
    <w:next w:val="1"/>
    <w:qFormat/>
    <w:uiPriority w:val="39"/>
    <w:pPr>
      <w:ind w:left="1260" w:leftChars="600"/>
    </w:pPr>
    <w:rPr>
      <w:rFonts w:ascii="Calibri" w:hAnsi="Calibri" w:cs="Calibri"/>
    </w:rPr>
  </w:style>
  <w:style w:type="paragraph" w:styleId="39">
    <w:name w:val="Subtitle"/>
    <w:basedOn w:val="1"/>
    <w:next w:val="1"/>
    <w:link w:val="91"/>
    <w:qFormat/>
    <w:uiPriority w:val="0"/>
    <w:pPr>
      <w:spacing w:before="240" w:after="60" w:line="312" w:lineRule="auto"/>
      <w:jc w:val="center"/>
      <w:outlineLvl w:val="1"/>
    </w:pPr>
    <w:rPr>
      <w:rFonts w:ascii="Cambria" w:hAnsi="Cambria" w:cs="Cambria"/>
      <w:b/>
      <w:bCs/>
      <w:kern w:val="28"/>
      <w:sz w:val="32"/>
      <w:szCs w:val="32"/>
    </w:rPr>
  </w:style>
  <w:style w:type="paragraph" w:styleId="40">
    <w:name w:val="List"/>
    <w:basedOn w:val="1"/>
    <w:qFormat/>
    <w:uiPriority w:val="99"/>
    <w:pPr>
      <w:ind w:left="200" w:hanging="200" w:hangingChars="200"/>
    </w:pPr>
  </w:style>
  <w:style w:type="paragraph" w:styleId="41">
    <w:name w:val="Body Text Indent 3"/>
    <w:basedOn w:val="1"/>
    <w:link w:val="92"/>
    <w:qFormat/>
    <w:uiPriority w:val="0"/>
    <w:pPr>
      <w:spacing w:line="360" w:lineRule="auto"/>
      <w:ind w:left="220"/>
      <w:jc w:val="left"/>
    </w:pPr>
    <w:rPr>
      <w:rFonts w:ascii="仿宋_GB2312" w:eastAsia="仿宋_GB2312" w:cs="仿宋_GB2312"/>
      <w:color w:val="000000"/>
      <w:sz w:val="24"/>
      <w:szCs w:val="24"/>
    </w:rPr>
  </w:style>
  <w:style w:type="paragraph" w:styleId="42">
    <w:name w:val="toc 2"/>
    <w:basedOn w:val="1"/>
    <w:next w:val="1"/>
    <w:qFormat/>
    <w:uiPriority w:val="39"/>
    <w:pPr>
      <w:tabs>
        <w:tab w:val="right" w:leader="dot" w:pos="9060"/>
      </w:tabs>
      <w:ind w:left="525" w:leftChars="250"/>
      <w:jc w:val="center"/>
    </w:pPr>
    <w:rPr>
      <w:rFonts w:ascii="宋体" w:hAnsi="宋体" w:eastAsia="仿宋_GB2312" w:cs="宋体"/>
      <w:b/>
      <w:bCs/>
      <w:sz w:val="30"/>
      <w:szCs w:val="30"/>
    </w:rPr>
  </w:style>
  <w:style w:type="paragraph" w:styleId="43">
    <w:name w:val="toc 9"/>
    <w:basedOn w:val="1"/>
    <w:next w:val="1"/>
    <w:qFormat/>
    <w:uiPriority w:val="39"/>
    <w:pPr>
      <w:ind w:left="3360" w:leftChars="1600"/>
    </w:pPr>
    <w:rPr>
      <w:rFonts w:ascii="Calibri" w:hAnsi="Calibri" w:cs="Calibri"/>
    </w:rPr>
  </w:style>
  <w:style w:type="paragraph" w:styleId="44">
    <w:name w:val="HTML Preformatted"/>
    <w:basedOn w:val="1"/>
    <w:link w:val="94"/>
    <w:qFormat/>
    <w:uiPriority w:val="0"/>
    <w:rPr>
      <w:rFonts w:ascii="Arial Unicode MS" w:hAnsi="Arial Unicode MS" w:cs="Arial Unicode MS"/>
      <w:kern w:val="0"/>
      <w:sz w:val="20"/>
      <w:szCs w:val="20"/>
    </w:rPr>
  </w:style>
  <w:style w:type="paragraph" w:styleId="45">
    <w:name w:val="Normal (Web)"/>
    <w:basedOn w:val="1"/>
    <w:link w:val="99"/>
    <w:qFormat/>
    <w:uiPriority w:val="0"/>
    <w:pPr>
      <w:widowControl/>
      <w:jc w:val="left"/>
    </w:pPr>
    <w:rPr>
      <w:rFonts w:ascii="宋体"/>
      <w:kern w:val="0"/>
      <w:sz w:val="24"/>
      <w:szCs w:val="24"/>
    </w:rPr>
  </w:style>
  <w:style w:type="paragraph" w:styleId="46">
    <w:name w:val="Title"/>
    <w:basedOn w:val="1"/>
    <w:next w:val="1"/>
    <w:link w:val="95"/>
    <w:qFormat/>
    <w:uiPriority w:val="0"/>
    <w:pPr>
      <w:widowControl/>
      <w:overflowPunct w:val="0"/>
      <w:autoSpaceDE w:val="0"/>
      <w:autoSpaceDN w:val="0"/>
      <w:adjustRightInd w:val="0"/>
      <w:spacing w:line="420" w:lineRule="exact"/>
      <w:jc w:val="center"/>
      <w:textAlignment w:val="baseline"/>
    </w:pPr>
    <w:rPr>
      <w:rFonts w:eastAsia="黑体"/>
      <w:b/>
      <w:bCs/>
      <w:kern w:val="0"/>
      <w:sz w:val="28"/>
      <w:szCs w:val="28"/>
      <w:lang w:val="en-GB"/>
    </w:rPr>
  </w:style>
  <w:style w:type="paragraph" w:styleId="47">
    <w:name w:val="annotation subject"/>
    <w:basedOn w:val="17"/>
    <w:next w:val="17"/>
    <w:link w:val="96"/>
    <w:qFormat/>
    <w:uiPriority w:val="0"/>
    <w:rPr>
      <w:b/>
      <w:bCs/>
    </w:rPr>
  </w:style>
  <w:style w:type="paragraph" w:styleId="48">
    <w:name w:val="Body Text First Indent 2"/>
    <w:basedOn w:val="22"/>
    <w:next w:val="20"/>
    <w:semiHidden/>
    <w:unhideWhenUsed/>
    <w:qFormat/>
    <w:uiPriority w:val="99"/>
    <w:pPr>
      <w:ind w:firstLine="420" w:firstLineChars="200"/>
    </w:pPr>
  </w:style>
  <w:style w:type="table" w:styleId="50">
    <w:name w:val="Table Grid"/>
    <w:basedOn w:val="49"/>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51">
    <w:name w:val="Table Grid 4"/>
    <w:basedOn w:val="49"/>
    <w:qFormat/>
    <w:uiPriority w:val="0"/>
    <w:pPr>
      <w:overflowPunct w:val="0"/>
      <w:autoSpaceDE w:val="0"/>
      <w:autoSpaceDN w:val="0"/>
      <w:adjustRightInd w:val="0"/>
      <w:ind w:firstLine="425"/>
      <w:textAlignment w:val="baseline"/>
    </w:pPr>
    <w:tblPr>
      <w:tblBorders>
        <w:left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color w:val="auto"/>
      </w:rPr>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color w:val="auto"/>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53">
    <w:name w:val="Strong"/>
    <w:basedOn w:val="52"/>
    <w:qFormat/>
    <w:uiPriority w:val="0"/>
  </w:style>
  <w:style w:type="character" w:styleId="54">
    <w:name w:val="page number"/>
    <w:basedOn w:val="52"/>
    <w:qFormat/>
    <w:uiPriority w:val="0"/>
  </w:style>
  <w:style w:type="character" w:styleId="55">
    <w:name w:val="FollowedHyperlink"/>
    <w:qFormat/>
    <w:uiPriority w:val="99"/>
    <w:rPr>
      <w:color w:val="800080"/>
      <w:u w:val="single"/>
    </w:rPr>
  </w:style>
  <w:style w:type="character" w:styleId="56">
    <w:name w:val="Emphasis"/>
    <w:qFormat/>
    <w:uiPriority w:val="0"/>
    <w:rPr>
      <w:color w:val="auto"/>
    </w:rPr>
  </w:style>
  <w:style w:type="character" w:styleId="57">
    <w:name w:val="HTML Definition"/>
    <w:basedOn w:val="52"/>
    <w:qFormat/>
    <w:uiPriority w:val="0"/>
  </w:style>
  <w:style w:type="character" w:styleId="58">
    <w:name w:val="HTML Variable"/>
    <w:basedOn w:val="52"/>
    <w:qFormat/>
    <w:uiPriority w:val="0"/>
  </w:style>
  <w:style w:type="character" w:styleId="59">
    <w:name w:val="Hyperlink"/>
    <w:qFormat/>
    <w:uiPriority w:val="99"/>
    <w:rPr>
      <w:color w:val="0000FF"/>
      <w:u w:val="single"/>
    </w:rPr>
  </w:style>
  <w:style w:type="character" w:styleId="60">
    <w:name w:val="HTML Code"/>
    <w:qFormat/>
    <w:uiPriority w:val="0"/>
    <w:rPr>
      <w:rFonts w:ascii="Courier New" w:hAnsi="Courier New" w:cs="Courier New"/>
      <w:sz w:val="20"/>
      <w:szCs w:val="20"/>
    </w:rPr>
  </w:style>
  <w:style w:type="character" w:styleId="61">
    <w:name w:val="annotation reference"/>
    <w:qFormat/>
    <w:uiPriority w:val="0"/>
    <w:rPr>
      <w:sz w:val="21"/>
      <w:szCs w:val="21"/>
    </w:rPr>
  </w:style>
  <w:style w:type="character" w:styleId="62">
    <w:name w:val="HTML Cite"/>
    <w:basedOn w:val="52"/>
    <w:qFormat/>
    <w:uiPriority w:val="0"/>
  </w:style>
  <w:style w:type="character" w:styleId="63">
    <w:name w:val="HTML Keyboard"/>
    <w:qFormat/>
    <w:uiPriority w:val="0"/>
    <w:rPr>
      <w:rFonts w:ascii="Courier New" w:hAnsi="Courier New" w:cs="Courier New"/>
      <w:sz w:val="20"/>
      <w:szCs w:val="20"/>
    </w:rPr>
  </w:style>
  <w:style w:type="character" w:styleId="64">
    <w:name w:val="HTML Sample"/>
    <w:qFormat/>
    <w:uiPriority w:val="0"/>
    <w:rPr>
      <w:rFonts w:ascii="Courier New" w:hAnsi="Courier New" w:cs="Courier New"/>
    </w:rPr>
  </w:style>
  <w:style w:type="paragraph" w:customStyle="1" w:styleId="65">
    <w:name w:val="样式 正文首行缩进 2 + Arial"/>
    <w:basedOn w:val="1"/>
    <w:next w:val="1"/>
    <w:qFormat/>
    <w:uiPriority w:val="0"/>
    <w:pPr>
      <w:spacing w:after="120" w:line="320" w:lineRule="atLeast"/>
      <w:ind w:firstLine="200" w:firstLineChars="200"/>
    </w:pPr>
    <w:rPr>
      <w:rFonts w:ascii="Arial" w:hAnsi="Arial"/>
      <w:kern w:val="0"/>
    </w:rPr>
  </w:style>
  <w:style w:type="paragraph" w:customStyle="1" w:styleId="66">
    <w:name w:val="样式 表格正文 + 两端对齐"/>
    <w:basedOn w:val="1"/>
    <w:next w:val="67"/>
    <w:qFormat/>
    <w:uiPriority w:val="0"/>
    <w:pPr>
      <w:widowControl w:val="0"/>
      <w:autoSpaceDE/>
      <w:autoSpaceDN/>
      <w:spacing w:before="0" w:beforeLines="0" w:after="0" w:afterLines="0" w:line="300" w:lineRule="auto"/>
      <w:ind w:left="0" w:firstLine="0"/>
      <w:jc w:val="both"/>
    </w:pPr>
    <w:rPr>
      <w:rFonts w:ascii="Times New Roman" w:eastAsia="宋体"/>
      <w:sz w:val="24"/>
    </w:rPr>
  </w:style>
  <w:style w:type="paragraph" w:customStyle="1" w:styleId="67">
    <w:name w:val="正文1"/>
    <w:next w:val="1"/>
    <w:qFormat/>
    <w:uiPriority w:val="0"/>
    <w:rPr>
      <w:rFonts w:ascii="Times New Roman" w:hAnsi="Times New Roman" w:eastAsia="宋体" w:cs="Times New Roman"/>
      <w:sz w:val="24"/>
      <w:szCs w:val="24"/>
      <w:lang w:val="en-US" w:eastAsia="zh-CN" w:bidi="ar-SA"/>
    </w:rPr>
  </w:style>
  <w:style w:type="paragraph" w:customStyle="1" w:styleId="68">
    <w:name w:val="Default"/>
    <w:qFormat/>
    <w:uiPriority w:val="0"/>
    <w:pPr>
      <w:widowControl w:val="0"/>
      <w:autoSpaceDE w:val="0"/>
      <w:autoSpaceDN w:val="0"/>
      <w:adjustRightInd w:val="0"/>
    </w:pPr>
    <w:rPr>
      <w:rFonts w:ascii="华文细黑" w:hAnsi="Times New Roman" w:eastAsia="华文细黑" w:cs="华文细黑"/>
      <w:color w:val="000000"/>
      <w:sz w:val="24"/>
      <w:szCs w:val="24"/>
      <w:lang w:val="en-US" w:eastAsia="zh-CN" w:bidi="ar-SA"/>
    </w:rPr>
  </w:style>
  <w:style w:type="paragraph" w:customStyle="1" w:styleId="69">
    <w:name w:val="章正文"/>
    <w:basedOn w:val="1"/>
    <w:qFormat/>
    <w:uiPriority w:val="0"/>
    <w:pPr>
      <w:spacing w:before="156" w:beforeLines="50" w:after="120" w:line="300" w:lineRule="auto"/>
      <w:ind w:firstLine="480"/>
    </w:pPr>
    <w:rPr>
      <w:rFonts w:ascii="Helvetica" w:hAnsi="Helvetica"/>
      <w:kern w:val="0"/>
      <w:sz w:val="24"/>
    </w:rPr>
  </w:style>
  <w:style w:type="character" w:customStyle="1" w:styleId="70">
    <w:name w:val="标题 3 Char"/>
    <w:link w:val="5"/>
    <w:qFormat/>
    <w:uiPriority w:val="0"/>
    <w:rPr>
      <w:rFonts w:ascii="仿宋_GB2312" w:eastAsia="仿宋_GB2312" w:cs="仿宋_GB2312"/>
      <w:b/>
      <w:bCs/>
      <w:kern w:val="2"/>
      <w:sz w:val="30"/>
      <w:szCs w:val="30"/>
    </w:rPr>
  </w:style>
  <w:style w:type="character" w:customStyle="1" w:styleId="71">
    <w:name w:val="标题 1 Char"/>
    <w:link w:val="3"/>
    <w:qFormat/>
    <w:uiPriority w:val="0"/>
    <w:rPr>
      <w:rFonts w:ascii="仿宋_GB2312" w:eastAsia="仿宋_GB2312" w:cs="仿宋_GB2312"/>
      <w:b/>
      <w:bCs/>
      <w:kern w:val="2"/>
      <w:sz w:val="24"/>
      <w:szCs w:val="24"/>
      <w:lang w:val="en-US" w:eastAsia="zh-CN"/>
    </w:rPr>
  </w:style>
  <w:style w:type="character" w:customStyle="1" w:styleId="72">
    <w:name w:val="标题 2 Char"/>
    <w:link w:val="4"/>
    <w:qFormat/>
    <w:uiPriority w:val="9"/>
    <w:rPr>
      <w:rFonts w:ascii="仿宋_GB2312" w:eastAsia="仿宋_GB2312" w:cs="仿宋_GB2312"/>
      <w:b/>
      <w:bCs/>
      <w:sz w:val="36"/>
      <w:szCs w:val="36"/>
    </w:rPr>
  </w:style>
  <w:style w:type="character" w:customStyle="1" w:styleId="73">
    <w:name w:val="标题 4 Char"/>
    <w:link w:val="6"/>
    <w:qFormat/>
    <w:uiPriority w:val="0"/>
    <w:rPr>
      <w:rFonts w:ascii="Arial" w:hAnsi="Arial" w:eastAsia="黑体" w:cs="Arial"/>
      <w:b/>
      <w:bCs/>
      <w:color w:val="000000"/>
      <w:kern w:val="2"/>
      <w:sz w:val="28"/>
      <w:szCs w:val="28"/>
    </w:rPr>
  </w:style>
  <w:style w:type="character" w:customStyle="1" w:styleId="74">
    <w:name w:val="标题 5 Char"/>
    <w:link w:val="7"/>
    <w:qFormat/>
    <w:uiPriority w:val="0"/>
    <w:rPr>
      <w:b/>
      <w:bCs/>
      <w:color w:val="000000"/>
      <w:kern w:val="2"/>
      <w:sz w:val="28"/>
      <w:szCs w:val="28"/>
    </w:rPr>
  </w:style>
  <w:style w:type="character" w:customStyle="1" w:styleId="75">
    <w:name w:val="标题 6 Char"/>
    <w:link w:val="8"/>
    <w:qFormat/>
    <w:uiPriority w:val="0"/>
    <w:rPr>
      <w:rFonts w:ascii="Arial" w:hAnsi="Arial" w:eastAsia="黑体" w:cs="Arial"/>
      <w:b/>
      <w:bCs/>
      <w:color w:val="000000"/>
      <w:kern w:val="2"/>
      <w:sz w:val="24"/>
      <w:szCs w:val="24"/>
    </w:rPr>
  </w:style>
  <w:style w:type="character" w:customStyle="1" w:styleId="76">
    <w:name w:val="标题 7 Char"/>
    <w:link w:val="9"/>
    <w:qFormat/>
    <w:uiPriority w:val="0"/>
    <w:rPr>
      <w:b/>
      <w:bCs/>
      <w:color w:val="000000"/>
      <w:kern w:val="2"/>
      <w:sz w:val="24"/>
      <w:szCs w:val="24"/>
    </w:rPr>
  </w:style>
  <w:style w:type="character" w:customStyle="1" w:styleId="77">
    <w:name w:val="标题 8 Char"/>
    <w:link w:val="10"/>
    <w:qFormat/>
    <w:uiPriority w:val="0"/>
    <w:rPr>
      <w:rFonts w:ascii="Arial" w:hAnsi="Arial" w:eastAsia="黑体" w:cs="Arial"/>
      <w:color w:val="000000"/>
      <w:kern w:val="2"/>
      <w:sz w:val="24"/>
      <w:szCs w:val="24"/>
    </w:rPr>
  </w:style>
  <w:style w:type="character" w:customStyle="1" w:styleId="78">
    <w:name w:val="标题 9 Char"/>
    <w:link w:val="11"/>
    <w:qFormat/>
    <w:uiPriority w:val="0"/>
    <w:rPr>
      <w:rFonts w:ascii="Arial" w:hAnsi="Arial" w:eastAsia="黑体" w:cs="Arial"/>
      <w:color w:val="000000"/>
      <w:kern w:val="2"/>
      <w:sz w:val="21"/>
      <w:szCs w:val="21"/>
    </w:rPr>
  </w:style>
  <w:style w:type="character" w:customStyle="1" w:styleId="79">
    <w:name w:val="文档结构图 Char"/>
    <w:link w:val="16"/>
    <w:qFormat/>
    <w:uiPriority w:val="99"/>
    <w:rPr>
      <w:rFonts w:ascii="宋体" w:hAnsi="Tahoma" w:cs="宋体"/>
      <w:sz w:val="18"/>
      <w:szCs w:val="18"/>
    </w:rPr>
  </w:style>
  <w:style w:type="character" w:customStyle="1" w:styleId="80">
    <w:name w:val="批注文字 Char1"/>
    <w:link w:val="17"/>
    <w:qFormat/>
    <w:uiPriority w:val="99"/>
    <w:rPr>
      <w:kern w:val="2"/>
      <w:sz w:val="24"/>
      <w:szCs w:val="24"/>
    </w:rPr>
  </w:style>
  <w:style w:type="character" w:customStyle="1" w:styleId="81">
    <w:name w:val="正文文本 3 Char"/>
    <w:link w:val="18"/>
    <w:qFormat/>
    <w:uiPriority w:val="0"/>
    <w:rPr>
      <w:rFonts w:ascii="仿宋_GB2312" w:eastAsia="仿宋_GB2312" w:cs="仿宋_GB2312"/>
      <w:kern w:val="2"/>
      <w:sz w:val="24"/>
      <w:szCs w:val="24"/>
    </w:rPr>
  </w:style>
  <w:style w:type="character" w:customStyle="1" w:styleId="82">
    <w:name w:val="正文文本 Char"/>
    <w:link w:val="19"/>
    <w:qFormat/>
    <w:uiPriority w:val="0"/>
    <w:rPr>
      <w:rFonts w:ascii="仿宋_GB2312" w:eastAsia="仿宋_GB2312" w:cs="仿宋_GB2312"/>
      <w:kern w:val="2"/>
      <w:sz w:val="24"/>
      <w:szCs w:val="24"/>
    </w:rPr>
  </w:style>
  <w:style w:type="character" w:customStyle="1" w:styleId="83">
    <w:name w:val="正文文本缩进 Char"/>
    <w:link w:val="22"/>
    <w:qFormat/>
    <w:uiPriority w:val="0"/>
    <w:rPr>
      <w:kern w:val="2"/>
      <w:sz w:val="28"/>
      <w:szCs w:val="28"/>
    </w:rPr>
  </w:style>
  <w:style w:type="character" w:customStyle="1" w:styleId="84">
    <w:name w:val="纯文本 Char"/>
    <w:link w:val="28"/>
    <w:qFormat/>
    <w:uiPriority w:val="99"/>
    <w:rPr>
      <w:rFonts w:ascii="宋体" w:hAnsi="Courier New" w:eastAsia="宋体" w:cs="宋体"/>
      <w:kern w:val="2"/>
      <w:sz w:val="21"/>
      <w:szCs w:val="21"/>
      <w:lang w:val="en-US" w:eastAsia="zh-CN"/>
    </w:rPr>
  </w:style>
  <w:style w:type="character" w:customStyle="1" w:styleId="85">
    <w:name w:val="日期 Char"/>
    <w:link w:val="30"/>
    <w:qFormat/>
    <w:uiPriority w:val="0"/>
    <w:rPr>
      <w:rFonts w:ascii="仿宋_GB2312" w:eastAsia="仿宋_GB2312" w:cs="仿宋_GB2312"/>
      <w:sz w:val="28"/>
      <w:szCs w:val="28"/>
    </w:rPr>
  </w:style>
  <w:style w:type="character" w:customStyle="1" w:styleId="86">
    <w:name w:val="正文文本缩进 2 Char1"/>
    <w:link w:val="31"/>
    <w:qFormat/>
    <w:uiPriority w:val="0"/>
    <w:rPr>
      <w:rFonts w:eastAsia="仿宋_GB2312"/>
      <w:kern w:val="2"/>
      <w:sz w:val="24"/>
      <w:szCs w:val="24"/>
    </w:rPr>
  </w:style>
  <w:style w:type="character" w:customStyle="1" w:styleId="87">
    <w:name w:val="批注框文本 Char"/>
    <w:link w:val="32"/>
    <w:qFormat/>
    <w:uiPriority w:val="0"/>
    <w:rPr>
      <w:kern w:val="2"/>
      <w:sz w:val="18"/>
      <w:szCs w:val="18"/>
    </w:rPr>
  </w:style>
  <w:style w:type="character" w:customStyle="1" w:styleId="88">
    <w:name w:val="页脚 Char"/>
    <w:link w:val="33"/>
    <w:qFormat/>
    <w:uiPriority w:val="99"/>
    <w:rPr>
      <w:kern w:val="2"/>
      <w:sz w:val="18"/>
      <w:szCs w:val="18"/>
    </w:rPr>
  </w:style>
  <w:style w:type="character" w:customStyle="1" w:styleId="89">
    <w:name w:val="页眉 Char"/>
    <w:link w:val="35"/>
    <w:qFormat/>
    <w:uiPriority w:val="99"/>
    <w:rPr>
      <w:sz w:val="18"/>
      <w:szCs w:val="18"/>
    </w:rPr>
  </w:style>
  <w:style w:type="character" w:customStyle="1" w:styleId="90">
    <w:name w:val="签名 Char"/>
    <w:link w:val="36"/>
    <w:qFormat/>
    <w:uiPriority w:val="0"/>
    <w:rPr>
      <w:rFonts w:ascii="Arial" w:hAnsi="Arial" w:cs="Arial"/>
      <w:spacing w:val="-5"/>
      <w:sz w:val="24"/>
      <w:szCs w:val="24"/>
    </w:rPr>
  </w:style>
  <w:style w:type="character" w:customStyle="1" w:styleId="91">
    <w:name w:val="副标题 Char"/>
    <w:link w:val="39"/>
    <w:qFormat/>
    <w:uiPriority w:val="0"/>
    <w:rPr>
      <w:rFonts w:ascii="Cambria" w:hAnsi="Cambria" w:cs="Cambria"/>
      <w:b/>
      <w:bCs/>
      <w:kern w:val="28"/>
      <w:sz w:val="32"/>
      <w:szCs w:val="32"/>
    </w:rPr>
  </w:style>
  <w:style w:type="character" w:customStyle="1" w:styleId="92">
    <w:name w:val="正文文本缩进 3 Char"/>
    <w:link w:val="41"/>
    <w:qFormat/>
    <w:uiPriority w:val="0"/>
    <w:rPr>
      <w:rFonts w:ascii="仿宋_GB2312" w:eastAsia="仿宋_GB2312" w:cs="仿宋_GB2312"/>
      <w:color w:val="000000"/>
      <w:kern w:val="2"/>
      <w:sz w:val="24"/>
      <w:szCs w:val="24"/>
    </w:rPr>
  </w:style>
  <w:style w:type="character" w:customStyle="1" w:styleId="93">
    <w:name w:val="正文文本 2 Char"/>
    <w:link w:val="2"/>
    <w:qFormat/>
    <w:uiPriority w:val="0"/>
    <w:rPr>
      <w:rFonts w:ascii="仿宋_GB2312" w:eastAsia="仿宋_GB2312" w:cs="仿宋_GB2312"/>
      <w:kern w:val="2"/>
      <w:sz w:val="24"/>
      <w:szCs w:val="24"/>
    </w:rPr>
  </w:style>
  <w:style w:type="character" w:customStyle="1" w:styleId="94">
    <w:name w:val="HTML 预设格式 Char"/>
    <w:link w:val="44"/>
    <w:qFormat/>
    <w:uiPriority w:val="0"/>
    <w:rPr>
      <w:rFonts w:ascii="Arial Unicode MS" w:hAnsi="Arial Unicode MS" w:cs="Arial Unicode MS"/>
    </w:rPr>
  </w:style>
  <w:style w:type="character" w:customStyle="1" w:styleId="95">
    <w:name w:val="标题 Char"/>
    <w:link w:val="46"/>
    <w:qFormat/>
    <w:uiPriority w:val="0"/>
    <w:rPr>
      <w:rFonts w:eastAsia="黑体"/>
      <w:b/>
      <w:bCs/>
      <w:sz w:val="28"/>
      <w:szCs w:val="28"/>
      <w:lang w:val="en-GB"/>
    </w:rPr>
  </w:style>
  <w:style w:type="character" w:customStyle="1" w:styleId="96">
    <w:name w:val="批注主题 Char1"/>
    <w:basedOn w:val="80"/>
    <w:link w:val="47"/>
    <w:qFormat/>
    <w:uiPriority w:val="99"/>
    <w:rPr>
      <w:kern w:val="2"/>
      <w:sz w:val="24"/>
      <w:szCs w:val="24"/>
    </w:rPr>
  </w:style>
  <w:style w:type="character" w:customStyle="1" w:styleId="97">
    <w:name w:val="正文首行缩进 Char"/>
    <w:link w:val="20"/>
    <w:qFormat/>
    <w:uiPriority w:val="0"/>
    <w:rPr>
      <w:rFonts w:ascii="仿宋_GB2312" w:eastAsia="仿宋_GB2312" w:cs="仿宋_GB2312"/>
      <w:kern w:val="2"/>
      <w:sz w:val="24"/>
      <w:szCs w:val="24"/>
      <w:lang w:val="zh-CN"/>
    </w:rPr>
  </w:style>
  <w:style w:type="character" w:customStyle="1" w:styleId="98">
    <w:name w:val="题注 Char"/>
    <w:link w:val="14"/>
    <w:qFormat/>
    <w:uiPriority w:val="0"/>
    <w:rPr>
      <w:rFonts w:ascii="Arial" w:hAnsi="Arial" w:eastAsia="黑体" w:cs="Arial"/>
      <w:kern w:val="2"/>
    </w:rPr>
  </w:style>
  <w:style w:type="character" w:customStyle="1" w:styleId="99">
    <w:name w:val="普通(网站) Char"/>
    <w:link w:val="45"/>
    <w:qFormat/>
    <w:uiPriority w:val="0"/>
    <w:rPr>
      <w:rFonts w:ascii="宋体" w:eastAsia="宋体" w:cs="宋体"/>
      <w:sz w:val="24"/>
      <w:szCs w:val="24"/>
    </w:rPr>
  </w:style>
  <w:style w:type="character" w:customStyle="1" w:styleId="100">
    <w:name w:val="纯文本 Char_0_0_0"/>
    <w:link w:val="101"/>
    <w:qFormat/>
    <w:uiPriority w:val="0"/>
    <w:rPr>
      <w:rFonts w:ascii="宋体" w:hAnsi="Courier New" w:cs="宋体"/>
    </w:rPr>
  </w:style>
  <w:style w:type="paragraph" w:customStyle="1" w:styleId="101">
    <w:name w:val="纯文本_6_1"/>
    <w:basedOn w:val="102"/>
    <w:link w:val="100"/>
    <w:qFormat/>
    <w:uiPriority w:val="0"/>
    <w:rPr>
      <w:rFonts w:ascii="宋体" w:hAnsi="Courier New"/>
      <w:kern w:val="0"/>
      <w:sz w:val="20"/>
      <w:szCs w:val="20"/>
    </w:rPr>
  </w:style>
  <w:style w:type="paragraph" w:customStyle="1" w:styleId="102">
    <w:name w:val="正文_10_0"/>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103">
    <w:name w:val="font01"/>
    <w:basedOn w:val="52"/>
    <w:qFormat/>
    <w:uiPriority w:val="0"/>
    <w:rPr>
      <w:rFonts w:ascii="Arial" w:hAnsi="Arial" w:cs="Arial"/>
      <w:color w:val="000000"/>
      <w:sz w:val="24"/>
      <w:szCs w:val="24"/>
      <w:u w:val="none"/>
    </w:rPr>
  </w:style>
  <w:style w:type="character" w:customStyle="1" w:styleId="104">
    <w:name w:val="访问过的超链接1"/>
    <w:qFormat/>
    <w:uiPriority w:val="99"/>
    <w:rPr>
      <w:color w:val="800080"/>
      <w:u w:val="single"/>
    </w:rPr>
  </w:style>
  <w:style w:type="character" w:customStyle="1" w:styleId="105">
    <w:name w:val="正文 + 宋体 Char"/>
    <w:link w:val="106"/>
    <w:qFormat/>
    <w:uiPriority w:val="0"/>
    <w:rPr>
      <w:rFonts w:ascii="宋体" w:eastAsia="宋体" w:cs="宋体"/>
      <w:b/>
      <w:bCs/>
      <w:sz w:val="24"/>
      <w:szCs w:val="24"/>
    </w:rPr>
  </w:style>
  <w:style w:type="paragraph" w:customStyle="1" w:styleId="106">
    <w:name w:val="正文 + 宋体"/>
    <w:basedOn w:val="33"/>
    <w:next w:val="1"/>
    <w:link w:val="105"/>
    <w:qFormat/>
    <w:uiPriority w:val="0"/>
    <w:pPr>
      <w:tabs>
        <w:tab w:val="clear" w:pos="4153"/>
        <w:tab w:val="clear" w:pos="8306"/>
      </w:tabs>
      <w:snapToGrid/>
      <w:spacing w:after="120" w:line="480" w:lineRule="exact"/>
      <w:jc w:val="both"/>
    </w:pPr>
    <w:rPr>
      <w:rFonts w:ascii="宋体"/>
      <w:b/>
      <w:bCs/>
      <w:kern w:val="0"/>
      <w:sz w:val="24"/>
      <w:szCs w:val="24"/>
    </w:rPr>
  </w:style>
  <w:style w:type="character" w:customStyle="1" w:styleId="107">
    <w:name w:val="style21"/>
    <w:qFormat/>
    <w:uiPriority w:val="0"/>
    <w:rPr>
      <w:color w:val="auto"/>
    </w:rPr>
  </w:style>
  <w:style w:type="character" w:customStyle="1" w:styleId="108">
    <w:name w:val="sort1"/>
    <w:basedOn w:val="52"/>
    <w:qFormat/>
    <w:uiPriority w:val="0"/>
  </w:style>
  <w:style w:type="character" w:customStyle="1" w:styleId="109">
    <w:name w:val="bds_more8"/>
    <w:qFormat/>
    <w:uiPriority w:val="0"/>
    <w:rPr>
      <w:rFonts w:ascii="宋体" w:hAnsi="宋体" w:eastAsia="宋体" w:cs="宋体"/>
    </w:rPr>
  </w:style>
  <w:style w:type="character" w:customStyle="1" w:styleId="110">
    <w:name w:val="正文2 Char"/>
    <w:link w:val="111"/>
    <w:qFormat/>
    <w:uiPriority w:val="0"/>
  </w:style>
  <w:style w:type="paragraph" w:customStyle="1" w:styleId="111">
    <w:name w:val="正文2"/>
    <w:basedOn w:val="1"/>
    <w:link w:val="110"/>
    <w:qFormat/>
    <w:uiPriority w:val="0"/>
    <w:pPr>
      <w:spacing w:line="300" w:lineRule="auto"/>
      <w:ind w:left="500" w:leftChars="500"/>
    </w:pPr>
    <w:rPr>
      <w:kern w:val="0"/>
      <w:sz w:val="20"/>
      <w:szCs w:val="20"/>
    </w:rPr>
  </w:style>
  <w:style w:type="character" w:customStyle="1" w:styleId="112">
    <w:name w:val="表正文 Char"/>
    <w:qFormat/>
    <w:uiPriority w:val="0"/>
    <w:rPr>
      <w:rFonts w:eastAsia="宋体"/>
      <w:kern w:val="2"/>
      <w:sz w:val="21"/>
      <w:szCs w:val="21"/>
      <w:lang w:val="en-US" w:eastAsia="zh-CN"/>
    </w:rPr>
  </w:style>
  <w:style w:type="character" w:customStyle="1" w:styleId="113">
    <w:name w:val="zxot"/>
    <w:basedOn w:val="52"/>
    <w:qFormat/>
    <w:uiPriority w:val="0"/>
  </w:style>
  <w:style w:type="character" w:customStyle="1" w:styleId="114">
    <w:name w:val="纯文本 Char_0_0"/>
    <w:link w:val="115"/>
    <w:qFormat/>
    <w:uiPriority w:val="0"/>
    <w:rPr>
      <w:rFonts w:ascii="宋体" w:hAnsi="Courier New" w:cs="宋体"/>
    </w:rPr>
  </w:style>
  <w:style w:type="paragraph" w:customStyle="1" w:styleId="115">
    <w:name w:val="纯文本_6"/>
    <w:basedOn w:val="116"/>
    <w:link w:val="114"/>
    <w:qFormat/>
    <w:uiPriority w:val="0"/>
    <w:rPr>
      <w:rFonts w:ascii="宋体" w:hAnsi="Courier New"/>
      <w:kern w:val="0"/>
      <w:sz w:val="20"/>
      <w:szCs w:val="20"/>
    </w:rPr>
  </w:style>
  <w:style w:type="paragraph" w:customStyle="1" w:styleId="116">
    <w:name w:val="正文_11"/>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117">
    <w:name w:val="我的正文 Char"/>
    <w:link w:val="118"/>
    <w:qFormat/>
    <w:uiPriority w:val="0"/>
    <w:rPr>
      <w:sz w:val="24"/>
      <w:szCs w:val="24"/>
    </w:rPr>
  </w:style>
  <w:style w:type="paragraph" w:customStyle="1" w:styleId="118">
    <w:name w:val="我的正文"/>
    <w:basedOn w:val="1"/>
    <w:link w:val="117"/>
    <w:qFormat/>
    <w:uiPriority w:val="0"/>
    <w:pPr>
      <w:spacing w:line="360" w:lineRule="auto"/>
      <w:ind w:hanging="202" w:hangingChars="202"/>
      <w:jc w:val="left"/>
    </w:pPr>
    <w:rPr>
      <w:kern w:val="0"/>
      <w:sz w:val="24"/>
      <w:szCs w:val="24"/>
    </w:rPr>
  </w:style>
  <w:style w:type="character" w:customStyle="1" w:styleId="119">
    <w:name w:val="Char Char1_0"/>
    <w:link w:val="120"/>
    <w:qFormat/>
    <w:uiPriority w:val="0"/>
    <w:rPr>
      <w:rFonts w:ascii="Tahoma" w:hAnsi="Tahoma" w:cs="Tahoma"/>
      <w:sz w:val="24"/>
      <w:szCs w:val="24"/>
    </w:rPr>
  </w:style>
  <w:style w:type="paragraph" w:customStyle="1" w:styleId="120">
    <w:name w:val="Char_0"/>
    <w:basedOn w:val="121"/>
    <w:link w:val="119"/>
    <w:qFormat/>
    <w:uiPriority w:val="0"/>
    <w:rPr>
      <w:rFonts w:ascii="Tahoma" w:hAnsi="Tahoma"/>
      <w:kern w:val="0"/>
      <w:sz w:val="24"/>
      <w:szCs w:val="24"/>
    </w:rPr>
  </w:style>
  <w:style w:type="paragraph" w:customStyle="1" w:styleId="121">
    <w:name w:val="正文_1"/>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122">
    <w:name w:val="bds_more"/>
    <w:basedOn w:val="52"/>
    <w:qFormat/>
    <w:uiPriority w:val="0"/>
  </w:style>
  <w:style w:type="character" w:customStyle="1" w:styleId="123">
    <w:name w:val="Item List Char"/>
    <w:link w:val="124"/>
    <w:qFormat/>
    <w:uiPriority w:val="0"/>
    <w:rPr>
      <w:rFonts w:ascii="Arial" w:hAnsi="Arial" w:cs="Arial"/>
      <w:sz w:val="21"/>
      <w:szCs w:val="21"/>
      <w:lang w:val="en-US" w:eastAsia="zh-CN" w:bidi="ar-SA"/>
    </w:rPr>
  </w:style>
  <w:style w:type="paragraph" w:customStyle="1" w:styleId="124">
    <w:name w:val="Item List"/>
    <w:link w:val="123"/>
    <w:qFormat/>
    <w:uiPriority w:val="0"/>
    <w:pPr>
      <w:tabs>
        <w:tab w:val="left" w:pos="482"/>
      </w:tabs>
      <w:spacing w:line="300" w:lineRule="auto"/>
      <w:ind w:left="709" w:hanging="284"/>
      <w:jc w:val="both"/>
    </w:pPr>
    <w:rPr>
      <w:rFonts w:ascii="Arial" w:hAnsi="Arial" w:eastAsia="宋体" w:cs="Arial"/>
      <w:sz w:val="21"/>
      <w:szCs w:val="21"/>
      <w:lang w:val="en-US" w:eastAsia="zh-CN" w:bidi="ar-SA"/>
    </w:rPr>
  </w:style>
  <w:style w:type="character" w:customStyle="1" w:styleId="125">
    <w:name w:val="i42"/>
    <w:basedOn w:val="52"/>
    <w:qFormat/>
    <w:uiPriority w:val="0"/>
  </w:style>
  <w:style w:type="character" w:customStyle="1" w:styleId="126">
    <w:name w:val="zxpp"/>
    <w:qFormat/>
    <w:uiPriority w:val="0"/>
    <w:rPr>
      <w:rFonts w:ascii="微软雅黑" w:hAnsi="微软雅黑" w:eastAsia="微软雅黑" w:cs="微软雅黑"/>
      <w:b/>
      <w:bCs/>
      <w:color w:val="auto"/>
      <w:sz w:val="24"/>
      <w:szCs w:val="24"/>
    </w:rPr>
  </w:style>
  <w:style w:type="character" w:customStyle="1" w:styleId="127">
    <w:name w:val="批注文字 Char2"/>
    <w:qFormat/>
    <w:uiPriority w:val="99"/>
    <w:rPr>
      <w:rFonts w:ascii="Calibri" w:hAnsi="Calibri" w:eastAsia="宋体" w:cs="Calibri"/>
      <w:sz w:val="24"/>
      <w:szCs w:val="24"/>
    </w:rPr>
  </w:style>
  <w:style w:type="character" w:customStyle="1" w:styleId="128">
    <w:name w:val="font31"/>
    <w:basedOn w:val="52"/>
    <w:qFormat/>
    <w:uiPriority w:val="0"/>
    <w:rPr>
      <w:rFonts w:ascii="宋体" w:hAnsi="宋体" w:eastAsia="宋体" w:cs="宋体"/>
      <w:color w:val="000000"/>
      <w:sz w:val="20"/>
      <w:szCs w:val="20"/>
      <w:u w:val="none"/>
    </w:rPr>
  </w:style>
  <w:style w:type="character" w:customStyle="1" w:styleId="129">
    <w:name w:val="无间隔 字符"/>
    <w:link w:val="130"/>
    <w:qFormat/>
    <w:uiPriority w:val="1"/>
    <w:rPr>
      <w:rFonts w:ascii="等线" w:hAnsi="等线" w:eastAsia="等线" w:cs="等线"/>
      <w:sz w:val="22"/>
      <w:szCs w:val="22"/>
      <w:lang w:val="en-US" w:eastAsia="zh-CN" w:bidi="ar-SA"/>
    </w:rPr>
  </w:style>
  <w:style w:type="paragraph" w:customStyle="1" w:styleId="130">
    <w:name w:val="无间隔1"/>
    <w:link w:val="129"/>
    <w:qFormat/>
    <w:uiPriority w:val="1"/>
    <w:rPr>
      <w:rFonts w:ascii="等线" w:hAnsi="等线" w:eastAsia="等线" w:cs="等线"/>
      <w:sz w:val="22"/>
      <w:szCs w:val="22"/>
      <w:lang w:val="en-US" w:eastAsia="zh-CN" w:bidi="ar-SA"/>
    </w:rPr>
  </w:style>
  <w:style w:type="character" w:customStyle="1" w:styleId="131">
    <w:name w:val="正文缩进 Char_0"/>
    <w:link w:val="132"/>
    <w:qFormat/>
    <w:uiPriority w:val="0"/>
  </w:style>
  <w:style w:type="paragraph" w:customStyle="1" w:styleId="132">
    <w:name w:val="正文缩进_0"/>
    <w:basedOn w:val="133"/>
    <w:link w:val="131"/>
    <w:qFormat/>
    <w:uiPriority w:val="0"/>
    <w:pPr>
      <w:ind w:firstLine="420"/>
    </w:pPr>
    <w:rPr>
      <w:rFonts w:ascii="Calibri" w:hAnsi="Calibri" w:cs="Calibri"/>
      <w:kern w:val="0"/>
      <w:sz w:val="20"/>
      <w:szCs w:val="20"/>
    </w:rPr>
  </w:style>
  <w:style w:type="paragraph" w:customStyle="1" w:styleId="133">
    <w:name w:val="正文_0"/>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134">
    <w:name w:val="bds_more3"/>
    <w:basedOn w:val="52"/>
    <w:qFormat/>
    <w:uiPriority w:val="0"/>
  </w:style>
  <w:style w:type="character" w:customStyle="1" w:styleId="135">
    <w:name w:val="font81"/>
    <w:qFormat/>
    <w:uiPriority w:val="0"/>
    <w:rPr>
      <w:rFonts w:ascii="宋体" w:hAnsi="宋体" w:eastAsia="宋体" w:cs="宋体"/>
      <w:b/>
      <w:bCs/>
      <w:color w:val="FF0000"/>
      <w:sz w:val="20"/>
      <w:szCs w:val="20"/>
      <w:u w:val="none"/>
    </w:rPr>
  </w:style>
  <w:style w:type="character" w:customStyle="1" w:styleId="136">
    <w:name w:val="font51"/>
    <w:qFormat/>
    <w:uiPriority w:val="0"/>
    <w:rPr>
      <w:rFonts w:ascii="宋体" w:hAnsi="宋体" w:eastAsia="宋体" w:cs="宋体"/>
      <w:color w:val="000000"/>
      <w:sz w:val="21"/>
      <w:szCs w:val="21"/>
      <w:u w:val="none"/>
    </w:rPr>
  </w:style>
  <w:style w:type="character" w:customStyle="1" w:styleId="137">
    <w:name w:val="纯文本 Char1_3"/>
    <w:link w:val="138"/>
    <w:qFormat/>
    <w:uiPriority w:val="0"/>
    <w:rPr>
      <w:rFonts w:ascii="宋体" w:hAnsi="Courier New" w:cs="宋体"/>
      <w:kern w:val="2"/>
      <w:sz w:val="21"/>
      <w:szCs w:val="21"/>
      <w:lang w:val="en-US" w:eastAsia="zh-CN"/>
    </w:rPr>
  </w:style>
  <w:style w:type="paragraph" w:customStyle="1" w:styleId="138">
    <w:name w:val="纯文本_3"/>
    <w:basedOn w:val="139"/>
    <w:link w:val="137"/>
    <w:qFormat/>
    <w:uiPriority w:val="0"/>
    <w:rPr>
      <w:rFonts w:ascii="宋体" w:hAnsi="Courier New"/>
    </w:rPr>
  </w:style>
  <w:style w:type="paragraph" w:customStyle="1" w:styleId="139">
    <w:name w:val="正文_5"/>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140">
    <w:name w:val="sidecatalog-index1"/>
    <w:qFormat/>
    <w:uiPriority w:val="0"/>
    <w:rPr>
      <w:rFonts w:ascii="Arial" w:hAnsi="Arial" w:cs="Arial"/>
      <w:b/>
      <w:bCs/>
      <w:color w:val="auto"/>
      <w:sz w:val="21"/>
      <w:szCs w:val="21"/>
    </w:rPr>
  </w:style>
  <w:style w:type="character" w:customStyle="1" w:styleId="141">
    <w:name w:val="font41"/>
    <w:basedOn w:val="52"/>
    <w:qFormat/>
    <w:uiPriority w:val="0"/>
    <w:rPr>
      <w:rFonts w:ascii="宋体" w:hAnsi="宋体" w:eastAsia="宋体" w:cs="宋体"/>
      <w:color w:val="000000"/>
      <w:sz w:val="20"/>
      <w:szCs w:val="20"/>
      <w:u w:val="none"/>
    </w:rPr>
  </w:style>
  <w:style w:type="character" w:customStyle="1" w:styleId="142">
    <w:name w:val="Char Char1_01"/>
    <w:link w:val="143"/>
    <w:qFormat/>
    <w:uiPriority w:val="99"/>
    <w:rPr>
      <w:rFonts w:ascii="Tahoma" w:hAnsi="Tahoma" w:cs="Tahoma"/>
      <w:kern w:val="2"/>
      <w:sz w:val="24"/>
      <w:szCs w:val="24"/>
    </w:rPr>
  </w:style>
  <w:style w:type="paragraph" w:customStyle="1" w:styleId="143">
    <w:name w:val="Char_01"/>
    <w:basedOn w:val="121"/>
    <w:link w:val="142"/>
    <w:qFormat/>
    <w:uiPriority w:val="99"/>
    <w:rPr>
      <w:rFonts w:ascii="Tahoma" w:hAnsi="Tahoma"/>
      <w:sz w:val="24"/>
      <w:szCs w:val="24"/>
    </w:rPr>
  </w:style>
  <w:style w:type="character" w:customStyle="1" w:styleId="144">
    <w:name w:val="Char Char1"/>
    <w:link w:val="145"/>
    <w:qFormat/>
    <w:uiPriority w:val="0"/>
    <w:rPr>
      <w:rFonts w:ascii="Tahoma" w:hAnsi="Tahoma" w:cs="Tahoma"/>
      <w:kern w:val="2"/>
      <w:sz w:val="24"/>
      <w:szCs w:val="24"/>
    </w:rPr>
  </w:style>
  <w:style w:type="paragraph" w:customStyle="1" w:styleId="145">
    <w:name w:val="Char"/>
    <w:basedOn w:val="1"/>
    <w:link w:val="144"/>
    <w:qFormat/>
    <w:uiPriority w:val="0"/>
    <w:rPr>
      <w:rFonts w:ascii="Tahoma" w:hAnsi="Tahoma"/>
      <w:sz w:val="24"/>
      <w:szCs w:val="24"/>
    </w:rPr>
  </w:style>
  <w:style w:type="character" w:customStyle="1" w:styleId="146">
    <w:name w:val="标题 Char2"/>
    <w:qFormat/>
    <w:uiPriority w:val="10"/>
    <w:rPr>
      <w:rFonts w:ascii="Cambria" w:hAnsi="Cambria" w:eastAsia="宋体" w:cs="Cambria"/>
      <w:b/>
      <w:bCs/>
      <w:sz w:val="32"/>
      <w:szCs w:val="32"/>
    </w:rPr>
  </w:style>
  <w:style w:type="character" w:customStyle="1" w:styleId="147">
    <w:name w:val="bds_more7"/>
    <w:basedOn w:val="52"/>
    <w:qFormat/>
    <w:uiPriority w:val="0"/>
  </w:style>
  <w:style w:type="character" w:customStyle="1" w:styleId="148">
    <w:name w:val="纯文本 Char1_0"/>
    <w:link w:val="149"/>
    <w:qFormat/>
    <w:uiPriority w:val="99"/>
    <w:rPr>
      <w:rFonts w:ascii="宋体" w:hAnsi="Courier New" w:cs="宋体"/>
      <w:lang w:val="en-US" w:eastAsia="zh-CN"/>
    </w:rPr>
  </w:style>
  <w:style w:type="paragraph" w:customStyle="1" w:styleId="149">
    <w:name w:val="纯文本_0"/>
    <w:basedOn w:val="1"/>
    <w:link w:val="148"/>
    <w:qFormat/>
    <w:uiPriority w:val="99"/>
    <w:rPr>
      <w:rFonts w:ascii="宋体" w:hAnsi="Courier New"/>
      <w:kern w:val="0"/>
      <w:sz w:val="20"/>
      <w:szCs w:val="20"/>
    </w:rPr>
  </w:style>
  <w:style w:type="character" w:customStyle="1" w:styleId="150">
    <w:name w:val="cai"/>
    <w:basedOn w:val="52"/>
    <w:qFormat/>
    <w:uiPriority w:val="0"/>
  </w:style>
  <w:style w:type="character" w:customStyle="1" w:styleId="151">
    <w:name w:val="font21"/>
    <w:basedOn w:val="52"/>
    <w:qFormat/>
    <w:uiPriority w:val="0"/>
    <w:rPr>
      <w:rFonts w:ascii="Calibri" w:hAnsi="Calibri" w:cs="Calibri"/>
      <w:color w:val="000000"/>
      <w:sz w:val="24"/>
      <w:szCs w:val="24"/>
      <w:u w:val="none"/>
    </w:rPr>
  </w:style>
  <w:style w:type="character" w:customStyle="1" w:styleId="152">
    <w:name w:val="i1"/>
    <w:basedOn w:val="52"/>
    <w:qFormat/>
    <w:uiPriority w:val="0"/>
  </w:style>
  <w:style w:type="character" w:customStyle="1" w:styleId="153">
    <w:name w:val="textfont1"/>
    <w:basedOn w:val="52"/>
    <w:qFormat/>
    <w:uiPriority w:val="0"/>
  </w:style>
  <w:style w:type="character" w:customStyle="1" w:styleId="154">
    <w:name w:val="批注文字 Char"/>
    <w:qFormat/>
    <w:uiPriority w:val="0"/>
    <w:rPr>
      <w:kern w:val="2"/>
      <w:sz w:val="24"/>
      <w:szCs w:val="24"/>
    </w:rPr>
  </w:style>
  <w:style w:type="character" w:customStyle="1" w:styleId="155">
    <w:name w:val="ding"/>
    <w:basedOn w:val="52"/>
    <w:qFormat/>
    <w:uiPriority w:val="0"/>
  </w:style>
  <w:style w:type="character" w:customStyle="1" w:styleId="156">
    <w:name w:val="htd0"/>
    <w:basedOn w:val="52"/>
    <w:qFormat/>
    <w:uiPriority w:val="0"/>
  </w:style>
  <w:style w:type="character" w:customStyle="1" w:styleId="157">
    <w:name w:val="SANGFOR_3_标题3 Char"/>
    <w:link w:val="158"/>
    <w:qFormat/>
    <w:uiPriority w:val="0"/>
    <w:rPr>
      <w:rFonts w:ascii="黑体" w:hAnsi="黑体" w:eastAsia="黑体" w:cs="黑体"/>
      <w:b/>
      <w:bCs/>
      <w:kern w:val="2"/>
      <w:sz w:val="36"/>
      <w:szCs w:val="36"/>
    </w:rPr>
  </w:style>
  <w:style w:type="paragraph" w:customStyle="1" w:styleId="158">
    <w:name w:val="SANGFOR_3_标题3"/>
    <w:basedOn w:val="5"/>
    <w:next w:val="1"/>
    <w:link w:val="157"/>
    <w:qFormat/>
    <w:uiPriority w:val="0"/>
    <w:pPr>
      <w:spacing w:beforeLines="50" w:afterLines="50" w:line="240" w:lineRule="auto"/>
      <w:ind w:left="142" w:firstLine="0" w:firstLineChars="0"/>
    </w:pPr>
    <w:rPr>
      <w:rFonts w:ascii="黑体" w:hAnsi="黑体" w:eastAsia="黑体" w:cs="Times New Roman"/>
      <w:sz w:val="36"/>
      <w:szCs w:val="36"/>
    </w:rPr>
  </w:style>
  <w:style w:type="character" w:customStyle="1" w:styleId="159">
    <w:name w:val="Char Char11"/>
    <w:link w:val="160"/>
    <w:qFormat/>
    <w:uiPriority w:val="99"/>
    <w:rPr>
      <w:rFonts w:ascii="Tahoma" w:hAnsi="Tahoma" w:cs="Tahoma"/>
      <w:kern w:val="2"/>
      <w:sz w:val="28"/>
      <w:szCs w:val="28"/>
    </w:rPr>
  </w:style>
  <w:style w:type="paragraph" w:customStyle="1" w:styleId="160">
    <w:name w:val="Char2"/>
    <w:basedOn w:val="1"/>
    <w:link w:val="159"/>
    <w:qFormat/>
    <w:uiPriority w:val="99"/>
    <w:rPr>
      <w:rFonts w:ascii="Tahoma" w:hAnsi="Tahoma"/>
      <w:sz w:val="28"/>
      <w:szCs w:val="28"/>
    </w:rPr>
  </w:style>
  <w:style w:type="character" w:customStyle="1" w:styleId="161">
    <w:name w:val="p141"/>
    <w:qFormat/>
    <w:uiPriority w:val="0"/>
    <w:rPr>
      <w:sz w:val="21"/>
      <w:szCs w:val="21"/>
      <w:u w:val="none"/>
    </w:rPr>
  </w:style>
  <w:style w:type="character" w:customStyle="1" w:styleId="162">
    <w:name w:val="明显强调1"/>
    <w:qFormat/>
    <w:uiPriority w:val="0"/>
    <w:rPr>
      <w:b/>
      <w:bCs/>
      <w:i/>
      <w:iCs/>
      <w:color w:val="4F81BD"/>
    </w:rPr>
  </w:style>
  <w:style w:type="character" w:customStyle="1" w:styleId="163">
    <w:name w:val="sidecatalog-dot"/>
    <w:basedOn w:val="52"/>
    <w:qFormat/>
    <w:uiPriority w:val="0"/>
  </w:style>
  <w:style w:type="character" w:customStyle="1" w:styleId="164">
    <w:name w:val="普通文字 Char Char1_2"/>
    <w:link w:val="165"/>
    <w:qFormat/>
    <w:uiPriority w:val="0"/>
    <w:rPr>
      <w:rFonts w:ascii="宋体" w:hAnsi="Courier New" w:cs="宋体"/>
    </w:rPr>
  </w:style>
  <w:style w:type="paragraph" w:customStyle="1" w:styleId="165">
    <w:name w:val="纯文本_5"/>
    <w:basedOn w:val="166"/>
    <w:link w:val="164"/>
    <w:qFormat/>
    <w:uiPriority w:val="0"/>
    <w:rPr>
      <w:rFonts w:ascii="宋体" w:hAnsi="Courier New"/>
      <w:kern w:val="0"/>
      <w:sz w:val="20"/>
      <w:szCs w:val="20"/>
    </w:rPr>
  </w:style>
  <w:style w:type="paragraph" w:customStyle="1" w:styleId="166">
    <w:name w:val="正文_6_0"/>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167">
    <w:name w:val="批注主题 Char"/>
    <w:qFormat/>
    <w:uiPriority w:val="0"/>
    <w:rPr>
      <w:b/>
      <w:bCs/>
      <w:kern w:val="2"/>
      <w:sz w:val="24"/>
      <w:szCs w:val="24"/>
    </w:rPr>
  </w:style>
  <w:style w:type="character" w:customStyle="1" w:styleId="168">
    <w:name w:val="纯文本 Char1_1"/>
    <w:link w:val="169"/>
    <w:qFormat/>
    <w:uiPriority w:val="0"/>
    <w:rPr>
      <w:rFonts w:ascii="宋体" w:hAnsi="Courier New" w:cs="宋体"/>
      <w:kern w:val="2"/>
      <w:sz w:val="21"/>
      <w:szCs w:val="21"/>
      <w:lang w:val="en-US" w:eastAsia="zh-CN"/>
    </w:rPr>
  </w:style>
  <w:style w:type="paragraph" w:customStyle="1" w:styleId="169">
    <w:name w:val="纯文本_1"/>
    <w:basedOn w:val="1"/>
    <w:link w:val="168"/>
    <w:qFormat/>
    <w:uiPriority w:val="0"/>
    <w:rPr>
      <w:rFonts w:ascii="宋体" w:hAnsi="Courier New"/>
    </w:rPr>
  </w:style>
  <w:style w:type="character" w:customStyle="1" w:styleId="170">
    <w:name w:val="bds_more9"/>
    <w:basedOn w:val="52"/>
    <w:qFormat/>
    <w:uiPriority w:val="0"/>
  </w:style>
  <w:style w:type="character" w:customStyle="1" w:styleId="171">
    <w:name w:val="plus"/>
    <w:qFormat/>
    <w:uiPriority w:val="0"/>
    <w:rPr>
      <w:b/>
      <w:bCs/>
      <w:vanish/>
      <w:color w:val="auto"/>
      <w:sz w:val="24"/>
      <w:szCs w:val="24"/>
    </w:rPr>
  </w:style>
  <w:style w:type="character" w:customStyle="1" w:styleId="172">
    <w:name w:val="morelink-item"/>
    <w:qFormat/>
    <w:uiPriority w:val="0"/>
  </w:style>
  <w:style w:type="character" w:customStyle="1" w:styleId="173">
    <w:name w:val="SANGFOR_6_正文 Char"/>
    <w:link w:val="174"/>
    <w:qFormat/>
    <w:uiPriority w:val="0"/>
    <w:rPr>
      <w:rFonts w:ascii="楷体_gb18030" w:hAnsi="Verdana" w:eastAsia="楷体_gb18030" w:cs="楷体_gb18030"/>
      <w:color w:val="000000"/>
      <w:kern w:val="2"/>
      <w:sz w:val="28"/>
      <w:szCs w:val="28"/>
    </w:rPr>
  </w:style>
  <w:style w:type="paragraph" w:customStyle="1" w:styleId="174">
    <w:name w:val="SANGFOR_6_正文"/>
    <w:basedOn w:val="1"/>
    <w:link w:val="173"/>
    <w:qFormat/>
    <w:uiPriority w:val="0"/>
    <w:pPr>
      <w:spacing w:line="400" w:lineRule="exact"/>
      <w:ind w:firstLine="560" w:firstLineChars="200"/>
    </w:pPr>
    <w:rPr>
      <w:rFonts w:ascii="楷体_gb18030" w:hAnsi="Verdana" w:eastAsia="楷体_gb18030"/>
      <w:color w:val="000000"/>
      <w:sz w:val="28"/>
      <w:szCs w:val="28"/>
    </w:rPr>
  </w:style>
  <w:style w:type="character" w:customStyle="1" w:styleId="175">
    <w:name w:val="bds_more4"/>
    <w:basedOn w:val="52"/>
    <w:qFormat/>
    <w:uiPriority w:val="0"/>
  </w:style>
  <w:style w:type="character" w:customStyle="1" w:styleId="176">
    <w:name w:val="不明显强调1"/>
    <w:qFormat/>
    <w:uiPriority w:val="0"/>
    <w:rPr>
      <w:i/>
      <w:iCs/>
      <w:color w:val="auto"/>
    </w:rPr>
  </w:style>
  <w:style w:type="character" w:customStyle="1" w:styleId="177">
    <w:name w:val="font91"/>
    <w:qFormat/>
    <w:uiPriority w:val="0"/>
    <w:rPr>
      <w:rFonts w:ascii="Calibri" w:hAnsi="Calibri" w:cs="Calibri"/>
      <w:color w:val="FF0000"/>
      <w:sz w:val="24"/>
      <w:szCs w:val="24"/>
      <w:u w:val="none"/>
    </w:rPr>
  </w:style>
  <w:style w:type="character" w:customStyle="1" w:styleId="178">
    <w:name w:val="apple-converted-space"/>
    <w:qFormat/>
    <w:uiPriority w:val="0"/>
  </w:style>
  <w:style w:type="character" w:customStyle="1" w:styleId="179">
    <w:name w:val="HTML 预设格式 Char1"/>
    <w:qFormat/>
    <w:uiPriority w:val="0"/>
    <w:rPr>
      <w:rFonts w:ascii="Courier New" w:hAnsi="Courier New" w:cs="Courier New"/>
      <w:kern w:val="2"/>
    </w:rPr>
  </w:style>
  <w:style w:type="character" w:customStyle="1" w:styleId="180">
    <w:name w:val="bds_more6"/>
    <w:basedOn w:val="52"/>
    <w:qFormat/>
    <w:uiPriority w:val="0"/>
  </w:style>
  <w:style w:type="character" w:customStyle="1" w:styleId="181">
    <w:name w:val="titlestylelight1"/>
    <w:qFormat/>
    <w:uiPriority w:val="0"/>
    <w:rPr>
      <w:rFonts w:ascii="Arial" w:hAnsi="Arial" w:cs="Arial"/>
      <w:b/>
      <w:bCs/>
      <w:color w:val="auto"/>
      <w:sz w:val="18"/>
      <w:szCs w:val="18"/>
    </w:rPr>
  </w:style>
  <w:style w:type="character" w:customStyle="1" w:styleId="182">
    <w:name w:val="正文文本缩进 2 Char"/>
    <w:link w:val="183"/>
    <w:qFormat/>
    <w:uiPriority w:val="0"/>
    <w:rPr>
      <w:rFonts w:eastAsia="仿宋_GB2312"/>
      <w:sz w:val="24"/>
      <w:szCs w:val="24"/>
    </w:rPr>
  </w:style>
  <w:style w:type="paragraph" w:customStyle="1" w:styleId="183">
    <w:name w:val="正文文本缩进 2_0"/>
    <w:basedOn w:val="133"/>
    <w:link w:val="182"/>
    <w:qFormat/>
    <w:uiPriority w:val="0"/>
    <w:pPr>
      <w:snapToGrid w:val="0"/>
      <w:spacing w:line="400" w:lineRule="exact"/>
      <w:ind w:firstLine="480"/>
    </w:pPr>
    <w:rPr>
      <w:rFonts w:eastAsia="仿宋_GB2312"/>
      <w:kern w:val="0"/>
      <w:sz w:val="24"/>
      <w:szCs w:val="24"/>
    </w:rPr>
  </w:style>
  <w:style w:type="character" w:customStyle="1" w:styleId="184">
    <w:name w:val="纯文本 Char1_4_2"/>
    <w:link w:val="185"/>
    <w:qFormat/>
    <w:uiPriority w:val="0"/>
    <w:rPr>
      <w:rFonts w:ascii="宋体" w:hAnsi="Courier New" w:cs="宋体"/>
    </w:rPr>
  </w:style>
  <w:style w:type="paragraph" w:customStyle="1" w:styleId="185">
    <w:name w:val="纯文本_4_2"/>
    <w:basedOn w:val="116"/>
    <w:link w:val="184"/>
    <w:qFormat/>
    <w:uiPriority w:val="0"/>
    <w:rPr>
      <w:rFonts w:ascii="宋体" w:hAnsi="Courier New"/>
      <w:kern w:val="0"/>
      <w:sz w:val="20"/>
      <w:szCs w:val="20"/>
    </w:rPr>
  </w:style>
  <w:style w:type="character" w:customStyle="1" w:styleId="186">
    <w:name w:val="SANGFOR_4_标题4 Char"/>
    <w:link w:val="187"/>
    <w:qFormat/>
    <w:uiPriority w:val="0"/>
    <w:rPr>
      <w:rFonts w:ascii="Arial" w:hAnsi="Arial" w:eastAsia="黑体" w:cs="Arial"/>
      <w:b/>
      <w:bCs/>
      <w:kern w:val="2"/>
      <w:sz w:val="24"/>
      <w:szCs w:val="24"/>
    </w:rPr>
  </w:style>
  <w:style w:type="paragraph" w:customStyle="1" w:styleId="187">
    <w:name w:val="SANGFOR_4_标题4"/>
    <w:basedOn w:val="6"/>
    <w:next w:val="174"/>
    <w:link w:val="186"/>
    <w:qFormat/>
    <w:uiPriority w:val="0"/>
    <w:pPr>
      <w:keepNext/>
      <w:widowControl w:val="0"/>
      <w:tabs>
        <w:tab w:val="left" w:pos="567"/>
      </w:tabs>
      <w:spacing w:beforeLines="50" w:afterLines="50" w:line="240" w:lineRule="auto"/>
      <w:ind w:left="720" w:hanging="720"/>
    </w:pPr>
    <w:rPr>
      <w:rFonts w:cs="Times New Roman"/>
      <w:color w:val="auto"/>
      <w:sz w:val="24"/>
      <w:szCs w:val="24"/>
    </w:rPr>
  </w:style>
  <w:style w:type="character" w:customStyle="1" w:styleId="188">
    <w:name w:val="i2"/>
    <w:basedOn w:val="52"/>
    <w:qFormat/>
    <w:uiPriority w:val="0"/>
  </w:style>
  <w:style w:type="character" w:customStyle="1" w:styleId="189">
    <w:name w:val="bds_more2"/>
    <w:qFormat/>
    <w:uiPriority w:val="0"/>
    <w:rPr>
      <w:rFonts w:ascii="宋体" w:hAnsi="宋体" w:eastAsia="宋体" w:cs="宋体"/>
    </w:rPr>
  </w:style>
  <w:style w:type="character" w:customStyle="1" w:styleId="190">
    <w:name w:val="i5"/>
    <w:basedOn w:val="52"/>
    <w:qFormat/>
    <w:uiPriority w:val="0"/>
  </w:style>
  <w:style w:type="character" w:customStyle="1" w:styleId="191">
    <w:name w:val="页脚 Char Char"/>
    <w:qFormat/>
    <w:uiPriority w:val="0"/>
    <w:rPr>
      <w:sz w:val="18"/>
      <w:szCs w:val="18"/>
    </w:rPr>
  </w:style>
  <w:style w:type="character" w:customStyle="1" w:styleId="192">
    <w:name w:val="bds_nopic2"/>
    <w:basedOn w:val="52"/>
    <w:qFormat/>
    <w:uiPriority w:val="0"/>
  </w:style>
  <w:style w:type="character" w:customStyle="1" w:styleId="193">
    <w:name w:val="bds_nopic1"/>
    <w:basedOn w:val="52"/>
    <w:qFormat/>
    <w:uiPriority w:val="0"/>
  </w:style>
  <w:style w:type="character" w:customStyle="1" w:styleId="194">
    <w:name w:val="签名 Char1"/>
    <w:qFormat/>
    <w:uiPriority w:val="0"/>
    <w:rPr>
      <w:kern w:val="2"/>
      <w:sz w:val="24"/>
      <w:szCs w:val="24"/>
    </w:rPr>
  </w:style>
  <w:style w:type="character" w:customStyle="1" w:styleId="195">
    <w:name w:val="不明显强调11"/>
    <w:qFormat/>
    <w:uiPriority w:val="99"/>
    <w:rPr>
      <w:i/>
      <w:iCs/>
      <w:color w:val="808080"/>
    </w:rPr>
  </w:style>
  <w:style w:type="character" w:customStyle="1" w:styleId="196">
    <w:name w:val="bds_more1"/>
    <w:qFormat/>
    <w:uiPriority w:val="0"/>
    <w:rPr>
      <w:rFonts w:ascii="宋体" w:hAnsi="宋体" w:eastAsia="宋体" w:cs="宋体"/>
    </w:rPr>
  </w:style>
  <w:style w:type="character" w:customStyle="1" w:styleId="197">
    <w:name w:val="标题 3 Char1"/>
    <w:qFormat/>
    <w:uiPriority w:val="0"/>
    <w:rPr>
      <w:rFonts w:ascii="仿宋_GB2312" w:eastAsia="仿宋_GB2312" w:cs="仿宋_GB2312"/>
      <w:b/>
      <w:bCs/>
      <w:kern w:val="2"/>
      <w:sz w:val="30"/>
      <w:szCs w:val="30"/>
    </w:rPr>
  </w:style>
  <w:style w:type="character" w:customStyle="1" w:styleId="198">
    <w:name w:val="sort"/>
    <w:qFormat/>
    <w:uiPriority w:val="0"/>
    <w:rPr>
      <w:color w:val="FFFFFF"/>
      <w:bdr w:val="single" w:color="auto" w:sz="24" w:space="0"/>
    </w:rPr>
  </w:style>
  <w:style w:type="character" w:customStyle="1" w:styleId="199">
    <w:name w:val="sidecatalog-index2"/>
    <w:qFormat/>
    <w:uiPriority w:val="0"/>
    <w:rPr>
      <w:rFonts w:ascii="Arail" w:hAnsi="Arail" w:cs="Arail"/>
      <w:color w:val="auto"/>
      <w:sz w:val="21"/>
      <w:szCs w:val="21"/>
    </w:rPr>
  </w:style>
  <w:style w:type="character" w:customStyle="1" w:styleId="200">
    <w:name w:val="纯文本 Char_0"/>
    <w:link w:val="201"/>
    <w:qFormat/>
    <w:uiPriority w:val="0"/>
    <w:rPr>
      <w:rFonts w:ascii="宋体" w:hAnsi="Courier New" w:cs="宋体"/>
      <w:kern w:val="2"/>
      <w:sz w:val="21"/>
      <w:szCs w:val="21"/>
      <w:lang w:val="en-US" w:eastAsia="zh-CN"/>
    </w:rPr>
  </w:style>
  <w:style w:type="paragraph" w:customStyle="1" w:styleId="201">
    <w:name w:val="纯文本_0_0"/>
    <w:basedOn w:val="202"/>
    <w:link w:val="200"/>
    <w:qFormat/>
    <w:uiPriority w:val="0"/>
    <w:rPr>
      <w:rFonts w:ascii="宋体" w:hAnsi="Courier New"/>
    </w:rPr>
  </w:style>
  <w:style w:type="paragraph" w:customStyle="1" w:styleId="202">
    <w:name w:val="正文_1_0"/>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203">
    <w:name w:val="bds_more10"/>
    <w:basedOn w:val="52"/>
    <w:qFormat/>
    <w:uiPriority w:val="0"/>
  </w:style>
  <w:style w:type="character" w:customStyle="1" w:styleId="204">
    <w:name w:val="polysemyred"/>
    <w:qFormat/>
    <w:uiPriority w:val="0"/>
    <w:rPr>
      <w:color w:val="auto"/>
      <w:sz w:val="18"/>
      <w:szCs w:val="18"/>
    </w:rPr>
  </w:style>
  <w:style w:type="character" w:customStyle="1" w:styleId="205">
    <w:name w:val="sidecatalog-dot1"/>
    <w:basedOn w:val="52"/>
    <w:qFormat/>
    <w:uiPriority w:val="0"/>
  </w:style>
  <w:style w:type="character" w:customStyle="1" w:styleId="206">
    <w:name w:val="font61"/>
    <w:qFormat/>
    <w:uiPriority w:val="0"/>
    <w:rPr>
      <w:rFonts w:ascii="宋体" w:hAnsi="宋体" w:eastAsia="宋体" w:cs="宋体"/>
      <w:color w:val="FF0000"/>
      <w:sz w:val="24"/>
      <w:szCs w:val="24"/>
      <w:u w:val="none"/>
    </w:rPr>
  </w:style>
  <w:style w:type="character" w:customStyle="1" w:styleId="207">
    <w:name w:val="i3"/>
    <w:basedOn w:val="52"/>
    <w:qFormat/>
    <w:uiPriority w:val="0"/>
  </w:style>
  <w:style w:type="character" w:customStyle="1" w:styleId="208">
    <w:name w:val="纯文本 Char1_4_1"/>
    <w:link w:val="209"/>
    <w:qFormat/>
    <w:uiPriority w:val="0"/>
    <w:rPr>
      <w:rFonts w:ascii="宋体" w:hAnsi="Courier New" w:cs="宋体"/>
    </w:rPr>
  </w:style>
  <w:style w:type="paragraph" w:customStyle="1" w:styleId="209">
    <w:name w:val="纯文本_4_1"/>
    <w:basedOn w:val="210"/>
    <w:link w:val="208"/>
    <w:qFormat/>
    <w:uiPriority w:val="0"/>
    <w:rPr>
      <w:rFonts w:ascii="宋体" w:hAnsi="Courier New"/>
      <w:kern w:val="0"/>
      <w:sz w:val="20"/>
      <w:szCs w:val="20"/>
    </w:rPr>
  </w:style>
  <w:style w:type="paragraph" w:customStyle="1" w:styleId="210">
    <w:name w:val="正文_10"/>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211">
    <w:name w:val="polysemyexp"/>
    <w:qFormat/>
    <w:uiPriority w:val="0"/>
    <w:rPr>
      <w:color w:val="auto"/>
      <w:sz w:val="18"/>
      <w:szCs w:val="18"/>
    </w:rPr>
  </w:style>
  <w:style w:type="character" w:customStyle="1" w:styleId="212">
    <w:name w:val="副标题 Char1"/>
    <w:qFormat/>
    <w:uiPriority w:val="11"/>
    <w:rPr>
      <w:rFonts w:ascii="Cambria" w:hAnsi="Cambria" w:eastAsia="宋体" w:cs="Cambria"/>
      <w:b/>
      <w:bCs/>
      <w:kern w:val="28"/>
      <w:sz w:val="32"/>
      <w:szCs w:val="32"/>
    </w:rPr>
  </w:style>
  <w:style w:type="character" w:customStyle="1" w:styleId="213">
    <w:name w:val="纯文本 Char1_4_3"/>
    <w:link w:val="214"/>
    <w:qFormat/>
    <w:uiPriority w:val="0"/>
    <w:rPr>
      <w:rFonts w:ascii="宋体" w:hAnsi="Courier New" w:cs="宋体"/>
      <w:kern w:val="2"/>
      <w:sz w:val="21"/>
      <w:szCs w:val="21"/>
      <w:lang w:val="en-US" w:eastAsia="zh-CN"/>
    </w:rPr>
  </w:style>
  <w:style w:type="paragraph" w:customStyle="1" w:styleId="214">
    <w:name w:val="纯文本_5_0"/>
    <w:basedOn w:val="1"/>
    <w:link w:val="213"/>
    <w:qFormat/>
    <w:uiPriority w:val="0"/>
    <w:rPr>
      <w:rFonts w:ascii="宋体" w:hAnsi="Courier New"/>
    </w:rPr>
  </w:style>
  <w:style w:type="character" w:customStyle="1" w:styleId="215">
    <w:name w:val="i4"/>
    <w:basedOn w:val="52"/>
    <w:qFormat/>
    <w:uiPriority w:val="0"/>
  </w:style>
  <w:style w:type="character" w:customStyle="1" w:styleId="216">
    <w:name w:val="纯文本 Char1_4_0"/>
    <w:link w:val="217"/>
    <w:qFormat/>
    <w:uiPriority w:val="0"/>
    <w:rPr>
      <w:rFonts w:ascii="宋体" w:hAnsi="Courier New" w:cs="宋体"/>
      <w:kern w:val="2"/>
      <w:sz w:val="21"/>
      <w:szCs w:val="21"/>
      <w:lang w:val="en-US" w:eastAsia="zh-CN"/>
    </w:rPr>
  </w:style>
  <w:style w:type="paragraph" w:customStyle="1" w:styleId="217">
    <w:name w:val="纯文本_4_0"/>
    <w:basedOn w:val="1"/>
    <w:link w:val="216"/>
    <w:qFormat/>
    <w:uiPriority w:val="0"/>
    <w:rPr>
      <w:rFonts w:ascii="宋体" w:hAnsi="Courier New"/>
    </w:rPr>
  </w:style>
  <w:style w:type="character" w:customStyle="1" w:styleId="218">
    <w:name w:val="样式 宋体 小四"/>
    <w:qFormat/>
    <w:uiPriority w:val="99"/>
    <w:rPr>
      <w:rFonts w:ascii="宋体" w:hAnsi="宋体" w:eastAsia="宋体" w:cs="宋体"/>
      <w:sz w:val="24"/>
      <w:szCs w:val="24"/>
    </w:rPr>
  </w:style>
  <w:style w:type="character" w:customStyle="1" w:styleId="219">
    <w:name w:val="bds_nopic"/>
    <w:basedOn w:val="52"/>
    <w:qFormat/>
    <w:uiPriority w:val="0"/>
  </w:style>
  <w:style w:type="character" w:customStyle="1" w:styleId="220">
    <w:name w:val="lemmatitleh12"/>
    <w:basedOn w:val="52"/>
    <w:qFormat/>
    <w:uiPriority w:val="0"/>
  </w:style>
  <w:style w:type="character" w:customStyle="1" w:styleId="221">
    <w:name w:val="纯文本 Char1_4_4"/>
    <w:link w:val="222"/>
    <w:qFormat/>
    <w:uiPriority w:val="0"/>
    <w:rPr>
      <w:rFonts w:ascii="宋体" w:hAnsi="Courier New" w:cs="宋体"/>
    </w:rPr>
  </w:style>
  <w:style w:type="paragraph" w:customStyle="1" w:styleId="222">
    <w:name w:val="纯文本_4_3"/>
    <w:basedOn w:val="223"/>
    <w:link w:val="221"/>
    <w:qFormat/>
    <w:uiPriority w:val="0"/>
    <w:rPr>
      <w:rFonts w:ascii="宋体" w:hAnsi="Courier New"/>
      <w:kern w:val="0"/>
      <w:sz w:val="20"/>
      <w:szCs w:val="20"/>
    </w:rPr>
  </w:style>
  <w:style w:type="paragraph" w:customStyle="1" w:styleId="223">
    <w:name w:val="正文_16"/>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224">
    <w:name w:val="普通文字 Char Char1"/>
    <w:qFormat/>
    <w:uiPriority w:val="0"/>
    <w:rPr>
      <w:rFonts w:ascii="宋体" w:hAnsi="Courier New" w:eastAsia="宋体" w:cs="宋体"/>
      <w:kern w:val="2"/>
      <w:sz w:val="21"/>
      <w:szCs w:val="21"/>
      <w:lang w:val="en-US" w:eastAsia="zh-CN"/>
    </w:rPr>
  </w:style>
  <w:style w:type="character" w:customStyle="1" w:styleId="225">
    <w:name w:val="desc"/>
    <w:qFormat/>
    <w:uiPriority w:val="0"/>
    <w:rPr>
      <w:color w:val="000000"/>
      <w:sz w:val="18"/>
      <w:szCs w:val="18"/>
    </w:rPr>
  </w:style>
  <w:style w:type="character" w:customStyle="1" w:styleId="226">
    <w:name w:val="副标题 Char2"/>
    <w:qFormat/>
    <w:uiPriority w:val="11"/>
    <w:rPr>
      <w:rFonts w:ascii="Cambria" w:hAnsi="Cambria" w:eastAsia="宋体" w:cs="Cambria"/>
      <w:b/>
      <w:bCs/>
      <w:kern w:val="28"/>
      <w:sz w:val="32"/>
      <w:szCs w:val="32"/>
    </w:rPr>
  </w:style>
  <w:style w:type="character" w:customStyle="1" w:styleId="227">
    <w:name w:val="正文文本 Char1"/>
    <w:qFormat/>
    <w:uiPriority w:val="99"/>
    <w:rPr>
      <w:rFonts w:ascii="Calibri" w:hAnsi="Calibri" w:eastAsia="宋体" w:cs="Calibri"/>
      <w:sz w:val="24"/>
      <w:szCs w:val="24"/>
    </w:rPr>
  </w:style>
  <w:style w:type="character" w:customStyle="1" w:styleId="228">
    <w:name w:val="标题 Char1"/>
    <w:qFormat/>
    <w:uiPriority w:val="10"/>
    <w:rPr>
      <w:rFonts w:ascii="Cambria" w:hAnsi="Cambria" w:eastAsia="宋体" w:cs="Cambria"/>
      <w:b/>
      <w:bCs/>
      <w:sz w:val="32"/>
      <w:szCs w:val="32"/>
    </w:rPr>
  </w:style>
  <w:style w:type="character" w:customStyle="1" w:styleId="229">
    <w:name w:val="标题 3 Char_0"/>
    <w:link w:val="230"/>
    <w:qFormat/>
    <w:uiPriority w:val="0"/>
    <w:rPr>
      <w:rFonts w:ascii="仿宋_GB2312" w:eastAsia="仿宋_GB2312" w:cs="仿宋_GB2312"/>
      <w:b/>
      <w:bCs/>
      <w:sz w:val="30"/>
      <w:szCs w:val="30"/>
    </w:rPr>
  </w:style>
  <w:style w:type="paragraph" w:customStyle="1" w:styleId="230">
    <w:name w:val="标题 3_0"/>
    <w:basedOn w:val="133"/>
    <w:next w:val="132"/>
    <w:link w:val="229"/>
    <w:qFormat/>
    <w:uiPriority w:val="0"/>
    <w:pPr>
      <w:keepNext/>
      <w:keepLines/>
      <w:spacing w:before="260" w:after="260" w:line="360" w:lineRule="auto"/>
      <w:ind w:firstLine="602" w:firstLineChars="200"/>
      <w:outlineLvl w:val="2"/>
    </w:pPr>
    <w:rPr>
      <w:rFonts w:ascii="仿宋_GB2312" w:eastAsia="仿宋_GB2312"/>
      <w:b/>
      <w:bCs/>
      <w:kern w:val="0"/>
      <w:sz w:val="30"/>
      <w:szCs w:val="30"/>
    </w:rPr>
  </w:style>
  <w:style w:type="character" w:customStyle="1" w:styleId="231">
    <w:name w:val="15"/>
    <w:qFormat/>
    <w:uiPriority w:val="0"/>
    <w:rPr>
      <w:rFonts w:ascii="Times New Roman" w:hAnsi="Times New Roman" w:cs="Times New Roman"/>
      <w:color w:val="auto"/>
      <w:u w:val="none"/>
    </w:rPr>
  </w:style>
  <w:style w:type="paragraph" w:customStyle="1" w:styleId="232">
    <w:name w:val="正文 New New New New"/>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33">
    <w:name w:val="xl82"/>
    <w:basedOn w:val="1"/>
    <w:qFormat/>
    <w:uiPriority w:val="0"/>
    <w:pPr>
      <w:widowControl/>
      <w:pBdr>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234">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kern w:val="0"/>
      <w:sz w:val="20"/>
      <w:szCs w:val="20"/>
    </w:rPr>
  </w:style>
  <w:style w:type="paragraph" w:customStyle="1" w:styleId="235">
    <w:name w:val="列表项目"/>
    <w:basedOn w:val="1"/>
    <w:qFormat/>
    <w:uiPriority w:val="0"/>
    <w:pPr>
      <w:tabs>
        <w:tab w:val="left" w:pos="420"/>
      </w:tabs>
      <w:spacing w:line="288" w:lineRule="auto"/>
      <w:ind w:left="840" w:leftChars="200" w:hanging="420" w:hangingChars="200"/>
    </w:pPr>
    <w:rPr>
      <w:sz w:val="24"/>
      <w:szCs w:val="24"/>
    </w:rPr>
  </w:style>
  <w:style w:type="paragraph" w:customStyle="1" w:styleId="236">
    <w:name w:val="xl62"/>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237">
    <w:name w:val="toc 11"/>
    <w:next w:val="1"/>
    <w:qFormat/>
    <w:uiPriority w:val="0"/>
    <w:pPr>
      <w:wordWrap w:val="0"/>
      <w:jc w:val="both"/>
    </w:pPr>
    <w:rPr>
      <w:rFonts w:ascii="宋体" w:hAnsi="宋体" w:eastAsia="宋体" w:cs="宋体"/>
      <w:sz w:val="21"/>
      <w:szCs w:val="21"/>
      <w:lang w:val="en-US" w:eastAsia="zh-CN" w:bidi="ar-SA"/>
    </w:rPr>
  </w:style>
  <w:style w:type="paragraph" w:customStyle="1" w:styleId="238">
    <w:name w:val="Char1 Char Char Char Char Char Char"/>
    <w:basedOn w:val="3"/>
    <w:qFormat/>
    <w:uiPriority w:val="99"/>
    <w:pPr>
      <w:adjustRightInd w:val="0"/>
      <w:snapToGrid w:val="0"/>
      <w:spacing w:beforeLines="100" w:afterLines="100" w:line="480" w:lineRule="auto"/>
      <w:jc w:val="both"/>
      <w:textAlignment w:val="auto"/>
    </w:pPr>
    <w:rPr>
      <w:rFonts w:ascii="宋体" w:hAnsi="宋体" w:eastAsia="宋体" w:cs="宋体"/>
      <w:sz w:val="32"/>
      <w:szCs w:val="32"/>
    </w:rPr>
  </w:style>
  <w:style w:type="paragraph" w:customStyle="1" w:styleId="239">
    <w:name w:val="def正文"/>
    <w:basedOn w:val="19"/>
    <w:qFormat/>
    <w:uiPriority w:val="0"/>
    <w:pPr>
      <w:widowControl/>
      <w:tabs>
        <w:tab w:val="clear" w:pos="208"/>
      </w:tabs>
      <w:spacing w:line="360" w:lineRule="auto"/>
      <w:ind w:firstLine="510"/>
      <w:jc w:val="left"/>
    </w:pPr>
    <w:rPr>
      <w:rFonts w:ascii="Times New Roman" w:eastAsia="宋体" w:cs="Times New Roman"/>
      <w:kern w:val="0"/>
      <w:sz w:val="24"/>
      <w:szCs w:val="24"/>
    </w:rPr>
  </w:style>
  <w:style w:type="paragraph" w:customStyle="1" w:styleId="240">
    <w:name w:val="tabletex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41">
    <w:name w:val="正文文本 21"/>
    <w:basedOn w:val="1"/>
    <w:qFormat/>
    <w:uiPriority w:val="0"/>
    <w:pPr>
      <w:widowControl/>
      <w:overflowPunct w:val="0"/>
      <w:autoSpaceDE w:val="0"/>
      <w:autoSpaceDN w:val="0"/>
      <w:adjustRightInd w:val="0"/>
      <w:ind w:left="720" w:hanging="720"/>
      <w:textAlignment w:val="baseline"/>
    </w:pPr>
    <w:rPr>
      <w:kern w:val="0"/>
      <w:sz w:val="24"/>
      <w:szCs w:val="24"/>
      <w:lang w:val="en-GB"/>
    </w:rPr>
  </w:style>
  <w:style w:type="paragraph" w:customStyle="1" w:styleId="242">
    <w:name w:val="纯文本1"/>
    <w:basedOn w:val="1"/>
    <w:qFormat/>
    <w:uiPriority w:val="0"/>
    <w:pPr>
      <w:adjustRightInd w:val="0"/>
      <w:jc w:val="left"/>
      <w:textAlignment w:val="baseline"/>
    </w:pPr>
    <w:rPr>
      <w:rFonts w:ascii="宋体" w:hAnsi="Courier New" w:cs="宋体"/>
      <w:sz w:val="24"/>
      <w:szCs w:val="24"/>
    </w:rPr>
  </w:style>
  <w:style w:type="paragraph" w:customStyle="1" w:styleId="243">
    <w:name w:val="正文缩进1"/>
    <w:basedOn w:val="1"/>
    <w:qFormat/>
    <w:uiPriority w:val="0"/>
    <w:pPr>
      <w:spacing w:line="300" w:lineRule="auto"/>
      <w:ind w:firstLine="425"/>
    </w:pPr>
  </w:style>
  <w:style w:type="paragraph" w:customStyle="1" w:styleId="244">
    <w:name w:val="Normal_7"/>
    <w:qFormat/>
    <w:uiPriority w:val="0"/>
    <w:rPr>
      <w:rFonts w:ascii="黑体" w:hAnsi="黑体" w:eastAsia="黑体" w:cs="黑体"/>
      <w:b/>
      <w:bCs/>
      <w:sz w:val="32"/>
      <w:szCs w:val="32"/>
      <w:lang w:val="en-US" w:eastAsia="zh-CN" w:bidi="ar-SA"/>
    </w:rPr>
  </w:style>
  <w:style w:type="paragraph" w:customStyle="1" w:styleId="245">
    <w:name w:val="默认段落字体 Para Char Char Char Char Char Char Char Char Char Char1 Char Char Char Char"/>
    <w:basedOn w:val="1"/>
    <w:qFormat/>
    <w:uiPriority w:val="0"/>
    <w:pPr>
      <w:spacing w:line="500" w:lineRule="exact"/>
      <w:ind w:firstLine="200" w:firstLineChars="200"/>
    </w:pPr>
  </w:style>
  <w:style w:type="paragraph" w:customStyle="1" w:styleId="246">
    <w:name w:val="Table Contents"/>
    <w:basedOn w:val="1"/>
    <w:qFormat/>
    <w:uiPriority w:val="0"/>
    <w:pPr>
      <w:suppressAutoHyphens/>
      <w:autoSpaceDE w:val="0"/>
      <w:spacing w:after="120"/>
      <w:jc w:val="left"/>
    </w:pPr>
    <w:rPr>
      <w:rFonts w:ascii="Helvetica" w:hAnsi="Helvetica" w:cs="Helvetica"/>
      <w:kern w:val="1"/>
      <w:sz w:val="20"/>
      <w:szCs w:val="20"/>
    </w:rPr>
  </w:style>
  <w:style w:type="paragraph" w:customStyle="1" w:styleId="247">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248">
    <w:name w:val="Normal_10"/>
    <w:qFormat/>
    <w:uiPriority w:val="0"/>
    <w:rPr>
      <w:rFonts w:ascii="黑体" w:hAnsi="黑体" w:eastAsia="黑体" w:cs="黑体"/>
      <w:b/>
      <w:bCs/>
      <w:sz w:val="32"/>
      <w:szCs w:val="32"/>
      <w:lang w:val="en-US" w:eastAsia="zh-CN" w:bidi="ar-SA"/>
    </w:rPr>
  </w:style>
  <w:style w:type="paragraph" w:customStyle="1" w:styleId="249">
    <w:name w:val="正文_18_0"/>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50">
    <w:name w:val="样式1"/>
    <w:basedOn w:val="4"/>
    <w:qFormat/>
    <w:uiPriority w:val="0"/>
    <w:pPr>
      <w:keepLines/>
      <w:adjustRightInd/>
      <w:snapToGrid/>
      <w:spacing w:before="260" w:after="260" w:line="416" w:lineRule="auto"/>
      <w:textAlignment w:val="auto"/>
    </w:pPr>
    <w:rPr>
      <w:rFonts w:ascii="宋体" w:hAnsi="宋体" w:eastAsia="黑体" w:cs="宋体"/>
      <w:kern w:val="2"/>
    </w:rPr>
  </w:style>
  <w:style w:type="paragraph" w:customStyle="1" w:styleId="251">
    <w:name w:val="表内文字"/>
    <w:basedOn w:val="1"/>
    <w:qFormat/>
    <w:uiPriority w:val="0"/>
    <w:pPr>
      <w:jc w:val="center"/>
    </w:pPr>
    <w:rPr>
      <w:rFonts w:ascii="仿宋_GB2312" w:eastAsia="仿宋_GB2312" w:cs="仿宋_GB2312"/>
      <w:sz w:val="24"/>
      <w:szCs w:val="24"/>
    </w:rPr>
  </w:style>
  <w:style w:type="paragraph" w:customStyle="1" w:styleId="252">
    <w:name w:val="普通(网站)_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53">
    <w:name w:val="正文_12"/>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54">
    <w:name w:val="Normal_4"/>
    <w:qFormat/>
    <w:uiPriority w:val="0"/>
    <w:rPr>
      <w:rFonts w:ascii="黑体" w:hAnsi="黑体" w:eastAsia="黑体" w:cs="黑体"/>
      <w:b/>
      <w:bCs/>
      <w:sz w:val="32"/>
      <w:szCs w:val="32"/>
      <w:lang w:val="en-US" w:eastAsia="zh-CN" w:bidi="ar-SA"/>
    </w:rPr>
  </w:style>
  <w:style w:type="paragraph" w:customStyle="1" w:styleId="255">
    <w:name w:val="_Style 129"/>
    <w:next w:val="1"/>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56">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257">
    <w:name w:val="表格文字"/>
    <w:basedOn w:val="1"/>
    <w:next w:val="19"/>
    <w:qFormat/>
    <w:uiPriority w:val="99"/>
    <w:pPr>
      <w:adjustRightInd w:val="0"/>
      <w:spacing w:line="420" w:lineRule="atLeast"/>
      <w:textAlignment w:val="baseline"/>
    </w:pPr>
    <w:rPr>
      <w:rFonts w:ascii="Calibri" w:hAnsi="Calibri" w:cs="Calibri"/>
    </w:rPr>
  </w:style>
  <w:style w:type="paragraph" w:customStyle="1" w:styleId="25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259">
    <w:name w:val="样式 标题 3h3H3sect1.2.3 + 五号 段前: 6 磅 段后: 6 磅 行距: 单倍行距"/>
    <w:basedOn w:val="5"/>
    <w:qFormat/>
    <w:uiPriority w:val="0"/>
    <w:pPr>
      <w:tabs>
        <w:tab w:val="left" w:pos="1260"/>
      </w:tabs>
      <w:adjustRightInd w:val="0"/>
      <w:spacing w:before="120" w:after="120" w:line="240" w:lineRule="auto"/>
      <w:ind w:left="1260" w:hanging="420" w:firstLineChars="0"/>
      <w:jc w:val="left"/>
      <w:textAlignment w:val="baseline"/>
    </w:pPr>
    <w:rPr>
      <w:rFonts w:ascii="Times New Roman" w:eastAsia="宋体" w:cs="Times New Roman"/>
      <w:kern w:val="0"/>
      <w:sz w:val="21"/>
      <w:szCs w:val="21"/>
    </w:rPr>
  </w:style>
  <w:style w:type="paragraph" w:customStyle="1" w:styleId="260">
    <w:name w:val="font11"/>
    <w:basedOn w:val="1"/>
    <w:qFormat/>
    <w:uiPriority w:val="0"/>
    <w:pPr>
      <w:widowControl/>
      <w:spacing w:before="100" w:beforeAutospacing="1" w:after="100" w:afterAutospacing="1"/>
      <w:jc w:val="left"/>
    </w:pPr>
    <w:rPr>
      <w:b/>
      <w:bCs/>
      <w:i/>
      <w:iCs/>
      <w:kern w:val="0"/>
      <w:sz w:val="24"/>
      <w:szCs w:val="24"/>
    </w:rPr>
  </w:style>
  <w:style w:type="paragraph" w:customStyle="1" w:styleId="261">
    <w:name w:val="正文_21"/>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62">
    <w:name w:val="xl71"/>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cs="宋体"/>
      <w:b/>
      <w:bCs/>
      <w:i/>
      <w:iCs/>
      <w:kern w:val="0"/>
      <w:sz w:val="24"/>
      <w:szCs w:val="24"/>
    </w:rPr>
  </w:style>
  <w:style w:type="paragraph" w:customStyle="1" w:styleId="263">
    <w:name w:val="xl84"/>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264">
    <w:name w:val="xl56"/>
    <w:basedOn w:val="1"/>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left"/>
    </w:pPr>
    <w:rPr>
      <w:b/>
      <w:bCs/>
      <w:kern w:val="0"/>
      <w:sz w:val="22"/>
      <w:szCs w:val="22"/>
    </w:rPr>
  </w:style>
  <w:style w:type="paragraph" w:customStyle="1" w:styleId="265">
    <w:name w:val="xl70"/>
    <w:basedOn w:val="1"/>
    <w:qFormat/>
    <w:uiPriority w:val="0"/>
    <w:pPr>
      <w:widowControl/>
      <w:pBdr>
        <w:top w:val="single" w:color="auto" w:sz="4" w:space="0"/>
        <w:bottom w:val="single" w:color="auto" w:sz="8" w:space="0"/>
        <w:right w:val="single" w:color="auto" w:sz="4" w:space="0"/>
      </w:pBdr>
      <w:spacing w:before="100" w:beforeAutospacing="1" w:after="100" w:afterAutospacing="1"/>
      <w:jc w:val="left"/>
    </w:pPr>
    <w:rPr>
      <w:b/>
      <w:bCs/>
      <w:kern w:val="0"/>
      <w:sz w:val="20"/>
      <w:szCs w:val="20"/>
    </w:rPr>
  </w:style>
  <w:style w:type="paragraph" w:customStyle="1" w:styleId="266">
    <w:name w:val="SANGFOR_2_标题2"/>
    <w:basedOn w:val="4"/>
    <w:next w:val="174"/>
    <w:qFormat/>
    <w:uiPriority w:val="0"/>
    <w:pPr>
      <w:keepLines/>
      <w:adjustRightInd/>
      <w:snapToGrid/>
      <w:spacing w:beforeLines="50" w:afterLines="50" w:line="240" w:lineRule="auto"/>
      <w:jc w:val="both"/>
      <w:textAlignment w:val="auto"/>
    </w:pPr>
    <w:rPr>
      <w:rFonts w:ascii="黑体" w:hAnsi="黑体" w:eastAsia="黑体" w:cs="黑体"/>
      <w:kern w:val="2"/>
    </w:rPr>
  </w:style>
  <w:style w:type="paragraph" w:customStyle="1" w:styleId="267">
    <w:name w:val="正文 New New New New New New New"/>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68">
    <w:name w:val="正文_2_1"/>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269">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70">
    <w:name w:val="模板标题3"/>
    <w:basedOn w:val="1"/>
    <w:next w:val="20"/>
    <w:qFormat/>
    <w:uiPriority w:val="0"/>
    <w:pPr>
      <w:keepNext/>
      <w:keepLines/>
      <w:tabs>
        <w:tab w:val="left" w:pos="1080"/>
      </w:tabs>
      <w:spacing w:afterLines="50"/>
      <w:outlineLvl w:val="2"/>
    </w:pPr>
    <w:rPr>
      <w:rFonts w:ascii="Arial" w:hAnsi="Arial" w:cs="Arial"/>
      <w:b/>
      <w:bCs/>
      <w:kern w:val="21"/>
      <w:sz w:val="24"/>
      <w:szCs w:val="24"/>
    </w:rPr>
  </w:style>
  <w:style w:type="paragraph" w:customStyle="1" w:styleId="271">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color w:val="000000"/>
      <w:kern w:val="0"/>
      <w:sz w:val="20"/>
      <w:szCs w:val="20"/>
    </w:rPr>
  </w:style>
  <w:style w:type="paragraph" w:customStyle="1" w:styleId="272">
    <w:name w:val="a"/>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73">
    <w:name w:val="列出段落1"/>
    <w:basedOn w:val="1"/>
    <w:qFormat/>
    <w:uiPriority w:val="0"/>
    <w:pPr>
      <w:ind w:firstLine="420" w:firstLineChars="200"/>
    </w:pPr>
  </w:style>
  <w:style w:type="paragraph" w:customStyle="1" w:styleId="274">
    <w:name w:val="Normal_1"/>
    <w:qFormat/>
    <w:uiPriority w:val="0"/>
    <w:rPr>
      <w:rFonts w:ascii="黑体" w:hAnsi="黑体" w:eastAsia="黑体" w:cs="黑体"/>
      <w:b/>
      <w:bCs/>
      <w:sz w:val="32"/>
      <w:szCs w:val="32"/>
      <w:lang w:val="en-US" w:eastAsia="zh-CN" w:bidi="ar-SA"/>
    </w:rPr>
  </w:style>
  <w:style w:type="paragraph" w:customStyle="1" w:styleId="275">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276">
    <w:name w:val="说明内容"/>
    <w:qFormat/>
    <w:uiPriority w:val="0"/>
    <w:pPr>
      <w:pBdr>
        <w:bottom w:val="single" w:color="auto" w:sz="2" w:space="1"/>
      </w:pBdr>
      <w:tabs>
        <w:tab w:val="left" w:pos="2268"/>
      </w:tabs>
      <w:ind w:left="1701"/>
    </w:pPr>
    <w:rPr>
      <w:rFonts w:ascii="Times New Roman" w:hAnsi="Times New Roman" w:eastAsia="仿宋_GB2312" w:cs="Times New Roman"/>
      <w:sz w:val="21"/>
      <w:szCs w:val="21"/>
      <w:lang w:val="en-US" w:eastAsia="zh-CN" w:bidi="ar-SA"/>
    </w:rPr>
  </w:style>
  <w:style w:type="paragraph" w:customStyle="1" w:styleId="277">
    <w:name w:val="小四文字"/>
    <w:basedOn w:val="1"/>
    <w:qFormat/>
    <w:uiPriority w:val="0"/>
    <w:pPr>
      <w:adjustRightInd w:val="0"/>
      <w:snapToGrid w:val="0"/>
      <w:spacing w:line="240" w:lineRule="atLeast"/>
    </w:pPr>
    <w:rPr>
      <w:sz w:val="24"/>
      <w:szCs w:val="24"/>
    </w:rPr>
  </w:style>
  <w:style w:type="paragraph" w:customStyle="1" w:styleId="278">
    <w:name w:val="p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79">
    <w:name w:val="Normal_8"/>
    <w:qFormat/>
    <w:uiPriority w:val="0"/>
    <w:rPr>
      <w:rFonts w:ascii="黑体" w:hAnsi="黑体" w:eastAsia="黑体" w:cs="黑体"/>
      <w:b/>
      <w:bCs/>
      <w:sz w:val="32"/>
      <w:szCs w:val="32"/>
      <w:lang w:val="en-US" w:eastAsia="zh-CN" w:bidi="ar-SA"/>
    </w:rPr>
  </w:style>
  <w:style w:type="paragraph" w:customStyle="1" w:styleId="280">
    <w:name w:val="正文_17"/>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281">
    <w:name w:val="font6"/>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282">
    <w:name w:val="Normal_9"/>
    <w:qFormat/>
    <w:uiPriority w:val="0"/>
    <w:rPr>
      <w:rFonts w:ascii="黑体" w:hAnsi="黑体" w:eastAsia="黑体" w:cs="黑体"/>
      <w:b/>
      <w:bCs/>
      <w:sz w:val="32"/>
      <w:szCs w:val="32"/>
      <w:lang w:val="en-US" w:eastAsia="zh-CN" w:bidi="ar-SA"/>
    </w:rPr>
  </w:style>
  <w:style w:type="paragraph" w:customStyle="1" w:styleId="283">
    <w:name w:val="xl68"/>
    <w:basedOn w:val="1"/>
    <w:qFormat/>
    <w:uiPriority w:val="0"/>
    <w:pPr>
      <w:widowControl/>
      <w:pBdr>
        <w:top w:val="single" w:color="auto" w:sz="4" w:space="0"/>
        <w:left w:val="single" w:color="auto" w:sz="4" w:space="0"/>
        <w:bottom w:val="single" w:color="auto" w:sz="8" w:space="0"/>
      </w:pBdr>
      <w:spacing w:before="100" w:beforeAutospacing="1" w:after="100" w:afterAutospacing="1"/>
      <w:jc w:val="left"/>
    </w:pPr>
    <w:rPr>
      <w:rFonts w:ascii="宋体" w:hAnsi="宋体" w:cs="宋体"/>
      <w:b/>
      <w:bCs/>
      <w:kern w:val="0"/>
      <w:sz w:val="20"/>
      <w:szCs w:val="20"/>
    </w:rPr>
  </w:style>
  <w:style w:type="paragraph" w:customStyle="1" w:styleId="284">
    <w:name w:val="Char Char1 Char Char Char Char Char Char Char Char"/>
    <w:basedOn w:val="1"/>
    <w:qFormat/>
    <w:uiPriority w:val="0"/>
    <w:pPr>
      <w:widowControl/>
      <w:spacing w:after="160" w:line="240" w:lineRule="exact"/>
      <w:jc w:val="left"/>
    </w:pPr>
    <w:rPr>
      <w:rFonts w:ascii="Verdana" w:hAnsi="Verdana" w:cs="Verdana"/>
      <w:kern w:val="0"/>
      <w:sz w:val="20"/>
      <w:szCs w:val="20"/>
      <w:lang w:eastAsia="en-US"/>
    </w:rPr>
  </w:style>
  <w:style w:type="paragraph" w:customStyle="1" w:styleId="285">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color w:val="000000"/>
      <w:kern w:val="0"/>
      <w:sz w:val="20"/>
      <w:szCs w:val="20"/>
    </w:rPr>
  </w:style>
  <w:style w:type="paragraph" w:customStyle="1" w:styleId="286">
    <w:name w:val="msonormal"/>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87">
    <w:name w:val="xl74"/>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b/>
      <w:bCs/>
      <w:kern w:val="0"/>
      <w:sz w:val="20"/>
      <w:szCs w:val="20"/>
    </w:rPr>
  </w:style>
  <w:style w:type="paragraph" w:customStyle="1" w:styleId="288">
    <w:name w:val="xl44"/>
    <w:basedOn w:val="1"/>
    <w:qFormat/>
    <w:uiPriority w:val="0"/>
    <w:pPr>
      <w:widowControl/>
      <w:pBdr>
        <w:top w:val="single" w:color="auto" w:sz="8" w:space="0"/>
        <w:left w:val="single" w:color="auto" w:sz="8" w:space="0"/>
        <w:bottom w:val="single" w:color="auto" w:sz="4" w:space="0"/>
        <w:right w:val="single" w:color="auto" w:sz="4" w:space="0"/>
      </w:pBdr>
      <w:shd w:val="clear" w:color="auto" w:fill="C0C0C0"/>
      <w:spacing w:before="100" w:beforeAutospacing="1" w:after="100" w:afterAutospacing="1"/>
      <w:jc w:val="center"/>
    </w:pPr>
    <w:rPr>
      <w:rFonts w:ascii="宋体" w:hAnsi="宋体" w:cs="宋体"/>
      <w:b/>
      <w:bCs/>
      <w:kern w:val="0"/>
      <w:sz w:val="20"/>
      <w:szCs w:val="20"/>
    </w:rPr>
  </w:style>
  <w:style w:type="paragraph" w:customStyle="1" w:styleId="289">
    <w:name w:val="模板标题6"/>
    <w:basedOn w:val="1"/>
    <w:next w:val="20"/>
    <w:qFormat/>
    <w:uiPriority w:val="0"/>
    <w:pPr>
      <w:tabs>
        <w:tab w:val="left" w:pos="2160"/>
      </w:tabs>
      <w:spacing w:afterLines="50"/>
      <w:outlineLvl w:val="5"/>
    </w:pPr>
    <w:rPr>
      <w:rFonts w:ascii="宋体" w:hAnsi="宋体" w:cs="宋体"/>
      <w:b/>
      <w:bCs/>
    </w:rPr>
  </w:style>
  <w:style w:type="paragraph" w:customStyle="1" w:styleId="290">
    <w:name w:val="xl73"/>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宋体" w:hAnsi="宋体" w:cs="宋体"/>
      <w:b/>
      <w:bCs/>
      <w:i/>
      <w:iCs/>
      <w:kern w:val="0"/>
      <w:sz w:val="24"/>
      <w:szCs w:val="24"/>
    </w:rPr>
  </w:style>
  <w:style w:type="paragraph" w:customStyle="1" w:styleId="291">
    <w:name w:val="正文_8_1"/>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92">
    <w:name w:val="Body Text 21"/>
    <w:basedOn w:val="1"/>
    <w:next w:val="1"/>
    <w:qFormat/>
    <w:uiPriority w:val="0"/>
    <w:pPr>
      <w:widowControl/>
      <w:spacing w:line="300" w:lineRule="auto"/>
      <w:jc w:val="center"/>
    </w:pPr>
    <w:rPr>
      <w:rFonts w:ascii="宋体" w:cs="宋体"/>
      <w:color w:val="000000"/>
      <w:sz w:val="24"/>
      <w:szCs w:val="24"/>
    </w:rPr>
  </w:style>
  <w:style w:type="paragraph" w:customStyle="1" w:styleId="293">
    <w:name w:val="Char Char Char Char1 Char Char Char Char"/>
    <w:basedOn w:val="1"/>
    <w:qFormat/>
    <w:uiPriority w:val="0"/>
    <w:pPr>
      <w:widowControl/>
      <w:spacing w:after="160" w:line="240" w:lineRule="exact"/>
      <w:jc w:val="left"/>
    </w:pPr>
  </w:style>
  <w:style w:type="paragraph" w:customStyle="1" w:styleId="294">
    <w:name w:val="xl46"/>
    <w:basedOn w:val="1"/>
    <w:qFormat/>
    <w:uiPriority w:val="0"/>
    <w:pPr>
      <w:widowControl/>
      <w:pBdr>
        <w:top w:val="single" w:color="auto" w:sz="8" w:space="0"/>
        <w:left w:val="single" w:color="auto" w:sz="4" w:space="0"/>
        <w:bottom w:val="single" w:color="auto" w:sz="4" w:space="0"/>
        <w:right w:val="single" w:color="auto" w:sz="8" w:space="0"/>
      </w:pBdr>
      <w:shd w:val="clear" w:color="auto" w:fill="C0C0C0"/>
      <w:spacing w:before="100" w:beforeAutospacing="1" w:after="100" w:afterAutospacing="1"/>
      <w:jc w:val="center"/>
    </w:pPr>
    <w:rPr>
      <w:rFonts w:ascii="宋体" w:hAnsi="宋体" w:cs="宋体"/>
      <w:b/>
      <w:bCs/>
      <w:kern w:val="0"/>
      <w:sz w:val="20"/>
      <w:szCs w:val="20"/>
    </w:rPr>
  </w:style>
  <w:style w:type="paragraph" w:customStyle="1" w:styleId="295">
    <w:name w:val="List Paragraph_90856f6b-30ca-40dc-a0b9-c118bd5e2b98"/>
    <w:basedOn w:val="1"/>
    <w:link w:val="296"/>
    <w:qFormat/>
    <w:uiPriority w:val="34"/>
    <w:pPr>
      <w:ind w:firstLine="420" w:firstLineChars="200"/>
    </w:pPr>
    <w:rPr>
      <w:rFonts w:ascii="Calibri" w:hAnsi="Calibri"/>
      <w:sz w:val="22"/>
      <w:szCs w:val="22"/>
    </w:rPr>
  </w:style>
  <w:style w:type="character" w:customStyle="1" w:styleId="296">
    <w:name w:val="列表段落 字符"/>
    <w:link w:val="295"/>
    <w:qFormat/>
    <w:uiPriority w:val="99"/>
    <w:rPr>
      <w:rFonts w:ascii="Calibri" w:hAnsi="Calibri" w:cs="Calibri"/>
      <w:kern w:val="2"/>
      <w:sz w:val="22"/>
      <w:szCs w:val="22"/>
    </w:rPr>
  </w:style>
  <w:style w:type="paragraph" w:customStyle="1" w:styleId="297">
    <w:name w:val="正文_4"/>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298">
    <w:name w:val="xl66"/>
    <w:basedOn w:val="1"/>
    <w:qFormat/>
    <w:uiPriority w:val="0"/>
    <w:pPr>
      <w:widowControl/>
      <w:pBdr>
        <w:top w:val="single" w:color="auto" w:sz="4" w:space="0"/>
        <w:bottom w:val="single" w:color="auto" w:sz="4" w:space="0"/>
      </w:pBdr>
      <w:spacing w:before="100" w:beforeAutospacing="1" w:after="100" w:afterAutospacing="1"/>
      <w:jc w:val="center"/>
    </w:pPr>
    <w:rPr>
      <w:rFonts w:ascii="宋体" w:hAnsi="宋体" w:cs="宋体"/>
      <w:b/>
      <w:bCs/>
      <w:i/>
      <w:iCs/>
      <w:kern w:val="0"/>
      <w:sz w:val="24"/>
      <w:szCs w:val="24"/>
    </w:rPr>
  </w:style>
  <w:style w:type="paragraph" w:customStyle="1" w:styleId="299">
    <w:name w:val="Normal_17"/>
    <w:qFormat/>
    <w:uiPriority w:val="0"/>
    <w:rPr>
      <w:rFonts w:ascii="黑体" w:hAnsi="黑体" w:eastAsia="黑体" w:cs="黑体"/>
      <w:b/>
      <w:bCs/>
      <w:sz w:val="32"/>
      <w:szCs w:val="32"/>
      <w:lang w:val="en-US" w:eastAsia="zh-CN" w:bidi="ar-SA"/>
    </w:rPr>
  </w:style>
  <w:style w:type="paragraph" w:customStyle="1" w:styleId="300">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01">
    <w:name w:val="xl69"/>
    <w:basedOn w:val="1"/>
    <w:qFormat/>
    <w:uiPriority w:val="0"/>
    <w:pPr>
      <w:widowControl/>
      <w:pBdr>
        <w:top w:val="single" w:color="auto" w:sz="4" w:space="0"/>
        <w:bottom w:val="single" w:color="auto" w:sz="8" w:space="0"/>
      </w:pBdr>
      <w:spacing w:before="100" w:beforeAutospacing="1" w:after="100" w:afterAutospacing="1"/>
      <w:jc w:val="left"/>
    </w:pPr>
    <w:rPr>
      <w:b/>
      <w:bCs/>
      <w:kern w:val="0"/>
      <w:sz w:val="20"/>
      <w:szCs w:val="20"/>
    </w:rPr>
  </w:style>
  <w:style w:type="paragraph" w:customStyle="1" w:styleId="302">
    <w:name w:val="样式2"/>
    <w:basedOn w:val="1"/>
    <w:qFormat/>
    <w:uiPriority w:val="0"/>
    <w:pPr>
      <w:widowControl/>
      <w:tabs>
        <w:tab w:val="left" w:pos="840"/>
      </w:tabs>
      <w:overflowPunct w:val="0"/>
      <w:autoSpaceDE w:val="0"/>
      <w:autoSpaceDN w:val="0"/>
      <w:adjustRightInd w:val="0"/>
      <w:snapToGrid w:val="0"/>
      <w:spacing w:beforeLines="20" w:afterLines="20" w:line="440" w:lineRule="exact"/>
      <w:ind w:left="840" w:hanging="420"/>
      <w:jc w:val="left"/>
      <w:outlineLvl w:val="0"/>
    </w:pPr>
    <w:rPr>
      <w:rFonts w:ascii="宋体" w:hAnsi="宋体" w:cs="宋体"/>
      <w:kern w:val="0"/>
    </w:rPr>
  </w:style>
  <w:style w:type="paragraph" w:customStyle="1" w:styleId="303">
    <w:name w:val="自动更正"/>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04">
    <w:name w:val="Normal_16"/>
    <w:qFormat/>
    <w:uiPriority w:val="0"/>
    <w:rPr>
      <w:rFonts w:ascii="黑体" w:hAnsi="黑体" w:eastAsia="黑体" w:cs="黑体"/>
      <w:b/>
      <w:bCs/>
      <w:sz w:val="32"/>
      <w:szCs w:val="32"/>
      <w:lang w:val="en-US" w:eastAsia="zh-CN" w:bidi="ar-SA"/>
    </w:rPr>
  </w:style>
  <w:style w:type="paragraph" w:customStyle="1" w:styleId="305">
    <w:name w:val="xl4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kern w:val="0"/>
      <w:sz w:val="20"/>
      <w:szCs w:val="20"/>
    </w:rPr>
  </w:style>
  <w:style w:type="paragraph" w:customStyle="1" w:styleId="306">
    <w:name w:val="xl65"/>
    <w:basedOn w:val="1"/>
    <w:qFormat/>
    <w:uiPriority w:val="0"/>
    <w:pPr>
      <w:widowControl/>
      <w:pBdr>
        <w:top w:val="single" w:color="auto" w:sz="4" w:space="0"/>
        <w:left w:val="single" w:color="auto" w:sz="8" w:space="0"/>
        <w:bottom w:val="single" w:color="auto" w:sz="4" w:space="0"/>
      </w:pBdr>
      <w:spacing w:before="100" w:beforeAutospacing="1" w:after="100" w:afterAutospacing="1"/>
      <w:jc w:val="center"/>
    </w:pPr>
    <w:rPr>
      <w:rFonts w:ascii="宋体" w:hAnsi="宋体" w:cs="宋体"/>
      <w:b/>
      <w:bCs/>
      <w:i/>
      <w:iCs/>
      <w:kern w:val="0"/>
      <w:sz w:val="24"/>
      <w:szCs w:val="24"/>
    </w:rPr>
  </w:style>
  <w:style w:type="paragraph" w:customStyle="1" w:styleId="307">
    <w:name w:val="正文_20"/>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08">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i/>
      <w:iCs/>
      <w:kern w:val="0"/>
      <w:sz w:val="24"/>
      <w:szCs w:val="24"/>
    </w:rPr>
  </w:style>
  <w:style w:type="paragraph" w:customStyle="1" w:styleId="309">
    <w:name w:val="模板标题1"/>
    <w:basedOn w:val="1"/>
    <w:next w:val="1"/>
    <w:qFormat/>
    <w:uiPriority w:val="0"/>
    <w:pPr>
      <w:keepNext/>
      <w:keepLines/>
      <w:tabs>
        <w:tab w:val="left" w:pos="360"/>
      </w:tabs>
      <w:spacing w:afterLines="50"/>
      <w:jc w:val="left"/>
      <w:outlineLvl w:val="0"/>
    </w:pPr>
    <w:rPr>
      <w:rFonts w:ascii="Arial" w:hAnsi="Arial" w:cs="Arial"/>
      <w:b/>
      <w:bCs/>
      <w:kern w:val="32"/>
      <w:sz w:val="32"/>
      <w:szCs w:val="32"/>
    </w:rPr>
  </w:style>
  <w:style w:type="paragraph" w:customStyle="1" w:styleId="310">
    <w:name w:val="font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311">
    <w:name w:val="xl53"/>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312">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00"/>
      <w:kern w:val="0"/>
      <w:sz w:val="20"/>
      <w:szCs w:val="20"/>
    </w:rPr>
  </w:style>
  <w:style w:type="paragraph" w:customStyle="1" w:styleId="313">
    <w:name w:val="Char Char Char Char Char Char"/>
    <w:basedOn w:val="1"/>
    <w:qFormat/>
    <w:uiPriority w:val="0"/>
    <w:pPr>
      <w:widowControl/>
      <w:spacing w:after="160" w:line="240" w:lineRule="exact"/>
      <w:jc w:val="left"/>
    </w:pPr>
    <w:rPr>
      <w:rFonts w:ascii="Verdana" w:hAnsi="Verdana" w:cs="Verdana"/>
      <w:kern w:val="0"/>
      <w:sz w:val="20"/>
      <w:szCs w:val="20"/>
      <w:lang w:eastAsia="en-US"/>
    </w:rPr>
  </w:style>
  <w:style w:type="paragraph" w:customStyle="1" w:styleId="314">
    <w:name w:val="标书正文格式 Char Char Char Char"/>
    <w:qFormat/>
    <w:uiPriority w:val="0"/>
    <w:pPr>
      <w:spacing w:line="360" w:lineRule="auto"/>
      <w:ind w:firstLine="200" w:firstLineChars="200"/>
    </w:pPr>
    <w:rPr>
      <w:rFonts w:ascii="Times New Roman" w:hAnsi="Times New Roman" w:eastAsia="仿宋_GB2312" w:cs="Times New Roman"/>
      <w:kern w:val="2"/>
      <w:sz w:val="30"/>
      <w:szCs w:val="30"/>
      <w:lang w:val="en-US" w:eastAsia="zh-CN" w:bidi="ar-SA"/>
    </w:rPr>
  </w:style>
  <w:style w:type="paragraph" w:customStyle="1" w:styleId="315">
    <w:name w:val="样式 样式 特点标题 + 首行缩进:  2 字符 + 首行缩进:  2 字符"/>
    <w:basedOn w:val="1"/>
    <w:qFormat/>
    <w:uiPriority w:val="0"/>
    <w:pPr>
      <w:widowControl/>
      <w:overflowPunct w:val="0"/>
      <w:autoSpaceDE w:val="0"/>
      <w:autoSpaceDN w:val="0"/>
      <w:adjustRightInd w:val="0"/>
      <w:spacing w:line="360" w:lineRule="auto"/>
      <w:ind w:firstLine="200" w:firstLineChars="200"/>
      <w:jc w:val="left"/>
    </w:pPr>
    <w:rPr>
      <w:kern w:val="0"/>
      <w:sz w:val="24"/>
      <w:szCs w:val="24"/>
    </w:rPr>
  </w:style>
  <w:style w:type="paragraph" w:customStyle="1" w:styleId="316">
    <w:name w:val="正文_9"/>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17">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18">
    <w:name w:val="xl59"/>
    <w:basedOn w:val="1"/>
    <w:qFormat/>
    <w:uiPriority w:val="0"/>
    <w:pPr>
      <w:widowControl/>
      <w:pBdr>
        <w:top w:val="single" w:color="auto" w:sz="4" w:space="0"/>
        <w:left w:val="single" w:color="auto" w:sz="4" w:space="0"/>
        <w:bottom w:val="double" w:color="auto" w:sz="6" w:space="0"/>
        <w:right w:val="single" w:color="auto" w:sz="8" w:space="0"/>
      </w:pBdr>
      <w:spacing w:before="100" w:beforeAutospacing="1" w:after="100" w:afterAutospacing="1"/>
      <w:jc w:val="left"/>
    </w:pPr>
    <w:rPr>
      <w:b/>
      <w:bCs/>
      <w:kern w:val="0"/>
      <w:sz w:val="20"/>
      <w:szCs w:val="20"/>
    </w:rPr>
  </w:style>
  <w:style w:type="paragraph" w:customStyle="1" w:styleId="319">
    <w:name w:val="xl64"/>
    <w:basedOn w:val="1"/>
    <w:qFormat/>
    <w:uiPriority w:val="0"/>
    <w:pPr>
      <w:widowControl/>
      <w:spacing w:before="100" w:beforeAutospacing="1" w:after="100" w:afterAutospacing="1"/>
      <w:jc w:val="center"/>
    </w:pPr>
    <w:rPr>
      <w:rFonts w:ascii="宋体" w:hAnsi="宋体" w:cs="宋体"/>
      <w:b/>
      <w:bCs/>
      <w:kern w:val="0"/>
      <w:sz w:val="36"/>
      <w:szCs w:val="36"/>
    </w:rPr>
  </w:style>
  <w:style w:type="paragraph" w:customStyle="1" w:styleId="320">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321">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22">
    <w:name w:val="xl7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323">
    <w:name w:val="xl45"/>
    <w:basedOn w:val="1"/>
    <w:qFormat/>
    <w:uiPriority w:val="0"/>
    <w:pPr>
      <w:widowControl/>
      <w:pBdr>
        <w:top w:val="single" w:color="auto" w:sz="8" w:space="0"/>
        <w:left w:val="single" w:color="auto" w:sz="4" w:space="0"/>
        <w:bottom w:val="single" w:color="auto" w:sz="4" w:space="0"/>
        <w:right w:val="single" w:color="auto" w:sz="4" w:space="0"/>
      </w:pBdr>
      <w:shd w:val="clear" w:color="auto" w:fill="C0C0C0"/>
      <w:spacing w:before="100" w:beforeAutospacing="1" w:after="100" w:afterAutospacing="1"/>
      <w:jc w:val="center"/>
    </w:pPr>
    <w:rPr>
      <w:rFonts w:ascii="宋体" w:hAnsi="宋体" w:cs="宋体"/>
      <w:b/>
      <w:bCs/>
      <w:kern w:val="0"/>
      <w:sz w:val="20"/>
      <w:szCs w:val="20"/>
    </w:rPr>
  </w:style>
  <w:style w:type="paragraph" w:customStyle="1" w:styleId="324">
    <w:name w:val="xl75"/>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cs="宋体"/>
      <w:b/>
      <w:bCs/>
      <w:kern w:val="0"/>
      <w:sz w:val="20"/>
      <w:szCs w:val="20"/>
    </w:rPr>
  </w:style>
  <w:style w:type="paragraph" w:customStyle="1" w:styleId="325">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26">
    <w:name w:val="正文_8_0_0"/>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27">
    <w:name w:val="正文_2"/>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28">
    <w:name w:val="CM106"/>
    <w:basedOn w:val="68"/>
    <w:next w:val="68"/>
    <w:qFormat/>
    <w:uiPriority w:val="0"/>
    <w:rPr>
      <w:rFonts w:ascii="宋体" w:eastAsia="宋体" w:cs="宋体"/>
      <w:color w:val="auto"/>
    </w:rPr>
  </w:style>
  <w:style w:type="paragraph" w:customStyle="1" w:styleId="329">
    <w:name w:val="Char1"/>
    <w:basedOn w:val="1"/>
    <w:qFormat/>
    <w:uiPriority w:val="0"/>
    <w:pPr>
      <w:adjustRightInd w:val="0"/>
      <w:spacing w:line="360" w:lineRule="auto"/>
    </w:pPr>
    <w:rPr>
      <w:kern w:val="0"/>
      <w:sz w:val="24"/>
      <w:szCs w:val="24"/>
    </w:rPr>
  </w:style>
  <w:style w:type="paragraph" w:customStyle="1" w:styleId="330">
    <w:name w:val="xl79"/>
    <w:basedOn w:val="1"/>
    <w:qFormat/>
    <w:uiPriority w:val="0"/>
    <w:pPr>
      <w:widowControl/>
      <w:pBdr>
        <w:top w:val="single" w:color="auto" w:sz="4" w:space="0"/>
        <w:bottom w:val="double" w:color="auto" w:sz="6"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331">
    <w:name w:val="Normal_3"/>
    <w:qFormat/>
    <w:uiPriority w:val="0"/>
    <w:rPr>
      <w:rFonts w:ascii="黑体" w:hAnsi="黑体" w:eastAsia="黑体" w:cs="黑体"/>
      <w:b/>
      <w:bCs/>
      <w:sz w:val="32"/>
      <w:szCs w:val="32"/>
      <w:lang w:val="en-US" w:eastAsia="zh-CN" w:bidi="ar-SA"/>
    </w:rPr>
  </w:style>
  <w:style w:type="paragraph" w:customStyle="1" w:styleId="332">
    <w:name w:val="List Paragraph1"/>
    <w:basedOn w:val="1"/>
    <w:qFormat/>
    <w:uiPriority w:val="99"/>
    <w:pPr>
      <w:ind w:firstLine="420" w:firstLineChars="200"/>
    </w:pPr>
    <w:rPr>
      <w:rFonts w:ascii="Calibri" w:hAnsi="Calibri" w:cs="Calibri"/>
    </w:rPr>
  </w:style>
  <w:style w:type="paragraph" w:customStyle="1" w:styleId="333">
    <w:name w:val="xl63"/>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334">
    <w:name w:val="Normal_5"/>
    <w:qFormat/>
    <w:uiPriority w:val="0"/>
    <w:rPr>
      <w:rFonts w:ascii="黑体" w:hAnsi="黑体" w:eastAsia="黑体" w:cs="黑体"/>
      <w:b/>
      <w:bCs/>
      <w:sz w:val="32"/>
      <w:szCs w:val="32"/>
      <w:lang w:val="en-US" w:eastAsia="zh-CN" w:bidi="ar-SA"/>
    </w:rPr>
  </w:style>
  <w:style w:type="paragraph" w:customStyle="1" w:styleId="335">
    <w:name w:val="xl55"/>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336">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00"/>
      <w:kern w:val="0"/>
      <w:sz w:val="20"/>
      <w:szCs w:val="20"/>
    </w:rPr>
  </w:style>
  <w:style w:type="paragraph" w:customStyle="1" w:styleId="337">
    <w:name w:val="xl54"/>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338">
    <w:name w:val="样式74"/>
    <w:basedOn w:val="1"/>
    <w:qFormat/>
    <w:uiPriority w:val="0"/>
    <w:pPr>
      <w:widowControl/>
      <w:spacing w:before="100" w:beforeAutospacing="1" w:after="100" w:afterAutospacing="1" w:line="450" w:lineRule="atLeast"/>
      <w:jc w:val="left"/>
    </w:pPr>
    <w:rPr>
      <w:rFonts w:ascii="宋体" w:hAnsi="宋体" w:cs="宋体"/>
      <w:color w:val="030303"/>
      <w:kern w:val="0"/>
      <w:sz w:val="20"/>
      <w:szCs w:val="20"/>
    </w:rPr>
  </w:style>
  <w:style w:type="paragraph" w:customStyle="1" w:styleId="339">
    <w:name w:val="config"/>
    <w:basedOn w:val="1"/>
    <w:qFormat/>
    <w:uiPriority w:val="0"/>
    <w:pPr>
      <w:widowControl/>
      <w:spacing w:after="160"/>
      <w:ind w:left="1134"/>
      <w:jc w:val="left"/>
    </w:pPr>
    <w:rPr>
      <w:rFonts w:ascii="Arial" w:hAnsi="Arial" w:cs="Arial"/>
      <w:kern w:val="0"/>
      <w:lang w:eastAsia="en-US"/>
    </w:rPr>
  </w:style>
  <w:style w:type="paragraph" w:customStyle="1" w:styleId="340">
    <w:name w:val="Normal_22"/>
    <w:qFormat/>
    <w:uiPriority w:val="0"/>
    <w:pPr>
      <w:widowControl w:val="0"/>
      <w:jc w:val="both"/>
    </w:pPr>
    <w:rPr>
      <w:rFonts w:ascii="Times New Roman" w:hAnsi="Times New Roman" w:eastAsia="宋体" w:cs="Times New Roman"/>
      <w:lang w:val="en-US" w:eastAsia="zh-CN" w:bidi="ar-SA"/>
    </w:rPr>
  </w:style>
  <w:style w:type="paragraph" w:customStyle="1" w:styleId="341">
    <w:name w:val="Table Text"/>
    <w:qFormat/>
    <w:uiPriority w:val="0"/>
    <w:pPr>
      <w:snapToGrid w:val="0"/>
      <w:spacing w:before="80" w:after="80"/>
    </w:pPr>
    <w:rPr>
      <w:rFonts w:ascii="Arial" w:hAnsi="Arial" w:eastAsia="宋体" w:cs="Arial"/>
      <w:kern w:val="2"/>
      <w:sz w:val="18"/>
      <w:szCs w:val="18"/>
      <w:lang w:val="en-US" w:eastAsia="zh-CN" w:bidi="ar-SA"/>
    </w:rPr>
  </w:style>
  <w:style w:type="paragraph" w:customStyle="1" w:styleId="342">
    <w:name w:val="xl78"/>
    <w:basedOn w:val="1"/>
    <w:qFormat/>
    <w:uiPriority w:val="0"/>
    <w:pPr>
      <w:widowControl/>
      <w:pBdr>
        <w:top w:val="single" w:color="auto" w:sz="4" w:space="0"/>
        <w:bottom w:val="double" w:color="auto" w:sz="6" w:space="0"/>
      </w:pBdr>
      <w:spacing w:before="100" w:beforeAutospacing="1" w:after="100" w:afterAutospacing="1"/>
      <w:jc w:val="left"/>
    </w:pPr>
    <w:rPr>
      <w:rFonts w:ascii="宋体" w:hAnsi="宋体" w:cs="宋体"/>
      <w:b/>
      <w:bCs/>
      <w:kern w:val="0"/>
      <w:sz w:val="20"/>
      <w:szCs w:val="20"/>
    </w:rPr>
  </w:style>
  <w:style w:type="paragraph" w:customStyle="1" w:styleId="343">
    <w:name w:val="列出段落11"/>
    <w:basedOn w:val="1"/>
    <w:qFormat/>
    <w:uiPriority w:val="0"/>
    <w:pPr>
      <w:ind w:firstLine="420" w:firstLineChars="200"/>
    </w:pPr>
    <w:rPr>
      <w:rFonts w:ascii="Calibri" w:hAnsi="Calibri" w:cs="Calibri"/>
    </w:rPr>
  </w:style>
  <w:style w:type="paragraph" w:customStyle="1" w:styleId="344">
    <w:name w:val="xl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345">
    <w:name w:val="Normal_21"/>
    <w:qFormat/>
    <w:uiPriority w:val="0"/>
    <w:rPr>
      <w:rFonts w:ascii="黑体" w:hAnsi="黑体" w:eastAsia="黑体" w:cs="黑体"/>
      <w:b/>
      <w:bCs/>
      <w:sz w:val="32"/>
      <w:szCs w:val="32"/>
      <w:lang w:val="en-US" w:eastAsia="zh-CN" w:bidi="ar-SA"/>
    </w:rPr>
  </w:style>
  <w:style w:type="paragraph" w:customStyle="1" w:styleId="346">
    <w:name w:val="模板标题5"/>
    <w:basedOn w:val="1"/>
    <w:next w:val="20"/>
    <w:qFormat/>
    <w:uiPriority w:val="0"/>
    <w:pPr>
      <w:tabs>
        <w:tab w:val="left" w:pos="1800"/>
      </w:tabs>
      <w:spacing w:afterLines="50"/>
      <w:outlineLvl w:val="4"/>
    </w:pPr>
    <w:rPr>
      <w:rFonts w:ascii="宋体" w:hAnsi="宋体" w:cs="宋体"/>
      <w:b/>
      <w:bCs/>
    </w:rPr>
  </w:style>
  <w:style w:type="paragraph" w:customStyle="1" w:styleId="347">
    <w:name w:val="xl58"/>
    <w:basedOn w:val="1"/>
    <w:qFormat/>
    <w:uiPriority w:val="0"/>
    <w:pPr>
      <w:widowControl/>
      <w:pBdr>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348">
    <w:name w:val="xl52"/>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349">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350">
    <w:name w:val="SANGFOR_8_表格文字"/>
    <w:basedOn w:val="1"/>
    <w:qFormat/>
    <w:uiPriority w:val="0"/>
    <w:pPr>
      <w:snapToGrid w:val="0"/>
    </w:pPr>
  </w:style>
  <w:style w:type="paragraph" w:customStyle="1" w:styleId="351">
    <w:name w:val="Normal_0"/>
    <w:qFormat/>
    <w:uiPriority w:val="0"/>
    <w:rPr>
      <w:rFonts w:ascii="黑体" w:hAnsi="黑体" w:eastAsia="黑体" w:cs="黑体"/>
      <w:b/>
      <w:bCs/>
      <w:sz w:val="32"/>
      <w:szCs w:val="32"/>
      <w:lang w:val="en-US" w:eastAsia="zh-CN" w:bidi="ar-SA"/>
    </w:rPr>
  </w:style>
  <w:style w:type="paragraph" w:customStyle="1" w:styleId="352">
    <w:name w:val="默认段落字体 Para Char Char Char Char Char Char Char Char Char1 Char Char Char Char Char Char Char"/>
    <w:basedOn w:val="1"/>
    <w:qFormat/>
    <w:uiPriority w:val="0"/>
    <w:pPr>
      <w:keepNext/>
      <w:autoSpaceDE w:val="0"/>
      <w:autoSpaceDN w:val="0"/>
      <w:spacing w:before="40" w:after="40"/>
      <w:jc w:val="center"/>
    </w:pPr>
  </w:style>
  <w:style w:type="paragraph" w:customStyle="1" w:styleId="353">
    <w:name w:val="Table Paragraph"/>
    <w:basedOn w:val="1"/>
    <w:qFormat/>
    <w:uiPriority w:val="1"/>
    <w:pPr>
      <w:autoSpaceDE w:val="0"/>
      <w:autoSpaceDN w:val="0"/>
      <w:adjustRightInd w:val="0"/>
      <w:jc w:val="left"/>
    </w:pPr>
    <w:rPr>
      <w:kern w:val="0"/>
      <w:sz w:val="24"/>
      <w:szCs w:val="24"/>
    </w:rPr>
  </w:style>
  <w:style w:type="paragraph" w:customStyle="1" w:styleId="354">
    <w:name w:val="Char Char Char Char Char Char1"/>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355">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356">
    <w:name w:val="xl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357">
    <w:name w:val="Char Char Char Char Char Char Char"/>
    <w:basedOn w:val="1"/>
    <w:qFormat/>
    <w:uiPriority w:val="0"/>
    <w:rPr>
      <w:rFonts w:ascii="仿宋_GB2312" w:eastAsia="仿宋_GB2312" w:cs="仿宋_GB2312"/>
      <w:b/>
      <w:bCs/>
      <w:sz w:val="32"/>
      <w:szCs w:val="32"/>
    </w:rPr>
  </w:style>
  <w:style w:type="paragraph" w:customStyle="1" w:styleId="358">
    <w:name w:val="Normal_11"/>
    <w:qFormat/>
    <w:uiPriority w:val="0"/>
    <w:rPr>
      <w:rFonts w:ascii="黑体" w:hAnsi="黑体" w:eastAsia="黑体" w:cs="黑体"/>
      <w:b/>
      <w:bCs/>
      <w:sz w:val="32"/>
      <w:szCs w:val="32"/>
      <w:lang w:val="en-US" w:eastAsia="zh-CN" w:bidi="ar-SA"/>
    </w:rPr>
  </w:style>
  <w:style w:type="paragraph" w:customStyle="1" w:styleId="359">
    <w:name w:val="文章标题4级"/>
    <w:basedOn w:val="1"/>
    <w:next w:val="1"/>
    <w:qFormat/>
    <w:uiPriority w:val="0"/>
    <w:pPr>
      <w:widowControl/>
      <w:tabs>
        <w:tab w:val="left" w:pos="1034"/>
        <w:tab w:val="left" w:pos="1680"/>
        <w:tab w:val="left" w:pos="2760"/>
      </w:tabs>
      <w:spacing w:beforeLines="50" w:afterLines="50"/>
      <w:ind w:left="1680" w:hanging="420"/>
      <w:jc w:val="left"/>
      <w:outlineLvl w:val="3"/>
    </w:pPr>
    <w:rPr>
      <w:b/>
      <w:bCs/>
      <w:caps/>
      <w:sz w:val="24"/>
      <w:szCs w:val="24"/>
    </w:rPr>
  </w:style>
  <w:style w:type="paragraph" w:customStyle="1" w:styleId="360">
    <w:name w:val="Item List in Table"/>
    <w:basedOn w:val="1"/>
    <w:qFormat/>
    <w:uiPriority w:val="0"/>
    <w:pPr>
      <w:tabs>
        <w:tab w:val="left" w:pos="420"/>
      </w:tabs>
      <w:ind w:left="420" w:hanging="420"/>
    </w:pPr>
    <w:rPr>
      <w:sz w:val="18"/>
      <w:szCs w:val="18"/>
    </w:rPr>
  </w:style>
  <w:style w:type="paragraph" w:customStyle="1" w:styleId="361">
    <w:name w:val="xl51"/>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kern w:val="0"/>
      <w:sz w:val="20"/>
      <w:szCs w:val="20"/>
    </w:rPr>
  </w:style>
  <w:style w:type="paragraph" w:customStyle="1" w:styleId="362">
    <w:name w:val="正文_14"/>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63">
    <w:name w:val="特点标题"/>
    <w:basedOn w:val="1"/>
    <w:next w:val="22"/>
    <w:qFormat/>
    <w:uiPriority w:val="0"/>
    <w:pPr>
      <w:widowControl/>
      <w:overflowPunct w:val="0"/>
      <w:autoSpaceDE w:val="0"/>
      <w:autoSpaceDN w:val="0"/>
      <w:adjustRightInd w:val="0"/>
      <w:spacing w:afterLines="50" w:line="360" w:lineRule="auto"/>
      <w:jc w:val="left"/>
    </w:pPr>
    <w:rPr>
      <w:kern w:val="0"/>
      <w:sz w:val="24"/>
      <w:szCs w:val="24"/>
    </w:rPr>
  </w:style>
  <w:style w:type="paragraph" w:customStyle="1" w:styleId="364">
    <w:name w:val="正文_15_0"/>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65">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366">
    <w:name w:val="xl80"/>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cs="宋体"/>
      <w:b/>
      <w:bCs/>
      <w:kern w:val="0"/>
      <w:sz w:val="20"/>
      <w:szCs w:val="20"/>
    </w:rPr>
  </w:style>
  <w:style w:type="paragraph" w:customStyle="1" w:styleId="367">
    <w:name w:val="xl57"/>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368">
    <w:name w:val="xl49"/>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369">
    <w:name w:val="TOC 标题1"/>
    <w:basedOn w:val="3"/>
    <w:next w:val="1"/>
    <w:qFormat/>
    <w:uiPriority w:val="39"/>
    <w:pPr>
      <w:keepLines/>
      <w:widowControl/>
      <w:autoSpaceDE/>
      <w:autoSpaceDN/>
      <w:spacing w:before="480" w:line="276" w:lineRule="auto"/>
      <w:ind w:left="740" w:hanging="425"/>
      <w:jc w:val="left"/>
      <w:textAlignment w:val="auto"/>
      <w:outlineLvl w:val="9"/>
    </w:pPr>
    <w:rPr>
      <w:rFonts w:ascii="Cambria" w:hAnsi="Cambria" w:eastAsia="宋体" w:cs="Cambria"/>
      <w:color w:val="365F91"/>
      <w:kern w:val="0"/>
      <w:sz w:val="28"/>
      <w:szCs w:val="28"/>
      <w:lang w:val="zh-CN"/>
    </w:rPr>
  </w:style>
  <w:style w:type="paragraph" w:customStyle="1" w:styleId="370">
    <w:name w:val="正文_8_0"/>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371">
    <w:name w:val="SJ2"/>
    <w:basedOn w:val="1"/>
    <w:qFormat/>
    <w:uiPriority w:val="0"/>
    <w:pPr>
      <w:spacing w:line="360" w:lineRule="auto"/>
      <w:ind w:firstLine="480" w:firstLineChars="200"/>
      <w:jc w:val="left"/>
    </w:pPr>
    <w:rPr>
      <w:sz w:val="24"/>
      <w:szCs w:val="24"/>
    </w:rPr>
  </w:style>
  <w:style w:type="paragraph" w:customStyle="1" w:styleId="372">
    <w:name w:val="font10"/>
    <w:basedOn w:val="1"/>
    <w:qFormat/>
    <w:uiPriority w:val="0"/>
    <w:pPr>
      <w:widowControl/>
      <w:spacing w:before="100" w:beforeAutospacing="1" w:after="100" w:afterAutospacing="1"/>
      <w:jc w:val="left"/>
    </w:pPr>
    <w:rPr>
      <w:rFonts w:ascii="宋体" w:hAnsi="宋体" w:cs="宋体"/>
      <w:b/>
      <w:bCs/>
      <w:i/>
      <w:iCs/>
      <w:kern w:val="0"/>
      <w:sz w:val="24"/>
      <w:szCs w:val="24"/>
    </w:rPr>
  </w:style>
  <w:style w:type="paragraph" w:customStyle="1" w:styleId="373">
    <w:name w:val="Normal_6"/>
    <w:qFormat/>
    <w:uiPriority w:val="0"/>
    <w:rPr>
      <w:rFonts w:ascii="黑体" w:hAnsi="黑体" w:eastAsia="黑体" w:cs="黑体"/>
      <w:b/>
      <w:bCs/>
      <w:sz w:val="32"/>
      <w:szCs w:val="32"/>
      <w:lang w:val="en-US" w:eastAsia="zh-CN" w:bidi="ar-SA"/>
    </w:rPr>
  </w:style>
  <w:style w:type="paragraph" w:customStyle="1" w:styleId="374">
    <w:name w:val="正文 A"/>
    <w:qFormat/>
    <w:uiPriority w:val="99"/>
    <w:pPr>
      <w:widowControl w:val="0"/>
      <w:pBdr>
        <w:top w:val="none" w:color="FFFFFF" w:sz="0" w:space="31"/>
        <w:left w:val="none" w:color="FFFFFF" w:sz="0" w:space="31"/>
        <w:bottom w:val="none" w:color="FFFFFF" w:sz="0" w:space="31"/>
        <w:right w:val="none" w:color="FFFFFF" w:sz="0" w:space="31"/>
      </w:pBdr>
      <w:jc w:val="both"/>
    </w:pPr>
    <w:rPr>
      <w:rFonts w:ascii="Arial Unicode MS" w:hAnsi="Arial Unicode MS" w:eastAsia="宋体" w:cs="Arial Unicode MS"/>
      <w:color w:val="000000"/>
      <w:kern w:val="2"/>
      <w:sz w:val="21"/>
      <w:szCs w:val="21"/>
      <w:u w:color="000000"/>
      <w:lang w:val="en-US" w:eastAsia="zh-CN" w:bidi="ar-SA"/>
    </w:rPr>
  </w:style>
  <w:style w:type="paragraph" w:customStyle="1" w:styleId="375">
    <w:name w:val="xl83"/>
    <w:basedOn w:val="1"/>
    <w:qFormat/>
    <w:uiPriority w:val="0"/>
    <w:pPr>
      <w:widowControl/>
      <w:pBdr>
        <w:top w:val="single" w:color="auto" w:sz="4" w:space="0"/>
        <w:bottom w:val="single" w:color="auto" w:sz="4" w:space="0"/>
      </w:pBdr>
      <w:spacing w:before="100" w:beforeAutospacing="1" w:after="100" w:afterAutospacing="1"/>
      <w:jc w:val="left"/>
    </w:pPr>
    <w:rPr>
      <w:b/>
      <w:bCs/>
      <w:kern w:val="0"/>
      <w:sz w:val="20"/>
      <w:szCs w:val="20"/>
    </w:rPr>
  </w:style>
  <w:style w:type="paragraph" w:customStyle="1" w:styleId="376">
    <w:name w:val="xl50"/>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377">
    <w:name w:val="正文段"/>
    <w:basedOn w:val="1"/>
    <w:qFormat/>
    <w:uiPriority w:val="0"/>
    <w:pPr>
      <w:widowControl/>
      <w:snapToGrid w:val="0"/>
      <w:spacing w:afterLines="50"/>
      <w:ind w:firstLine="200" w:firstLineChars="200"/>
    </w:pPr>
    <w:rPr>
      <w:kern w:val="0"/>
      <w:sz w:val="24"/>
      <w:szCs w:val="24"/>
    </w:rPr>
  </w:style>
  <w:style w:type="paragraph" w:customStyle="1" w:styleId="378">
    <w:name w:val="正文_2_0"/>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79">
    <w:name w:val="样式 标题 2 + 宋体 加粗 行距: 1.5 倍行距"/>
    <w:basedOn w:val="4"/>
    <w:qFormat/>
    <w:uiPriority w:val="0"/>
    <w:pPr>
      <w:keepNext w:val="0"/>
      <w:tabs>
        <w:tab w:val="left" w:pos="432"/>
      </w:tabs>
      <w:autoSpaceDE w:val="0"/>
      <w:autoSpaceDN w:val="0"/>
      <w:snapToGrid/>
      <w:spacing w:before="20" w:after="20" w:line="240" w:lineRule="auto"/>
      <w:ind w:left="432" w:hanging="432"/>
      <w:jc w:val="left"/>
      <w:textAlignment w:val="auto"/>
    </w:pPr>
    <w:rPr>
      <w:rFonts w:ascii="宋体" w:hAnsi="宋体" w:eastAsia="宋体" w:cs="宋体"/>
      <w:sz w:val="24"/>
      <w:szCs w:val="24"/>
    </w:rPr>
  </w:style>
  <w:style w:type="paragraph" w:customStyle="1" w:styleId="380">
    <w:name w:val="模板标题2"/>
    <w:basedOn w:val="1"/>
    <w:next w:val="1"/>
    <w:qFormat/>
    <w:uiPriority w:val="0"/>
    <w:pPr>
      <w:keepNext/>
      <w:keepLines/>
      <w:tabs>
        <w:tab w:val="left" w:pos="1080"/>
      </w:tabs>
      <w:spacing w:afterLines="50"/>
      <w:outlineLvl w:val="1"/>
    </w:pPr>
    <w:rPr>
      <w:rFonts w:ascii="Arial" w:hAnsi="Arial" w:cs="Arial"/>
      <w:b/>
      <w:bCs/>
      <w:kern w:val="32"/>
      <w:sz w:val="28"/>
      <w:szCs w:val="28"/>
    </w:rPr>
  </w:style>
  <w:style w:type="paragraph" w:customStyle="1" w:styleId="381">
    <w:name w:val="正文文本 22"/>
    <w:basedOn w:val="1"/>
    <w:qFormat/>
    <w:uiPriority w:val="99"/>
    <w:pPr>
      <w:widowControl/>
      <w:overflowPunct w:val="0"/>
      <w:autoSpaceDE w:val="0"/>
      <w:autoSpaceDN w:val="0"/>
      <w:adjustRightInd w:val="0"/>
      <w:ind w:left="720" w:hanging="720"/>
      <w:textAlignment w:val="baseline"/>
    </w:pPr>
    <w:rPr>
      <w:kern w:val="0"/>
      <w:sz w:val="24"/>
      <w:szCs w:val="24"/>
      <w:lang w:val="en-GB"/>
    </w:rPr>
  </w:style>
  <w:style w:type="paragraph" w:customStyle="1" w:styleId="382">
    <w:name w:val="Normal_13"/>
    <w:qFormat/>
    <w:uiPriority w:val="0"/>
    <w:rPr>
      <w:rFonts w:ascii="黑体" w:hAnsi="黑体" w:eastAsia="黑体" w:cs="黑体"/>
      <w:b/>
      <w:bCs/>
      <w:sz w:val="32"/>
      <w:szCs w:val="32"/>
      <w:lang w:val="en-US" w:eastAsia="zh-CN" w:bidi="ar-SA"/>
    </w:rPr>
  </w:style>
  <w:style w:type="paragraph" w:customStyle="1" w:styleId="383">
    <w:name w:val="Char Char"/>
    <w:basedOn w:val="1"/>
    <w:qFormat/>
    <w:uiPriority w:val="0"/>
    <w:pPr>
      <w:widowControl/>
      <w:spacing w:after="160" w:line="240" w:lineRule="exact"/>
      <w:jc w:val="left"/>
    </w:pPr>
    <w:rPr>
      <w:rFonts w:ascii="Verdana" w:hAnsi="Verdana" w:cs="Verdana"/>
      <w:kern w:val="0"/>
      <w:sz w:val="20"/>
      <w:szCs w:val="20"/>
      <w:lang w:eastAsia="en-US"/>
    </w:rPr>
  </w:style>
  <w:style w:type="paragraph" w:customStyle="1" w:styleId="384">
    <w:name w:val="Normal_19"/>
    <w:qFormat/>
    <w:uiPriority w:val="0"/>
    <w:rPr>
      <w:rFonts w:ascii="黑体" w:hAnsi="黑体" w:eastAsia="黑体" w:cs="黑体"/>
      <w:b/>
      <w:bCs/>
      <w:sz w:val="32"/>
      <w:szCs w:val="32"/>
      <w:lang w:val="en-US" w:eastAsia="zh-CN" w:bidi="ar-SA"/>
    </w:rPr>
  </w:style>
  <w:style w:type="paragraph" w:customStyle="1" w:styleId="385">
    <w:name w:val="正文_13_0"/>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86">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sz w:val="20"/>
      <w:szCs w:val="20"/>
    </w:rPr>
  </w:style>
  <w:style w:type="paragraph" w:customStyle="1" w:styleId="387">
    <w:name w:val="Normal_20"/>
    <w:qFormat/>
    <w:uiPriority w:val="0"/>
    <w:rPr>
      <w:rFonts w:ascii="黑体" w:hAnsi="黑体" w:eastAsia="黑体" w:cs="黑体"/>
      <w:b/>
      <w:bCs/>
      <w:sz w:val="32"/>
      <w:szCs w:val="32"/>
      <w:lang w:val="en-US" w:eastAsia="zh-CN" w:bidi="ar-SA"/>
    </w:rPr>
  </w:style>
  <w:style w:type="paragraph" w:customStyle="1" w:styleId="388">
    <w:name w:val="纯文本2"/>
    <w:basedOn w:val="1"/>
    <w:qFormat/>
    <w:uiPriority w:val="99"/>
    <w:pPr>
      <w:adjustRightInd w:val="0"/>
      <w:jc w:val="left"/>
      <w:textAlignment w:val="baseline"/>
    </w:pPr>
    <w:rPr>
      <w:rFonts w:ascii="宋体" w:hAnsi="Courier New" w:cs="宋体"/>
      <w:sz w:val="24"/>
      <w:szCs w:val="24"/>
    </w:rPr>
  </w:style>
  <w:style w:type="paragraph" w:customStyle="1" w:styleId="389">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90">
    <w:name w:val="font8"/>
    <w:basedOn w:val="1"/>
    <w:qFormat/>
    <w:uiPriority w:val="0"/>
    <w:pPr>
      <w:widowControl/>
      <w:spacing w:before="100" w:beforeAutospacing="1" w:after="100" w:afterAutospacing="1"/>
      <w:jc w:val="left"/>
    </w:pPr>
    <w:rPr>
      <w:kern w:val="0"/>
      <w:sz w:val="20"/>
      <w:szCs w:val="20"/>
    </w:rPr>
  </w:style>
  <w:style w:type="paragraph" w:customStyle="1" w:styleId="391">
    <w:name w:val="默认段落字体 Para Char Char Char Char Char Char Char Char Char1 Char Char Char Char"/>
    <w:basedOn w:val="1"/>
    <w:qFormat/>
    <w:uiPriority w:val="0"/>
    <w:rPr>
      <w:rFonts w:ascii="Tahoma" w:hAnsi="Tahoma" w:cs="Tahoma"/>
      <w:sz w:val="24"/>
      <w:szCs w:val="24"/>
    </w:rPr>
  </w:style>
  <w:style w:type="paragraph" w:customStyle="1" w:styleId="392">
    <w:name w:val="_Style 2"/>
    <w:basedOn w:val="1"/>
    <w:qFormat/>
    <w:uiPriority w:val="34"/>
    <w:pPr>
      <w:ind w:firstLine="420" w:firstLineChars="200"/>
    </w:pPr>
    <w:rPr>
      <w:rFonts w:ascii="Calibri" w:hAnsi="Calibri" w:cs="Calibri"/>
    </w:rPr>
  </w:style>
  <w:style w:type="paragraph" w:customStyle="1" w:styleId="393">
    <w:name w:val="正文_0_0"/>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94">
    <w:name w:val="xl4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395">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396">
    <w:name w:val="正文标书"/>
    <w:basedOn w:val="1"/>
    <w:qFormat/>
    <w:uiPriority w:val="99"/>
    <w:pPr>
      <w:ind w:firstLine="200" w:firstLineChars="200"/>
    </w:pPr>
    <w:rPr>
      <w:rFonts w:ascii="仿宋_GB2312" w:hAnsi="宋体" w:eastAsia="仿宋" w:cs="仿宋_GB2312"/>
      <w:color w:val="000000"/>
      <w:sz w:val="24"/>
      <w:szCs w:val="24"/>
    </w:rPr>
  </w:style>
  <w:style w:type="paragraph" w:customStyle="1" w:styleId="397">
    <w:name w:val="xl77"/>
    <w:basedOn w:val="1"/>
    <w:qFormat/>
    <w:uiPriority w:val="0"/>
    <w:pPr>
      <w:widowControl/>
      <w:pBdr>
        <w:top w:val="single" w:color="auto" w:sz="4" w:space="0"/>
        <w:left w:val="single" w:color="auto" w:sz="4" w:space="0"/>
        <w:bottom w:val="double" w:color="auto" w:sz="6" w:space="0"/>
      </w:pBdr>
      <w:spacing w:before="100" w:beforeAutospacing="1" w:after="100" w:afterAutospacing="1"/>
      <w:jc w:val="left"/>
    </w:pPr>
    <w:rPr>
      <w:rFonts w:ascii="宋体" w:hAnsi="宋体" w:cs="宋体"/>
      <w:b/>
      <w:bCs/>
      <w:kern w:val="0"/>
      <w:sz w:val="20"/>
      <w:szCs w:val="20"/>
    </w:rPr>
  </w:style>
  <w:style w:type="paragraph" w:customStyle="1" w:styleId="398">
    <w:name w:val="SANGFOR_7_2级编号"/>
    <w:basedOn w:val="1"/>
    <w:qFormat/>
    <w:uiPriority w:val="0"/>
    <w:pPr>
      <w:tabs>
        <w:tab w:val="left" w:pos="709"/>
      </w:tabs>
      <w:spacing w:line="400" w:lineRule="exact"/>
      <w:ind w:left="740" w:hanging="425"/>
    </w:pPr>
    <w:rPr>
      <w:rFonts w:ascii="楷体_gb18030" w:hAnsi="Verdana" w:eastAsia="楷体_gb18030" w:cs="楷体_gb18030"/>
      <w:color w:val="000000"/>
      <w:sz w:val="28"/>
      <w:szCs w:val="28"/>
    </w:rPr>
  </w:style>
  <w:style w:type="paragraph" w:customStyle="1" w:styleId="399">
    <w:name w:val="xl67"/>
    <w:basedOn w:val="1"/>
    <w:qFormat/>
    <w:uiPriority w:val="0"/>
    <w:pPr>
      <w:widowControl/>
      <w:pBdr>
        <w:top w:val="single" w:color="auto" w:sz="4" w:space="0"/>
        <w:bottom w:val="single" w:color="auto" w:sz="4" w:space="0"/>
        <w:right w:val="single" w:color="auto" w:sz="8" w:space="0"/>
      </w:pBdr>
      <w:spacing w:before="100" w:beforeAutospacing="1" w:after="100" w:afterAutospacing="1"/>
      <w:jc w:val="center"/>
    </w:pPr>
    <w:rPr>
      <w:rFonts w:ascii="宋体" w:hAnsi="宋体" w:cs="宋体"/>
      <w:b/>
      <w:bCs/>
      <w:i/>
      <w:iCs/>
      <w:kern w:val="0"/>
      <w:sz w:val="24"/>
      <w:szCs w:val="24"/>
    </w:rPr>
  </w:style>
  <w:style w:type="paragraph" w:customStyle="1" w:styleId="400">
    <w:name w:val="Normal_15"/>
    <w:qFormat/>
    <w:uiPriority w:val="0"/>
    <w:rPr>
      <w:rFonts w:ascii="黑体" w:hAnsi="黑体" w:eastAsia="黑体" w:cs="黑体"/>
      <w:b/>
      <w:bCs/>
      <w:sz w:val="32"/>
      <w:szCs w:val="32"/>
      <w:lang w:val="en-US" w:eastAsia="zh-CN" w:bidi="ar-SA"/>
    </w:rPr>
  </w:style>
  <w:style w:type="paragraph" w:customStyle="1" w:styleId="401">
    <w:name w:val="Char Char Char Char Char Char Char1"/>
    <w:basedOn w:val="1"/>
    <w:qFormat/>
    <w:uiPriority w:val="99"/>
    <w:rPr>
      <w:rFonts w:ascii="仿宋_GB2312" w:eastAsia="仿宋_GB2312" w:cs="仿宋_GB2312"/>
      <w:b/>
      <w:bCs/>
      <w:sz w:val="32"/>
      <w:szCs w:val="32"/>
    </w:rPr>
  </w:style>
  <w:style w:type="paragraph" w:customStyle="1" w:styleId="402">
    <w:name w:val="正文样式"/>
    <w:basedOn w:val="1"/>
    <w:qFormat/>
    <w:uiPriority w:val="0"/>
    <w:pPr>
      <w:spacing w:line="360" w:lineRule="auto"/>
      <w:ind w:firstLine="480" w:firstLineChars="200"/>
    </w:pPr>
    <w:rPr>
      <w:sz w:val="24"/>
      <w:szCs w:val="24"/>
    </w:rPr>
  </w:style>
  <w:style w:type="paragraph" w:customStyle="1" w:styleId="403">
    <w:name w:val="页码1"/>
    <w:basedOn w:val="1"/>
    <w:next w:val="1"/>
    <w:qFormat/>
    <w:uiPriority w:val="0"/>
    <w:pPr>
      <w:widowControl/>
    </w:pPr>
    <w:rPr>
      <w:color w:val="000000"/>
    </w:rPr>
  </w:style>
  <w:style w:type="paragraph" w:customStyle="1" w:styleId="404">
    <w:name w:val="正文_8"/>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405">
    <w:name w:val="Char Char2"/>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406">
    <w:name w:val="节前说明"/>
    <w:next w:val="276"/>
    <w:qFormat/>
    <w:uiPriority w:val="0"/>
    <w:pPr>
      <w:pBdr>
        <w:top w:val="single" w:color="auto" w:sz="2" w:space="1"/>
      </w:pBdr>
      <w:tabs>
        <w:tab w:val="left" w:pos="928"/>
      </w:tabs>
      <w:spacing w:before="40" w:after="40"/>
      <w:ind w:left="1701"/>
    </w:pPr>
    <w:rPr>
      <w:rFonts w:ascii="Times New Roman" w:hAnsi="Times New Roman" w:eastAsia="黑体" w:cs="Times New Roman"/>
      <w:b/>
      <w:bCs/>
      <w:sz w:val="21"/>
      <w:szCs w:val="21"/>
      <w:lang w:val="en-US" w:eastAsia="zh-CN" w:bidi="ar-SA"/>
    </w:rPr>
  </w:style>
  <w:style w:type="paragraph" w:customStyle="1" w:styleId="407">
    <w:name w:val="xl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408">
    <w:name w:val="Normal_12"/>
    <w:qFormat/>
    <w:uiPriority w:val="0"/>
    <w:rPr>
      <w:rFonts w:ascii="黑体" w:hAnsi="黑体" w:eastAsia="黑体" w:cs="黑体"/>
      <w:b/>
      <w:bCs/>
      <w:sz w:val="32"/>
      <w:szCs w:val="32"/>
      <w:lang w:val="en-US" w:eastAsia="zh-CN" w:bidi="ar-SA"/>
    </w:rPr>
  </w:style>
  <w:style w:type="paragraph" w:customStyle="1" w:styleId="409">
    <w:name w:val="xl81"/>
    <w:basedOn w:val="1"/>
    <w:qFormat/>
    <w:uiPriority w:val="0"/>
    <w:pPr>
      <w:widowControl/>
      <w:pBdr>
        <w:bottom w:val="single" w:color="auto" w:sz="4" w:space="0"/>
      </w:pBdr>
      <w:spacing w:before="100" w:beforeAutospacing="1" w:after="100" w:afterAutospacing="1"/>
      <w:jc w:val="left"/>
    </w:pPr>
    <w:rPr>
      <w:b/>
      <w:bCs/>
      <w:kern w:val="0"/>
      <w:sz w:val="20"/>
      <w:szCs w:val="20"/>
    </w:rPr>
  </w:style>
  <w:style w:type="paragraph" w:customStyle="1" w:styleId="410">
    <w:name w:val="模板标题4"/>
    <w:basedOn w:val="1"/>
    <w:next w:val="20"/>
    <w:qFormat/>
    <w:uiPriority w:val="0"/>
    <w:pPr>
      <w:tabs>
        <w:tab w:val="left" w:pos="1440"/>
      </w:tabs>
      <w:spacing w:afterLines="50"/>
      <w:outlineLvl w:val="3"/>
    </w:pPr>
    <w:rPr>
      <w:rFonts w:ascii="宋体" w:hAnsi="宋体" w:cs="宋体"/>
      <w:b/>
      <w:bCs/>
    </w:rPr>
  </w:style>
  <w:style w:type="paragraph" w:customStyle="1" w:styleId="411">
    <w:name w:val="font9"/>
    <w:basedOn w:val="1"/>
    <w:qFormat/>
    <w:uiPriority w:val="0"/>
    <w:pPr>
      <w:widowControl/>
      <w:spacing w:before="100" w:beforeAutospacing="1" w:after="100" w:afterAutospacing="1"/>
      <w:jc w:val="left"/>
    </w:pPr>
    <w:rPr>
      <w:color w:val="000000"/>
      <w:kern w:val="0"/>
      <w:sz w:val="20"/>
      <w:szCs w:val="20"/>
    </w:rPr>
  </w:style>
  <w:style w:type="paragraph" w:customStyle="1" w:styleId="412">
    <w:name w:val="正文_15"/>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413">
    <w:name w:val="正文_3_0"/>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414">
    <w:name w:val="Normal_18"/>
    <w:qFormat/>
    <w:uiPriority w:val="0"/>
    <w:rPr>
      <w:rFonts w:ascii="黑体" w:hAnsi="黑体" w:eastAsia="黑体" w:cs="黑体"/>
      <w:b/>
      <w:bCs/>
      <w:sz w:val="32"/>
      <w:szCs w:val="32"/>
      <w:lang w:val="en-US" w:eastAsia="zh-CN" w:bidi="ar-SA"/>
    </w:rPr>
  </w:style>
  <w:style w:type="paragraph" w:customStyle="1" w:styleId="415">
    <w:name w:val="无间距"/>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416">
    <w:name w:val="Normal_2"/>
    <w:qFormat/>
    <w:uiPriority w:val="0"/>
    <w:rPr>
      <w:rFonts w:ascii="黑体" w:hAnsi="黑体" w:eastAsia="黑体" w:cs="黑体"/>
      <w:b/>
      <w:bCs/>
      <w:sz w:val="32"/>
      <w:szCs w:val="32"/>
      <w:lang w:val="en-US" w:eastAsia="zh-CN" w:bidi="ar-SA"/>
    </w:rPr>
  </w:style>
  <w:style w:type="paragraph" w:customStyle="1" w:styleId="417">
    <w:name w:val="_Style 96"/>
    <w:basedOn w:val="1"/>
    <w:qFormat/>
    <w:uiPriority w:val="0"/>
    <w:rPr>
      <w:rFonts w:ascii="Calibri" w:hAnsi="Calibri" w:cs="Calibri"/>
    </w:rPr>
  </w:style>
  <w:style w:type="paragraph" w:customStyle="1" w:styleId="418">
    <w:name w:val="tec_para1"/>
    <w:basedOn w:val="1"/>
    <w:qFormat/>
    <w:uiPriority w:val="0"/>
    <w:pPr>
      <w:widowControl/>
      <w:pBdr>
        <w:top w:val="single" w:color="EEEEEE" w:sz="6" w:space="0"/>
        <w:left w:val="single" w:color="EEEEEE" w:sz="6" w:space="0"/>
      </w:pBdr>
      <w:spacing w:before="75" w:after="100" w:afterAutospacing="1"/>
      <w:jc w:val="center"/>
    </w:pPr>
    <w:rPr>
      <w:rFonts w:ascii="宋体" w:hAnsi="宋体" w:cs="宋体"/>
      <w:kern w:val="0"/>
      <w:sz w:val="24"/>
      <w:szCs w:val="24"/>
    </w:rPr>
  </w:style>
  <w:style w:type="paragraph" w:customStyle="1" w:styleId="419">
    <w:name w:val="0"/>
    <w:basedOn w:val="1"/>
    <w:qFormat/>
    <w:uiPriority w:val="99"/>
    <w:pPr>
      <w:widowControl/>
      <w:jc w:val="left"/>
    </w:pPr>
    <w:rPr>
      <w:kern w:val="0"/>
      <w:sz w:val="20"/>
      <w:szCs w:val="20"/>
    </w:rPr>
  </w:style>
  <w:style w:type="paragraph" w:customStyle="1" w:styleId="420">
    <w:name w:val="zhang"/>
    <w:basedOn w:val="1"/>
    <w:qFormat/>
    <w:uiPriority w:val="99"/>
    <w:pPr>
      <w:spacing w:before="100" w:beforeAutospacing="1" w:after="100" w:afterAutospacing="1"/>
    </w:pPr>
    <w:rPr>
      <w:b/>
      <w:bCs/>
      <w:smallCaps/>
      <w:color w:val="000000"/>
      <w:sz w:val="20"/>
      <w:szCs w:val="20"/>
    </w:rPr>
  </w:style>
  <w:style w:type="paragraph" w:customStyle="1" w:styleId="421">
    <w:name w:val="TOC 标题2"/>
    <w:basedOn w:val="3"/>
    <w:next w:val="1"/>
    <w:qFormat/>
    <w:uiPriority w:val="99"/>
    <w:pPr>
      <w:spacing w:line="576" w:lineRule="auto"/>
      <w:jc w:val="both"/>
      <w:outlineLvl w:val="9"/>
    </w:pPr>
    <w:rPr>
      <w:rFonts w:ascii="Calibri" w:hAnsi="Calibri" w:cs="Calibri"/>
    </w:rPr>
  </w:style>
  <w:style w:type="character" w:customStyle="1" w:styleId="422">
    <w:name w:val="Intense Quote Char_31136f24-3343-42ad-ad1f-cfb294a7ba44"/>
    <w:qFormat/>
    <w:uiPriority w:val="99"/>
    <w:rPr>
      <w:rFonts w:ascii="Calibri" w:hAnsi="Calibri" w:cs="Calibri"/>
      <w:b/>
      <w:bCs/>
      <w:i/>
      <w:iCs/>
      <w:color w:val="4F81BD"/>
      <w:kern w:val="2"/>
      <w:sz w:val="22"/>
      <w:szCs w:val="22"/>
    </w:rPr>
  </w:style>
  <w:style w:type="paragraph" w:customStyle="1" w:styleId="423">
    <w:name w:val="Intense Quote_33c0cd97-d832-47a4-8bd1-a1dcce9c4bae"/>
    <w:basedOn w:val="1"/>
    <w:next w:val="1"/>
    <w:link w:val="424"/>
    <w:qFormat/>
    <w:uiPriority w:val="99"/>
    <w:pPr>
      <w:pBdr>
        <w:bottom w:val="single" w:color="4F81BD" w:sz="4" w:space="4"/>
      </w:pBdr>
      <w:spacing w:before="200" w:after="280"/>
      <w:ind w:left="936" w:right="936"/>
    </w:pPr>
    <w:rPr>
      <w:rFonts w:ascii="Calibri" w:hAnsi="Calibri" w:cs="Calibri"/>
      <w:b/>
      <w:bCs/>
      <w:i/>
      <w:iCs/>
      <w:color w:val="4F81BD"/>
    </w:rPr>
  </w:style>
  <w:style w:type="character" w:customStyle="1" w:styleId="424">
    <w:name w:val="明显引用 字符"/>
    <w:link w:val="423"/>
    <w:qFormat/>
    <w:uiPriority w:val="99"/>
    <w:rPr>
      <w:b/>
      <w:bCs/>
      <w:i/>
      <w:iCs/>
      <w:color w:val="4F81BD"/>
      <w:sz w:val="21"/>
      <w:szCs w:val="21"/>
    </w:rPr>
  </w:style>
  <w:style w:type="character" w:customStyle="1" w:styleId="425">
    <w:name w:val="无间隔 字符1"/>
    <w:link w:val="426"/>
    <w:qFormat/>
    <w:uiPriority w:val="99"/>
    <w:rPr>
      <w:rFonts w:ascii="Calibri" w:hAnsi="Calibri" w:cs="Calibri"/>
      <w:kern w:val="2"/>
      <w:sz w:val="22"/>
      <w:szCs w:val="22"/>
    </w:rPr>
  </w:style>
  <w:style w:type="paragraph" w:customStyle="1" w:styleId="426">
    <w:name w:val="No Spacing_0d47bddc-cf3c-4b46-8dd9-4540d37e214f"/>
    <w:basedOn w:val="1"/>
    <w:link w:val="425"/>
    <w:qFormat/>
    <w:uiPriority w:val="1"/>
    <w:rPr>
      <w:rFonts w:ascii="Calibri" w:hAnsi="Calibri"/>
      <w:sz w:val="22"/>
      <w:szCs w:val="22"/>
    </w:rPr>
  </w:style>
  <w:style w:type="character" w:customStyle="1" w:styleId="427">
    <w:name w:val="明显参考1"/>
    <w:qFormat/>
    <w:uiPriority w:val="99"/>
    <w:rPr>
      <w:b/>
      <w:bCs/>
      <w:smallCaps/>
      <w:color w:val="auto"/>
      <w:spacing w:val="5"/>
      <w:u w:val="single"/>
    </w:rPr>
  </w:style>
  <w:style w:type="character" w:customStyle="1" w:styleId="428">
    <w:name w:val="Quote Char_aab042b9-bfcb-4a37-bb29-2b646f57baea"/>
    <w:qFormat/>
    <w:uiPriority w:val="99"/>
    <w:rPr>
      <w:rFonts w:ascii="Calibri" w:hAnsi="Calibri" w:cs="Calibri"/>
      <w:i/>
      <w:iCs/>
      <w:color w:val="000000"/>
      <w:kern w:val="2"/>
      <w:sz w:val="22"/>
      <w:szCs w:val="22"/>
    </w:rPr>
  </w:style>
  <w:style w:type="paragraph" w:customStyle="1" w:styleId="429">
    <w:name w:val="Quote_7aab041e-a0e9-4f7a-8589-9ec6cf89356a"/>
    <w:basedOn w:val="1"/>
    <w:next w:val="1"/>
    <w:link w:val="430"/>
    <w:qFormat/>
    <w:uiPriority w:val="99"/>
    <w:rPr>
      <w:rFonts w:ascii="Calibri" w:hAnsi="Calibri" w:cs="Calibri"/>
      <w:i/>
      <w:iCs/>
      <w:color w:val="000000"/>
    </w:rPr>
  </w:style>
  <w:style w:type="character" w:customStyle="1" w:styleId="430">
    <w:name w:val="引用 字符"/>
    <w:link w:val="429"/>
    <w:qFormat/>
    <w:uiPriority w:val="99"/>
    <w:rPr>
      <w:i/>
      <w:iCs/>
      <w:color w:val="000000"/>
      <w:sz w:val="21"/>
      <w:szCs w:val="21"/>
    </w:rPr>
  </w:style>
  <w:style w:type="character" w:customStyle="1" w:styleId="431">
    <w:name w:val="明显强调2"/>
    <w:qFormat/>
    <w:uiPriority w:val="99"/>
    <w:rPr>
      <w:b/>
      <w:bCs/>
      <w:i/>
      <w:iCs/>
      <w:color w:val="4F81BD"/>
    </w:rPr>
  </w:style>
  <w:style w:type="character" w:customStyle="1" w:styleId="432">
    <w:name w:val="Char Char12"/>
    <w:link w:val="433"/>
    <w:qFormat/>
    <w:uiPriority w:val="99"/>
    <w:rPr>
      <w:rFonts w:ascii="Tahoma" w:hAnsi="Tahoma" w:cs="Tahoma"/>
      <w:kern w:val="2"/>
      <w:sz w:val="24"/>
      <w:szCs w:val="24"/>
    </w:rPr>
  </w:style>
  <w:style w:type="paragraph" w:customStyle="1" w:styleId="433">
    <w:name w:val="Char3"/>
    <w:basedOn w:val="1"/>
    <w:link w:val="432"/>
    <w:qFormat/>
    <w:uiPriority w:val="99"/>
    <w:rPr>
      <w:rFonts w:ascii="Tahoma" w:hAnsi="Tahoma"/>
      <w:sz w:val="24"/>
      <w:szCs w:val="24"/>
    </w:rPr>
  </w:style>
  <w:style w:type="character" w:customStyle="1" w:styleId="434">
    <w:name w:val="纯文本 字符"/>
    <w:qFormat/>
    <w:uiPriority w:val="99"/>
    <w:rPr>
      <w:rFonts w:ascii="宋体" w:hAnsi="Courier New" w:eastAsia="宋体" w:cs="宋体"/>
      <w:kern w:val="2"/>
      <w:sz w:val="21"/>
      <w:szCs w:val="21"/>
      <w:lang w:val="en-US" w:eastAsia="zh-CN"/>
    </w:rPr>
  </w:style>
  <w:style w:type="character" w:customStyle="1" w:styleId="435">
    <w:name w:val="不明显强调2"/>
    <w:qFormat/>
    <w:uiPriority w:val="99"/>
    <w:rPr>
      <w:i/>
      <w:iCs/>
      <w:color w:val="808080"/>
    </w:rPr>
  </w:style>
  <w:style w:type="character" w:customStyle="1" w:styleId="436">
    <w:name w:val="Char Char1_02"/>
    <w:link w:val="437"/>
    <w:qFormat/>
    <w:uiPriority w:val="99"/>
    <w:rPr>
      <w:rFonts w:ascii="Tahoma" w:hAnsi="Tahoma" w:cs="Tahoma"/>
      <w:kern w:val="2"/>
      <w:sz w:val="24"/>
      <w:szCs w:val="24"/>
    </w:rPr>
  </w:style>
  <w:style w:type="paragraph" w:customStyle="1" w:styleId="437">
    <w:name w:val="Char_02"/>
    <w:basedOn w:val="121"/>
    <w:link w:val="436"/>
    <w:qFormat/>
    <w:uiPriority w:val="99"/>
    <w:rPr>
      <w:rFonts w:ascii="Tahoma" w:hAnsi="Tahoma"/>
      <w:sz w:val="24"/>
      <w:szCs w:val="24"/>
    </w:rPr>
  </w:style>
  <w:style w:type="character" w:customStyle="1" w:styleId="438">
    <w:name w:val="书籍标题1"/>
    <w:qFormat/>
    <w:uiPriority w:val="99"/>
    <w:rPr>
      <w:b/>
      <w:bCs/>
      <w:smallCaps/>
      <w:spacing w:val="5"/>
    </w:rPr>
  </w:style>
  <w:style w:type="character" w:customStyle="1" w:styleId="439">
    <w:name w:val="不明显参考1"/>
    <w:qFormat/>
    <w:uiPriority w:val="99"/>
    <w:rPr>
      <w:smallCaps/>
      <w:color w:val="auto"/>
      <w:u w:val="single"/>
    </w:rPr>
  </w:style>
  <w:style w:type="character" w:customStyle="1" w:styleId="440">
    <w:name w:val="标准正文 Char Char"/>
    <w:link w:val="441"/>
    <w:qFormat/>
    <w:uiPriority w:val="99"/>
    <w:rPr>
      <w:rFonts w:ascii="Calibri" w:hAnsi="Calibri" w:cs="Calibri"/>
    </w:rPr>
  </w:style>
  <w:style w:type="paragraph" w:customStyle="1" w:styleId="441">
    <w:name w:val="标准正文"/>
    <w:basedOn w:val="1"/>
    <w:link w:val="440"/>
    <w:qFormat/>
    <w:uiPriority w:val="99"/>
    <w:pPr>
      <w:spacing w:line="360" w:lineRule="auto"/>
      <w:ind w:firstLine="420" w:firstLineChars="200"/>
    </w:pPr>
    <w:rPr>
      <w:rFonts w:ascii="Calibri" w:hAnsi="Calibri"/>
      <w:kern w:val="0"/>
      <w:sz w:val="20"/>
      <w:szCs w:val="20"/>
    </w:rPr>
  </w:style>
  <w:style w:type="paragraph" w:customStyle="1" w:styleId="442">
    <w:name w:val="列出段落2"/>
    <w:basedOn w:val="1"/>
    <w:qFormat/>
    <w:uiPriority w:val="99"/>
    <w:pPr>
      <w:ind w:firstLine="420" w:firstLineChars="200"/>
    </w:pPr>
    <w:rPr>
      <w:rFonts w:ascii="Calibri" w:hAnsi="Calibri" w:cs="Calibri"/>
    </w:rPr>
  </w:style>
  <w:style w:type="paragraph" w:customStyle="1" w:styleId="443">
    <w:name w:val="纯文本3"/>
    <w:basedOn w:val="1"/>
    <w:qFormat/>
    <w:uiPriority w:val="99"/>
    <w:pPr>
      <w:adjustRightInd w:val="0"/>
      <w:jc w:val="left"/>
      <w:textAlignment w:val="baseline"/>
    </w:pPr>
    <w:rPr>
      <w:rFonts w:ascii="宋体" w:hAnsi="Courier New" w:cs="宋体"/>
      <w:sz w:val="24"/>
      <w:szCs w:val="24"/>
    </w:rPr>
  </w:style>
  <w:style w:type="paragraph" w:customStyle="1" w:styleId="444">
    <w:name w:val="文档正文首行缩进"/>
    <w:basedOn w:val="1"/>
    <w:qFormat/>
    <w:uiPriority w:val="99"/>
    <w:pPr>
      <w:spacing w:line="360" w:lineRule="auto"/>
      <w:ind w:firstLine="420"/>
    </w:pPr>
    <w:rPr>
      <w:rFonts w:ascii="Calibri" w:hAnsi="Calibri" w:cs="Calibri"/>
      <w:sz w:val="24"/>
      <w:szCs w:val="24"/>
    </w:rPr>
  </w:style>
  <w:style w:type="paragraph" w:customStyle="1" w:styleId="445">
    <w:name w:val="字元 字元"/>
    <w:basedOn w:val="1"/>
    <w:qFormat/>
    <w:uiPriority w:val="99"/>
    <w:pPr>
      <w:widowControl/>
      <w:spacing w:after="160" w:line="240" w:lineRule="exact"/>
      <w:jc w:val="left"/>
    </w:pPr>
    <w:rPr>
      <w:rFonts w:ascii="Calibri" w:hAnsi="Calibri" w:cs="Calibri"/>
      <w:sz w:val="28"/>
      <w:szCs w:val="28"/>
    </w:rPr>
  </w:style>
  <w:style w:type="paragraph" w:customStyle="1" w:styleId="446">
    <w:name w:val="列表内容"/>
    <w:basedOn w:val="1"/>
    <w:next w:val="1"/>
    <w:qFormat/>
    <w:uiPriority w:val="99"/>
    <w:pPr>
      <w:widowControl/>
      <w:numPr>
        <w:ilvl w:val="0"/>
        <w:numId w:val="1"/>
      </w:numPr>
      <w:tabs>
        <w:tab w:val="left" w:pos="840"/>
      </w:tabs>
      <w:jc w:val="left"/>
    </w:pPr>
    <w:rPr>
      <w:rFonts w:ascii="Calibri" w:hAnsi="Calibri" w:cs="Calibri"/>
      <w:kern w:val="0"/>
      <w:sz w:val="18"/>
      <w:szCs w:val="18"/>
    </w:rPr>
  </w:style>
  <w:style w:type="paragraph" w:customStyle="1" w:styleId="447">
    <w:name w:val="正文文本 23"/>
    <w:basedOn w:val="1"/>
    <w:qFormat/>
    <w:uiPriority w:val="99"/>
    <w:pPr>
      <w:widowControl/>
      <w:overflowPunct w:val="0"/>
      <w:autoSpaceDE w:val="0"/>
      <w:autoSpaceDN w:val="0"/>
      <w:adjustRightInd w:val="0"/>
      <w:ind w:left="720" w:hanging="720"/>
      <w:textAlignment w:val="baseline"/>
    </w:pPr>
    <w:rPr>
      <w:rFonts w:ascii="Calibri" w:hAnsi="Calibri" w:cs="Calibri"/>
      <w:kern w:val="0"/>
      <w:sz w:val="24"/>
      <w:szCs w:val="24"/>
      <w:lang w:val="en-GB"/>
    </w:rPr>
  </w:style>
  <w:style w:type="character" w:customStyle="1" w:styleId="448">
    <w:name w:val="明显引用 Char1"/>
    <w:qFormat/>
    <w:uiPriority w:val="99"/>
    <w:rPr>
      <w:i/>
      <w:iCs/>
      <w:color w:val="4F81BD"/>
      <w:kern w:val="2"/>
      <w:sz w:val="24"/>
      <w:szCs w:val="24"/>
    </w:rPr>
  </w:style>
  <w:style w:type="paragraph" w:customStyle="1" w:styleId="449">
    <w:name w:val="第二级标题"/>
    <w:basedOn w:val="4"/>
    <w:next w:val="1"/>
    <w:qFormat/>
    <w:uiPriority w:val="99"/>
    <w:pPr>
      <w:keepLines/>
      <w:adjustRightInd/>
      <w:snapToGrid/>
      <w:spacing w:before="260" w:after="260" w:line="416" w:lineRule="auto"/>
      <w:ind w:left="576" w:hanging="576"/>
      <w:jc w:val="both"/>
      <w:textAlignment w:val="auto"/>
    </w:pPr>
    <w:rPr>
      <w:rFonts w:ascii="Cambria" w:hAnsi="Cambria" w:eastAsia="仿宋" w:cs="Cambria"/>
      <w:kern w:val="2"/>
      <w:sz w:val="32"/>
      <w:szCs w:val="32"/>
    </w:rPr>
  </w:style>
  <w:style w:type="paragraph" w:customStyle="1" w:styleId="450">
    <w:name w:val="Char Char Char Char"/>
    <w:basedOn w:val="1"/>
    <w:qFormat/>
    <w:uiPriority w:val="99"/>
    <w:pPr>
      <w:adjustRightInd w:val="0"/>
      <w:spacing w:line="360" w:lineRule="auto"/>
    </w:pPr>
    <w:rPr>
      <w:rFonts w:ascii="Calibri" w:hAnsi="Calibri" w:cs="Calibri"/>
      <w:kern w:val="0"/>
      <w:sz w:val="24"/>
      <w:szCs w:val="24"/>
    </w:rPr>
  </w:style>
  <w:style w:type="character" w:customStyle="1" w:styleId="451">
    <w:name w:val="引用 Char1"/>
    <w:qFormat/>
    <w:uiPriority w:val="99"/>
    <w:rPr>
      <w:i/>
      <w:iCs/>
      <w:color w:val="auto"/>
      <w:kern w:val="2"/>
      <w:sz w:val="24"/>
      <w:szCs w:val="24"/>
    </w:rPr>
  </w:style>
  <w:style w:type="paragraph" w:customStyle="1" w:styleId="452">
    <w:name w:val="_Style 4"/>
    <w:basedOn w:val="1"/>
    <w:qFormat/>
    <w:uiPriority w:val="99"/>
    <w:pPr>
      <w:ind w:firstLine="420" w:firstLineChars="200"/>
    </w:pPr>
    <w:rPr>
      <w:rFonts w:ascii="Calibri" w:hAnsi="Calibri" w:cs="Calibri"/>
    </w:rPr>
  </w:style>
  <w:style w:type="paragraph" w:customStyle="1" w:styleId="453">
    <w:name w:val="Char Char Char Char Char Char2"/>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454">
    <w:name w:val="第三极标题"/>
    <w:basedOn w:val="5"/>
    <w:next w:val="1"/>
    <w:qFormat/>
    <w:uiPriority w:val="99"/>
    <w:pPr>
      <w:spacing w:before="120" w:after="120"/>
      <w:ind w:left="1418" w:hanging="709" w:firstLineChars="0"/>
    </w:pPr>
    <w:rPr>
      <w:rFonts w:ascii="Calibri" w:hAnsi="Calibri" w:eastAsia="仿宋" w:cs="Calibri"/>
    </w:rPr>
  </w:style>
  <w:style w:type="paragraph" w:customStyle="1" w:styleId="455">
    <w:name w:val="_正文段落"/>
    <w:basedOn w:val="1"/>
    <w:qFormat/>
    <w:uiPriority w:val="99"/>
    <w:pPr>
      <w:spacing w:beforeLines="15" w:afterLines="30" w:line="360" w:lineRule="auto"/>
      <w:ind w:firstLine="200" w:firstLineChars="200"/>
    </w:pPr>
    <w:rPr>
      <w:rFonts w:ascii="Calibri" w:hAnsi="Calibri" w:cs="Calibri"/>
      <w:sz w:val="24"/>
      <w:szCs w:val="24"/>
    </w:rPr>
  </w:style>
  <w:style w:type="paragraph" w:customStyle="1" w:styleId="456">
    <w:name w:val="Char Char Char Char Char Char Char2"/>
    <w:basedOn w:val="1"/>
    <w:qFormat/>
    <w:uiPriority w:val="99"/>
    <w:rPr>
      <w:rFonts w:ascii="仿宋_GB2312" w:hAnsi="Calibri" w:eastAsia="仿宋_GB2312" w:cs="仿宋_GB2312"/>
      <w:b/>
      <w:bCs/>
      <w:sz w:val="32"/>
      <w:szCs w:val="32"/>
    </w:rPr>
  </w:style>
  <w:style w:type="paragraph" w:customStyle="1" w:styleId="457">
    <w:name w:val="第一级标题"/>
    <w:basedOn w:val="3"/>
    <w:next w:val="1"/>
    <w:qFormat/>
    <w:uiPriority w:val="99"/>
    <w:pPr>
      <w:keepLines/>
      <w:tabs>
        <w:tab w:val="left" w:pos="360"/>
      </w:tabs>
      <w:autoSpaceDE/>
      <w:autoSpaceDN/>
      <w:spacing w:before="340" w:after="330" w:line="578" w:lineRule="auto"/>
      <w:ind w:left="360" w:hanging="360"/>
      <w:jc w:val="both"/>
      <w:textAlignment w:val="auto"/>
    </w:pPr>
    <w:rPr>
      <w:rFonts w:ascii="Calibri" w:hAnsi="Calibri" w:eastAsia="宋体" w:cs="Calibri"/>
      <w:kern w:val="44"/>
    </w:rPr>
  </w:style>
  <w:style w:type="paragraph" w:customStyle="1" w:styleId="458">
    <w:name w:val="第四级标题"/>
    <w:basedOn w:val="6"/>
    <w:next w:val="1"/>
    <w:qFormat/>
    <w:uiPriority w:val="99"/>
    <w:pPr>
      <w:keepNext/>
      <w:widowControl w:val="0"/>
      <w:spacing w:before="120" w:after="0" w:line="360" w:lineRule="auto"/>
    </w:pPr>
    <w:rPr>
      <w:rFonts w:ascii="Cambria" w:hAnsi="Cambria" w:eastAsia="仿宋" w:cs="Cambria"/>
      <w:color w:val="auto"/>
      <w:sz w:val="24"/>
      <w:szCs w:val="24"/>
    </w:rPr>
  </w:style>
  <w:style w:type="paragraph" w:customStyle="1" w:styleId="459">
    <w:name w:val="样式 正文首行缩进 2 + 左侧:  1.5 字符 首行缩进:  2 字符2"/>
    <w:basedOn w:val="1"/>
    <w:next w:val="1"/>
    <w:qFormat/>
    <w:uiPriority w:val="99"/>
    <w:pPr>
      <w:spacing w:line="360" w:lineRule="auto"/>
      <w:ind w:firstLine="480" w:firstLineChars="200"/>
    </w:pPr>
    <w:rPr>
      <w:rFonts w:ascii="宋体" w:hAnsi="宋体" w:cs="宋体"/>
      <w:sz w:val="24"/>
      <w:szCs w:val="24"/>
    </w:rPr>
  </w:style>
  <w:style w:type="paragraph" w:customStyle="1" w:styleId="460">
    <w:name w:val="TOC 标题3"/>
    <w:basedOn w:val="3"/>
    <w:next w:val="1"/>
    <w:qFormat/>
    <w:uiPriority w:val="99"/>
    <w:pPr>
      <w:keepLines/>
      <w:tabs>
        <w:tab w:val="left" w:pos="360"/>
      </w:tabs>
      <w:autoSpaceDE/>
      <w:autoSpaceDN/>
      <w:spacing w:before="340" w:after="330" w:line="578" w:lineRule="auto"/>
      <w:ind w:left="360" w:hanging="360"/>
      <w:jc w:val="both"/>
      <w:textAlignment w:val="auto"/>
      <w:outlineLvl w:val="9"/>
    </w:pPr>
    <w:rPr>
      <w:rFonts w:ascii="Calibri" w:hAnsi="Calibri" w:eastAsia="宋体" w:cs="Calibri"/>
      <w:kern w:val="44"/>
    </w:rPr>
  </w:style>
  <w:style w:type="paragraph" w:customStyle="1" w:styleId="461">
    <w:name w:val="_Style 49"/>
    <w:basedOn w:val="1"/>
    <w:next w:val="28"/>
    <w:qFormat/>
    <w:uiPriority w:val="0"/>
    <w:rPr>
      <w:rFonts w:ascii="宋体" w:hAnsi="Courier New"/>
      <w:kern w:val="0"/>
      <w:sz w:val="24"/>
    </w:rPr>
  </w:style>
  <w:style w:type="paragraph" w:customStyle="1" w:styleId="462">
    <w:name w:val="Char Char Char Char Char Char3"/>
    <w:basedOn w:val="1"/>
    <w:qFormat/>
    <w:uiPriority w:val="0"/>
    <w:pPr>
      <w:widowControl/>
      <w:spacing w:after="160" w:line="240" w:lineRule="exact"/>
      <w:jc w:val="left"/>
    </w:pPr>
    <w:rPr>
      <w:rFonts w:ascii="Verdana" w:hAnsi="Verdana"/>
      <w:kern w:val="0"/>
      <w:sz w:val="20"/>
      <w:szCs w:val="20"/>
      <w:lang w:eastAsia="en-US"/>
    </w:rPr>
  </w:style>
  <w:style w:type="character" w:customStyle="1" w:styleId="463">
    <w:name w:val="10"/>
    <w:basedOn w:val="52"/>
    <w:qFormat/>
    <w:uiPriority w:val="0"/>
    <w:rPr>
      <w:rFonts w:hint="default" w:ascii="Calibri" w:hAnsi="Calibri"/>
    </w:rPr>
  </w:style>
  <w:style w:type="paragraph" w:customStyle="1" w:styleId="464">
    <w:name w:val="_Style 457"/>
    <w:qFormat/>
    <w:uiPriority w:val="99"/>
    <w:pPr>
      <w:widowControl w:val="0"/>
      <w:jc w:val="both"/>
    </w:pPr>
    <w:rPr>
      <w:rFonts w:ascii="Times New Roman" w:hAnsi="Times New Roman" w:eastAsia="宋体" w:cs="Times New Roman"/>
      <w:kern w:val="2"/>
      <w:sz w:val="21"/>
      <w:szCs w:val="21"/>
      <w:lang w:val="en-US" w:eastAsia="zh-CN" w:bidi="ar-SA"/>
    </w:rPr>
  </w:style>
  <w:style w:type="character" w:customStyle="1" w:styleId="465">
    <w:name w:val="不明显强调3"/>
    <w:qFormat/>
    <w:uiPriority w:val="19"/>
    <w:rPr>
      <w:i/>
      <w:iCs/>
      <w:color w:val="404040"/>
    </w:rPr>
  </w:style>
  <w:style w:type="character" w:customStyle="1" w:styleId="466">
    <w:name w:val="Char Char13"/>
    <w:link w:val="467"/>
    <w:qFormat/>
    <w:uiPriority w:val="0"/>
    <w:rPr>
      <w:rFonts w:ascii="Tahoma" w:hAnsi="Tahoma"/>
      <w:kern w:val="2"/>
      <w:sz w:val="24"/>
    </w:rPr>
  </w:style>
  <w:style w:type="paragraph" w:customStyle="1" w:styleId="467">
    <w:name w:val="Char4"/>
    <w:basedOn w:val="1"/>
    <w:link w:val="466"/>
    <w:qFormat/>
    <w:uiPriority w:val="0"/>
    <w:rPr>
      <w:rFonts w:ascii="Tahoma" w:hAnsi="Tahoma"/>
      <w:sz w:val="24"/>
      <w:szCs w:val="20"/>
    </w:rPr>
  </w:style>
  <w:style w:type="paragraph" w:customStyle="1" w:styleId="468">
    <w:name w:val="Char Char Char Char Char Char4"/>
    <w:basedOn w:val="1"/>
    <w:qFormat/>
    <w:uiPriority w:val="0"/>
    <w:pPr>
      <w:widowControl/>
      <w:spacing w:after="160" w:line="240" w:lineRule="exact"/>
      <w:jc w:val="left"/>
    </w:pPr>
    <w:rPr>
      <w:rFonts w:ascii="Verdana" w:hAnsi="Verdana"/>
      <w:kern w:val="0"/>
      <w:sz w:val="20"/>
      <w:szCs w:val="20"/>
      <w:lang w:eastAsia="en-US"/>
    </w:rPr>
  </w:style>
  <w:style w:type="paragraph" w:customStyle="1" w:styleId="469">
    <w:name w:val="Char1 Char Char Char Char Char Char1"/>
    <w:basedOn w:val="3"/>
    <w:qFormat/>
    <w:uiPriority w:val="0"/>
    <w:pPr>
      <w:adjustRightInd w:val="0"/>
      <w:snapToGrid w:val="0"/>
      <w:spacing w:beforeLines="100" w:afterLines="100" w:line="480" w:lineRule="auto"/>
      <w:jc w:val="both"/>
      <w:textAlignment w:val="auto"/>
    </w:pPr>
    <w:rPr>
      <w:rFonts w:ascii="宋体" w:hAnsi="宋体" w:eastAsia="宋体" w:cs="Times New Roman"/>
      <w:bCs w:val="0"/>
      <w:sz w:val="32"/>
      <w:szCs w:val="24"/>
    </w:rPr>
  </w:style>
  <w:style w:type="paragraph" w:customStyle="1" w:styleId="470">
    <w:name w:val="列出段落3"/>
    <w:basedOn w:val="1"/>
    <w:qFormat/>
    <w:uiPriority w:val="34"/>
    <w:pPr>
      <w:ind w:firstLine="420" w:firstLineChars="200"/>
    </w:pPr>
    <w:rPr>
      <w:szCs w:val="20"/>
    </w:rPr>
  </w:style>
  <w:style w:type="paragraph" w:customStyle="1" w:styleId="471">
    <w:name w:val="正文文本 24"/>
    <w:basedOn w:val="1"/>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472">
    <w:name w:val="Char Char Char Char Char Char Char3"/>
    <w:basedOn w:val="1"/>
    <w:qFormat/>
    <w:uiPriority w:val="0"/>
    <w:rPr>
      <w:rFonts w:ascii="仿宋_GB2312" w:eastAsia="仿宋_GB2312"/>
      <w:b/>
      <w:sz w:val="32"/>
      <w:szCs w:val="32"/>
    </w:rPr>
  </w:style>
  <w:style w:type="paragraph" w:customStyle="1" w:styleId="473">
    <w:name w:val="纯文本4"/>
    <w:basedOn w:val="1"/>
    <w:qFormat/>
    <w:uiPriority w:val="0"/>
    <w:pPr>
      <w:adjustRightInd w:val="0"/>
      <w:jc w:val="left"/>
      <w:textAlignment w:val="baseline"/>
    </w:pPr>
    <w:rPr>
      <w:rFonts w:ascii="宋体" w:hAnsi="Courier New"/>
      <w:sz w:val="24"/>
      <w:szCs w:val="20"/>
    </w:rPr>
  </w:style>
  <w:style w:type="paragraph" w:customStyle="1" w:styleId="474">
    <w:name w:val="Char Char3"/>
    <w:basedOn w:val="1"/>
    <w:qFormat/>
    <w:uiPriority w:val="0"/>
    <w:pPr>
      <w:widowControl/>
      <w:spacing w:after="160" w:line="240" w:lineRule="exact"/>
      <w:jc w:val="left"/>
    </w:pPr>
    <w:rPr>
      <w:rFonts w:ascii="Verdana" w:hAnsi="Verdana"/>
      <w:kern w:val="0"/>
      <w:sz w:val="20"/>
      <w:szCs w:val="20"/>
      <w:lang w:eastAsia="en-US"/>
    </w:rPr>
  </w:style>
  <w:style w:type="paragraph" w:customStyle="1" w:styleId="475">
    <w:name w:val="*正文"/>
    <w:basedOn w:val="1"/>
    <w:qFormat/>
    <w:uiPriority w:val="0"/>
    <w:pPr>
      <w:spacing w:line="360" w:lineRule="auto"/>
      <w:ind w:firstLine="200" w:firstLineChars="200"/>
    </w:pPr>
    <w:rPr>
      <w:rFonts w:ascii="宋体" w:hAnsi="宋体"/>
      <w:sz w:val="24"/>
      <w:szCs w:val="24"/>
    </w:rPr>
  </w:style>
  <w:style w:type="paragraph" w:customStyle="1" w:styleId="476">
    <w:name w:val="正文（jxj2）"/>
    <w:basedOn w:val="1"/>
    <w:qFormat/>
    <w:uiPriority w:val="0"/>
    <w:pPr>
      <w:spacing w:before="100" w:beforeAutospacing="1" w:after="100" w:afterAutospacing="1"/>
      <w:ind w:firstLine="200" w:firstLineChars="200"/>
    </w:pPr>
    <w:rPr>
      <w:rFonts w:eastAsia="仿宋"/>
      <w:sz w:val="28"/>
    </w:rPr>
  </w:style>
  <w:style w:type="paragraph" w:customStyle="1" w:styleId="477">
    <w:name w:val="正文（首行缩进2字符）"/>
    <w:basedOn w:val="1"/>
    <w:qFormat/>
    <w:uiPriority w:val="0"/>
    <w:pPr>
      <w:ind w:firstLine="420"/>
    </w:pPr>
    <w:rPr>
      <w:rFonts w:ascii="Calibri" w:hAnsi="Calibri" w:eastAsia="仿宋_GB2312"/>
      <w:sz w:val="30"/>
    </w:rPr>
  </w:style>
  <w:style w:type="paragraph" w:customStyle="1" w:styleId="478">
    <w:name w:val="表格正文"/>
    <w:basedOn w:val="1"/>
    <w:qFormat/>
    <w:uiPriority w:val="0"/>
    <w:pPr>
      <w:jc w:val="left"/>
    </w:pPr>
    <w:rPr>
      <w:rFonts w:ascii="宋体" w:hAnsi="宋体" w:cstheme="minorBidi"/>
    </w:rPr>
  </w:style>
  <w:style w:type="paragraph" w:styleId="479">
    <w:name w:val="List Paragraph"/>
    <w:basedOn w:val="1"/>
    <w:qFormat/>
    <w:uiPriority w:val="34"/>
    <w:pPr>
      <w:ind w:firstLine="420" w:firstLineChars="200"/>
    </w:pPr>
    <w:rPr>
      <w:rFonts w:ascii="Calibri" w:hAnsi="Calibri"/>
      <w:szCs w:val="22"/>
    </w:rPr>
  </w:style>
  <w:style w:type="paragraph" w:customStyle="1" w:styleId="480">
    <w:name w:val="首行缩进"/>
    <w:basedOn w:val="1"/>
    <w:qFormat/>
    <w:uiPriority w:val="0"/>
    <w:pPr>
      <w:ind w:firstLine="480" w:firstLineChars="200"/>
    </w:pPr>
  </w:style>
  <w:style w:type="character" w:customStyle="1" w:styleId="481">
    <w:name w:val="纯文本 Char2"/>
    <w:qFormat/>
    <w:uiPriority w:val="0"/>
    <w:rPr>
      <w:rFonts w:ascii="宋体" w:hAnsi="Courier New"/>
      <w:kern w:val="2"/>
      <w:sz w:val="21"/>
    </w:rPr>
  </w:style>
  <w:style w:type="character" w:customStyle="1" w:styleId="482">
    <w:name w:val="Char Char14"/>
    <w:link w:val="483"/>
    <w:qFormat/>
    <w:uiPriority w:val="0"/>
    <w:rPr>
      <w:rFonts w:ascii="Tahoma" w:hAnsi="Tahoma"/>
      <w:kern w:val="2"/>
      <w:sz w:val="24"/>
    </w:rPr>
  </w:style>
  <w:style w:type="paragraph" w:customStyle="1" w:styleId="483">
    <w:name w:val="Char5"/>
    <w:basedOn w:val="1"/>
    <w:link w:val="482"/>
    <w:qFormat/>
    <w:uiPriority w:val="0"/>
    <w:rPr>
      <w:rFonts w:ascii="Tahoma" w:hAnsi="Tahoma"/>
      <w:sz w:val="24"/>
      <w:szCs w:val="20"/>
    </w:rPr>
  </w:style>
  <w:style w:type="paragraph" w:customStyle="1" w:styleId="484">
    <w:name w:val="1正文"/>
    <w:basedOn w:val="1"/>
    <w:qFormat/>
    <w:uiPriority w:val="0"/>
    <w:rPr>
      <w:rFonts w:ascii="宋体" w:hAnsi="宋体"/>
      <w:color w:val="000000"/>
      <w:sz w:val="15"/>
      <w:szCs w:val="14"/>
    </w:rPr>
  </w:style>
  <w:style w:type="paragraph" w:customStyle="1" w:styleId="485">
    <w:name w:val="[Normal]"/>
    <w:qFormat/>
    <w:uiPriority w:val="0"/>
    <w:rPr>
      <w:rFonts w:ascii="宋体" w:hAnsi="宋体" w:eastAsia="宋体" w:cs="Times New Roman"/>
      <w:sz w:val="24"/>
      <w:szCs w:val="22"/>
      <w:lang w:val="zh-CN" w:eastAsia="zh-CN" w:bidi="ar-SA"/>
    </w:rPr>
  </w:style>
  <w:style w:type="paragraph" w:customStyle="1" w:styleId="486">
    <w:name w:val="表 靠左"/>
    <w:basedOn w:val="1"/>
    <w:qFormat/>
    <w:uiPriority w:val="0"/>
    <w:pPr>
      <w:jc w:val="left"/>
    </w:pPr>
    <w:rPr>
      <w:rFonts w:ascii="Times New Roman" w:hAnsi="Times New Roman"/>
      <w:szCs w:val="21"/>
    </w:rPr>
  </w:style>
  <w:style w:type="paragraph" w:customStyle="1" w:styleId="487">
    <w:name w:val="样式 标题 2 + (西文) Times New Roman (中文) 仿宋_GB2312 居中 段前: 6 磅 段后:..."/>
    <w:basedOn w:val="4"/>
    <w:qFormat/>
    <w:uiPriority w:val="0"/>
    <w:pPr>
      <w:widowControl w:val="0"/>
      <w:spacing w:before="120" w:after="120" w:line="360" w:lineRule="auto"/>
      <w:ind w:firstLine="200" w:firstLineChars="200"/>
    </w:pPr>
    <w:rPr>
      <w:rFonts w:ascii="Times New Roman" w:hAnsi="Times New Roman" w:eastAsia="仿宋_GB2312"/>
      <w:kern w:val="2"/>
      <w:szCs w:val="20"/>
    </w:rPr>
  </w:style>
  <w:style w:type="paragraph" w:customStyle="1" w:styleId="488">
    <w:name w:val="_Style 3"/>
    <w:next w:val="1"/>
    <w:qFormat/>
    <w:uiPriority w:val="1"/>
    <w:pPr>
      <w:widowControl w:val="0"/>
      <w:jc w:val="both"/>
    </w:pPr>
    <w:rPr>
      <w:rFonts w:ascii="Times New Roman" w:hAnsi="Times New Roman" w:eastAsia="宋体" w:cs="Times New Roman"/>
      <w:kern w:val="2"/>
      <w:sz w:val="21"/>
      <w:szCs w:val="22"/>
      <w:lang w:val="en-US" w:eastAsia="zh-CN" w:bidi="ar-SA"/>
    </w:rPr>
  </w:style>
  <w:style w:type="character" w:customStyle="1" w:styleId="489">
    <w:name w:val="font101"/>
    <w:basedOn w:val="52"/>
    <w:qFormat/>
    <w:uiPriority w:val="0"/>
    <w:rPr>
      <w:rFonts w:hint="eastAsia" w:ascii="宋体" w:hAnsi="宋体" w:eastAsia="宋体" w:cs="宋体"/>
      <w:color w:val="000000"/>
      <w:sz w:val="22"/>
      <w:szCs w:val="22"/>
      <w:u w:val="none"/>
    </w:rPr>
  </w:style>
  <w:style w:type="character" w:customStyle="1" w:styleId="490">
    <w:name w:val="font71"/>
    <w:basedOn w:val="52"/>
    <w:qFormat/>
    <w:uiPriority w:val="0"/>
    <w:rPr>
      <w:rFonts w:hint="default" w:ascii="Times New Roman" w:hAnsi="Times New Roman" w:cs="Times New Roman"/>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MS</Company>
  <Pages>49</Pages>
  <Words>23704</Words>
  <Characters>26125</Characters>
  <Lines>291</Lines>
  <Paragraphs>82</Paragraphs>
  <TotalTime>0</TotalTime>
  <ScaleCrop>false</ScaleCrop>
  <LinksUpToDate>false</LinksUpToDate>
  <CharactersWithSpaces>27280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2023-06-28T00:19:00Z</dcterms:created>
  <dc:creator>000</dc:creator>
  <cp:lastModifiedBy>努力工作的婷婷</cp:lastModifiedBy>
  <cp:lastPrinted>2025-04-21T07:40:00Z</cp:lastPrinted>
  <dcterms:modified xsi:type="dcterms:W3CDTF">2025-04-21T08:56:24Z</dcterms:modified>
  <dc:title>招 标 文 件</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99D6478F3CB84380B4D701EBE061D9E2_13</vt:lpwstr>
  </property>
  <property fmtid="{D5CDD505-2E9C-101B-9397-08002B2CF9AE}" pid="4" name="KSOTemplateDocerSaveRecord">
    <vt:lpwstr>eyJoZGlkIjoiNjkxYzNjOTkyYTllMDIxN2NjYWU5YTcxZmMyNGZkYjQiLCJ1c2VySWQiOiI0MDkxMDA5OTAifQ==</vt:lpwstr>
  </property>
</Properties>
</file>