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AE69B">
      <w:pP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附件1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-SA"/>
        </w:rPr>
        <w:t>：</w:t>
      </w:r>
    </w:p>
    <w:p w14:paraId="1976AA39">
      <w:pPr>
        <w:jc w:val="center"/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eastAsia="zh-CN" w:bidi="ar"/>
        </w:rPr>
      </w:pPr>
      <w:r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bidi="ar"/>
        </w:rPr>
        <w:t>桐乡市各医疗单位采购医疗设备需求清单</w:t>
      </w:r>
      <w:r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eastAsia="zh-CN" w:bidi="ar"/>
        </w:rPr>
        <w:t>（</w:t>
      </w:r>
      <w:r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val="en-US" w:eastAsia="zh-CN" w:bidi="ar"/>
        </w:rPr>
        <w:t>13项</w:t>
      </w:r>
      <w:r>
        <w:rPr>
          <w:rFonts w:hint="eastAsia" w:ascii="华文中宋" w:hAnsi="华文中宋" w:eastAsia="华文中宋" w:cs="宋体"/>
          <w:color w:val="303030"/>
          <w:kern w:val="0"/>
          <w:sz w:val="44"/>
          <w:szCs w:val="44"/>
          <w:lang w:eastAsia="zh-CN" w:bidi="ar"/>
        </w:rPr>
        <w:t>）</w:t>
      </w:r>
    </w:p>
    <w:tbl>
      <w:tblPr>
        <w:tblStyle w:val="4"/>
        <w:tblW w:w="10335" w:type="dxa"/>
        <w:tblInd w:w="-7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765"/>
        <w:gridCol w:w="750"/>
        <w:gridCol w:w="1455"/>
        <w:gridCol w:w="3825"/>
        <w:gridCol w:w="1335"/>
      </w:tblGrid>
      <w:tr w14:paraId="0B19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国产/进口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预算总额</w:t>
            </w:r>
          </w:p>
          <w:p w14:paraId="4114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基本参数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00EF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关节镜系统（镜子+光导）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4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能与原有史赛克关节镜动力系统主机相配套，含4mm 30度镜头和光导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2805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关节镜操作器械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篮钳（宽口直篮钳*1，左弯篮钳*1，右弯篮钳*2，15度上翘篮钳*1）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7D5E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血透机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血透机标准配置，含血压测量模块、干粉架，报价包含血透系统接口费，一年两次性能检测、电气安全检测等，整机保修≥5年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3E74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血透机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4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血透双泵机标准配置，含血压测量模块、干粉架，报价包含血透系统接口费，一年两次性能检测、电气安全检测等，整机保修≥5年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25CD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动态心电记录盒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D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与原有百慧工作站相配套，增配3通道动态心电记录盒6个，若与原品牌工作站不配套则需提供工作站及软件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3C45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MMC信息系统平台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D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信息平台包含有代谢一体机和信息传输平台，用于标准化代谢性疾病管理中心（MMC）。可承载动脉硬化检测仪、内脏脂肪测量仪等设备，负责设备间及与医院系统间对接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2BDF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自体血回收机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F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术中血液回收用，需自带负压，麻醉科用，列明配套耗材明细及价格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39DD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急救心肺复苏用设备，内置电池及电源直插两用，若有配套耗材需列明并报价。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7B3B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医用封口机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0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具备打印功能，需显示温度、压力、时间。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6800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器械清洗水槽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D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E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一组四槽、一组五槽，五槽组其中一槽需耐受酸化水一槽需耐受碱水，槽内径580~600mm，总体尺寸≤4000mm,水槽为不锈钢316材质。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需看过现场，根据现场情况画安装图纸。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4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FF8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酸性氧化电位水生成器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5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5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便携式方便安装；一体式内置加盐箱；并有自动溶解装置；具备全自动酸碱水转化功能；  有效氯:50~70mg/L;ORP≥1100MV;残余氯离子浓度＜600PPM;PH:2~3;具备调节键；具备加盐刻度线。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需看过现场，了解安装情况。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ADD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防褥疮床垫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8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静态防褥疮；双层海绵结构；防水抗菌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4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第十五批第二次</w:t>
            </w:r>
          </w:p>
        </w:tc>
      </w:tr>
      <w:tr w14:paraId="57B7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紫外线消毒车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0.02-0.05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医用紫外线消毒车，双灯管，紫外线灯管功率大等于60W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第十五批第二次；门市部销售不作厂家或省级（一级）代理商资质要求</w:t>
            </w:r>
          </w:p>
        </w:tc>
      </w:tr>
    </w:tbl>
    <w:p w14:paraId="35D797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93468"/>
    <w:rsid w:val="565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2024-11-21T07:47:00Z</dcterms:created>
  <dc:creator>WPS_1559748923</dc:creator>
  <cp:lastModifiedBy>WPS_1559748923</cp:lastModifiedBy>
  <dcterms:modified xsi:type="dcterms:W3CDTF">2024-11-21T07:47:41Z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FD79D92BDF304EE5923B03EAC54F1D7A_11</vt:lpwstr>
  </property>
</Properties>
</file>